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0D60099D" w:rsidR="00EC6F8D" w:rsidRPr="00291FC3" w:rsidRDefault="00EC6F8D" w:rsidP="00291FC3">
      <w:pPr>
        <w:tabs>
          <w:tab w:val="center" w:pos="4819"/>
          <w:tab w:val="left" w:pos="8580"/>
        </w:tabs>
        <w:spacing w:before="1440"/>
        <w:jc w:val="center"/>
        <w:rPr>
          <w:rFonts w:ascii="Arial" w:hAnsi="Arial" w:cs="Arial"/>
          <w:b/>
          <w:sz w:val="22"/>
          <w:szCs w:val="22"/>
        </w:rPr>
      </w:pPr>
      <w:r w:rsidRPr="00291FC3">
        <w:rPr>
          <w:rFonts w:ascii="Arial" w:hAnsi="Arial"/>
          <w:b/>
          <w:sz w:val="22"/>
        </w:rPr>
        <w:t>CONVENTION POUR LA SAUVEGARDE</w:t>
      </w:r>
      <w:r w:rsidR="005972C5" w:rsidRPr="00291FC3">
        <w:rPr>
          <w:rFonts w:ascii="Arial" w:hAnsi="Arial"/>
          <w:b/>
          <w:sz w:val="22"/>
        </w:rPr>
        <w:br/>
      </w:r>
      <w:r w:rsidRPr="00291FC3">
        <w:rPr>
          <w:rFonts w:ascii="Arial" w:hAnsi="Arial"/>
          <w:b/>
          <w:sz w:val="22"/>
        </w:rPr>
        <w:t>DU</w:t>
      </w:r>
      <w:r w:rsidR="005972C5" w:rsidRPr="00291FC3">
        <w:rPr>
          <w:rFonts w:ascii="Arial" w:hAnsi="Arial"/>
          <w:b/>
          <w:sz w:val="22"/>
        </w:rPr>
        <w:t xml:space="preserve"> </w:t>
      </w:r>
      <w:r w:rsidRPr="00291FC3">
        <w:rPr>
          <w:rFonts w:ascii="Arial" w:hAnsi="Arial"/>
          <w:b/>
          <w:sz w:val="22"/>
        </w:rPr>
        <w:t xml:space="preserve">PATRIMOINE </w:t>
      </w:r>
      <w:r w:rsidRPr="00291FC3">
        <w:rPr>
          <w:rFonts w:ascii="Arial" w:hAnsi="Arial" w:cs="Arial"/>
          <w:b/>
          <w:sz w:val="22"/>
          <w:szCs w:val="22"/>
        </w:rPr>
        <w:t>CULTUREL</w:t>
      </w:r>
      <w:r w:rsidRPr="00291FC3">
        <w:rPr>
          <w:rFonts w:ascii="Arial" w:hAnsi="Arial"/>
          <w:b/>
          <w:sz w:val="22"/>
        </w:rPr>
        <w:t xml:space="preserve"> IMMATÉRIEL</w:t>
      </w:r>
    </w:p>
    <w:p w14:paraId="3F72B1D3" w14:textId="77777777" w:rsidR="00EC6F8D" w:rsidRPr="00291FC3" w:rsidRDefault="00EC6F8D" w:rsidP="00EC6F8D">
      <w:pPr>
        <w:spacing w:before="1200"/>
        <w:jc w:val="center"/>
        <w:rPr>
          <w:rFonts w:ascii="Arial" w:hAnsi="Arial" w:cs="Arial"/>
          <w:b/>
          <w:sz w:val="22"/>
          <w:szCs w:val="22"/>
        </w:rPr>
      </w:pPr>
      <w:r w:rsidRPr="00291FC3">
        <w:rPr>
          <w:rFonts w:ascii="Arial" w:hAnsi="Arial"/>
          <w:b/>
          <w:sz w:val="22"/>
        </w:rPr>
        <w:t>COMITÉ INTERGOUVERNEMENTAL DE</w:t>
      </w:r>
      <w:r w:rsidRPr="00291FC3">
        <w:rPr>
          <w:rFonts w:ascii="Arial" w:hAnsi="Arial"/>
          <w:b/>
          <w:sz w:val="22"/>
        </w:rPr>
        <w:br/>
        <w:t>SAUVEGARDE DU PATRIMOINE CULTUREL IMMATÉRIEL</w:t>
      </w:r>
    </w:p>
    <w:p w14:paraId="2E1CD4B4" w14:textId="3A173D90" w:rsidR="00EC6F8D" w:rsidRPr="00291FC3" w:rsidRDefault="00266322" w:rsidP="001D14FE">
      <w:pPr>
        <w:spacing w:before="840"/>
        <w:jc w:val="center"/>
        <w:rPr>
          <w:rFonts w:ascii="Arial" w:hAnsi="Arial" w:cs="Arial"/>
          <w:b/>
          <w:sz w:val="22"/>
          <w:szCs w:val="22"/>
        </w:rPr>
      </w:pPr>
      <w:r w:rsidRPr="00291FC3">
        <w:rPr>
          <w:rFonts w:ascii="Arial" w:hAnsi="Arial"/>
          <w:b/>
          <w:sz w:val="22"/>
        </w:rPr>
        <w:t>Vingtième session</w:t>
      </w:r>
    </w:p>
    <w:p w14:paraId="1FD89575" w14:textId="498B32A0" w:rsidR="00B2172B" w:rsidRPr="00291FC3" w:rsidRDefault="00266322" w:rsidP="00B2172B">
      <w:pPr>
        <w:jc w:val="center"/>
        <w:rPr>
          <w:rFonts w:ascii="Arial" w:hAnsi="Arial" w:cs="Arial"/>
          <w:b/>
          <w:sz w:val="22"/>
          <w:szCs w:val="22"/>
        </w:rPr>
      </w:pPr>
      <w:r w:rsidRPr="00291FC3">
        <w:rPr>
          <w:rFonts w:ascii="Arial" w:hAnsi="Arial"/>
          <w:b/>
          <w:sz w:val="22"/>
        </w:rPr>
        <w:t>New Delhi, République de l</w:t>
      </w:r>
      <w:r w:rsidR="00015E22" w:rsidRPr="00291FC3">
        <w:rPr>
          <w:rFonts w:ascii="Arial" w:hAnsi="Arial"/>
          <w:b/>
          <w:sz w:val="22"/>
        </w:rPr>
        <w:t>’</w:t>
      </w:r>
      <w:r w:rsidRPr="00291FC3">
        <w:rPr>
          <w:rFonts w:ascii="Arial" w:hAnsi="Arial"/>
          <w:b/>
          <w:sz w:val="22"/>
        </w:rPr>
        <w:t>Inde</w:t>
      </w:r>
    </w:p>
    <w:p w14:paraId="52EA6D50" w14:textId="733482EF" w:rsidR="00B2172B" w:rsidRPr="00291FC3" w:rsidRDefault="00266322" w:rsidP="00B2172B">
      <w:pPr>
        <w:jc w:val="center"/>
        <w:rPr>
          <w:rFonts w:ascii="Arial" w:hAnsi="Arial" w:cs="Arial"/>
          <w:b/>
          <w:sz w:val="22"/>
          <w:szCs w:val="22"/>
        </w:rPr>
      </w:pPr>
      <w:r w:rsidRPr="00291FC3">
        <w:rPr>
          <w:rFonts w:ascii="Arial" w:hAnsi="Arial"/>
          <w:b/>
          <w:sz w:val="22"/>
        </w:rPr>
        <w:t>8 – 13 décembre 2025</w:t>
      </w:r>
    </w:p>
    <w:p w14:paraId="0365203A" w14:textId="7C21FC16" w:rsidR="00EC6F8D" w:rsidRPr="00291FC3" w:rsidRDefault="00EC6F8D" w:rsidP="00EC6F8D">
      <w:pPr>
        <w:pStyle w:val="Sansinterligne2"/>
        <w:spacing w:before="1200"/>
        <w:jc w:val="center"/>
        <w:rPr>
          <w:rFonts w:ascii="Arial" w:hAnsi="Arial" w:cs="Arial"/>
          <w:b/>
          <w:sz w:val="22"/>
          <w:szCs w:val="22"/>
        </w:rPr>
      </w:pPr>
      <w:r w:rsidRPr="00291FC3">
        <w:rPr>
          <w:rFonts w:ascii="Arial" w:hAnsi="Arial"/>
          <w:b/>
          <w:sz w:val="22"/>
          <w:u w:val="single"/>
        </w:rPr>
        <w:t>Point 8 de l</w:t>
      </w:r>
      <w:r w:rsidR="00015E22" w:rsidRPr="00291FC3">
        <w:rPr>
          <w:rFonts w:ascii="Arial" w:hAnsi="Arial"/>
          <w:b/>
          <w:sz w:val="22"/>
          <w:u w:val="single"/>
        </w:rPr>
        <w:t>’</w:t>
      </w:r>
      <w:r w:rsidRPr="00291FC3">
        <w:rPr>
          <w:rFonts w:ascii="Arial" w:hAnsi="Arial"/>
          <w:b/>
          <w:sz w:val="22"/>
          <w:u w:val="single"/>
        </w:rPr>
        <w:t>ordre du jour provisoire</w:t>
      </w:r>
      <w:r w:rsidRPr="00291FC3">
        <w:rPr>
          <w:rFonts w:ascii="Arial" w:hAnsi="Arial"/>
          <w:b/>
          <w:sz w:val="22"/>
        </w:rPr>
        <w:t> :</w:t>
      </w:r>
    </w:p>
    <w:p w14:paraId="59920478" w14:textId="3ED0E1A3" w:rsidR="004A2875" w:rsidRPr="00291FC3" w:rsidRDefault="00A45328" w:rsidP="004A2875">
      <w:pPr>
        <w:pStyle w:val="Sansinterligne2"/>
        <w:spacing w:after="960"/>
        <w:jc w:val="center"/>
        <w:rPr>
          <w:rFonts w:ascii="Arial" w:hAnsi="Arial" w:cs="Arial"/>
          <w:bCs/>
          <w:sz w:val="22"/>
          <w:szCs w:val="22"/>
        </w:rPr>
      </w:pPr>
      <w:r w:rsidRPr="00291FC3">
        <w:rPr>
          <w:rFonts w:ascii="Arial" w:hAnsi="Arial"/>
          <w:b/>
          <w:sz w:val="22"/>
        </w:rPr>
        <w:t>Traitement des dossiers pour les mécanismes d</w:t>
      </w:r>
      <w:r w:rsidR="00015E22" w:rsidRPr="00291FC3">
        <w:rPr>
          <w:rFonts w:ascii="Arial" w:hAnsi="Arial"/>
          <w:b/>
          <w:sz w:val="22"/>
        </w:rPr>
        <w:t>’</w:t>
      </w:r>
      <w:r w:rsidRPr="00291FC3">
        <w:rPr>
          <w:rFonts w:ascii="Arial" w:hAnsi="Arial"/>
          <w:b/>
          <w:sz w:val="22"/>
        </w:rPr>
        <w:t>inscription</w:t>
      </w:r>
      <w:r w:rsidR="00BC25E6" w:rsidRPr="00291FC3">
        <w:rPr>
          <w:rFonts w:ascii="Arial" w:hAnsi="Arial"/>
          <w:b/>
          <w:sz w:val="22"/>
        </w:rPr>
        <w:t xml:space="preserve"> sur les listes</w:t>
      </w:r>
      <w:r w:rsidRPr="00291FC3">
        <w:rPr>
          <w:rFonts w:ascii="Arial" w:hAnsi="Arial"/>
          <w:b/>
          <w:sz w:val="22"/>
        </w:rPr>
        <w:t xml:space="preserve">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91FC3" w14:paraId="75AC6221" w14:textId="77777777" w:rsidTr="00EC6F8D">
        <w:trPr>
          <w:jc w:val="center"/>
        </w:trPr>
        <w:tc>
          <w:tcPr>
            <w:tcW w:w="5670" w:type="dxa"/>
            <w:vAlign w:val="center"/>
          </w:tcPr>
          <w:p w14:paraId="51C260A9" w14:textId="77777777" w:rsidR="00EC6F8D" w:rsidRPr="00291FC3" w:rsidRDefault="00EC6F8D" w:rsidP="00CA56BB">
            <w:pPr>
              <w:pStyle w:val="Sansinterligne1"/>
              <w:spacing w:before="200" w:after="200"/>
              <w:jc w:val="center"/>
              <w:rPr>
                <w:rFonts w:ascii="Arial" w:hAnsi="Arial" w:cs="Arial"/>
                <w:b/>
                <w:sz w:val="22"/>
                <w:szCs w:val="22"/>
              </w:rPr>
            </w:pPr>
            <w:r w:rsidRPr="00291FC3">
              <w:rPr>
                <w:rFonts w:ascii="Arial" w:hAnsi="Arial"/>
                <w:b/>
                <w:sz w:val="22"/>
              </w:rPr>
              <w:t>Résumé</w:t>
            </w:r>
          </w:p>
          <w:p w14:paraId="7FAFD4C4" w14:textId="306A98E0" w:rsidR="00C559E7" w:rsidRPr="00291FC3" w:rsidRDefault="00C559E7" w:rsidP="00CA56BB">
            <w:pPr>
              <w:pStyle w:val="Sansinterligne2"/>
              <w:spacing w:before="200" w:after="200"/>
              <w:jc w:val="both"/>
              <w:rPr>
                <w:rFonts w:ascii="Arial" w:hAnsi="Arial" w:cs="Arial"/>
                <w:sz w:val="22"/>
                <w:szCs w:val="22"/>
              </w:rPr>
            </w:pPr>
            <w:r w:rsidRPr="00291FC3">
              <w:rPr>
                <w:rFonts w:ascii="Arial" w:hAnsi="Arial"/>
                <w:sz w:val="22"/>
              </w:rPr>
              <w:t>Le présent document porte à l</w:t>
            </w:r>
            <w:r w:rsidR="00015E22" w:rsidRPr="00291FC3">
              <w:rPr>
                <w:rFonts w:ascii="Arial" w:hAnsi="Arial"/>
                <w:sz w:val="22"/>
              </w:rPr>
              <w:t>’</w:t>
            </w:r>
            <w:r w:rsidRPr="00291FC3">
              <w:rPr>
                <w:rFonts w:ascii="Arial" w:hAnsi="Arial"/>
                <w:sz w:val="22"/>
              </w:rPr>
              <w:t>attention du Comité des questions relatives aux aspects techniques du traitement des dossiers dans le cadre des mécanismes d</w:t>
            </w:r>
            <w:r w:rsidR="00015E22" w:rsidRPr="00291FC3">
              <w:rPr>
                <w:rFonts w:ascii="Arial" w:hAnsi="Arial"/>
                <w:sz w:val="22"/>
              </w:rPr>
              <w:t>’</w:t>
            </w:r>
            <w:r w:rsidRPr="00291FC3">
              <w:rPr>
                <w:rFonts w:ascii="Arial" w:hAnsi="Arial"/>
                <w:sz w:val="22"/>
              </w:rPr>
              <w:t>inscription</w:t>
            </w:r>
            <w:r w:rsidR="00BC25E6" w:rsidRPr="00291FC3">
              <w:rPr>
                <w:rFonts w:ascii="Arial" w:hAnsi="Arial"/>
                <w:sz w:val="22"/>
              </w:rPr>
              <w:t xml:space="preserve"> sur les listes</w:t>
            </w:r>
            <w:r w:rsidRPr="00291FC3">
              <w:rPr>
                <w:rFonts w:ascii="Arial" w:hAnsi="Arial"/>
                <w:sz w:val="22"/>
              </w:rPr>
              <w:t>, ainsi qu</w:t>
            </w:r>
            <w:r w:rsidR="00015E22" w:rsidRPr="00291FC3">
              <w:rPr>
                <w:rFonts w:ascii="Arial" w:hAnsi="Arial"/>
                <w:sz w:val="22"/>
              </w:rPr>
              <w:t>’</w:t>
            </w:r>
            <w:r w:rsidRPr="00291FC3">
              <w:rPr>
                <w:rFonts w:ascii="Arial" w:hAnsi="Arial"/>
                <w:sz w:val="22"/>
              </w:rPr>
              <w:t>à l</w:t>
            </w:r>
            <w:r w:rsidR="00015E22" w:rsidRPr="00291FC3">
              <w:rPr>
                <w:rFonts w:ascii="Arial" w:hAnsi="Arial"/>
                <w:sz w:val="22"/>
              </w:rPr>
              <w:t>’</w:t>
            </w:r>
            <w:r w:rsidRPr="00291FC3">
              <w:rPr>
                <w:rFonts w:ascii="Arial" w:hAnsi="Arial"/>
                <w:sz w:val="22"/>
              </w:rPr>
              <w:t xml:space="preserve">accessibilité et à la visibilité du Registre de bonnes pratiques de sauvegarde. </w:t>
            </w:r>
          </w:p>
          <w:p w14:paraId="290310E8" w14:textId="04779B80" w:rsidR="00EC6F8D" w:rsidRPr="00291FC3" w:rsidRDefault="00EC6F8D" w:rsidP="00CA56BB">
            <w:pPr>
              <w:pStyle w:val="Sansinterligne2"/>
              <w:spacing w:before="200" w:after="200"/>
              <w:jc w:val="both"/>
              <w:rPr>
                <w:rFonts w:ascii="Arial" w:hAnsi="Arial" w:cs="Arial"/>
                <w:b/>
                <w:sz w:val="22"/>
                <w:szCs w:val="22"/>
              </w:rPr>
            </w:pPr>
            <w:r w:rsidRPr="00291FC3">
              <w:rPr>
                <w:rFonts w:ascii="Arial" w:hAnsi="Arial"/>
                <w:b/>
                <w:sz w:val="22"/>
              </w:rPr>
              <w:t xml:space="preserve">Décision requise : </w:t>
            </w:r>
            <w:r w:rsidRPr="00291FC3">
              <w:rPr>
                <w:rFonts w:ascii="Arial" w:hAnsi="Arial"/>
                <w:sz w:val="22"/>
              </w:rPr>
              <w:t>paragraphe 1</w:t>
            </w:r>
            <w:r w:rsidR="00BC25E6" w:rsidRPr="00291FC3">
              <w:rPr>
                <w:rFonts w:ascii="Arial" w:hAnsi="Arial"/>
                <w:sz w:val="22"/>
              </w:rPr>
              <w:t>7</w:t>
            </w:r>
          </w:p>
        </w:tc>
      </w:tr>
    </w:tbl>
    <w:p w14:paraId="713D819F" w14:textId="77777777" w:rsidR="004A2875" w:rsidRPr="00291FC3"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291FC3">
        <w:br w:type="page"/>
      </w:r>
    </w:p>
    <w:p w14:paraId="6C62585F" w14:textId="491D6D05" w:rsidR="00F70CC5" w:rsidRPr="00291FC3" w:rsidRDefault="00602DCC" w:rsidP="00F70CC5">
      <w:pPr>
        <w:pStyle w:val="COMPara"/>
        <w:numPr>
          <w:ilvl w:val="0"/>
          <w:numId w:val="0"/>
        </w:numPr>
        <w:spacing w:before="240"/>
        <w:jc w:val="both"/>
        <w:rPr>
          <w:b/>
          <w:bCs/>
        </w:rPr>
      </w:pPr>
      <w:bookmarkStart w:id="0" w:name="_Hlk124351255"/>
      <w:r w:rsidRPr="00291FC3">
        <w:rPr>
          <w:b/>
        </w:rPr>
        <w:lastRenderedPageBreak/>
        <w:t>Introduction</w:t>
      </w:r>
    </w:p>
    <w:bookmarkEnd w:id="0"/>
    <w:p w14:paraId="5FA2B7DB" w14:textId="6791A593" w:rsidR="0057439C" w:rsidRPr="00291FC3" w:rsidRDefault="00BC4CC7" w:rsidP="00BA0149">
      <w:pPr>
        <w:pStyle w:val="COMPara"/>
        <w:ind w:left="567" w:hanging="567"/>
        <w:jc w:val="both"/>
      </w:pPr>
      <w:r w:rsidRPr="00291FC3">
        <w:t>Suite à l</w:t>
      </w:r>
      <w:r w:rsidR="00015E22" w:rsidRPr="00291FC3">
        <w:t>’</w:t>
      </w:r>
      <w:r w:rsidRPr="00291FC3">
        <w:t>achèvement de la réflexion globale sur les mécanismes d</w:t>
      </w:r>
      <w:r w:rsidR="00015E22" w:rsidRPr="00291FC3">
        <w:t>’</w:t>
      </w:r>
      <w:r w:rsidRPr="00291FC3">
        <w:t>inscription</w:t>
      </w:r>
      <w:r w:rsidR="00623DA1" w:rsidRPr="00291FC3">
        <w:t xml:space="preserve"> sur les listes</w:t>
      </w:r>
      <w:r w:rsidRPr="00291FC3">
        <w:t xml:space="preserve"> de la Convention de 2003 (2018-2022) et compte tenu des premiers résultats de la réflexion sur une mise en œuvre plus large de l</w:t>
      </w:r>
      <w:r w:rsidR="00015E22" w:rsidRPr="00291FC3">
        <w:t>’</w:t>
      </w:r>
      <w:r w:rsidRPr="00291FC3">
        <w:t>article 18 de la Convention, le présent document propose d</w:t>
      </w:r>
      <w:r w:rsidR="00015E22" w:rsidRPr="00291FC3">
        <w:t>’</w:t>
      </w:r>
      <w:r w:rsidRPr="00291FC3">
        <w:t>aborder plusieurs questions soulevées ces dernières années concernant la portée et le calendrier du traitement des candidatures sur les Listes et le Registre (section A), ainsi que l</w:t>
      </w:r>
      <w:r w:rsidR="00015E22" w:rsidRPr="00291FC3">
        <w:t>’</w:t>
      </w:r>
      <w:r w:rsidRPr="00291FC3">
        <w:t>accessibilité et la visibilité du Registre de bonnes pratiques de sauvegarde en réponse à la décision </w:t>
      </w:r>
      <w:hyperlink r:id="rId8" w:history="1">
        <w:r w:rsidRPr="00291FC3">
          <w:rPr>
            <w:rStyle w:val="Hyperlink"/>
          </w:rPr>
          <w:t>19.COM 15</w:t>
        </w:r>
      </w:hyperlink>
      <w:r w:rsidRPr="00291FC3">
        <w:t xml:space="preserve"> (section B).</w:t>
      </w:r>
    </w:p>
    <w:p w14:paraId="7149FFD9" w14:textId="5989E2B9" w:rsidR="00993541" w:rsidRPr="00291FC3" w:rsidRDefault="00993541" w:rsidP="00993541">
      <w:pPr>
        <w:pStyle w:val="COMPara"/>
        <w:numPr>
          <w:ilvl w:val="0"/>
          <w:numId w:val="21"/>
        </w:numPr>
        <w:spacing w:before="240"/>
        <w:ind w:left="567" w:hanging="567"/>
        <w:jc w:val="both"/>
        <w:rPr>
          <w:b/>
          <w:bCs/>
        </w:rPr>
      </w:pPr>
      <w:r w:rsidRPr="00291FC3">
        <w:rPr>
          <w:b/>
        </w:rPr>
        <w:t xml:space="preserve">Calendrier </w:t>
      </w:r>
      <w:r w:rsidR="00BC25E6" w:rsidRPr="00291FC3">
        <w:rPr>
          <w:b/>
        </w:rPr>
        <w:t xml:space="preserve">pour le </w:t>
      </w:r>
      <w:r w:rsidRPr="00291FC3">
        <w:rPr>
          <w:b/>
        </w:rPr>
        <w:t>traitement des candidatures</w:t>
      </w:r>
    </w:p>
    <w:p w14:paraId="05D1C79F" w14:textId="3F61D21C" w:rsidR="0057439C" w:rsidRPr="00291FC3" w:rsidRDefault="00993541" w:rsidP="009F5BE6">
      <w:pPr>
        <w:pStyle w:val="COMPara"/>
        <w:ind w:left="567" w:hanging="567"/>
        <w:jc w:val="both"/>
      </w:pPr>
      <w:r w:rsidRPr="00291FC3">
        <w:t>Le sous-chapitre I.15 des Directives opérationnelles contient les dispositions relatives aux procédures associées au traitement des dossiers pour les mécanismes d</w:t>
      </w:r>
      <w:r w:rsidR="00015E22" w:rsidRPr="00291FC3">
        <w:t>’</w:t>
      </w:r>
      <w:r w:rsidRPr="00291FC3">
        <w:t>inscription</w:t>
      </w:r>
      <w:r w:rsidR="00613F7D" w:rsidRPr="00291FC3">
        <w:t xml:space="preserve"> sur les listes</w:t>
      </w:r>
      <w:r w:rsidRPr="00291FC3">
        <w:t xml:space="preserve"> de la Convention, qui est divisé en trois phases : </w:t>
      </w:r>
      <w:r w:rsidR="00BC25E6" w:rsidRPr="00291FC3">
        <w:t>p</w:t>
      </w:r>
      <w:r w:rsidRPr="00291FC3">
        <w:t xml:space="preserve">réparation et soumission (paragraphe 54), évaluation (paragraphe 55) et examen (paragraphe 56). Le paragraphe 54 des Directives opérationnelles prévoit que, </w:t>
      </w:r>
      <w:proofErr w:type="gramStart"/>
      <w:r w:rsidRPr="00291FC3">
        <w:t>suite à</w:t>
      </w:r>
      <w:proofErr w:type="gramEnd"/>
      <w:r w:rsidRPr="00291FC3">
        <w:t xml:space="preserve"> la soumission des candidatures, propositions et demandes avant la date limite statutaire du 31 mars, le Secrétariat traitera « les dossiers, y compris l</w:t>
      </w:r>
      <w:r w:rsidR="00015E22" w:rsidRPr="00291FC3">
        <w:t>’</w:t>
      </w:r>
      <w:r w:rsidRPr="00291FC3">
        <w:t>enregistrement et l</w:t>
      </w:r>
      <w:r w:rsidR="00015E22" w:rsidRPr="00291FC3">
        <w:t>’</w:t>
      </w:r>
      <w:r w:rsidRPr="00291FC3">
        <w:t>accusé de réception. Si un dossier est incomplet, l</w:t>
      </w:r>
      <w:r w:rsidR="00015E22" w:rsidRPr="00291FC3">
        <w:t>’</w:t>
      </w:r>
      <w:r w:rsidRPr="00291FC3">
        <w:t>État partie est invité à le compléter »</w:t>
      </w:r>
      <w:r w:rsidR="00BC25E6" w:rsidRPr="00291FC3">
        <w:t>.</w:t>
      </w:r>
      <w:r w:rsidRPr="00291FC3">
        <w:t xml:space="preserve"> L</w:t>
      </w:r>
      <w:r w:rsidR="00015E22" w:rsidRPr="00291FC3">
        <w:t>’</w:t>
      </w:r>
      <w:r w:rsidRPr="00291FC3">
        <w:t xml:space="preserve">État partie dispose </w:t>
      </w:r>
      <w:r w:rsidR="00BC25E6" w:rsidRPr="00291FC3">
        <w:t xml:space="preserve">ensuite </w:t>
      </w:r>
      <w:r w:rsidRPr="00291FC3">
        <w:t>d</w:t>
      </w:r>
      <w:r w:rsidR="00015E22" w:rsidRPr="00291FC3">
        <w:t>’</w:t>
      </w:r>
      <w:r w:rsidRPr="00291FC3">
        <w:t xml:space="preserve">un délai de trois mois pour transmettre au Secrétariat « les informations manquantes requises pour compléter le dossier, si nécessaire ». Cette partie du processus est considérée comme la phase de « vérification de </w:t>
      </w:r>
      <w:r w:rsidR="00BC25E6" w:rsidRPr="00291FC3">
        <w:t xml:space="preserve">complétude </w:t>
      </w:r>
      <w:r w:rsidRPr="00291FC3">
        <w:t>technique ».</w:t>
      </w:r>
    </w:p>
    <w:p w14:paraId="4756B70F" w14:textId="23C16D09" w:rsidR="00993541" w:rsidRPr="00291FC3" w:rsidRDefault="00993541" w:rsidP="00993541">
      <w:pPr>
        <w:pStyle w:val="COMPara"/>
        <w:numPr>
          <w:ilvl w:val="0"/>
          <w:numId w:val="0"/>
        </w:numPr>
        <w:ind w:left="567"/>
        <w:jc w:val="both"/>
        <w:rPr>
          <w:u w:val="single"/>
        </w:rPr>
      </w:pPr>
      <w:r w:rsidRPr="00291FC3">
        <w:rPr>
          <w:u w:val="single"/>
        </w:rPr>
        <w:t xml:space="preserve">Portée de la vérification de </w:t>
      </w:r>
      <w:r w:rsidR="00BC25E6" w:rsidRPr="00291FC3">
        <w:rPr>
          <w:u w:val="single"/>
        </w:rPr>
        <w:t xml:space="preserve">complétude </w:t>
      </w:r>
      <w:r w:rsidRPr="00291FC3">
        <w:rPr>
          <w:u w:val="single"/>
        </w:rPr>
        <w:t>technique</w:t>
      </w:r>
    </w:p>
    <w:p w14:paraId="4E16C8FC" w14:textId="0B34E950" w:rsidR="00DE1E33" w:rsidRPr="00291FC3" w:rsidRDefault="00DE1E33" w:rsidP="00953666">
      <w:pPr>
        <w:pStyle w:val="COMPara"/>
        <w:ind w:left="567" w:hanging="567"/>
        <w:jc w:val="both"/>
      </w:pPr>
      <w:r w:rsidRPr="00291FC3">
        <w:t>Au-delà de l</w:t>
      </w:r>
      <w:r w:rsidR="00015E22" w:rsidRPr="00291FC3">
        <w:t>’</w:t>
      </w:r>
      <w:r w:rsidRPr="00291FC3">
        <w:t xml:space="preserve">identification des documents et matériels manquants dans les dossiers de candidature, la vérification de </w:t>
      </w:r>
      <w:r w:rsidR="00492124" w:rsidRPr="00291FC3">
        <w:t xml:space="preserve">la complétude </w:t>
      </w:r>
      <w:r w:rsidRPr="00291FC3">
        <w:t>consiste à s</w:t>
      </w:r>
      <w:r w:rsidR="00015E22" w:rsidRPr="00291FC3">
        <w:t>’</w:t>
      </w:r>
      <w:r w:rsidRPr="00291FC3">
        <w:t>assurer qu</w:t>
      </w:r>
      <w:r w:rsidR="00015E22" w:rsidRPr="00291FC3">
        <w:t>’</w:t>
      </w:r>
      <w:r w:rsidRPr="00291FC3">
        <w:t>un dossier est conforme aux exigences techniques, l</w:t>
      </w:r>
      <w:r w:rsidR="00015E22" w:rsidRPr="00291FC3">
        <w:t>’</w:t>
      </w:r>
      <w:r w:rsidRPr="00291FC3">
        <w:t xml:space="preserve">objectif </w:t>
      </w:r>
      <w:r w:rsidR="00492124" w:rsidRPr="00291FC3">
        <w:t xml:space="preserve">central </w:t>
      </w:r>
      <w:r w:rsidRPr="00291FC3">
        <w:t>étant de faciliter son évaluation par l</w:t>
      </w:r>
      <w:r w:rsidR="00015E22" w:rsidRPr="00291FC3">
        <w:t>’</w:t>
      </w:r>
      <w:r w:rsidRPr="00291FC3">
        <w:t>Organe d</w:t>
      </w:r>
      <w:r w:rsidR="00015E22" w:rsidRPr="00291FC3">
        <w:t>’</w:t>
      </w:r>
      <w:r w:rsidRPr="00291FC3">
        <w:t>évaluation et son examen par le Comité, tout en veillant à ce que l</w:t>
      </w:r>
      <w:r w:rsidR="00015E22" w:rsidRPr="00291FC3">
        <w:t>’</w:t>
      </w:r>
      <w:r w:rsidRPr="00291FC3">
        <w:t>évaluation soit effectuée sur une base transparente et équitable. En outre, ce processus permet aux éléments de bénéficier d</w:t>
      </w:r>
      <w:r w:rsidR="00015E22" w:rsidRPr="00291FC3">
        <w:t>’</w:t>
      </w:r>
      <w:r w:rsidRPr="00291FC3">
        <w:t>une visibilité et d</w:t>
      </w:r>
      <w:r w:rsidR="00015E22" w:rsidRPr="00291FC3">
        <w:t>’</w:t>
      </w:r>
      <w:r w:rsidRPr="00291FC3">
        <w:t xml:space="preserve">une présentation adéquates au public, grâce aux documents de candidature associés qui sont publiés sur le site </w:t>
      </w:r>
      <w:r w:rsidR="00492124" w:rsidRPr="00291FC3">
        <w:t xml:space="preserve">Internet </w:t>
      </w:r>
      <w:r w:rsidRPr="00291FC3">
        <w:t xml:space="preserve">de la Convention </w:t>
      </w:r>
      <w:r w:rsidR="00492124" w:rsidRPr="00291FC3">
        <w:t xml:space="preserve">durant le processus de candidature et </w:t>
      </w:r>
      <w:r w:rsidRPr="00291FC3">
        <w:t>après l</w:t>
      </w:r>
      <w:r w:rsidR="00015E22" w:rsidRPr="00291FC3">
        <w:t>’</w:t>
      </w:r>
      <w:r w:rsidRPr="00291FC3">
        <w:t xml:space="preserve">inscription. </w:t>
      </w:r>
    </w:p>
    <w:p w14:paraId="2536D3CB" w14:textId="7DB903F5" w:rsidR="00C07948" w:rsidRPr="00291FC3" w:rsidRDefault="00DA0C51" w:rsidP="00953666">
      <w:pPr>
        <w:pStyle w:val="COMPara"/>
        <w:ind w:left="567" w:hanging="567"/>
        <w:jc w:val="both"/>
      </w:pPr>
      <w:r w:rsidRPr="00291FC3">
        <w:t>L</w:t>
      </w:r>
      <w:r w:rsidR="00015E22" w:rsidRPr="00291FC3">
        <w:t>’</w:t>
      </w:r>
      <w:r w:rsidRPr="00291FC3">
        <w:t xml:space="preserve">éventail des questions abordées dans le cadre de la vérification de </w:t>
      </w:r>
      <w:r w:rsidR="00492124" w:rsidRPr="00291FC3">
        <w:t xml:space="preserve">complétude </w:t>
      </w:r>
      <w:r w:rsidRPr="00291FC3">
        <w:t xml:space="preserve">technique est large, depuis la présence de réponses dans les formulaires de candidature ICH-0x en </w:t>
      </w:r>
      <w:r w:rsidR="00BF6BD7" w:rsidRPr="00291FC3">
        <w:t>en respect de</w:t>
      </w:r>
      <w:r w:rsidRPr="00291FC3">
        <w:t>s limites de mots, la soumission du nombre spécifié de photos et de vidéos dans un format et une durée adéquats avec des sous-titres, jusqu</w:t>
      </w:r>
      <w:r w:rsidR="00015E22" w:rsidRPr="00291FC3">
        <w:t>’</w:t>
      </w:r>
      <w:r w:rsidRPr="00291FC3">
        <w:t>à la présentation de documents de consentement ou d</w:t>
      </w:r>
      <w:r w:rsidR="00015E22" w:rsidRPr="00291FC3">
        <w:t>’</w:t>
      </w:r>
      <w:r w:rsidRPr="00291FC3">
        <w:t>un extrait d</w:t>
      </w:r>
      <w:r w:rsidR="00015E22" w:rsidRPr="00291FC3">
        <w:t>’</w:t>
      </w:r>
      <w:r w:rsidRPr="00291FC3">
        <w:t>inventaire dans la langue d</w:t>
      </w:r>
      <w:r w:rsidR="00015E22" w:rsidRPr="00291FC3">
        <w:t>’</w:t>
      </w:r>
      <w:r w:rsidRPr="00291FC3">
        <w:t xml:space="preserve">origine et en anglais ou en français, entre autres. Les exigences techniques et donc les aspects à vérifier ont augmenté </w:t>
      </w:r>
      <w:proofErr w:type="gramStart"/>
      <w:r w:rsidRPr="00291FC3">
        <w:t>suite à</w:t>
      </w:r>
      <w:proofErr w:type="gramEnd"/>
      <w:r w:rsidRPr="00291FC3">
        <w:t xml:space="preserve"> la réflexion globale sur les mécanismes d</w:t>
      </w:r>
      <w:r w:rsidR="00015E22" w:rsidRPr="00291FC3">
        <w:t>’</w:t>
      </w:r>
      <w:r w:rsidRPr="00291FC3">
        <w:t>inscription sur les listes, notamment avec l</w:t>
      </w:r>
      <w:r w:rsidR="00015E22" w:rsidRPr="00291FC3">
        <w:t>’</w:t>
      </w:r>
      <w:r w:rsidRPr="00291FC3">
        <w:t>introduction de matériel optionnel, l</w:t>
      </w:r>
      <w:r w:rsidR="00015E22" w:rsidRPr="00291FC3">
        <w:t>’</w:t>
      </w:r>
      <w:r w:rsidRPr="00291FC3">
        <w:t xml:space="preserve">augmentation des </w:t>
      </w:r>
      <w:r w:rsidR="00BF6BD7" w:rsidRPr="00291FC3">
        <w:t xml:space="preserve">fichiers </w:t>
      </w:r>
      <w:r w:rsidRPr="00291FC3">
        <w:t xml:space="preserve">audiovisuels et la documentation spécifique </w:t>
      </w:r>
      <w:r w:rsidR="00BF6BD7" w:rsidRPr="00291FC3">
        <w:t>aux</w:t>
      </w:r>
      <w:r w:rsidRPr="00291FC3">
        <w:t xml:space="preserve"> demandes d</w:t>
      </w:r>
      <w:r w:rsidR="00015E22" w:rsidRPr="00291FC3">
        <w:t>’</w:t>
      </w:r>
      <w:r w:rsidRPr="00291FC3">
        <w:t>extension et de transfert. Il convient de souligner qu</w:t>
      </w:r>
      <w:r w:rsidR="00015E22" w:rsidRPr="00291FC3">
        <w:t>’</w:t>
      </w:r>
      <w:r w:rsidRPr="00291FC3">
        <w:t>à ce stade, aucune vérification n</w:t>
      </w:r>
      <w:r w:rsidR="00015E22" w:rsidRPr="00291FC3">
        <w:t>’</w:t>
      </w:r>
      <w:r w:rsidRPr="00291FC3">
        <w:t xml:space="preserve">est effectuée sur le contenu des dossiers de candidature soumis, mais uniquement sur leur conformité aux exigences techniques. </w:t>
      </w:r>
    </w:p>
    <w:p w14:paraId="1BC2B184" w14:textId="7046AF19" w:rsidR="00D055D7" w:rsidRPr="00291FC3" w:rsidRDefault="00D54850" w:rsidP="004135F5">
      <w:pPr>
        <w:pStyle w:val="COMPara"/>
        <w:ind w:left="567" w:hanging="567"/>
        <w:jc w:val="both"/>
      </w:pPr>
      <w:r w:rsidRPr="00291FC3">
        <w:t>Au fil des ans, la pratique a évolué et l</w:t>
      </w:r>
      <w:r w:rsidR="00015E22" w:rsidRPr="00291FC3">
        <w:t>’</w:t>
      </w:r>
      <w:r w:rsidRPr="00291FC3">
        <w:t xml:space="preserve">approche est devenue plus </w:t>
      </w:r>
      <w:r w:rsidR="00BF6BD7" w:rsidRPr="00291FC3">
        <w:t>flexible</w:t>
      </w:r>
      <w:r w:rsidRPr="00291FC3">
        <w:t>, notamment parce qu</w:t>
      </w:r>
      <w:r w:rsidR="00015E22" w:rsidRPr="00291FC3">
        <w:t>’</w:t>
      </w:r>
      <w:r w:rsidRPr="00291FC3">
        <w:t>il est devenu nécessaire pour</w:t>
      </w:r>
      <w:r w:rsidR="00492124" w:rsidRPr="00291FC3">
        <w:t xml:space="preserve"> les </w:t>
      </w:r>
      <w:r w:rsidR="00076376" w:rsidRPr="00291FC3">
        <w:t>É</w:t>
      </w:r>
      <w:r w:rsidR="00492124" w:rsidRPr="00291FC3">
        <w:t>tats ayant d</w:t>
      </w:r>
      <w:r w:rsidRPr="00291FC3">
        <w:t>es dossiers sort</w:t>
      </w:r>
      <w:r w:rsidR="00492124" w:rsidRPr="00291FC3">
        <w:t>a</w:t>
      </w:r>
      <w:r w:rsidRPr="00291FC3">
        <w:t>nt du « </w:t>
      </w:r>
      <w:r w:rsidR="00492124" w:rsidRPr="00291FC3">
        <w:t>backlog </w:t>
      </w:r>
      <w:r w:rsidRPr="00291FC3">
        <w:t>» après plusieurs années</w:t>
      </w:r>
      <w:r w:rsidR="00076376" w:rsidRPr="00291FC3">
        <w:t>,</w:t>
      </w:r>
      <w:r w:rsidRPr="00291FC3">
        <w:t xml:space="preserve"> de pouvoir présenter une documentation actualisée. Ce processus a permis aux États soumissionnaires de profiter de la vérification de </w:t>
      </w:r>
      <w:r w:rsidR="00076376" w:rsidRPr="00291FC3">
        <w:t xml:space="preserve">complétude </w:t>
      </w:r>
      <w:r w:rsidRPr="00291FC3">
        <w:t xml:space="preserve">technique pour réviser </w:t>
      </w:r>
      <w:r w:rsidR="00BF6BD7" w:rsidRPr="00291FC3">
        <w:t xml:space="preserve">substantiellement </w:t>
      </w:r>
      <w:r w:rsidRPr="00291FC3">
        <w:t>le dossier de candidature en fournissant des informations supplémentaires mises à jour en plus de celles indiquées comme manquantes dans les demandes d</w:t>
      </w:r>
      <w:r w:rsidR="00015E22" w:rsidRPr="00291FC3">
        <w:t>’</w:t>
      </w:r>
      <w:r w:rsidRPr="00291FC3">
        <w:t xml:space="preserve">informations </w:t>
      </w:r>
      <w:r w:rsidR="008D5313" w:rsidRPr="00291FC3">
        <w:t>complémentaires</w:t>
      </w:r>
      <w:r w:rsidR="00BF6BD7" w:rsidRPr="00291FC3">
        <w:t xml:space="preserve"> </w:t>
      </w:r>
      <w:r w:rsidR="00076376" w:rsidRPr="00291FC3">
        <w:t>du Secrétariat</w:t>
      </w:r>
      <w:r w:rsidRPr="00291FC3">
        <w:t xml:space="preserve">. Une grande majorité des États soumissionnaires profitent actuellement de cette phase pour compléter et réviser leurs dossiers. Les informations </w:t>
      </w:r>
      <w:r w:rsidR="008D5313" w:rsidRPr="00291FC3">
        <w:t>complémentaires</w:t>
      </w:r>
      <w:r w:rsidR="00BF6BD7" w:rsidRPr="00291FC3">
        <w:t xml:space="preserve"> </w:t>
      </w:r>
      <w:r w:rsidRPr="00291FC3">
        <w:t>comprennent souvent, entre autres, une clarification sur la soumission de matériel optionnel, et des documents de consentement supplémentaires, des extraits d</w:t>
      </w:r>
      <w:r w:rsidR="00015E22" w:rsidRPr="00291FC3">
        <w:t>’</w:t>
      </w:r>
      <w:r w:rsidRPr="00291FC3">
        <w:t>inventaire mis à jour, et d</w:t>
      </w:r>
      <w:r w:rsidR="00015E22" w:rsidRPr="00291FC3">
        <w:t>’</w:t>
      </w:r>
      <w:r w:rsidRPr="00291FC3">
        <w:t>autres informations que l</w:t>
      </w:r>
      <w:r w:rsidR="00076376" w:rsidRPr="00291FC3">
        <w:t>es</w:t>
      </w:r>
      <w:r w:rsidRPr="00291FC3">
        <w:t xml:space="preserve"> communauté</w:t>
      </w:r>
      <w:r w:rsidR="00076376" w:rsidRPr="00291FC3">
        <w:t>s</w:t>
      </w:r>
      <w:r w:rsidRPr="00291FC3">
        <w:t xml:space="preserve"> souhaite</w:t>
      </w:r>
      <w:r w:rsidR="00076376" w:rsidRPr="00291FC3">
        <w:t>nt</w:t>
      </w:r>
      <w:r w:rsidRPr="00291FC3">
        <w:t xml:space="preserve"> transmettre à la lumière de l</w:t>
      </w:r>
      <w:r w:rsidR="00015E22" w:rsidRPr="00291FC3">
        <w:t>’</w:t>
      </w:r>
      <w:r w:rsidRPr="00291FC3">
        <w:t xml:space="preserve">évolution des contextes locaux. Dans </w:t>
      </w:r>
      <w:r w:rsidRPr="00291FC3">
        <w:lastRenderedPageBreak/>
        <w:t>les candidatures multinationales, ces questions peuvent concerner un ou plusieurs États soumissionnaires.</w:t>
      </w:r>
    </w:p>
    <w:p w14:paraId="5A7FE713" w14:textId="1D459F9C" w:rsidR="00D54850" w:rsidRPr="00291FC3" w:rsidRDefault="00E07A6E" w:rsidP="004135F5">
      <w:pPr>
        <w:pStyle w:val="COMPara"/>
        <w:ind w:left="567" w:hanging="567"/>
        <w:jc w:val="both"/>
      </w:pPr>
      <w:r w:rsidRPr="00291FC3">
        <w:t>Bien que représentant une charge de travail plus importante pour le Secrétariat, cette approche flexible a été accordée aux États soumissionnaires dans l</w:t>
      </w:r>
      <w:r w:rsidR="00015E22" w:rsidRPr="00291FC3">
        <w:t>’</w:t>
      </w:r>
      <w:r w:rsidRPr="00291FC3">
        <w:t>intérêt des États et des communautés afin d</w:t>
      </w:r>
      <w:r w:rsidR="00015E22" w:rsidRPr="00291FC3">
        <w:t>’</w:t>
      </w:r>
      <w:r w:rsidRPr="00291FC3">
        <w:t>offrir une opportunité d</w:t>
      </w:r>
      <w:r w:rsidR="00015E22" w:rsidRPr="00291FC3">
        <w:t>’</w:t>
      </w:r>
      <w:r w:rsidRPr="00291FC3">
        <w:t>améliorer la qualité des dossiers de candidature, tout en respectant le principe de transparence en publiant les différentes versions des documents de candidature sur le site Internet de la Convention avec leur date de soumission. En outre, les documents de candidature ne pouvaient pas être modifiés à l</w:t>
      </w:r>
      <w:r w:rsidR="00015E22" w:rsidRPr="00291FC3">
        <w:t>’</w:t>
      </w:r>
      <w:r w:rsidRPr="00291FC3">
        <w:t>initiative des États soumissionnaires après la transmission des candidatures à l</w:t>
      </w:r>
      <w:r w:rsidR="00015E22" w:rsidRPr="00291FC3">
        <w:t>’</w:t>
      </w:r>
      <w:r w:rsidRPr="00291FC3">
        <w:t>Organe d</w:t>
      </w:r>
      <w:r w:rsidR="00015E22" w:rsidRPr="00291FC3">
        <w:t>’</w:t>
      </w:r>
      <w:r w:rsidRPr="00291FC3">
        <w:t>évaluation.</w:t>
      </w:r>
    </w:p>
    <w:p w14:paraId="6023EFF5" w14:textId="53F547FF" w:rsidR="00E07A6E" w:rsidRPr="00291FC3" w:rsidRDefault="00C07948" w:rsidP="00E07A6E">
      <w:pPr>
        <w:pStyle w:val="COMPara"/>
        <w:ind w:left="567" w:hanging="567"/>
        <w:jc w:val="both"/>
      </w:pPr>
      <w:r w:rsidRPr="00291FC3">
        <w:t>Si le renforcement des capacités des États et des communautés et l</w:t>
      </w:r>
      <w:r w:rsidR="00015E22" w:rsidRPr="00291FC3">
        <w:t>’</w:t>
      </w:r>
      <w:r w:rsidRPr="00291FC3">
        <w:t xml:space="preserve">introduction du processus de dialogue peuvent largement expliquer le succès des candidatures ces dernières années, </w:t>
      </w:r>
      <w:r w:rsidR="00F00935" w:rsidRPr="00291FC3">
        <w:t>il pourrait être</w:t>
      </w:r>
      <w:r w:rsidRPr="00291FC3">
        <w:t xml:space="preserve"> considér</w:t>
      </w:r>
      <w:r w:rsidR="00F00935" w:rsidRPr="00291FC3">
        <w:t>é</w:t>
      </w:r>
      <w:r w:rsidRPr="00291FC3">
        <w:t xml:space="preserve"> que l</w:t>
      </w:r>
      <w:r w:rsidR="00015E22" w:rsidRPr="00291FC3">
        <w:t>’</w:t>
      </w:r>
      <w:r w:rsidRPr="00291FC3">
        <w:t xml:space="preserve">approche flexible de la phase de « vérification de </w:t>
      </w:r>
      <w:r w:rsidR="00076376" w:rsidRPr="00291FC3">
        <w:t xml:space="preserve">complétude </w:t>
      </w:r>
      <w:r w:rsidRPr="00291FC3">
        <w:t>technique » a également contribué à soutenir cette tendance positive, avec un taux plus élevé de recommandations positives de l</w:t>
      </w:r>
      <w:r w:rsidR="00015E22" w:rsidRPr="00291FC3">
        <w:t>’</w:t>
      </w:r>
      <w:r w:rsidRPr="00291FC3">
        <w:t>Organe d</w:t>
      </w:r>
      <w:r w:rsidR="00015E22" w:rsidRPr="00291FC3">
        <w:t>’</w:t>
      </w:r>
      <w:r w:rsidRPr="00291FC3">
        <w:t>évaluation (entre 98 % et 100 % entre 2023 et 2025) et un meilleur équilibre géographique des candidatures examinées lors des cycles 2023, 2024 et 2025 (Groupe I : 12 %, Groupe II : 13 %, Groupe III : 15 %, Groupe IV : 22 %, Groupe V(a) : 14 %, Groupe V(b) : 16 % et les dossiers impliquant plusieurs Groupes : 8 %, sur 190 dossiers provenant de 134 États).</w:t>
      </w:r>
    </w:p>
    <w:p w14:paraId="595E89F4" w14:textId="0D76461C" w:rsidR="00953666" w:rsidRPr="00291FC3" w:rsidRDefault="00953666" w:rsidP="00953666">
      <w:pPr>
        <w:pStyle w:val="COMPara"/>
        <w:ind w:left="567" w:hanging="567"/>
        <w:jc w:val="both"/>
      </w:pPr>
      <w:r w:rsidRPr="00291FC3">
        <w:t>Le Comité pourrait souhaiter demander au Secrétariat de poursuivre cette approche « flexible » en confirmant que les dispositions du paragraphe 54, en particulier pour la date limite du 30 septembre de l</w:t>
      </w:r>
      <w:r w:rsidR="00015E22" w:rsidRPr="00291FC3">
        <w:t>’</w:t>
      </w:r>
      <w:r w:rsidRPr="00291FC3">
        <w:t xml:space="preserve">année 1, permettent la soumission de documents de candidature révisés dans le cadre de la vérification de </w:t>
      </w:r>
      <w:r w:rsidR="00076376" w:rsidRPr="00291FC3">
        <w:t xml:space="preserve">complétude </w:t>
      </w:r>
      <w:r w:rsidRPr="00291FC3">
        <w:t>technique</w:t>
      </w:r>
      <w:r w:rsidR="00076376" w:rsidRPr="00291FC3">
        <w:t>.</w:t>
      </w:r>
      <w:r w:rsidRPr="00291FC3">
        <w:t xml:space="preserve"> </w:t>
      </w:r>
      <w:r w:rsidR="00F00935" w:rsidRPr="00291FC3">
        <w:t>À titre d</w:t>
      </w:r>
      <w:r w:rsidR="00015E22" w:rsidRPr="00291FC3">
        <w:t>’</w:t>
      </w:r>
      <w:r w:rsidR="00F00935" w:rsidRPr="00291FC3">
        <w:t>alternative</w:t>
      </w:r>
      <w:r w:rsidRPr="00291FC3">
        <w:t>, le Comité pourrait préférer qu</w:t>
      </w:r>
      <w:r w:rsidR="00015E22" w:rsidRPr="00291FC3">
        <w:t>’</w:t>
      </w:r>
      <w:r w:rsidRPr="00291FC3">
        <w:t xml:space="preserve">une approche </w:t>
      </w:r>
      <w:r w:rsidR="009E41A7" w:rsidRPr="00291FC3">
        <w:t>« </w:t>
      </w:r>
      <w:r w:rsidRPr="00291FC3">
        <w:t>stricte</w:t>
      </w:r>
      <w:r w:rsidR="009E41A7" w:rsidRPr="00291FC3">
        <w:t> »</w:t>
      </w:r>
      <w:r w:rsidRPr="00291FC3">
        <w:t xml:space="preserve"> de la vérification de </w:t>
      </w:r>
      <w:r w:rsidR="009E41A7" w:rsidRPr="00291FC3">
        <w:t xml:space="preserve">complétude </w:t>
      </w:r>
      <w:r w:rsidRPr="00291FC3">
        <w:t>technique soit appliquée afin d</w:t>
      </w:r>
      <w:r w:rsidR="00015E22" w:rsidRPr="00291FC3">
        <w:t>’</w:t>
      </w:r>
      <w:r w:rsidRPr="00291FC3">
        <w:t xml:space="preserve">empêcher les États soumissionnaires de modifier la candidature au-delà de ce que le Secrétariat a indiqué comme manquant. </w:t>
      </w:r>
    </w:p>
    <w:p w14:paraId="4CFF0F6E" w14:textId="0D6C675B" w:rsidR="00993541" w:rsidRPr="00291FC3" w:rsidRDefault="00993541" w:rsidP="00993541">
      <w:pPr>
        <w:pStyle w:val="COMPara"/>
        <w:numPr>
          <w:ilvl w:val="0"/>
          <w:numId w:val="0"/>
        </w:numPr>
        <w:ind w:left="567"/>
        <w:jc w:val="both"/>
        <w:rPr>
          <w:u w:val="single"/>
        </w:rPr>
      </w:pPr>
      <w:r w:rsidRPr="00291FC3">
        <w:rPr>
          <w:u w:val="single"/>
        </w:rPr>
        <w:t xml:space="preserve">Calendrier </w:t>
      </w:r>
      <w:r w:rsidR="009E41A7" w:rsidRPr="00291FC3">
        <w:rPr>
          <w:u w:val="single"/>
        </w:rPr>
        <w:t xml:space="preserve">pour le </w:t>
      </w:r>
      <w:r w:rsidRPr="00291FC3">
        <w:rPr>
          <w:u w:val="single"/>
        </w:rPr>
        <w:t>traitement des candidatures</w:t>
      </w:r>
    </w:p>
    <w:p w14:paraId="339550F4" w14:textId="4BC89C9D" w:rsidR="00922C73" w:rsidRPr="00291FC3" w:rsidRDefault="00922C73" w:rsidP="00BA0149">
      <w:pPr>
        <w:pStyle w:val="COMPara"/>
        <w:ind w:left="567" w:hanging="567"/>
        <w:jc w:val="both"/>
      </w:pPr>
      <w:r w:rsidRPr="00291FC3">
        <w:t>Les cycles 2024 et 2025 sont les premiers cycles de candidature dans lesquels les résultats de la réflexion globale sur les mécanismes d</w:t>
      </w:r>
      <w:r w:rsidR="00015E22" w:rsidRPr="00291FC3">
        <w:t>’</w:t>
      </w:r>
      <w:r w:rsidRPr="00291FC3">
        <w:t xml:space="preserve">inscription </w:t>
      </w:r>
      <w:r w:rsidR="00F00935" w:rsidRPr="00291FC3">
        <w:t xml:space="preserve">sur les listes </w:t>
      </w:r>
      <w:r w:rsidRPr="00291FC3">
        <w:t>de la Convention (2018-2022) ont pris pleinement effet. Si un rapport plus détaillé sera présenté à la prochaine session du Comité en 2026 en réponse à la décision </w:t>
      </w:r>
      <w:hyperlink r:id="rId9" w:history="1">
        <w:r w:rsidRPr="00291FC3">
          <w:rPr>
            <w:rStyle w:val="Hyperlink"/>
          </w:rPr>
          <w:t>19.COM 15</w:t>
        </w:r>
      </w:hyperlink>
      <w:r w:rsidRPr="00291FC3">
        <w:t xml:space="preserve">, </w:t>
      </w:r>
      <w:r w:rsidR="00F00935" w:rsidRPr="00291FC3">
        <w:t>il</w:t>
      </w:r>
      <w:r w:rsidRPr="00291FC3">
        <w:t xml:space="preserve"> peut d</w:t>
      </w:r>
      <w:r w:rsidR="00015E22" w:rsidRPr="00291FC3">
        <w:t>’</w:t>
      </w:r>
      <w:r w:rsidRPr="00291FC3">
        <w:t xml:space="preserve">ores et déjà </w:t>
      </w:r>
      <w:r w:rsidR="00F00935" w:rsidRPr="00291FC3">
        <w:t xml:space="preserve">être </w:t>
      </w:r>
      <w:r w:rsidRPr="00291FC3">
        <w:t>observ</w:t>
      </w:r>
      <w:r w:rsidR="00F00935" w:rsidRPr="00291FC3">
        <w:t>é</w:t>
      </w:r>
      <w:r w:rsidRPr="00291FC3">
        <w:t xml:space="preserve"> que le nombre de dossiers traités a considérablement augmenté (140 dossiers au total sur les deux cycles contre 121 dossiers pour les cycles 2022 et 2023 réunis), compte tenu du plafond annuel de soixante dossiers et des différentes catégories de dossiers devant être traités hors plafond annuel depuis le cycle 2024 (décisions </w:t>
      </w:r>
      <w:hyperlink r:id="rId10" w:history="1">
        <w:r w:rsidRPr="00291FC3">
          <w:rPr>
            <w:rStyle w:val="Hyperlink"/>
          </w:rPr>
          <w:t>17.COM 15</w:t>
        </w:r>
      </w:hyperlink>
      <w:r w:rsidRPr="00291FC3">
        <w:t xml:space="preserve"> et </w:t>
      </w:r>
      <w:hyperlink r:id="rId11" w:history="1">
        <w:r w:rsidRPr="00291FC3">
          <w:rPr>
            <w:rStyle w:val="Hyperlink"/>
          </w:rPr>
          <w:t>19.COM 15</w:t>
        </w:r>
      </w:hyperlink>
      <w:r w:rsidRPr="00291FC3">
        <w:t>). Cette augmentation a une incidence sur la charge de travail du Comité, de l</w:t>
      </w:r>
      <w:r w:rsidR="00015E22" w:rsidRPr="00291FC3">
        <w:t>’</w:t>
      </w:r>
      <w:r w:rsidRPr="00291FC3">
        <w:t>Organe d</w:t>
      </w:r>
      <w:r w:rsidR="00015E22" w:rsidRPr="00291FC3">
        <w:t>’</w:t>
      </w:r>
      <w:r w:rsidRPr="00291FC3">
        <w:t>évaluation et du Secrétariat, et pourrait faire l</w:t>
      </w:r>
      <w:r w:rsidR="00015E22" w:rsidRPr="00291FC3">
        <w:t>’</w:t>
      </w:r>
      <w:r w:rsidRPr="00291FC3">
        <w:t xml:space="preserve">objet de discussions lors de la vingt-et-unième session du Comité. </w:t>
      </w:r>
    </w:p>
    <w:p w14:paraId="1AD5C246" w14:textId="6EE3A316" w:rsidR="00D63318" w:rsidRPr="00291FC3" w:rsidRDefault="000A4D3E" w:rsidP="00BA0149">
      <w:pPr>
        <w:pStyle w:val="COMPara"/>
        <w:ind w:left="567" w:hanging="567"/>
        <w:jc w:val="both"/>
      </w:pPr>
      <w:proofErr w:type="gramStart"/>
      <w:r w:rsidRPr="00291FC3">
        <w:t>Suite à</w:t>
      </w:r>
      <w:proofErr w:type="gramEnd"/>
      <w:r w:rsidRPr="00291FC3">
        <w:t xml:space="preserve"> la réflexion globale sur les mécanismes d</w:t>
      </w:r>
      <w:r w:rsidR="00015E22" w:rsidRPr="00291FC3">
        <w:t>’</w:t>
      </w:r>
      <w:r w:rsidRPr="00291FC3">
        <w:t>inscription</w:t>
      </w:r>
      <w:r w:rsidR="00F00935" w:rsidRPr="00291FC3">
        <w:t xml:space="preserve"> sur les listes</w:t>
      </w:r>
      <w:r w:rsidRPr="00291FC3">
        <w:t>, plusieurs procédures et formulaires ont été simplifiés pour la soumission des candidatures, avec des exigences techniques adaptées à ces procédures simplifiées ainsi qu</w:t>
      </w:r>
      <w:r w:rsidR="00015E22" w:rsidRPr="00291FC3">
        <w:t>’</w:t>
      </w:r>
      <w:r w:rsidRPr="00291FC3">
        <w:t>à une diversité de documents de candidatures à prendre en compte, en particulier pour le transfert d</w:t>
      </w:r>
      <w:r w:rsidR="00015E22" w:rsidRPr="00291FC3">
        <w:t>’</w:t>
      </w:r>
      <w:r w:rsidRPr="00291FC3">
        <w:t>éléments d</w:t>
      </w:r>
      <w:r w:rsidR="00015E22" w:rsidRPr="00291FC3">
        <w:t>’</w:t>
      </w:r>
      <w:r w:rsidRPr="00291FC3">
        <w:t>une liste à l</w:t>
      </w:r>
      <w:r w:rsidR="00015E22" w:rsidRPr="00291FC3">
        <w:t>’</w:t>
      </w:r>
      <w:r w:rsidRPr="00291FC3">
        <w:t>autre et les candidatures sur une base élargie. Dans le cadre des cycles 2024 et 2025, 106 des 140</w:t>
      </w:r>
      <w:r w:rsidR="00F00935" w:rsidRPr="00291FC3">
        <w:t xml:space="preserve"> </w:t>
      </w:r>
      <w:r w:rsidRPr="00291FC3">
        <w:t>dossiers initialement traités ont bénéficié d</w:t>
      </w:r>
      <w:r w:rsidR="00015E22" w:rsidRPr="00291FC3">
        <w:t>’</w:t>
      </w:r>
      <w:r w:rsidRPr="00291FC3">
        <w:t>une demande d</w:t>
      </w:r>
      <w:r w:rsidR="00015E22" w:rsidRPr="00291FC3">
        <w:t>’</w:t>
      </w:r>
      <w:r w:rsidRPr="00291FC3">
        <w:t xml:space="preserve">informations </w:t>
      </w:r>
      <w:r w:rsidR="008D5313" w:rsidRPr="00291FC3">
        <w:t>complémentaires</w:t>
      </w:r>
      <w:r w:rsidR="00F00935" w:rsidRPr="00291FC3">
        <w:t xml:space="preserve"> </w:t>
      </w:r>
      <w:r w:rsidRPr="00291FC3">
        <w:t xml:space="preserve">sur la base de la vérification de </w:t>
      </w:r>
      <w:r w:rsidR="009E41A7" w:rsidRPr="00291FC3">
        <w:t xml:space="preserve">complétude </w:t>
      </w:r>
      <w:r w:rsidRPr="00291FC3">
        <w:t xml:space="preserve">technique et </w:t>
      </w:r>
      <w:r w:rsidR="00F00935" w:rsidRPr="00291FC3">
        <w:t xml:space="preserve">en appliquant </w:t>
      </w:r>
      <w:r w:rsidRPr="00291FC3">
        <w:t>l</w:t>
      </w:r>
      <w:r w:rsidR="00015E22" w:rsidRPr="00291FC3">
        <w:t>’</w:t>
      </w:r>
      <w:r w:rsidRPr="00291FC3">
        <w:t xml:space="preserve">approche flexible susmentionnée. </w:t>
      </w:r>
    </w:p>
    <w:p w14:paraId="03E5BA5E" w14:textId="5D1C7ED5" w:rsidR="00BA0149" w:rsidRPr="00291FC3" w:rsidRDefault="00AB0288" w:rsidP="00E00507">
      <w:pPr>
        <w:pStyle w:val="COMPara"/>
        <w:ind w:left="567" w:hanging="567"/>
        <w:jc w:val="both"/>
      </w:pPr>
      <w:r w:rsidRPr="00291FC3">
        <w:t xml:space="preserve">Compte tenu des multiples aspects à traiter dans le cadre de la vérification de </w:t>
      </w:r>
      <w:r w:rsidR="00A41690" w:rsidRPr="00291FC3">
        <w:t xml:space="preserve">complétude </w:t>
      </w:r>
      <w:r w:rsidRPr="00291FC3">
        <w:t>technique, du grand nombre de candidatures bénéficiant de ce processus et de son importance pour la phase d</w:t>
      </w:r>
      <w:r w:rsidR="00015E22" w:rsidRPr="00291FC3">
        <w:t>’</w:t>
      </w:r>
      <w:r w:rsidRPr="00291FC3">
        <w:t>évaluation, il peut être considéré comme souhaitable d</w:t>
      </w:r>
      <w:r w:rsidR="00015E22" w:rsidRPr="00291FC3">
        <w:t>’</w:t>
      </w:r>
      <w:r w:rsidRPr="00291FC3">
        <w:t xml:space="preserve">allouer plus de temps à la réalisation de la vérification de </w:t>
      </w:r>
      <w:r w:rsidR="009E41A7" w:rsidRPr="00291FC3">
        <w:t>complétude</w:t>
      </w:r>
      <w:r w:rsidRPr="00291FC3">
        <w:t xml:space="preserve">. </w:t>
      </w:r>
      <w:r w:rsidR="00F00935" w:rsidRPr="00291FC3">
        <w:t>Eu égard à</w:t>
      </w:r>
      <w:r w:rsidRPr="00291FC3">
        <w:t xml:space="preserve"> ces aspects, il est proposé d</w:t>
      </w:r>
      <w:r w:rsidR="00015E22" w:rsidRPr="00291FC3">
        <w:t>’</w:t>
      </w:r>
      <w:r w:rsidRPr="00291FC3">
        <w:t xml:space="preserve">accorder plus de temps pour la phase de vérification de </w:t>
      </w:r>
      <w:r w:rsidR="009E41A7" w:rsidRPr="00291FC3">
        <w:t xml:space="preserve">complétude </w:t>
      </w:r>
      <w:r w:rsidRPr="00291FC3">
        <w:t>technique, dont la date limite pourrait être repoussée au 31 août de l</w:t>
      </w:r>
      <w:r w:rsidR="00015E22" w:rsidRPr="00291FC3">
        <w:t>’</w:t>
      </w:r>
      <w:r w:rsidRPr="00291FC3">
        <w:t>année 1 (au lieu du 30 juin). De leur côté, les États soumissionnaires auraient trois mois, comme c</w:t>
      </w:r>
      <w:r w:rsidR="00015E22" w:rsidRPr="00291FC3">
        <w:t>’</w:t>
      </w:r>
      <w:r w:rsidRPr="00291FC3">
        <w:t>est le cas actuellement, pour fournir des informations, au plus tard le 30 novembre de l</w:t>
      </w:r>
      <w:r w:rsidR="00015E22" w:rsidRPr="00291FC3">
        <w:t>’</w:t>
      </w:r>
      <w:r w:rsidRPr="00291FC3">
        <w:t>année 1 (au lieu du 30 septembre). D</w:t>
      </w:r>
      <w:r w:rsidR="00015E22" w:rsidRPr="00291FC3">
        <w:t>’</w:t>
      </w:r>
      <w:r w:rsidRPr="00291FC3">
        <w:t xml:space="preserve">un point de vue pratique, les délais seraient ajustés afin de donner une durée égale (trois mois) </w:t>
      </w:r>
      <w:r w:rsidR="00F00935" w:rsidRPr="00291FC3">
        <w:t xml:space="preserve">aux États soumissionnaires </w:t>
      </w:r>
      <w:r w:rsidRPr="00291FC3">
        <w:t>pour compléter leur candidature dans l</w:t>
      </w:r>
      <w:r w:rsidR="00015E22" w:rsidRPr="00291FC3">
        <w:t>’</w:t>
      </w:r>
      <w:r w:rsidRPr="00291FC3">
        <w:t>éventualité où des demandes d</w:t>
      </w:r>
      <w:r w:rsidR="00015E22" w:rsidRPr="00291FC3">
        <w:t>’</w:t>
      </w:r>
      <w:r w:rsidRPr="00291FC3">
        <w:t xml:space="preserve">informations </w:t>
      </w:r>
      <w:r w:rsidR="008D5313" w:rsidRPr="00291FC3">
        <w:t>complémentaires</w:t>
      </w:r>
      <w:r w:rsidR="00F00935" w:rsidRPr="00291FC3">
        <w:t xml:space="preserve"> </w:t>
      </w:r>
      <w:r w:rsidRPr="00291FC3">
        <w:t>seraient émises avant le 31 août.</w:t>
      </w:r>
    </w:p>
    <w:p w14:paraId="3ADC05B0" w14:textId="27E214FE" w:rsidR="009E41A7" w:rsidRPr="00291FC3" w:rsidRDefault="009E41A7" w:rsidP="00291FC3">
      <w:pPr>
        <w:pStyle w:val="COMPara"/>
        <w:ind w:left="567" w:hanging="425"/>
        <w:jc w:val="both"/>
      </w:pPr>
      <w:r w:rsidRPr="00291FC3">
        <w:t xml:space="preserve">La prolongation du délai se justifie également par la nouvelle procédure applicable aux demandes de transfert, pour laquelle des </w:t>
      </w:r>
      <w:r w:rsidR="0094699D" w:rsidRPr="00291FC3">
        <w:t>amendements aux</w:t>
      </w:r>
      <w:r w:rsidRPr="00291FC3">
        <w:t xml:space="preserve"> Directives opérationnelles sont proposées au titre du point 6.c de l</w:t>
      </w:r>
      <w:r w:rsidR="00015E22" w:rsidRPr="00291FC3">
        <w:t>’</w:t>
      </w:r>
      <w:r w:rsidRPr="00291FC3">
        <w:t xml:space="preserve">ordre du jour provisoire de la présente session (document </w:t>
      </w:r>
      <w:hyperlink r:id="rId12" w:history="1">
        <w:r w:rsidRPr="00291FC3">
          <w:rPr>
            <w:rStyle w:val="Hyperlink"/>
          </w:rPr>
          <w:t>LHE/25/20.COM/6.c</w:t>
        </w:r>
      </w:hyperlink>
      <w:r w:rsidRPr="00291FC3">
        <w:t>). Il est entendu que les demandes de transfert reçues avant la date limite du 30 juin feront partie du cycle de</w:t>
      </w:r>
      <w:r w:rsidR="007E3A3C" w:rsidRPr="00291FC3">
        <w:t xml:space="preserve">s candidatures </w:t>
      </w:r>
      <w:r w:rsidRPr="00291FC3">
        <w:t>reçues avant la date limite du 31 mars de la même année. L</w:t>
      </w:r>
      <w:r w:rsidR="007E3A3C" w:rsidRPr="00291FC3">
        <w:t xml:space="preserve">a </w:t>
      </w:r>
      <w:r w:rsidR="00613F7D" w:rsidRPr="00291FC3">
        <w:t>vérification de complétude technique</w:t>
      </w:r>
      <w:r w:rsidR="007E3A3C" w:rsidRPr="00291FC3">
        <w:t xml:space="preserve"> d</w:t>
      </w:r>
      <w:r w:rsidRPr="00291FC3">
        <w:t xml:space="preserve">es demandes de transfert sera </w:t>
      </w:r>
      <w:r w:rsidR="00F315B5" w:rsidRPr="00291FC3">
        <w:t>effectuée</w:t>
      </w:r>
      <w:r w:rsidRPr="00291FC3">
        <w:t xml:space="preserve"> avant la date limite prolongée du 31 août, les États soumissionnaires devant </w:t>
      </w:r>
      <w:r w:rsidR="007E3A3C" w:rsidRPr="00291FC3">
        <w:t>compléter</w:t>
      </w:r>
      <w:r w:rsidRPr="00291FC3">
        <w:t xml:space="preserve"> les demandes avant la date limite prolongée du 30 novembre.</w:t>
      </w:r>
    </w:p>
    <w:p w14:paraId="795FD91F" w14:textId="41DA2CAB" w:rsidR="0053381F" w:rsidRPr="00F315B5" w:rsidRDefault="0094699D" w:rsidP="00BA0149">
      <w:pPr>
        <w:pStyle w:val="COMPara"/>
        <w:ind w:left="567" w:hanging="567"/>
        <w:jc w:val="both"/>
      </w:pPr>
      <w:r w:rsidRPr="00F315B5">
        <w:t>Outre les</w:t>
      </w:r>
      <w:r w:rsidR="0053381F" w:rsidRPr="00F315B5">
        <w:t xml:space="preserve"> révisions décrites ci-dessus, </w:t>
      </w:r>
      <w:r w:rsidRPr="00F315B5">
        <w:t xml:space="preserve">une </w:t>
      </w:r>
      <w:r w:rsidR="0053381F" w:rsidRPr="00F315B5">
        <w:t xml:space="preserve">révision supplémentaires </w:t>
      </w:r>
      <w:r w:rsidRPr="00F315B5">
        <w:t xml:space="preserve">est </w:t>
      </w:r>
      <w:r w:rsidR="0053381F" w:rsidRPr="00F315B5">
        <w:t>proposée pour refléter le fait que l</w:t>
      </w:r>
      <w:r w:rsidR="00015E22" w:rsidRPr="00F315B5">
        <w:t>’</w:t>
      </w:r>
      <w:r w:rsidR="0053381F" w:rsidRPr="00F315B5">
        <w:t>évaluation individuelle des dossiers est entreprise par l</w:t>
      </w:r>
      <w:r w:rsidR="00015E22" w:rsidRPr="00F315B5">
        <w:t>’</w:t>
      </w:r>
      <w:r w:rsidR="0053381F" w:rsidRPr="00F315B5">
        <w:t>Organe d</w:t>
      </w:r>
      <w:r w:rsidR="00015E22" w:rsidRPr="00F315B5">
        <w:t>’</w:t>
      </w:r>
      <w:r w:rsidR="0053381F" w:rsidRPr="00F315B5">
        <w:t xml:space="preserve">évaluation de </w:t>
      </w:r>
      <w:r w:rsidR="00E33366" w:rsidRPr="00F315B5">
        <w:t>décembre</w:t>
      </w:r>
      <w:r w:rsidRPr="00F315B5">
        <w:t xml:space="preserve"> de l</w:t>
      </w:r>
      <w:r w:rsidR="00015E22" w:rsidRPr="00F315B5">
        <w:t>’</w:t>
      </w:r>
      <w:r w:rsidRPr="00F315B5">
        <w:t xml:space="preserve">année 1 </w:t>
      </w:r>
      <w:r w:rsidR="0053381F" w:rsidRPr="00F315B5">
        <w:t>à juin de l</w:t>
      </w:r>
      <w:r w:rsidR="00015E22" w:rsidRPr="00F315B5">
        <w:t>’</w:t>
      </w:r>
      <w:r w:rsidR="0053381F" w:rsidRPr="00F315B5">
        <w:t>année 2.</w:t>
      </w:r>
    </w:p>
    <w:p w14:paraId="13799F0B" w14:textId="69F065D9" w:rsidR="00602DCC" w:rsidRPr="00291FC3" w:rsidRDefault="00A86C6D" w:rsidP="00190037">
      <w:pPr>
        <w:pStyle w:val="COMPara"/>
        <w:keepNext/>
        <w:numPr>
          <w:ilvl w:val="0"/>
          <w:numId w:val="21"/>
        </w:numPr>
        <w:spacing w:before="240"/>
        <w:ind w:left="567" w:hanging="567"/>
        <w:jc w:val="both"/>
      </w:pPr>
      <w:r w:rsidRPr="00291FC3">
        <w:rPr>
          <w:b/>
        </w:rPr>
        <w:t>Promouvoir l</w:t>
      </w:r>
      <w:r w:rsidR="00015E22" w:rsidRPr="00291FC3">
        <w:rPr>
          <w:b/>
        </w:rPr>
        <w:t>’</w:t>
      </w:r>
      <w:r w:rsidRPr="00291FC3">
        <w:rPr>
          <w:b/>
        </w:rPr>
        <w:t xml:space="preserve">accès et accroître la visibilité des bonnes pratiques de sauvegarde </w:t>
      </w:r>
    </w:p>
    <w:p w14:paraId="2B8AFA65" w14:textId="56870C0F" w:rsidR="00D223ED" w:rsidRPr="00291FC3" w:rsidRDefault="00D54850" w:rsidP="00D54850">
      <w:pPr>
        <w:pStyle w:val="COMPara"/>
        <w:ind w:left="567" w:hanging="567"/>
        <w:jc w:val="both"/>
      </w:pPr>
      <w:r w:rsidRPr="00291FC3">
        <w:t>Lors de sa dix-neuvième session, le Comité a pris note de la « sous-utilisation actuelle du Registre de bonnes pratiques de sauvegarde » et a demandé au Secrétariat de « présenter des propositions pour promouvoir l</w:t>
      </w:r>
      <w:r w:rsidR="00015E22" w:rsidRPr="00291FC3">
        <w:t>’</w:t>
      </w:r>
      <w:r w:rsidRPr="00291FC3">
        <w:t xml:space="preserve">accès, y compris des mécanismes pour étendre les sélections dans le Registre de bonnes pratiques de sauvegarde, ainsi que pour </w:t>
      </w:r>
      <w:r w:rsidR="00D223ED" w:rsidRPr="00291FC3">
        <w:t xml:space="preserve">augmenter </w:t>
      </w:r>
      <w:r w:rsidRPr="00291FC3">
        <w:t>la visibilité du Registre, par le biais de stratégies de sensibilisation</w:t>
      </w:r>
      <w:r w:rsidR="00D223ED" w:rsidRPr="00291FC3">
        <w:t xml:space="preserve"> et d</w:t>
      </w:r>
      <w:r w:rsidR="00015E22" w:rsidRPr="00291FC3">
        <w:t>’</w:t>
      </w:r>
      <w:r w:rsidR="00D223ED" w:rsidRPr="00291FC3">
        <w:t>information</w:t>
      </w:r>
      <w:r w:rsidRPr="00291FC3">
        <w:t>, conformément aux réflexions du Groupe de travail à composition non limitée pour une mise en œuvre plus large de l</w:t>
      </w:r>
      <w:r w:rsidR="00015E22" w:rsidRPr="00291FC3">
        <w:t>’</w:t>
      </w:r>
      <w:r w:rsidRPr="00291FC3">
        <w:t>article 18 » (décision </w:t>
      </w:r>
      <w:hyperlink r:id="rId13" w:history="1">
        <w:r w:rsidRPr="00291FC3">
          <w:rPr>
            <w:rStyle w:val="Hyperlink"/>
          </w:rPr>
          <w:t>19.COM 15</w:t>
        </w:r>
      </w:hyperlink>
      <w:r w:rsidRPr="00291FC3">
        <w:t xml:space="preserve">). </w:t>
      </w:r>
    </w:p>
    <w:p w14:paraId="504C5B1B" w14:textId="460F6B1A" w:rsidR="00FE384B" w:rsidRPr="00291FC3" w:rsidRDefault="0058283F" w:rsidP="00122BB1">
      <w:pPr>
        <w:pStyle w:val="COMPara"/>
        <w:keepLines/>
        <w:ind w:left="567" w:hanging="567"/>
        <w:jc w:val="both"/>
      </w:pPr>
      <w:r w:rsidRPr="00291FC3">
        <w:t>En novembre 2025, le Registre de bonnes pratiques de sauvegarde comprend 40 programmes ou projets sélectionnés dans 35 pays, 60 % des programmes, projets et activités provenant uniquement des Groupes électoraux I et II. Entre 2016 et 2024, le Comité a examiné chaque année entre une et quatre propositions. Sur la base des recommandations issues de la réflexion globale sur les mécanismes d</w:t>
      </w:r>
      <w:r w:rsidR="00015E22" w:rsidRPr="00291FC3">
        <w:t>’</w:t>
      </w:r>
      <w:r w:rsidRPr="00291FC3">
        <w:t xml:space="preserve">inscription </w:t>
      </w:r>
      <w:r w:rsidR="00160609" w:rsidRPr="00291FC3">
        <w:t xml:space="preserve">sur les listes </w:t>
      </w:r>
      <w:r w:rsidRPr="00291FC3">
        <w:t>de la Convention et de la réflexion sur une mise en œuvre plus large de l</w:t>
      </w:r>
      <w:r w:rsidR="00015E22" w:rsidRPr="00291FC3">
        <w:t>’</w:t>
      </w:r>
      <w:r w:rsidRPr="00291FC3">
        <w:t>article 18 de la Convention, une série d</w:t>
      </w:r>
      <w:r w:rsidR="00015E22" w:rsidRPr="00291FC3">
        <w:t>’</w:t>
      </w:r>
      <w:r w:rsidRPr="00291FC3">
        <w:t>actions ont été récemment introduites pour promouvoir le Registre de bonnes pratiques de sauvegarde et encourager une compréhension plus large de l</w:t>
      </w:r>
      <w:r w:rsidR="00015E22" w:rsidRPr="00291FC3">
        <w:t>’</w:t>
      </w:r>
      <w:r w:rsidRPr="00291FC3">
        <w:t>identification et du partage de</w:t>
      </w:r>
      <w:r w:rsidR="00160609" w:rsidRPr="00291FC3">
        <w:t>s</w:t>
      </w:r>
      <w:r w:rsidRPr="00291FC3">
        <w:t xml:space="preserve"> expérience</w:t>
      </w:r>
      <w:r w:rsidR="00160609" w:rsidRPr="00291FC3">
        <w:t>s</w:t>
      </w:r>
      <w:r w:rsidRPr="00291FC3">
        <w:t xml:space="preserve"> de sauvegarde au titre de l</w:t>
      </w:r>
      <w:r w:rsidR="00015E22" w:rsidRPr="00291FC3">
        <w:t>’</w:t>
      </w:r>
      <w:r w:rsidRPr="00291FC3">
        <w:t>article 18 de la Convention :</w:t>
      </w:r>
    </w:p>
    <w:p w14:paraId="62BA51D4" w14:textId="33BDA17F" w:rsidR="00A86C6D" w:rsidRPr="00291FC3" w:rsidRDefault="00A86C6D" w:rsidP="00690D4E">
      <w:pPr>
        <w:pStyle w:val="ListParagraph"/>
        <w:numPr>
          <w:ilvl w:val="1"/>
          <w:numId w:val="9"/>
        </w:numPr>
        <w:spacing w:after="120"/>
        <w:ind w:left="1134" w:hanging="567"/>
        <w:contextualSpacing w:val="0"/>
        <w:jc w:val="both"/>
        <w:rPr>
          <w:rFonts w:ascii="Arial" w:hAnsi="Arial" w:cs="Arial"/>
          <w:snapToGrid w:val="0"/>
          <w:sz w:val="22"/>
          <w:szCs w:val="22"/>
        </w:rPr>
      </w:pPr>
      <w:r w:rsidRPr="00291FC3">
        <w:rPr>
          <w:rFonts w:ascii="Arial" w:hAnsi="Arial"/>
          <w:b/>
          <w:snapToGrid w:val="0"/>
          <w:sz w:val="22"/>
        </w:rPr>
        <w:t>Simplification des critères de sélection pour le Registre de bonnes pratiques de sauvegarde</w:t>
      </w:r>
      <w:r w:rsidRPr="00291FC3">
        <w:rPr>
          <w:rFonts w:ascii="Arial" w:hAnsi="Arial"/>
          <w:snapToGrid w:val="0"/>
          <w:sz w:val="22"/>
        </w:rPr>
        <w:t>. Lors de sa dixième session en 2024, l</w:t>
      </w:r>
      <w:r w:rsidR="00015E22" w:rsidRPr="00291FC3">
        <w:rPr>
          <w:rFonts w:ascii="Arial" w:hAnsi="Arial"/>
          <w:snapToGrid w:val="0"/>
          <w:sz w:val="22"/>
        </w:rPr>
        <w:t>’</w:t>
      </w:r>
      <w:r w:rsidRPr="00291FC3">
        <w:rPr>
          <w:rFonts w:ascii="Arial" w:hAnsi="Arial"/>
          <w:snapToGrid w:val="0"/>
          <w:sz w:val="22"/>
        </w:rPr>
        <w:t>Assemblée générale a adopté un nouvel ensemble de quatre critères simplifiés (G.1 à G.4), au lieu de huit critères précédemment, qui doivent tous être remplis pour la sélection sur le Registre (résolution </w:t>
      </w:r>
      <w:hyperlink r:id="rId14" w:history="1">
        <w:r w:rsidRPr="00291FC3">
          <w:rPr>
            <w:rStyle w:val="Hyperlink"/>
            <w:rFonts w:ascii="Arial" w:hAnsi="Arial"/>
            <w:snapToGrid w:val="0"/>
            <w:sz w:val="22"/>
          </w:rPr>
          <w:t>10.GA 7</w:t>
        </w:r>
      </w:hyperlink>
      <w:r w:rsidRPr="00291FC3">
        <w:rPr>
          <w:rFonts w:ascii="Arial" w:hAnsi="Arial"/>
          <w:snapToGrid w:val="0"/>
          <w:sz w:val="22"/>
        </w:rPr>
        <w:t>). Sur cette base, le formulaire ICH-03 a été simplifié pour s</w:t>
      </w:r>
      <w:r w:rsidR="00015E22" w:rsidRPr="00291FC3">
        <w:rPr>
          <w:rFonts w:ascii="Arial" w:hAnsi="Arial"/>
          <w:snapToGrid w:val="0"/>
          <w:sz w:val="22"/>
        </w:rPr>
        <w:t>’</w:t>
      </w:r>
      <w:r w:rsidRPr="00291FC3">
        <w:rPr>
          <w:rFonts w:ascii="Arial" w:hAnsi="Arial"/>
          <w:snapToGrid w:val="0"/>
          <w:sz w:val="22"/>
        </w:rPr>
        <w:t>aligner sur les nouveaux critères de sélection et a été mis à disposition pour la première fois en 2025 pour être utilisé à partir du cycle 2026. Ces révisions visent à faciliter l</w:t>
      </w:r>
      <w:r w:rsidR="00015E22" w:rsidRPr="00291FC3">
        <w:rPr>
          <w:rFonts w:ascii="Arial" w:hAnsi="Arial"/>
          <w:snapToGrid w:val="0"/>
          <w:sz w:val="22"/>
        </w:rPr>
        <w:t>’</w:t>
      </w:r>
      <w:r w:rsidRPr="00291FC3">
        <w:rPr>
          <w:rFonts w:ascii="Arial" w:hAnsi="Arial"/>
          <w:snapToGrid w:val="0"/>
          <w:sz w:val="22"/>
        </w:rPr>
        <w:t>accès au Registre en encourageant la soumission de nouvelles propositions.</w:t>
      </w:r>
    </w:p>
    <w:p w14:paraId="719352CD" w14:textId="7060D333" w:rsidR="008174F4" w:rsidRPr="00291FC3" w:rsidRDefault="0094385C" w:rsidP="008E5A8C">
      <w:pPr>
        <w:pStyle w:val="ListParagraph"/>
        <w:numPr>
          <w:ilvl w:val="1"/>
          <w:numId w:val="9"/>
        </w:numPr>
        <w:spacing w:after="120"/>
        <w:ind w:left="1134" w:hanging="567"/>
        <w:contextualSpacing w:val="0"/>
        <w:jc w:val="both"/>
        <w:rPr>
          <w:rFonts w:ascii="Arial" w:hAnsi="Arial" w:cs="Arial"/>
          <w:snapToGrid w:val="0"/>
          <w:sz w:val="22"/>
          <w:szCs w:val="22"/>
        </w:rPr>
      </w:pPr>
      <w:r w:rsidRPr="00291FC3">
        <w:rPr>
          <w:rFonts w:ascii="Arial" w:hAnsi="Arial"/>
          <w:b/>
          <w:snapToGrid w:val="0"/>
          <w:sz w:val="22"/>
        </w:rPr>
        <w:t>Inclusion d</w:t>
      </w:r>
      <w:r w:rsidR="00015E22" w:rsidRPr="00291FC3">
        <w:rPr>
          <w:rFonts w:ascii="Arial" w:hAnsi="Arial"/>
          <w:b/>
          <w:snapToGrid w:val="0"/>
          <w:sz w:val="22"/>
        </w:rPr>
        <w:t>’</w:t>
      </w:r>
      <w:r w:rsidRPr="00291FC3">
        <w:rPr>
          <w:rFonts w:ascii="Arial" w:hAnsi="Arial"/>
          <w:b/>
          <w:snapToGrid w:val="0"/>
          <w:sz w:val="22"/>
        </w:rPr>
        <w:t>expériences de sauvegarde réussies dans le Registre dans le cadre de transferts d</w:t>
      </w:r>
      <w:r w:rsidR="00015E22" w:rsidRPr="00291FC3">
        <w:rPr>
          <w:rFonts w:ascii="Arial" w:hAnsi="Arial"/>
          <w:b/>
          <w:snapToGrid w:val="0"/>
          <w:sz w:val="22"/>
        </w:rPr>
        <w:t>’</w:t>
      </w:r>
      <w:r w:rsidRPr="00291FC3">
        <w:rPr>
          <w:rFonts w:ascii="Arial" w:hAnsi="Arial"/>
          <w:b/>
          <w:snapToGrid w:val="0"/>
          <w:sz w:val="22"/>
        </w:rPr>
        <w:t>éléments de la Liste de sauvegarde urgente vers la Liste représentative</w:t>
      </w:r>
      <w:r w:rsidRPr="00291FC3">
        <w:rPr>
          <w:rFonts w:ascii="Arial" w:hAnsi="Arial"/>
          <w:snapToGrid w:val="0"/>
          <w:sz w:val="22"/>
        </w:rPr>
        <w:t>. Dans le cadre de la réflexion globale sur les mécanismes d</w:t>
      </w:r>
      <w:r w:rsidR="00015E22" w:rsidRPr="00291FC3">
        <w:rPr>
          <w:rFonts w:ascii="Arial" w:hAnsi="Arial"/>
          <w:snapToGrid w:val="0"/>
          <w:sz w:val="22"/>
        </w:rPr>
        <w:t>’</w:t>
      </w:r>
      <w:r w:rsidRPr="00291FC3">
        <w:rPr>
          <w:rFonts w:ascii="Arial" w:hAnsi="Arial"/>
          <w:snapToGrid w:val="0"/>
          <w:sz w:val="22"/>
        </w:rPr>
        <w:t>inscription</w:t>
      </w:r>
      <w:r w:rsidR="00160609" w:rsidRPr="00291FC3">
        <w:rPr>
          <w:rFonts w:ascii="Arial" w:hAnsi="Arial"/>
          <w:snapToGrid w:val="0"/>
          <w:sz w:val="22"/>
        </w:rPr>
        <w:t xml:space="preserve"> sur les listes</w:t>
      </w:r>
      <w:r w:rsidRPr="00291FC3">
        <w:rPr>
          <w:rFonts w:ascii="Arial" w:hAnsi="Arial"/>
          <w:snapToGrid w:val="0"/>
          <w:sz w:val="22"/>
        </w:rPr>
        <w:t xml:space="preserve"> de la Convention, l</w:t>
      </w:r>
      <w:r w:rsidR="00015E22" w:rsidRPr="00291FC3">
        <w:rPr>
          <w:rFonts w:ascii="Arial" w:hAnsi="Arial"/>
          <w:snapToGrid w:val="0"/>
          <w:sz w:val="22"/>
        </w:rPr>
        <w:t>’</w:t>
      </w:r>
      <w:r w:rsidRPr="00291FC3">
        <w:rPr>
          <w:rFonts w:ascii="Arial" w:hAnsi="Arial"/>
          <w:snapToGrid w:val="0"/>
          <w:sz w:val="22"/>
        </w:rPr>
        <w:t>Assemblée générale a approuvé, lors de sa neuvième session en 2022, une série d</w:t>
      </w:r>
      <w:r w:rsidR="00015E22" w:rsidRPr="00291FC3">
        <w:rPr>
          <w:rFonts w:ascii="Arial" w:hAnsi="Arial"/>
          <w:snapToGrid w:val="0"/>
          <w:sz w:val="22"/>
        </w:rPr>
        <w:t>’</w:t>
      </w:r>
      <w:r w:rsidRPr="00291FC3">
        <w:rPr>
          <w:rFonts w:ascii="Arial" w:hAnsi="Arial"/>
          <w:snapToGrid w:val="0"/>
          <w:sz w:val="22"/>
        </w:rPr>
        <w:t>amendements aux Directives opérationnelles visant à renforcer l</w:t>
      </w:r>
      <w:r w:rsidR="00015E22" w:rsidRPr="00291FC3">
        <w:rPr>
          <w:rFonts w:ascii="Arial" w:hAnsi="Arial"/>
          <w:snapToGrid w:val="0"/>
          <w:sz w:val="22"/>
        </w:rPr>
        <w:t>’</w:t>
      </w:r>
      <w:r w:rsidRPr="00291FC3">
        <w:rPr>
          <w:rFonts w:ascii="Arial" w:hAnsi="Arial"/>
          <w:snapToGrid w:val="0"/>
          <w:sz w:val="22"/>
        </w:rPr>
        <w:t>interconnexion des mécanismes de coopération internationale de la Convention (résolution </w:t>
      </w:r>
      <w:hyperlink r:id="rId15" w:history="1">
        <w:r w:rsidRPr="00291FC3">
          <w:rPr>
            <w:rStyle w:val="Hyperlink"/>
            <w:rFonts w:ascii="Arial" w:hAnsi="Arial"/>
            <w:snapToGrid w:val="0"/>
            <w:sz w:val="22"/>
          </w:rPr>
          <w:t>9.GA 9</w:t>
        </w:r>
      </w:hyperlink>
      <w:r w:rsidRPr="00291FC3">
        <w:rPr>
          <w:rFonts w:ascii="Arial" w:hAnsi="Arial"/>
          <w:snapToGrid w:val="0"/>
          <w:sz w:val="22"/>
        </w:rPr>
        <w:t>) : il s</w:t>
      </w:r>
      <w:r w:rsidR="00015E22" w:rsidRPr="00291FC3">
        <w:rPr>
          <w:rFonts w:ascii="Arial" w:hAnsi="Arial"/>
          <w:snapToGrid w:val="0"/>
          <w:sz w:val="22"/>
        </w:rPr>
        <w:t>’</w:t>
      </w:r>
      <w:r w:rsidRPr="00291FC3">
        <w:rPr>
          <w:rFonts w:ascii="Arial" w:hAnsi="Arial"/>
          <w:snapToGrid w:val="0"/>
          <w:sz w:val="22"/>
        </w:rPr>
        <w:t>agissait notamment de créer la possibilité pour l</w:t>
      </w:r>
      <w:r w:rsidR="00015E22" w:rsidRPr="00291FC3">
        <w:rPr>
          <w:rFonts w:ascii="Arial" w:hAnsi="Arial"/>
          <w:snapToGrid w:val="0"/>
          <w:sz w:val="22"/>
        </w:rPr>
        <w:t>’</w:t>
      </w:r>
      <w:r w:rsidRPr="00291FC3">
        <w:rPr>
          <w:rFonts w:ascii="Arial" w:hAnsi="Arial"/>
          <w:snapToGrid w:val="0"/>
          <w:sz w:val="22"/>
        </w:rPr>
        <w:t>Organe d</w:t>
      </w:r>
      <w:r w:rsidR="00015E22" w:rsidRPr="00291FC3">
        <w:rPr>
          <w:rFonts w:ascii="Arial" w:hAnsi="Arial"/>
          <w:snapToGrid w:val="0"/>
          <w:sz w:val="22"/>
        </w:rPr>
        <w:t>’</w:t>
      </w:r>
      <w:r w:rsidRPr="00291FC3">
        <w:rPr>
          <w:rFonts w:ascii="Arial" w:hAnsi="Arial"/>
          <w:snapToGrid w:val="0"/>
          <w:sz w:val="22"/>
        </w:rPr>
        <w:t>évaluation de recommander l</w:t>
      </w:r>
      <w:r w:rsidR="00015E22" w:rsidRPr="00291FC3">
        <w:rPr>
          <w:rFonts w:ascii="Arial" w:hAnsi="Arial"/>
          <w:snapToGrid w:val="0"/>
          <w:sz w:val="22"/>
        </w:rPr>
        <w:t>’</w:t>
      </w:r>
      <w:r w:rsidRPr="00291FC3">
        <w:rPr>
          <w:rFonts w:ascii="Arial" w:hAnsi="Arial"/>
          <w:snapToGrid w:val="0"/>
          <w:sz w:val="22"/>
        </w:rPr>
        <w:t>inclusion d</w:t>
      </w:r>
      <w:r w:rsidR="00015E22" w:rsidRPr="00291FC3">
        <w:rPr>
          <w:rFonts w:ascii="Arial" w:hAnsi="Arial"/>
          <w:snapToGrid w:val="0"/>
          <w:sz w:val="22"/>
        </w:rPr>
        <w:t>’</w:t>
      </w:r>
      <w:r w:rsidRPr="00291FC3">
        <w:rPr>
          <w:rFonts w:ascii="Arial" w:hAnsi="Arial"/>
          <w:snapToGrid w:val="0"/>
          <w:sz w:val="22"/>
        </w:rPr>
        <w:t>expériences de sauvegarde réussies dans le Registre dans le cadre de transferts d</w:t>
      </w:r>
      <w:r w:rsidR="00015E22" w:rsidRPr="00291FC3">
        <w:rPr>
          <w:rFonts w:ascii="Arial" w:hAnsi="Arial"/>
          <w:snapToGrid w:val="0"/>
          <w:sz w:val="22"/>
        </w:rPr>
        <w:t>’</w:t>
      </w:r>
      <w:r w:rsidRPr="00291FC3">
        <w:rPr>
          <w:rFonts w:ascii="Arial" w:hAnsi="Arial"/>
          <w:snapToGrid w:val="0"/>
          <w:sz w:val="22"/>
        </w:rPr>
        <w:t>éléments de la Liste de sauvegarde urgente vers la Liste représentative. Lors de la présente session, au point 7.c, le Comité examinera pour la première fois les recommandations de l</w:t>
      </w:r>
      <w:r w:rsidR="00015E22" w:rsidRPr="00291FC3">
        <w:rPr>
          <w:rFonts w:ascii="Arial" w:hAnsi="Arial"/>
          <w:snapToGrid w:val="0"/>
          <w:sz w:val="22"/>
        </w:rPr>
        <w:t>’</w:t>
      </w:r>
      <w:r w:rsidRPr="00291FC3">
        <w:rPr>
          <w:rFonts w:ascii="Arial" w:hAnsi="Arial"/>
          <w:snapToGrid w:val="0"/>
          <w:sz w:val="22"/>
        </w:rPr>
        <w:t>Organe d</w:t>
      </w:r>
      <w:r w:rsidR="00015E22" w:rsidRPr="00291FC3">
        <w:rPr>
          <w:rFonts w:ascii="Arial" w:hAnsi="Arial"/>
          <w:snapToGrid w:val="0"/>
          <w:sz w:val="22"/>
        </w:rPr>
        <w:t>’</w:t>
      </w:r>
      <w:r w:rsidRPr="00291FC3">
        <w:rPr>
          <w:rFonts w:ascii="Arial" w:hAnsi="Arial"/>
          <w:snapToGrid w:val="0"/>
          <w:sz w:val="22"/>
        </w:rPr>
        <w:t>évaluation concernant l</w:t>
      </w:r>
      <w:r w:rsidR="00015E22" w:rsidRPr="00291FC3">
        <w:rPr>
          <w:rFonts w:ascii="Arial" w:hAnsi="Arial"/>
          <w:snapToGrid w:val="0"/>
          <w:sz w:val="22"/>
        </w:rPr>
        <w:t>’</w:t>
      </w:r>
      <w:r w:rsidRPr="00291FC3">
        <w:rPr>
          <w:rFonts w:ascii="Arial" w:hAnsi="Arial"/>
          <w:snapToGrid w:val="0"/>
          <w:sz w:val="22"/>
        </w:rPr>
        <w:t xml:space="preserve">inclusion de deux expériences de sauvegarde dans le Registre. </w:t>
      </w:r>
    </w:p>
    <w:p w14:paraId="14414D7C" w14:textId="57621147" w:rsidR="00690D4E" w:rsidRPr="00291FC3" w:rsidRDefault="00147A3A" w:rsidP="008174F4">
      <w:pPr>
        <w:pStyle w:val="ListParagraph"/>
        <w:spacing w:after="120"/>
        <w:ind w:left="1134"/>
        <w:contextualSpacing w:val="0"/>
        <w:jc w:val="both"/>
        <w:rPr>
          <w:rFonts w:ascii="Arial" w:hAnsi="Arial" w:cs="Arial"/>
          <w:snapToGrid w:val="0"/>
          <w:sz w:val="22"/>
          <w:szCs w:val="22"/>
        </w:rPr>
      </w:pPr>
      <w:r w:rsidRPr="00291FC3">
        <w:rPr>
          <w:rFonts w:ascii="Arial" w:hAnsi="Arial"/>
          <w:snapToGrid w:val="0"/>
          <w:sz w:val="22"/>
        </w:rPr>
        <w:t>En outre, sur recommandation de l</w:t>
      </w:r>
      <w:r w:rsidR="00015E22" w:rsidRPr="00291FC3">
        <w:rPr>
          <w:rFonts w:ascii="Arial" w:hAnsi="Arial"/>
          <w:snapToGrid w:val="0"/>
          <w:sz w:val="22"/>
        </w:rPr>
        <w:t>’</w:t>
      </w:r>
      <w:r w:rsidRPr="00291FC3">
        <w:rPr>
          <w:rFonts w:ascii="Arial" w:hAnsi="Arial"/>
          <w:snapToGrid w:val="0"/>
          <w:sz w:val="22"/>
        </w:rPr>
        <w:t>Organe d</w:t>
      </w:r>
      <w:r w:rsidR="00015E22" w:rsidRPr="00291FC3">
        <w:rPr>
          <w:rFonts w:ascii="Arial" w:hAnsi="Arial"/>
          <w:snapToGrid w:val="0"/>
          <w:sz w:val="22"/>
        </w:rPr>
        <w:t>’</w:t>
      </w:r>
      <w:r w:rsidRPr="00291FC3">
        <w:rPr>
          <w:rFonts w:ascii="Arial" w:hAnsi="Arial"/>
          <w:snapToGrid w:val="0"/>
          <w:sz w:val="22"/>
        </w:rPr>
        <w:t>évaluation 2024 (document </w:t>
      </w:r>
      <w:hyperlink r:id="rId16" w:history="1">
        <w:r w:rsidRPr="00291FC3">
          <w:rPr>
            <w:rStyle w:val="Hyperlink"/>
            <w:rFonts w:ascii="Arial" w:hAnsi="Arial"/>
            <w:snapToGrid w:val="0"/>
            <w:sz w:val="22"/>
          </w:rPr>
          <w:t>LHE/24/19.COM/7</w:t>
        </w:r>
      </w:hyperlink>
      <w:r w:rsidRPr="00291FC3">
        <w:rPr>
          <w:rFonts w:ascii="Arial" w:hAnsi="Arial"/>
          <w:snapToGrid w:val="0"/>
          <w:sz w:val="22"/>
        </w:rPr>
        <w:t>), le formulaire ICH-02 LSU à LR à utiliser pour les demandes de transfert d</w:t>
      </w:r>
      <w:r w:rsidR="00015E22" w:rsidRPr="00291FC3">
        <w:rPr>
          <w:rFonts w:ascii="Arial" w:hAnsi="Arial"/>
          <w:snapToGrid w:val="0"/>
          <w:sz w:val="22"/>
        </w:rPr>
        <w:t>’</w:t>
      </w:r>
      <w:r w:rsidRPr="00291FC3">
        <w:rPr>
          <w:rFonts w:ascii="Arial" w:hAnsi="Arial"/>
          <w:snapToGrid w:val="0"/>
          <w:sz w:val="22"/>
        </w:rPr>
        <w:t>éléments de la Liste de sauvegarde urgente à la Liste représentative a été à nouveau révisé pour refléter les nouveaux critères de sélection G.1 à G.4 et faciliter l</w:t>
      </w:r>
      <w:r w:rsidR="00015E22" w:rsidRPr="00291FC3">
        <w:rPr>
          <w:rFonts w:ascii="Arial" w:hAnsi="Arial"/>
          <w:snapToGrid w:val="0"/>
          <w:sz w:val="22"/>
        </w:rPr>
        <w:t>’</w:t>
      </w:r>
      <w:r w:rsidRPr="00291FC3">
        <w:rPr>
          <w:rFonts w:ascii="Arial" w:hAnsi="Arial"/>
          <w:snapToGrid w:val="0"/>
          <w:sz w:val="22"/>
        </w:rPr>
        <w:t>évaluation de l</w:t>
      </w:r>
      <w:r w:rsidR="00015E22" w:rsidRPr="00291FC3">
        <w:rPr>
          <w:rFonts w:ascii="Arial" w:hAnsi="Arial"/>
          <w:snapToGrid w:val="0"/>
          <w:sz w:val="22"/>
        </w:rPr>
        <w:t>’</w:t>
      </w:r>
      <w:r w:rsidRPr="00291FC3">
        <w:rPr>
          <w:rFonts w:ascii="Arial" w:hAnsi="Arial"/>
          <w:snapToGrid w:val="0"/>
          <w:sz w:val="22"/>
        </w:rPr>
        <w:t>expérience de sauvegarde et son éventuelle inclusion dans le Registre. Ce nouveau formulaire révisé est utilisé à partir du cycle 2026.</w:t>
      </w:r>
    </w:p>
    <w:p w14:paraId="74C34C90" w14:textId="05DD939B" w:rsidR="00FE384B" w:rsidRPr="00291FC3" w:rsidRDefault="00023A06" w:rsidP="00601276">
      <w:pPr>
        <w:pStyle w:val="ListParagraph"/>
        <w:numPr>
          <w:ilvl w:val="1"/>
          <w:numId w:val="9"/>
        </w:numPr>
        <w:spacing w:after="120"/>
        <w:ind w:left="1134" w:hanging="567"/>
        <w:contextualSpacing w:val="0"/>
        <w:jc w:val="both"/>
        <w:rPr>
          <w:rFonts w:ascii="Arial" w:hAnsi="Arial" w:cs="Arial"/>
          <w:snapToGrid w:val="0"/>
          <w:sz w:val="22"/>
          <w:szCs w:val="22"/>
        </w:rPr>
      </w:pPr>
      <w:r w:rsidRPr="00291FC3">
        <w:rPr>
          <w:rFonts w:ascii="Arial" w:hAnsi="Arial"/>
          <w:b/>
          <w:snapToGrid w:val="0"/>
          <w:sz w:val="22"/>
        </w:rPr>
        <w:t>Renforcement des capacités pour la préparation des propositions au Registre</w:t>
      </w:r>
      <w:r w:rsidRPr="00291FC3">
        <w:rPr>
          <w:rFonts w:ascii="Arial" w:hAnsi="Arial"/>
          <w:snapToGrid w:val="0"/>
          <w:sz w:val="22"/>
        </w:rPr>
        <w:t>. Dans le cadre de la réorientation en cours du programme global de renforcement des capacités et du développement associé de cours en ligne, le matériel de renforcement des capacités axé sur la préparation des dossiers pour les mécanismes d</w:t>
      </w:r>
      <w:r w:rsidR="00015E22" w:rsidRPr="00291FC3">
        <w:rPr>
          <w:rFonts w:ascii="Arial" w:hAnsi="Arial"/>
          <w:snapToGrid w:val="0"/>
          <w:sz w:val="22"/>
        </w:rPr>
        <w:t>’</w:t>
      </w:r>
      <w:r w:rsidRPr="00291FC3">
        <w:rPr>
          <w:rFonts w:ascii="Arial" w:hAnsi="Arial"/>
          <w:snapToGrid w:val="0"/>
          <w:sz w:val="22"/>
        </w:rPr>
        <w:t>inscription est élargi pour intégrer plus largement le Registre et ses nouveaux critères de sélection. Les efforts de renforcement des capacités devraient contribuer à mieux faire connaître le Registre, même si l</w:t>
      </w:r>
      <w:r w:rsidR="00015E22" w:rsidRPr="00291FC3">
        <w:rPr>
          <w:rFonts w:ascii="Arial" w:hAnsi="Arial"/>
          <w:snapToGrid w:val="0"/>
          <w:sz w:val="22"/>
        </w:rPr>
        <w:t>’</w:t>
      </w:r>
      <w:r w:rsidRPr="00291FC3">
        <w:rPr>
          <w:rFonts w:ascii="Arial" w:hAnsi="Arial"/>
          <w:snapToGrid w:val="0"/>
          <w:sz w:val="22"/>
        </w:rPr>
        <w:t xml:space="preserve">impact </w:t>
      </w:r>
      <w:r w:rsidR="00B174B4" w:rsidRPr="00291FC3">
        <w:rPr>
          <w:rFonts w:ascii="Arial" w:hAnsi="Arial"/>
          <w:snapToGrid w:val="0"/>
          <w:sz w:val="22"/>
        </w:rPr>
        <w:t xml:space="preserve">pourrait ne </w:t>
      </w:r>
      <w:r w:rsidRPr="00291FC3">
        <w:rPr>
          <w:rFonts w:ascii="Arial" w:hAnsi="Arial"/>
          <w:snapToGrid w:val="0"/>
          <w:sz w:val="22"/>
        </w:rPr>
        <w:t>pas</w:t>
      </w:r>
      <w:r w:rsidR="00B174B4" w:rsidRPr="00291FC3">
        <w:rPr>
          <w:rFonts w:ascii="Arial" w:hAnsi="Arial"/>
          <w:snapToGrid w:val="0"/>
          <w:sz w:val="22"/>
        </w:rPr>
        <w:t xml:space="preserve"> être</w:t>
      </w:r>
      <w:r w:rsidRPr="00291FC3">
        <w:rPr>
          <w:rFonts w:ascii="Arial" w:hAnsi="Arial"/>
          <w:snapToGrid w:val="0"/>
          <w:sz w:val="22"/>
        </w:rPr>
        <w:t xml:space="preserve"> immédiat. En outre, il convient de rappeler que l</w:t>
      </w:r>
      <w:r w:rsidR="00015E22" w:rsidRPr="00291FC3">
        <w:rPr>
          <w:rFonts w:ascii="Arial" w:hAnsi="Arial"/>
          <w:snapToGrid w:val="0"/>
          <w:sz w:val="22"/>
        </w:rPr>
        <w:t>’</w:t>
      </w:r>
      <w:r w:rsidRPr="00291FC3">
        <w:rPr>
          <w:rFonts w:ascii="Arial" w:hAnsi="Arial"/>
          <w:snapToGrid w:val="0"/>
          <w:sz w:val="22"/>
        </w:rPr>
        <w:t>article 21(c) des Directives opérationnelles offre déjà la possibilité aux États parties de demander une assistance préparatoire au Fonds du patrimoine culturel immatériel pour la préparation de propositions au Registre des bonnes pratiques de sauvegarde. Seules trois demandes de ce type ont été soumises depuis 2015 et deux d</w:t>
      </w:r>
      <w:r w:rsidR="00015E22" w:rsidRPr="00291FC3">
        <w:rPr>
          <w:rFonts w:ascii="Arial" w:hAnsi="Arial"/>
          <w:snapToGrid w:val="0"/>
          <w:sz w:val="22"/>
        </w:rPr>
        <w:t>’</w:t>
      </w:r>
      <w:r w:rsidRPr="00291FC3">
        <w:rPr>
          <w:rFonts w:ascii="Arial" w:hAnsi="Arial"/>
          <w:snapToGrid w:val="0"/>
          <w:sz w:val="22"/>
        </w:rPr>
        <w:t xml:space="preserve">entre elles ont été acceptées par le Bureau du Comité. </w:t>
      </w:r>
    </w:p>
    <w:p w14:paraId="5E22E61A" w14:textId="7A91F023" w:rsidR="00FE384B" w:rsidRPr="00291FC3" w:rsidRDefault="00FE384B" w:rsidP="00601276">
      <w:pPr>
        <w:pStyle w:val="ListParagraph"/>
        <w:numPr>
          <w:ilvl w:val="1"/>
          <w:numId w:val="9"/>
        </w:numPr>
        <w:spacing w:after="120"/>
        <w:ind w:left="1134" w:hanging="567"/>
        <w:contextualSpacing w:val="0"/>
        <w:jc w:val="both"/>
        <w:rPr>
          <w:rFonts w:ascii="Arial" w:hAnsi="Arial" w:cs="Arial"/>
          <w:b/>
          <w:bCs/>
          <w:snapToGrid w:val="0"/>
          <w:sz w:val="22"/>
          <w:szCs w:val="22"/>
        </w:rPr>
      </w:pPr>
      <w:r w:rsidRPr="00291FC3">
        <w:rPr>
          <w:rFonts w:ascii="Arial" w:hAnsi="Arial"/>
          <w:b/>
          <w:snapToGrid w:val="0"/>
          <w:sz w:val="22"/>
        </w:rPr>
        <w:t>Établissement d</w:t>
      </w:r>
      <w:r w:rsidR="00015E22" w:rsidRPr="00291FC3">
        <w:rPr>
          <w:rFonts w:ascii="Arial" w:hAnsi="Arial"/>
          <w:b/>
          <w:snapToGrid w:val="0"/>
          <w:sz w:val="22"/>
        </w:rPr>
        <w:t>’</w:t>
      </w:r>
      <w:r w:rsidRPr="00291FC3">
        <w:rPr>
          <w:rFonts w:ascii="Arial" w:hAnsi="Arial"/>
          <w:b/>
          <w:snapToGrid w:val="0"/>
          <w:sz w:val="22"/>
        </w:rPr>
        <w:t>une plateforme en ligne pour le partage des bonnes expériences de sauvegarde</w:t>
      </w:r>
      <w:r w:rsidRPr="00291FC3">
        <w:rPr>
          <w:rFonts w:ascii="Arial" w:hAnsi="Arial"/>
          <w:snapToGrid w:val="0"/>
          <w:sz w:val="22"/>
        </w:rPr>
        <w:t>. Comme décrit dans le document </w:t>
      </w:r>
      <w:hyperlink r:id="rId17" w:history="1">
        <w:r w:rsidRPr="00291FC3">
          <w:rPr>
            <w:rStyle w:val="Hyperlink"/>
            <w:rFonts w:ascii="Arial" w:hAnsi="Arial"/>
            <w:snapToGrid w:val="0"/>
            <w:sz w:val="22"/>
          </w:rPr>
          <w:t>LHE/25/20.COM/11</w:t>
        </w:r>
      </w:hyperlink>
      <w:r w:rsidRPr="00291FC3">
        <w:rPr>
          <w:rFonts w:ascii="Arial" w:hAnsi="Arial"/>
          <w:snapToGrid w:val="0"/>
          <w:sz w:val="22"/>
        </w:rPr>
        <w:t>, la réflexion sur une mise en œuvre plus large de l</w:t>
      </w:r>
      <w:r w:rsidR="00015E22" w:rsidRPr="00291FC3">
        <w:rPr>
          <w:rFonts w:ascii="Arial" w:hAnsi="Arial"/>
          <w:snapToGrid w:val="0"/>
          <w:sz w:val="22"/>
        </w:rPr>
        <w:t>’</w:t>
      </w:r>
      <w:r w:rsidRPr="00291FC3">
        <w:rPr>
          <w:rFonts w:ascii="Arial" w:hAnsi="Arial"/>
          <w:snapToGrid w:val="0"/>
          <w:sz w:val="22"/>
        </w:rPr>
        <w:t>article 18 de la Convention a permis de poursuivre le développement d</w:t>
      </w:r>
      <w:r w:rsidR="00015E22" w:rsidRPr="00291FC3">
        <w:rPr>
          <w:rFonts w:ascii="Arial" w:hAnsi="Arial"/>
          <w:snapToGrid w:val="0"/>
          <w:sz w:val="22"/>
        </w:rPr>
        <w:t>’</w:t>
      </w:r>
      <w:r w:rsidRPr="00291FC3">
        <w:rPr>
          <w:rFonts w:ascii="Arial" w:hAnsi="Arial"/>
          <w:snapToGrid w:val="0"/>
          <w:sz w:val="22"/>
        </w:rPr>
        <w:t>une plateforme en ligne pour le partage des bonnes expériences de sauvegarde. Bien que la plateforme en soit actuellement à son stade préliminaire, elle a le potentiel de compléter le Registre grâce à un vaste ensemble d</w:t>
      </w:r>
      <w:r w:rsidR="00015E22" w:rsidRPr="00291FC3">
        <w:rPr>
          <w:rFonts w:ascii="Arial" w:hAnsi="Arial"/>
          <w:snapToGrid w:val="0"/>
          <w:sz w:val="22"/>
        </w:rPr>
        <w:t>’</w:t>
      </w:r>
      <w:r w:rsidRPr="00291FC3">
        <w:rPr>
          <w:rFonts w:ascii="Arial" w:hAnsi="Arial"/>
          <w:snapToGrid w:val="0"/>
          <w:sz w:val="22"/>
        </w:rPr>
        <w:t>expériences de sauvegarde.</w:t>
      </w:r>
    </w:p>
    <w:p w14:paraId="2238AA25" w14:textId="76B3E10D" w:rsidR="00D54850" w:rsidRPr="00291FC3" w:rsidRDefault="00AC6ED9" w:rsidP="00C559E7">
      <w:pPr>
        <w:pStyle w:val="COMPara"/>
        <w:keepLines/>
        <w:ind w:left="567" w:hanging="567"/>
        <w:jc w:val="both"/>
      </w:pPr>
      <w:r w:rsidRPr="00291FC3">
        <w:t>Si des mesures supplémentaires pourraient être envisagées pour aller encore plus loin dans la promotion du Registre des bonnes pratiques de sauvegarde, ces réformes devraient être mûrement réfléchies car elles auraient un impact sur d</w:t>
      </w:r>
      <w:r w:rsidR="00015E22" w:rsidRPr="00291FC3">
        <w:t>’</w:t>
      </w:r>
      <w:r w:rsidRPr="00291FC3">
        <w:t>autres types de dossiers. Par exemple, la possibilité d</w:t>
      </w:r>
      <w:r w:rsidR="00015E22" w:rsidRPr="00291FC3">
        <w:t>’</w:t>
      </w:r>
      <w:r w:rsidRPr="00291FC3">
        <w:t>inclure des propositions au Registre des bonnes pratiques de sauvegarde sous la priorité (i) </w:t>
      </w:r>
      <w:r w:rsidR="00F315B5">
        <w:t>–</w:t>
      </w:r>
      <w:r w:rsidRPr="00291FC3">
        <w:t> au</w:t>
      </w:r>
      <w:r w:rsidR="00F315B5">
        <w:t xml:space="preserve"> </w:t>
      </w:r>
      <w:r w:rsidRPr="00291FC3">
        <w:t>même niveau que les candidatures à la Liste de sauvegarde urgente </w:t>
      </w:r>
      <w:r w:rsidR="00F315B5">
        <w:t>–</w:t>
      </w:r>
      <w:r w:rsidRPr="00291FC3">
        <w:t> peut</w:t>
      </w:r>
      <w:r w:rsidR="00F315B5">
        <w:t xml:space="preserve"> </w:t>
      </w:r>
      <w:r w:rsidRPr="00291FC3">
        <w:t>effectivement conduire à une augmentation du nombre de propositions soumises, mais abaisserait mécaniquement la priorité des candidatures multinationales. Par conséquent, il pourrait être souhaitable de faire le point, dans les années à venir, sur les résultats des mesures décrites ci-dessus, notamment l</w:t>
      </w:r>
      <w:r w:rsidR="00015E22" w:rsidRPr="00291FC3">
        <w:t>’</w:t>
      </w:r>
      <w:r w:rsidRPr="00291FC3">
        <w:t>opérationnalisation de la plateforme en ligne, afin d</w:t>
      </w:r>
      <w:r w:rsidR="00015E22" w:rsidRPr="00291FC3">
        <w:t>’</w:t>
      </w:r>
      <w:r w:rsidRPr="00291FC3">
        <w:t>évaluer si et comment l</w:t>
      </w:r>
      <w:r w:rsidR="00015E22" w:rsidRPr="00291FC3">
        <w:t>’</w:t>
      </w:r>
      <w:r w:rsidRPr="00291FC3">
        <w:t>identification des bonnes pratiques de sauvegarde devrait être davantage soutenue dans l</w:t>
      </w:r>
      <w:r w:rsidR="00015E22" w:rsidRPr="00291FC3">
        <w:t>’</w:t>
      </w:r>
      <w:r w:rsidRPr="00291FC3">
        <w:t>esprit de l</w:t>
      </w:r>
      <w:r w:rsidR="00015E22" w:rsidRPr="00291FC3">
        <w:t>’</w:t>
      </w:r>
      <w:r w:rsidRPr="00291FC3">
        <w:t xml:space="preserve">article 18. </w:t>
      </w:r>
    </w:p>
    <w:p w14:paraId="50D3EAFF" w14:textId="5B425578" w:rsidR="00D95C4C" w:rsidRPr="00291FC3" w:rsidRDefault="000B1C8F" w:rsidP="00602DCC">
      <w:pPr>
        <w:pStyle w:val="COMPara"/>
        <w:ind w:left="567" w:hanging="567"/>
      </w:pPr>
      <w:r w:rsidRPr="00291FC3">
        <w:t>Le Comité souhaitera peut-être adopter la décision suivante :</w:t>
      </w:r>
    </w:p>
    <w:p w14:paraId="6CEB1E9D" w14:textId="6256B6A7" w:rsidR="00D95C4C" w:rsidRPr="00291FC3" w:rsidRDefault="004A34A0" w:rsidP="001D14FE">
      <w:pPr>
        <w:pStyle w:val="COMTitleDecision"/>
        <w:rPr>
          <w:rFonts w:eastAsia="SimSun"/>
        </w:rPr>
      </w:pPr>
      <w:r w:rsidRPr="00291FC3">
        <w:t>PROJET DE DÉCISION 20.COM 8</w:t>
      </w:r>
    </w:p>
    <w:p w14:paraId="13024F0B" w14:textId="77777777" w:rsidR="00D95C4C" w:rsidRPr="00291FC3" w:rsidRDefault="00285BB4" w:rsidP="00285BB4">
      <w:pPr>
        <w:pStyle w:val="COMPreambulaDecisions"/>
        <w:rPr>
          <w:rFonts w:eastAsia="SimSun"/>
        </w:rPr>
      </w:pPr>
      <w:r w:rsidRPr="00291FC3">
        <w:t>Le Comité,</w:t>
      </w:r>
    </w:p>
    <w:p w14:paraId="5A9F22F3" w14:textId="41E04ADB" w:rsidR="0057439C" w:rsidRPr="00291FC3" w:rsidRDefault="00D95C4C" w:rsidP="004A2875">
      <w:pPr>
        <w:pStyle w:val="COMParaDecision"/>
      </w:pPr>
      <w:r w:rsidRPr="00291FC3">
        <w:t>Ayant examiné</w:t>
      </w:r>
      <w:r w:rsidRPr="00291FC3">
        <w:rPr>
          <w:u w:val="none"/>
        </w:rPr>
        <w:t xml:space="preserve"> le document LHE/25/20.COM/8 et son annexe,</w:t>
      </w:r>
    </w:p>
    <w:p w14:paraId="63BDCA68" w14:textId="08E9372D" w:rsidR="00CA6C62" w:rsidRPr="00291FC3" w:rsidRDefault="00CA6C62" w:rsidP="00CA6C62">
      <w:pPr>
        <w:pStyle w:val="COMParaDecision"/>
        <w:rPr>
          <w:u w:val="none"/>
        </w:rPr>
      </w:pPr>
      <w:r w:rsidRPr="00291FC3">
        <w:t>Rappelant</w:t>
      </w:r>
      <w:r w:rsidRPr="00291FC3">
        <w:rPr>
          <w:u w:val="none"/>
        </w:rPr>
        <w:t xml:space="preserve"> le sous-chapitre I.15 des Directives opérationnelles,</w:t>
      </w:r>
    </w:p>
    <w:p w14:paraId="1792284F" w14:textId="6B9D2FB6" w:rsidR="00DE55D3" w:rsidRPr="00291FC3" w:rsidRDefault="00C64450" w:rsidP="00662F2B">
      <w:pPr>
        <w:pStyle w:val="COMParaDecision"/>
      </w:pPr>
      <w:r w:rsidRPr="00291FC3">
        <w:t xml:space="preserve">Rappelant </w:t>
      </w:r>
      <w:r w:rsidR="00160609" w:rsidRPr="00291FC3">
        <w:t>en outre</w:t>
      </w:r>
      <w:r w:rsidR="00160609" w:rsidRPr="00291FC3">
        <w:rPr>
          <w:u w:val="none"/>
        </w:rPr>
        <w:t xml:space="preserve"> l</w:t>
      </w:r>
      <w:r w:rsidRPr="00291FC3">
        <w:rPr>
          <w:u w:val="none"/>
        </w:rPr>
        <w:t>a décision </w:t>
      </w:r>
      <w:hyperlink r:id="rId18" w:history="1">
        <w:r w:rsidRPr="00291FC3">
          <w:rPr>
            <w:rStyle w:val="Hyperlink"/>
          </w:rPr>
          <w:t>19.COM 15</w:t>
        </w:r>
      </w:hyperlink>
      <w:r w:rsidRPr="00291FC3">
        <w:rPr>
          <w:color w:val="000000" w:themeColor="text1"/>
          <w:u w:val="none"/>
        </w:rPr>
        <w:t>,</w:t>
      </w:r>
    </w:p>
    <w:p w14:paraId="4A59A8F1" w14:textId="689AC500" w:rsidR="0081570A" w:rsidRPr="00291FC3" w:rsidRDefault="005A592C" w:rsidP="000C0291">
      <w:pPr>
        <w:pStyle w:val="COMParaDecision"/>
      </w:pPr>
      <w:r w:rsidRPr="00291FC3">
        <w:t>Prend note</w:t>
      </w:r>
      <w:r w:rsidRPr="00291FC3">
        <w:rPr>
          <w:u w:val="none"/>
        </w:rPr>
        <w:t xml:space="preserve"> des questions soulevées concernant le traitement des dossiers </w:t>
      </w:r>
      <w:r w:rsidR="00E76CF7" w:rsidRPr="00291FC3">
        <w:rPr>
          <w:u w:val="none"/>
        </w:rPr>
        <w:t xml:space="preserve">pour les </w:t>
      </w:r>
      <w:r w:rsidRPr="00291FC3">
        <w:rPr>
          <w:u w:val="none"/>
        </w:rPr>
        <w:t>mécanismes d</w:t>
      </w:r>
      <w:r w:rsidR="00015E22" w:rsidRPr="00291FC3">
        <w:rPr>
          <w:u w:val="none"/>
        </w:rPr>
        <w:t>’</w:t>
      </w:r>
      <w:r w:rsidRPr="00291FC3">
        <w:rPr>
          <w:u w:val="none"/>
        </w:rPr>
        <w:t>inscription</w:t>
      </w:r>
      <w:r w:rsidR="00B174B4" w:rsidRPr="00291FC3">
        <w:rPr>
          <w:u w:val="none"/>
        </w:rPr>
        <w:t xml:space="preserve"> sur les listes</w:t>
      </w:r>
      <w:r w:rsidRPr="00291FC3">
        <w:rPr>
          <w:u w:val="none"/>
        </w:rPr>
        <w:t xml:space="preserve"> de la Convention, </w:t>
      </w:r>
      <w:r w:rsidRPr="00291FC3">
        <w:t>apprécie</w:t>
      </w:r>
      <w:r w:rsidRPr="00291FC3">
        <w:rPr>
          <w:u w:val="none"/>
        </w:rPr>
        <w:t xml:space="preserve"> les effets positifs de l</w:t>
      </w:r>
      <w:r w:rsidR="00015E22" w:rsidRPr="00291FC3">
        <w:rPr>
          <w:u w:val="none"/>
        </w:rPr>
        <w:t>’</w:t>
      </w:r>
      <w:r w:rsidRPr="00291FC3">
        <w:rPr>
          <w:u w:val="none"/>
        </w:rPr>
        <w:t xml:space="preserve">approche actuelle pour soutenir les efforts des États et des communautés et </w:t>
      </w:r>
      <w:r w:rsidRPr="00291FC3">
        <w:t>recommande</w:t>
      </w:r>
      <w:r w:rsidRPr="00291FC3">
        <w:rPr>
          <w:u w:val="none"/>
        </w:rPr>
        <w:t xml:space="preserve"> que l</w:t>
      </w:r>
      <w:r w:rsidR="00015E22" w:rsidRPr="00291FC3">
        <w:rPr>
          <w:u w:val="none"/>
        </w:rPr>
        <w:t>’</w:t>
      </w:r>
      <w:r w:rsidRPr="00291FC3">
        <w:rPr>
          <w:u w:val="none"/>
        </w:rPr>
        <w:t>Assemblée générale, lors de sa onzième session, approuve les amendements aux Directives opérationnelles pour la mise en œuvre de la Convention, tels qu</w:t>
      </w:r>
      <w:r w:rsidR="00015E22" w:rsidRPr="00291FC3">
        <w:rPr>
          <w:u w:val="none"/>
        </w:rPr>
        <w:t>’</w:t>
      </w:r>
      <w:r w:rsidRPr="00291FC3">
        <w:rPr>
          <w:u w:val="none"/>
        </w:rPr>
        <w:t>annexés à la présente décision ;</w:t>
      </w:r>
    </w:p>
    <w:p w14:paraId="6D195256" w14:textId="4D4620BC" w:rsidR="008174F4" w:rsidRPr="00291FC3" w:rsidRDefault="005A592C" w:rsidP="00015E22">
      <w:pPr>
        <w:pStyle w:val="COMParaDecision"/>
        <w:sectPr w:rsidR="008174F4" w:rsidRPr="00291FC3" w:rsidSect="00655736">
          <w:headerReference w:type="even" r:id="rId19"/>
          <w:headerReference w:type="default" r:id="rId20"/>
          <w:headerReference w:type="first" r:id="rId21"/>
          <w:pgSz w:w="11906" w:h="16838" w:code="9"/>
          <w:pgMar w:top="1418" w:right="1134" w:bottom="1134" w:left="1134" w:header="397" w:footer="284" w:gutter="0"/>
          <w:cols w:space="708"/>
          <w:titlePg/>
          <w:docGrid w:linePitch="360"/>
        </w:sectPr>
      </w:pPr>
      <w:r w:rsidRPr="00291FC3">
        <w:t>Prend note</w:t>
      </w:r>
      <w:r w:rsidR="00E76CF7" w:rsidRPr="00291FC3">
        <w:t xml:space="preserve"> en outre</w:t>
      </w:r>
      <w:r w:rsidRPr="00291FC3">
        <w:rPr>
          <w:u w:val="none"/>
        </w:rPr>
        <w:t xml:space="preserve"> des mesures prises pour promouvoir l</w:t>
      </w:r>
      <w:r w:rsidR="00015E22" w:rsidRPr="00291FC3">
        <w:rPr>
          <w:u w:val="none"/>
        </w:rPr>
        <w:t>’</w:t>
      </w:r>
      <w:r w:rsidRPr="00291FC3">
        <w:rPr>
          <w:u w:val="none"/>
        </w:rPr>
        <w:t xml:space="preserve">accès et accroître la visibilité du Registre de bonnes pratiques de sauvegarde, </w:t>
      </w:r>
      <w:r w:rsidRPr="00291FC3">
        <w:t>demande</w:t>
      </w:r>
      <w:r w:rsidRPr="00291FC3">
        <w:rPr>
          <w:u w:val="none"/>
        </w:rPr>
        <w:t xml:space="preserve"> au Secrétariat de continuer à suivre les tendances concernant le traitement des propositions au Registre de bonnes pratiques de sauvegarde tout en rendant opérationnelle la plateforme en ligne </w:t>
      </w:r>
      <w:r w:rsidR="00B174B4" w:rsidRPr="00291FC3">
        <w:rPr>
          <w:u w:val="none"/>
        </w:rPr>
        <w:t xml:space="preserve">en cours de </w:t>
      </w:r>
      <w:r w:rsidRPr="00291FC3">
        <w:rPr>
          <w:u w:val="none"/>
        </w:rPr>
        <w:t>mise en place pour une mise en œuvre plus large de l</w:t>
      </w:r>
      <w:r w:rsidR="00015E22" w:rsidRPr="00291FC3">
        <w:rPr>
          <w:u w:val="none"/>
        </w:rPr>
        <w:t>’</w:t>
      </w:r>
      <w:r w:rsidRPr="00291FC3">
        <w:rPr>
          <w:u w:val="none"/>
        </w:rPr>
        <w:t xml:space="preserve">article 18, et </w:t>
      </w:r>
      <w:r w:rsidRPr="00291FC3">
        <w:t>demande en outre</w:t>
      </w:r>
      <w:r w:rsidRPr="00291FC3">
        <w:rPr>
          <w:u w:val="none"/>
        </w:rPr>
        <w:t xml:space="preserve"> au Secrétariat de rendre compte de la situation pour examen par le Comité lors de sa vingt-deuxième session.</w:t>
      </w:r>
    </w:p>
    <w:p w14:paraId="37B0BBC0" w14:textId="77777777" w:rsidR="00A45328" w:rsidRPr="00291FC3" w:rsidRDefault="00A45328">
      <w:pPr>
        <w:rPr>
          <w:rFonts w:ascii="Arial" w:eastAsia="SimSun" w:hAnsi="Arial" w:cs="Arial"/>
          <w:sz w:val="22"/>
          <w:szCs w:val="22"/>
        </w:rPr>
      </w:pPr>
    </w:p>
    <w:p w14:paraId="6D13F000" w14:textId="58D6B390" w:rsidR="00D07B49" w:rsidRPr="00291FC3" w:rsidRDefault="00D07B49" w:rsidP="00D07B49">
      <w:pPr>
        <w:pStyle w:val="COMParaDecision"/>
        <w:numPr>
          <w:ilvl w:val="0"/>
          <w:numId w:val="0"/>
        </w:numPr>
        <w:jc w:val="center"/>
        <w:rPr>
          <w:b/>
          <w:bCs/>
          <w:u w:val="none"/>
        </w:rPr>
      </w:pPr>
      <w:r w:rsidRPr="00291FC3">
        <w:rPr>
          <w:b/>
          <w:u w:val="none"/>
        </w:rPr>
        <w:t>ANNEXE </w:t>
      </w:r>
      <w:r w:rsidR="00015E22" w:rsidRPr="00291FC3">
        <w:rPr>
          <w:b/>
          <w:u w:val="none"/>
        </w:rPr>
        <w:t>–</w:t>
      </w:r>
      <w:r w:rsidRPr="00291FC3">
        <w:rPr>
          <w:b/>
          <w:u w:val="none"/>
        </w:rPr>
        <w:t> Propositions</w:t>
      </w:r>
      <w:r w:rsidR="00015E22" w:rsidRPr="00291FC3">
        <w:rPr>
          <w:b/>
          <w:u w:val="none"/>
        </w:rPr>
        <w:t xml:space="preserve"> </w:t>
      </w:r>
      <w:r w:rsidRPr="00291FC3">
        <w:rPr>
          <w:b/>
          <w:u w:val="none"/>
        </w:rPr>
        <w:t>d</w:t>
      </w:r>
      <w:r w:rsidR="00015E22" w:rsidRPr="00291FC3">
        <w:rPr>
          <w:b/>
          <w:u w:val="none"/>
        </w:rPr>
        <w:t>’</w:t>
      </w:r>
      <w:r w:rsidRPr="00291FC3">
        <w:rPr>
          <w:b/>
          <w:u w:val="none"/>
        </w:rPr>
        <w:t>amendements aux Directives opérationnelles</w:t>
      </w:r>
    </w:p>
    <w:p w14:paraId="4925E0ED" w14:textId="4548561B" w:rsidR="00190037" w:rsidRPr="00291FC3" w:rsidRDefault="00190037" w:rsidP="00190037">
      <w:pPr>
        <w:pStyle w:val="COMParaDecision"/>
        <w:numPr>
          <w:ilvl w:val="0"/>
          <w:numId w:val="0"/>
        </w:numPr>
        <w:rPr>
          <w:rFonts w:asciiTheme="minorBidi" w:hAnsiTheme="minorBidi" w:cstheme="minorBidi"/>
          <w:b/>
          <w:bCs/>
          <w:u w:val="none"/>
        </w:rPr>
      </w:pPr>
      <w:r w:rsidRPr="00291FC3">
        <w:rPr>
          <w:rFonts w:asciiTheme="minorBidi" w:hAnsiTheme="minorBidi"/>
          <w:b/>
          <w:sz w:val="20"/>
        </w:rPr>
        <w:t>Note</w:t>
      </w:r>
      <w:r w:rsidRPr="00291FC3">
        <w:rPr>
          <w:rFonts w:asciiTheme="minorBidi" w:hAnsiTheme="minorBidi"/>
          <w:sz w:val="20"/>
        </w:rPr>
        <w:t xml:space="preserve"> : Les textes des dispositions qui sont </w:t>
      </w:r>
      <w:r w:rsidR="00A60584" w:rsidRPr="00291FC3">
        <w:rPr>
          <w:rFonts w:asciiTheme="minorBidi" w:hAnsiTheme="minorBidi"/>
          <w:sz w:val="20"/>
        </w:rPr>
        <w:t xml:space="preserve">surlignés </w:t>
      </w:r>
      <w:r w:rsidRPr="00291FC3">
        <w:rPr>
          <w:rFonts w:asciiTheme="minorBidi" w:hAnsiTheme="minorBidi"/>
          <w:sz w:val="20"/>
        </w:rPr>
        <w:t>en gris dans la colonne de droite sont des propositions de révision des Directives opérationnelles pour examen par la vingtième session du Comité au titre du point 6.c.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55"/>
        <w:gridCol w:w="6428"/>
        <w:gridCol w:w="709"/>
        <w:gridCol w:w="6484"/>
      </w:tblGrid>
      <w:tr w:rsidR="00190037" w:rsidRPr="00291FC3" w14:paraId="4F90F49C" w14:textId="77777777" w:rsidTr="00C023D4">
        <w:tc>
          <w:tcPr>
            <w:tcW w:w="229" w:type="pct"/>
          </w:tcPr>
          <w:p w14:paraId="4D32CF65" w14:textId="77777777" w:rsidR="00190037" w:rsidRPr="00291FC3" w:rsidRDefault="00190037" w:rsidP="00C023D4">
            <w:pPr>
              <w:spacing w:before="120" w:after="120"/>
              <w:rPr>
                <w:rFonts w:ascii="Arial" w:hAnsi="Arial" w:cs="Arial"/>
                <w:b/>
                <w:bCs/>
                <w:sz w:val="22"/>
                <w:szCs w:val="22"/>
              </w:rPr>
            </w:pPr>
          </w:p>
        </w:tc>
        <w:tc>
          <w:tcPr>
            <w:tcW w:w="2251" w:type="pct"/>
          </w:tcPr>
          <w:p w14:paraId="314B33BA" w14:textId="77777777" w:rsidR="00190037" w:rsidRPr="00291FC3" w:rsidRDefault="00190037" w:rsidP="00C023D4">
            <w:pPr>
              <w:spacing w:before="120" w:after="120"/>
              <w:jc w:val="both"/>
              <w:rPr>
                <w:rFonts w:ascii="Arial" w:hAnsi="Arial" w:cs="Arial"/>
                <w:b/>
                <w:bCs/>
                <w:sz w:val="22"/>
                <w:szCs w:val="22"/>
              </w:rPr>
            </w:pPr>
            <w:r w:rsidRPr="00291FC3">
              <w:rPr>
                <w:rFonts w:ascii="Arial" w:hAnsi="Arial"/>
                <w:b/>
                <w:sz w:val="22"/>
                <w:u w:val="single"/>
              </w:rPr>
              <w:t>Directives opérationnelles</w:t>
            </w:r>
          </w:p>
        </w:tc>
        <w:tc>
          <w:tcPr>
            <w:tcW w:w="248" w:type="pct"/>
          </w:tcPr>
          <w:p w14:paraId="2D0C3ED6" w14:textId="77777777" w:rsidR="00190037" w:rsidRPr="00291FC3" w:rsidRDefault="00190037" w:rsidP="00C023D4">
            <w:pPr>
              <w:spacing w:before="120" w:after="120"/>
              <w:jc w:val="both"/>
              <w:rPr>
                <w:rFonts w:ascii="Arial" w:hAnsi="Arial" w:cs="Arial"/>
                <w:b/>
                <w:bCs/>
                <w:sz w:val="22"/>
                <w:szCs w:val="22"/>
                <w:u w:val="single"/>
              </w:rPr>
            </w:pPr>
          </w:p>
        </w:tc>
        <w:tc>
          <w:tcPr>
            <w:tcW w:w="2271" w:type="pct"/>
          </w:tcPr>
          <w:p w14:paraId="49D37088" w14:textId="77777777" w:rsidR="00190037" w:rsidRPr="00291FC3" w:rsidRDefault="00190037" w:rsidP="00C023D4">
            <w:pPr>
              <w:spacing w:before="120" w:after="120"/>
              <w:jc w:val="both"/>
              <w:rPr>
                <w:rFonts w:ascii="Arial" w:hAnsi="Arial" w:cs="Arial"/>
                <w:sz w:val="22"/>
                <w:szCs w:val="22"/>
              </w:rPr>
            </w:pPr>
            <w:r w:rsidRPr="00291FC3">
              <w:rPr>
                <w:rFonts w:ascii="Arial" w:hAnsi="Arial"/>
                <w:b/>
                <w:sz w:val="22"/>
                <w:u w:val="single"/>
              </w:rPr>
              <w:t>Modifications proposées</w:t>
            </w:r>
          </w:p>
        </w:tc>
      </w:tr>
      <w:tr w:rsidR="00190037" w:rsidRPr="00291FC3" w14:paraId="3108ADA3" w14:textId="77777777" w:rsidTr="00C023D4">
        <w:tc>
          <w:tcPr>
            <w:tcW w:w="229" w:type="pct"/>
          </w:tcPr>
          <w:p w14:paraId="0704F166" w14:textId="77777777" w:rsidR="00190037" w:rsidRPr="00291FC3" w:rsidRDefault="00190037" w:rsidP="00C023D4">
            <w:pPr>
              <w:spacing w:before="120" w:after="120"/>
              <w:rPr>
                <w:rFonts w:ascii="Arial" w:hAnsi="Arial" w:cs="Arial"/>
                <w:b/>
                <w:bCs/>
                <w:sz w:val="22"/>
                <w:szCs w:val="22"/>
              </w:rPr>
            </w:pPr>
            <w:r w:rsidRPr="00291FC3">
              <w:rPr>
                <w:rFonts w:ascii="Arial" w:hAnsi="Arial"/>
                <w:b/>
                <w:sz w:val="22"/>
              </w:rPr>
              <w:t>I.15</w:t>
            </w:r>
          </w:p>
        </w:tc>
        <w:tc>
          <w:tcPr>
            <w:tcW w:w="2251" w:type="pct"/>
          </w:tcPr>
          <w:p w14:paraId="63AD78AB" w14:textId="3FB386FC" w:rsidR="00190037" w:rsidRPr="00291FC3" w:rsidRDefault="00190037" w:rsidP="00C023D4">
            <w:pPr>
              <w:spacing w:before="120" w:after="120"/>
              <w:jc w:val="both"/>
              <w:rPr>
                <w:rFonts w:ascii="Arial" w:hAnsi="Arial" w:cs="Arial"/>
                <w:b/>
                <w:bCs/>
                <w:sz w:val="22"/>
                <w:szCs w:val="22"/>
              </w:rPr>
            </w:pPr>
            <w:r w:rsidRPr="00291FC3">
              <w:rPr>
                <w:rFonts w:ascii="Arial" w:hAnsi="Arial"/>
                <w:b/>
                <w:sz w:val="22"/>
              </w:rPr>
              <w:t>Calendrier – Vue d</w:t>
            </w:r>
            <w:r w:rsidR="00015E22" w:rsidRPr="00291FC3">
              <w:rPr>
                <w:rFonts w:ascii="Arial" w:hAnsi="Arial"/>
                <w:b/>
                <w:sz w:val="22"/>
              </w:rPr>
              <w:t>’</w:t>
            </w:r>
            <w:r w:rsidRPr="00291FC3">
              <w:rPr>
                <w:rFonts w:ascii="Arial" w:hAnsi="Arial"/>
                <w:b/>
                <w:sz w:val="22"/>
              </w:rPr>
              <w:t>ensemble des procédures</w:t>
            </w:r>
          </w:p>
        </w:tc>
        <w:tc>
          <w:tcPr>
            <w:tcW w:w="248" w:type="pct"/>
          </w:tcPr>
          <w:p w14:paraId="10FB352E" w14:textId="77777777" w:rsidR="00190037" w:rsidRPr="00291FC3" w:rsidRDefault="00190037" w:rsidP="00C023D4">
            <w:pPr>
              <w:spacing w:before="120" w:after="120"/>
              <w:jc w:val="both"/>
              <w:rPr>
                <w:rFonts w:ascii="Arial" w:hAnsi="Arial" w:cs="Arial"/>
                <w:b/>
                <w:bCs/>
                <w:sz w:val="22"/>
                <w:szCs w:val="22"/>
              </w:rPr>
            </w:pPr>
            <w:r w:rsidRPr="00291FC3">
              <w:rPr>
                <w:rFonts w:ascii="Arial" w:hAnsi="Arial"/>
                <w:b/>
                <w:sz w:val="22"/>
              </w:rPr>
              <w:t>I.15</w:t>
            </w:r>
          </w:p>
        </w:tc>
        <w:tc>
          <w:tcPr>
            <w:tcW w:w="2271" w:type="pct"/>
          </w:tcPr>
          <w:p w14:paraId="1033DF42" w14:textId="77777777" w:rsidR="00190037" w:rsidRPr="00291FC3" w:rsidRDefault="00190037" w:rsidP="00C023D4">
            <w:pPr>
              <w:spacing w:before="120" w:after="120"/>
              <w:jc w:val="both"/>
              <w:rPr>
                <w:rFonts w:ascii="Arial" w:hAnsi="Arial" w:cs="Arial"/>
                <w:sz w:val="22"/>
                <w:szCs w:val="22"/>
              </w:rPr>
            </w:pPr>
            <w:r w:rsidRPr="00291FC3">
              <w:rPr>
                <w:rFonts w:ascii="Arial" w:hAnsi="Arial"/>
                <w:sz w:val="22"/>
              </w:rPr>
              <w:t>Aucun changement.</w:t>
            </w:r>
          </w:p>
        </w:tc>
      </w:tr>
      <w:tr w:rsidR="00190037" w:rsidRPr="00291FC3" w14:paraId="5316BC0C" w14:textId="77777777" w:rsidTr="00C023D4">
        <w:tc>
          <w:tcPr>
            <w:tcW w:w="229" w:type="pct"/>
            <w:tcBorders>
              <w:top w:val="single" w:sz="4" w:space="0" w:color="auto"/>
              <w:left w:val="single" w:sz="4" w:space="0" w:color="auto"/>
              <w:bottom w:val="single" w:sz="4" w:space="0" w:color="auto"/>
              <w:right w:val="single" w:sz="4" w:space="0" w:color="auto"/>
            </w:tcBorders>
          </w:tcPr>
          <w:p w14:paraId="34FA04B5" w14:textId="77777777" w:rsidR="00190037" w:rsidRPr="00291FC3" w:rsidRDefault="00190037" w:rsidP="00C023D4">
            <w:pPr>
              <w:spacing w:before="120" w:after="120"/>
              <w:rPr>
                <w:rFonts w:ascii="Arial" w:hAnsi="Arial" w:cs="Arial"/>
                <w:b/>
                <w:bCs/>
                <w:sz w:val="22"/>
                <w:szCs w:val="22"/>
              </w:rPr>
            </w:pPr>
            <w:r w:rsidRPr="00291FC3">
              <w:rPr>
                <w:rFonts w:ascii="Arial" w:hAnsi="Arial"/>
                <w:b/>
                <w:sz w:val="22"/>
              </w:rPr>
              <w:t>54</w:t>
            </w:r>
          </w:p>
        </w:tc>
        <w:tc>
          <w:tcPr>
            <w:tcW w:w="2251" w:type="pct"/>
            <w:tcBorders>
              <w:top w:val="single" w:sz="4" w:space="0" w:color="auto"/>
              <w:left w:val="single" w:sz="4" w:space="0" w:color="auto"/>
              <w:bottom w:val="single" w:sz="4" w:space="0" w:color="auto"/>
              <w:right w:val="single" w:sz="4" w:space="0" w:color="auto"/>
            </w:tcBorders>
          </w:tcPr>
          <w:tbl>
            <w:tblPr>
              <w:tblStyle w:val="TableGrid"/>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665"/>
            </w:tblGrid>
            <w:tr w:rsidR="00190037" w:rsidRPr="00291FC3" w14:paraId="27D671DE" w14:textId="77777777" w:rsidTr="005E71C1">
              <w:trPr>
                <w:cantSplit/>
              </w:trPr>
              <w:tc>
                <w:tcPr>
                  <w:tcW w:w="1502" w:type="dxa"/>
                </w:tcPr>
                <w:p w14:paraId="769359F5"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1 :</w:t>
                  </w:r>
                </w:p>
              </w:tc>
              <w:tc>
                <w:tcPr>
                  <w:tcW w:w="4665" w:type="dxa"/>
                </w:tcPr>
                <w:p w14:paraId="0DEF13C7"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 xml:space="preserve">Préparation et soumission </w:t>
                  </w:r>
                </w:p>
              </w:tc>
            </w:tr>
            <w:tr w:rsidR="00190037" w:rsidRPr="00291FC3" w14:paraId="21FF93A0" w14:textId="77777777" w:rsidTr="005E71C1">
              <w:trPr>
                <w:cantSplit/>
              </w:trPr>
              <w:tc>
                <w:tcPr>
                  <w:tcW w:w="1502" w:type="dxa"/>
                </w:tcPr>
                <w:p w14:paraId="68DB0A71"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mars</w:t>
                  </w:r>
                </w:p>
                <w:p w14:paraId="362C851E" w14:textId="654E4C0F" w:rsidR="00190037" w:rsidRPr="00291FC3" w:rsidRDefault="00015E22"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0</w:t>
                  </w:r>
                </w:p>
              </w:tc>
              <w:tc>
                <w:tcPr>
                  <w:tcW w:w="4665" w:type="dxa"/>
                </w:tcPr>
                <w:p w14:paraId="64FB913C" w14:textId="07C8C57A" w:rsidR="00190037" w:rsidRPr="00291FC3" w:rsidRDefault="00190037" w:rsidP="00C023D4">
                  <w:pPr>
                    <w:spacing w:before="60" w:after="60"/>
                    <w:jc w:val="both"/>
                    <w:rPr>
                      <w:rFonts w:ascii="Arial" w:hAnsi="Arial" w:cs="Arial"/>
                      <w:sz w:val="22"/>
                      <w:szCs w:val="22"/>
                    </w:rPr>
                  </w:pPr>
                  <w:r w:rsidRPr="00291FC3">
                    <w:rPr>
                      <w:rFonts w:ascii="Arial" w:hAnsi="Arial"/>
                      <w:sz w:val="22"/>
                    </w:rPr>
                    <w:t>Date limite pour les demandes d</w:t>
                  </w:r>
                  <w:r w:rsidR="00015E22" w:rsidRPr="00291FC3">
                    <w:rPr>
                      <w:rFonts w:ascii="Arial" w:hAnsi="Arial"/>
                      <w:sz w:val="22"/>
                    </w:rPr>
                    <w:t>’</w:t>
                  </w:r>
                  <w:r w:rsidRPr="00291FC3">
                    <w:rPr>
                      <w:rFonts w:ascii="Arial" w:hAnsi="Arial"/>
                      <w:sz w:val="22"/>
                    </w:rPr>
                    <w:t>assistance préparatoire.</w:t>
                  </w:r>
                </w:p>
              </w:tc>
            </w:tr>
            <w:tr w:rsidR="00190037" w:rsidRPr="00291FC3" w14:paraId="15FFB933" w14:textId="77777777" w:rsidTr="005E71C1">
              <w:trPr>
                <w:cantSplit/>
              </w:trPr>
              <w:tc>
                <w:tcPr>
                  <w:tcW w:w="1502" w:type="dxa"/>
                </w:tcPr>
                <w:p w14:paraId="64CF1905"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15 décembre</w:t>
                  </w:r>
                </w:p>
                <w:p w14:paraId="77FFC1FC" w14:textId="3C4C8D9F" w:rsidR="00190037" w:rsidRPr="00291FC3" w:rsidRDefault="00015E22"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0</w:t>
                  </w:r>
                </w:p>
              </w:tc>
              <w:tc>
                <w:tcPr>
                  <w:tcW w:w="4665" w:type="dxa"/>
                </w:tcPr>
                <w:p w14:paraId="0BD56E93" w14:textId="771C41D7" w:rsidR="00190037" w:rsidRPr="00291FC3" w:rsidRDefault="00190037" w:rsidP="00A60584">
                  <w:pPr>
                    <w:spacing w:before="60" w:after="60"/>
                    <w:jc w:val="both"/>
                    <w:rPr>
                      <w:rFonts w:ascii="Arial" w:hAnsi="Arial" w:cs="Arial"/>
                      <w:sz w:val="22"/>
                      <w:szCs w:val="22"/>
                    </w:rPr>
                  </w:pPr>
                  <w:r w:rsidRPr="00291FC3">
                    <w:rPr>
                      <w:rFonts w:ascii="Arial" w:hAnsi="Arial"/>
                      <w:sz w:val="22"/>
                    </w:rPr>
                    <w:t>Date limite pour la soumission des demandes de transfert de la Liste du patrimoine culturel immatériel nécessitant une sauvegarde urgente à la Liste représentative du patrimoine culturel immatériel de l</w:t>
                  </w:r>
                  <w:r w:rsidR="00015E22" w:rsidRPr="00291FC3">
                    <w:rPr>
                      <w:rFonts w:ascii="Arial" w:hAnsi="Arial"/>
                      <w:sz w:val="22"/>
                    </w:rPr>
                    <w:t>’</w:t>
                  </w:r>
                  <w:r w:rsidRPr="00291FC3">
                    <w:rPr>
                      <w:rFonts w:ascii="Arial" w:hAnsi="Arial"/>
                      <w:sz w:val="22"/>
                    </w:rPr>
                    <w:t>humanité.</w:t>
                  </w:r>
                </w:p>
              </w:tc>
            </w:tr>
            <w:tr w:rsidR="00190037" w:rsidRPr="00291FC3" w14:paraId="7A9B9F58" w14:textId="77777777" w:rsidTr="005E71C1">
              <w:trPr>
                <w:cantSplit/>
              </w:trPr>
              <w:tc>
                <w:tcPr>
                  <w:tcW w:w="1502" w:type="dxa"/>
                </w:tcPr>
                <w:p w14:paraId="0E708B0F"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mars</w:t>
                  </w:r>
                </w:p>
                <w:p w14:paraId="0E937467" w14:textId="1216CDD1" w:rsidR="00190037" w:rsidRPr="00291FC3" w:rsidRDefault="00015E22"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65" w:type="dxa"/>
                </w:tcPr>
                <w:p w14:paraId="49E53E80" w14:textId="2FD933C2" w:rsidR="00190037" w:rsidRPr="00291FC3" w:rsidRDefault="00190037" w:rsidP="00C023D4">
                  <w:pPr>
                    <w:spacing w:before="60" w:after="60"/>
                    <w:jc w:val="both"/>
                    <w:rPr>
                      <w:rFonts w:ascii="Arial" w:hAnsi="Arial" w:cs="Arial"/>
                      <w:sz w:val="22"/>
                      <w:szCs w:val="22"/>
                    </w:rPr>
                  </w:pPr>
                  <w:r w:rsidRPr="00291FC3">
                    <w:rPr>
                      <w:rFonts w:ascii="Arial" w:hAnsi="Arial"/>
                      <w:sz w:val="22"/>
                    </w:rPr>
                    <w:t>Date limite à laquelle les candidatures pour la Liste du patrimoine culturel immatériel nécessitant une sauvegarde urgente (y compris celles soumises simultanément aux demandes d</w:t>
                  </w:r>
                  <w:r w:rsidR="00015E22" w:rsidRPr="00291FC3">
                    <w:rPr>
                      <w:rFonts w:ascii="Arial" w:hAnsi="Arial"/>
                      <w:sz w:val="22"/>
                    </w:rPr>
                    <w:t>’</w:t>
                  </w:r>
                  <w:r w:rsidRPr="00291FC3">
                    <w:rPr>
                      <w:rFonts w:ascii="Arial" w:hAnsi="Arial"/>
                      <w:sz w:val="22"/>
                    </w:rPr>
                    <w:t>assistance internationale) et pour la Liste représentative du patrimoine culturel immatériel de l</w:t>
                  </w:r>
                  <w:r w:rsidR="00015E22" w:rsidRPr="00291FC3">
                    <w:rPr>
                      <w:rFonts w:ascii="Arial" w:hAnsi="Arial"/>
                      <w:sz w:val="22"/>
                    </w:rPr>
                    <w:t>’</w:t>
                  </w:r>
                  <w:r w:rsidRPr="00291FC3">
                    <w:rPr>
                      <w:rFonts w:ascii="Arial" w:hAnsi="Arial"/>
                      <w:sz w:val="22"/>
                    </w:rPr>
                    <w:t>humanité, ainsi que les propositions de programmes, projets et activités reflétant le mieux les principes et objectifs de la Convention doivent avoir été reçues par le Secrétariat. Les dossiers reçus après cette date sont examinés au cycle suivant. Le Secrétariat publie sur le site Internet de la Convention les dossiers tels qu</w:t>
                  </w:r>
                  <w:r w:rsidR="00015E22" w:rsidRPr="00291FC3">
                    <w:rPr>
                      <w:rFonts w:ascii="Arial" w:hAnsi="Arial"/>
                      <w:sz w:val="22"/>
                    </w:rPr>
                    <w:t>’</w:t>
                  </w:r>
                  <w:r w:rsidRPr="00291FC3">
                    <w:rPr>
                      <w:rFonts w:ascii="Arial" w:hAnsi="Arial"/>
                      <w:sz w:val="22"/>
                    </w:rPr>
                    <w:t>ils ont été reçus, dans leur langue originale.</w:t>
                  </w:r>
                </w:p>
              </w:tc>
            </w:tr>
            <w:tr w:rsidR="00190037" w:rsidRPr="00291FC3" w14:paraId="5B6C4BFE" w14:textId="77777777" w:rsidTr="005E71C1">
              <w:trPr>
                <w:cantSplit/>
                <w:trHeight w:val="369"/>
              </w:trPr>
              <w:tc>
                <w:tcPr>
                  <w:tcW w:w="1502" w:type="dxa"/>
                </w:tcPr>
                <w:p w14:paraId="25AE870D" w14:textId="77777777" w:rsidR="00015E22" w:rsidRPr="00291FC3" w:rsidRDefault="00015E22" w:rsidP="00C023D4">
                  <w:pPr>
                    <w:keepNext/>
                    <w:spacing w:before="60" w:after="60"/>
                    <w:jc w:val="right"/>
                    <w:rPr>
                      <w:rFonts w:ascii="Arial" w:hAnsi="Arial" w:cs="Arial"/>
                      <w:sz w:val="22"/>
                      <w:szCs w:val="22"/>
                      <w:highlight w:val="yellow"/>
                    </w:rPr>
                  </w:pPr>
                </w:p>
                <w:p w14:paraId="32DEFB2B" w14:textId="77777777" w:rsidR="00015E22" w:rsidRPr="00291FC3" w:rsidRDefault="00015E22" w:rsidP="00C023D4">
                  <w:pPr>
                    <w:keepNext/>
                    <w:spacing w:before="60" w:after="60"/>
                    <w:jc w:val="right"/>
                    <w:rPr>
                      <w:rFonts w:ascii="Arial" w:hAnsi="Arial" w:cs="Arial"/>
                      <w:sz w:val="22"/>
                      <w:szCs w:val="22"/>
                      <w:highlight w:val="yellow"/>
                    </w:rPr>
                  </w:pPr>
                </w:p>
                <w:p w14:paraId="795C66AD" w14:textId="77777777" w:rsidR="00015E22" w:rsidRPr="00291FC3" w:rsidRDefault="00015E22" w:rsidP="00C023D4">
                  <w:pPr>
                    <w:keepNext/>
                    <w:spacing w:before="60" w:after="60"/>
                    <w:jc w:val="right"/>
                    <w:rPr>
                      <w:rFonts w:ascii="Arial" w:hAnsi="Arial" w:cs="Arial"/>
                      <w:sz w:val="22"/>
                      <w:szCs w:val="22"/>
                      <w:highlight w:val="yellow"/>
                    </w:rPr>
                  </w:pPr>
                </w:p>
                <w:p w14:paraId="3AE057F7" w14:textId="77777777" w:rsidR="00015E22" w:rsidRPr="00291FC3" w:rsidRDefault="00015E22" w:rsidP="00C023D4">
                  <w:pPr>
                    <w:keepNext/>
                    <w:spacing w:before="60" w:after="60"/>
                    <w:jc w:val="right"/>
                    <w:rPr>
                      <w:rFonts w:ascii="Arial" w:hAnsi="Arial" w:cs="Arial"/>
                      <w:sz w:val="22"/>
                      <w:szCs w:val="22"/>
                      <w:highlight w:val="yellow"/>
                    </w:rPr>
                  </w:pPr>
                </w:p>
                <w:p w14:paraId="28024384" w14:textId="77777777" w:rsidR="00190037" w:rsidRPr="00291FC3" w:rsidRDefault="00190037" w:rsidP="00291FC3">
                  <w:pPr>
                    <w:keepNext/>
                    <w:spacing w:before="60" w:after="60"/>
                    <w:rPr>
                      <w:rFonts w:ascii="Arial" w:hAnsi="Arial" w:cs="Arial"/>
                      <w:sz w:val="22"/>
                      <w:szCs w:val="22"/>
                      <w:highlight w:val="yellow"/>
                    </w:rPr>
                  </w:pPr>
                </w:p>
              </w:tc>
              <w:tc>
                <w:tcPr>
                  <w:tcW w:w="4665" w:type="dxa"/>
                </w:tcPr>
                <w:p w14:paraId="79E4D92B" w14:textId="77777777" w:rsidR="00190037" w:rsidRPr="00291FC3" w:rsidRDefault="00190037" w:rsidP="00C023D4">
                  <w:pPr>
                    <w:spacing w:before="60"/>
                    <w:jc w:val="both"/>
                    <w:rPr>
                      <w:rFonts w:ascii="Arial" w:hAnsi="Arial" w:cs="Arial"/>
                      <w:sz w:val="22"/>
                      <w:szCs w:val="22"/>
                    </w:rPr>
                  </w:pPr>
                </w:p>
              </w:tc>
            </w:tr>
            <w:tr w:rsidR="00190037" w:rsidRPr="00291FC3" w14:paraId="2F282D83" w14:textId="77777777" w:rsidTr="005E71C1">
              <w:trPr>
                <w:cantSplit/>
              </w:trPr>
              <w:tc>
                <w:tcPr>
                  <w:tcW w:w="1502" w:type="dxa"/>
                </w:tcPr>
                <w:p w14:paraId="64AC3566"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30 juin</w:t>
                  </w:r>
                </w:p>
                <w:p w14:paraId="3D8979FF" w14:textId="3AA36C80"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65" w:type="dxa"/>
                </w:tcPr>
                <w:p w14:paraId="3E9682E4" w14:textId="7E826CC7" w:rsidR="00190037" w:rsidRPr="00291FC3" w:rsidRDefault="00190037" w:rsidP="005E71C1">
                  <w:pPr>
                    <w:spacing w:before="60" w:after="60"/>
                    <w:jc w:val="both"/>
                    <w:rPr>
                      <w:rFonts w:ascii="Arial" w:hAnsi="Arial" w:cs="Arial"/>
                      <w:sz w:val="22"/>
                      <w:szCs w:val="22"/>
                    </w:rPr>
                  </w:pPr>
                  <w:r w:rsidRPr="00291FC3">
                    <w:rPr>
                      <w:rFonts w:ascii="Arial" w:hAnsi="Arial"/>
                      <w:sz w:val="22"/>
                    </w:rPr>
                    <w:t>Date limite à laquelle le Secrétariat doit avoir traité les dossiers, y compris l</w:t>
                  </w:r>
                  <w:r w:rsidR="00015E22" w:rsidRPr="00291FC3">
                    <w:rPr>
                      <w:rFonts w:ascii="Arial" w:hAnsi="Arial"/>
                      <w:sz w:val="22"/>
                    </w:rPr>
                    <w:t>’</w:t>
                  </w:r>
                  <w:r w:rsidRPr="00291FC3">
                    <w:rPr>
                      <w:rFonts w:ascii="Arial" w:hAnsi="Arial"/>
                      <w:sz w:val="22"/>
                    </w:rPr>
                    <w:t>enregistrement et l</w:t>
                  </w:r>
                  <w:r w:rsidR="00015E22" w:rsidRPr="00291FC3">
                    <w:rPr>
                      <w:rFonts w:ascii="Arial" w:hAnsi="Arial"/>
                      <w:sz w:val="22"/>
                    </w:rPr>
                    <w:t>’</w:t>
                  </w:r>
                  <w:r w:rsidRPr="00291FC3">
                    <w:rPr>
                      <w:rFonts w:ascii="Arial" w:hAnsi="Arial"/>
                      <w:sz w:val="22"/>
                    </w:rPr>
                    <w:t>accusé de réception. Si un dossier est incomplet, l</w:t>
                  </w:r>
                  <w:r w:rsidR="00015E22" w:rsidRPr="00291FC3">
                    <w:rPr>
                      <w:rFonts w:ascii="Arial" w:hAnsi="Arial"/>
                      <w:sz w:val="22"/>
                    </w:rPr>
                    <w:t>’</w:t>
                  </w:r>
                  <w:r w:rsidRPr="00291FC3">
                    <w:rPr>
                      <w:rFonts w:ascii="Arial" w:hAnsi="Arial"/>
                      <w:sz w:val="22"/>
                    </w:rPr>
                    <w:t>État partie est invité à le compléter.</w:t>
                  </w:r>
                </w:p>
              </w:tc>
            </w:tr>
            <w:tr w:rsidR="00190037" w:rsidRPr="00291FC3" w14:paraId="370E670B" w14:textId="77777777" w:rsidTr="005E71C1">
              <w:trPr>
                <w:cantSplit/>
              </w:trPr>
              <w:tc>
                <w:tcPr>
                  <w:tcW w:w="1502" w:type="dxa"/>
                </w:tcPr>
                <w:p w14:paraId="3B044A59" w14:textId="77777777" w:rsidR="00F315B5" w:rsidRDefault="00190037" w:rsidP="00C023D4">
                  <w:pPr>
                    <w:spacing w:before="60" w:after="60"/>
                    <w:jc w:val="right"/>
                    <w:rPr>
                      <w:rFonts w:ascii="Arial" w:hAnsi="Arial"/>
                      <w:sz w:val="22"/>
                    </w:rPr>
                  </w:pPr>
                  <w:r w:rsidRPr="00291FC3">
                    <w:rPr>
                      <w:rFonts w:ascii="Arial" w:hAnsi="Arial"/>
                      <w:sz w:val="22"/>
                    </w:rPr>
                    <w:t>30 </w:t>
                  </w:r>
                </w:p>
                <w:p w14:paraId="3366B569" w14:textId="0C307BA6" w:rsidR="00190037" w:rsidRPr="00291FC3" w:rsidRDefault="00190037" w:rsidP="00C023D4">
                  <w:pPr>
                    <w:spacing w:before="60" w:after="60"/>
                    <w:jc w:val="right"/>
                    <w:rPr>
                      <w:rFonts w:ascii="Arial" w:hAnsi="Arial" w:cs="Arial"/>
                      <w:sz w:val="22"/>
                      <w:szCs w:val="22"/>
                    </w:rPr>
                  </w:pPr>
                  <w:r w:rsidRPr="00291FC3">
                    <w:rPr>
                      <w:rFonts w:ascii="Arial" w:hAnsi="Arial"/>
                      <w:sz w:val="22"/>
                    </w:rPr>
                    <w:t>septembre</w:t>
                  </w:r>
                </w:p>
                <w:p w14:paraId="064A472D" w14:textId="57F3B0CA"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65" w:type="dxa"/>
                </w:tcPr>
                <w:p w14:paraId="32F33393" w14:textId="6C940294" w:rsidR="00190037" w:rsidRPr="00291FC3" w:rsidRDefault="00190037" w:rsidP="005E71C1">
                  <w:pPr>
                    <w:spacing w:before="60"/>
                    <w:jc w:val="both"/>
                    <w:rPr>
                      <w:rFonts w:ascii="Arial" w:hAnsi="Arial" w:cs="Arial"/>
                      <w:sz w:val="22"/>
                      <w:szCs w:val="22"/>
                    </w:rPr>
                  </w:pPr>
                  <w:r w:rsidRPr="00291FC3">
                    <w:rPr>
                      <w:rFonts w:ascii="Arial" w:hAnsi="Arial"/>
                      <w:sz w:val="22"/>
                    </w:rPr>
                    <w:t>Date limite à laquelle les informations manquantes requises pour compléter le dossier, si nécessaire, doivent être soumises par l</w:t>
                  </w:r>
                  <w:r w:rsidR="00015E22" w:rsidRPr="00291FC3">
                    <w:rPr>
                      <w:rFonts w:ascii="Arial" w:hAnsi="Arial"/>
                      <w:sz w:val="22"/>
                    </w:rPr>
                    <w:t>’</w:t>
                  </w:r>
                  <w:r w:rsidRPr="00291FC3">
                    <w:rPr>
                      <w:rFonts w:ascii="Arial" w:hAnsi="Arial"/>
                      <w:sz w:val="22"/>
                    </w:rPr>
                    <w:t xml:space="preserve">État partie au Secrétariat. Les dossiers restés incomplets sont retournés aux États parties qui peuvent les compléter pour un prochain cycle. Les dossiers révisés par les États soumissionnaires et transmis au Secrétariat </w:t>
                  </w:r>
                  <w:proofErr w:type="gramStart"/>
                  <w:r w:rsidRPr="00291FC3">
                    <w:rPr>
                      <w:rFonts w:ascii="Arial" w:hAnsi="Arial"/>
                      <w:sz w:val="22"/>
                    </w:rPr>
                    <w:t>suite à</w:t>
                  </w:r>
                  <w:proofErr w:type="gramEnd"/>
                  <w:r w:rsidRPr="00291FC3">
                    <w:rPr>
                      <w:rFonts w:ascii="Arial" w:hAnsi="Arial"/>
                      <w:sz w:val="22"/>
                    </w:rPr>
                    <w:t xml:space="preserve"> ses demandes d</w:t>
                  </w:r>
                  <w:r w:rsidR="00015E22" w:rsidRPr="00291FC3">
                    <w:rPr>
                      <w:rFonts w:ascii="Arial" w:hAnsi="Arial"/>
                      <w:sz w:val="22"/>
                    </w:rPr>
                    <w:t>’</w:t>
                  </w:r>
                  <w:r w:rsidRPr="00291FC3">
                    <w:rPr>
                      <w:rFonts w:ascii="Arial" w:hAnsi="Arial"/>
                      <w:sz w:val="22"/>
                    </w:rPr>
                    <w:t>informations complémentaires sont publiés sur le site et remplacent les dossiers initialement reçus. Leurs traductions en anglais ou en français sont également publiées sur le site dès qu</w:t>
                  </w:r>
                  <w:r w:rsidR="00015E22" w:rsidRPr="00291FC3">
                    <w:rPr>
                      <w:rFonts w:ascii="Arial" w:hAnsi="Arial"/>
                      <w:sz w:val="22"/>
                    </w:rPr>
                    <w:t>’</w:t>
                  </w:r>
                  <w:r w:rsidRPr="00291FC3">
                    <w:rPr>
                      <w:rFonts w:ascii="Arial" w:hAnsi="Arial"/>
                      <w:sz w:val="22"/>
                    </w:rPr>
                    <w:t>elles sont disponibles.</w:t>
                  </w:r>
                </w:p>
              </w:tc>
            </w:tr>
            <w:tr w:rsidR="00190037" w:rsidRPr="00291FC3" w14:paraId="6BBAE569" w14:textId="77777777" w:rsidTr="005E71C1">
              <w:trPr>
                <w:cantSplit/>
              </w:trPr>
              <w:tc>
                <w:tcPr>
                  <w:tcW w:w="1502" w:type="dxa"/>
                </w:tcPr>
                <w:p w14:paraId="3E93E644"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janvier</w:t>
                  </w:r>
                </w:p>
                <w:p w14:paraId="4AF58D4D" w14:textId="478C1C8C"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665" w:type="dxa"/>
                </w:tcPr>
                <w:p w14:paraId="493AB191" w14:textId="5244BB6A" w:rsidR="00A60584" w:rsidRPr="00291FC3" w:rsidRDefault="00190037" w:rsidP="00CA0F91">
                  <w:pPr>
                    <w:spacing w:before="60" w:after="60"/>
                    <w:jc w:val="both"/>
                    <w:rPr>
                      <w:rFonts w:ascii="Arial" w:hAnsi="Arial" w:cs="Arial"/>
                      <w:sz w:val="22"/>
                      <w:szCs w:val="22"/>
                    </w:rPr>
                  </w:pPr>
                  <w:r w:rsidRPr="00291FC3">
                    <w:rPr>
                      <w:rFonts w:ascii="Arial" w:hAnsi="Arial"/>
                      <w:sz w:val="22"/>
                    </w:rPr>
                    <w:t>Date limite à laquelle les demandes de transfert de la Liste représentative du patrimoine culturel immatériel de l</w:t>
                  </w:r>
                  <w:r w:rsidR="00015E22" w:rsidRPr="00291FC3">
                    <w:rPr>
                      <w:rFonts w:ascii="Arial" w:hAnsi="Arial"/>
                      <w:sz w:val="22"/>
                    </w:rPr>
                    <w:t>’</w:t>
                  </w:r>
                  <w:r w:rsidRPr="00291FC3">
                    <w:rPr>
                      <w:rFonts w:ascii="Arial" w:hAnsi="Arial"/>
                      <w:sz w:val="22"/>
                    </w:rPr>
                    <w:t>humanité à la Liste du patrimoine culturel immatériel nécessitant une sauvegarde urgente doivent être reçues par le Secrétariat. Le Secrétariat enregistre les demandes. Les demandes sont transmises à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la même année que leur soumission, sans vérifier si un dossier est complet.</w:t>
                  </w:r>
                </w:p>
              </w:tc>
            </w:tr>
          </w:tbl>
          <w:p w14:paraId="7BFFCFE6" w14:textId="77777777" w:rsidR="00190037" w:rsidRPr="00291FC3" w:rsidRDefault="00190037" w:rsidP="00C023D4">
            <w:pPr>
              <w:spacing w:before="120" w:after="120"/>
              <w:jc w:val="both"/>
              <w:rPr>
                <w:rFonts w:ascii="Arial" w:hAnsi="Arial" w:cs="Arial"/>
                <w:b/>
                <w:bCs/>
                <w:sz w:val="22"/>
                <w:szCs w:val="22"/>
              </w:rPr>
            </w:pPr>
          </w:p>
        </w:tc>
        <w:tc>
          <w:tcPr>
            <w:tcW w:w="248" w:type="pct"/>
            <w:tcBorders>
              <w:top w:val="single" w:sz="4" w:space="0" w:color="auto"/>
              <w:left w:val="single" w:sz="4" w:space="0" w:color="auto"/>
              <w:bottom w:val="single" w:sz="4" w:space="0" w:color="auto"/>
              <w:right w:val="single" w:sz="4" w:space="0" w:color="auto"/>
            </w:tcBorders>
          </w:tcPr>
          <w:p w14:paraId="1FD793FB" w14:textId="77777777" w:rsidR="00190037" w:rsidRPr="00291FC3" w:rsidRDefault="00190037" w:rsidP="00C023D4">
            <w:pPr>
              <w:spacing w:before="120" w:after="120"/>
              <w:jc w:val="both"/>
              <w:rPr>
                <w:rFonts w:ascii="Arial" w:hAnsi="Arial" w:cs="Arial"/>
                <w:b/>
                <w:bCs/>
                <w:sz w:val="22"/>
                <w:szCs w:val="22"/>
              </w:rPr>
            </w:pPr>
            <w:r w:rsidRPr="00291FC3">
              <w:rPr>
                <w:rFonts w:ascii="Arial" w:hAnsi="Arial"/>
                <w:b/>
                <w:sz w:val="22"/>
              </w:rPr>
              <w:t>54</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670"/>
            </w:tblGrid>
            <w:tr w:rsidR="00190037" w:rsidRPr="00291FC3" w14:paraId="4C584DA3" w14:textId="77777777" w:rsidTr="005E71C1">
              <w:trPr>
                <w:cantSplit/>
              </w:trPr>
              <w:tc>
                <w:tcPr>
                  <w:tcW w:w="1596" w:type="dxa"/>
                </w:tcPr>
                <w:p w14:paraId="2C54CD8A"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1 :</w:t>
                  </w:r>
                </w:p>
              </w:tc>
              <w:tc>
                <w:tcPr>
                  <w:tcW w:w="4670" w:type="dxa"/>
                </w:tcPr>
                <w:p w14:paraId="4C5DFA4E" w14:textId="31D6C24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r w:rsidR="00190037" w:rsidRPr="00291FC3" w14:paraId="4FCD54B9" w14:textId="77777777" w:rsidTr="005E71C1">
              <w:trPr>
                <w:cantSplit/>
              </w:trPr>
              <w:tc>
                <w:tcPr>
                  <w:tcW w:w="1596" w:type="dxa"/>
                </w:tcPr>
                <w:p w14:paraId="72A7551B"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mars</w:t>
                  </w:r>
                </w:p>
                <w:p w14:paraId="1878E66C" w14:textId="16E7F670" w:rsidR="00190037" w:rsidRPr="00291FC3" w:rsidRDefault="00015E22"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0</w:t>
                  </w:r>
                </w:p>
              </w:tc>
              <w:tc>
                <w:tcPr>
                  <w:tcW w:w="4670" w:type="dxa"/>
                </w:tcPr>
                <w:p w14:paraId="712C6937" w14:textId="5BE5D59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r w:rsidR="00190037" w:rsidRPr="00291FC3" w14:paraId="56A07342" w14:textId="77777777" w:rsidTr="005E71C1">
              <w:trPr>
                <w:cantSplit/>
              </w:trPr>
              <w:tc>
                <w:tcPr>
                  <w:tcW w:w="1596" w:type="dxa"/>
                </w:tcPr>
                <w:p w14:paraId="13380CDC" w14:textId="77777777" w:rsidR="00190037" w:rsidRPr="00291FC3" w:rsidRDefault="00190037" w:rsidP="00C023D4">
                  <w:pPr>
                    <w:spacing w:before="60" w:after="60"/>
                    <w:jc w:val="right"/>
                    <w:rPr>
                      <w:rFonts w:ascii="Arial" w:hAnsi="Arial" w:cs="Arial"/>
                      <w:strike/>
                      <w:sz w:val="22"/>
                      <w:szCs w:val="22"/>
                      <w:highlight w:val="lightGray"/>
                    </w:rPr>
                  </w:pPr>
                  <w:r w:rsidRPr="00291FC3">
                    <w:rPr>
                      <w:rFonts w:ascii="Arial" w:hAnsi="Arial"/>
                      <w:strike/>
                      <w:sz w:val="22"/>
                      <w:highlight w:val="lightGray"/>
                    </w:rPr>
                    <w:t>15 décembre</w:t>
                  </w:r>
                </w:p>
                <w:p w14:paraId="68520A9E" w14:textId="1B3FF6D2" w:rsidR="00190037" w:rsidRPr="00291FC3" w:rsidRDefault="00015E22" w:rsidP="00C023D4">
                  <w:pPr>
                    <w:spacing w:before="60" w:after="60"/>
                    <w:jc w:val="right"/>
                    <w:rPr>
                      <w:rFonts w:ascii="Arial" w:hAnsi="Arial" w:cs="Arial"/>
                      <w:sz w:val="22"/>
                      <w:szCs w:val="22"/>
                      <w:highlight w:val="lightGray"/>
                    </w:rPr>
                  </w:pPr>
                  <w:r w:rsidRPr="00291FC3">
                    <w:rPr>
                      <w:rFonts w:ascii="Arial" w:hAnsi="Arial"/>
                      <w:strike/>
                      <w:sz w:val="22"/>
                      <w:highlight w:val="lightGray"/>
                    </w:rPr>
                    <w:t>a</w:t>
                  </w:r>
                  <w:r w:rsidR="00190037" w:rsidRPr="00291FC3">
                    <w:rPr>
                      <w:rFonts w:ascii="Arial" w:hAnsi="Arial"/>
                      <w:strike/>
                      <w:sz w:val="22"/>
                      <w:highlight w:val="lightGray"/>
                    </w:rPr>
                    <w:t>nnée 0</w:t>
                  </w:r>
                </w:p>
              </w:tc>
              <w:tc>
                <w:tcPr>
                  <w:tcW w:w="4670" w:type="dxa"/>
                </w:tcPr>
                <w:p w14:paraId="2E6E402B" w14:textId="7FEC9E84" w:rsidR="00190037" w:rsidRPr="00291FC3" w:rsidRDefault="00190037" w:rsidP="00C023D4">
                  <w:pPr>
                    <w:spacing w:before="60" w:after="60"/>
                    <w:jc w:val="both"/>
                    <w:rPr>
                      <w:rFonts w:ascii="Arial" w:hAnsi="Arial" w:cs="Arial"/>
                      <w:strike/>
                      <w:sz w:val="22"/>
                      <w:szCs w:val="22"/>
                      <w:highlight w:val="lightGray"/>
                    </w:rPr>
                  </w:pPr>
                  <w:r w:rsidRPr="00291FC3">
                    <w:rPr>
                      <w:rFonts w:ascii="Arial" w:hAnsi="Arial"/>
                      <w:strike/>
                      <w:sz w:val="22"/>
                      <w:highlight w:val="lightGray"/>
                    </w:rPr>
                    <w:t>Date limite pour la soumission des demandes de transfert de la Liste du patrimoine culturel immatériel nécessitant une sauvegarde urgente à la Liste représentative du patrimoine culturel immatériel de l</w:t>
                  </w:r>
                  <w:r w:rsidR="00015E22" w:rsidRPr="00291FC3">
                    <w:rPr>
                      <w:rFonts w:ascii="Arial" w:hAnsi="Arial"/>
                      <w:strike/>
                      <w:sz w:val="22"/>
                      <w:highlight w:val="lightGray"/>
                    </w:rPr>
                    <w:t>’</w:t>
                  </w:r>
                  <w:r w:rsidRPr="00291FC3">
                    <w:rPr>
                      <w:rFonts w:ascii="Arial" w:hAnsi="Arial"/>
                      <w:strike/>
                      <w:sz w:val="22"/>
                      <w:highlight w:val="lightGray"/>
                    </w:rPr>
                    <w:t>humanité.</w:t>
                  </w:r>
                </w:p>
              </w:tc>
            </w:tr>
            <w:tr w:rsidR="00190037" w:rsidRPr="00291FC3" w14:paraId="4E52E7D9" w14:textId="77777777" w:rsidTr="005E71C1">
              <w:trPr>
                <w:cantSplit/>
              </w:trPr>
              <w:tc>
                <w:tcPr>
                  <w:tcW w:w="1596" w:type="dxa"/>
                </w:tcPr>
                <w:p w14:paraId="6472894F"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mars</w:t>
                  </w:r>
                </w:p>
                <w:p w14:paraId="190A8FD7" w14:textId="338A320E" w:rsidR="00190037" w:rsidRPr="00291FC3" w:rsidRDefault="00015E22"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70" w:type="dxa"/>
                </w:tcPr>
                <w:p w14:paraId="369399EF" w14:textId="50AE16D1" w:rsidR="00190037" w:rsidRPr="00291FC3" w:rsidRDefault="00943C2D" w:rsidP="00C023D4">
                  <w:pPr>
                    <w:spacing w:before="60" w:after="60"/>
                    <w:jc w:val="both"/>
                    <w:rPr>
                      <w:rFonts w:ascii="Arial" w:hAnsi="Arial"/>
                      <w:sz w:val="22"/>
                    </w:rPr>
                  </w:pPr>
                  <w:r w:rsidRPr="00291FC3">
                    <w:rPr>
                      <w:rFonts w:ascii="Arial" w:hAnsi="Arial"/>
                      <w:sz w:val="22"/>
                    </w:rPr>
                    <w:t>Aucun changement</w:t>
                  </w:r>
                </w:p>
                <w:p w14:paraId="729835C4" w14:textId="77777777" w:rsidR="00015E22" w:rsidRPr="00291FC3" w:rsidRDefault="00015E22" w:rsidP="00C023D4">
                  <w:pPr>
                    <w:spacing w:before="60" w:after="60"/>
                    <w:jc w:val="both"/>
                    <w:rPr>
                      <w:rFonts w:ascii="Arial" w:hAnsi="Arial" w:cs="Arial"/>
                      <w:sz w:val="22"/>
                    </w:rPr>
                  </w:pPr>
                </w:p>
                <w:p w14:paraId="26668BAA" w14:textId="77777777" w:rsidR="00015E22" w:rsidRPr="00291FC3" w:rsidRDefault="00015E22" w:rsidP="00C023D4">
                  <w:pPr>
                    <w:spacing w:before="60" w:after="60"/>
                    <w:jc w:val="both"/>
                    <w:rPr>
                      <w:rFonts w:ascii="Arial" w:hAnsi="Arial" w:cs="Arial"/>
                      <w:sz w:val="22"/>
                    </w:rPr>
                  </w:pPr>
                </w:p>
                <w:p w14:paraId="4A79BC60" w14:textId="77777777" w:rsidR="00015E22" w:rsidRPr="00291FC3" w:rsidRDefault="00015E22" w:rsidP="00C023D4">
                  <w:pPr>
                    <w:spacing w:before="60" w:after="60"/>
                    <w:jc w:val="both"/>
                    <w:rPr>
                      <w:rFonts w:ascii="Arial" w:hAnsi="Arial" w:cs="Arial"/>
                      <w:sz w:val="22"/>
                    </w:rPr>
                  </w:pPr>
                </w:p>
                <w:p w14:paraId="34F97A61" w14:textId="77777777" w:rsidR="00015E22" w:rsidRPr="00291FC3" w:rsidRDefault="00015E22" w:rsidP="00C023D4">
                  <w:pPr>
                    <w:spacing w:before="60" w:after="60"/>
                    <w:jc w:val="both"/>
                    <w:rPr>
                      <w:rFonts w:ascii="Arial" w:hAnsi="Arial" w:cs="Arial"/>
                      <w:sz w:val="22"/>
                    </w:rPr>
                  </w:pPr>
                </w:p>
                <w:p w14:paraId="7F892439" w14:textId="77777777" w:rsidR="00015E22" w:rsidRPr="00291FC3" w:rsidRDefault="00015E22" w:rsidP="00C023D4">
                  <w:pPr>
                    <w:spacing w:before="60" w:after="60"/>
                    <w:jc w:val="both"/>
                    <w:rPr>
                      <w:rFonts w:ascii="Arial" w:hAnsi="Arial" w:cs="Arial"/>
                      <w:sz w:val="22"/>
                    </w:rPr>
                  </w:pPr>
                </w:p>
                <w:p w14:paraId="021DF97E" w14:textId="77777777" w:rsidR="00015E22" w:rsidRPr="00291FC3" w:rsidRDefault="00015E22" w:rsidP="00C023D4">
                  <w:pPr>
                    <w:spacing w:before="60" w:after="60"/>
                    <w:jc w:val="both"/>
                    <w:rPr>
                      <w:rFonts w:ascii="Arial" w:hAnsi="Arial" w:cs="Arial"/>
                      <w:sz w:val="22"/>
                    </w:rPr>
                  </w:pPr>
                </w:p>
                <w:p w14:paraId="09E5E505" w14:textId="77777777" w:rsidR="00015E22" w:rsidRPr="00291FC3" w:rsidRDefault="00015E22" w:rsidP="00C023D4">
                  <w:pPr>
                    <w:spacing w:before="60" w:after="60"/>
                    <w:jc w:val="both"/>
                    <w:rPr>
                      <w:rFonts w:ascii="Arial" w:hAnsi="Arial" w:cs="Arial"/>
                      <w:sz w:val="22"/>
                    </w:rPr>
                  </w:pPr>
                </w:p>
                <w:p w14:paraId="04FC7044" w14:textId="77777777" w:rsidR="00015E22" w:rsidRPr="00291FC3" w:rsidRDefault="00015E22" w:rsidP="00C023D4">
                  <w:pPr>
                    <w:spacing w:before="60" w:after="60"/>
                    <w:jc w:val="both"/>
                    <w:rPr>
                      <w:rFonts w:ascii="Arial" w:hAnsi="Arial" w:cs="Arial"/>
                      <w:sz w:val="22"/>
                    </w:rPr>
                  </w:pPr>
                </w:p>
                <w:p w14:paraId="4973FFA4" w14:textId="77777777" w:rsidR="00015E22" w:rsidRPr="00291FC3" w:rsidRDefault="00015E22" w:rsidP="00C023D4">
                  <w:pPr>
                    <w:spacing w:before="60" w:after="60"/>
                    <w:jc w:val="both"/>
                    <w:rPr>
                      <w:rFonts w:ascii="Arial" w:hAnsi="Arial" w:cs="Arial"/>
                      <w:sz w:val="22"/>
                    </w:rPr>
                  </w:pPr>
                </w:p>
                <w:p w14:paraId="1B834F5D" w14:textId="77777777" w:rsidR="00015E22" w:rsidRDefault="00015E22" w:rsidP="004C4B07">
                  <w:pPr>
                    <w:jc w:val="both"/>
                    <w:rPr>
                      <w:rFonts w:ascii="Arial" w:hAnsi="Arial" w:cs="Arial"/>
                      <w:sz w:val="22"/>
                    </w:rPr>
                  </w:pPr>
                </w:p>
                <w:p w14:paraId="6466D437" w14:textId="77777777" w:rsidR="004C4B07" w:rsidRPr="00291FC3" w:rsidRDefault="004C4B07" w:rsidP="004C4B07">
                  <w:pPr>
                    <w:jc w:val="both"/>
                    <w:rPr>
                      <w:rFonts w:ascii="Arial" w:hAnsi="Arial" w:cs="Arial"/>
                      <w:sz w:val="22"/>
                    </w:rPr>
                  </w:pPr>
                </w:p>
                <w:p w14:paraId="453CF369" w14:textId="4200EBC4" w:rsidR="00015E22" w:rsidRPr="00291FC3" w:rsidRDefault="00015E22" w:rsidP="004C4B07">
                  <w:pPr>
                    <w:jc w:val="both"/>
                    <w:rPr>
                      <w:rFonts w:ascii="Arial" w:hAnsi="Arial" w:cs="Arial"/>
                      <w:sz w:val="22"/>
                      <w:szCs w:val="22"/>
                    </w:rPr>
                  </w:pPr>
                </w:p>
              </w:tc>
            </w:tr>
            <w:tr w:rsidR="00190037" w:rsidRPr="00291FC3" w14:paraId="6B8F7FBC" w14:textId="77777777" w:rsidTr="005E71C1">
              <w:trPr>
                <w:cantSplit/>
              </w:trPr>
              <w:tc>
                <w:tcPr>
                  <w:tcW w:w="1596" w:type="dxa"/>
                </w:tcPr>
                <w:p w14:paraId="5D954E77" w14:textId="77777777" w:rsidR="00190037" w:rsidRPr="00291FC3" w:rsidRDefault="00190037" w:rsidP="00C023D4">
                  <w:pPr>
                    <w:spacing w:before="60" w:after="60"/>
                    <w:jc w:val="right"/>
                    <w:rPr>
                      <w:rFonts w:ascii="Arial" w:hAnsi="Arial" w:cs="Arial"/>
                      <w:b/>
                      <w:bCs/>
                      <w:sz w:val="22"/>
                      <w:szCs w:val="22"/>
                      <w:highlight w:val="lightGray"/>
                      <w:u w:val="single"/>
                    </w:rPr>
                  </w:pPr>
                  <w:r w:rsidRPr="00291FC3">
                    <w:rPr>
                      <w:rFonts w:ascii="Arial" w:hAnsi="Arial"/>
                      <w:b/>
                      <w:sz w:val="22"/>
                      <w:highlight w:val="lightGray"/>
                      <w:u w:val="single"/>
                    </w:rPr>
                    <w:t>30 juin</w:t>
                  </w:r>
                </w:p>
                <w:p w14:paraId="43F014E1" w14:textId="41AE24D2" w:rsidR="00190037" w:rsidRPr="00291FC3" w:rsidRDefault="00015E22" w:rsidP="00C023D4">
                  <w:pPr>
                    <w:spacing w:before="60" w:after="60"/>
                    <w:jc w:val="right"/>
                    <w:rPr>
                      <w:rFonts w:ascii="Arial" w:hAnsi="Arial" w:cs="Arial"/>
                      <w:sz w:val="22"/>
                      <w:szCs w:val="22"/>
                      <w:highlight w:val="lightGray"/>
                    </w:rPr>
                  </w:pPr>
                  <w:r w:rsidRPr="00291FC3">
                    <w:rPr>
                      <w:rFonts w:ascii="Arial" w:hAnsi="Arial"/>
                      <w:b/>
                      <w:sz w:val="22"/>
                      <w:highlight w:val="lightGray"/>
                      <w:u w:val="single"/>
                    </w:rPr>
                    <w:t>a</w:t>
                  </w:r>
                  <w:r w:rsidR="00190037" w:rsidRPr="00291FC3">
                    <w:rPr>
                      <w:rFonts w:ascii="Arial" w:hAnsi="Arial"/>
                      <w:b/>
                      <w:sz w:val="22"/>
                      <w:highlight w:val="lightGray"/>
                      <w:u w:val="single"/>
                    </w:rPr>
                    <w:t>nnée 1</w:t>
                  </w:r>
                </w:p>
              </w:tc>
              <w:tc>
                <w:tcPr>
                  <w:tcW w:w="4670" w:type="dxa"/>
                </w:tcPr>
                <w:p w14:paraId="677E18EF" w14:textId="0B7DBEFC" w:rsidR="00190037" w:rsidRPr="00291FC3" w:rsidRDefault="00190037" w:rsidP="00C023D4">
                  <w:pPr>
                    <w:spacing w:before="60" w:after="60"/>
                    <w:jc w:val="both"/>
                    <w:rPr>
                      <w:rFonts w:ascii="Arial" w:hAnsi="Arial" w:cs="Arial"/>
                      <w:b/>
                      <w:bCs/>
                      <w:sz w:val="22"/>
                      <w:szCs w:val="22"/>
                      <w:highlight w:val="lightGray"/>
                      <w:u w:val="single"/>
                    </w:rPr>
                  </w:pPr>
                  <w:r w:rsidRPr="00291FC3">
                    <w:rPr>
                      <w:rFonts w:ascii="Arial" w:hAnsi="Arial"/>
                      <w:b/>
                      <w:sz w:val="22"/>
                      <w:highlight w:val="lightGray"/>
                      <w:u w:val="single"/>
                    </w:rPr>
                    <w:t>Date limite pour la soumission des demandes de transfert de la Liste du patrimoine culturel immatériel nécessitant une sauvegarde urgente à la Liste représentative du patrimoine culturel immatériel de l</w:t>
                  </w:r>
                  <w:r w:rsidR="00015E22" w:rsidRPr="00291FC3">
                    <w:rPr>
                      <w:rFonts w:ascii="Arial" w:hAnsi="Arial"/>
                      <w:b/>
                      <w:sz w:val="22"/>
                      <w:highlight w:val="lightGray"/>
                      <w:u w:val="single"/>
                    </w:rPr>
                    <w:t>’</w:t>
                  </w:r>
                  <w:r w:rsidRPr="00291FC3">
                    <w:rPr>
                      <w:rFonts w:ascii="Arial" w:hAnsi="Arial"/>
                      <w:b/>
                      <w:sz w:val="22"/>
                      <w:highlight w:val="lightGray"/>
                      <w:u w:val="single"/>
                    </w:rPr>
                    <w:t>humanité.</w:t>
                  </w:r>
                </w:p>
              </w:tc>
            </w:tr>
            <w:tr w:rsidR="00190037" w:rsidRPr="00291FC3" w14:paraId="56552EB2" w14:textId="77777777" w:rsidTr="005E71C1">
              <w:trPr>
                <w:cantSplit/>
              </w:trPr>
              <w:tc>
                <w:tcPr>
                  <w:tcW w:w="1596" w:type="dxa"/>
                </w:tcPr>
                <w:p w14:paraId="7B24333F" w14:textId="77777777" w:rsidR="00190037" w:rsidRPr="00291FC3" w:rsidRDefault="00190037" w:rsidP="00C023D4">
                  <w:pPr>
                    <w:spacing w:before="60" w:after="60"/>
                    <w:jc w:val="right"/>
                    <w:rPr>
                      <w:rFonts w:ascii="Arial" w:hAnsi="Arial" w:cs="Arial"/>
                      <w:strike/>
                      <w:sz w:val="22"/>
                      <w:szCs w:val="22"/>
                      <w:u w:val="single"/>
                    </w:rPr>
                  </w:pPr>
                  <w:r w:rsidRPr="00291FC3">
                    <w:rPr>
                      <w:rFonts w:ascii="Arial" w:hAnsi="Arial"/>
                      <w:strike/>
                      <w:sz w:val="22"/>
                    </w:rPr>
                    <w:t>30 juin</w:t>
                  </w:r>
                  <w:r w:rsidRPr="00291FC3">
                    <w:rPr>
                      <w:rFonts w:ascii="Arial" w:hAnsi="Arial"/>
                      <w:strike/>
                      <w:sz w:val="22"/>
                      <w:u w:val="single"/>
                    </w:rPr>
                    <w:t xml:space="preserve"> </w:t>
                  </w:r>
                </w:p>
                <w:p w14:paraId="36CF0414" w14:textId="77777777" w:rsidR="00190037" w:rsidRPr="00291FC3" w:rsidRDefault="00190037" w:rsidP="00C023D4">
                  <w:pPr>
                    <w:spacing w:before="60" w:after="60"/>
                    <w:jc w:val="right"/>
                    <w:rPr>
                      <w:rFonts w:ascii="Arial" w:hAnsi="Arial" w:cs="Arial"/>
                      <w:sz w:val="22"/>
                      <w:szCs w:val="22"/>
                    </w:rPr>
                  </w:pPr>
                  <w:r w:rsidRPr="00291FC3">
                    <w:rPr>
                      <w:rFonts w:ascii="Arial" w:hAnsi="Arial"/>
                      <w:b/>
                      <w:sz w:val="22"/>
                      <w:u w:val="single"/>
                    </w:rPr>
                    <w:t>31 août</w:t>
                  </w:r>
                </w:p>
                <w:p w14:paraId="3EDC4769" w14:textId="72147F0B"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70" w:type="dxa"/>
                </w:tcPr>
                <w:p w14:paraId="035105B9" w14:textId="19FF9EF9" w:rsidR="005E71C1" w:rsidRPr="005E71C1" w:rsidRDefault="00190037" w:rsidP="005E71C1">
                  <w:pPr>
                    <w:spacing w:before="60" w:after="60"/>
                    <w:jc w:val="both"/>
                    <w:rPr>
                      <w:rFonts w:ascii="Arial" w:hAnsi="Arial"/>
                      <w:sz w:val="22"/>
                    </w:rPr>
                  </w:pPr>
                  <w:r w:rsidRPr="00291FC3">
                    <w:rPr>
                      <w:rFonts w:ascii="Arial" w:hAnsi="Arial"/>
                      <w:sz w:val="22"/>
                    </w:rPr>
                    <w:t>Date limite à laquelle le Secrétariat doit avoir traité les dossiers, y compris l</w:t>
                  </w:r>
                  <w:r w:rsidR="00015E22" w:rsidRPr="00291FC3">
                    <w:rPr>
                      <w:rFonts w:ascii="Arial" w:hAnsi="Arial"/>
                      <w:sz w:val="22"/>
                    </w:rPr>
                    <w:t>’</w:t>
                  </w:r>
                  <w:r w:rsidRPr="00291FC3">
                    <w:rPr>
                      <w:rFonts w:ascii="Arial" w:hAnsi="Arial"/>
                      <w:sz w:val="22"/>
                    </w:rPr>
                    <w:t>enregistrement et l</w:t>
                  </w:r>
                  <w:r w:rsidR="00015E22" w:rsidRPr="00291FC3">
                    <w:rPr>
                      <w:rFonts w:ascii="Arial" w:hAnsi="Arial"/>
                      <w:sz w:val="22"/>
                    </w:rPr>
                    <w:t>’</w:t>
                  </w:r>
                  <w:r w:rsidRPr="00291FC3">
                    <w:rPr>
                      <w:rFonts w:ascii="Arial" w:hAnsi="Arial"/>
                      <w:sz w:val="22"/>
                    </w:rPr>
                    <w:t>accusé de réception. Si un dossier est incomplet, l</w:t>
                  </w:r>
                  <w:r w:rsidR="00015E22" w:rsidRPr="00291FC3">
                    <w:rPr>
                      <w:rFonts w:ascii="Arial" w:hAnsi="Arial"/>
                      <w:sz w:val="22"/>
                    </w:rPr>
                    <w:t>’</w:t>
                  </w:r>
                  <w:r w:rsidRPr="00291FC3">
                    <w:rPr>
                      <w:rFonts w:ascii="Arial" w:hAnsi="Arial"/>
                      <w:sz w:val="22"/>
                    </w:rPr>
                    <w:t>État partie est invité à le compléter.</w:t>
                  </w:r>
                </w:p>
              </w:tc>
            </w:tr>
            <w:tr w:rsidR="00190037" w:rsidRPr="00291FC3" w14:paraId="24247CFB" w14:textId="77777777" w:rsidTr="005E71C1">
              <w:trPr>
                <w:cantSplit/>
              </w:trPr>
              <w:tc>
                <w:tcPr>
                  <w:tcW w:w="1596" w:type="dxa"/>
                </w:tcPr>
                <w:p w14:paraId="1CED4E1E" w14:textId="77777777" w:rsidR="00190037" w:rsidRPr="00291FC3" w:rsidRDefault="00190037" w:rsidP="00C023D4">
                  <w:pPr>
                    <w:spacing w:before="60" w:after="60"/>
                    <w:jc w:val="right"/>
                    <w:rPr>
                      <w:rFonts w:ascii="Arial" w:hAnsi="Arial" w:cs="Arial"/>
                      <w:strike/>
                      <w:sz w:val="22"/>
                      <w:szCs w:val="22"/>
                    </w:rPr>
                  </w:pPr>
                  <w:r w:rsidRPr="00291FC3">
                    <w:rPr>
                      <w:rFonts w:ascii="Arial" w:hAnsi="Arial"/>
                      <w:strike/>
                      <w:sz w:val="22"/>
                    </w:rPr>
                    <w:t>30 septembre</w:t>
                  </w:r>
                </w:p>
                <w:p w14:paraId="56DA8B25" w14:textId="77777777" w:rsidR="00190037" w:rsidRPr="00291FC3" w:rsidRDefault="00190037" w:rsidP="00C023D4">
                  <w:pPr>
                    <w:spacing w:before="60" w:after="60"/>
                    <w:jc w:val="right"/>
                    <w:rPr>
                      <w:rFonts w:ascii="Arial" w:hAnsi="Arial" w:cs="Arial"/>
                      <w:b/>
                      <w:bCs/>
                      <w:sz w:val="22"/>
                      <w:szCs w:val="22"/>
                      <w:u w:val="single"/>
                    </w:rPr>
                  </w:pPr>
                  <w:r w:rsidRPr="00291FC3">
                    <w:rPr>
                      <w:rFonts w:ascii="Arial" w:hAnsi="Arial"/>
                      <w:b/>
                      <w:sz w:val="22"/>
                      <w:u w:val="single"/>
                    </w:rPr>
                    <w:t>30 novembre</w:t>
                  </w:r>
                </w:p>
                <w:p w14:paraId="1918F7C4" w14:textId="3357395F"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1</w:t>
                  </w:r>
                </w:p>
              </w:tc>
              <w:tc>
                <w:tcPr>
                  <w:tcW w:w="4670" w:type="dxa"/>
                </w:tcPr>
                <w:p w14:paraId="6DE5CE33" w14:textId="75DFDD6C" w:rsidR="00190037" w:rsidRPr="00291FC3" w:rsidRDefault="00190037" w:rsidP="00C023D4">
                  <w:pPr>
                    <w:spacing w:before="60" w:after="60"/>
                    <w:jc w:val="both"/>
                    <w:rPr>
                      <w:rFonts w:ascii="Arial" w:hAnsi="Arial" w:cs="Arial"/>
                      <w:sz w:val="22"/>
                      <w:szCs w:val="22"/>
                    </w:rPr>
                  </w:pPr>
                  <w:r w:rsidRPr="00291FC3">
                    <w:rPr>
                      <w:rFonts w:ascii="Arial" w:hAnsi="Arial"/>
                      <w:sz w:val="22"/>
                    </w:rPr>
                    <w:t>Date limite à laquelle les informations manquantes requises pour compléter le dossier, si nécessaire, doivent être soumises par l</w:t>
                  </w:r>
                  <w:r w:rsidR="00015E22" w:rsidRPr="00291FC3">
                    <w:rPr>
                      <w:rFonts w:ascii="Arial" w:hAnsi="Arial"/>
                      <w:sz w:val="22"/>
                    </w:rPr>
                    <w:t>’</w:t>
                  </w:r>
                  <w:r w:rsidRPr="00291FC3">
                    <w:rPr>
                      <w:rFonts w:ascii="Arial" w:hAnsi="Arial"/>
                      <w:sz w:val="22"/>
                    </w:rPr>
                    <w:t xml:space="preserve">État partie au Secrétariat. Les dossiers restés incomplets sont retournés aux États parties qui peuvent les compléter pour un prochain cycle. Les dossiers révisés par les États soumissionnaires et transmis au Secrétariat </w:t>
                  </w:r>
                  <w:proofErr w:type="gramStart"/>
                  <w:r w:rsidRPr="00291FC3">
                    <w:rPr>
                      <w:rFonts w:ascii="Arial" w:hAnsi="Arial"/>
                      <w:sz w:val="22"/>
                    </w:rPr>
                    <w:t>suite à</w:t>
                  </w:r>
                  <w:proofErr w:type="gramEnd"/>
                  <w:r w:rsidRPr="00291FC3">
                    <w:rPr>
                      <w:rFonts w:ascii="Arial" w:hAnsi="Arial"/>
                      <w:sz w:val="22"/>
                    </w:rPr>
                    <w:t xml:space="preserve"> ses demandes d</w:t>
                  </w:r>
                  <w:r w:rsidR="00015E22" w:rsidRPr="00291FC3">
                    <w:rPr>
                      <w:rFonts w:ascii="Arial" w:hAnsi="Arial"/>
                      <w:sz w:val="22"/>
                    </w:rPr>
                    <w:t>’</w:t>
                  </w:r>
                  <w:r w:rsidRPr="00291FC3">
                    <w:rPr>
                      <w:rFonts w:ascii="Arial" w:hAnsi="Arial"/>
                      <w:sz w:val="22"/>
                    </w:rPr>
                    <w:t>informations complémentaires sont publiés sur le site et remplacent les dossiers initialement reçus. Leurs traductions en anglais ou en français sont également publiées sur le site dès qu</w:t>
                  </w:r>
                  <w:r w:rsidR="00015E22" w:rsidRPr="00291FC3">
                    <w:rPr>
                      <w:rFonts w:ascii="Arial" w:hAnsi="Arial"/>
                      <w:sz w:val="22"/>
                    </w:rPr>
                    <w:t>’</w:t>
                  </w:r>
                  <w:r w:rsidRPr="00291FC3">
                    <w:rPr>
                      <w:rFonts w:ascii="Arial" w:hAnsi="Arial"/>
                      <w:sz w:val="22"/>
                    </w:rPr>
                    <w:t>elles sont disponibles.</w:t>
                  </w:r>
                </w:p>
              </w:tc>
            </w:tr>
            <w:tr w:rsidR="00190037" w:rsidRPr="00291FC3" w14:paraId="56834BA3" w14:textId="77777777" w:rsidTr="005E71C1">
              <w:trPr>
                <w:cantSplit/>
              </w:trPr>
              <w:tc>
                <w:tcPr>
                  <w:tcW w:w="1596" w:type="dxa"/>
                </w:tcPr>
                <w:p w14:paraId="26DB65CD"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31 janvier</w:t>
                  </w:r>
                </w:p>
                <w:p w14:paraId="49DD414A" w14:textId="283E76F1" w:rsidR="00190037" w:rsidRPr="00291FC3" w:rsidRDefault="00CA0F91"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670" w:type="dxa"/>
                </w:tcPr>
                <w:p w14:paraId="32CCED0D" w14:textId="77777777" w:rsidR="00190037" w:rsidRDefault="00190037" w:rsidP="00C023D4">
                  <w:pPr>
                    <w:spacing w:before="60" w:after="60"/>
                    <w:jc w:val="both"/>
                    <w:rPr>
                      <w:rFonts w:ascii="Arial" w:hAnsi="Arial"/>
                      <w:sz w:val="22"/>
                    </w:rPr>
                  </w:pPr>
                  <w:r w:rsidRPr="00291FC3">
                    <w:rPr>
                      <w:rFonts w:ascii="Arial" w:hAnsi="Arial"/>
                      <w:sz w:val="22"/>
                    </w:rPr>
                    <w:t>Aucun changement.</w:t>
                  </w:r>
                </w:p>
                <w:p w14:paraId="1EC9E39B" w14:textId="77777777" w:rsidR="005E71C1" w:rsidRDefault="005E71C1" w:rsidP="00C023D4">
                  <w:pPr>
                    <w:spacing w:before="60" w:after="60"/>
                    <w:jc w:val="both"/>
                    <w:rPr>
                      <w:rFonts w:ascii="Arial" w:hAnsi="Arial"/>
                      <w:sz w:val="22"/>
                    </w:rPr>
                  </w:pPr>
                </w:p>
                <w:p w14:paraId="62CB0154" w14:textId="77777777" w:rsidR="005E71C1" w:rsidRDefault="005E71C1" w:rsidP="00C023D4">
                  <w:pPr>
                    <w:spacing w:before="60" w:after="60"/>
                    <w:jc w:val="both"/>
                    <w:rPr>
                      <w:rFonts w:ascii="Arial" w:hAnsi="Arial"/>
                      <w:sz w:val="22"/>
                    </w:rPr>
                  </w:pPr>
                </w:p>
                <w:p w14:paraId="6B3860CC" w14:textId="77777777" w:rsidR="005E71C1" w:rsidRDefault="005E71C1" w:rsidP="00C023D4">
                  <w:pPr>
                    <w:spacing w:before="60" w:after="60"/>
                    <w:jc w:val="both"/>
                    <w:rPr>
                      <w:rFonts w:ascii="Arial" w:hAnsi="Arial"/>
                      <w:sz w:val="22"/>
                    </w:rPr>
                  </w:pPr>
                </w:p>
                <w:p w14:paraId="5B66AABA" w14:textId="77777777" w:rsidR="005E71C1" w:rsidRDefault="005E71C1" w:rsidP="00C023D4">
                  <w:pPr>
                    <w:spacing w:before="60" w:after="60"/>
                    <w:jc w:val="both"/>
                    <w:rPr>
                      <w:rFonts w:ascii="Arial" w:hAnsi="Arial"/>
                      <w:sz w:val="22"/>
                    </w:rPr>
                  </w:pPr>
                </w:p>
                <w:p w14:paraId="6D2452A7" w14:textId="77777777" w:rsidR="005E71C1" w:rsidRDefault="005E71C1" w:rsidP="00C023D4">
                  <w:pPr>
                    <w:spacing w:before="60" w:after="60"/>
                    <w:jc w:val="both"/>
                    <w:rPr>
                      <w:rFonts w:ascii="Arial" w:hAnsi="Arial"/>
                      <w:sz w:val="22"/>
                    </w:rPr>
                  </w:pPr>
                </w:p>
                <w:p w14:paraId="4CC2CED4" w14:textId="77777777" w:rsidR="005E71C1" w:rsidRDefault="005E71C1" w:rsidP="00C023D4">
                  <w:pPr>
                    <w:spacing w:before="60" w:after="60"/>
                    <w:jc w:val="both"/>
                    <w:rPr>
                      <w:rFonts w:ascii="Arial" w:hAnsi="Arial"/>
                      <w:sz w:val="22"/>
                    </w:rPr>
                  </w:pPr>
                </w:p>
                <w:p w14:paraId="623CEE9A" w14:textId="77777777" w:rsidR="005E71C1" w:rsidRDefault="005E71C1" w:rsidP="00C023D4">
                  <w:pPr>
                    <w:spacing w:before="60" w:after="60"/>
                    <w:jc w:val="both"/>
                    <w:rPr>
                      <w:rFonts w:ascii="Arial" w:hAnsi="Arial"/>
                      <w:sz w:val="22"/>
                    </w:rPr>
                  </w:pPr>
                </w:p>
                <w:p w14:paraId="481E893A" w14:textId="77777777" w:rsidR="005E71C1" w:rsidRPr="00291FC3" w:rsidRDefault="005E71C1" w:rsidP="00C023D4">
                  <w:pPr>
                    <w:spacing w:before="60" w:after="60"/>
                    <w:jc w:val="both"/>
                    <w:rPr>
                      <w:rFonts w:ascii="Arial" w:hAnsi="Arial" w:cs="Arial"/>
                      <w:sz w:val="22"/>
                      <w:szCs w:val="22"/>
                    </w:rPr>
                  </w:pPr>
                </w:p>
              </w:tc>
            </w:tr>
          </w:tbl>
          <w:p w14:paraId="05F996B1" w14:textId="77777777" w:rsidR="00190037" w:rsidRPr="00291FC3" w:rsidRDefault="00190037" w:rsidP="00C023D4">
            <w:pPr>
              <w:spacing w:before="120" w:after="120"/>
              <w:jc w:val="both"/>
              <w:rPr>
                <w:rFonts w:ascii="Arial" w:hAnsi="Arial" w:cs="Arial"/>
                <w:sz w:val="22"/>
                <w:szCs w:val="22"/>
              </w:rPr>
            </w:pPr>
          </w:p>
        </w:tc>
      </w:tr>
      <w:tr w:rsidR="00190037" w:rsidRPr="00291FC3" w14:paraId="4721CAAD" w14:textId="77777777" w:rsidTr="00C023D4">
        <w:tc>
          <w:tcPr>
            <w:tcW w:w="229" w:type="pct"/>
            <w:tcBorders>
              <w:top w:val="single" w:sz="4" w:space="0" w:color="auto"/>
              <w:left w:val="single" w:sz="4" w:space="0" w:color="auto"/>
              <w:bottom w:val="single" w:sz="4" w:space="0" w:color="auto"/>
              <w:right w:val="single" w:sz="4" w:space="0" w:color="auto"/>
            </w:tcBorders>
          </w:tcPr>
          <w:p w14:paraId="2A38F798" w14:textId="77777777" w:rsidR="00190037" w:rsidRPr="00291FC3" w:rsidRDefault="00190037" w:rsidP="00C023D4">
            <w:pPr>
              <w:spacing w:before="120" w:after="120"/>
              <w:rPr>
                <w:rFonts w:ascii="Arial" w:hAnsi="Arial" w:cs="Arial"/>
                <w:b/>
                <w:bCs/>
                <w:sz w:val="22"/>
                <w:szCs w:val="22"/>
              </w:rPr>
            </w:pPr>
            <w:r w:rsidRPr="00291FC3">
              <w:rPr>
                <w:rFonts w:ascii="Arial" w:hAnsi="Arial"/>
                <w:b/>
                <w:sz w:val="22"/>
              </w:rPr>
              <w:t>55</w:t>
            </w:r>
          </w:p>
        </w:tc>
        <w:tc>
          <w:tcPr>
            <w:tcW w:w="2251" w:type="pct"/>
            <w:tcBorders>
              <w:top w:val="single" w:sz="4" w:space="0" w:color="auto"/>
              <w:left w:val="single" w:sz="4" w:space="0" w:color="auto"/>
              <w:bottom w:val="single" w:sz="4" w:space="0" w:color="auto"/>
              <w:right w:val="single" w:sz="4" w:space="0" w:color="auto"/>
            </w:tcBorders>
          </w:tcPr>
          <w:tbl>
            <w:tblPr>
              <w:tblStyle w:val="TableGrid"/>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4803"/>
            </w:tblGrid>
            <w:tr w:rsidR="00190037" w:rsidRPr="00291FC3" w14:paraId="18015D33" w14:textId="77777777" w:rsidTr="005E71C1">
              <w:trPr>
                <w:cantSplit/>
              </w:trPr>
              <w:tc>
                <w:tcPr>
                  <w:tcW w:w="1364" w:type="dxa"/>
                </w:tcPr>
                <w:p w14:paraId="667F56E3"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2 :</w:t>
                  </w:r>
                </w:p>
              </w:tc>
              <w:tc>
                <w:tcPr>
                  <w:tcW w:w="4803" w:type="dxa"/>
                </w:tcPr>
                <w:p w14:paraId="3E35260C"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Évaluation</w:t>
                  </w:r>
                </w:p>
              </w:tc>
            </w:tr>
            <w:tr w:rsidR="00190037" w:rsidRPr="00291FC3" w14:paraId="1AFD61CF" w14:textId="77777777" w:rsidTr="005E71C1">
              <w:trPr>
                <w:cantSplit/>
              </w:trPr>
              <w:tc>
                <w:tcPr>
                  <w:tcW w:w="1364" w:type="dxa"/>
                </w:tcPr>
                <w:p w14:paraId="076121E8" w14:textId="7F65B504" w:rsidR="00190037" w:rsidRPr="00291FC3" w:rsidRDefault="008D5313" w:rsidP="00C023D4">
                  <w:pPr>
                    <w:spacing w:before="60" w:after="60"/>
                    <w:jc w:val="right"/>
                    <w:rPr>
                      <w:rFonts w:ascii="Arial" w:hAnsi="Arial" w:cs="Arial"/>
                      <w:sz w:val="22"/>
                      <w:szCs w:val="22"/>
                    </w:rPr>
                  </w:pPr>
                  <w:r w:rsidRPr="00291FC3">
                    <w:rPr>
                      <w:rFonts w:ascii="Arial" w:hAnsi="Arial"/>
                      <w:sz w:val="22"/>
                    </w:rPr>
                    <w:t>d</w:t>
                  </w:r>
                  <w:r w:rsidR="00190037" w:rsidRPr="00291FC3">
                    <w:rPr>
                      <w:rFonts w:ascii="Arial" w:hAnsi="Arial"/>
                      <w:sz w:val="22"/>
                    </w:rPr>
                    <w:t>écembre année 1 à mai année 2</w:t>
                  </w:r>
                </w:p>
              </w:tc>
              <w:tc>
                <w:tcPr>
                  <w:tcW w:w="4803" w:type="dxa"/>
                </w:tcPr>
                <w:p w14:paraId="345E737C" w14:textId="1E1D3BC6" w:rsidR="00190037" w:rsidRPr="00291FC3" w:rsidRDefault="00190037" w:rsidP="00C023D4">
                  <w:pPr>
                    <w:spacing w:before="60" w:after="60"/>
                    <w:jc w:val="both"/>
                    <w:rPr>
                      <w:rFonts w:ascii="Arial" w:hAnsi="Arial" w:cs="Arial"/>
                      <w:sz w:val="22"/>
                      <w:szCs w:val="22"/>
                    </w:rPr>
                  </w:pPr>
                  <w:r w:rsidRPr="00291FC3">
                    <w:rPr>
                      <w:rFonts w:ascii="Arial" w:hAnsi="Arial"/>
                      <w:sz w:val="22"/>
                    </w:rPr>
                    <w:t>Évaluation individuelle des dossiers par les membres de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w:t>
                  </w:r>
                </w:p>
                <w:p w14:paraId="26812A59" w14:textId="77777777" w:rsidR="00190037" w:rsidRPr="00291FC3" w:rsidRDefault="00190037" w:rsidP="00291FC3">
                  <w:pPr>
                    <w:spacing w:before="60"/>
                    <w:jc w:val="both"/>
                    <w:rPr>
                      <w:rFonts w:ascii="Arial" w:hAnsi="Arial" w:cs="Arial"/>
                      <w:sz w:val="22"/>
                      <w:szCs w:val="22"/>
                    </w:rPr>
                  </w:pPr>
                </w:p>
                <w:p w14:paraId="4311BFF1" w14:textId="77777777" w:rsidR="00190037" w:rsidRPr="00291FC3" w:rsidRDefault="00190037" w:rsidP="00291FC3">
                  <w:pPr>
                    <w:jc w:val="both"/>
                    <w:rPr>
                      <w:rFonts w:ascii="Arial" w:hAnsi="Arial" w:cs="Arial"/>
                      <w:sz w:val="22"/>
                      <w:szCs w:val="22"/>
                    </w:rPr>
                  </w:pPr>
                </w:p>
              </w:tc>
            </w:tr>
            <w:tr w:rsidR="00190037" w:rsidRPr="00291FC3" w14:paraId="3BCDF352" w14:textId="77777777" w:rsidTr="005E71C1">
              <w:trPr>
                <w:cantSplit/>
              </w:trPr>
              <w:tc>
                <w:tcPr>
                  <w:tcW w:w="1364" w:type="dxa"/>
                </w:tcPr>
                <w:p w14:paraId="059E1333" w14:textId="628AEEC6" w:rsidR="00190037" w:rsidRPr="00291FC3" w:rsidRDefault="008D5313" w:rsidP="00C023D4">
                  <w:pPr>
                    <w:spacing w:before="60" w:after="60"/>
                    <w:jc w:val="right"/>
                    <w:rPr>
                      <w:rFonts w:ascii="Arial" w:hAnsi="Arial" w:cs="Arial"/>
                      <w:sz w:val="22"/>
                      <w:szCs w:val="22"/>
                    </w:rPr>
                  </w:pPr>
                  <w:r w:rsidRPr="00291FC3">
                    <w:rPr>
                      <w:rFonts w:ascii="Arial" w:hAnsi="Arial"/>
                      <w:sz w:val="22"/>
                    </w:rPr>
                    <w:t>j</w:t>
                  </w:r>
                  <w:r w:rsidR="00190037" w:rsidRPr="00291FC3">
                    <w:rPr>
                      <w:rFonts w:ascii="Arial" w:hAnsi="Arial"/>
                      <w:sz w:val="22"/>
                    </w:rPr>
                    <w:t xml:space="preserve">uin </w:t>
                  </w:r>
                </w:p>
                <w:p w14:paraId="1C534C91" w14:textId="06F70597" w:rsidR="00190037" w:rsidRPr="00291FC3" w:rsidRDefault="008D5313"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803" w:type="dxa"/>
                </w:tcPr>
                <w:p w14:paraId="42AD23A1" w14:textId="7C6A1C7D" w:rsidR="00190037" w:rsidRPr="00291FC3" w:rsidRDefault="00190037" w:rsidP="00C023D4">
                  <w:pPr>
                    <w:spacing w:before="60" w:after="60"/>
                    <w:jc w:val="both"/>
                    <w:rPr>
                      <w:rFonts w:ascii="Arial" w:hAnsi="Arial" w:cs="Arial"/>
                      <w:sz w:val="22"/>
                      <w:szCs w:val="22"/>
                    </w:rPr>
                  </w:pPr>
                  <w:r w:rsidRPr="00291FC3">
                    <w:rPr>
                      <w:rFonts w:ascii="Arial" w:hAnsi="Arial"/>
                      <w:sz w:val="22"/>
                    </w:rPr>
                    <w:t>Réunion au cours de laquelle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achève collectivement l</w:t>
                  </w:r>
                  <w:r w:rsidR="00015E22" w:rsidRPr="00291FC3">
                    <w:rPr>
                      <w:rFonts w:ascii="Arial" w:hAnsi="Arial"/>
                      <w:sz w:val="22"/>
                    </w:rPr>
                    <w:t>’</w:t>
                  </w:r>
                  <w:r w:rsidRPr="00291FC3">
                    <w:rPr>
                      <w:rFonts w:ascii="Arial" w:hAnsi="Arial"/>
                      <w:sz w:val="22"/>
                    </w:rPr>
                    <w:t>évaluation des dossiers et décide lesquels seront concernés par le processus de dialogue. Seule l</w:t>
                  </w:r>
                  <w:r w:rsidR="00015E22" w:rsidRPr="00291FC3">
                    <w:rPr>
                      <w:rFonts w:ascii="Arial" w:hAnsi="Arial"/>
                      <w:sz w:val="22"/>
                    </w:rPr>
                    <w:t>’</w:t>
                  </w:r>
                  <w:r w:rsidRPr="00291FC3">
                    <w:rPr>
                      <w:rFonts w:ascii="Arial" w:hAnsi="Arial"/>
                      <w:sz w:val="22"/>
                    </w:rPr>
                    <w:t>évaluation des dossiers inclus dans le processus de dialogue restera en attente de validation jusqu</w:t>
                  </w:r>
                  <w:r w:rsidR="00015E22" w:rsidRPr="00291FC3">
                    <w:rPr>
                      <w:rFonts w:ascii="Arial" w:hAnsi="Arial"/>
                      <w:sz w:val="22"/>
                    </w:rPr>
                    <w:t>’</w:t>
                  </w:r>
                  <w:r w:rsidRPr="00291FC3">
                    <w:rPr>
                      <w:rFonts w:ascii="Arial" w:hAnsi="Arial"/>
                      <w:sz w:val="22"/>
                    </w:rPr>
                    <w:t>à la réunion finale de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 xml:space="preserve">évaluation. </w:t>
                  </w:r>
                </w:p>
                <w:p w14:paraId="073C9FDF" w14:textId="5508B62A" w:rsidR="00190037" w:rsidRPr="00291FC3" w:rsidRDefault="00190037" w:rsidP="00C023D4">
                  <w:pPr>
                    <w:spacing w:before="60" w:after="60"/>
                    <w:jc w:val="both"/>
                    <w:rPr>
                      <w:rFonts w:ascii="Arial" w:hAnsi="Arial" w:cs="Arial"/>
                      <w:sz w:val="22"/>
                      <w:szCs w:val="22"/>
                    </w:rPr>
                  </w:pPr>
                  <w:r w:rsidRPr="00291FC3">
                    <w:rPr>
                      <w:rFonts w:ascii="Arial" w:hAnsi="Arial"/>
                      <w:sz w:val="22"/>
                    </w:rPr>
                    <w:t>Le processus de dialogue est engagé lorsque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estime qu</w:t>
                  </w:r>
                  <w:r w:rsidR="00015E22" w:rsidRPr="00291FC3">
                    <w:rPr>
                      <w:rFonts w:ascii="Arial" w:hAnsi="Arial"/>
                      <w:sz w:val="22"/>
                    </w:rPr>
                    <w:t>’</w:t>
                  </w:r>
                  <w:r w:rsidRPr="00291FC3">
                    <w:rPr>
                      <w:rFonts w:ascii="Arial" w:hAnsi="Arial"/>
                      <w:sz w:val="22"/>
                    </w:rPr>
                    <w:t>un court processus de questions-réponses avec le ou les États soumissionnaires, mené par écrit par l</w:t>
                  </w:r>
                  <w:r w:rsidR="00015E22" w:rsidRPr="00291FC3">
                    <w:rPr>
                      <w:rFonts w:ascii="Arial" w:hAnsi="Arial"/>
                      <w:sz w:val="22"/>
                    </w:rPr>
                    <w:t>’</w:t>
                  </w:r>
                  <w:r w:rsidRPr="00291FC3">
                    <w:rPr>
                      <w:rFonts w:ascii="Arial" w:hAnsi="Arial"/>
                      <w:sz w:val="22"/>
                    </w:rPr>
                    <w:t>intermédiaire du Secrétariat, pourrait influencer le résultat de son évaluation.</w:t>
                  </w:r>
                </w:p>
              </w:tc>
            </w:tr>
            <w:tr w:rsidR="00190037" w:rsidRPr="00291FC3" w14:paraId="18CAEAB9" w14:textId="77777777" w:rsidTr="005E71C1">
              <w:trPr>
                <w:cantSplit/>
              </w:trPr>
              <w:tc>
                <w:tcPr>
                  <w:tcW w:w="1364" w:type="dxa"/>
                </w:tcPr>
                <w:p w14:paraId="66FC6B4D"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Deux semaines après la réunion de juin année 2</w:t>
                  </w:r>
                </w:p>
              </w:tc>
              <w:tc>
                <w:tcPr>
                  <w:tcW w:w="4803" w:type="dxa"/>
                </w:tcPr>
                <w:p w14:paraId="7CAD52FE" w14:textId="66172C49" w:rsidR="00190037" w:rsidRPr="00291FC3" w:rsidRDefault="00190037" w:rsidP="00C023D4">
                  <w:pPr>
                    <w:spacing w:before="60" w:after="60"/>
                    <w:jc w:val="both"/>
                    <w:rPr>
                      <w:rFonts w:ascii="Arial" w:hAnsi="Arial" w:cs="Arial"/>
                      <w:sz w:val="22"/>
                      <w:szCs w:val="22"/>
                    </w:rPr>
                  </w:pPr>
                  <w:r w:rsidRPr="00291FC3">
                    <w:rPr>
                      <w:rFonts w:ascii="Arial" w:hAnsi="Arial"/>
                      <w:sz w:val="22"/>
                    </w:rPr>
                    <w:t>Date limite à laquelle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devra transmettre, par l</w:t>
                  </w:r>
                  <w:r w:rsidR="00015E22" w:rsidRPr="00291FC3">
                    <w:rPr>
                      <w:rFonts w:ascii="Arial" w:hAnsi="Arial"/>
                      <w:sz w:val="22"/>
                    </w:rPr>
                    <w:t>’</w:t>
                  </w:r>
                  <w:r w:rsidRPr="00291FC3">
                    <w:rPr>
                      <w:rFonts w:ascii="Arial" w:hAnsi="Arial"/>
                      <w:sz w:val="22"/>
                    </w:rPr>
                    <w:t>intermédiaire du Secrétariat, ses questions aux États parties concernés par le processus de dialogue, dans l</w:t>
                  </w:r>
                  <w:r w:rsidR="00015E22" w:rsidRPr="00291FC3">
                    <w:rPr>
                      <w:rFonts w:ascii="Arial" w:hAnsi="Arial"/>
                      <w:sz w:val="22"/>
                    </w:rPr>
                    <w:t>’</w:t>
                  </w:r>
                  <w:r w:rsidRPr="00291FC3">
                    <w:rPr>
                      <w:rFonts w:ascii="Arial" w:hAnsi="Arial"/>
                      <w:sz w:val="22"/>
                    </w:rPr>
                    <w:t xml:space="preserve">une des deux langues de travail de la Convention. </w:t>
                  </w:r>
                </w:p>
                <w:p w14:paraId="2055DB4D" w14:textId="4AF6DD72" w:rsidR="00190037" w:rsidRPr="00291FC3" w:rsidRDefault="00190037" w:rsidP="00C023D4">
                  <w:pPr>
                    <w:spacing w:before="60" w:after="60"/>
                    <w:jc w:val="both"/>
                    <w:rPr>
                      <w:rFonts w:ascii="Arial" w:hAnsi="Arial" w:cs="Arial"/>
                      <w:sz w:val="22"/>
                      <w:szCs w:val="22"/>
                    </w:rPr>
                  </w:pPr>
                  <w:r w:rsidRPr="00291FC3">
                    <w:rPr>
                      <w:rFonts w:ascii="Arial" w:hAnsi="Arial"/>
                      <w:sz w:val="22"/>
                    </w:rPr>
                    <w:t>Les États parties devront répondre aux demandes de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par l</w:t>
                  </w:r>
                  <w:r w:rsidR="00015E22" w:rsidRPr="00291FC3">
                    <w:rPr>
                      <w:rFonts w:ascii="Arial" w:hAnsi="Arial"/>
                      <w:sz w:val="22"/>
                    </w:rPr>
                    <w:t>’</w:t>
                  </w:r>
                  <w:r w:rsidRPr="00291FC3">
                    <w:rPr>
                      <w:rFonts w:ascii="Arial" w:hAnsi="Arial"/>
                      <w:sz w:val="22"/>
                    </w:rPr>
                    <w:t>intermédiaire du Secrétariat, dans un délai de quatre semaines à compter de la réception de la lettre, dans les deux langues de travail de la Convention</w:t>
                  </w:r>
                </w:p>
              </w:tc>
            </w:tr>
            <w:tr w:rsidR="00190037" w:rsidRPr="00291FC3" w14:paraId="5D14A3C3" w14:textId="77777777" w:rsidTr="005E71C1">
              <w:trPr>
                <w:cantSplit/>
              </w:trPr>
              <w:tc>
                <w:tcPr>
                  <w:tcW w:w="1364" w:type="dxa"/>
                </w:tcPr>
                <w:p w14:paraId="3B9B7534"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Au plus tard en septembre année 2</w:t>
                  </w:r>
                </w:p>
              </w:tc>
              <w:tc>
                <w:tcPr>
                  <w:tcW w:w="4803" w:type="dxa"/>
                </w:tcPr>
                <w:p w14:paraId="55EC15FE" w14:textId="41590E4F" w:rsidR="00190037" w:rsidRPr="00291FC3" w:rsidRDefault="00190037" w:rsidP="00C023D4">
                  <w:pPr>
                    <w:spacing w:before="60" w:after="60"/>
                    <w:jc w:val="both"/>
                    <w:rPr>
                      <w:rFonts w:ascii="Arial" w:hAnsi="Arial" w:cs="Arial"/>
                      <w:sz w:val="22"/>
                      <w:szCs w:val="22"/>
                    </w:rPr>
                  </w:pPr>
                  <w:r w:rsidRPr="00291FC3">
                    <w:rPr>
                      <w:rFonts w:ascii="Arial" w:hAnsi="Arial"/>
                      <w:sz w:val="22"/>
                    </w:rPr>
                    <w:t>Réunion au cours de laquelle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 achève l</w:t>
                  </w:r>
                  <w:r w:rsidR="00015E22" w:rsidRPr="00291FC3">
                    <w:rPr>
                      <w:rFonts w:ascii="Arial" w:hAnsi="Arial"/>
                      <w:sz w:val="22"/>
                    </w:rPr>
                    <w:t>’</w:t>
                  </w:r>
                  <w:r w:rsidRPr="00291FC3">
                    <w:rPr>
                      <w:rFonts w:ascii="Arial" w:hAnsi="Arial"/>
                      <w:sz w:val="22"/>
                    </w:rPr>
                    <w:t>évaluation des dossiers concernés par le processus de dialogue et son rapport de l</w:t>
                  </w:r>
                  <w:r w:rsidR="00015E22" w:rsidRPr="00291FC3">
                    <w:rPr>
                      <w:rFonts w:ascii="Arial" w:hAnsi="Arial"/>
                      <w:sz w:val="22"/>
                    </w:rPr>
                    <w:t>’</w:t>
                  </w:r>
                  <w:r w:rsidRPr="00291FC3">
                    <w:rPr>
                      <w:rFonts w:ascii="Arial" w:hAnsi="Arial"/>
                      <w:sz w:val="22"/>
                    </w:rPr>
                    <w:t>examen de tous les dossiers.</w:t>
                  </w:r>
                </w:p>
              </w:tc>
            </w:tr>
            <w:tr w:rsidR="00190037" w:rsidRPr="00291FC3" w14:paraId="763CAE06" w14:textId="77777777" w:rsidTr="005E71C1">
              <w:trPr>
                <w:cantSplit/>
              </w:trPr>
              <w:tc>
                <w:tcPr>
                  <w:tcW w:w="1364" w:type="dxa"/>
                </w:tcPr>
                <w:p w14:paraId="7BDB5EA8"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Quatre semaines avant la session du Comité</w:t>
                  </w:r>
                </w:p>
              </w:tc>
              <w:tc>
                <w:tcPr>
                  <w:tcW w:w="4803" w:type="dxa"/>
                </w:tcPr>
                <w:p w14:paraId="29CB45AC" w14:textId="1086BC80" w:rsidR="00190037" w:rsidRPr="00291FC3" w:rsidRDefault="00190037" w:rsidP="00C023D4">
                  <w:pPr>
                    <w:spacing w:before="60" w:after="60"/>
                    <w:jc w:val="both"/>
                    <w:rPr>
                      <w:rFonts w:ascii="Arial" w:hAnsi="Arial" w:cs="Arial"/>
                      <w:sz w:val="22"/>
                      <w:szCs w:val="22"/>
                    </w:rPr>
                  </w:pPr>
                  <w:r w:rsidRPr="00291FC3">
                    <w:rPr>
                      <w:rFonts w:ascii="Arial" w:hAnsi="Arial"/>
                      <w:sz w:val="22"/>
                    </w:rPr>
                    <w:t>Le Secrétariat transmet aux membres du Comité les rapports d</w:t>
                  </w:r>
                  <w:r w:rsidR="00015E22" w:rsidRPr="00291FC3">
                    <w:rPr>
                      <w:rFonts w:ascii="Arial" w:hAnsi="Arial"/>
                      <w:sz w:val="22"/>
                    </w:rPr>
                    <w:t>’</w:t>
                  </w:r>
                  <w:r w:rsidRPr="00291FC3">
                    <w:rPr>
                      <w:rFonts w:ascii="Arial" w:hAnsi="Arial"/>
                      <w:sz w:val="22"/>
                    </w:rPr>
                    <w:t>évaluation et les rend disponibles en ligne à des fins de consultation.</w:t>
                  </w:r>
                </w:p>
              </w:tc>
            </w:tr>
          </w:tbl>
          <w:p w14:paraId="10ED1485" w14:textId="77777777" w:rsidR="00190037" w:rsidRPr="00291FC3" w:rsidRDefault="00190037" w:rsidP="00C023D4">
            <w:pPr>
              <w:spacing w:before="60" w:after="60"/>
              <w:jc w:val="right"/>
              <w:rPr>
                <w:rFonts w:ascii="Arial" w:hAnsi="Arial" w:cs="Arial"/>
                <w:sz w:val="22"/>
                <w:szCs w:val="22"/>
              </w:rPr>
            </w:pPr>
          </w:p>
        </w:tc>
        <w:tc>
          <w:tcPr>
            <w:tcW w:w="248" w:type="pct"/>
            <w:tcBorders>
              <w:top w:val="single" w:sz="4" w:space="0" w:color="auto"/>
              <w:left w:val="single" w:sz="4" w:space="0" w:color="auto"/>
              <w:bottom w:val="single" w:sz="4" w:space="0" w:color="auto"/>
              <w:right w:val="single" w:sz="4" w:space="0" w:color="auto"/>
            </w:tcBorders>
          </w:tcPr>
          <w:p w14:paraId="7238DB00" w14:textId="77777777" w:rsidR="00190037" w:rsidRPr="00291FC3" w:rsidRDefault="00190037" w:rsidP="00C023D4">
            <w:pPr>
              <w:spacing w:before="120" w:after="120"/>
              <w:jc w:val="both"/>
              <w:rPr>
                <w:rFonts w:ascii="Arial" w:hAnsi="Arial" w:cs="Arial"/>
                <w:b/>
                <w:bCs/>
                <w:sz w:val="22"/>
                <w:szCs w:val="22"/>
              </w:rPr>
            </w:pPr>
          </w:p>
        </w:tc>
        <w:tc>
          <w:tcPr>
            <w:tcW w:w="2271" w:type="pct"/>
            <w:tcBorders>
              <w:top w:val="single" w:sz="4" w:space="0" w:color="auto"/>
              <w:left w:val="single" w:sz="4" w:space="0" w:color="auto"/>
              <w:bottom w:val="single" w:sz="4" w:space="0" w:color="auto"/>
              <w:right w:val="single" w:sz="4" w:space="0" w:color="auto"/>
            </w:tcBorders>
          </w:tcPr>
          <w:tbl>
            <w:tblPr>
              <w:tblStyle w:val="TableGrid"/>
              <w:tblW w:w="6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4900"/>
            </w:tblGrid>
            <w:tr w:rsidR="00190037" w:rsidRPr="00291FC3" w14:paraId="1439F31C" w14:textId="77777777" w:rsidTr="005E71C1">
              <w:trPr>
                <w:cantSplit/>
              </w:trPr>
              <w:tc>
                <w:tcPr>
                  <w:tcW w:w="1364" w:type="dxa"/>
                </w:tcPr>
                <w:p w14:paraId="0A36810B"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2 :</w:t>
                  </w:r>
                </w:p>
              </w:tc>
              <w:tc>
                <w:tcPr>
                  <w:tcW w:w="4900" w:type="dxa"/>
                </w:tcPr>
                <w:p w14:paraId="68014827"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r w:rsidR="00190037" w:rsidRPr="00291FC3" w14:paraId="07FFED06" w14:textId="77777777" w:rsidTr="005E71C1">
              <w:trPr>
                <w:cantSplit/>
              </w:trPr>
              <w:tc>
                <w:tcPr>
                  <w:tcW w:w="1364" w:type="dxa"/>
                </w:tcPr>
                <w:p w14:paraId="6CD6C3D0" w14:textId="1BFA3F23" w:rsidR="00190037" w:rsidRPr="00291FC3" w:rsidRDefault="00190037" w:rsidP="00291FC3">
                  <w:pPr>
                    <w:spacing w:before="60" w:after="60"/>
                    <w:jc w:val="right"/>
                    <w:rPr>
                      <w:rFonts w:ascii="Arial" w:hAnsi="Arial" w:cs="Arial"/>
                      <w:sz w:val="22"/>
                      <w:szCs w:val="22"/>
                    </w:rPr>
                  </w:pPr>
                  <w:r w:rsidRPr="00291FC3">
                    <w:rPr>
                      <w:rFonts w:ascii="Arial" w:hAnsi="Arial"/>
                      <w:sz w:val="22"/>
                    </w:rPr>
                    <w:t xml:space="preserve">décembre année 1 à </w:t>
                  </w:r>
                  <w:r w:rsidRPr="00291FC3">
                    <w:rPr>
                      <w:rFonts w:ascii="Arial" w:hAnsi="Arial"/>
                      <w:strike/>
                      <w:sz w:val="22"/>
                    </w:rPr>
                    <w:t>mai</w:t>
                  </w:r>
                  <w:r w:rsidRPr="00291FC3">
                    <w:rPr>
                      <w:rFonts w:ascii="Arial" w:hAnsi="Arial"/>
                      <w:sz w:val="22"/>
                    </w:rPr>
                    <w:t xml:space="preserve"> </w:t>
                  </w:r>
                  <w:r w:rsidRPr="00291FC3">
                    <w:rPr>
                      <w:rFonts w:ascii="Arial" w:hAnsi="Arial"/>
                      <w:b/>
                      <w:bCs/>
                      <w:sz w:val="22"/>
                      <w:u w:val="single"/>
                    </w:rPr>
                    <w:t>juin</w:t>
                  </w:r>
                  <w:r w:rsidRPr="00291FC3">
                    <w:rPr>
                      <w:rFonts w:ascii="Arial" w:hAnsi="Arial"/>
                      <w:sz w:val="22"/>
                    </w:rPr>
                    <w:t xml:space="preserve"> année 2</w:t>
                  </w:r>
                </w:p>
              </w:tc>
              <w:tc>
                <w:tcPr>
                  <w:tcW w:w="4900" w:type="dxa"/>
                </w:tcPr>
                <w:p w14:paraId="06230192" w14:textId="55B6F120" w:rsidR="00190037" w:rsidRPr="00291FC3" w:rsidRDefault="00190037" w:rsidP="00C023D4">
                  <w:pPr>
                    <w:spacing w:before="60" w:after="60"/>
                    <w:jc w:val="both"/>
                    <w:rPr>
                      <w:rFonts w:ascii="Arial" w:hAnsi="Arial" w:cs="Arial"/>
                      <w:sz w:val="22"/>
                      <w:szCs w:val="22"/>
                    </w:rPr>
                  </w:pPr>
                  <w:r w:rsidRPr="00291FC3">
                    <w:rPr>
                      <w:rFonts w:ascii="Arial" w:hAnsi="Arial"/>
                      <w:sz w:val="22"/>
                    </w:rPr>
                    <w:t>Évaluation individuelle des dossiers par les membres de l</w:t>
                  </w:r>
                  <w:r w:rsidR="00015E22" w:rsidRPr="00291FC3">
                    <w:rPr>
                      <w:rFonts w:ascii="Arial" w:hAnsi="Arial"/>
                      <w:sz w:val="22"/>
                    </w:rPr>
                    <w:t>’</w:t>
                  </w:r>
                  <w:r w:rsidRPr="00291FC3">
                    <w:rPr>
                      <w:rFonts w:ascii="Arial" w:hAnsi="Arial"/>
                      <w:sz w:val="22"/>
                    </w:rPr>
                    <w:t>Organe d</w:t>
                  </w:r>
                  <w:r w:rsidR="00015E22" w:rsidRPr="00291FC3">
                    <w:rPr>
                      <w:rFonts w:ascii="Arial" w:hAnsi="Arial"/>
                      <w:sz w:val="22"/>
                    </w:rPr>
                    <w:t>’</w:t>
                  </w:r>
                  <w:r w:rsidRPr="00291FC3">
                    <w:rPr>
                      <w:rFonts w:ascii="Arial" w:hAnsi="Arial"/>
                      <w:sz w:val="22"/>
                    </w:rPr>
                    <w:t>évaluation</w:t>
                  </w:r>
                  <w:r w:rsidR="008D5313" w:rsidRPr="00291FC3">
                    <w:rPr>
                      <w:rFonts w:ascii="Arial" w:hAnsi="Arial"/>
                      <w:sz w:val="22"/>
                    </w:rPr>
                    <w:t>.</w:t>
                  </w:r>
                </w:p>
              </w:tc>
            </w:tr>
            <w:tr w:rsidR="00190037" w:rsidRPr="00291FC3" w14:paraId="2CA66705" w14:textId="77777777" w:rsidTr="005E71C1">
              <w:trPr>
                <w:cantSplit/>
              </w:trPr>
              <w:tc>
                <w:tcPr>
                  <w:tcW w:w="1364" w:type="dxa"/>
                </w:tcPr>
                <w:p w14:paraId="0034AE64" w14:textId="664D2FEA" w:rsidR="00190037" w:rsidRPr="00291FC3" w:rsidRDefault="008D5313" w:rsidP="00C023D4">
                  <w:pPr>
                    <w:spacing w:before="60" w:after="60"/>
                    <w:jc w:val="right"/>
                    <w:rPr>
                      <w:rFonts w:ascii="Arial" w:hAnsi="Arial" w:cs="Arial"/>
                      <w:sz w:val="22"/>
                      <w:szCs w:val="22"/>
                    </w:rPr>
                  </w:pPr>
                  <w:r w:rsidRPr="00291FC3">
                    <w:rPr>
                      <w:rFonts w:ascii="Arial" w:hAnsi="Arial"/>
                      <w:sz w:val="22"/>
                    </w:rPr>
                    <w:t>j</w:t>
                  </w:r>
                  <w:r w:rsidR="00190037" w:rsidRPr="00291FC3">
                    <w:rPr>
                      <w:rFonts w:ascii="Arial" w:hAnsi="Arial"/>
                      <w:sz w:val="22"/>
                    </w:rPr>
                    <w:t xml:space="preserve">uin </w:t>
                  </w:r>
                </w:p>
                <w:p w14:paraId="0012D014" w14:textId="3A34154D" w:rsidR="00190037" w:rsidRPr="00291FC3" w:rsidRDefault="008D5313"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900" w:type="dxa"/>
                </w:tcPr>
                <w:p w14:paraId="6CC54703"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p w14:paraId="67422BB2" w14:textId="77777777" w:rsidR="00190037" w:rsidRPr="00291FC3" w:rsidRDefault="00190037" w:rsidP="00C023D4">
                  <w:pPr>
                    <w:spacing w:before="60" w:after="60"/>
                    <w:jc w:val="both"/>
                    <w:rPr>
                      <w:rFonts w:ascii="Arial" w:hAnsi="Arial" w:cs="Arial"/>
                      <w:sz w:val="22"/>
                      <w:szCs w:val="22"/>
                    </w:rPr>
                  </w:pPr>
                </w:p>
                <w:p w14:paraId="70933BAE" w14:textId="77777777" w:rsidR="00190037" w:rsidRPr="00291FC3" w:rsidRDefault="00190037" w:rsidP="00C023D4">
                  <w:pPr>
                    <w:spacing w:before="60" w:after="60"/>
                    <w:jc w:val="both"/>
                    <w:rPr>
                      <w:rFonts w:ascii="Arial" w:hAnsi="Arial" w:cs="Arial"/>
                      <w:sz w:val="22"/>
                      <w:szCs w:val="22"/>
                    </w:rPr>
                  </w:pPr>
                </w:p>
                <w:p w14:paraId="5B657141" w14:textId="77777777" w:rsidR="00190037" w:rsidRPr="00291FC3" w:rsidRDefault="00190037" w:rsidP="00C023D4">
                  <w:pPr>
                    <w:spacing w:before="60" w:after="60"/>
                    <w:jc w:val="both"/>
                    <w:rPr>
                      <w:rFonts w:ascii="Arial" w:hAnsi="Arial" w:cs="Arial"/>
                      <w:sz w:val="22"/>
                      <w:szCs w:val="22"/>
                    </w:rPr>
                  </w:pPr>
                </w:p>
                <w:p w14:paraId="5DB6ABF2" w14:textId="77777777" w:rsidR="00190037" w:rsidRPr="00291FC3" w:rsidRDefault="00190037" w:rsidP="00C023D4">
                  <w:pPr>
                    <w:spacing w:before="60" w:after="60"/>
                    <w:jc w:val="both"/>
                    <w:rPr>
                      <w:rFonts w:ascii="Arial" w:hAnsi="Arial" w:cs="Arial"/>
                      <w:sz w:val="22"/>
                      <w:szCs w:val="22"/>
                    </w:rPr>
                  </w:pPr>
                </w:p>
                <w:p w14:paraId="43EF3AE1" w14:textId="77777777" w:rsidR="00190037" w:rsidRPr="00291FC3" w:rsidRDefault="00190037" w:rsidP="00C023D4">
                  <w:pPr>
                    <w:spacing w:before="60" w:after="60"/>
                    <w:jc w:val="both"/>
                    <w:rPr>
                      <w:rFonts w:ascii="Arial" w:hAnsi="Arial" w:cs="Arial"/>
                      <w:sz w:val="22"/>
                      <w:szCs w:val="22"/>
                    </w:rPr>
                  </w:pPr>
                </w:p>
                <w:p w14:paraId="4BB2AD05" w14:textId="77777777" w:rsidR="00190037" w:rsidRPr="00291FC3" w:rsidRDefault="00190037" w:rsidP="00C023D4">
                  <w:pPr>
                    <w:spacing w:before="60" w:after="60"/>
                    <w:jc w:val="both"/>
                    <w:rPr>
                      <w:rFonts w:ascii="Arial" w:hAnsi="Arial" w:cs="Arial"/>
                      <w:sz w:val="22"/>
                      <w:szCs w:val="22"/>
                    </w:rPr>
                  </w:pPr>
                </w:p>
                <w:p w14:paraId="20A46625" w14:textId="77777777" w:rsidR="00190037" w:rsidRPr="00291FC3" w:rsidRDefault="00190037" w:rsidP="00C023D4">
                  <w:pPr>
                    <w:spacing w:before="60" w:after="60"/>
                    <w:jc w:val="both"/>
                    <w:rPr>
                      <w:rFonts w:ascii="Arial" w:hAnsi="Arial" w:cs="Arial"/>
                      <w:sz w:val="22"/>
                      <w:szCs w:val="22"/>
                    </w:rPr>
                  </w:pPr>
                </w:p>
                <w:p w14:paraId="5DEF5E4D" w14:textId="77777777" w:rsidR="00190037" w:rsidRPr="00291FC3" w:rsidRDefault="00190037" w:rsidP="00C023D4">
                  <w:pPr>
                    <w:spacing w:before="60" w:after="60"/>
                    <w:jc w:val="both"/>
                    <w:rPr>
                      <w:rFonts w:ascii="Arial" w:hAnsi="Arial" w:cs="Arial"/>
                      <w:sz w:val="22"/>
                      <w:szCs w:val="22"/>
                    </w:rPr>
                  </w:pPr>
                </w:p>
                <w:p w14:paraId="3D4315A6" w14:textId="77777777" w:rsidR="005972C5" w:rsidRDefault="005972C5" w:rsidP="00C023D4">
                  <w:pPr>
                    <w:spacing w:before="60" w:after="60"/>
                    <w:jc w:val="both"/>
                    <w:rPr>
                      <w:rFonts w:ascii="Arial" w:hAnsi="Arial" w:cs="Arial"/>
                      <w:sz w:val="22"/>
                      <w:szCs w:val="22"/>
                    </w:rPr>
                  </w:pPr>
                </w:p>
                <w:p w14:paraId="3120FB0D" w14:textId="77777777" w:rsidR="005E71C1" w:rsidRPr="00291FC3" w:rsidRDefault="005E71C1" w:rsidP="00C023D4">
                  <w:pPr>
                    <w:spacing w:before="60" w:after="60"/>
                    <w:jc w:val="both"/>
                    <w:rPr>
                      <w:rFonts w:ascii="Arial" w:hAnsi="Arial" w:cs="Arial"/>
                      <w:sz w:val="22"/>
                      <w:szCs w:val="22"/>
                    </w:rPr>
                  </w:pPr>
                </w:p>
                <w:p w14:paraId="4301870A" w14:textId="77777777" w:rsidR="00190037" w:rsidRPr="00291FC3" w:rsidRDefault="00190037" w:rsidP="00C023D4">
                  <w:pPr>
                    <w:spacing w:before="60" w:after="60"/>
                    <w:jc w:val="both"/>
                    <w:rPr>
                      <w:rFonts w:ascii="Arial" w:hAnsi="Arial" w:cs="Arial"/>
                      <w:sz w:val="22"/>
                      <w:szCs w:val="22"/>
                    </w:rPr>
                  </w:pPr>
                </w:p>
              </w:tc>
            </w:tr>
            <w:tr w:rsidR="00190037" w:rsidRPr="00291FC3" w14:paraId="3C8A7A84" w14:textId="77777777" w:rsidTr="005E71C1">
              <w:trPr>
                <w:cantSplit/>
              </w:trPr>
              <w:tc>
                <w:tcPr>
                  <w:tcW w:w="1364" w:type="dxa"/>
                </w:tcPr>
                <w:p w14:paraId="06CB033C"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Deux semaines après la réunion de juin année 2</w:t>
                  </w:r>
                </w:p>
              </w:tc>
              <w:tc>
                <w:tcPr>
                  <w:tcW w:w="4900" w:type="dxa"/>
                </w:tcPr>
                <w:p w14:paraId="3547D529"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p w14:paraId="1FC960DC" w14:textId="77777777" w:rsidR="00190037" w:rsidRPr="00291FC3" w:rsidRDefault="00190037" w:rsidP="00C023D4">
                  <w:pPr>
                    <w:spacing w:before="60" w:after="60"/>
                    <w:jc w:val="both"/>
                    <w:rPr>
                      <w:rFonts w:ascii="Arial" w:hAnsi="Arial" w:cs="Arial"/>
                      <w:sz w:val="22"/>
                      <w:szCs w:val="22"/>
                    </w:rPr>
                  </w:pPr>
                </w:p>
                <w:p w14:paraId="0B959F08" w14:textId="77777777" w:rsidR="00190037" w:rsidRPr="00291FC3" w:rsidRDefault="00190037" w:rsidP="00C023D4">
                  <w:pPr>
                    <w:spacing w:before="60" w:after="60"/>
                    <w:jc w:val="both"/>
                    <w:rPr>
                      <w:rFonts w:ascii="Arial" w:hAnsi="Arial" w:cs="Arial"/>
                      <w:sz w:val="22"/>
                      <w:szCs w:val="22"/>
                    </w:rPr>
                  </w:pPr>
                </w:p>
                <w:p w14:paraId="0602B7D9" w14:textId="77777777" w:rsidR="00190037" w:rsidRPr="00291FC3" w:rsidRDefault="00190037" w:rsidP="00C023D4">
                  <w:pPr>
                    <w:spacing w:before="60" w:after="60"/>
                    <w:jc w:val="both"/>
                    <w:rPr>
                      <w:rFonts w:ascii="Arial" w:hAnsi="Arial" w:cs="Arial"/>
                      <w:sz w:val="22"/>
                      <w:szCs w:val="22"/>
                    </w:rPr>
                  </w:pPr>
                </w:p>
                <w:p w14:paraId="3153AD51" w14:textId="77777777" w:rsidR="00190037" w:rsidRPr="00291FC3" w:rsidRDefault="00190037" w:rsidP="00C023D4">
                  <w:pPr>
                    <w:spacing w:before="60" w:after="60"/>
                    <w:jc w:val="both"/>
                    <w:rPr>
                      <w:rFonts w:ascii="Arial" w:hAnsi="Arial" w:cs="Arial"/>
                      <w:sz w:val="22"/>
                      <w:szCs w:val="22"/>
                    </w:rPr>
                  </w:pPr>
                </w:p>
                <w:p w14:paraId="722CB9B7" w14:textId="77777777" w:rsidR="00190037" w:rsidRPr="00291FC3" w:rsidRDefault="00190037" w:rsidP="00C023D4">
                  <w:pPr>
                    <w:spacing w:before="60" w:after="60"/>
                    <w:jc w:val="both"/>
                    <w:rPr>
                      <w:rFonts w:ascii="Arial" w:hAnsi="Arial" w:cs="Arial"/>
                      <w:sz w:val="22"/>
                      <w:szCs w:val="22"/>
                    </w:rPr>
                  </w:pPr>
                </w:p>
                <w:p w14:paraId="38DD91A6" w14:textId="77777777" w:rsidR="00190037" w:rsidRPr="00291FC3" w:rsidRDefault="00190037" w:rsidP="00C023D4">
                  <w:pPr>
                    <w:spacing w:before="60" w:after="60"/>
                    <w:jc w:val="both"/>
                    <w:rPr>
                      <w:rFonts w:ascii="Arial" w:hAnsi="Arial" w:cs="Arial"/>
                      <w:sz w:val="22"/>
                      <w:szCs w:val="22"/>
                    </w:rPr>
                  </w:pPr>
                </w:p>
                <w:p w14:paraId="27296400" w14:textId="77777777" w:rsidR="00190037" w:rsidRPr="00291FC3" w:rsidRDefault="00190037" w:rsidP="00C023D4">
                  <w:pPr>
                    <w:spacing w:before="60" w:after="60"/>
                    <w:jc w:val="both"/>
                    <w:rPr>
                      <w:rFonts w:ascii="Arial" w:hAnsi="Arial" w:cs="Arial"/>
                      <w:sz w:val="22"/>
                      <w:szCs w:val="22"/>
                    </w:rPr>
                  </w:pPr>
                </w:p>
                <w:p w14:paraId="53D90B28" w14:textId="77777777" w:rsidR="00190037" w:rsidRDefault="00190037" w:rsidP="00C023D4">
                  <w:pPr>
                    <w:spacing w:before="60" w:after="60"/>
                    <w:jc w:val="both"/>
                    <w:rPr>
                      <w:rFonts w:ascii="Arial" w:hAnsi="Arial" w:cs="Arial"/>
                      <w:sz w:val="22"/>
                      <w:szCs w:val="22"/>
                    </w:rPr>
                  </w:pPr>
                </w:p>
                <w:p w14:paraId="79EE0D8B" w14:textId="77777777" w:rsidR="005E71C1" w:rsidRPr="00291FC3" w:rsidRDefault="005E71C1" w:rsidP="005E71C1">
                  <w:pPr>
                    <w:spacing w:before="60"/>
                    <w:jc w:val="both"/>
                    <w:rPr>
                      <w:rFonts w:ascii="Arial" w:hAnsi="Arial" w:cs="Arial"/>
                      <w:sz w:val="22"/>
                      <w:szCs w:val="22"/>
                    </w:rPr>
                  </w:pPr>
                </w:p>
              </w:tc>
            </w:tr>
            <w:tr w:rsidR="00190037" w:rsidRPr="00291FC3" w14:paraId="14150E15" w14:textId="77777777" w:rsidTr="005E71C1">
              <w:trPr>
                <w:cantSplit/>
              </w:trPr>
              <w:tc>
                <w:tcPr>
                  <w:tcW w:w="1364" w:type="dxa"/>
                </w:tcPr>
                <w:p w14:paraId="278AFEE2"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Au plus tard en septembre année 2</w:t>
                  </w:r>
                </w:p>
              </w:tc>
              <w:tc>
                <w:tcPr>
                  <w:tcW w:w="4900" w:type="dxa"/>
                </w:tcPr>
                <w:p w14:paraId="1A60F148"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r w:rsidR="00190037" w:rsidRPr="00291FC3" w14:paraId="1E216A18" w14:textId="77777777" w:rsidTr="005E71C1">
              <w:trPr>
                <w:cantSplit/>
              </w:trPr>
              <w:tc>
                <w:tcPr>
                  <w:tcW w:w="1364" w:type="dxa"/>
                </w:tcPr>
                <w:p w14:paraId="06C9F494"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Quatre semaines avant la session du Comité</w:t>
                  </w:r>
                </w:p>
              </w:tc>
              <w:tc>
                <w:tcPr>
                  <w:tcW w:w="4900" w:type="dxa"/>
                </w:tcPr>
                <w:p w14:paraId="0CB8870B"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bl>
          <w:p w14:paraId="02EFDDEF" w14:textId="77777777" w:rsidR="00190037" w:rsidRPr="00291FC3" w:rsidRDefault="00190037" w:rsidP="00C023D4">
            <w:pPr>
              <w:spacing w:before="60" w:after="60"/>
              <w:jc w:val="right"/>
              <w:rPr>
                <w:rFonts w:ascii="Arial" w:hAnsi="Arial" w:cs="Arial"/>
                <w:sz w:val="22"/>
                <w:szCs w:val="22"/>
              </w:rPr>
            </w:pPr>
          </w:p>
        </w:tc>
      </w:tr>
      <w:tr w:rsidR="00190037" w:rsidRPr="00291FC3" w14:paraId="6FD37650" w14:textId="77777777" w:rsidTr="00C023D4">
        <w:tc>
          <w:tcPr>
            <w:tcW w:w="229" w:type="pct"/>
            <w:tcBorders>
              <w:top w:val="single" w:sz="4" w:space="0" w:color="auto"/>
              <w:left w:val="single" w:sz="4" w:space="0" w:color="auto"/>
              <w:bottom w:val="single" w:sz="4" w:space="0" w:color="auto"/>
              <w:right w:val="single" w:sz="4" w:space="0" w:color="auto"/>
            </w:tcBorders>
          </w:tcPr>
          <w:p w14:paraId="7669392C" w14:textId="77777777" w:rsidR="00190037" w:rsidRPr="00291FC3" w:rsidRDefault="00190037" w:rsidP="00C023D4">
            <w:pPr>
              <w:spacing w:before="120" w:after="120"/>
              <w:rPr>
                <w:rFonts w:ascii="Arial" w:hAnsi="Arial" w:cs="Arial"/>
                <w:b/>
                <w:bCs/>
                <w:sz w:val="22"/>
                <w:szCs w:val="22"/>
              </w:rPr>
            </w:pPr>
            <w:r w:rsidRPr="00291FC3">
              <w:rPr>
                <w:rFonts w:ascii="Arial" w:hAnsi="Arial"/>
                <w:b/>
                <w:sz w:val="22"/>
              </w:rPr>
              <w:t>56</w:t>
            </w:r>
          </w:p>
        </w:tc>
        <w:tc>
          <w:tcPr>
            <w:tcW w:w="2251" w:type="pct"/>
            <w:tcBorders>
              <w:top w:val="single" w:sz="4" w:space="0" w:color="auto"/>
              <w:left w:val="single" w:sz="4" w:space="0" w:color="auto"/>
              <w:bottom w:val="single" w:sz="4" w:space="0" w:color="auto"/>
              <w:right w:val="single" w:sz="4" w:space="0" w:color="auto"/>
            </w:tcBorders>
          </w:tcPr>
          <w:tbl>
            <w:tblPr>
              <w:tblStyle w:val="TableGrid"/>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4803"/>
            </w:tblGrid>
            <w:tr w:rsidR="00190037" w:rsidRPr="00291FC3" w14:paraId="2B1D4FF4" w14:textId="77777777" w:rsidTr="005E71C1">
              <w:trPr>
                <w:cantSplit/>
              </w:trPr>
              <w:tc>
                <w:tcPr>
                  <w:tcW w:w="1364" w:type="dxa"/>
                </w:tcPr>
                <w:p w14:paraId="3DC33429"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3 :</w:t>
                  </w:r>
                </w:p>
              </w:tc>
              <w:tc>
                <w:tcPr>
                  <w:tcW w:w="4803" w:type="dxa"/>
                </w:tcPr>
                <w:p w14:paraId="04B4E762"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Examen</w:t>
                  </w:r>
                </w:p>
              </w:tc>
            </w:tr>
            <w:tr w:rsidR="00190037" w:rsidRPr="00291FC3" w14:paraId="6FE02140" w14:textId="77777777" w:rsidTr="005E71C1">
              <w:trPr>
                <w:cantSplit/>
              </w:trPr>
              <w:tc>
                <w:tcPr>
                  <w:tcW w:w="1364" w:type="dxa"/>
                </w:tcPr>
                <w:p w14:paraId="1E9103B5" w14:textId="7B21F706" w:rsidR="00190037" w:rsidRPr="00291FC3" w:rsidRDefault="008D5313" w:rsidP="00C023D4">
                  <w:pPr>
                    <w:spacing w:before="60" w:after="60"/>
                    <w:jc w:val="right"/>
                    <w:rPr>
                      <w:rFonts w:ascii="Arial" w:hAnsi="Arial" w:cs="Arial"/>
                      <w:sz w:val="22"/>
                      <w:szCs w:val="22"/>
                    </w:rPr>
                  </w:pPr>
                  <w:r w:rsidRPr="00291FC3">
                    <w:rPr>
                      <w:rFonts w:ascii="Arial" w:hAnsi="Arial"/>
                      <w:sz w:val="22"/>
                    </w:rPr>
                    <w:t>n</w:t>
                  </w:r>
                  <w:r w:rsidR="00190037" w:rsidRPr="00291FC3">
                    <w:rPr>
                      <w:rFonts w:ascii="Arial" w:hAnsi="Arial"/>
                      <w:sz w:val="22"/>
                    </w:rPr>
                    <w:t>ovembre</w:t>
                  </w:r>
                </w:p>
                <w:p w14:paraId="3C47F5D8" w14:textId="610E8907" w:rsidR="00190037" w:rsidRPr="00291FC3" w:rsidRDefault="008D5313"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803" w:type="dxa"/>
                </w:tcPr>
                <w:p w14:paraId="2FAF3710"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Le Comité examine les candidatures, propositions et demandes et prend ses décisions.</w:t>
                  </w:r>
                </w:p>
              </w:tc>
            </w:tr>
          </w:tbl>
          <w:p w14:paraId="0468762F" w14:textId="77777777" w:rsidR="00190037" w:rsidRPr="00291FC3" w:rsidRDefault="00190037" w:rsidP="00C023D4">
            <w:pPr>
              <w:spacing w:before="60" w:after="60"/>
              <w:jc w:val="right"/>
              <w:rPr>
                <w:rFonts w:ascii="Arial" w:hAnsi="Arial" w:cs="Arial"/>
                <w:sz w:val="22"/>
                <w:szCs w:val="22"/>
              </w:rPr>
            </w:pPr>
          </w:p>
        </w:tc>
        <w:tc>
          <w:tcPr>
            <w:tcW w:w="248" w:type="pct"/>
            <w:tcBorders>
              <w:top w:val="single" w:sz="4" w:space="0" w:color="auto"/>
              <w:left w:val="single" w:sz="4" w:space="0" w:color="auto"/>
              <w:bottom w:val="single" w:sz="4" w:space="0" w:color="auto"/>
              <w:right w:val="single" w:sz="4" w:space="0" w:color="auto"/>
            </w:tcBorders>
          </w:tcPr>
          <w:p w14:paraId="368AAC23" w14:textId="77777777" w:rsidR="00190037" w:rsidRPr="00291FC3" w:rsidRDefault="00190037" w:rsidP="00C023D4">
            <w:pPr>
              <w:spacing w:before="120" w:after="120"/>
              <w:jc w:val="both"/>
              <w:rPr>
                <w:rFonts w:ascii="Arial" w:hAnsi="Arial" w:cs="Arial"/>
                <w:b/>
                <w:bCs/>
                <w:sz w:val="22"/>
                <w:szCs w:val="22"/>
              </w:rPr>
            </w:pPr>
            <w:r w:rsidRPr="00291FC3">
              <w:rPr>
                <w:rFonts w:ascii="Arial" w:hAnsi="Arial"/>
                <w:b/>
                <w:sz w:val="22"/>
              </w:rPr>
              <w:t>56</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6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4900"/>
            </w:tblGrid>
            <w:tr w:rsidR="00190037" w:rsidRPr="00291FC3" w14:paraId="03689C89" w14:textId="77777777" w:rsidTr="005E71C1">
              <w:trPr>
                <w:cantSplit/>
              </w:trPr>
              <w:tc>
                <w:tcPr>
                  <w:tcW w:w="1364" w:type="dxa"/>
                </w:tcPr>
                <w:p w14:paraId="00FA8400" w14:textId="77777777" w:rsidR="00190037" w:rsidRPr="00291FC3" w:rsidRDefault="00190037" w:rsidP="00C023D4">
                  <w:pPr>
                    <w:spacing w:before="60" w:after="60"/>
                    <w:jc w:val="right"/>
                    <w:rPr>
                      <w:rFonts w:ascii="Arial" w:hAnsi="Arial" w:cs="Arial"/>
                      <w:sz w:val="22"/>
                      <w:szCs w:val="22"/>
                    </w:rPr>
                  </w:pPr>
                  <w:r w:rsidRPr="00291FC3">
                    <w:rPr>
                      <w:rFonts w:ascii="Arial" w:hAnsi="Arial"/>
                      <w:sz w:val="22"/>
                    </w:rPr>
                    <w:t>Phase 3 :</w:t>
                  </w:r>
                </w:p>
              </w:tc>
              <w:tc>
                <w:tcPr>
                  <w:tcW w:w="4900" w:type="dxa"/>
                </w:tcPr>
                <w:p w14:paraId="25A699D7" w14:textId="77777777" w:rsidR="00190037" w:rsidRPr="00291FC3" w:rsidRDefault="00190037" w:rsidP="00C023D4">
                  <w:pPr>
                    <w:spacing w:before="60" w:after="60"/>
                    <w:jc w:val="both"/>
                    <w:rPr>
                      <w:rFonts w:ascii="Arial" w:hAnsi="Arial" w:cs="Arial"/>
                      <w:sz w:val="22"/>
                      <w:szCs w:val="22"/>
                    </w:rPr>
                  </w:pPr>
                  <w:r w:rsidRPr="00291FC3">
                    <w:rPr>
                      <w:rFonts w:ascii="Arial" w:hAnsi="Arial"/>
                      <w:sz w:val="22"/>
                    </w:rPr>
                    <w:t>Aucun changement.</w:t>
                  </w:r>
                </w:p>
              </w:tc>
            </w:tr>
            <w:tr w:rsidR="00190037" w:rsidRPr="00291FC3" w14:paraId="2C1BAF2B" w14:textId="77777777" w:rsidTr="005E71C1">
              <w:trPr>
                <w:cantSplit/>
              </w:trPr>
              <w:tc>
                <w:tcPr>
                  <w:tcW w:w="1364" w:type="dxa"/>
                </w:tcPr>
                <w:p w14:paraId="5F49E110" w14:textId="05ABC875" w:rsidR="00190037" w:rsidRPr="00291FC3" w:rsidRDefault="008D5313" w:rsidP="00C023D4">
                  <w:pPr>
                    <w:spacing w:before="60" w:after="60"/>
                    <w:jc w:val="right"/>
                    <w:rPr>
                      <w:rFonts w:ascii="Arial" w:hAnsi="Arial" w:cs="Arial"/>
                      <w:sz w:val="22"/>
                      <w:szCs w:val="22"/>
                    </w:rPr>
                  </w:pPr>
                  <w:r w:rsidRPr="00291FC3">
                    <w:rPr>
                      <w:rFonts w:ascii="Arial" w:hAnsi="Arial"/>
                      <w:sz w:val="22"/>
                    </w:rPr>
                    <w:t>n</w:t>
                  </w:r>
                  <w:r w:rsidR="00190037" w:rsidRPr="00291FC3">
                    <w:rPr>
                      <w:rFonts w:ascii="Arial" w:hAnsi="Arial"/>
                      <w:sz w:val="22"/>
                    </w:rPr>
                    <w:t>ovembre</w:t>
                  </w:r>
                </w:p>
                <w:p w14:paraId="304C083B" w14:textId="2A35EE19" w:rsidR="00190037" w:rsidRPr="00291FC3" w:rsidRDefault="008D5313" w:rsidP="00C023D4">
                  <w:pPr>
                    <w:spacing w:before="60" w:after="60"/>
                    <w:jc w:val="right"/>
                    <w:rPr>
                      <w:rFonts w:ascii="Arial" w:hAnsi="Arial" w:cs="Arial"/>
                      <w:sz w:val="22"/>
                      <w:szCs w:val="22"/>
                    </w:rPr>
                  </w:pPr>
                  <w:r w:rsidRPr="00291FC3">
                    <w:rPr>
                      <w:rFonts w:ascii="Arial" w:hAnsi="Arial"/>
                      <w:sz w:val="22"/>
                    </w:rPr>
                    <w:t>a</w:t>
                  </w:r>
                  <w:r w:rsidR="00190037" w:rsidRPr="00291FC3">
                    <w:rPr>
                      <w:rFonts w:ascii="Arial" w:hAnsi="Arial"/>
                      <w:sz w:val="22"/>
                    </w:rPr>
                    <w:t>nnée 2</w:t>
                  </w:r>
                </w:p>
              </w:tc>
              <w:tc>
                <w:tcPr>
                  <w:tcW w:w="4900" w:type="dxa"/>
                </w:tcPr>
                <w:p w14:paraId="626535C8" w14:textId="77777777" w:rsidR="00190037" w:rsidRDefault="00190037" w:rsidP="00C023D4">
                  <w:pPr>
                    <w:spacing w:before="60" w:after="60"/>
                    <w:jc w:val="both"/>
                    <w:rPr>
                      <w:rFonts w:ascii="Arial" w:hAnsi="Arial"/>
                      <w:sz w:val="22"/>
                    </w:rPr>
                  </w:pPr>
                  <w:r w:rsidRPr="00291FC3">
                    <w:rPr>
                      <w:rFonts w:ascii="Arial" w:hAnsi="Arial"/>
                      <w:sz w:val="22"/>
                    </w:rPr>
                    <w:t>Aucun changement.</w:t>
                  </w:r>
                </w:p>
                <w:p w14:paraId="5C462038" w14:textId="77777777" w:rsidR="005E71C1" w:rsidRDefault="005E71C1" w:rsidP="005E71C1">
                  <w:pPr>
                    <w:spacing w:before="60"/>
                    <w:jc w:val="both"/>
                    <w:rPr>
                      <w:rFonts w:ascii="Arial" w:hAnsi="Arial"/>
                      <w:sz w:val="22"/>
                    </w:rPr>
                  </w:pPr>
                </w:p>
                <w:p w14:paraId="6FE48052" w14:textId="77777777" w:rsidR="005E71C1" w:rsidRPr="00291FC3" w:rsidRDefault="005E71C1" w:rsidP="005E71C1">
                  <w:pPr>
                    <w:jc w:val="both"/>
                    <w:rPr>
                      <w:rFonts w:ascii="Arial" w:hAnsi="Arial" w:cs="Arial"/>
                      <w:sz w:val="22"/>
                      <w:szCs w:val="22"/>
                    </w:rPr>
                  </w:pPr>
                </w:p>
              </w:tc>
            </w:tr>
          </w:tbl>
          <w:p w14:paraId="3D1BD552" w14:textId="77777777" w:rsidR="00190037" w:rsidRPr="00291FC3" w:rsidRDefault="00190037" w:rsidP="00C023D4">
            <w:pPr>
              <w:spacing w:before="60" w:after="60"/>
              <w:jc w:val="right"/>
              <w:rPr>
                <w:rFonts w:ascii="Arial" w:hAnsi="Arial" w:cs="Arial"/>
                <w:sz w:val="22"/>
                <w:szCs w:val="22"/>
              </w:rPr>
            </w:pPr>
          </w:p>
        </w:tc>
      </w:tr>
    </w:tbl>
    <w:p w14:paraId="0F6FA551" w14:textId="77777777" w:rsidR="00190037" w:rsidRPr="00291FC3" w:rsidRDefault="00190037" w:rsidP="00190037">
      <w:pPr>
        <w:pStyle w:val="COMParaDecision"/>
        <w:numPr>
          <w:ilvl w:val="0"/>
          <w:numId w:val="0"/>
        </w:numPr>
        <w:rPr>
          <w:b/>
          <w:bCs/>
          <w:u w:val="none"/>
        </w:rPr>
      </w:pPr>
    </w:p>
    <w:sectPr w:rsidR="00190037" w:rsidRPr="00291FC3" w:rsidSect="0081570A">
      <w:headerReference w:type="first" r:id="rId22"/>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44D6AEEB" w:rsidR="00D95C4C" w:rsidRPr="00C23A97" w:rsidRDefault="00C5776D" w:rsidP="00C5776D">
    <w:pPr>
      <w:pStyle w:val="Header"/>
      <w:rPr>
        <w:rFonts w:ascii="Arial" w:hAnsi="Arial" w:cs="Arial"/>
      </w:rPr>
    </w:pPr>
    <w:r>
      <w:rPr>
        <w:rFonts w:ascii="Arial" w:hAnsi="Arial"/>
        <w:sz w:val="20"/>
      </w:rPr>
      <w:t>LHE/25/20.COM/8 –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9DD60A8" w:rsidR="00D95C4C" w:rsidRPr="0063300C" w:rsidRDefault="00C5776D" w:rsidP="00C5776D">
    <w:pPr>
      <w:pStyle w:val="Header"/>
      <w:jc w:val="right"/>
      <w:rPr>
        <w:rFonts w:ascii="Arial" w:hAnsi="Arial" w:cs="Arial"/>
      </w:rPr>
    </w:pPr>
    <w:r>
      <w:rPr>
        <w:rFonts w:ascii="Arial" w:hAnsi="Arial"/>
        <w:sz w:val="20"/>
      </w:rPr>
      <w:t>LHE/25/20.COM/8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23C22AB7" w:rsidR="00D95C4C" w:rsidRPr="00291FC3" w:rsidRDefault="005972C5">
    <w:pPr>
      <w:pStyle w:val="Header"/>
      <w:rPr>
        <w:sz w:val="22"/>
        <w:szCs w:val="22"/>
      </w:rPr>
    </w:pPr>
    <w:r w:rsidRPr="00291FC3">
      <w:rPr>
        <w:rFonts w:ascii="Arial" w:hAnsi="Arial"/>
        <w:b/>
        <w:noProof/>
        <w:sz w:val="44"/>
      </w:rPr>
      <w:drawing>
        <wp:anchor distT="0" distB="0" distL="114300" distR="114300" simplePos="0" relativeHeight="251659264" behindDoc="0" locked="0" layoutInCell="1" allowOverlap="1" wp14:anchorId="6AED71B0" wp14:editId="2B228D08">
          <wp:simplePos x="0" y="0"/>
          <wp:positionH relativeFrom="margin">
            <wp:posOffset>0</wp:posOffset>
          </wp:positionH>
          <wp:positionV relativeFrom="paragraph">
            <wp:posOffset>-91712</wp:posOffset>
          </wp:positionV>
          <wp:extent cx="1710000" cy="1436138"/>
          <wp:effectExtent l="0" t="0" r="5080" b="0"/>
          <wp:wrapSquare wrapText="bothSides"/>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2B042E31" w:rsidR="00D95C4C" w:rsidRPr="00291FC3" w:rsidRDefault="00266322" w:rsidP="00C5776D">
    <w:pPr>
      <w:pStyle w:val="Header"/>
      <w:spacing w:after="520"/>
      <w:jc w:val="right"/>
      <w:rPr>
        <w:rFonts w:ascii="Arial" w:hAnsi="Arial" w:cs="Arial"/>
        <w:b/>
        <w:sz w:val="44"/>
        <w:szCs w:val="44"/>
      </w:rPr>
    </w:pPr>
    <w:r w:rsidRPr="00291FC3">
      <w:rPr>
        <w:rFonts w:ascii="Arial" w:hAnsi="Arial"/>
        <w:b/>
        <w:sz w:val="44"/>
      </w:rPr>
      <w:t>20 COM</w:t>
    </w:r>
  </w:p>
  <w:p w14:paraId="306484B8" w14:textId="6ECCB4A8" w:rsidR="00D95C4C" w:rsidRPr="00291FC3" w:rsidRDefault="00C5776D" w:rsidP="00C5776D">
    <w:pPr>
      <w:jc w:val="right"/>
      <w:rPr>
        <w:rFonts w:ascii="Arial" w:hAnsi="Arial" w:cs="Arial"/>
        <w:b/>
        <w:sz w:val="22"/>
        <w:szCs w:val="22"/>
      </w:rPr>
    </w:pPr>
    <w:r w:rsidRPr="00291FC3">
      <w:rPr>
        <w:rFonts w:ascii="Arial" w:hAnsi="Arial"/>
        <w:b/>
        <w:sz w:val="22"/>
      </w:rPr>
      <w:t>LHE/25/20.COM/8</w:t>
    </w:r>
  </w:p>
  <w:p w14:paraId="1B4446C3" w14:textId="69DBB32F" w:rsidR="00D95C4C" w:rsidRPr="00291FC3" w:rsidRDefault="00D95C4C" w:rsidP="00655736">
    <w:pPr>
      <w:jc w:val="right"/>
      <w:rPr>
        <w:rFonts w:ascii="Arial" w:eastAsiaTheme="minorEastAsia" w:hAnsi="Arial" w:cs="Arial"/>
        <w:b/>
        <w:sz w:val="22"/>
        <w:szCs w:val="22"/>
      </w:rPr>
    </w:pPr>
    <w:r w:rsidRPr="00291FC3">
      <w:rPr>
        <w:rFonts w:ascii="Arial" w:hAnsi="Arial"/>
        <w:b/>
        <w:sz w:val="22"/>
      </w:rPr>
      <w:t xml:space="preserve">Paris, le </w:t>
    </w:r>
    <w:r w:rsidR="00623DA1" w:rsidRPr="00291FC3">
      <w:rPr>
        <w:rFonts w:ascii="Arial" w:hAnsi="Arial"/>
        <w:b/>
        <w:sz w:val="22"/>
      </w:rPr>
      <w:t>26 </w:t>
    </w:r>
    <w:r w:rsidRPr="00291FC3">
      <w:rPr>
        <w:rFonts w:ascii="Arial" w:hAnsi="Arial"/>
        <w:b/>
        <w:sz w:val="22"/>
      </w:rPr>
      <w:t>novembre 2025</w:t>
    </w:r>
  </w:p>
  <w:p w14:paraId="255B57FF" w14:textId="693D2AB6" w:rsidR="00D95C4C" w:rsidRPr="00291FC3" w:rsidRDefault="00D95C4C" w:rsidP="00962034">
    <w:pPr>
      <w:spacing w:after="120"/>
      <w:jc w:val="right"/>
      <w:rPr>
        <w:rFonts w:ascii="Arial" w:hAnsi="Arial" w:cs="Arial"/>
        <w:b/>
        <w:sz w:val="22"/>
        <w:szCs w:val="22"/>
      </w:rPr>
    </w:pPr>
    <w:r w:rsidRPr="00291FC3">
      <w:rPr>
        <w:rFonts w:ascii="Arial" w:hAnsi="Arial"/>
        <w:b/>
        <w:sz w:val="22"/>
      </w:rPr>
      <w:t>Original : anglais</w:t>
    </w:r>
  </w:p>
  <w:p w14:paraId="3C4B8B1B" w14:textId="77777777" w:rsidR="00D95C4C" w:rsidRPr="00291FC3" w:rsidRDefault="00D95C4C">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BFBB" w14:textId="77777777" w:rsidR="0081570A" w:rsidRPr="00E95AE2" w:rsidRDefault="0081570A">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4E72DEAC"/>
    <w:lvl w:ilvl="0" w:tplc="FF589D80">
      <w:start w:val="1"/>
      <w:numFmt w:val="upperLetter"/>
      <w:lvlText w:val="%1."/>
      <w:lvlJc w:val="left"/>
      <w:pPr>
        <w:ind w:left="50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AD3EC974"/>
    <w:lvl w:ilvl="0" w:tplc="76CAC304">
      <w:start w:val="1"/>
      <w:numFmt w:val="decimal"/>
      <w:pStyle w:val="COMPara"/>
      <w:lvlText w:val="%1."/>
      <w:lvlJc w:val="left"/>
      <w:pPr>
        <w:ind w:left="720" w:hanging="360"/>
      </w:pPr>
    </w:lvl>
    <w:lvl w:ilvl="1" w:tplc="05280F7A">
      <w:start w:val="1"/>
      <w:numFmt w:val="lowerLetter"/>
      <w:lvlText w:val="%2."/>
      <w:lvlJc w:val="left"/>
      <w:pPr>
        <w:ind w:left="1440" w:hanging="360"/>
      </w:pPr>
      <w:rPr>
        <w:b w:val="0"/>
        <w:bCs w:val="0"/>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96574710">
    <w:abstractNumId w:val="11"/>
  </w:num>
  <w:num w:numId="2" w16cid:durableId="1316571383">
    <w:abstractNumId w:val="6"/>
  </w:num>
  <w:num w:numId="3" w16cid:durableId="1565026765">
    <w:abstractNumId w:val="2"/>
  </w:num>
  <w:num w:numId="4" w16cid:durableId="986864827">
    <w:abstractNumId w:val="13"/>
  </w:num>
  <w:num w:numId="5" w16cid:durableId="824470997">
    <w:abstractNumId w:val="12"/>
  </w:num>
  <w:num w:numId="6" w16cid:durableId="2119716772">
    <w:abstractNumId w:val="0"/>
  </w:num>
  <w:num w:numId="7" w16cid:durableId="878587971">
    <w:abstractNumId w:val="3"/>
  </w:num>
  <w:num w:numId="8" w16cid:durableId="454829359">
    <w:abstractNumId w:val="10"/>
  </w:num>
  <w:num w:numId="9" w16cid:durableId="1383089948">
    <w:abstractNumId w:val="5"/>
  </w:num>
  <w:num w:numId="10" w16cid:durableId="1272324320">
    <w:abstractNumId w:val="7"/>
  </w:num>
  <w:num w:numId="11" w16cid:durableId="1359548240">
    <w:abstractNumId w:val="9"/>
  </w:num>
  <w:num w:numId="12" w16cid:durableId="193202981">
    <w:abstractNumId w:val="8"/>
  </w:num>
  <w:num w:numId="13" w16cid:durableId="1505632517">
    <w:abstractNumId w:val="14"/>
  </w:num>
  <w:num w:numId="14" w16cid:durableId="1507788171">
    <w:abstractNumId w:val="4"/>
  </w:num>
  <w:num w:numId="15" w16cid:durableId="45186619">
    <w:abstractNumId w:val="5"/>
  </w:num>
  <w:num w:numId="16" w16cid:durableId="287708158">
    <w:abstractNumId w:val="5"/>
  </w:num>
  <w:num w:numId="17" w16cid:durableId="1055930536">
    <w:abstractNumId w:val="5"/>
  </w:num>
  <w:num w:numId="18" w16cid:durableId="73557355">
    <w:abstractNumId w:val="5"/>
  </w:num>
  <w:num w:numId="19" w16cid:durableId="849181615">
    <w:abstractNumId w:val="5"/>
  </w:num>
  <w:num w:numId="20" w16cid:durableId="1566798787">
    <w:abstractNumId w:val="5"/>
  </w:num>
  <w:num w:numId="21" w16cid:durableId="1830831232">
    <w:abstractNumId w:val="1"/>
  </w:num>
  <w:num w:numId="22" w16cid:durableId="31813305">
    <w:abstractNumId w:val="5"/>
  </w:num>
  <w:num w:numId="23" w16cid:durableId="548960925">
    <w:abstractNumId w:val="5"/>
  </w:num>
  <w:num w:numId="24" w16cid:durableId="2078744190">
    <w:abstractNumId w:val="5"/>
  </w:num>
  <w:num w:numId="25" w16cid:durableId="1532062187">
    <w:abstractNumId w:val="5"/>
  </w:num>
  <w:num w:numId="26" w16cid:durableId="832838481">
    <w:abstractNumId w:val="5"/>
  </w:num>
  <w:num w:numId="27" w16cid:durableId="1350374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2AF9"/>
    <w:rsid w:val="00014915"/>
    <w:rsid w:val="00015E22"/>
    <w:rsid w:val="00023A06"/>
    <w:rsid w:val="00041A66"/>
    <w:rsid w:val="00042D88"/>
    <w:rsid w:val="0005176E"/>
    <w:rsid w:val="00076376"/>
    <w:rsid w:val="000765F7"/>
    <w:rsid w:val="0007725F"/>
    <w:rsid w:val="00077AB7"/>
    <w:rsid w:val="00081CD8"/>
    <w:rsid w:val="000A4D3E"/>
    <w:rsid w:val="000A7F0E"/>
    <w:rsid w:val="000B1C8F"/>
    <w:rsid w:val="000C0D61"/>
    <w:rsid w:val="000D4B59"/>
    <w:rsid w:val="000F3A3F"/>
    <w:rsid w:val="001003F7"/>
    <w:rsid w:val="00102557"/>
    <w:rsid w:val="00122BB1"/>
    <w:rsid w:val="00123E9E"/>
    <w:rsid w:val="001436EF"/>
    <w:rsid w:val="00147A38"/>
    <w:rsid w:val="00147A3A"/>
    <w:rsid w:val="00160609"/>
    <w:rsid w:val="00164D56"/>
    <w:rsid w:val="00165417"/>
    <w:rsid w:val="00167B10"/>
    <w:rsid w:val="0017402F"/>
    <w:rsid w:val="00190037"/>
    <w:rsid w:val="00190205"/>
    <w:rsid w:val="00196C1B"/>
    <w:rsid w:val="001B0F73"/>
    <w:rsid w:val="001C2DB7"/>
    <w:rsid w:val="001D14FE"/>
    <w:rsid w:val="001D2C98"/>
    <w:rsid w:val="001D5C04"/>
    <w:rsid w:val="001F26CF"/>
    <w:rsid w:val="00222A2D"/>
    <w:rsid w:val="00223029"/>
    <w:rsid w:val="00234745"/>
    <w:rsid w:val="002351A6"/>
    <w:rsid w:val="00236966"/>
    <w:rsid w:val="00240757"/>
    <w:rsid w:val="002407AF"/>
    <w:rsid w:val="00245501"/>
    <w:rsid w:val="00254B26"/>
    <w:rsid w:val="0026221A"/>
    <w:rsid w:val="00263C21"/>
    <w:rsid w:val="00265B9E"/>
    <w:rsid w:val="00266322"/>
    <w:rsid w:val="0027466B"/>
    <w:rsid w:val="002814F6"/>
    <w:rsid w:val="002838A5"/>
    <w:rsid w:val="00285BB4"/>
    <w:rsid w:val="00291FC3"/>
    <w:rsid w:val="00296439"/>
    <w:rsid w:val="002B55EA"/>
    <w:rsid w:val="002C09E3"/>
    <w:rsid w:val="002C6A2C"/>
    <w:rsid w:val="002D1244"/>
    <w:rsid w:val="00337CEB"/>
    <w:rsid w:val="00343A7E"/>
    <w:rsid w:val="00344B58"/>
    <w:rsid w:val="0034539A"/>
    <w:rsid w:val="00345CB4"/>
    <w:rsid w:val="0035679F"/>
    <w:rsid w:val="00375D42"/>
    <w:rsid w:val="00387AE7"/>
    <w:rsid w:val="003B5F26"/>
    <w:rsid w:val="003C770A"/>
    <w:rsid w:val="003C7DE5"/>
    <w:rsid w:val="003D069C"/>
    <w:rsid w:val="003D7646"/>
    <w:rsid w:val="003E0109"/>
    <w:rsid w:val="003F113A"/>
    <w:rsid w:val="003F3E63"/>
    <w:rsid w:val="00405783"/>
    <w:rsid w:val="00407480"/>
    <w:rsid w:val="00414643"/>
    <w:rsid w:val="004313C4"/>
    <w:rsid w:val="004324B6"/>
    <w:rsid w:val="00440D7C"/>
    <w:rsid w:val="004421E5"/>
    <w:rsid w:val="00451440"/>
    <w:rsid w:val="00452284"/>
    <w:rsid w:val="004534F6"/>
    <w:rsid w:val="00457C8E"/>
    <w:rsid w:val="00473AFF"/>
    <w:rsid w:val="00480175"/>
    <w:rsid w:val="004856CA"/>
    <w:rsid w:val="00487E67"/>
    <w:rsid w:val="004906B7"/>
    <w:rsid w:val="00492124"/>
    <w:rsid w:val="0049705E"/>
    <w:rsid w:val="004A2875"/>
    <w:rsid w:val="004A34A0"/>
    <w:rsid w:val="004C4B07"/>
    <w:rsid w:val="004C7C82"/>
    <w:rsid w:val="004E7FAF"/>
    <w:rsid w:val="005008A8"/>
    <w:rsid w:val="00517FD8"/>
    <w:rsid w:val="00526B7B"/>
    <w:rsid w:val="005274D2"/>
    <w:rsid w:val="005308CE"/>
    <w:rsid w:val="0053318C"/>
    <w:rsid w:val="0053381F"/>
    <w:rsid w:val="00533FCE"/>
    <w:rsid w:val="00541294"/>
    <w:rsid w:val="0057439C"/>
    <w:rsid w:val="0058283F"/>
    <w:rsid w:val="00587FD8"/>
    <w:rsid w:val="005960FA"/>
    <w:rsid w:val="005972C5"/>
    <w:rsid w:val="005A592C"/>
    <w:rsid w:val="005A7F85"/>
    <w:rsid w:val="005B0127"/>
    <w:rsid w:val="005B7A35"/>
    <w:rsid w:val="005C4B73"/>
    <w:rsid w:val="005E1D2B"/>
    <w:rsid w:val="005E7074"/>
    <w:rsid w:val="005E71C1"/>
    <w:rsid w:val="005F2BAF"/>
    <w:rsid w:val="00600D93"/>
    <w:rsid w:val="00601276"/>
    <w:rsid w:val="00602DCC"/>
    <w:rsid w:val="00605FB3"/>
    <w:rsid w:val="00613F7D"/>
    <w:rsid w:val="0061446E"/>
    <w:rsid w:val="00623DA1"/>
    <w:rsid w:val="00626BEA"/>
    <w:rsid w:val="0063300C"/>
    <w:rsid w:val="00651A5B"/>
    <w:rsid w:val="00655736"/>
    <w:rsid w:val="00663B8D"/>
    <w:rsid w:val="00675601"/>
    <w:rsid w:val="00690D4E"/>
    <w:rsid w:val="00696C8D"/>
    <w:rsid w:val="00697227"/>
    <w:rsid w:val="006A2AC2"/>
    <w:rsid w:val="006A3617"/>
    <w:rsid w:val="006B4452"/>
    <w:rsid w:val="006E2A35"/>
    <w:rsid w:val="006E46E4"/>
    <w:rsid w:val="006E75EB"/>
    <w:rsid w:val="00704618"/>
    <w:rsid w:val="00717DA5"/>
    <w:rsid w:val="007203A7"/>
    <w:rsid w:val="007333D0"/>
    <w:rsid w:val="00744484"/>
    <w:rsid w:val="00747566"/>
    <w:rsid w:val="00761316"/>
    <w:rsid w:val="00773188"/>
    <w:rsid w:val="00783782"/>
    <w:rsid w:val="00784B8C"/>
    <w:rsid w:val="007879E1"/>
    <w:rsid w:val="007A3FB5"/>
    <w:rsid w:val="007A4364"/>
    <w:rsid w:val="007B6951"/>
    <w:rsid w:val="007E3A3C"/>
    <w:rsid w:val="007E57AA"/>
    <w:rsid w:val="007E66A7"/>
    <w:rsid w:val="00805382"/>
    <w:rsid w:val="0081570A"/>
    <w:rsid w:val="008174F4"/>
    <w:rsid w:val="00823A11"/>
    <w:rsid w:val="00835F9A"/>
    <w:rsid w:val="0085405E"/>
    <w:rsid w:val="0085414A"/>
    <w:rsid w:val="00857EB9"/>
    <w:rsid w:val="0086269D"/>
    <w:rsid w:val="0086543A"/>
    <w:rsid w:val="008724E5"/>
    <w:rsid w:val="008765C9"/>
    <w:rsid w:val="00884A9D"/>
    <w:rsid w:val="0088512B"/>
    <w:rsid w:val="008A2B2D"/>
    <w:rsid w:val="008A4E1E"/>
    <w:rsid w:val="008A6458"/>
    <w:rsid w:val="008B1EEA"/>
    <w:rsid w:val="008C296C"/>
    <w:rsid w:val="008D4305"/>
    <w:rsid w:val="008D5313"/>
    <w:rsid w:val="008E1A85"/>
    <w:rsid w:val="008E344F"/>
    <w:rsid w:val="009163A7"/>
    <w:rsid w:val="00922C73"/>
    <w:rsid w:val="00937D53"/>
    <w:rsid w:val="0094385C"/>
    <w:rsid w:val="00943C2D"/>
    <w:rsid w:val="0094699D"/>
    <w:rsid w:val="00946D0B"/>
    <w:rsid w:val="00953666"/>
    <w:rsid w:val="00955877"/>
    <w:rsid w:val="00962034"/>
    <w:rsid w:val="00973009"/>
    <w:rsid w:val="00993541"/>
    <w:rsid w:val="00996F54"/>
    <w:rsid w:val="009A18CD"/>
    <w:rsid w:val="009B475E"/>
    <w:rsid w:val="009C35E7"/>
    <w:rsid w:val="009C426B"/>
    <w:rsid w:val="009D0392"/>
    <w:rsid w:val="009D5428"/>
    <w:rsid w:val="009E41A7"/>
    <w:rsid w:val="009F36D5"/>
    <w:rsid w:val="00A12558"/>
    <w:rsid w:val="00A13903"/>
    <w:rsid w:val="00A20183"/>
    <w:rsid w:val="00A34ED5"/>
    <w:rsid w:val="00A41690"/>
    <w:rsid w:val="00A45328"/>
    <w:rsid w:val="00A45DBF"/>
    <w:rsid w:val="00A60584"/>
    <w:rsid w:val="00A72480"/>
    <w:rsid w:val="00A725CF"/>
    <w:rsid w:val="00A755A2"/>
    <w:rsid w:val="00A86C6D"/>
    <w:rsid w:val="00A91430"/>
    <w:rsid w:val="00A94684"/>
    <w:rsid w:val="00A95CB1"/>
    <w:rsid w:val="00AA590D"/>
    <w:rsid w:val="00AA6660"/>
    <w:rsid w:val="00AB0288"/>
    <w:rsid w:val="00AB2C36"/>
    <w:rsid w:val="00AB6DDE"/>
    <w:rsid w:val="00AB70B6"/>
    <w:rsid w:val="00AC18C1"/>
    <w:rsid w:val="00AC6ED9"/>
    <w:rsid w:val="00AD1A86"/>
    <w:rsid w:val="00AD5C46"/>
    <w:rsid w:val="00AE103E"/>
    <w:rsid w:val="00AF0A07"/>
    <w:rsid w:val="00AF4AEC"/>
    <w:rsid w:val="00AF625E"/>
    <w:rsid w:val="00B139BE"/>
    <w:rsid w:val="00B174B4"/>
    <w:rsid w:val="00B2172B"/>
    <w:rsid w:val="00B34428"/>
    <w:rsid w:val="00B629EF"/>
    <w:rsid w:val="00B63163"/>
    <w:rsid w:val="00B760B0"/>
    <w:rsid w:val="00B917D2"/>
    <w:rsid w:val="00B97EB3"/>
    <w:rsid w:val="00BA0149"/>
    <w:rsid w:val="00BA241A"/>
    <w:rsid w:val="00BB04AF"/>
    <w:rsid w:val="00BB349B"/>
    <w:rsid w:val="00BB6EEC"/>
    <w:rsid w:val="00BB7AEF"/>
    <w:rsid w:val="00BC25E6"/>
    <w:rsid w:val="00BC4CC7"/>
    <w:rsid w:val="00BD52C9"/>
    <w:rsid w:val="00BE6354"/>
    <w:rsid w:val="00BF1156"/>
    <w:rsid w:val="00BF6BD7"/>
    <w:rsid w:val="00C07948"/>
    <w:rsid w:val="00C138D1"/>
    <w:rsid w:val="00C23A97"/>
    <w:rsid w:val="00C26361"/>
    <w:rsid w:val="00C32604"/>
    <w:rsid w:val="00C35E95"/>
    <w:rsid w:val="00C52EBE"/>
    <w:rsid w:val="00C559E7"/>
    <w:rsid w:val="00C5776D"/>
    <w:rsid w:val="00C57B64"/>
    <w:rsid w:val="00C64450"/>
    <w:rsid w:val="00C64855"/>
    <w:rsid w:val="00C70EA7"/>
    <w:rsid w:val="00C7433F"/>
    <w:rsid w:val="00C7516E"/>
    <w:rsid w:val="00C75770"/>
    <w:rsid w:val="00C87354"/>
    <w:rsid w:val="00C9020E"/>
    <w:rsid w:val="00C92443"/>
    <w:rsid w:val="00CA0F91"/>
    <w:rsid w:val="00CA56BB"/>
    <w:rsid w:val="00CA6C62"/>
    <w:rsid w:val="00CB0542"/>
    <w:rsid w:val="00CB5EB2"/>
    <w:rsid w:val="00CB7A85"/>
    <w:rsid w:val="00CC1E1C"/>
    <w:rsid w:val="00CC7DC1"/>
    <w:rsid w:val="00CD2BA0"/>
    <w:rsid w:val="00CD7548"/>
    <w:rsid w:val="00CE382D"/>
    <w:rsid w:val="00D00B2B"/>
    <w:rsid w:val="00D03C2A"/>
    <w:rsid w:val="00D055D7"/>
    <w:rsid w:val="00D07B49"/>
    <w:rsid w:val="00D1721C"/>
    <w:rsid w:val="00D223ED"/>
    <w:rsid w:val="00D24877"/>
    <w:rsid w:val="00D31B2D"/>
    <w:rsid w:val="00D43C9F"/>
    <w:rsid w:val="00D54850"/>
    <w:rsid w:val="00D63318"/>
    <w:rsid w:val="00D63A17"/>
    <w:rsid w:val="00D7105A"/>
    <w:rsid w:val="00D8250F"/>
    <w:rsid w:val="00D86BB3"/>
    <w:rsid w:val="00D95C4C"/>
    <w:rsid w:val="00DA0C51"/>
    <w:rsid w:val="00DA36ED"/>
    <w:rsid w:val="00DC3C94"/>
    <w:rsid w:val="00DE1E33"/>
    <w:rsid w:val="00DE34F1"/>
    <w:rsid w:val="00DE55D3"/>
    <w:rsid w:val="00DE6160"/>
    <w:rsid w:val="00DF4942"/>
    <w:rsid w:val="00E00507"/>
    <w:rsid w:val="00E07A6E"/>
    <w:rsid w:val="00E2125F"/>
    <w:rsid w:val="00E21CDF"/>
    <w:rsid w:val="00E244E1"/>
    <w:rsid w:val="00E24EFF"/>
    <w:rsid w:val="00E3079C"/>
    <w:rsid w:val="00E33366"/>
    <w:rsid w:val="00E4150C"/>
    <w:rsid w:val="00E627B1"/>
    <w:rsid w:val="00E63408"/>
    <w:rsid w:val="00E70169"/>
    <w:rsid w:val="00E76CF7"/>
    <w:rsid w:val="00E9376C"/>
    <w:rsid w:val="00E95AE2"/>
    <w:rsid w:val="00EA335E"/>
    <w:rsid w:val="00EA528C"/>
    <w:rsid w:val="00EA580C"/>
    <w:rsid w:val="00EC6F8D"/>
    <w:rsid w:val="00ED39B2"/>
    <w:rsid w:val="00EE49F4"/>
    <w:rsid w:val="00EF34E2"/>
    <w:rsid w:val="00F00935"/>
    <w:rsid w:val="00F145C9"/>
    <w:rsid w:val="00F30DC6"/>
    <w:rsid w:val="00F315B5"/>
    <w:rsid w:val="00F31F96"/>
    <w:rsid w:val="00F32C23"/>
    <w:rsid w:val="00F42EE3"/>
    <w:rsid w:val="00F53DE9"/>
    <w:rsid w:val="00F576CB"/>
    <w:rsid w:val="00F7035D"/>
    <w:rsid w:val="00F70CC5"/>
    <w:rsid w:val="00F71A02"/>
    <w:rsid w:val="00F75116"/>
    <w:rsid w:val="00FA0D63"/>
    <w:rsid w:val="00FD1226"/>
    <w:rsid w:val="00FD4BC8"/>
    <w:rsid w:val="00FE384B"/>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basedOn w:val="DefaultParagraphFont"/>
    <w:uiPriority w:val="99"/>
    <w:unhideWhenUsed/>
    <w:rsid w:val="00D54850"/>
    <w:rPr>
      <w:color w:val="0000FF" w:themeColor="hyperlink"/>
      <w:u w:val="single"/>
    </w:rPr>
  </w:style>
  <w:style w:type="character" w:styleId="UnresolvedMention">
    <w:name w:val="Unresolved Mention"/>
    <w:basedOn w:val="DefaultParagraphFont"/>
    <w:uiPriority w:val="99"/>
    <w:semiHidden/>
    <w:unhideWhenUsed/>
    <w:rsid w:val="00D54850"/>
    <w:rPr>
      <w:color w:val="605E5C"/>
      <w:shd w:val="clear" w:color="auto" w:fill="E1DFDD"/>
    </w:rPr>
  </w:style>
  <w:style w:type="paragraph" w:styleId="Revision">
    <w:name w:val="Revision"/>
    <w:hidden/>
    <w:uiPriority w:val="99"/>
    <w:semiHidden/>
    <w:rsid w:val="00CC1E1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C2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9.COM/15" TargetMode="External"/><Relationship Id="rId13" Type="http://schemas.openxmlformats.org/officeDocument/2006/relationships/hyperlink" Target="https://ich.unesco.org/fr/decisions/19.COM/15" TargetMode="External"/><Relationship Id="rId18" Type="http://schemas.openxmlformats.org/officeDocument/2006/relationships/hyperlink" Target="https://ich.unesco.org/fr/decisions/19.COM/1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LHE-25-20.COM-6.c_FR.docx" TargetMode="External"/><Relationship Id="rId17" Type="http://schemas.openxmlformats.org/officeDocument/2006/relationships/hyperlink" Target="https://ich.unesco.org/doc/src/LHE-25-20.COM-11_FR.docx" TargetMode="External"/><Relationship Id="rId2" Type="http://schemas.openxmlformats.org/officeDocument/2006/relationships/numbering" Target="numbering.xml"/><Relationship Id="rId16" Type="http://schemas.openxmlformats.org/officeDocument/2006/relationships/hyperlink" Target="https://ich.unesco.org/doc/src/LHE-24-19.COM-7_FR.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9.COM/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decisions/9.GA/9" TargetMode="External"/><Relationship Id="rId23" Type="http://schemas.openxmlformats.org/officeDocument/2006/relationships/fontTable" Target="fontTable.xml"/><Relationship Id="rId10" Type="http://schemas.openxmlformats.org/officeDocument/2006/relationships/hyperlink" Target="https://ich.unesco.org/fr/decisions/17.COM/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19.COM/15" TargetMode="External"/><Relationship Id="rId14" Type="http://schemas.openxmlformats.org/officeDocument/2006/relationships/hyperlink" Target="https://ich.unesco.org/fr/decisions/10.GA/7"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175</TotalTime>
  <Pages>10</Pages>
  <Words>3855</Words>
  <Characters>21207</Characters>
  <Application>Microsoft Office Word</Application>
  <DocSecurity>0</DocSecurity>
  <Lines>176</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7</cp:revision>
  <cp:lastPrinted>2011-08-06T10:22:00Z</cp:lastPrinted>
  <dcterms:created xsi:type="dcterms:W3CDTF">2025-11-26T10:55:00Z</dcterms:created>
  <dcterms:modified xsi:type="dcterms:W3CDTF">2025-11-26T18:32:00Z</dcterms:modified>
</cp:coreProperties>
</file>