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F60A" w14:textId="77777777" w:rsidR="004D23ED" w:rsidRPr="003A0C8A" w:rsidRDefault="004D23ED" w:rsidP="004D23ED">
      <w:pPr>
        <w:pStyle w:val="COMPara"/>
        <w:ind w:left="567"/>
        <w:rPr>
          <w:b/>
          <w:bCs/>
          <w:lang w:val="fr-FR"/>
        </w:rPr>
      </w:pPr>
      <w:bookmarkStart w:id="0" w:name="_Hlk80278538"/>
    </w:p>
    <w:p w14:paraId="586FC615" w14:textId="77777777" w:rsidR="004D23ED" w:rsidRPr="003A0C8A" w:rsidRDefault="004D23ED" w:rsidP="004D23ED">
      <w:pPr>
        <w:pStyle w:val="COMPara"/>
        <w:ind w:left="567"/>
        <w:rPr>
          <w:b/>
          <w:bCs/>
          <w:lang w:val="fr-FR"/>
        </w:rPr>
      </w:pPr>
    </w:p>
    <w:p w14:paraId="530EF569" w14:textId="77777777" w:rsidR="004D23ED" w:rsidRPr="003A0C8A" w:rsidRDefault="004D23ED" w:rsidP="004D23ED">
      <w:pPr>
        <w:pStyle w:val="COMPara"/>
        <w:ind w:left="567"/>
        <w:rPr>
          <w:b/>
          <w:bCs/>
          <w:lang w:val="fr-FR"/>
        </w:rPr>
      </w:pPr>
    </w:p>
    <w:p w14:paraId="7FE9988E" w14:textId="77777777" w:rsidR="004D23ED" w:rsidRPr="003A0C8A" w:rsidRDefault="004D23ED" w:rsidP="004D23ED">
      <w:pPr>
        <w:pStyle w:val="COMPara"/>
        <w:ind w:left="567"/>
        <w:rPr>
          <w:b/>
          <w:bCs/>
          <w:lang w:val="fr-FR"/>
        </w:rPr>
      </w:pPr>
    </w:p>
    <w:tbl>
      <w:tblPr>
        <w:tblpPr w:leftFromText="187" w:rightFromText="187" w:horzAnchor="margin" w:tblpXSpec="center" w:tblpY="2881"/>
        <w:tblW w:w="3415" w:type="pct"/>
        <w:tblBorders>
          <w:left w:val="single" w:sz="12" w:space="0" w:color="4472C4" w:themeColor="accent1"/>
        </w:tblBorders>
        <w:tblCellMar>
          <w:left w:w="144" w:type="dxa"/>
          <w:right w:w="115" w:type="dxa"/>
        </w:tblCellMar>
        <w:tblLook w:val="04A0" w:firstRow="1" w:lastRow="0" w:firstColumn="1" w:lastColumn="0" w:noHBand="0" w:noVBand="1"/>
      </w:tblPr>
      <w:tblGrid>
        <w:gridCol w:w="6573"/>
      </w:tblGrid>
      <w:tr w:rsidR="004D23ED" w:rsidRPr="007C3B28" w14:paraId="567ED483" w14:textId="77777777" w:rsidTr="00057F24">
        <w:trPr>
          <w:trHeight w:val="289"/>
        </w:trPr>
        <w:sdt>
          <w:sdtPr>
            <w:rPr>
              <w:rFonts w:ascii="Arial" w:hAnsi="Arial" w:cs="Arial"/>
              <w:caps/>
              <w:color w:val="2F5496" w:themeColor="accent1" w:themeShade="BF"/>
              <w:sz w:val="24"/>
              <w:szCs w:val="24"/>
            </w:rPr>
            <w:alias w:val="Société"/>
            <w:id w:val="-1648506502"/>
            <w:placeholder>
              <w:docPart w:val="B5289B23EF8245058D8A201DFD6235BB"/>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3F8E7081" w14:textId="3915E794" w:rsidR="004D23ED" w:rsidRPr="007C3B28" w:rsidRDefault="00146002" w:rsidP="00057F24">
                <w:pPr>
                  <w:pStyle w:val="NoSpacing"/>
                  <w:rPr>
                    <w:rFonts w:ascii="Arial" w:hAnsi="Arial" w:cs="Arial"/>
                    <w:caps/>
                    <w:color w:val="2F5496" w:themeColor="accent1" w:themeShade="BF"/>
                    <w:sz w:val="24"/>
                  </w:rPr>
                </w:pPr>
                <w:r w:rsidRPr="007C3B28">
                  <w:rPr>
                    <w:rFonts w:ascii="Arial" w:hAnsi="Arial" w:cs="Arial"/>
                    <w:caps/>
                    <w:color w:val="2F5496" w:themeColor="accent1" w:themeShade="BF"/>
                    <w:sz w:val="24"/>
                    <w:szCs w:val="24"/>
                  </w:rPr>
                  <w:t>POINT 7.C DE L’ORDRE DU JOUR PROVISOIRE</w:t>
                </w:r>
              </w:p>
            </w:tc>
          </w:sdtContent>
        </w:sdt>
      </w:tr>
      <w:tr w:rsidR="004D23ED" w:rsidRPr="007C3B28" w14:paraId="00C00B13" w14:textId="77777777" w:rsidTr="00057F24">
        <w:trPr>
          <w:trHeight w:val="1409"/>
        </w:trPr>
        <w:tc>
          <w:tcPr>
            <w:tcW w:w="6800" w:type="dxa"/>
          </w:tcPr>
          <w:sdt>
            <w:sdtPr>
              <w:rPr>
                <w:rFonts w:ascii="Arial" w:eastAsiaTheme="majorEastAsia" w:hAnsi="Arial" w:cs="Arial"/>
                <w:b/>
                <w:bCs/>
                <w:color w:val="4472C4"/>
                <w:sz w:val="40"/>
                <w:szCs w:val="40"/>
              </w:rPr>
              <w:alias w:val="Titre"/>
              <w:id w:val="-1434433775"/>
              <w:placeholder>
                <w:docPart w:val="A2727F1775CE4805B40E07F96697412F"/>
              </w:placeholder>
              <w:dataBinding w:prefixMappings="xmlns:ns0='http://schemas.openxmlformats.org/package/2006/metadata/core-properties' xmlns:ns1='http://purl.org/dc/elements/1.1/'" w:xpath="/ns0:coreProperties[1]/ns1:title[1]" w:storeItemID="{6C3C8BC8-F283-45AE-878A-BAB7291924A1}"/>
              <w:text/>
            </w:sdtPr>
            <w:sdtEndPr/>
            <w:sdtContent>
              <w:p w14:paraId="5AAB82A6" w14:textId="3FAB1AF0" w:rsidR="004D23ED" w:rsidRPr="007C3B28" w:rsidRDefault="00146002" w:rsidP="00057F24">
                <w:pPr>
                  <w:pStyle w:val="NoSpacing"/>
                  <w:spacing w:line="216" w:lineRule="auto"/>
                  <w:rPr>
                    <w:rFonts w:ascii="Arial" w:eastAsiaTheme="majorEastAsia" w:hAnsi="Arial" w:cs="Arial"/>
                    <w:b/>
                    <w:bCs/>
                    <w:color w:val="4472C4" w:themeColor="accent1"/>
                    <w:sz w:val="40"/>
                    <w:szCs w:val="40"/>
                  </w:rPr>
                </w:pPr>
                <w:r w:rsidRPr="007C3B28">
                  <w:rPr>
                    <w:rFonts w:ascii="Arial" w:eastAsiaTheme="majorEastAsia" w:hAnsi="Arial" w:cs="Arial"/>
                    <w:b/>
                    <w:bCs/>
                    <w:color w:val="4472C4"/>
                    <w:sz w:val="40"/>
                    <w:szCs w:val="40"/>
                  </w:rPr>
                  <w:t>Examen des demandes de transfert d’éléments d’une liste à l’autre</w:t>
                </w:r>
              </w:p>
            </w:sdtContent>
          </w:sdt>
        </w:tc>
      </w:tr>
      <w:tr w:rsidR="004D23ED" w:rsidRPr="007C3B28" w14:paraId="54902178" w14:textId="77777777" w:rsidTr="00057F24">
        <w:trPr>
          <w:trHeight w:val="14"/>
        </w:trPr>
        <w:sdt>
          <w:sdtPr>
            <w:rPr>
              <w:rFonts w:ascii="Arial" w:hAnsi="Arial" w:cs="Arial"/>
              <w:color w:val="2F5496" w:themeColor="accent1" w:themeShade="BF"/>
              <w:sz w:val="24"/>
              <w:szCs w:val="24"/>
              <w:lang w:eastAsia="fr-FR"/>
            </w:rPr>
            <w:alias w:val="Sous-titre"/>
            <w:id w:val="-1662223790"/>
            <w:placeholder>
              <w:docPart w:val="710608E14EC24EAF91E7883E38B77E6C"/>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6275998A" w14:textId="1065AB11" w:rsidR="004D23ED" w:rsidRPr="007C3B28" w:rsidRDefault="00146002" w:rsidP="00057F24">
                <w:pPr>
                  <w:pStyle w:val="NoSpacing"/>
                  <w:rPr>
                    <w:rFonts w:ascii="Arial" w:hAnsi="Arial" w:cs="Arial"/>
                    <w:color w:val="2F5496" w:themeColor="accent1" w:themeShade="BF"/>
                    <w:sz w:val="24"/>
                    <w:szCs w:val="24"/>
                  </w:rPr>
                </w:pPr>
                <w:r w:rsidRPr="007C3B28">
                  <w:rPr>
                    <w:rFonts w:ascii="Arial" w:hAnsi="Arial" w:cs="Arial"/>
                    <w:color w:val="2F5496" w:themeColor="accent1" w:themeShade="BF"/>
                    <w:sz w:val="24"/>
                    <w:szCs w:val="24"/>
                    <w:lang w:eastAsia="fr-FR"/>
                  </w:rPr>
                  <w:t>Vingtième session, Comité intergouvernemental de sauvegarde du patrimoine culturel immatériel (New Delhi, Inde – du 8 décembre au 13 décembre 2025)</w:t>
                </w:r>
              </w:p>
            </w:tc>
          </w:sdtContent>
        </w:sdt>
      </w:tr>
    </w:tbl>
    <w:p w14:paraId="3860D1D6" w14:textId="77777777" w:rsidR="004D23ED" w:rsidRPr="007C3B28" w:rsidRDefault="004D23ED" w:rsidP="004D23ED">
      <w:pPr>
        <w:pStyle w:val="COMPara"/>
        <w:ind w:left="567"/>
        <w:rPr>
          <w:b/>
          <w:bCs/>
          <w:lang w:val="fr-FR"/>
        </w:rPr>
      </w:pPr>
    </w:p>
    <w:p w14:paraId="755EBF07" w14:textId="77777777" w:rsidR="004D23ED" w:rsidRPr="007C3B28" w:rsidRDefault="004D23ED" w:rsidP="004D23ED">
      <w:pPr>
        <w:pStyle w:val="COMPara"/>
        <w:ind w:left="567"/>
        <w:rPr>
          <w:b/>
          <w:bCs/>
          <w:lang w:val="fr-FR"/>
        </w:rPr>
      </w:pPr>
    </w:p>
    <w:p w14:paraId="4ED369E6" w14:textId="77777777" w:rsidR="004D23ED" w:rsidRPr="007C3B28" w:rsidRDefault="004D23ED" w:rsidP="004D23ED">
      <w:pPr>
        <w:pStyle w:val="COMPara"/>
        <w:ind w:left="567"/>
        <w:rPr>
          <w:b/>
          <w:bCs/>
          <w:lang w:val="fr-FR"/>
        </w:rPr>
      </w:pPr>
    </w:p>
    <w:p w14:paraId="1F928E39" w14:textId="77777777" w:rsidR="004D23ED" w:rsidRPr="007C3B28" w:rsidRDefault="004D23ED" w:rsidP="004D23ED">
      <w:pPr>
        <w:pStyle w:val="COMPara"/>
        <w:ind w:left="567"/>
        <w:rPr>
          <w:b/>
          <w:bCs/>
          <w:lang w:val="fr-FR"/>
        </w:rPr>
      </w:pPr>
    </w:p>
    <w:p w14:paraId="5466E93D" w14:textId="77777777" w:rsidR="004D23ED" w:rsidRPr="007C3B28" w:rsidRDefault="004D23ED" w:rsidP="004D23ED">
      <w:pPr>
        <w:pStyle w:val="COMPara"/>
        <w:ind w:left="567"/>
        <w:rPr>
          <w:b/>
          <w:bCs/>
          <w:lang w:val="fr-FR"/>
        </w:rPr>
      </w:pPr>
    </w:p>
    <w:p w14:paraId="0B0E9C69" w14:textId="77777777" w:rsidR="004D23ED" w:rsidRPr="007C3B28" w:rsidRDefault="004D23ED" w:rsidP="004D23ED">
      <w:pPr>
        <w:pStyle w:val="COMPara"/>
        <w:ind w:left="567"/>
        <w:rPr>
          <w:b/>
          <w:bCs/>
          <w:lang w:val="fr-FR"/>
        </w:rPr>
      </w:pPr>
    </w:p>
    <w:p w14:paraId="4A93140D" w14:textId="77777777" w:rsidR="004D23ED" w:rsidRPr="007C3B28" w:rsidRDefault="004D23ED" w:rsidP="004D23ED">
      <w:pPr>
        <w:pStyle w:val="COMPara"/>
        <w:ind w:left="567"/>
        <w:rPr>
          <w:b/>
          <w:bCs/>
          <w:lang w:val="fr-FR"/>
        </w:rPr>
      </w:pPr>
    </w:p>
    <w:p w14:paraId="07752180" w14:textId="77777777" w:rsidR="004D23ED" w:rsidRPr="007C3B28" w:rsidRDefault="004D23ED" w:rsidP="004D23ED">
      <w:pPr>
        <w:pStyle w:val="COMPara"/>
        <w:ind w:left="567"/>
        <w:rPr>
          <w:b/>
          <w:bCs/>
          <w:lang w:val="fr-FR"/>
        </w:rPr>
      </w:pPr>
    </w:p>
    <w:p w14:paraId="3392D8C2" w14:textId="77777777" w:rsidR="004D23ED" w:rsidRPr="007C3B28" w:rsidRDefault="004D23ED" w:rsidP="004D23ED">
      <w:pPr>
        <w:pStyle w:val="COMPara"/>
        <w:ind w:left="567"/>
        <w:rPr>
          <w:b/>
          <w:bCs/>
          <w:lang w:val="fr-FR"/>
        </w:rPr>
      </w:pPr>
    </w:p>
    <w:bookmarkEnd w:id="0"/>
    <w:p w14:paraId="2392593A" w14:textId="77777777" w:rsidR="004D23ED" w:rsidRPr="007C3B28" w:rsidRDefault="004D23ED" w:rsidP="004D23ED">
      <w:pPr>
        <w:pStyle w:val="COMPara"/>
        <w:ind w:left="567"/>
        <w:rPr>
          <w:b/>
          <w:bCs/>
          <w:lang w:val="fr-FR"/>
        </w:rPr>
      </w:pPr>
    </w:p>
    <w:p w14:paraId="4075DC3D" w14:textId="77777777" w:rsidR="004D23ED" w:rsidRPr="007C3B28" w:rsidRDefault="004D23ED" w:rsidP="004D23ED">
      <w:pPr>
        <w:pStyle w:val="COMPara"/>
        <w:ind w:left="567"/>
        <w:rPr>
          <w:b/>
          <w:bCs/>
          <w:lang w:val="fr-FR"/>
        </w:rPr>
      </w:pPr>
    </w:p>
    <w:p w14:paraId="048EE5A8" w14:textId="77777777" w:rsidR="004D23ED" w:rsidRPr="007C3B28" w:rsidRDefault="004D23ED" w:rsidP="004D23ED">
      <w:pPr>
        <w:pStyle w:val="COMPara"/>
        <w:ind w:left="567"/>
        <w:rPr>
          <w:b/>
          <w:bCs/>
          <w:lang w:val="fr-FR"/>
        </w:rPr>
      </w:pPr>
    </w:p>
    <w:p w14:paraId="790D1B2B" w14:textId="77777777" w:rsidR="004D23ED" w:rsidRPr="007C3B28" w:rsidRDefault="004D23ED" w:rsidP="004D23ED">
      <w:pPr>
        <w:pStyle w:val="COMPara"/>
        <w:ind w:left="567"/>
        <w:rPr>
          <w:b/>
          <w:bCs/>
          <w:lang w:val="fr-FR"/>
        </w:rPr>
      </w:pPr>
    </w:p>
    <w:p w14:paraId="06D84938" w14:textId="77777777" w:rsidR="004D23ED" w:rsidRPr="007C3B28" w:rsidRDefault="004D23ED" w:rsidP="004D23ED">
      <w:pPr>
        <w:pStyle w:val="COMPara"/>
        <w:ind w:left="567"/>
        <w:rPr>
          <w:b/>
          <w:bCs/>
          <w:lang w:val="fr-FR"/>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4D23ED" w:rsidRPr="007C3B28" w14:paraId="6E80A97D" w14:textId="77777777" w:rsidTr="00057F24">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327DA1EA" w14:textId="77777777" w:rsidR="004D23ED" w:rsidRPr="007C3B28" w:rsidRDefault="004D23ED" w:rsidP="00057F24">
            <w:pPr>
              <w:spacing w:after="160" w:line="259" w:lineRule="auto"/>
              <w:jc w:val="both"/>
              <w:rPr>
                <w:rFonts w:eastAsia="SimSun" w:cs="Arial"/>
                <w:b/>
                <w:bCs/>
                <w:color w:val="4472C4" w:themeColor="accent1"/>
                <w:sz w:val="22"/>
                <w:szCs w:val="22"/>
                <w:lang w:eastAsia="zh-CN"/>
              </w:rPr>
            </w:pPr>
            <w:r w:rsidRPr="007C3B28">
              <w:rPr>
                <w:rFonts w:eastAsia="SimSun" w:cs="Arial"/>
                <w:b/>
                <w:bCs/>
                <w:color w:val="4472C4" w:themeColor="accent1"/>
                <w:sz w:val="22"/>
                <w:szCs w:val="22"/>
                <w:lang w:eastAsia="zh-CN"/>
              </w:rPr>
              <w:t>Résumé</w:t>
            </w:r>
          </w:p>
          <w:p w14:paraId="18B96D2B" w14:textId="77777777" w:rsidR="004D23ED" w:rsidRPr="007C3B28" w:rsidRDefault="004D23ED" w:rsidP="00057F24">
            <w:pPr>
              <w:spacing w:after="160" w:line="259" w:lineRule="auto"/>
              <w:jc w:val="both"/>
              <w:rPr>
                <w:rFonts w:eastAsia="SimSun" w:cs="Arial"/>
                <w:color w:val="4472C4" w:themeColor="accent1"/>
                <w:sz w:val="22"/>
                <w:szCs w:val="22"/>
              </w:rPr>
            </w:pPr>
            <w:r w:rsidRPr="007C3B28">
              <w:rPr>
                <w:rFonts w:eastAsia="SimSun" w:cs="Arial"/>
                <w:color w:val="4472C4" w:themeColor="accent1"/>
                <w:sz w:val="22"/>
                <w:szCs w:val="22"/>
              </w:rPr>
              <w:t>Le présent document comprend les recommandations de l’Organe d’évaluation concernant les demandes de transfert d’éléments d’une liste à l’autre (partie A) et une série de projets de décision pour considération par le Comité (partie B). Un aperçu des dossiers de 2025 et les méthodes de travail de l’Organe d’évaluation sont présentés dans le document LHE/25/20.COM/7.</w:t>
            </w:r>
          </w:p>
          <w:p w14:paraId="1C9DD853" w14:textId="77777777" w:rsidR="004D23ED" w:rsidRPr="007C3B28" w:rsidRDefault="004D23ED" w:rsidP="00057F24">
            <w:pPr>
              <w:pStyle w:val="NoSpacing"/>
              <w:rPr>
                <w:rFonts w:ascii="Arial" w:hAnsi="Arial" w:cs="Arial"/>
                <w:color w:val="4472C4" w:themeColor="accent1"/>
                <w:sz w:val="28"/>
                <w:szCs w:val="28"/>
              </w:rPr>
            </w:pPr>
            <w:r w:rsidRPr="007C3B28">
              <w:rPr>
                <w:rFonts w:ascii="Arial" w:hAnsi="Arial" w:cs="Arial"/>
                <w:b/>
                <w:bCs/>
                <w:color w:val="4472C4" w:themeColor="accent1"/>
              </w:rPr>
              <w:t xml:space="preserve">Décisions requises </w:t>
            </w:r>
            <w:r w:rsidRPr="007C3B28">
              <w:rPr>
                <w:rFonts w:ascii="Arial" w:hAnsi="Arial" w:cs="Arial"/>
                <w:color w:val="4472C4" w:themeColor="accent1"/>
              </w:rPr>
              <w:t>: paragraphe 2</w:t>
            </w:r>
          </w:p>
        </w:tc>
      </w:tr>
    </w:tbl>
    <w:p w14:paraId="58F3093C" w14:textId="77777777" w:rsidR="004D23ED" w:rsidRPr="007C3B28" w:rsidRDefault="004D23ED" w:rsidP="004D23ED">
      <w:pPr>
        <w:pStyle w:val="COMPara"/>
        <w:ind w:left="567"/>
        <w:rPr>
          <w:b/>
          <w:bCs/>
          <w:lang w:val="fr-FR"/>
        </w:rPr>
      </w:pPr>
    </w:p>
    <w:p w14:paraId="7EB62121" w14:textId="77777777" w:rsidR="004D23ED" w:rsidRPr="007C3B28" w:rsidRDefault="004D23ED" w:rsidP="004D23ED">
      <w:pPr>
        <w:pStyle w:val="COMPara"/>
        <w:ind w:left="567"/>
        <w:rPr>
          <w:b/>
          <w:bCs/>
          <w:lang w:val="fr-FR"/>
        </w:rPr>
      </w:pPr>
    </w:p>
    <w:p w14:paraId="2C21E321" w14:textId="77777777" w:rsidR="004D23ED" w:rsidRPr="007C3B28" w:rsidRDefault="004D23ED" w:rsidP="004D23ED">
      <w:pPr>
        <w:pStyle w:val="COMPara"/>
        <w:ind w:left="567"/>
        <w:rPr>
          <w:b/>
          <w:bCs/>
          <w:lang w:val="fr-FR"/>
        </w:rPr>
      </w:pPr>
    </w:p>
    <w:p w14:paraId="2B133172" w14:textId="77777777" w:rsidR="004D23ED" w:rsidRPr="007C3B28" w:rsidRDefault="004D23ED" w:rsidP="004D23ED">
      <w:pPr>
        <w:pStyle w:val="COMPara"/>
        <w:ind w:left="567"/>
        <w:rPr>
          <w:b/>
          <w:bCs/>
          <w:lang w:val="fr-FR"/>
        </w:rPr>
      </w:pPr>
    </w:p>
    <w:p w14:paraId="1A5CAEB2" w14:textId="77777777" w:rsidR="004D23ED" w:rsidRPr="007C3B28" w:rsidRDefault="004D23ED" w:rsidP="004D23ED">
      <w:pPr>
        <w:pStyle w:val="COMPara"/>
        <w:ind w:left="567"/>
        <w:rPr>
          <w:b/>
          <w:bCs/>
          <w:lang w:val="fr-FR"/>
        </w:rPr>
      </w:pPr>
    </w:p>
    <w:p w14:paraId="70A692B1" w14:textId="77777777" w:rsidR="004D23ED" w:rsidRPr="007C3B28" w:rsidRDefault="004D23ED" w:rsidP="004D23ED">
      <w:pPr>
        <w:pStyle w:val="COMPara"/>
        <w:ind w:left="567"/>
        <w:rPr>
          <w:b/>
          <w:bCs/>
          <w:lang w:val="fr-FR"/>
        </w:rPr>
      </w:pPr>
    </w:p>
    <w:p w14:paraId="41567AB3" w14:textId="77777777" w:rsidR="004D23ED" w:rsidRPr="007C3B28" w:rsidRDefault="004D23ED" w:rsidP="004D23ED">
      <w:pPr>
        <w:pStyle w:val="COMPara"/>
        <w:ind w:left="567"/>
        <w:rPr>
          <w:b/>
          <w:bCs/>
          <w:lang w:val="fr-FR"/>
        </w:rPr>
      </w:pPr>
    </w:p>
    <w:p w14:paraId="2DADFC2C" w14:textId="77777777" w:rsidR="004D23ED" w:rsidRPr="007C3B28" w:rsidRDefault="004D23ED" w:rsidP="004D23ED">
      <w:pPr>
        <w:pStyle w:val="COMPara"/>
        <w:ind w:left="567"/>
        <w:rPr>
          <w:b/>
          <w:bCs/>
          <w:lang w:val="fr-FR"/>
        </w:rPr>
      </w:pPr>
    </w:p>
    <w:p w14:paraId="06AFE0FB" w14:textId="77777777" w:rsidR="004D23ED" w:rsidRPr="007C3B28" w:rsidRDefault="004D23ED" w:rsidP="004D23ED">
      <w:pPr>
        <w:pStyle w:val="COMPara"/>
        <w:ind w:left="567"/>
        <w:rPr>
          <w:b/>
          <w:bCs/>
          <w:lang w:val="fr-FR"/>
        </w:rPr>
      </w:pPr>
    </w:p>
    <w:p w14:paraId="2456AB1E" w14:textId="77777777" w:rsidR="004D23ED" w:rsidRPr="007C3B28" w:rsidRDefault="004D23ED" w:rsidP="004D23ED">
      <w:pPr>
        <w:pStyle w:val="COMPara"/>
        <w:ind w:left="567"/>
        <w:rPr>
          <w:b/>
          <w:bCs/>
          <w:lang w:val="fr-FR"/>
        </w:rPr>
      </w:pPr>
    </w:p>
    <w:p w14:paraId="2BEF5EA3" w14:textId="77777777" w:rsidR="004D23ED" w:rsidRPr="007C3B28" w:rsidRDefault="004D23ED" w:rsidP="004D23ED">
      <w:pPr>
        <w:pStyle w:val="COMPara"/>
        <w:ind w:left="567"/>
        <w:rPr>
          <w:b/>
          <w:bCs/>
          <w:lang w:val="fr-FR"/>
        </w:rPr>
      </w:pPr>
    </w:p>
    <w:p w14:paraId="190E6AA9" w14:textId="77777777" w:rsidR="004D23ED" w:rsidRPr="007C3B28" w:rsidRDefault="004D23ED" w:rsidP="004D23ED">
      <w:pPr>
        <w:pStyle w:val="COMPara"/>
        <w:ind w:left="567"/>
        <w:rPr>
          <w:b/>
          <w:bCs/>
          <w:lang w:val="fr-FR"/>
        </w:rPr>
      </w:pPr>
    </w:p>
    <w:p w14:paraId="591E87E5" w14:textId="77777777" w:rsidR="004D23ED" w:rsidRPr="007C3B28" w:rsidRDefault="004D23ED" w:rsidP="004D23ED">
      <w:pPr>
        <w:pStyle w:val="COMPara"/>
        <w:ind w:left="567"/>
        <w:rPr>
          <w:b/>
          <w:bCs/>
          <w:lang w:val="fr-FR"/>
        </w:rPr>
      </w:pPr>
    </w:p>
    <w:p w14:paraId="0350465E" w14:textId="77777777" w:rsidR="004D23ED" w:rsidRPr="007C3B28" w:rsidRDefault="004D23ED" w:rsidP="004D23ED">
      <w:pPr>
        <w:pStyle w:val="COMPara"/>
        <w:ind w:left="567"/>
        <w:rPr>
          <w:b/>
          <w:bCs/>
          <w:lang w:val="fr-FR"/>
        </w:rPr>
      </w:pPr>
    </w:p>
    <w:p w14:paraId="255350FA" w14:textId="77777777" w:rsidR="00284063" w:rsidRPr="007C3B28" w:rsidRDefault="00284063" w:rsidP="00284063">
      <w:pPr>
        <w:pBdr>
          <w:top w:val="single" w:sz="4" w:space="1" w:color="auto"/>
          <w:left w:val="single" w:sz="4" w:space="4" w:color="auto"/>
          <w:bottom w:val="single" w:sz="4" w:space="1" w:color="auto"/>
          <w:right w:val="single" w:sz="4" w:space="4" w:color="auto"/>
        </w:pBdr>
        <w:spacing w:before="240" w:after="120"/>
        <w:jc w:val="both"/>
        <w:rPr>
          <w:rFonts w:cs="Arial"/>
          <w:i/>
          <w:iCs/>
          <w:snapToGrid w:val="0"/>
          <w:sz w:val="22"/>
          <w:szCs w:val="22"/>
          <w:lang w:eastAsia="en-US"/>
        </w:rPr>
      </w:pPr>
      <w:bookmarkStart w:id="1" w:name="Recommendations"/>
      <w:r w:rsidRPr="007C3B28">
        <w:rPr>
          <w:rFonts w:cs="Arial"/>
          <w:i/>
          <w:iCs/>
          <w:snapToGrid w:val="0"/>
          <w:sz w:val="22"/>
          <w:szCs w:val="22"/>
          <w:lang w:eastAsia="en-US"/>
        </w:rPr>
        <w:lastRenderedPageBreak/>
        <w:t>Les dossiers de candidature soumis par les États parties sont publiés par le Secrétariat de la Convention de 2003 sur son site Internet, conformément au paragraphe 54 des Directives opérationnelles concernant la procédure de candidature ; en outre, les informations contenues dans les candidatures sont reflétées dans les documents de travail du Comité afin de garantir la transparence et l’accès à l’information.</w:t>
      </w:r>
    </w:p>
    <w:p w14:paraId="085654AD" w14:textId="77777777" w:rsidR="00284063" w:rsidRPr="007C3B28" w:rsidRDefault="00284063" w:rsidP="00284063">
      <w:pPr>
        <w:pBdr>
          <w:top w:val="single" w:sz="4" w:space="1" w:color="auto"/>
          <w:left w:val="single" w:sz="4" w:space="4" w:color="auto"/>
          <w:bottom w:val="single" w:sz="4" w:space="1" w:color="auto"/>
          <w:right w:val="single" w:sz="4" w:space="4" w:color="auto"/>
        </w:pBdr>
        <w:spacing w:before="240" w:after="120"/>
        <w:jc w:val="both"/>
        <w:rPr>
          <w:rFonts w:cs="Arial"/>
          <w:i/>
          <w:iCs/>
          <w:snapToGrid w:val="0"/>
          <w:sz w:val="22"/>
          <w:szCs w:val="22"/>
          <w:lang w:eastAsia="en-US"/>
        </w:rPr>
      </w:pPr>
      <w:r w:rsidRPr="007C3B28">
        <w:rPr>
          <w:rFonts w:cs="Arial"/>
          <w:i/>
          <w:iCs/>
          <w:snapToGrid w:val="0"/>
          <w:sz w:val="22"/>
          <w:szCs w:val="22"/>
          <w:lang w:eastAsia="en-US"/>
        </w:rPr>
        <w:t>La responsabilité exclusive du contenu de chaque dossier de candidature incombe aux États parties soumissionnaires concernés. Les désignations employées dans les textes et documents présentés par les États parties soumissionnaires n’impliquent l’expression d’aucune opinion de la part du Comité ou de l’UNESCO concernant a) le statut juridique de tout pays, territoire, ville ou zone, b) le statut juridique de ses autorités, c) la délimitation de ses frontières ou limites, ou d) des références à des événements historiques spécifiques.</w:t>
      </w:r>
    </w:p>
    <w:p w14:paraId="39A84663" w14:textId="659DCA0E" w:rsidR="004D23ED" w:rsidRPr="007C3B28" w:rsidRDefault="004D23ED" w:rsidP="004D23ED">
      <w:pPr>
        <w:pStyle w:val="COMPara"/>
        <w:numPr>
          <w:ilvl w:val="0"/>
          <w:numId w:val="24"/>
        </w:numPr>
        <w:spacing w:before="240"/>
        <w:ind w:left="567" w:hanging="567"/>
        <w:rPr>
          <w:b/>
          <w:bCs/>
          <w:lang w:val="fr-FR"/>
        </w:rPr>
      </w:pPr>
      <w:r w:rsidRPr="007C3B28">
        <w:rPr>
          <w:b/>
          <w:bCs/>
          <w:lang w:val="fr-FR"/>
        </w:rPr>
        <w:t>Recommandations</w:t>
      </w:r>
    </w:p>
    <w:p w14:paraId="07A10D53" w14:textId="628A59B5" w:rsidR="004D23ED" w:rsidRPr="007C3B28" w:rsidRDefault="004D23ED" w:rsidP="004D23ED">
      <w:pPr>
        <w:pStyle w:val="COMPara"/>
        <w:numPr>
          <w:ilvl w:val="0"/>
          <w:numId w:val="25"/>
        </w:numPr>
        <w:spacing w:before="240"/>
        <w:ind w:left="567" w:hanging="567"/>
        <w:jc w:val="both"/>
        <w:rPr>
          <w:lang w:val="fr-FR"/>
        </w:rPr>
      </w:pPr>
      <w:bookmarkStart w:id="2" w:name="Inscribe"/>
      <w:bookmarkEnd w:id="1"/>
      <w:bookmarkEnd w:id="2"/>
      <w:r w:rsidRPr="007C3B28">
        <w:rPr>
          <w:lang w:val="fr-FR"/>
        </w:rPr>
        <w:t xml:space="preserve">L’Organe d’évaluation recommande au Comité </w:t>
      </w:r>
      <w:r w:rsidR="007A198E" w:rsidRPr="007C3B28">
        <w:rPr>
          <w:lang w:val="fr-FR"/>
        </w:rPr>
        <w:t xml:space="preserve">(i) </w:t>
      </w:r>
      <w:r w:rsidRPr="007C3B28">
        <w:rPr>
          <w:lang w:val="fr-FR"/>
        </w:rPr>
        <w:t xml:space="preserve">de transférer les éléments suivants de la Liste du patrimoine culturel immatériel nécessitant une sauvegarde urgente à la Liste représentative du patrimoine culturel immatériel de l’humanité </w:t>
      </w:r>
      <w:r w:rsidR="007A198E" w:rsidRPr="007C3B28">
        <w:rPr>
          <w:lang w:val="fr-FR"/>
        </w:rPr>
        <w:t>et (ii) de simultanément inclure l</w:t>
      </w:r>
      <w:r w:rsidR="00771ABD" w:rsidRPr="007C3B28">
        <w:rPr>
          <w:lang w:val="fr-FR"/>
        </w:rPr>
        <w:t xml:space="preserve">es </w:t>
      </w:r>
      <w:r w:rsidR="007A198E" w:rsidRPr="007C3B28">
        <w:rPr>
          <w:lang w:val="fr-FR"/>
        </w:rPr>
        <w:t>expérience</w:t>
      </w:r>
      <w:r w:rsidR="00771ABD" w:rsidRPr="007C3B28">
        <w:rPr>
          <w:lang w:val="fr-FR"/>
        </w:rPr>
        <w:t>s</w:t>
      </w:r>
      <w:r w:rsidR="007A198E" w:rsidRPr="007C3B28">
        <w:rPr>
          <w:lang w:val="fr-FR"/>
        </w:rPr>
        <w:t xml:space="preserve"> de sauvegarde associée</w:t>
      </w:r>
      <w:r w:rsidR="00771ABD" w:rsidRPr="007C3B28">
        <w:rPr>
          <w:lang w:val="fr-FR"/>
        </w:rPr>
        <w:t>s</w:t>
      </w:r>
      <w:r w:rsidR="007A198E" w:rsidRPr="007C3B28">
        <w:rPr>
          <w:lang w:val="fr-FR"/>
        </w:rPr>
        <w:t xml:space="preserve"> dans le Registre de bonnes pratiques de sauvegarde </w:t>
      </w:r>
      <w:r w:rsidRPr="007C3B28">
        <w:rPr>
          <w:lang w:val="fr-FR"/>
        </w:rPr>
        <w:t>:</w:t>
      </w:r>
    </w:p>
    <w:tbl>
      <w:tblPr>
        <w:tblpPr w:leftFromText="180" w:rightFromText="180" w:vertAnchor="text" w:tblpX="624" w:tblpY="1"/>
        <w:tblOverlap w:val="never"/>
        <w:tblW w:w="4679" w:type="pct"/>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14"/>
        <w:gridCol w:w="2209"/>
        <w:gridCol w:w="4145"/>
        <w:gridCol w:w="1042"/>
      </w:tblGrid>
      <w:tr w:rsidR="007C3B28" w:rsidRPr="007C3B28" w14:paraId="0A6C9BBC" w14:textId="77777777" w:rsidTr="00057F24">
        <w:trPr>
          <w:trHeight w:val="776"/>
          <w:tblHeader/>
        </w:trPr>
        <w:tc>
          <w:tcPr>
            <w:tcW w:w="896" w:type="pct"/>
            <w:shd w:val="clear" w:color="auto" w:fill="BFBFBF"/>
            <w:vAlign w:val="center"/>
          </w:tcPr>
          <w:p w14:paraId="4888ECF6" w14:textId="77777777" w:rsidR="004D23ED" w:rsidRPr="007C3B28" w:rsidRDefault="004D23ED" w:rsidP="00057F24">
            <w:pPr>
              <w:keepNext/>
              <w:spacing w:before="120" w:after="120"/>
              <w:jc w:val="center"/>
              <w:rPr>
                <w:rFonts w:cs="Arial"/>
                <w:sz w:val="22"/>
                <w:szCs w:val="22"/>
              </w:rPr>
            </w:pPr>
            <w:r w:rsidRPr="007C3B28">
              <w:rPr>
                <w:rFonts w:cs="Arial"/>
                <w:b/>
                <w:bCs/>
                <w:sz w:val="22"/>
                <w:szCs w:val="22"/>
                <w:lang w:eastAsia="en-GB"/>
              </w:rPr>
              <w:t>Projet de décision</w:t>
            </w:r>
          </w:p>
        </w:tc>
        <w:tc>
          <w:tcPr>
            <w:tcW w:w="1226" w:type="pct"/>
            <w:shd w:val="clear" w:color="auto" w:fill="BFBFBF"/>
            <w:vAlign w:val="center"/>
          </w:tcPr>
          <w:p w14:paraId="47F781F8" w14:textId="77777777" w:rsidR="004D23ED" w:rsidRPr="007C3B28" w:rsidRDefault="004D23ED" w:rsidP="00057F24">
            <w:pPr>
              <w:keepNext/>
              <w:spacing w:before="120" w:after="120"/>
              <w:jc w:val="center"/>
              <w:rPr>
                <w:rFonts w:cs="Arial"/>
                <w:sz w:val="22"/>
                <w:szCs w:val="22"/>
              </w:rPr>
            </w:pPr>
            <w:r w:rsidRPr="007C3B28">
              <w:rPr>
                <w:rFonts w:cs="Arial"/>
                <w:b/>
                <w:bCs/>
                <w:sz w:val="22"/>
                <w:szCs w:val="22"/>
                <w:lang w:eastAsia="en-GB"/>
              </w:rPr>
              <w:t>État soumissionnaire</w:t>
            </w:r>
          </w:p>
        </w:tc>
        <w:tc>
          <w:tcPr>
            <w:tcW w:w="2300" w:type="pct"/>
            <w:shd w:val="clear" w:color="auto" w:fill="BFBFBF"/>
            <w:vAlign w:val="center"/>
          </w:tcPr>
          <w:p w14:paraId="7D41D072" w14:textId="77777777" w:rsidR="004D23ED" w:rsidRPr="007C3B28" w:rsidRDefault="004D23ED" w:rsidP="00057F24">
            <w:pPr>
              <w:keepNext/>
              <w:spacing w:before="120" w:after="120"/>
              <w:jc w:val="center"/>
              <w:rPr>
                <w:rFonts w:cs="Arial"/>
                <w:sz w:val="22"/>
                <w:szCs w:val="22"/>
              </w:rPr>
            </w:pPr>
            <w:r w:rsidRPr="007C3B28">
              <w:rPr>
                <w:rFonts w:cs="Arial"/>
                <w:b/>
                <w:bCs/>
                <w:sz w:val="22"/>
                <w:szCs w:val="22"/>
                <w:lang w:eastAsia="en-GB"/>
              </w:rPr>
              <w:t>Candidature</w:t>
            </w:r>
          </w:p>
        </w:tc>
        <w:tc>
          <w:tcPr>
            <w:tcW w:w="578" w:type="pct"/>
            <w:shd w:val="clear" w:color="auto" w:fill="BFBFBF"/>
            <w:vAlign w:val="center"/>
          </w:tcPr>
          <w:p w14:paraId="60E69EF2" w14:textId="77777777" w:rsidR="004D23ED" w:rsidRPr="007C3B28" w:rsidRDefault="004D23ED" w:rsidP="00057F24">
            <w:pPr>
              <w:keepNext/>
              <w:spacing w:before="120" w:after="120"/>
              <w:jc w:val="center"/>
              <w:rPr>
                <w:rFonts w:cs="Arial"/>
                <w:sz w:val="22"/>
                <w:szCs w:val="22"/>
              </w:rPr>
            </w:pPr>
            <w:r w:rsidRPr="007C3B28">
              <w:rPr>
                <w:rFonts w:cs="Arial"/>
                <w:b/>
                <w:bCs/>
                <w:sz w:val="22"/>
                <w:szCs w:val="22"/>
                <w:lang w:eastAsia="en-GB"/>
              </w:rPr>
              <w:t>Dossier n°</w:t>
            </w:r>
          </w:p>
        </w:tc>
      </w:tr>
      <w:tr w:rsidR="007C3B28" w:rsidRPr="007C3B28" w14:paraId="42954CBE" w14:textId="77777777" w:rsidTr="00057F24">
        <w:trPr>
          <w:trHeight w:val="432"/>
        </w:trPr>
        <w:tc>
          <w:tcPr>
            <w:tcW w:w="896" w:type="pct"/>
          </w:tcPr>
          <w:p w14:paraId="039F2B68" w14:textId="1EB373D4" w:rsidR="004D23ED" w:rsidRPr="007C3B28" w:rsidRDefault="00146002" w:rsidP="00057F24">
            <w:pPr>
              <w:keepNext/>
              <w:spacing w:before="120" w:after="120"/>
              <w:rPr>
                <w:rFonts w:cs="Arial"/>
                <w:sz w:val="22"/>
                <w:szCs w:val="22"/>
              </w:rPr>
            </w:pPr>
            <w:hyperlink w:anchor="_PROJET_DE_DÉCISION" w:history="1">
              <w:r w:rsidRPr="00EA3F4A">
                <w:rPr>
                  <w:rStyle w:val="Hyperlink"/>
                  <w:rFonts w:cs="Arial"/>
                  <w:sz w:val="22"/>
                  <w:szCs w:val="22"/>
                </w:rPr>
                <w:t>20</w:t>
              </w:r>
              <w:r w:rsidR="004D23ED" w:rsidRPr="00EA3F4A">
                <w:rPr>
                  <w:rStyle w:val="Hyperlink"/>
                  <w:rFonts w:cs="Arial"/>
                  <w:sz w:val="22"/>
                  <w:szCs w:val="22"/>
                </w:rPr>
                <w:t>.C</w:t>
              </w:r>
              <w:r w:rsidR="004D23ED" w:rsidRPr="009E318C">
                <w:rPr>
                  <w:rStyle w:val="Hyperlink"/>
                  <w:rFonts w:cs="Arial"/>
                  <w:sz w:val="22"/>
                  <w:szCs w:val="22"/>
                </w:rPr>
                <w:t>O</w:t>
              </w:r>
              <w:r w:rsidR="004D23ED" w:rsidRPr="00EA3F4A">
                <w:rPr>
                  <w:rStyle w:val="Hyperlink"/>
                  <w:rFonts w:cs="Arial"/>
                  <w:sz w:val="22"/>
                  <w:szCs w:val="22"/>
                </w:rPr>
                <w:t xml:space="preserve">M </w:t>
              </w:r>
              <w:proofErr w:type="gramStart"/>
              <w:r w:rsidR="004D23ED" w:rsidRPr="00EA3F4A">
                <w:rPr>
                  <w:rStyle w:val="Hyperlink"/>
                  <w:rFonts w:cs="Arial"/>
                  <w:sz w:val="22"/>
                  <w:szCs w:val="22"/>
                </w:rPr>
                <w:t>7.c.</w:t>
              </w:r>
              <w:proofErr w:type="gramEnd"/>
              <w:r w:rsidR="004D23ED" w:rsidRPr="00EA3F4A">
                <w:rPr>
                  <w:rStyle w:val="Hyperlink"/>
                  <w:rFonts w:cs="Arial"/>
                  <w:sz w:val="22"/>
                  <w:szCs w:val="22"/>
                </w:rPr>
                <w:t>1</w:t>
              </w:r>
            </w:hyperlink>
          </w:p>
        </w:tc>
        <w:tc>
          <w:tcPr>
            <w:tcW w:w="1226" w:type="pct"/>
          </w:tcPr>
          <w:p w14:paraId="0C50D96D" w14:textId="77777777" w:rsidR="004D23ED" w:rsidRPr="007C3B28" w:rsidRDefault="004D23ED" w:rsidP="00057F24">
            <w:pPr>
              <w:keepNext/>
              <w:spacing w:before="120" w:after="120"/>
              <w:jc w:val="center"/>
              <w:rPr>
                <w:rFonts w:cs="Arial"/>
                <w:sz w:val="22"/>
                <w:szCs w:val="22"/>
              </w:rPr>
            </w:pPr>
            <w:r w:rsidRPr="007C3B28">
              <w:rPr>
                <w:rFonts w:cs="Arial"/>
                <w:sz w:val="22"/>
                <w:szCs w:val="22"/>
              </w:rPr>
              <w:t>Émirats arabes unis</w:t>
            </w:r>
          </w:p>
        </w:tc>
        <w:tc>
          <w:tcPr>
            <w:tcW w:w="2300" w:type="pct"/>
          </w:tcPr>
          <w:p w14:paraId="14B1D742" w14:textId="77777777" w:rsidR="004D23ED" w:rsidRPr="007C3B28" w:rsidRDefault="004D23ED" w:rsidP="00057F24">
            <w:pPr>
              <w:keepNext/>
              <w:spacing w:before="120" w:after="120"/>
              <w:rPr>
                <w:rFonts w:cs="Arial"/>
                <w:bCs/>
                <w:sz w:val="22"/>
                <w:szCs w:val="22"/>
              </w:rPr>
            </w:pPr>
            <w:r w:rsidRPr="007C3B28">
              <w:rPr>
                <w:rFonts w:cs="Arial"/>
                <w:bCs/>
                <w:sz w:val="22"/>
                <w:szCs w:val="22"/>
              </w:rPr>
              <w:t xml:space="preserve">Al </w:t>
            </w:r>
            <w:proofErr w:type="spellStart"/>
            <w:r w:rsidRPr="007C3B28">
              <w:rPr>
                <w:rFonts w:cs="Arial"/>
                <w:bCs/>
                <w:sz w:val="22"/>
                <w:szCs w:val="22"/>
              </w:rPr>
              <w:t>Sadu</w:t>
            </w:r>
            <w:proofErr w:type="spellEnd"/>
            <w:r w:rsidRPr="007C3B28">
              <w:rPr>
                <w:rFonts w:cs="Arial"/>
                <w:bCs/>
                <w:sz w:val="22"/>
                <w:szCs w:val="22"/>
              </w:rPr>
              <w:t>, tissage traditionnel dans les Émirats arabes unis</w:t>
            </w:r>
          </w:p>
        </w:tc>
        <w:tc>
          <w:tcPr>
            <w:tcW w:w="578" w:type="pct"/>
          </w:tcPr>
          <w:p w14:paraId="059BBC59" w14:textId="3EA67238" w:rsidR="004D23ED" w:rsidRPr="007C3B28" w:rsidRDefault="00533470" w:rsidP="00057F24">
            <w:pPr>
              <w:keepNext/>
              <w:spacing w:before="120" w:after="120"/>
              <w:jc w:val="center"/>
              <w:rPr>
                <w:rFonts w:cs="Arial"/>
                <w:sz w:val="22"/>
                <w:szCs w:val="22"/>
              </w:rPr>
            </w:pPr>
            <w:hyperlink r:id="rId8" w:anchor="7.c.1" w:history="1">
              <w:r w:rsidR="004D23ED" w:rsidRPr="00533470">
                <w:rPr>
                  <w:rStyle w:val="Hyperlink"/>
                  <w:rFonts w:cs="Arial"/>
                  <w:sz w:val="22"/>
                  <w:szCs w:val="22"/>
                </w:rPr>
                <w:t>02223</w:t>
              </w:r>
            </w:hyperlink>
          </w:p>
        </w:tc>
      </w:tr>
      <w:tr w:rsidR="007C3B28" w:rsidRPr="007C3B28" w14:paraId="55FCC9F6" w14:textId="77777777" w:rsidTr="00057F24">
        <w:trPr>
          <w:trHeight w:val="432"/>
        </w:trPr>
        <w:tc>
          <w:tcPr>
            <w:tcW w:w="896" w:type="pct"/>
          </w:tcPr>
          <w:p w14:paraId="74ADE784" w14:textId="6D2B5DBD" w:rsidR="004D23ED" w:rsidRPr="007C3B28" w:rsidRDefault="00146002" w:rsidP="00057F24">
            <w:pPr>
              <w:keepNext/>
              <w:spacing w:before="120" w:after="120"/>
              <w:rPr>
                <w:rFonts w:cs="Arial"/>
                <w:sz w:val="22"/>
                <w:szCs w:val="22"/>
              </w:rPr>
            </w:pPr>
            <w:hyperlink w:anchor="_PROJET_DE_DÉCISION_1" w:history="1">
              <w:r w:rsidRPr="00EA3F4A">
                <w:rPr>
                  <w:rStyle w:val="Hyperlink"/>
                  <w:rFonts w:cs="Arial"/>
                  <w:sz w:val="22"/>
                  <w:szCs w:val="22"/>
                </w:rPr>
                <w:t>20</w:t>
              </w:r>
              <w:r w:rsidR="004D23ED" w:rsidRPr="00EA3F4A">
                <w:rPr>
                  <w:rStyle w:val="Hyperlink"/>
                  <w:rFonts w:cs="Arial"/>
                  <w:sz w:val="22"/>
                  <w:szCs w:val="22"/>
                </w:rPr>
                <w:t xml:space="preserve">.COM </w:t>
              </w:r>
              <w:proofErr w:type="gramStart"/>
              <w:r w:rsidR="004D23ED" w:rsidRPr="00EA3F4A">
                <w:rPr>
                  <w:rStyle w:val="Hyperlink"/>
                  <w:rFonts w:cs="Arial"/>
                  <w:sz w:val="22"/>
                  <w:szCs w:val="22"/>
                </w:rPr>
                <w:t>7.c.</w:t>
              </w:r>
              <w:proofErr w:type="gramEnd"/>
              <w:r w:rsidR="004D23ED" w:rsidRPr="00EA3F4A">
                <w:rPr>
                  <w:rStyle w:val="Hyperlink"/>
                  <w:rFonts w:cs="Arial"/>
                  <w:sz w:val="22"/>
                  <w:szCs w:val="22"/>
                </w:rPr>
                <w:t>2</w:t>
              </w:r>
            </w:hyperlink>
          </w:p>
        </w:tc>
        <w:tc>
          <w:tcPr>
            <w:tcW w:w="1226" w:type="pct"/>
          </w:tcPr>
          <w:p w14:paraId="4E97B2A1" w14:textId="77777777" w:rsidR="004D23ED" w:rsidRPr="007C3B28" w:rsidRDefault="004D23ED" w:rsidP="00057F24">
            <w:pPr>
              <w:keepNext/>
              <w:spacing w:before="120" w:after="120"/>
              <w:jc w:val="center"/>
              <w:rPr>
                <w:rFonts w:cs="Arial"/>
                <w:sz w:val="22"/>
                <w:szCs w:val="22"/>
              </w:rPr>
            </w:pPr>
            <w:r w:rsidRPr="007C3B28">
              <w:rPr>
                <w:rFonts w:cs="Arial"/>
                <w:sz w:val="22"/>
                <w:szCs w:val="22"/>
              </w:rPr>
              <w:t>Chine</w:t>
            </w:r>
          </w:p>
        </w:tc>
        <w:tc>
          <w:tcPr>
            <w:tcW w:w="2300" w:type="pct"/>
          </w:tcPr>
          <w:p w14:paraId="2CACB81C" w14:textId="77777777" w:rsidR="004D23ED" w:rsidRPr="007C3B28" w:rsidRDefault="004D23ED" w:rsidP="00057F24">
            <w:pPr>
              <w:keepNext/>
              <w:spacing w:before="120" w:after="120"/>
              <w:rPr>
                <w:rFonts w:cs="Arial"/>
                <w:sz w:val="22"/>
                <w:szCs w:val="22"/>
              </w:rPr>
            </w:pPr>
            <w:r w:rsidRPr="007C3B28">
              <w:rPr>
                <w:rFonts w:cs="Arial"/>
                <w:sz w:val="22"/>
                <w:szCs w:val="22"/>
              </w:rPr>
              <w:t xml:space="preserve">Le </w:t>
            </w:r>
            <w:proofErr w:type="spellStart"/>
            <w:r w:rsidRPr="007C3B28">
              <w:rPr>
                <w:rFonts w:cs="Arial"/>
                <w:sz w:val="22"/>
                <w:szCs w:val="22"/>
              </w:rPr>
              <w:t>Yimakan</w:t>
            </w:r>
            <w:proofErr w:type="spellEnd"/>
            <w:r w:rsidRPr="007C3B28">
              <w:rPr>
                <w:rFonts w:cs="Arial"/>
                <w:sz w:val="22"/>
                <w:szCs w:val="22"/>
              </w:rPr>
              <w:t xml:space="preserve">, les récits oraux des </w:t>
            </w:r>
            <w:proofErr w:type="spellStart"/>
            <w:r w:rsidRPr="007C3B28">
              <w:rPr>
                <w:rFonts w:cs="Arial"/>
                <w:sz w:val="22"/>
                <w:szCs w:val="22"/>
              </w:rPr>
              <w:t>Hezhen</w:t>
            </w:r>
            <w:proofErr w:type="spellEnd"/>
          </w:p>
        </w:tc>
        <w:tc>
          <w:tcPr>
            <w:tcW w:w="578" w:type="pct"/>
          </w:tcPr>
          <w:p w14:paraId="791FDA0B" w14:textId="0A7AA14A" w:rsidR="004D23ED" w:rsidRPr="007C3B28" w:rsidRDefault="00533470" w:rsidP="00057F24">
            <w:pPr>
              <w:keepNext/>
              <w:spacing w:before="120" w:after="120"/>
              <w:jc w:val="center"/>
              <w:rPr>
                <w:rFonts w:cs="Arial"/>
                <w:sz w:val="22"/>
                <w:szCs w:val="22"/>
              </w:rPr>
            </w:pPr>
            <w:hyperlink r:id="rId9" w:anchor="7.c.2" w:history="1">
              <w:r w:rsidR="004D23ED" w:rsidRPr="00533470">
                <w:rPr>
                  <w:rStyle w:val="Hyperlink"/>
                  <w:rFonts w:cs="Arial"/>
                  <w:sz w:val="22"/>
                  <w:szCs w:val="22"/>
                </w:rPr>
                <w:t>02224</w:t>
              </w:r>
            </w:hyperlink>
          </w:p>
        </w:tc>
      </w:tr>
    </w:tbl>
    <w:p w14:paraId="5DDCC6D8" w14:textId="77777777" w:rsidR="004D23ED" w:rsidRPr="007C3B28" w:rsidRDefault="004D23ED" w:rsidP="004D23ED">
      <w:pPr>
        <w:pStyle w:val="Style1"/>
        <w:rPr>
          <w:lang w:val="fr-FR"/>
        </w:rPr>
      </w:pPr>
    </w:p>
    <w:p w14:paraId="79C53C8F" w14:textId="77777777" w:rsidR="004D23ED" w:rsidRPr="007C3B28" w:rsidRDefault="004D23ED" w:rsidP="004D23ED">
      <w:pPr>
        <w:pStyle w:val="COMPara"/>
        <w:spacing w:before="240"/>
        <w:jc w:val="both"/>
        <w:rPr>
          <w:lang w:val="fr-FR"/>
        </w:rPr>
      </w:pPr>
      <w:bookmarkStart w:id="3" w:name="_Hlk140161746"/>
    </w:p>
    <w:bookmarkEnd w:id="3"/>
    <w:p w14:paraId="1EB12FF7" w14:textId="77777777" w:rsidR="004D23ED" w:rsidRPr="007C3B28" w:rsidRDefault="004D23ED" w:rsidP="004D23ED">
      <w:pPr>
        <w:pStyle w:val="Style1"/>
        <w:rPr>
          <w:lang w:val="fr-FR"/>
        </w:rPr>
      </w:pPr>
    </w:p>
    <w:p w14:paraId="0E89CD82" w14:textId="77777777" w:rsidR="004D23ED" w:rsidRPr="007C3B28" w:rsidRDefault="004D23ED" w:rsidP="004D23ED">
      <w:pPr>
        <w:pStyle w:val="COMPara"/>
        <w:spacing w:before="240"/>
        <w:rPr>
          <w:b/>
          <w:bCs/>
          <w:lang w:val="fr-FR"/>
        </w:rPr>
      </w:pPr>
    </w:p>
    <w:p w14:paraId="579D9F3C" w14:textId="77777777" w:rsidR="004D23ED" w:rsidRPr="007C3B28" w:rsidRDefault="004D23ED" w:rsidP="00771ABD">
      <w:pPr>
        <w:pStyle w:val="COMPara"/>
        <w:numPr>
          <w:ilvl w:val="0"/>
          <w:numId w:val="24"/>
        </w:numPr>
        <w:spacing w:before="360"/>
        <w:ind w:left="567" w:hanging="567"/>
        <w:rPr>
          <w:b/>
          <w:bCs/>
          <w:lang w:val="fr-FR"/>
        </w:rPr>
      </w:pPr>
      <w:r w:rsidRPr="007C3B28">
        <w:rPr>
          <w:b/>
          <w:bCs/>
          <w:lang w:val="fr-FR"/>
        </w:rPr>
        <w:t>Projets de décision</w:t>
      </w:r>
    </w:p>
    <w:p w14:paraId="54F2A4AD" w14:textId="77777777" w:rsidR="004D23ED" w:rsidRPr="007C3B28" w:rsidRDefault="004D23ED" w:rsidP="004D23ED">
      <w:pPr>
        <w:pStyle w:val="COMPara"/>
        <w:numPr>
          <w:ilvl w:val="0"/>
          <w:numId w:val="25"/>
        </w:numPr>
        <w:spacing w:before="240"/>
        <w:ind w:left="567" w:hanging="567"/>
        <w:jc w:val="both"/>
        <w:rPr>
          <w:lang w:val="fr-FR"/>
        </w:rPr>
      </w:pPr>
      <w:r w:rsidRPr="007C3B28">
        <w:rPr>
          <w:lang w:val="fr-FR"/>
        </w:rPr>
        <w:t>Le Comité souhaitera peut-être adopter les décisions suivantes :</w:t>
      </w:r>
    </w:p>
    <w:p w14:paraId="5EF7BF3B" w14:textId="341ABA69" w:rsidR="0005799C" w:rsidRPr="007C3B28" w:rsidRDefault="0005799C" w:rsidP="004D23ED">
      <w:pPr>
        <w:pStyle w:val="Heading2"/>
        <w:tabs>
          <w:tab w:val="clear" w:pos="567"/>
        </w:tabs>
        <w:ind w:left="1134" w:hanging="567"/>
        <w:rPr>
          <w:b/>
          <w:bCs/>
          <w:sz w:val="22"/>
          <w:szCs w:val="22"/>
        </w:rPr>
      </w:pPr>
      <w:bookmarkStart w:id="4" w:name="_PROJET_DE_DÉCISION"/>
      <w:bookmarkEnd w:id="4"/>
      <w:r w:rsidRPr="007C3B28">
        <w:rPr>
          <w:b/>
          <w:sz w:val="22"/>
          <w:szCs w:val="22"/>
        </w:rPr>
        <w:t xml:space="preserve">PROJET DE DÉCISION 20.COM 7.c.1 </w:t>
      </w:r>
      <w:r w:rsidR="00EA3F4A">
        <w:rPr>
          <w:b/>
          <w:sz w:val="22"/>
          <w:szCs w:val="22"/>
        </w:rPr>
        <w:tab/>
      </w:r>
      <w:r w:rsidR="00EA3F4A" w:rsidRPr="007E364B">
        <w:rPr>
          <w:noProof/>
          <w:color w:val="0000FF"/>
          <w:szCs w:val="22"/>
        </w:rPr>
        <w:drawing>
          <wp:inline distT="0" distB="0" distL="0" distR="0" wp14:anchorId="006E284A" wp14:editId="1D0C3FB4">
            <wp:extent cx="104775" cy="104775"/>
            <wp:effectExtent l="0" t="0" r="9525" b="9525"/>
            <wp:docPr id="9"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170146C" w14:textId="47F0646C" w:rsidR="0005799C" w:rsidRPr="007C3B28" w:rsidRDefault="0005799C" w:rsidP="004D23ED">
      <w:pPr>
        <w:pStyle w:val="NoSpacing"/>
        <w:keepNext/>
        <w:tabs>
          <w:tab w:val="left" w:pos="1134"/>
          <w:tab w:val="left" w:pos="1701"/>
          <w:tab w:val="left" w:pos="2268"/>
        </w:tabs>
        <w:spacing w:before="120" w:after="120"/>
        <w:ind w:left="1134" w:hanging="567"/>
        <w:jc w:val="both"/>
        <w:rPr>
          <w:rFonts w:ascii="Arial" w:hAnsi="Arial" w:cs="Arial"/>
        </w:rPr>
      </w:pPr>
      <w:r w:rsidRPr="007C3B28">
        <w:rPr>
          <w:rFonts w:ascii="Arial" w:hAnsi="Arial" w:cs="Arial"/>
        </w:rPr>
        <w:t>Le Comité</w:t>
      </w:r>
      <w:r w:rsidR="00771ABD" w:rsidRPr="007C3B28">
        <w:rPr>
          <w:rFonts w:ascii="Arial" w:hAnsi="Arial" w:cs="Arial"/>
        </w:rPr>
        <w:t>,</w:t>
      </w:r>
    </w:p>
    <w:p w14:paraId="23CC52D8" w14:textId="22DB8D6D" w:rsidR="0005799C" w:rsidRPr="007C3B28" w:rsidRDefault="0005799C" w:rsidP="004D23ED">
      <w:pPr>
        <w:numPr>
          <w:ilvl w:val="0"/>
          <w:numId w:val="20"/>
        </w:numPr>
        <w:tabs>
          <w:tab w:val="left" w:pos="1134"/>
          <w:tab w:val="left" w:pos="1701"/>
          <w:tab w:val="left" w:pos="2268"/>
        </w:tabs>
        <w:spacing w:before="120" w:after="120"/>
        <w:ind w:left="1134" w:hanging="567"/>
        <w:jc w:val="both"/>
        <w:rPr>
          <w:rFonts w:cs="Arial"/>
          <w:sz w:val="22"/>
          <w:szCs w:val="22"/>
        </w:rPr>
      </w:pPr>
      <w:r w:rsidRPr="007C3B28">
        <w:rPr>
          <w:rFonts w:cs="Arial"/>
          <w:sz w:val="22"/>
          <w:szCs w:val="22"/>
          <w:u w:val="single"/>
        </w:rPr>
        <w:t>Rappelant</w:t>
      </w:r>
      <w:r w:rsidRPr="007C3B28">
        <w:rPr>
          <w:rFonts w:cs="Arial"/>
          <w:sz w:val="22"/>
          <w:szCs w:val="22"/>
        </w:rPr>
        <w:t xml:space="preserve"> l’inscription initiale d</w:t>
      </w:r>
      <w:proofErr w:type="gramStart"/>
      <w:r w:rsidRPr="007C3B28">
        <w:rPr>
          <w:rFonts w:cs="Arial"/>
          <w:sz w:val="22"/>
          <w:szCs w:val="22"/>
        </w:rPr>
        <w:t>’«</w:t>
      </w:r>
      <w:proofErr w:type="gramEnd"/>
      <w:r w:rsidRPr="007C3B28">
        <w:rPr>
          <w:rFonts w:cs="Arial"/>
          <w:sz w:val="22"/>
          <w:szCs w:val="22"/>
        </w:rPr>
        <w:t xml:space="preserve"> Al </w:t>
      </w:r>
      <w:proofErr w:type="spellStart"/>
      <w:r w:rsidRPr="007C3B28">
        <w:rPr>
          <w:rFonts w:cs="Arial"/>
          <w:sz w:val="22"/>
          <w:szCs w:val="22"/>
        </w:rPr>
        <w:t>Sadu</w:t>
      </w:r>
      <w:proofErr w:type="spellEnd"/>
      <w:r w:rsidRPr="007C3B28">
        <w:rPr>
          <w:rFonts w:cs="Arial"/>
          <w:sz w:val="22"/>
          <w:szCs w:val="22"/>
        </w:rPr>
        <w:t xml:space="preserve">, tissage traditionnel dans les Émirats arabes unis » sur la Liste du patrimoine culturel immatériel nécessitant une sauvegarde urgente par la sixième session du Comité en 2011 (décision </w:t>
      </w:r>
      <w:hyperlink r:id="rId12" w:history="1">
        <w:r w:rsidRPr="009E318C">
          <w:rPr>
            <w:rStyle w:val="Hyperlink"/>
            <w:rFonts w:cs="Arial"/>
            <w:sz w:val="22"/>
            <w:szCs w:val="22"/>
          </w:rPr>
          <w:t>6.COM 8.21</w:t>
        </w:r>
      </w:hyperlink>
      <w:r w:rsidRPr="007C3B28">
        <w:rPr>
          <w:rFonts w:cs="Arial"/>
          <w:sz w:val="22"/>
          <w:szCs w:val="22"/>
        </w:rPr>
        <w:t>),</w:t>
      </w:r>
    </w:p>
    <w:p w14:paraId="7092F99D" w14:textId="5BCD4691" w:rsidR="0005799C" w:rsidRPr="007C3B28" w:rsidRDefault="0005799C" w:rsidP="004D23ED">
      <w:pPr>
        <w:numPr>
          <w:ilvl w:val="0"/>
          <w:numId w:val="20"/>
        </w:numPr>
        <w:tabs>
          <w:tab w:val="left" w:pos="1134"/>
          <w:tab w:val="left" w:pos="1701"/>
          <w:tab w:val="left" w:pos="2268"/>
        </w:tabs>
        <w:spacing w:before="120" w:after="120"/>
        <w:ind w:left="1134" w:hanging="567"/>
        <w:jc w:val="both"/>
        <w:rPr>
          <w:rFonts w:cs="Arial"/>
          <w:sz w:val="22"/>
          <w:szCs w:val="22"/>
        </w:rPr>
      </w:pPr>
      <w:r w:rsidRPr="007C3B28">
        <w:rPr>
          <w:rFonts w:cs="Arial"/>
          <w:sz w:val="22"/>
          <w:szCs w:val="22"/>
          <w:u w:val="single"/>
        </w:rPr>
        <w:t>Rappelant en outre</w:t>
      </w:r>
      <w:r w:rsidRPr="007C3B28">
        <w:rPr>
          <w:rFonts w:cs="Arial"/>
          <w:sz w:val="22"/>
          <w:szCs w:val="22"/>
        </w:rPr>
        <w:t xml:space="preserve"> le dernier rapport périodique soumis par les Émirats arabes unis sur l’état de cet élément examiné par la dix-neuvième session du Comité en 2024 (décision </w:t>
      </w:r>
      <w:hyperlink r:id="rId13" w:history="1">
        <w:r w:rsidRPr="009E318C">
          <w:rPr>
            <w:rStyle w:val="Hyperlink"/>
            <w:rFonts w:cs="Arial"/>
            <w:sz w:val="22"/>
            <w:szCs w:val="22"/>
          </w:rPr>
          <w:t>19.COM </w:t>
        </w:r>
        <w:proofErr w:type="gramStart"/>
        <w:r w:rsidRPr="009E318C">
          <w:rPr>
            <w:rStyle w:val="Hyperlink"/>
            <w:rFonts w:cs="Arial"/>
            <w:sz w:val="22"/>
            <w:szCs w:val="22"/>
          </w:rPr>
          <w:t>6.a.</w:t>
        </w:r>
        <w:proofErr w:type="gramEnd"/>
        <w:r w:rsidRPr="009E318C">
          <w:rPr>
            <w:rStyle w:val="Hyperlink"/>
            <w:rFonts w:cs="Arial"/>
            <w:sz w:val="22"/>
            <w:szCs w:val="22"/>
          </w:rPr>
          <w:t>10</w:t>
        </w:r>
      </w:hyperlink>
      <w:r w:rsidRPr="007C3B28">
        <w:rPr>
          <w:rFonts w:cs="Arial"/>
          <w:sz w:val="22"/>
          <w:szCs w:val="22"/>
        </w:rPr>
        <w:t xml:space="preserve">), </w:t>
      </w:r>
    </w:p>
    <w:p w14:paraId="517EF15F" w14:textId="65EB96E9" w:rsidR="0005799C" w:rsidRPr="007C3B28" w:rsidRDefault="0005799C" w:rsidP="004D23ED">
      <w:pPr>
        <w:numPr>
          <w:ilvl w:val="0"/>
          <w:numId w:val="20"/>
        </w:numPr>
        <w:tabs>
          <w:tab w:val="left" w:pos="1134"/>
          <w:tab w:val="left" w:pos="1701"/>
          <w:tab w:val="left" w:pos="2268"/>
        </w:tabs>
        <w:spacing w:before="120" w:after="120"/>
        <w:ind w:left="1134" w:hanging="567"/>
        <w:jc w:val="both"/>
        <w:rPr>
          <w:rFonts w:cs="Arial"/>
          <w:sz w:val="22"/>
          <w:szCs w:val="22"/>
        </w:rPr>
      </w:pPr>
      <w:r w:rsidRPr="007C3B28">
        <w:rPr>
          <w:rFonts w:cs="Arial"/>
          <w:sz w:val="22"/>
          <w:szCs w:val="22"/>
          <w:u w:val="single"/>
        </w:rPr>
        <w:t>Prend note</w:t>
      </w:r>
      <w:r w:rsidRPr="007C3B28">
        <w:rPr>
          <w:rFonts w:cs="Arial"/>
          <w:sz w:val="22"/>
          <w:szCs w:val="22"/>
        </w:rPr>
        <w:t xml:space="preserve"> de la demande présentée par les Émirats arabes unis de transférer </w:t>
      </w:r>
      <w:r w:rsidRPr="007C3B28">
        <w:rPr>
          <w:rFonts w:cs="Arial"/>
          <w:b/>
          <w:sz w:val="22"/>
          <w:szCs w:val="22"/>
        </w:rPr>
        <w:t xml:space="preserve">Al </w:t>
      </w:r>
      <w:proofErr w:type="spellStart"/>
      <w:r w:rsidRPr="007C3B28">
        <w:rPr>
          <w:rFonts w:cs="Arial"/>
          <w:b/>
          <w:sz w:val="22"/>
          <w:szCs w:val="22"/>
        </w:rPr>
        <w:t>Sadu</w:t>
      </w:r>
      <w:proofErr w:type="spellEnd"/>
      <w:r w:rsidRPr="007C3B28">
        <w:rPr>
          <w:rFonts w:cs="Arial"/>
          <w:b/>
          <w:sz w:val="22"/>
          <w:szCs w:val="22"/>
        </w:rPr>
        <w:t>, tissage traditionnel dans les Émirats arabes unis</w:t>
      </w:r>
      <w:r w:rsidRPr="007C3B28">
        <w:rPr>
          <w:rFonts w:cs="Arial"/>
          <w:sz w:val="22"/>
          <w:szCs w:val="22"/>
        </w:rPr>
        <w:t xml:space="preserve"> (n° 02230) de la Liste du patrimoine culturel immatériel nécessitant une sauvegarde urgente à la Liste représentative du patrimoine culturel immatériel de l’humanité :</w:t>
      </w:r>
    </w:p>
    <w:p w14:paraId="219B52AB" w14:textId="1C5A2A37" w:rsidR="00A13FFA" w:rsidRPr="007C3B28" w:rsidRDefault="0005799C" w:rsidP="004D23ED">
      <w:pPr>
        <w:tabs>
          <w:tab w:val="left" w:pos="1134"/>
          <w:tab w:val="left" w:pos="1701"/>
          <w:tab w:val="left" w:pos="2268"/>
        </w:tabs>
        <w:spacing w:before="120" w:after="120"/>
        <w:ind w:left="1134"/>
        <w:jc w:val="both"/>
        <w:rPr>
          <w:rFonts w:cs="Arial"/>
          <w:noProof/>
          <w:sz w:val="22"/>
          <w:szCs w:val="22"/>
        </w:rPr>
      </w:pPr>
      <w:r w:rsidRPr="007C3B28">
        <w:rPr>
          <w:rFonts w:cs="Arial"/>
          <w:sz w:val="22"/>
          <w:szCs w:val="22"/>
        </w:rPr>
        <w:t xml:space="preserve">Al </w:t>
      </w:r>
      <w:proofErr w:type="spellStart"/>
      <w:r w:rsidRPr="007C3B28">
        <w:rPr>
          <w:rFonts w:cs="Arial"/>
          <w:sz w:val="22"/>
          <w:szCs w:val="22"/>
        </w:rPr>
        <w:t>Sadu</w:t>
      </w:r>
      <w:proofErr w:type="spellEnd"/>
      <w:r w:rsidRPr="007C3B28">
        <w:rPr>
          <w:rFonts w:cs="Arial"/>
          <w:sz w:val="22"/>
          <w:szCs w:val="22"/>
        </w:rPr>
        <w:t xml:space="preserve"> est une forme traditionnelle de tissage pratiquée par les femmes bédouines dans les communautés rurales pour produire du mobilier souple et des accessoires décoratifs pour les chameaux et les chevaux. Cette pratique implique la participation égale des hommes et des femmes au</w:t>
      </w:r>
      <w:r w:rsidR="00B83CD1" w:rsidRPr="007C3B28">
        <w:rPr>
          <w:rFonts w:cs="Arial"/>
          <w:sz w:val="22"/>
          <w:szCs w:val="22"/>
        </w:rPr>
        <w:t xml:space="preserve"> cours de son</w:t>
      </w:r>
      <w:r w:rsidRPr="007C3B28">
        <w:rPr>
          <w:rFonts w:cs="Arial"/>
          <w:sz w:val="22"/>
          <w:szCs w:val="22"/>
        </w:rPr>
        <w:t xml:space="preserve"> processus de production. Les hommes tondent les moutons, les chameaux et les chèvres, et les femmes nettoient et préparent la laine. </w:t>
      </w:r>
      <w:r w:rsidR="00B83CD1" w:rsidRPr="007C3B28">
        <w:rPr>
          <w:rFonts w:cs="Arial"/>
          <w:sz w:val="22"/>
          <w:szCs w:val="22"/>
        </w:rPr>
        <w:t>Ils</w:t>
      </w:r>
      <w:r w:rsidRPr="007C3B28">
        <w:rPr>
          <w:rFonts w:cs="Arial"/>
          <w:sz w:val="22"/>
          <w:szCs w:val="22"/>
        </w:rPr>
        <w:t xml:space="preserve"> filent ensuite le fil sur un fuseau, le teignent et le tissent sur un métier à tisser au sol en utilisant </w:t>
      </w:r>
      <w:r w:rsidR="00D2431F" w:rsidRPr="007C3B28">
        <w:rPr>
          <w:rFonts w:cs="Arial"/>
          <w:sz w:val="22"/>
          <w:szCs w:val="22"/>
        </w:rPr>
        <w:t>un tissage uni à effet chaîne</w:t>
      </w:r>
      <w:r w:rsidRPr="007C3B28">
        <w:rPr>
          <w:rFonts w:cs="Arial"/>
          <w:sz w:val="22"/>
          <w:szCs w:val="22"/>
        </w:rPr>
        <w:t xml:space="preserve">. Les couleurs </w:t>
      </w:r>
      <w:r w:rsidRPr="007C3B28">
        <w:rPr>
          <w:rFonts w:cs="Arial"/>
          <w:sz w:val="22"/>
          <w:szCs w:val="22"/>
        </w:rPr>
        <w:lastRenderedPageBreak/>
        <w:t xml:space="preserve">traditionnelles sont le noir, le blanc, le marron, le beige et le rouge, avec des motifs distinctifs sous forme de bandes étroites de dessins géométriques. </w:t>
      </w:r>
    </w:p>
    <w:p w14:paraId="78CD69B4" w14:textId="77777777" w:rsidR="00A13FFA" w:rsidRPr="007C3B28" w:rsidRDefault="00A13FFA" w:rsidP="004D23ED">
      <w:pPr>
        <w:pStyle w:val="ListParagraph"/>
        <w:numPr>
          <w:ilvl w:val="0"/>
          <w:numId w:val="20"/>
        </w:numPr>
        <w:spacing w:after="120"/>
        <w:ind w:left="1134" w:hanging="567"/>
        <w:jc w:val="both"/>
        <w:rPr>
          <w:rFonts w:ascii="Arial" w:hAnsi="Arial" w:cs="Arial"/>
          <w:bCs/>
          <w:sz w:val="22"/>
          <w:szCs w:val="22"/>
        </w:rPr>
      </w:pPr>
      <w:r w:rsidRPr="007C3B28">
        <w:rPr>
          <w:rFonts w:ascii="Arial" w:hAnsi="Arial" w:cs="Arial"/>
          <w:sz w:val="22"/>
          <w:szCs w:val="22"/>
          <w:u w:val="single"/>
          <w:lang w:eastAsia="fr-FR"/>
        </w:rPr>
        <w:t>Considère</w:t>
      </w:r>
      <w:r w:rsidRPr="007C3B28">
        <w:rPr>
          <w:rFonts w:ascii="Arial" w:hAnsi="Arial" w:cs="Arial"/>
          <w:sz w:val="22"/>
          <w:szCs w:val="22"/>
          <w:lang w:eastAsia="fr-FR"/>
        </w:rPr>
        <w:t xml:space="preserve"> que, d’après les informations contenues dans la demande et le rapport périodique sur l’état de l’élément sur la Liste du patrimoine culturel immatériel nécessitant une sauvegarde urgente, la demande satisfait aux critères suivants pour inscription sur la Liste représentative du patrimoine culturel immatériel de l’humanité :</w:t>
      </w:r>
    </w:p>
    <w:p w14:paraId="12C4B4C4" w14:textId="490A7C62" w:rsidR="00C748BF" w:rsidRPr="007C3B28" w:rsidRDefault="00A13FFA"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R.1 :</w:t>
      </w:r>
      <w:r w:rsidR="004D23ED" w:rsidRPr="007C3B28">
        <w:rPr>
          <w:rFonts w:ascii="Arial" w:hAnsi="Arial" w:cs="Arial"/>
          <w:sz w:val="22"/>
          <w:szCs w:val="22"/>
        </w:rPr>
        <w:tab/>
      </w:r>
      <w:r w:rsidRPr="007C3B28">
        <w:rPr>
          <w:rFonts w:ascii="Arial" w:hAnsi="Arial" w:cs="Arial"/>
          <w:sz w:val="22"/>
          <w:szCs w:val="22"/>
        </w:rPr>
        <w:t>L</w:t>
      </w:r>
      <w:r w:rsidR="00CB41F3" w:rsidRPr="007C3B28">
        <w:rPr>
          <w:rFonts w:ascii="Arial" w:hAnsi="Arial" w:cs="Arial"/>
          <w:sz w:val="22"/>
          <w:szCs w:val="22"/>
        </w:rPr>
        <w:t>’</w:t>
      </w:r>
      <w:r w:rsidRPr="007C3B28">
        <w:rPr>
          <w:rFonts w:ascii="Arial" w:hAnsi="Arial" w:cs="Arial"/>
          <w:sz w:val="22"/>
          <w:szCs w:val="22"/>
        </w:rPr>
        <w:t>élément a été inscrit pour la première fois sur la Liste du patrimoine culturel immatériel nécessitant une sauvegarde urgente en 2011, le développement économique rapide et les transformations sociales provoquées par l</w:t>
      </w:r>
      <w:r w:rsidR="00CB41F3" w:rsidRPr="007C3B28">
        <w:rPr>
          <w:rFonts w:ascii="Arial" w:hAnsi="Arial" w:cs="Arial"/>
          <w:sz w:val="22"/>
          <w:szCs w:val="22"/>
        </w:rPr>
        <w:t>’</w:t>
      </w:r>
      <w:r w:rsidRPr="007C3B28">
        <w:rPr>
          <w:rFonts w:ascii="Arial" w:hAnsi="Arial" w:cs="Arial"/>
          <w:sz w:val="22"/>
          <w:szCs w:val="22"/>
        </w:rPr>
        <w:t>avènement du pétrole ayant entraîné un net recul de la pratique</w:t>
      </w:r>
      <w:r w:rsidR="00771ABD" w:rsidRPr="007C3B28">
        <w:rPr>
          <w:rFonts w:ascii="Arial" w:hAnsi="Arial" w:cs="Arial"/>
          <w:sz w:val="22"/>
          <w:szCs w:val="22"/>
        </w:rPr>
        <w:t xml:space="preserve"> d’</w:t>
      </w:r>
      <w:r w:rsidRPr="007C3B28">
        <w:rPr>
          <w:rFonts w:ascii="Arial" w:hAnsi="Arial" w:cs="Arial"/>
          <w:sz w:val="22"/>
          <w:szCs w:val="22"/>
        </w:rPr>
        <w:t>Al</w:t>
      </w:r>
      <w:r w:rsidR="00CB41F3" w:rsidRPr="007C3B28">
        <w:rPr>
          <w:rFonts w:ascii="Arial" w:hAnsi="Arial" w:cs="Arial"/>
          <w:sz w:val="22"/>
          <w:szCs w:val="22"/>
        </w:rPr>
        <w:t> </w:t>
      </w:r>
      <w:proofErr w:type="spellStart"/>
      <w:r w:rsidRPr="007C3B28">
        <w:rPr>
          <w:rFonts w:ascii="Arial" w:hAnsi="Arial" w:cs="Arial"/>
          <w:sz w:val="22"/>
          <w:szCs w:val="22"/>
        </w:rPr>
        <w:t>Sadu</w:t>
      </w:r>
      <w:proofErr w:type="spellEnd"/>
      <w:r w:rsidRPr="007C3B28">
        <w:rPr>
          <w:rFonts w:ascii="Arial" w:hAnsi="Arial" w:cs="Arial"/>
          <w:sz w:val="22"/>
          <w:szCs w:val="22"/>
        </w:rPr>
        <w:t xml:space="preserve">. De nos jours, </w:t>
      </w:r>
      <w:r w:rsidR="002C0575" w:rsidRPr="007C3B28">
        <w:rPr>
          <w:rFonts w:ascii="Arial" w:hAnsi="Arial" w:cs="Arial"/>
          <w:sz w:val="22"/>
          <w:szCs w:val="22"/>
        </w:rPr>
        <w:t xml:space="preserve">grâce aux efforts de sauvegarde, </w:t>
      </w:r>
      <w:r w:rsidRPr="007C3B28">
        <w:rPr>
          <w:rFonts w:ascii="Arial" w:hAnsi="Arial" w:cs="Arial"/>
          <w:sz w:val="22"/>
          <w:szCs w:val="22"/>
        </w:rPr>
        <w:t>les tisserands se réunissent fréquemment en petits groupes pour filer et tisser, échanger des nouvelles de leur famille et, à l</w:t>
      </w:r>
      <w:r w:rsidR="00CB41F3" w:rsidRPr="007C3B28">
        <w:rPr>
          <w:rFonts w:ascii="Arial" w:hAnsi="Arial" w:cs="Arial"/>
          <w:sz w:val="22"/>
          <w:szCs w:val="22"/>
        </w:rPr>
        <w:t>’</w:t>
      </w:r>
      <w:r w:rsidRPr="007C3B28">
        <w:rPr>
          <w:rFonts w:ascii="Arial" w:hAnsi="Arial" w:cs="Arial"/>
          <w:sz w:val="22"/>
          <w:szCs w:val="22"/>
        </w:rPr>
        <w:t>occasion, chanter et réciter des poèmes. Ces rassemblements sont le moyen traditionnel de transmission des connaissances et du savoir-faire associés à l’élément</w:t>
      </w:r>
      <w:r w:rsidR="00CB41F3" w:rsidRPr="007C3B28">
        <w:rPr>
          <w:rFonts w:ascii="Arial" w:hAnsi="Arial" w:cs="Arial"/>
          <w:sz w:val="22"/>
          <w:szCs w:val="22"/>
        </w:rPr>
        <w:t> </w:t>
      </w:r>
      <w:r w:rsidRPr="007C3B28">
        <w:rPr>
          <w:rFonts w:ascii="Arial" w:hAnsi="Arial" w:cs="Arial"/>
          <w:sz w:val="22"/>
          <w:szCs w:val="22"/>
        </w:rPr>
        <w:t>: les filles apprennent en observant et se voient progressivement confier des tâches, comme le tri de la laine, avant d</w:t>
      </w:r>
      <w:r w:rsidR="00CB41F3" w:rsidRPr="007C3B28">
        <w:rPr>
          <w:rFonts w:ascii="Arial" w:hAnsi="Arial" w:cs="Arial"/>
          <w:sz w:val="22"/>
          <w:szCs w:val="22"/>
        </w:rPr>
        <w:t>’</w:t>
      </w:r>
      <w:r w:rsidRPr="007C3B28">
        <w:rPr>
          <w:rFonts w:ascii="Arial" w:hAnsi="Arial" w:cs="Arial"/>
          <w:sz w:val="22"/>
          <w:szCs w:val="22"/>
        </w:rPr>
        <w:t>acquérir les compétences plus complexes. Cet élément favorise l</w:t>
      </w:r>
      <w:r w:rsidR="00CB41F3" w:rsidRPr="007C3B28">
        <w:rPr>
          <w:rFonts w:ascii="Arial" w:hAnsi="Arial" w:cs="Arial"/>
          <w:sz w:val="22"/>
          <w:szCs w:val="22"/>
        </w:rPr>
        <w:t>’</w:t>
      </w:r>
      <w:r w:rsidRPr="007C3B28">
        <w:rPr>
          <w:rFonts w:ascii="Arial" w:hAnsi="Arial" w:cs="Arial"/>
          <w:sz w:val="22"/>
          <w:szCs w:val="22"/>
        </w:rPr>
        <w:t>unité entre les artisans tout en encourageant les échanges intergénérationnels et le dialogue au sein de la communauté.</w:t>
      </w:r>
    </w:p>
    <w:p w14:paraId="131C13A8" w14:textId="6DAC70D4" w:rsidR="00C748BF" w:rsidRPr="007C3B28" w:rsidRDefault="00A13FFA"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R.2 :</w:t>
      </w:r>
      <w:r w:rsidRPr="007C3B28">
        <w:rPr>
          <w:rFonts w:ascii="Arial" w:hAnsi="Arial" w:cs="Arial"/>
          <w:sz w:val="22"/>
          <w:szCs w:val="22"/>
        </w:rPr>
        <w:tab/>
      </w:r>
      <w:r w:rsidR="002C0575" w:rsidRPr="007C3B28">
        <w:rPr>
          <w:rFonts w:ascii="Arial" w:hAnsi="Arial" w:cs="Arial"/>
          <w:sz w:val="22"/>
          <w:szCs w:val="22"/>
        </w:rPr>
        <w:t xml:space="preserve">Avec sa viabilité améliorée, </w:t>
      </w:r>
      <w:r w:rsidR="002B3E7A" w:rsidRPr="007C3B28">
        <w:rPr>
          <w:rFonts w:ascii="Arial" w:hAnsi="Arial" w:cs="Arial"/>
          <w:sz w:val="22"/>
          <w:szCs w:val="22"/>
        </w:rPr>
        <w:t>l’</w:t>
      </w:r>
      <w:r w:rsidRPr="007C3B28">
        <w:rPr>
          <w:rFonts w:ascii="Arial" w:hAnsi="Arial" w:cs="Arial"/>
          <w:sz w:val="22"/>
          <w:szCs w:val="22"/>
        </w:rPr>
        <w:t xml:space="preserve">élément </w:t>
      </w:r>
      <w:r w:rsidR="00360B39" w:rsidRPr="007C3B28">
        <w:rPr>
          <w:rFonts w:ascii="Arial" w:hAnsi="Arial" w:cs="Arial"/>
          <w:sz w:val="22"/>
          <w:szCs w:val="22"/>
        </w:rPr>
        <w:t xml:space="preserve">contribue à sensibiliser </w:t>
      </w:r>
      <w:r w:rsidR="002B3E7A" w:rsidRPr="007C3B28">
        <w:rPr>
          <w:rFonts w:ascii="Arial" w:hAnsi="Arial" w:cs="Arial"/>
          <w:sz w:val="22"/>
          <w:szCs w:val="22"/>
        </w:rPr>
        <w:t>à l’importance du</w:t>
      </w:r>
      <w:r w:rsidR="00360B39" w:rsidRPr="007C3B28">
        <w:rPr>
          <w:rFonts w:ascii="Arial" w:hAnsi="Arial" w:cs="Arial"/>
          <w:sz w:val="22"/>
          <w:szCs w:val="22"/>
        </w:rPr>
        <w:t xml:space="preserve"> patrimoine culturel immatériel et lui assure une certaine visibilité au sein de la communauté et au-delà. En outre, </w:t>
      </w:r>
      <w:r w:rsidR="002B3E7A" w:rsidRPr="007C3B28">
        <w:rPr>
          <w:rFonts w:ascii="Arial" w:hAnsi="Arial" w:cs="Arial"/>
          <w:sz w:val="22"/>
          <w:szCs w:val="22"/>
        </w:rPr>
        <w:t>l’</w:t>
      </w:r>
      <w:r w:rsidR="00360B39" w:rsidRPr="007C3B28">
        <w:rPr>
          <w:rFonts w:ascii="Arial" w:hAnsi="Arial" w:cs="Arial"/>
          <w:sz w:val="22"/>
          <w:szCs w:val="22"/>
        </w:rPr>
        <w:t xml:space="preserve">élément </w:t>
      </w:r>
      <w:r w:rsidRPr="007C3B28">
        <w:rPr>
          <w:rFonts w:ascii="Arial" w:hAnsi="Arial" w:cs="Arial"/>
          <w:sz w:val="22"/>
          <w:szCs w:val="22"/>
        </w:rPr>
        <w:t>contribue à divers aspects du développement durable, notamment l</w:t>
      </w:r>
      <w:r w:rsidR="00CB41F3" w:rsidRPr="007C3B28">
        <w:rPr>
          <w:rFonts w:ascii="Arial" w:hAnsi="Arial" w:cs="Arial"/>
          <w:sz w:val="22"/>
          <w:szCs w:val="22"/>
        </w:rPr>
        <w:t>’</w:t>
      </w:r>
      <w:r w:rsidRPr="007C3B28">
        <w:rPr>
          <w:rFonts w:ascii="Arial" w:hAnsi="Arial" w:cs="Arial"/>
          <w:sz w:val="22"/>
          <w:szCs w:val="22"/>
        </w:rPr>
        <w:t xml:space="preserve">égalité des </w:t>
      </w:r>
      <w:r w:rsidR="00360B39" w:rsidRPr="007C3B28">
        <w:rPr>
          <w:rFonts w:ascii="Arial" w:hAnsi="Arial" w:cs="Arial"/>
          <w:sz w:val="22"/>
          <w:szCs w:val="22"/>
        </w:rPr>
        <w:t>genres</w:t>
      </w:r>
      <w:r w:rsidRPr="007C3B28">
        <w:rPr>
          <w:rFonts w:ascii="Arial" w:hAnsi="Arial" w:cs="Arial"/>
          <w:sz w:val="22"/>
          <w:szCs w:val="22"/>
        </w:rPr>
        <w:t xml:space="preserve">, le développement économique inclusif et la durabilité environnementale. Hommes et femmes travaillent ensemble </w:t>
      </w:r>
      <w:r w:rsidR="00360B39" w:rsidRPr="007C3B28">
        <w:rPr>
          <w:rFonts w:ascii="Arial" w:hAnsi="Arial" w:cs="Arial"/>
          <w:sz w:val="22"/>
          <w:szCs w:val="22"/>
        </w:rPr>
        <w:t xml:space="preserve">au processus de </w:t>
      </w:r>
      <w:r w:rsidRPr="007C3B28">
        <w:rPr>
          <w:rFonts w:ascii="Arial" w:hAnsi="Arial" w:cs="Arial"/>
          <w:sz w:val="22"/>
          <w:szCs w:val="22"/>
        </w:rPr>
        <w:t>production de cet artisanat, qui n</w:t>
      </w:r>
      <w:r w:rsidR="00CB41F3" w:rsidRPr="007C3B28">
        <w:rPr>
          <w:rFonts w:ascii="Arial" w:hAnsi="Arial" w:cs="Arial"/>
          <w:sz w:val="22"/>
          <w:szCs w:val="22"/>
        </w:rPr>
        <w:t>’</w:t>
      </w:r>
      <w:r w:rsidRPr="007C3B28">
        <w:rPr>
          <w:rFonts w:ascii="Arial" w:hAnsi="Arial" w:cs="Arial"/>
          <w:sz w:val="22"/>
          <w:szCs w:val="22"/>
        </w:rPr>
        <w:t>utilise que des matières premières naturelles. Les connaissances traditionnelles liées à l</w:t>
      </w:r>
      <w:r w:rsidR="00CB41F3" w:rsidRPr="007C3B28">
        <w:rPr>
          <w:rFonts w:ascii="Arial" w:hAnsi="Arial" w:cs="Arial"/>
          <w:sz w:val="22"/>
          <w:szCs w:val="22"/>
        </w:rPr>
        <w:t>’</w:t>
      </w:r>
      <w:r w:rsidRPr="007C3B28">
        <w:rPr>
          <w:rFonts w:ascii="Arial" w:hAnsi="Arial" w:cs="Arial"/>
          <w:sz w:val="22"/>
          <w:szCs w:val="22"/>
        </w:rPr>
        <w:t>utilisation des fibres animales et des teintures extraites des plantes sont cultivées et transmises de génération en génération dans le cadre de cette activité. En plus d</w:t>
      </w:r>
      <w:r w:rsidR="00CB41F3" w:rsidRPr="007C3B28">
        <w:rPr>
          <w:rFonts w:ascii="Arial" w:hAnsi="Arial" w:cs="Arial"/>
          <w:sz w:val="22"/>
          <w:szCs w:val="22"/>
        </w:rPr>
        <w:t>’</w:t>
      </w:r>
      <w:r w:rsidRPr="007C3B28">
        <w:rPr>
          <w:rFonts w:ascii="Arial" w:hAnsi="Arial" w:cs="Arial"/>
          <w:sz w:val="22"/>
          <w:szCs w:val="22"/>
        </w:rPr>
        <w:t>être reconnu comme un symbole de l</w:t>
      </w:r>
      <w:r w:rsidR="00CB41F3" w:rsidRPr="007C3B28">
        <w:rPr>
          <w:rFonts w:ascii="Arial" w:hAnsi="Arial" w:cs="Arial"/>
          <w:sz w:val="22"/>
          <w:szCs w:val="22"/>
        </w:rPr>
        <w:t>’</w:t>
      </w:r>
      <w:r w:rsidRPr="007C3B28">
        <w:rPr>
          <w:rFonts w:ascii="Arial" w:hAnsi="Arial" w:cs="Arial"/>
          <w:sz w:val="22"/>
          <w:szCs w:val="22"/>
        </w:rPr>
        <w:t>identité, le tissu Al</w:t>
      </w:r>
      <w:r w:rsidR="00CB41F3" w:rsidRPr="007C3B28">
        <w:rPr>
          <w:rFonts w:ascii="Arial" w:hAnsi="Arial" w:cs="Arial"/>
          <w:sz w:val="22"/>
          <w:szCs w:val="22"/>
        </w:rPr>
        <w:t> </w:t>
      </w:r>
      <w:proofErr w:type="spellStart"/>
      <w:r w:rsidRPr="007C3B28">
        <w:rPr>
          <w:rFonts w:ascii="Arial" w:hAnsi="Arial" w:cs="Arial"/>
          <w:sz w:val="22"/>
          <w:szCs w:val="22"/>
        </w:rPr>
        <w:t>Sadu</w:t>
      </w:r>
      <w:proofErr w:type="spellEnd"/>
      <w:r w:rsidRPr="007C3B28">
        <w:rPr>
          <w:rFonts w:ascii="Arial" w:hAnsi="Arial" w:cs="Arial"/>
          <w:sz w:val="22"/>
          <w:szCs w:val="22"/>
        </w:rPr>
        <w:t xml:space="preserve"> possède une valeur commerciale et crée des opportunités d</w:t>
      </w:r>
      <w:r w:rsidR="00CB41F3" w:rsidRPr="007C3B28">
        <w:rPr>
          <w:rFonts w:ascii="Arial" w:hAnsi="Arial" w:cs="Arial"/>
          <w:sz w:val="22"/>
          <w:szCs w:val="22"/>
        </w:rPr>
        <w:t>’</w:t>
      </w:r>
      <w:r w:rsidRPr="007C3B28">
        <w:rPr>
          <w:rFonts w:ascii="Arial" w:hAnsi="Arial" w:cs="Arial"/>
          <w:sz w:val="22"/>
          <w:szCs w:val="22"/>
        </w:rPr>
        <w:t>emploi pour de nombreuses personnes, leur assurant ainsi une certaine stabilité économique. Pour les femmes, la possibilité de s</w:t>
      </w:r>
      <w:r w:rsidR="00CB41F3" w:rsidRPr="007C3B28">
        <w:rPr>
          <w:rFonts w:ascii="Arial" w:hAnsi="Arial" w:cs="Arial"/>
          <w:sz w:val="22"/>
          <w:szCs w:val="22"/>
        </w:rPr>
        <w:t>’</w:t>
      </w:r>
      <w:r w:rsidRPr="007C3B28">
        <w:rPr>
          <w:rFonts w:ascii="Arial" w:hAnsi="Arial" w:cs="Arial"/>
          <w:sz w:val="22"/>
          <w:szCs w:val="22"/>
        </w:rPr>
        <w:t>exprimer dans les espaces publics à travers cet art est un atout.</w:t>
      </w:r>
    </w:p>
    <w:p w14:paraId="4C59A93F" w14:textId="554D2F8C" w:rsidR="00A13FFA" w:rsidRPr="007C3B28" w:rsidRDefault="00A13FFA"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R.3 :</w:t>
      </w:r>
      <w:r w:rsidRPr="007C3B28">
        <w:rPr>
          <w:rFonts w:ascii="Arial" w:hAnsi="Arial" w:cs="Arial"/>
          <w:sz w:val="22"/>
          <w:szCs w:val="22"/>
        </w:rPr>
        <w:tab/>
        <w:t>Plusieurs mesures de sauvegarde ont été mises en œuvre avec la participation directe des communautés, des groupes et d</w:t>
      </w:r>
      <w:r w:rsidR="00360B39" w:rsidRPr="007C3B28">
        <w:rPr>
          <w:rFonts w:ascii="Arial" w:hAnsi="Arial" w:cs="Arial"/>
          <w:sz w:val="22"/>
          <w:szCs w:val="22"/>
        </w:rPr>
        <w:t>’individus</w:t>
      </w:r>
      <w:r w:rsidRPr="007C3B28">
        <w:rPr>
          <w:rFonts w:ascii="Arial" w:hAnsi="Arial" w:cs="Arial"/>
          <w:sz w:val="22"/>
          <w:szCs w:val="22"/>
        </w:rPr>
        <w:t xml:space="preserve">. </w:t>
      </w:r>
      <w:r w:rsidR="00360B39" w:rsidRPr="007C3B28">
        <w:rPr>
          <w:rFonts w:ascii="Arial" w:hAnsi="Arial" w:cs="Arial"/>
          <w:sz w:val="22"/>
          <w:szCs w:val="22"/>
        </w:rPr>
        <w:t>Elles</w:t>
      </w:r>
      <w:r w:rsidRPr="007C3B28">
        <w:rPr>
          <w:rFonts w:ascii="Arial" w:hAnsi="Arial" w:cs="Arial"/>
          <w:sz w:val="22"/>
          <w:szCs w:val="22"/>
        </w:rPr>
        <w:t xml:space="preserve"> couvrent un large éventail de domaines, notamment la formation de</w:t>
      </w:r>
      <w:r w:rsidR="00360B39" w:rsidRPr="007C3B28">
        <w:rPr>
          <w:rFonts w:ascii="Arial" w:hAnsi="Arial" w:cs="Arial"/>
          <w:sz w:val="22"/>
          <w:szCs w:val="22"/>
        </w:rPr>
        <w:t xml:space="preserve"> nouvelles</w:t>
      </w:r>
      <w:r w:rsidRPr="007C3B28">
        <w:rPr>
          <w:rFonts w:ascii="Arial" w:hAnsi="Arial" w:cs="Arial"/>
          <w:sz w:val="22"/>
          <w:szCs w:val="22"/>
        </w:rPr>
        <w:t xml:space="preserve"> femmes artisans, ainsi que l</w:t>
      </w:r>
      <w:r w:rsidR="00CB41F3" w:rsidRPr="007C3B28">
        <w:rPr>
          <w:rFonts w:ascii="Arial" w:hAnsi="Arial" w:cs="Arial"/>
          <w:sz w:val="22"/>
          <w:szCs w:val="22"/>
        </w:rPr>
        <w:t>’</w:t>
      </w:r>
      <w:r w:rsidRPr="007C3B28">
        <w:rPr>
          <w:rFonts w:ascii="Arial" w:hAnsi="Arial" w:cs="Arial"/>
          <w:sz w:val="22"/>
          <w:szCs w:val="22"/>
        </w:rPr>
        <w:t>amélioration de la visibilité et de la sensibilisation quant à l</w:t>
      </w:r>
      <w:r w:rsidR="00CB41F3" w:rsidRPr="007C3B28">
        <w:rPr>
          <w:rFonts w:ascii="Arial" w:hAnsi="Arial" w:cs="Arial"/>
          <w:sz w:val="22"/>
          <w:szCs w:val="22"/>
        </w:rPr>
        <w:t>’</w:t>
      </w:r>
      <w:r w:rsidRPr="007C3B28">
        <w:rPr>
          <w:rFonts w:ascii="Arial" w:hAnsi="Arial" w:cs="Arial"/>
          <w:sz w:val="22"/>
          <w:szCs w:val="22"/>
        </w:rPr>
        <w:t>importance de ce patrimoine culturel. Pour l</w:t>
      </w:r>
      <w:r w:rsidR="00CB41F3" w:rsidRPr="007C3B28">
        <w:rPr>
          <w:rFonts w:ascii="Arial" w:hAnsi="Arial" w:cs="Arial"/>
          <w:sz w:val="22"/>
          <w:szCs w:val="22"/>
        </w:rPr>
        <w:t>’</w:t>
      </w:r>
      <w:r w:rsidRPr="007C3B28">
        <w:rPr>
          <w:rFonts w:ascii="Arial" w:hAnsi="Arial" w:cs="Arial"/>
          <w:sz w:val="22"/>
          <w:szCs w:val="22"/>
        </w:rPr>
        <w:t>avenir, des mesures sont proposées pour augmenter le nombre d</w:t>
      </w:r>
      <w:r w:rsidR="00CB41F3" w:rsidRPr="007C3B28">
        <w:rPr>
          <w:rFonts w:ascii="Arial" w:hAnsi="Arial" w:cs="Arial"/>
          <w:sz w:val="22"/>
          <w:szCs w:val="22"/>
        </w:rPr>
        <w:t>’</w:t>
      </w:r>
      <w:r w:rsidRPr="007C3B28">
        <w:rPr>
          <w:rFonts w:ascii="Arial" w:hAnsi="Arial" w:cs="Arial"/>
          <w:sz w:val="22"/>
          <w:szCs w:val="22"/>
        </w:rPr>
        <w:t>artisans, promouvoir l</w:t>
      </w:r>
      <w:r w:rsidR="00CB41F3" w:rsidRPr="007C3B28">
        <w:rPr>
          <w:rFonts w:ascii="Arial" w:hAnsi="Arial" w:cs="Arial"/>
          <w:sz w:val="22"/>
          <w:szCs w:val="22"/>
        </w:rPr>
        <w:t>’</w:t>
      </w:r>
      <w:r w:rsidRPr="007C3B28">
        <w:rPr>
          <w:rFonts w:ascii="Arial" w:hAnsi="Arial" w:cs="Arial"/>
          <w:sz w:val="22"/>
          <w:szCs w:val="22"/>
        </w:rPr>
        <w:t>artisanat traditionnel ainsi que créer des canaux de formation et d</w:t>
      </w:r>
      <w:r w:rsidR="00CB41F3" w:rsidRPr="007C3B28">
        <w:rPr>
          <w:rFonts w:ascii="Arial" w:hAnsi="Arial" w:cs="Arial"/>
          <w:sz w:val="22"/>
          <w:szCs w:val="22"/>
        </w:rPr>
        <w:t>’</w:t>
      </w:r>
      <w:r w:rsidRPr="007C3B28">
        <w:rPr>
          <w:rFonts w:ascii="Arial" w:hAnsi="Arial" w:cs="Arial"/>
          <w:sz w:val="22"/>
          <w:szCs w:val="22"/>
        </w:rPr>
        <w:t xml:space="preserve">amélioration des compétences des producteurs. Le développement de nouveaux produits et leur intégration dans les circuits commerciaux </w:t>
      </w:r>
      <w:r w:rsidR="002B3E7A" w:rsidRPr="007C3B28">
        <w:rPr>
          <w:rFonts w:ascii="Arial" w:hAnsi="Arial" w:cs="Arial"/>
          <w:sz w:val="22"/>
          <w:szCs w:val="22"/>
        </w:rPr>
        <w:t>numériques</w:t>
      </w:r>
      <w:r w:rsidR="00360B39" w:rsidRPr="007C3B28">
        <w:rPr>
          <w:rFonts w:ascii="Arial" w:hAnsi="Arial" w:cs="Arial"/>
          <w:sz w:val="22"/>
          <w:szCs w:val="22"/>
        </w:rPr>
        <w:t xml:space="preserve"> </w:t>
      </w:r>
      <w:r w:rsidRPr="007C3B28">
        <w:rPr>
          <w:rFonts w:ascii="Arial" w:hAnsi="Arial" w:cs="Arial"/>
          <w:sz w:val="22"/>
          <w:szCs w:val="22"/>
        </w:rPr>
        <w:t>et internationaux, en vue d</w:t>
      </w:r>
      <w:r w:rsidR="00CB41F3" w:rsidRPr="007C3B28">
        <w:rPr>
          <w:rFonts w:ascii="Arial" w:hAnsi="Arial" w:cs="Arial"/>
          <w:sz w:val="22"/>
          <w:szCs w:val="22"/>
        </w:rPr>
        <w:t>’</w:t>
      </w:r>
      <w:r w:rsidRPr="007C3B28">
        <w:rPr>
          <w:rFonts w:ascii="Arial" w:hAnsi="Arial" w:cs="Arial"/>
          <w:sz w:val="22"/>
          <w:szCs w:val="22"/>
        </w:rPr>
        <w:t>augmenter les revenus des artisans, ont également été proposés.</w:t>
      </w:r>
    </w:p>
    <w:p w14:paraId="4FCBF7B4" w14:textId="2738AAD5" w:rsidR="00A13FFA" w:rsidRPr="007C3B28" w:rsidRDefault="00A13FFA"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R.4 :</w:t>
      </w:r>
      <w:r w:rsidRPr="007C3B28">
        <w:rPr>
          <w:rFonts w:ascii="Arial" w:hAnsi="Arial" w:cs="Arial"/>
          <w:sz w:val="22"/>
          <w:szCs w:val="22"/>
        </w:rPr>
        <w:tab/>
        <w:t xml:space="preserve">Au cours des quatorze dernières années, un solide programme de sauvegarde a été mis en œuvre avec la pleine participation des tisserands Al </w:t>
      </w:r>
      <w:proofErr w:type="spellStart"/>
      <w:r w:rsidRPr="007C3B28">
        <w:rPr>
          <w:rFonts w:ascii="Arial" w:hAnsi="Arial" w:cs="Arial"/>
          <w:sz w:val="22"/>
          <w:szCs w:val="22"/>
        </w:rPr>
        <w:t>Sadu</w:t>
      </w:r>
      <w:proofErr w:type="spellEnd"/>
      <w:r w:rsidRPr="007C3B28">
        <w:rPr>
          <w:rFonts w:ascii="Arial" w:hAnsi="Arial" w:cs="Arial"/>
          <w:sz w:val="22"/>
          <w:szCs w:val="22"/>
        </w:rPr>
        <w:t>, de leurs associations et d</w:t>
      </w:r>
      <w:r w:rsidR="00CB41F3" w:rsidRPr="007C3B28">
        <w:rPr>
          <w:rFonts w:ascii="Arial" w:hAnsi="Arial" w:cs="Arial"/>
          <w:sz w:val="22"/>
          <w:szCs w:val="22"/>
        </w:rPr>
        <w:t>’</w:t>
      </w:r>
      <w:r w:rsidRPr="007C3B28">
        <w:rPr>
          <w:rFonts w:ascii="Arial" w:hAnsi="Arial" w:cs="Arial"/>
          <w:sz w:val="22"/>
          <w:szCs w:val="22"/>
        </w:rPr>
        <w:t xml:space="preserve">autres parties prenantes concernées. La </w:t>
      </w:r>
      <w:r w:rsidR="00360B39" w:rsidRPr="007C3B28">
        <w:rPr>
          <w:rFonts w:ascii="Arial" w:hAnsi="Arial" w:cs="Arial"/>
          <w:sz w:val="22"/>
          <w:szCs w:val="22"/>
        </w:rPr>
        <w:t>demande d</w:t>
      </w:r>
      <w:r w:rsidRPr="007C3B28">
        <w:rPr>
          <w:rFonts w:ascii="Arial" w:hAnsi="Arial" w:cs="Arial"/>
          <w:sz w:val="22"/>
          <w:szCs w:val="22"/>
        </w:rPr>
        <w:t>e transfert de l’élément de la Liste du patrimoine culturel immatériel nécessitant une sauvegarde urgente à la Liste représentative du patrimoine culturel immatériel de l</w:t>
      </w:r>
      <w:r w:rsidR="00CB41F3" w:rsidRPr="007C3B28">
        <w:rPr>
          <w:rFonts w:ascii="Arial" w:hAnsi="Arial" w:cs="Arial"/>
          <w:sz w:val="22"/>
          <w:szCs w:val="22"/>
        </w:rPr>
        <w:t>’</w:t>
      </w:r>
      <w:r w:rsidRPr="007C3B28">
        <w:rPr>
          <w:rFonts w:ascii="Arial" w:hAnsi="Arial" w:cs="Arial"/>
          <w:sz w:val="22"/>
          <w:szCs w:val="22"/>
        </w:rPr>
        <w:t xml:space="preserve">humanité a été faite avec leur consentement libre, préalable et éclairé, comme en témoigne </w:t>
      </w:r>
      <w:r w:rsidR="00DD17B2" w:rsidRPr="007C3B28">
        <w:rPr>
          <w:rFonts w:ascii="Arial" w:hAnsi="Arial" w:cs="Arial"/>
          <w:sz w:val="22"/>
          <w:szCs w:val="22"/>
        </w:rPr>
        <w:t>la documentation</w:t>
      </w:r>
      <w:r w:rsidRPr="007C3B28">
        <w:rPr>
          <w:rFonts w:ascii="Arial" w:hAnsi="Arial" w:cs="Arial"/>
          <w:sz w:val="22"/>
          <w:szCs w:val="22"/>
        </w:rPr>
        <w:t xml:space="preserve"> écrit</w:t>
      </w:r>
      <w:r w:rsidR="00DD17B2" w:rsidRPr="007C3B28">
        <w:rPr>
          <w:rFonts w:ascii="Arial" w:hAnsi="Arial" w:cs="Arial"/>
          <w:sz w:val="22"/>
          <w:szCs w:val="22"/>
        </w:rPr>
        <w:t>e</w:t>
      </w:r>
      <w:r w:rsidRPr="007C3B28">
        <w:rPr>
          <w:rFonts w:ascii="Arial" w:hAnsi="Arial" w:cs="Arial"/>
          <w:sz w:val="22"/>
          <w:szCs w:val="22"/>
        </w:rPr>
        <w:t xml:space="preserve"> et audiovisuel</w:t>
      </w:r>
      <w:r w:rsidR="00DD17B2" w:rsidRPr="007C3B28">
        <w:rPr>
          <w:rFonts w:ascii="Arial" w:hAnsi="Arial" w:cs="Arial"/>
          <w:sz w:val="22"/>
          <w:szCs w:val="22"/>
        </w:rPr>
        <w:t>le</w:t>
      </w:r>
      <w:r w:rsidRPr="007C3B28">
        <w:rPr>
          <w:rFonts w:ascii="Arial" w:hAnsi="Arial" w:cs="Arial"/>
          <w:sz w:val="22"/>
          <w:szCs w:val="22"/>
        </w:rPr>
        <w:t xml:space="preserve"> joint</w:t>
      </w:r>
      <w:r w:rsidR="00DD17B2" w:rsidRPr="007C3B28">
        <w:rPr>
          <w:rFonts w:ascii="Arial" w:hAnsi="Arial" w:cs="Arial"/>
          <w:sz w:val="22"/>
          <w:szCs w:val="22"/>
        </w:rPr>
        <w:t>e</w:t>
      </w:r>
      <w:r w:rsidRPr="007C3B28">
        <w:rPr>
          <w:rFonts w:ascii="Arial" w:hAnsi="Arial" w:cs="Arial"/>
          <w:sz w:val="22"/>
          <w:szCs w:val="22"/>
        </w:rPr>
        <w:t xml:space="preserve"> au dossier.</w:t>
      </w:r>
    </w:p>
    <w:p w14:paraId="3F575382" w14:textId="19DEFF6A" w:rsidR="00A13FFA" w:rsidRPr="007C3B28" w:rsidRDefault="004762E8"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w:t>
      </w:r>
      <w:r w:rsidR="00C748BF" w:rsidRPr="007C3B28">
        <w:rPr>
          <w:rFonts w:ascii="Arial" w:hAnsi="Arial" w:cs="Arial"/>
          <w:sz w:val="22"/>
          <w:szCs w:val="22"/>
        </w:rPr>
        <w:t>.5 :</w:t>
      </w:r>
      <w:r w:rsidR="00C748BF" w:rsidRPr="007C3B28">
        <w:rPr>
          <w:rFonts w:ascii="Arial" w:hAnsi="Arial" w:cs="Arial"/>
          <w:sz w:val="22"/>
          <w:szCs w:val="22"/>
        </w:rPr>
        <w:tab/>
        <w:t xml:space="preserve">Le tissage traditionnel Al </w:t>
      </w:r>
      <w:proofErr w:type="spellStart"/>
      <w:r w:rsidR="00C748BF" w:rsidRPr="007C3B28">
        <w:rPr>
          <w:rFonts w:ascii="Arial" w:hAnsi="Arial" w:cs="Arial"/>
          <w:sz w:val="22"/>
          <w:szCs w:val="22"/>
        </w:rPr>
        <w:t>Sadu</w:t>
      </w:r>
      <w:proofErr w:type="spellEnd"/>
      <w:r w:rsidR="00C748BF" w:rsidRPr="007C3B28">
        <w:rPr>
          <w:rFonts w:ascii="Arial" w:hAnsi="Arial" w:cs="Arial"/>
          <w:sz w:val="22"/>
          <w:szCs w:val="22"/>
        </w:rPr>
        <w:t xml:space="preserve"> a été in</w:t>
      </w:r>
      <w:r w:rsidR="00771ABD" w:rsidRPr="007C3B28">
        <w:rPr>
          <w:rFonts w:ascii="Arial" w:hAnsi="Arial" w:cs="Arial"/>
          <w:sz w:val="22"/>
          <w:szCs w:val="22"/>
        </w:rPr>
        <w:t>clus</w:t>
      </w:r>
      <w:r w:rsidR="00C748BF" w:rsidRPr="007C3B28">
        <w:rPr>
          <w:rFonts w:ascii="Arial" w:hAnsi="Arial" w:cs="Arial"/>
          <w:sz w:val="22"/>
          <w:szCs w:val="22"/>
        </w:rPr>
        <w:t xml:space="preserve"> dans l</w:t>
      </w:r>
      <w:r w:rsidR="00CB41F3" w:rsidRPr="007C3B28">
        <w:rPr>
          <w:rFonts w:ascii="Arial" w:hAnsi="Arial" w:cs="Arial"/>
          <w:sz w:val="22"/>
          <w:szCs w:val="22"/>
        </w:rPr>
        <w:t>’</w:t>
      </w:r>
      <w:r w:rsidR="00C748BF" w:rsidRPr="007C3B28">
        <w:rPr>
          <w:rFonts w:ascii="Arial" w:hAnsi="Arial" w:cs="Arial"/>
          <w:sz w:val="22"/>
          <w:szCs w:val="22"/>
        </w:rPr>
        <w:t>inventaire du patrimoine culturel immatériel de l</w:t>
      </w:r>
      <w:r w:rsidR="00CB41F3" w:rsidRPr="007C3B28">
        <w:rPr>
          <w:rFonts w:ascii="Arial" w:hAnsi="Arial" w:cs="Arial"/>
          <w:sz w:val="22"/>
          <w:szCs w:val="22"/>
        </w:rPr>
        <w:t>’</w:t>
      </w:r>
      <w:r w:rsidR="00DD17B2" w:rsidRPr="007C3B28">
        <w:rPr>
          <w:rFonts w:ascii="Arial" w:hAnsi="Arial" w:cs="Arial"/>
          <w:sz w:val="22"/>
          <w:szCs w:val="22"/>
        </w:rPr>
        <w:t>֤É</w:t>
      </w:r>
      <w:r w:rsidR="00C748BF" w:rsidRPr="007C3B28">
        <w:rPr>
          <w:rFonts w:ascii="Arial" w:hAnsi="Arial" w:cs="Arial"/>
          <w:sz w:val="22"/>
          <w:szCs w:val="22"/>
        </w:rPr>
        <w:t>mirat d</w:t>
      </w:r>
      <w:r w:rsidR="00CB41F3" w:rsidRPr="007C3B28">
        <w:rPr>
          <w:rFonts w:ascii="Arial" w:hAnsi="Arial" w:cs="Arial"/>
          <w:sz w:val="22"/>
          <w:szCs w:val="22"/>
        </w:rPr>
        <w:t>’</w:t>
      </w:r>
      <w:r w:rsidR="00C748BF" w:rsidRPr="007C3B28">
        <w:rPr>
          <w:rFonts w:ascii="Arial" w:hAnsi="Arial" w:cs="Arial"/>
          <w:sz w:val="22"/>
          <w:szCs w:val="22"/>
        </w:rPr>
        <w:t xml:space="preserve">Abu Dhabi approuvé en 2009 sous trois </w:t>
      </w:r>
      <w:r w:rsidR="00771ABD" w:rsidRPr="007C3B28">
        <w:rPr>
          <w:rFonts w:ascii="Arial" w:hAnsi="Arial" w:cs="Arial"/>
          <w:sz w:val="22"/>
          <w:szCs w:val="22"/>
        </w:rPr>
        <w:t>appellations</w:t>
      </w:r>
      <w:r w:rsidR="00C748BF" w:rsidRPr="007C3B28">
        <w:rPr>
          <w:rFonts w:ascii="Arial" w:hAnsi="Arial" w:cs="Arial"/>
          <w:sz w:val="22"/>
          <w:szCs w:val="22"/>
        </w:rPr>
        <w:t xml:space="preserve">. Cet inventaire est établi par le </w:t>
      </w:r>
      <w:r w:rsidR="00360B39" w:rsidRPr="007C3B28">
        <w:rPr>
          <w:rFonts w:ascii="Arial" w:hAnsi="Arial" w:cs="Arial"/>
          <w:sz w:val="22"/>
          <w:szCs w:val="22"/>
        </w:rPr>
        <w:t>D</w:t>
      </w:r>
      <w:r w:rsidR="00C748BF" w:rsidRPr="007C3B28">
        <w:rPr>
          <w:rFonts w:ascii="Arial" w:hAnsi="Arial" w:cs="Arial"/>
          <w:sz w:val="22"/>
          <w:szCs w:val="22"/>
        </w:rPr>
        <w:t xml:space="preserve">épartement du </w:t>
      </w:r>
      <w:r w:rsidR="00360B39" w:rsidRPr="007C3B28">
        <w:rPr>
          <w:rFonts w:ascii="Arial" w:hAnsi="Arial" w:cs="Arial"/>
          <w:sz w:val="22"/>
          <w:szCs w:val="22"/>
        </w:rPr>
        <w:t>p</w:t>
      </w:r>
      <w:r w:rsidR="00C748BF" w:rsidRPr="007C3B28">
        <w:rPr>
          <w:rFonts w:ascii="Arial" w:hAnsi="Arial" w:cs="Arial"/>
          <w:sz w:val="22"/>
          <w:szCs w:val="22"/>
        </w:rPr>
        <w:t>atrimoine culturel immatériel de l</w:t>
      </w:r>
      <w:r w:rsidR="00771ABD" w:rsidRPr="007C3B28">
        <w:rPr>
          <w:rFonts w:ascii="Arial" w:hAnsi="Arial" w:cs="Arial"/>
          <w:sz w:val="22"/>
          <w:szCs w:val="22"/>
        </w:rPr>
        <w:t>’</w:t>
      </w:r>
      <w:r w:rsidR="00360B39" w:rsidRPr="007C3B28">
        <w:rPr>
          <w:rFonts w:ascii="Arial" w:hAnsi="Arial" w:cs="Arial"/>
          <w:sz w:val="22"/>
          <w:szCs w:val="22"/>
        </w:rPr>
        <w:t>A</w:t>
      </w:r>
      <w:r w:rsidR="00C748BF" w:rsidRPr="007C3B28">
        <w:rPr>
          <w:rFonts w:ascii="Arial" w:hAnsi="Arial" w:cs="Arial"/>
          <w:sz w:val="22"/>
          <w:szCs w:val="22"/>
        </w:rPr>
        <w:t>utorité d</w:t>
      </w:r>
      <w:r w:rsidR="00CB41F3" w:rsidRPr="007C3B28">
        <w:rPr>
          <w:rFonts w:ascii="Arial" w:hAnsi="Arial" w:cs="Arial"/>
          <w:sz w:val="22"/>
          <w:szCs w:val="22"/>
        </w:rPr>
        <w:t>’</w:t>
      </w:r>
      <w:r w:rsidR="00C748BF" w:rsidRPr="007C3B28">
        <w:rPr>
          <w:rFonts w:ascii="Arial" w:hAnsi="Arial" w:cs="Arial"/>
          <w:sz w:val="22"/>
          <w:szCs w:val="22"/>
        </w:rPr>
        <w:t xml:space="preserve">Abu Dhabi pour la </w:t>
      </w:r>
      <w:r w:rsidR="00360B39" w:rsidRPr="007C3B28">
        <w:rPr>
          <w:rFonts w:ascii="Arial" w:hAnsi="Arial" w:cs="Arial"/>
          <w:sz w:val="22"/>
          <w:szCs w:val="22"/>
        </w:rPr>
        <w:t>c</w:t>
      </w:r>
      <w:r w:rsidR="00C748BF" w:rsidRPr="007C3B28">
        <w:rPr>
          <w:rFonts w:ascii="Arial" w:hAnsi="Arial" w:cs="Arial"/>
          <w:sz w:val="22"/>
          <w:szCs w:val="22"/>
        </w:rPr>
        <w:t xml:space="preserve">ulture et le </w:t>
      </w:r>
      <w:r w:rsidR="00360B39" w:rsidRPr="007C3B28">
        <w:rPr>
          <w:rFonts w:ascii="Arial" w:hAnsi="Arial" w:cs="Arial"/>
          <w:sz w:val="22"/>
          <w:szCs w:val="22"/>
        </w:rPr>
        <w:t>p</w:t>
      </w:r>
      <w:r w:rsidR="00C748BF" w:rsidRPr="007C3B28">
        <w:rPr>
          <w:rFonts w:ascii="Arial" w:hAnsi="Arial" w:cs="Arial"/>
          <w:sz w:val="22"/>
          <w:szCs w:val="22"/>
        </w:rPr>
        <w:t xml:space="preserve">atrimoine (ADACH) et mis à jour tous </w:t>
      </w:r>
      <w:r w:rsidR="00C748BF" w:rsidRPr="007C3B28">
        <w:rPr>
          <w:rFonts w:ascii="Arial" w:hAnsi="Arial" w:cs="Arial"/>
          <w:sz w:val="22"/>
          <w:szCs w:val="22"/>
        </w:rPr>
        <w:lastRenderedPageBreak/>
        <w:t>les cinq ans. Les personnes qui participent à sa mise à jour régulière sont des représentants de plusieurs institutions, ainsi que des praticiens.</w:t>
      </w:r>
    </w:p>
    <w:p w14:paraId="74721A2E" w14:textId="1A0954FE" w:rsidR="00A13FFA" w:rsidRPr="007C3B28" w:rsidRDefault="00A13FFA" w:rsidP="004D23ED">
      <w:pPr>
        <w:pStyle w:val="ListParagraph"/>
        <w:numPr>
          <w:ilvl w:val="0"/>
          <w:numId w:val="20"/>
        </w:numPr>
        <w:spacing w:after="120"/>
        <w:ind w:left="1134" w:hanging="567"/>
        <w:jc w:val="both"/>
        <w:rPr>
          <w:rFonts w:ascii="Arial" w:hAnsi="Arial" w:cs="Arial"/>
          <w:bCs/>
          <w:sz w:val="22"/>
          <w:szCs w:val="22"/>
        </w:rPr>
      </w:pPr>
      <w:r w:rsidRPr="007C3B28">
        <w:rPr>
          <w:rFonts w:ascii="Arial" w:hAnsi="Arial" w:cs="Arial"/>
          <w:sz w:val="22"/>
          <w:szCs w:val="22"/>
          <w:u w:val="single"/>
          <w:lang w:eastAsia="fr-FR"/>
        </w:rPr>
        <w:t>Décide de transférer</w:t>
      </w:r>
      <w:r w:rsidRPr="007C3B28">
        <w:rPr>
          <w:rFonts w:ascii="Arial" w:hAnsi="Arial" w:cs="Arial"/>
          <w:sz w:val="22"/>
          <w:szCs w:val="22"/>
          <w:lang w:eastAsia="fr-FR"/>
        </w:rPr>
        <w:t xml:space="preserve"> </w:t>
      </w:r>
      <w:r w:rsidRPr="007C3B28">
        <w:rPr>
          <w:rFonts w:ascii="Arial" w:hAnsi="Arial" w:cs="Arial"/>
          <w:b/>
          <w:sz w:val="22"/>
          <w:szCs w:val="22"/>
          <w:lang w:eastAsia="fr-FR"/>
        </w:rPr>
        <w:t xml:space="preserve">Al </w:t>
      </w:r>
      <w:proofErr w:type="spellStart"/>
      <w:r w:rsidRPr="007C3B28">
        <w:rPr>
          <w:rFonts w:ascii="Arial" w:hAnsi="Arial" w:cs="Arial"/>
          <w:b/>
          <w:sz w:val="22"/>
          <w:szCs w:val="22"/>
          <w:lang w:eastAsia="fr-FR"/>
        </w:rPr>
        <w:t>Sadu</w:t>
      </w:r>
      <w:proofErr w:type="spellEnd"/>
      <w:r w:rsidRPr="007C3B28">
        <w:rPr>
          <w:rFonts w:ascii="Arial" w:hAnsi="Arial" w:cs="Arial"/>
          <w:b/>
          <w:sz w:val="22"/>
          <w:szCs w:val="22"/>
          <w:lang w:eastAsia="fr-FR"/>
        </w:rPr>
        <w:t>, tissage traditionnel dans les Émirats arabes unis</w:t>
      </w:r>
      <w:r w:rsidRPr="007C3B28">
        <w:rPr>
          <w:rFonts w:ascii="Arial" w:hAnsi="Arial" w:cs="Arial"/>
          <w:sz w:val="22"/>
          <w:szCs w:val="22"/>
          <w:lang w:eastAsia="fr-FR"/>
        </w:rPr>
        <w:t xml:space="preserve"> de la Liste du patrimoine culturel immatériel nécessitant une sauvegarde urgente à la Liste représentative du patrimoine culturel immatériel de l’humanité ;</w:t>
      </w:r>
    </w:p>
    <w:p w14:paraId="79ACBEBE" w14:textId="5EFB4E38" w:rsidR="003E428C" w:rsidRPr="007C3B28" w:rsidRDefault="00F652D1" w:rsidP="004D23ED">
      <w:pPr>
        <w:numPr>
          <w:ilvl w:val="0"/>
          <w:numId w:val="20"/>
        </w:numPr>
        <w:tabs>
          <w:tab w:val="left" w:pos="1134"/>
          <w:tab w:val="left" w:pos="1701"/>
          <w:tab w:val="left" w:pos="2268"/>
        </w:tabs>
        <w:spacing w:before="120" w:after="120"/>
        <w:ind w:left="1134" w:hanging="567"/>
        <w:jc w:val="both"/>
        <w:rPr>
          <w:rFonts w:cs="Arial"/>
          <w:bCs/>
          <w:sz w:val="22"/>
          <w:szCs w:val="22"/>
        </w:rPr>
      </w:pPr>
      <w:r w:rsidRPr="007C3B28">
        <w:rPr>
          <w:rFonts w:cs="Arial"/>
          <w:sz w:val="22"/>
          <w:szCs w:val="22"/>
          <w:u w:val="single"/>
        </w:rPr>
        <w:t>Prend note en outre</w:t>
      </w:r>
      <w:r w:rsidRPr="007C3B28">
        <w:rPr>
          <w:rFonts w:cs="Arial"/>
          <w:sz w:val="22"/>
          <w:szCs w:val="22"/>
        </w:rPr>
        <w:t xml:space="preserve"> de la demande simultanée des Émirats arabes unis d’inclure dans le Registre de bonnes pratiques de sauvegarde, l’expérience de sauvegarde présentée dans la demande de transfert :</w:t>
      </w:r>
    </w:p>
    <w:p w14:paraId="4D885D26" w14:textId="20677482" w:rsidR="00EF2851" w:rsidRPr="007C3B28" w:rsidRDefault="00EF2851" w:rsidP="00284063">
      <w:pPr>
        <w:tabs>
          <w:tab w:val="left" w:pos="1134"/>
          <w:tab w:val="left" w:pos="1701"/>
          <w:tab w:val="left" w:pos="2268"/>
        </w:tabs>
        <w:spacing w:before="120" w:after="120"/>
        <w:ind w:left="1134"/>
        <w:jc w:val="both"/>
        <w:rPr>
          <w:rFonts w:cs="Arial"/>
          <w:bCs/>
          <w:sz w:val="22"/>
          <w:szCs w:val="22"/>
        </w:rPr>
      </w:pPr>
      <w:r w:rsidRPr="007C3B28">
        <w:rPr>
          <w:rFonts w:cs="Arial"/>
          <w:bCs/>
          <w:sz w:val="22"/>
          <w:szCs w:val="22"/>
        </w:rPr>
        <w:t>Depuis l</w:t>
      </w:r>
      <w:r w:rsidR="00DD17B2" w:rsidRPr="007C3B28">
        <w:rPr>
          <w:rFonts w:cs="Arial"/>
          <w:bCs/>
          <w:sz w:val="22"/>
          <w:szCs w:val="22"/>
        </w:rPr>
        <w:t>’</w:t>
      </w:r>
      <w:r w:rsidRPr="007C3B28">
        <w:rPr>
          <w:rFonts w:cs="Arial"/>
          <w:bCs/>
          <w:sz w:val="22"/>
          <w:szCs w:val="22"/>
        </w:rPr>
        <w:t>avènement de la richesse pétrolière, la dispersion des communautés bédouines vers les villes, l</w:t>
      </w:r>
      <w:r w:rsidR="00DD17B2" w:rsidRPr="007C3B28">
        <w:rPr>
          <w:rFonts w:cs="Arial"/>
          <w:bCs/>
          <w:sz w:val="22"/>
          <w:szCs w:val="22"/>
        </w:rPr>
        <w:t>’</w:t>
      </w:r>
      <w:r w:rsidRPr="007C3B28">
        <w:rPr>
          <w:rFonts w:cs="Arial"/>
          <w:bCs/>
          <w:sz w:val="22"/>
          <w:szCs w:val="22"/>
        </w:rPr>
        <w:t>abandon progressif des activités pastorales et les changements sociaux associés à ces processus ont créé des conditions menaçant l</w:t>
      </w:r>
      <w:r w:rsidR="00DD17B2" w:rsidRPr="007C3B28">
        <w:rPr>
          <w:rFonts w:cs="Arial"/>
          <w:bCs/>
          <w:sz w:val="22"/>
          <w:szCs w:val="22"/>
        </w:rPr>
        <w:t>’</w:t>
      </w:r>
      <w:r w:rsidRPr="007C3B28">
        <w:rPr>
          <w:rFonts w:cs="Arial"/>
          <w:bCs/>
          <w:sz w:val="22"/>
          <w:szCs w:val="22"/>
        </w:rPr>
        <w:t xml:space="preserve">art du tissage Al </w:t>
      </w:r>
      <w:proofErr w:type="spellStart"/>
      <w:r w:rsidRPr="007C3B28">
        <w:rPr>
          <w:rFonts w:cs="Arial"/>
          <w:bCs/>
          <w:sz w:val="22"/>
          <w:szCs w:val="22"/>
        </w:rPr>
        <w:t>Sadu</w:t>
      </w:r>
      <w:proofErr w:type="spellEnd"/>
      <w:r w:rsidRPr="007C3B28">
        <w:rPr>
          <w:rFonts w:cs="Arial"/>
          <w:bCs/>
          <w:sz w:val="22"/>
          <w:szCs w:val="22"/>
        </w:rPr>
        <w:t>. Le temps nécessaire à la production artisanale, la nécessité de disposer de connaissances traditionnelles sur la nature, la faible rémunération de l</w:t>
      </w:r>
      <w:r w:rsidR="00DD17B2" w:rsidRPr="007C3B28">
        <w:rPr>
          <w:rFonts w:cs="Arial"/>
          <w:bCs/>
          <w:sz w:val="22"/>
          <w:szCs w:val="22"/>
        </w:rPr>
        <w:t>’</w:t>
      </w:r>
      <w:r w:rsidRPr="007C3B28">
        <w:rPr>
          <w:rFonts w:cs="Arial"/>
          <w:bCs/>
          <w:sz w:val="22"/>
          <w:szCs w:val="22"/>
        </w:rPr>
        <w:t>artisanat par rapport à d</w:t>
      </w:r>
      <w:r w:rsidR="00DD17B2" w:rsidRPr="007C3B28">
        <w:rPr>
          <w:rFonts w:cs="Arial"/>
          <w:bCs/>
          <w:sz w:val="22"/>
          <w:szCs w:val="22"/>
        </w:rPr>
        <w:t>’</w:t>
      </w:r>
      <w:r w:rsidRPr="007C3B28">
        <w:rPr>
          <w:rFonts w:cs="Arial"/>
          <w:bCs/>
          <w:sz w:val="22"/>
          <w:szCs w:val="22"/>
        </w:rPr>
        <w:t>autres emplois dans l'économie moderne, ainsi que la préférence croissante pour les tissus industriels, ont contribué à un déclin de l</w:t>
      </w:r>
      <w:r w:rsidR="00771ABD" w:rsidRPr="007C3B28">
        <w:rPr>
          <w:rFonts w:cs="Arial"/>
          <w:bCs/>
          <w:sz w:val="22"/>
          <w:szCs w:val="22"/>
        </w:rPr>
        <w:t>’</w:t>
      </w:r>
      <w:r w:rsidRPr="007C3B28">
        <w:rPr>
          <w:rFonts w:cs="Arial"/>
          <w:bCs/>
          <w:sz w:val="22"/>
          <w:szCs w:val="22"/>
        </w:rPr>
        <w:t>intérêt des jeunes générations pour l</w:t>
      </w:r>
      <w:r w:rsidR="00DD17B2" w:rsidRPr="007C3B28">
        <w:rPr>
          <w:rFonts w:cs="Arial"/>
          <w:bCs/>
          <w:sz w:val="22"/>
          <w:szCs w:val="22"/>
        </w:rPr>
        <w:t>’</w:t>
      </w:r>
      <w:r w:rsidRPr="007C3B28">
        <w:rPr>
          <w:rFonts w:cs="Arial"/>
          <w:bCs/>
          <w:sz w:val="22"/>
          <w:szCs w:val="22"/>
        </w:rPr>
        <w:t>apprentissage de cette technique de tissage. Entre 2011 et 2023, un programme de sauvegarde a été mis en place pour faire face au risque de disparition de cet élément culturel, dont le savoir-faire est préservé par un nombre décroissant de femmes âgées. Grâce aux efforts et aux ressources combinés de multiples acteurs sociaux, des activités de recherche, de documentation, de transfert de connaissances, de diffusion, de soutien à la commercialisation et de sensibilisation à la valeur et à l</w:t>
      </w:r>
      <w:r w:rsidR="00DD17B2" w:rsidRPr="007C3B28">
        <w:rPr>
          <w:rFonts w:cs="Arial"/>
          <w:bCs/>
          <w:sz w:val="22"/>
          <w:szCs w:val="22"/>
        </w:rPr>
        <w:t>’</w:t>
      </w:r>
      <w:r w:rsidRPr="007C3B28">
        <w:rPr>
          <w:rFonts w:cs="Arial"/>
          <w:bCs/>
          <w:sz w:val="22"/>
          <w:szCs w:val="22"/>
        </w:rPr>
        <w:t xml:space="preserve">importance de cet élément ont été mises en œuvre de manière concertée et participative. En conséquence, le programme a non seulement réussi à assurer la continuité et la transmission de </w:t>
      </w:r>
      <w:r w:rsidR="00DD17B2" w:rsidRPr="007C3B28">
        <w:rPr>
          <w:rFonts w:cs="Arial"/>
          <w:bCs/>
          <w:sz w:val="22"/>
          <w:szCs w:val="22"/>
        </w:rPr>
        <w:t>l’</w:t>
      </w:r>
      <w:r w:rsidRPr="007C3B28">
        <w:rPr>
          <w:rFonts w:cs="Arial"/>
          <w:bCs/>
          <w:sz w:val="22"/>
          <w:szCs w:val="22"/>
        </w:rPr>
        <w:t>élément, mais aussi à créer des emplois et des opportunités de revenus pour un grand nombre de personnes.</w:t>
      </w:r>
    </w:p>
    <w:p w14:paraId="034556DC" w14:textId="7944BE51" w:rsidR="004B1C87" w:rsidRPr="007C3B28" w:rsidRDefault="00F652D1" w:rsidP="004D23ED">
      <w:pPr>
        <w:numPr>
          <w:ilvl w:val="0"/>
          <w:numId w:val="20"/>
        </w:numPr>
        <w:tabs>
          <w:tab w:val="left" w:pos="1134"/>
          <w:tab w:val="left" w:pos="1701"/>
          <w:tab w:val="left" w:pos="2268"/>
        </w:tabs>
        <w:spacing w:before="120" w:after="120"/>
        <w:ind w:left="1134" w:hanging="567"/>
        <w:jc w:val="both"/>
        <w:rPr>
          <w:rFonts w:cs="Arial"/>
          <w:bCs/>
          <w:sz w:val="22"/>
          <w:szCs w:val="22"/>
        </w:rPr>
      </w:pPr>
      <w:r w:rsidRPr="007C3B28">
        <w:rPr>
          <w:rFonts w:cs="Arial"/>
          <w:sz w:val="22"/>
          <w:szCs w:val="22"/>
          <w:u w:val="single"/>
        </w:rPr>
        <w:t>Considère en outre</w:t>
      </w:r>
      <w:r w:rsidRPr="007C3B28">
        <w:rPr>
          <w:rFonts w:cs="Arial"/>
          <w:sz w:val="22"/>
          <w:szCs w:val="22"/>
        </w:rPr>
        <w:t xml:space="preserve"> que, d’après les informations contenues dans la demande et dans le rapport périodique sur l’état de l'élément sur la Liste du patrimoine culturel immatériel nécessitant une sauvegarde urgente, le programme répond comme suit aux critères de sélection, en tant que bonne pratique de sauvegarde, tels qu’énoncés au paragraphe 7 des Directives opérationnelles :</w:t>
      </w:r>
    </w:p>
    <w:p w14:paraId="0BC43980" w14:textId="1940D90C" w:rsidR="004B1C87" w:rsidRPr="007C3B28" w:rsidRDefault="004B1C87" w:rsidP="004D23ED">
      <w:pPr>
        <w:tabs>
          <w:tab w:val="left" w:pos="1701"/>
          <w:tab w:val="left" w:pos="2268"/>
        </w:tabs>
        <w:spacing w:before="120" w:after="120"/>
        <w:ind w:left="1701" w:hanging="567"/>
        <w:jc w:val="both"/>
        <w:rPr>
          <w:rFonts w:cs="Arial"/>
          <w:bCs/>
          <w:sz w:val="22"/>
          <w:szCs w:val="22"/>
        </w:rPr>
      </w:pPr>
      <w:r w:rsidRPr="007C3B28">
        <w:rPr>
          <w:rFonts w:cs="Arial"/>
          <w:sz w:val="22"/>
          <w:szCs w:val="22"/>
        </w:rPr>
        <w:t>G.1 :</w:t>
      </w:r>
      <w:r w:rsidRPr="007C3B28">
        <w:rPr>
          <w:rFonts w:cs="Arial"/>
          <w:sz w:val="22"/>
          <w:szCs w:val="22"/>
        </w:rPr>
        <w:tab/>
        <w:t>Composé d</w:t>
      </w:r>
      <w:r w:rsidR="00CB41F3" w:rsidRPr="007C3B28">
        <w:rPr>
          <w:rFonts w:cs="Arial"/>
          <w:sz w:val="22"/>
          <w:szCs w:val="22"/>
        </w:rPr>
        <w:t>’</w:t>
      </w:r>
      <w:r w:rsidRPr="007C3B28">
        <w:rPr>
          <w:rFonts w:cs="Arial"/>
          <w:sz w:val="22"/>
          <w:szCs w:val="22"/>
        </w:rPr>
        <w:t>un ensemble de plans prévoyant différentes lignes d</w:t>
      </w:r>
      <w:r w:rsidR="00CB41F3" w:rsidRPr="007C3B28">
        <w:rPr>
          <w:rFonts w:cs="Arial"/>
          <w:sz w:val="22"/>
          <w:szCs w:val="22"/>
        </w:rPr>
        <w:t>’</w:t>
      </w:r>
      <w:r w:rsidRPr="007C3B28">
        <w:rPr>
          <w:rFonts w:cs="Arial"/>
          <w:sz w:val="22"/>
          <w:szCs w:val="22"/>
        </w:rPr>
        <w:t xml:space="preserve">action, le programme de sauvegarde </w:t>
      </w:r>
      <w:r w:rsidR="00771ABD" w:rsidRPr="007C3B28">
        <w:rPr>
          <w:rFonts w:cs="Arial"/>
          <w:sz w:val="22"/>
          <w:szCs w:val="22"/>
        </w:rPr>
        <w:t>pour</w:t>
      </w:r>
      <w:r w:rsidRPr="007C3B28">
        <w:rPr>
          <w:rFonts w:cs="Arial"/>
          <w:sz w:val="22"/>
          <w:szCs w:val="22"/>
        </w:rPr>
        <w:t xml:space="preserve"> Al</w:t>
      </w:r>
      <w:r w:rsidR="00CB41F3" w:rsidRPr="007C3B28">
        <w:rPr>
          <w:rFonts w:cs="Arial"/>
          <w:sz w:val="22"/>
          <w:szCs w:val="22"/>
        </w:rPr>
        <w:t> </w:t>
      </w:r>
      <w:proofErr w:type="spellStart"/>
      <w:r w:rsidRPr="007C3B28">
        <w:rPr>
          <w:rFonts w:cs="Arial"/>
          <w:sz w:val="22"/>
          <w:szCs w:val="22"/>
        </w:rPr>
        <w:t>Sadu</w:t>
      </w:r>
      <w:proofErr w:type="spellEnd"/>
      <w:r w:rsidRPr="007C3B28">
        <w:rPr>
          <w:rFonts w:cs="Arial"/>
          <w:sz w:val="22"/>
          <w:szCs w:val="22"/>
        </w:rPr>
        <w:t xml:space="preserve"> est conforme aux principes et aux objectifs de la Convention. Dans le domaine de la recherche et de la documentation, il convient de souligner la production de publications, de vidéos et de matériel pour les programmes scolaires, qui contribuent également à sensibiliser à la valeur de cet élément. La présence des tissus dans les festivals, les expositions et les circuits internationaux, entre autres, a renforcé leur visibilité. En ce qui concerne la transmission des connaissances pour la continuité de la pratique du tissage, la multiplication des centres de formation a été un atout majeur du programme de sauvegarde.</w:t>
      </w:r>
    </w:p>
    <w:p w14:paraId="38AD23D5" w14:textId="7224E24C" w:rsidR="004B1C87" w:rsidRPr="007C3B28" w:rsidRDefault="004B1C87" w:rsidP="004D23ED">
      <w:pPr>
        <w:tabs>
          <w:tab w:val="left" w:pos="1701"/>
          <w:tab w:val="left" w:pos="2268"/>
        </w:tabs>
        <w:spacing w:before="120" w:after="120"/>
        <w:ind w:left="1701" w:hanging="567"/>
        <w:jc w:val="both"/>
        <w:rPr>
          <w:rFonts w:cs="Arial"/>
          <w:bCs/>
          <w:sz w:val="22"/>
          <w:szCs w:val="22"/>
        </w:rPr>
      </w:pPr>
      <w:r w:rsidRPr="007C3B28">
        <w:rPr>
          <w:rFonts w:cs="Arial"/>
          <w:sz w:val="22"/>
          <w:szCs w:val="22"/>
        </w:rPr>
        <w:t>G.2 :</w:t>
      </w:r>
      <w:r w:rsidRPr="007C3B28">
        <w:rPr>
          <w:rFonts w:cs="Arial"/>
          <w:sz w:val="22"/>
          <w:szCs w:val="22"/>
        </w:rPr>
        <w:tab/>
        <w:t>Le dossier présente différents résultats qui mettent en évidence l</w:t>
      </w:r>
      <w:r w:rsidR="00CB41F3" w:rsidRPr="007C3B28">
        <w:rPr>
          <w:rFonts w:cs="Arial"/>
          <w:sz w:val="22"/>
          <w:szCs w:val="22"/>
        </w:rPr>
        <w:t>’</w:t>
      </w:r>
      <w:r w:rsidRPr="007C3B28">
        <w:rPr>
          <w:rFonts w:cs="Arial"/>
          <w:sz w:val="22"/>
          <w:szCs w:val="22"/>
        </w:rPr>
        <w:t>efficacité du programme de sauvegarde. L</w:t>
      </w:r>
      <w:r w:rsidR="00CB41F3" w:rsidRPr="007C3B28">
        <w:rPr>
          <w:rFonts w:cs="Arial"/>
          <w:sz w:val="22"/>
          <w:szCs w:val="22"/>
        </w:rPr>
        <w:t>’</w:t>
      </w:r>
      <w:r w:rsidRPr="007C3B28">
        <w:rPr>
          <w:rFonts w:cs="Arial"/>
          <w:sz w:val="22"/>
          <w:szCs w:val="22"/>
        </w:rPr>
        <w:t>un de ses principaux effets est l</w:t>
      </w:r>
      <w:r w:rsidR="00CB41F3" w:rsidRPr="007C3B28">
        <w:rPr>
          <w:rFonts w:cs="Arial"/>
          <w:sz w:val="22"/>
          <w:szCs w:val="22"/>
        </w:rPr>
        <w:t>’</w:t>
      </w:r>
      <w:r w:rsidRPr="007C3B28">
        <w:rPr>
          <w:rFonts w:cs="Arial"/>
          <w:sz w:val="22"/>
          <w:szCs w:val="22"/>
        </w:rPr>
        <w:t>augmentation du nombre de praticiens du tissage, qui est passé d</w:t>
      </w:r>
      <w:r w:rsidR="00CB41F3" w:rsidRPr="007C3B28">
        <w:rPr>
          <w:rFonts w:cs="Arial"/>
          <w:sz w:val="22"/>
          <w:szCs w:val="22"/>
        </w:rPr>
        <w:t>’</w:t>
      </w:r>
      <w:r w:rsidRPr="007C3B28">
        <w:rPr>
          <w:rFonts w:cs="Arial"/>
          <w:sz w:val="22"/>
          <w:szCs w:val="22"/>
        </w:rPr>
        <w:t>une activité limitée aux femmes âgées à une participation généralisée de personnes représentant différents groupes d</w:t>
      </w:r>
      <w:r w:rsidR="00CB41F3" w:rsidRPr="007C3B28">
        <w:rPr>
          <w:rFonts w:cs="Arial"/>
          <w:sz w:val="22"/>
          <w:szCs w:val="22"/>
        </w:rPr>
        <w:t>’</w:t>
      </w:r>
      <w:r w:rsidRPr="007C3B28">
        <w:rPr>
          <w:rFonts w:cs="Arial"/>
          <w:sz w:val="22"/>
          <w:szCs w:val="22"/>
        </w:rPr>
        <w:t>âge. La revitalisation et la diffusion réussies de cette pratique culturelle ont renforcé l</w:t>
      </w:r>
      <w:r w:rsidR="00F05DA7" w:rsidRPr="007C3B28">
        <w:rPr>
          <w:rFonts w:cs="Arial"/>
          <w:sz w:val="22"/>
          <w:szCs w:val="22"/>
        </w:rPr>
        <w:t>a viabilité de l</w:t>
      </w:r>
      <w:r w:rsidR="00CB41F3" w:rsidRPr="007C3B28">
        <w:rPr>
          <w:rFonts w:cs="Arial"/>
          <w:sz w:val="22"/>
          <w:szCs w:val="22"/>
        </w:rPr>
        <w:t>’</w:t>
      </w:r>
      <w:r w:rsidRPr="007C3B28">
        <w:rPr>
          <w:rFonts w:cs="Arial"/>
          <w:sz w:val="22"/>
          <w:szCs w:val="22"/>
        </w:rPr>
        <w:t>élément.</w:t>
      </w:r>
    </w:p>
    <w:p w14:paraId="3D47C7A3" w14:textId="32225F23" w:rsidR="004B1C87" w:rsidRPr="007C3B28" w:rsidRDefault="004B1C87" w:rsidP="004D23ED">
      <w:pPr>
        <w:tabs>
          <w:tab w:val="left" w:pos="1701"/>
          <w:tab w:val="left" w:pos="2268"/>
        </w:tabs>
        <w:spacing w:before="120" w:after="120"/>
        <w:ind w:left="1701" w:hanging="567"/>
        <w:jc w:val="both"/>
        <w:rPr>
          <w:rFonts w:cs="Arial"/>
          <w:bCs/>
          <w:sz w:val="22"/>
          <w:szCs w:val="22"/>
        </w:rPr>
      </w:pPr>
      <w:r w:rsidRPr="007C3B28">
        <w:rPr>
          <w:rFonts w:cs="Arial"/>
          <w:sz w:val="22"/>
          <w:szCs w:val="22"/>
        </w:rPr>
        <w:t>G.3 :</w:t>
      </w:r>
      <w:r w:rsidRPr="007C3B28">
        <w:rPr>
          <w:rFonts w:cs="Arial"/>
          <w:sz w:val="22"/>
          <w:szCs w:val="22"/>
        </w:rPr>
        <w:tab/>
      </w:r>
      <w:r w:rsidR="007E264D" w:rsidRPr="007C3B28">
        <w:rPr>
          <w:rFonts w:cs="Arial"/>
          <w:sz w:val="22"/>
          <w:szCs w:val="22"/>
        </w:rPr>
        <w:t>Il y a un</w:t>
      </w:r>
      <w:r w:rsidRPr="007C3B28">
        <w:rPr>
          <w:rFonts w:cs="Arial"/>
          <w:sz w:val="22"/>
          <w:szCs w:val="22"/>
        </w:rPr>
        <w:t xml:space="preserve"> nombre et </w:t>
      </w:r>
      <w:r w:rsidR="007E264D" w:rsidRPr="007C3B28">
        <w:rPr>
          <w:rFonts w:cs="Arial"/>
          <w:sz w:val="22"/>
          <w:szCs w:val="22"/>
        </w:rPr>
        <w:t>une</w:t>
      </w:r>
      <w:r w:rsidRPr="007C3B28">
        <w:rPr>
          <w:rFonts w:cs="Arial"/>
          <w:sz w:val="22"/>
          <w:szCs w:val="22"/>
        </w:rPr>
        <w:t xml:space="preserve"> diversité</w:t>
      </w:r>
      <w:r w:rsidR="007E264D" w:rsidRPr="007C3B28">
        <w:rPr>
          <w:rFonts w:cs="Arial"/>
          <w:sz w:val="22"/>
          <w:szCs w:val="22"/>
        </w:rPr>
        <w:t xml:space="preserve"> remarquables d’</w:t>
      </w:r>
      <w:r w:rsidRPr="007C3B28">
        <w:rPr>
          <w:rFonts w:cs="Arial"/>
          <w:sz w:val="22"/>
          <w:szCs w:val="22"/>
        </w:rPr>
        <w:t>acteurs impliqués dans ce programme</w:t>
      </w:r>
      <w:r w:rsidR="00771ABD" w:rsidRPr="007C3B28">
        <w:rPr>
          <w:rFonts w:cs="Arial"/>
          <w:sz w:val="22"/>
          <w:szCs w:val="22"/>
        </w:rPr>
        <w:t> </w:t>
      </w:r>
      <w:r w:rsidRPr="007C3B28">
        <w:rPr>
          <w:rFonts w:cs="Arial"/>
          <w:sz w:val="22"/>
          <w:szCs w:val="22"/>
        </w:rPr>
        <w:t>: artisans, familles, associations, clubs</w:t>
      </w:r>
      <w:r w:rsidR="007E264D" w:rsidRPr="007C3B28">
        <w:rPr>
          <w:rFonts w:cs="Arial"/>
          <w:sz w:val="22"/>
          <w:szCs w:val="22"/>
        </w:rPr>
        <w:t xml:space="preserve">, </w:t>
      </w:r>
      <w:r w:rsidRPr="007C3B28">
        <w:rPr>
          <w:rFonts w:cs="Arial"/>
          <w:sz w:val="22"/>
          <w:szCs w:val="22"/>
        </w:rPr>
        <w:t>commerçants, écoles, universités, organisations non gouvernementales et institutions publiques. Avec le soutien de l</w:t>
      </w:r>
      <w:r w:rsidR="00CB41F3" w:rsidRPr="007C3B28">
        <w:rPr>
          <w:rFonts w:cs="Arial"/>
          <w:sz w:val="22"/>
          <w:szCs w:val="22"/>
        </w:rPr>
        <w:t>’</w:t>
      </w:r>
      <w:r w:rsidRPr="007C3B28">
        <w:rPr>
          <w:rFonts w:cs="Arial"/>
          <w:sz w:val="22"/>
          <w:szCs w:val="22"/>
        </w:rPr>
        <w:t xml:space="preserve">État </w:t>
      </w:r>
      <w:r w:rsidR="007E264D" w:rsidRPr="007C3B28">
        <w:rPr>
          <w:rFonts w:cs="Arial"/>
          <w:sz w:val="22"/>
          <w:szCs w:val="22"/>
        </w:rPr>
        <w:t>partie soumissionnaire</w:t>
      </w:r>
      <w:r w:rsidRPr="007C3B28">
        <w:rPr>
          <w:rFonts w:cs="Arial"/>
          <w:sz w:val="22"/>
          <w:szCs w:val="22"/>
        </w:rPr>
        <w:t xml:space="preserve">, tous se sont engagés et ont coopéré aux efforts de sauvegarde du tissage Al </w:t>
      </w:r>
      <w:proofErr w:type="spellStart"/>
      <w:r w:rsidRPr="007C3B28">
        <w:rPr>
          <w:rFonts w:cs="Arial"/>
          <w:sz w:val="22"/>
          <w:szCs w:val="22"/>
        </w:rPr>
        <w:t>Sadu</w:t>
      </w:r>
      <w:proofErr w:type="spellEnd"/>
      <w:r w:rsidRPr="007C3B28">
        <w:rPr>
          <w:rFonts w:cs="Arial"/>
          <w:sz w:val="22"/>
          <w:szCs w:val="22"/>
        </w:rPr>
        <w:t>.</w:t>
      </w:r>
    </w:p>
    <w:p w14:paraId="5DA4BC67" w14:textId="5F51295E" w:rsidR="004B1C87" w:rsidRPr="007C3B28" w:rsidRDefault="004B1C87" w:rsidP="004D23ED">
      <w:pPr>
        <w:tabs>
          <w:tab w:val="left" w:pos="1701"/>
          <w:tab w:val="left" w:pos="2268"/>
        </w:tabs>
        <w:spacing w:before="120" w:after="120"/>
        <w:ind w:left="1701" w:hanging="567"/>
        <w:jc w:val="both"/>
        <w:rPr>
          <w:rFonts w:cs="Arial"/>
          <w:bCs/>
          <w:sz w:val="22"/>
          <w:szCs w:val="22"/>
        </w:rPr>
      </w:pPr>
      <w:r w:rsidRPr="007C3B28">
        <w:rPr>
          <w:rFonts w:cs="Arial"/>
          <w:sz w:val="22"/>
          <w:szCs w:val="22"/>
        </w:rPr>
        <w:lastRenderedPageBreak/>
        <w:t>G.4 :</w:t>
      </w:r>
      <w:r w:rsidRPr="007C3B28">
        <w:rPr>
          <w:rFonts w:cs="Arial"/>
          <w:sz w:val="22"/>
          <w:szCs w:val="22"/>
        </w:rPr>
        <w:tab/>
        <w:t>Les quatorze années de coopération dans l</w:t>
      </w:r>
      <w:r w:rsidR="00CB41F3" w:rsidRPr="007C3B28">
        <w:rPr>
          <w:rFonts w:cs="Arial"/>
          <w:sz w:val="22"/>
          <w:szCs w:val="22"/>
        </w:rPr>
        <w:t>’</w:t>
      </w:r>
      <w:r w:rsidRPr="007C3B28">
        <w:rPr>
          <w:rFonts w:cs="Arial"/>
          <w:sz w:val="22"/>
          <w:szCs w:val="22"/>
        </w:rPr>
        <w:t>élaboration et la mise en œuvre des mesures de sauvegarde démontrent que l</w:t>
      </w:r>
      <w:r w:rsidR="00CB41F3" w:rsidRPr="007C3B28">
        <w:rPr>
          <w:rFonts w:cs="Arial"/>
          <w:sz w:val="22"/>
          <w:szCs w:val="22"/>
        </w:rPr>
        <w:t>’</w:t>
      </w:r>
      <w:r w:rsidRPr="007C3B28">
        <w:rPr>
          <w:rFonts w:cs="Arial"/>
          <w:sz w:val="22"/>
          <w:szCs w:val="22"/>
        </w:rPr>
        <w:t xml:space="preserve">État </w:t>
      </w:r>
      <w:r w:rsidR="007E264D" w:rsidRPr="007C3B28">
        <w:rPr>
          <w:rFonts w:cs="Arial"/>
          <w:sz w:val="22"/>
          <w:szCs w:val="22"/>
        </w:rPr>
        <w:t xml:space="preserve">partie </w:t>
      </w:r>
      <w:r w:rsidRPr="007C3B28">
        <w:rPr>
          <w:rFonts w:cs="Arial"/>
          <w:sz w:val="22"/>
          <w:szCs w:val="22"/>
        </w:rPr>
        <w:t>soumissionnaire et ses institutions sont déterminés à poursuivre leurs efforts, mais aussi prêts à travailler en étroite collaboration avec les familles et les associations d</w:t>
      </w:r>
      <w:r w:rsidR="00CB41F3" w:rsidRPr="007C3B28">
        <w:rPr>
          <w:rFonts w:cs="Arial"/>
          <w:sz w:val="22"/>
          <w:szCs w:val="22"/>
        </w:rPr>
        <w:t>’</w:t>
      </w:r>
      <w:r w:rsidRPr="007C3B28">
        <w:rPr>
          <w:rFonts w:cs="Arial"/>
          <w:sz w:val="22"/>
          <w:szCs w:val="22"/>
        </w:rPr>
        <w:t xml:space="preserve">artisans pour assurer la continuité du tissage Al </w:t>
      </w:r>
      <w:proofErr w:type="spellStart"/>
      <w:r w:rsidRPr="007C3B28">
        <w:rPr>
          <w:rFonts w:cs="Arial"/>
          <w:sz w:val="22"/>
          <w:szCs w:val="22"/>
        </w:rPr>
        <w:t>Sadu</w:t>
      </w:r>
      <w:proofErr w:type="spellEnd"/>
      <w:r w:rsidRPr="007C3B28">
        <w:rPr>
          <w:rFonts w:cs="Arial"/>
          <w:sz w:val="22"/>
          <w:szCs w:val="22"/>
        </w:rPr>
        <w:t>. Leur capacité d</w:t>
      </w:r>
      <w:r w:rsidR="00CB41F3" w:rsidRPr="007C3B28">
        <w:rPr>
          <w:rFonts w:cs="Arial"/>
          <w:sz w:val="22"/>
          <w:szCs w:val="22"/>
        </w:rPr>
        <w:t>’</w:t>
      </w:r>
      <w:r w:rsidRPr="007C3B28">
        <w:rPr>
          <w:rFonts w:cs="Arial"/>
          <w:sz w:val="22"/>
          <w:szCs w:val="22"/>
        </w:rPr>
        <w:t>intégration et leur travail continu peuvent servir de source d</w:t>
      </w:r>
      <w:r w:rsidR="00CB41F3" w:rsidRPr="007C3B28">
        <w:rPr>
          <w:rFonts w:cs="Arial"/>
          <w:sz w:val="22"/>
          <w:szCs w:val="22"/>
        </w:rPr>
        <w:t>’</w:t>
      </w:r>
      <w:r w:rsidRPr="007C3B28">
        <w:rPr>
          <w:rFonts w:cs="Arial"/>
          <w:sz w:val="22"/>
          <w:szCs w:val="22"/>
        </w:rPr>
        <w:t>inspiration pour la sauvegarde et la mise en valeur du patrimoine culturel immatériel au niveau régional ou international.</w:t>
      </w:r>
    </w:p>
    <w:p w14:paraId="26BF7858" w14:textId="689DCCE3" w:rsidR="00F652D1" w:rsidRPr="007C3B28" w:rsidRDefault="004B1C87" w:rsidP="004D23ED">
      <w:pPr>
        <w:numPr>
          <w:ilvl w:val="0"/>
          <w:numId w:val="20"/>
        </w:numPr>
        <w:tabs>
          <w:tab w:val="left" w:pos="1134"/>
          <w:tab w:val="left" w:pos="1701"/>
          <w:tab w:val="left" w:pos="2268"/>
        </w:tabs>
        <w:spacing w:before="120" w:after="120"/>
        <w:ind w:left="1134" w:hanging="567"/>
        <w:jc w:val="both"/>
        <w:rPr>
          <w:rFonts w:cs="Arial"/>
          <w:bCs/>
          <w:sz w:val="22"/>
          <w:szCs w:val="22"/>
        </w:rPr>
      </w:pPr>
      <w:r w:rsidRPr="007C3B28">
        <w:rPr>
          <w:rFonts w:cs="Arial"/>
          <w:sz w:val="22"/>
          <w:szCs w:val="22"/>
          <w:u w:val="single"/>
        </w:rPr>
        <w:t>Décide de sélectionner</w:t>
      </w:r>
      <w:r w:rsidRPr="007C3B28">
        <w:rPr>
          <w:rFonts w:cs="Arial"/>
          <w:sz w:val="22"/>
          <w:szCs w:val="22"/>
        </w:rPr>
        <w:t xml:space="preserve"> </w:t>
      </w:r>
      <w:r w:rsidRPr="007C3B28">
        <w:rPr>
          <w:rFonts w:cs="Arial"/>
          <w:b/>
          <w:sz w:val="22"/>
          <w:szCs w:val="22"/>
        </w:rPr>
        <w:t xml:space="preserve">le programme de sauvegarde pour Al </w:t>
      </w:r>
      <w:proofErr w:type="spellStart"/>
      <w:r w:rsidRPr="007C3B28">
        <w:rPr>
          <w:rFonts w:cs="Arial"/>
          <w:b/>
          <w:sz w:val="22"/>
          <w:szCs w:val="22"/>
        </w:rPr>
        <w:t>Sadu</w:t>
      </w:r>
      <w:proofErr w:type="spellEnd"/>
      <w:r w:rsidRPr="007C3B28">
        <w:rPr>
          <w:rFonts w:cs="Arial"/>
          <w:b/>
          <w:sz w:val="22"/>
          <w:szCs w:val="22"/>
        </w:rPr>
        <w:t>, tissage traditionnel dans les Émirats arabes unis</w:t>
      </w:r>
      <w:r w:rsidRPr="007C3B28">
        <w:rPr>
          <w:rFonts w:cs="Arial"/>
          <w:sz w:val="22"/>
          <w:szCs w:val="22"/>
        </w:rPr>
        <w:t xml:space="preserve"> en tant que programme, projet ou activité reflétant le mieux les principes et objectifs de la Convention ;</w:t>
      </w:r>
    </w:p>
    <w:p w14:paraId="3323D9AE" w14:textId="77777777" w:rsidR="00DB3591" w:rsidRDefault="007E264D" w:rsidP="004D23ED">
      <w:pPr>
        <w:numPr>
          <w:ilvl w:val="0"/>
          <w:numId w:val="20"/>
        </w:numPr>
        <w:tabs>
          <w:tab w:val="left" w:pos="1134"/>
          <w:tab w:val="left" w:pos="1701"/>
          <w:tab w:val="left" w:pos="2268"/>
        </w:tabs>
        <w:spacing w:before="120" w:after="120"/>
        <w:ind w:left="1134" w:hanging="567"/>
        <w:jc w:val="both"/>
        <w:rPr>
          <w:rFonts w:cs="Arial"/>
          <w:bCs/>
          <w:sz w:val="22"/>
          <w:szCs w:val="22"/>
        </w:rPr>
      </w:pPr>
      <w:r w:rsidRPr="007C3B28">
        <w:rPr>
          <w:rFonts w:cs="Arial"/>
          <w:bCs/>
          <w:sz w:val="22"/>
          <w:szCs w:val="22"/>
          <w:u w:val="single"/>
        </w:rPr>
        <w:t>Félicite</w:t>
      </w:r>
      <w:r w:rsidRPr="007C3B28">
        <w:rPr>
          <w:rFonts w:cs="Arial"/>
          <w:bCs/>
          <w:sz w:val="22"/>
          <w:szCs w:val="22"/>
        </w:rPr>
        <w:t xml:space="preserve"> l'État partie pour son dossier bien préparé, qui peut servir de bon exemple pour sensibiliser les jeunes, susciter leur intérêt pour la pratique du patrimoine vivant et améliorer la transmission des traditions aux générations futures</w:t>
      </w:r>
      <w:r w:rsidR="00DB3591">
        <w:rPr>
          <w:rFonts w:cs="Arial"/>
          <w:bCs/>
          <w:sz w:val="22"/>
          <w:szCs w:val="22"/>
        </w:rPr>
        <w:t> ;</w:t>
      </w:r>
    </w:p>
    <w:p w14:paraId="61D3756B" w14:textId="3D600CD8" w:rsidR="007E264D" w:rsidRPr="00757D12" w:rsidRDefault="00DB3591" w:rsidP="004D23ED">
      <w:pPr>
        <w:numPr>
          <w:ilvl w:val="0"/>
          <w:numId w:val="20"/>
        </w:numPr>
        <w:tabs>
          <w:tab w:val="left" w:pos="1134"/>
          <w:tab w:val="left" w:pos="1701"/>
          <w:tab w:val="left" w:pos="2268"/>
        </w:tabs>
        <w:spacing w:before="120" w:after="120"/>
        <w:ind w:left="1134" w:hanging="567"/>
        <w:jc w:val="both"/>
        <w:rPr>
          <w:rFonts w:cs="Arial"/>
          <w:bCs/>
          <w:sz w:val="22"/>
          <w:szCs w:val="22"/>
        </w:rPr>
      </w:pPr>
      <w:r w:rsidRPr="00757D12">
        <w:rPr>
          <w:rFonts w:cs="Arial"/>
          <w:bCs/>
          <w:sz w:val="22"/>
          <w:szCs w:val="22"/>
          <w:u w:val="single"/>
        </w:rPr>
        <w:t>Encourage</w:t>
      </w:r>
      <w:r w:rsidRPr="00757D12">
        <w:rPr>
          <w:rFonts w:cs="Arial"/>
          <w:bCs/>
          <w:sz w:val="22"/>
          <w:szCs w:val="22"/>
        </w:rPr>
        <w:t xml:space="preserve"> l</w:t>
      </w:r>
      <w:r w:rsidR="00F810A4" w:rsidRPr="00757D12">
        <w:rPr>
          <w:rFonts w:cs="Arial"/>
          <w:bCs/>
          <w:sz w:val="22"/>
          <w:szCs w:val="22"/>
        </w:rPr>
        <w:t>’</w:t>
      </w:r>
      <w:r w:rsidRPr="00757D12">
        <w:rPr>
          <w:rFonts w:cs="Arial"/>
          <w:bCs/>
          <w:sz w:val="22"/>
          <w:szCs w:val="22"/>
        </w:rPr>
        <w:t xml:space="preserve">État partie et les communautés concernées à partager les expériences </w:t>
      </w:r>
      <w:r w:rsidR="00261888" w:rsidRPr="00757D12">
        <w:rPr>
          <w:rFonts w:cs="Arial"/>
          <w:bCs/>
          <w:sz w:val="22"/>
          <w:szCs w:val="22"/>
        </w:rPr>
        <w:t xml:space="preserve">associées </w:t>
      </w:r>
      <w:r w:rsidRPr="00757D12">
        <w:rPr>
          <w:rFonts w:cs="Arial"/>
          <w:bCs/>
          <w:sz w:val="22"/>
          <w:szCs w:val="22"/>
        </w:rPr>
        <w:t xml:space="preserve">acquises en matière de sauvegarde, </w:t>
      </w:r>
      <w:r w:rsidR="00261888" w:rsidRPr="00757D12">
        <w:rPr>
          <w:rFonts w:cs="Arial"/>
          <w:bCs/>
          <w:sz w:val="22"/>
          <w:szCs w:val="22"/>
        </w:rPr>
        <w:t>y compris</w:t>
      </w:r>
      <w:r w:rsidRPr="00757D12">
        <w:rPr>
          <w:rFonts w:cs="Arial"/>
          <w:bCs/>
          <w:sz w:val="22"/>
          <w:szCs w:val="22"/>
        </w:rPr>
        <w:t xml:space="preserve"> par le biais de la plateforme en ligne qui sera mise en place dans le cadre d</w:t>
      </w:r>
      <w:r w:rsidR="00F810A4" w:rsidRPr="00757D12">
        <w:rPr>
          <w:rFonts w:cs="Arial"/>
          <w:bCs/>
          <w:sz w:val="22"/>
          <w:szCs w:val="22"/>
        </w:rPr>
        <w:t>’</w:t>
      </w:r>
      <w:r w:rsidRPr="00757D12">
        <w:rPr>
          <w:rFonts w:cs="Arial"/>
          <w:bCs/>
          <w:sz w:val="22"/>
          <w:szCs w:val="22"/>
        </w:rPr>
        <w:t>une mise en œuvre plus large de l</w:t>
      </w:r>
      <w:r w:rsidR="00F810A4" w:rsidRPr="00757D12">
        <w:rPr>
          <w:rFonts w:cs="Arial"/>
          <w:bCs/>
          <w:sz w:val="22"/>
          <w:szCs w:val="22"/>
        </w:rPr>
        <w:t>’</w:t>
      </w:r>
      <w:r w:rsidRPr="00757D12">
        <w:rPr>
          <w:rFonts w:cs="Arial"/>
          <w:bCs/>
          <w:sz w:val="22"/>
          <w:szCs w:val="22"/>
        </w:rPr>
        <w:t>article</w:t>
      </w:r>
      <w:r w:rsidR="009E318C">
        <w:rPr>
          <w:rFonts w:cs="Arial"/>
          <w:bCs/>
          <w:sz w:val="22"/>
          <w:szCs w:val="22"/>
        </w:rPr>
        <w:t> </w:t>
      </w:r>
      <w:r w:rsidRPr="00757D12">
        <w:rPr>
          <w:rFonts w:cs="Arial"/>
          <w:bCs/>
          <w:sz w:val="22"/>
          <w:szCs w:val="22"/>
        </w:rPr>
        <w:t>18 de la Convention.</w:t>
      </w:r>
    </w:p>
    <w:p w14:paraId="6376C4FE" w14:textId="56DFF3E6" w:rsidR="00344A03" w:rsidRPr="007C3B28" w:rsidRDefault="00344A03" w:rsidP="004D23ED">
      <w:pPr>
        <w:pStyle w:val="Heading2"/>
        <w:tabs>
          <w:tab w:val="clear" w:pos="567"/>
        </w:tabs>
        <w:ind w:left="1134" w:hanging="567"/>
        <w:rPr>
          <w:b/>
          <w:bCs/>
          <w:sz w:val="22"/>
          <w:szCs w:val="22"/>
        </w:rPr>
      </w:pPr>
      <w:bookmarkStart w:id="5" w:name="_PROJET_DE_DÉCISION_1"/>
      <w:bookmarkEnd w:id="5"/>
      <w:r w:rsidRPr="007C3B28">
        <w:rPr>
          <w:b/>
          <w:sz w:val="22"/>
          <w:szCs w:val="22"/>
        </w:rPr>
        <w:t xml:space="preserve">PROJET DE DÉCISION 20.COM </w:t>
      </w:r>
      <w:proofErr w:type="gramStart"/>
      <w:r w:rsidRPr="007C3B28">
        <w:rPr>
          <w:b/>
          <w:sz w:val="22"/>
          <w:szCs w:val="22"/>
        </w:rPr>
        <w:t>7.c.</w:t>
      </w:r>
      <w:proofErr w:type="gramEnd"/>
      <w:r w:rsidRPr="007C3B28">
        <w:rPr>
          <w:b/>
          <w:sz w:val="22"/>
          <w:szCs w:val="22"/>
        </w:rPr>
        <w:t>2</w:t>
      </w:r>
      <w:r w:rsidR="00EA3F4A">
        <w:rPr>
          <w:b/>
          <w:sz w:val="22"/>
          <w:szCs w:val="22"/>
        </w:rPr>
        <w:tab/>
      </w:r>
      <w:r w:rsidR="00EA3F4A" w:rsidRPr="007E364B">
        <w:rPr>
          <w:noProof/>
          <w:color w:val="0000FF"/>
          <w:szCs w:val="22"/>
        </w:rPr>
        <w:drawing>
          <wp:inline distT="0" distB="0" distL="0" distR="0" wp14:anchorId="689C9B64" wp14:editId="5B022730">
            <wp:extent cx="104775" cy="104775"/>
            <wp:effectExtent l="0" t="0" r="9525" b="9525"/>
            <wp:docPr id="677684096" name="Picture 67768409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E7022AE" w14:textId="738E0E63" w:rsidR="00344A03" w:rsidRPr="007C3B28" w:rsidRDefault="00344A03" w:rsidP="004D23ED">
      <w:pPr>
        <w:pStyle w:val="NoSpacing"/>
        <w:keepNext/>
        <w:tabs>
          <w:tab w:val="left" w:pos="1134"/>
          <w:tab w:val="left" w:pos="1701"/>
          <w:tab w:val="left" w:pos="2268"/>
        </w:tabs>
        <w:spacing w:before="120" w:after="120"/>
        <w:ind w:left="1134" w:hanging="567"/>
        <w:jc w:val="both"/>
        <w:rPr>
          <w:rFonts w:ascii="Arial" w:hAnsi="Arial" w:cs="Arial"/>
        </w:rPr>
      </w:pPr>
      <w:r w:rsidRPr="007C3B28">
        <w:rPr>
          <w:rFonts w:ascii="Arial" w:hAnsi="Arial" w:cs="Arial"/>
        </w:rPr>
        <w:t>Le Comité</w:t>
      </w:r>
      <w:r w:rsidR="00DD17B2" w:rsidRPr="007C3B28">
        <w:rPr>
          <w:rFonts w:ascii="Arial" w:hAnsi="Arial" w:cs="Arial"/>
        </w:rPr>
        <w:t>,</w:t>
      </w:r>
    </w:p>
    <w:p w14:paraId="0EEF6852" w14:textId="4AE44DDB" w:rsidR="00344A03" w:rsidRPr="007C3B28" w:rsidRDefault="00344A03" w:rsidP="004D23ED">
      <w:pPr>
        <w:numPr>
          <w:ilvl w:val="0"/>
          <w:numId w:val="21"/>
        </w:numPr>
        <w:tabs>
          <w:tab w:val="left" w:pos="1134"/>
          <w:tab w:val="left" w:pos="1701"/>
          <w:tab w:val="left" w:pos="2268"/>
        </w:tabs>
        <w:spacing w:before="120" w:after="120"/>
        <w:ind w:left="1134" w:hanging="567"/>
        <w:jc w:val="both"/>
        <w:rPr>
          <w:rFonts w:cs="Arial"/>
          <w:sz w:val="22"/>
          <w:szCs w:val="22"/>
        </w:rPr>
      </w:pPr>
      <w:r w:rsidRPr="007C3B28">
        <w:rPr>
          <w:rFonts w:cs="Arial"/>
          <w:sz w:val="22"/>
          <w:szCs w:val="22"/>
          <w:u w:val="single"/>
        </w:rPr>
        <w:t>Rappelant</w:t>
      </w:r>
      <w:r w:rsidRPr="007C3B28">
        <w:rPr>
          <w:rFonts w:cs="Arial"/>
          <w:sz w:val="22"/>
          <w:szCs w:val="22"/>
        </w:rPr>
        <w:t xml:space="preserve"> l’inscription initiale du « </w:t>
      </w:r>
      <w:proofErr w:type="spellStart"/>
      <w:r w:rsidRPr="007C3B28">
        <w:rPr>
          <w:rFonts w:cs="Arial"/>
          <w:sz w:val="22"/>
          <w:szCs w:val="22"/>
        </w:rPr>
        <w:t>Yimakan</w:t>
      </w:r>
      <w:proofErr w:type="spellEnd"/>
      <w:r w:rsidRPr="007C3B28">
        <w:rPr>
          <w:rFonts w:cs="Arial"/>
          <w:sz w:val="22"/>
          <w:szCs w:val="22"/>
        </w:rPr>
        <w:t xml:space="preserve">, les récits oraux des </w:t>
      </w:r>
      <w:proofErr w:type="spellStart"/>
      <w:r w:rsidRPr="007C3B28">
        <w:rPr>
          <w:rFonts w:cs="Arial"/>
          <w:sz w:val="22"/>
          <w:szCs w:val="22"/>
        </w:rPr>
        <w:t>Hezhen</w:t>
      </w:r>
      <w:proofErr w:type="spellEnd"/>
      <w:r w:rsidRPr="007C3B28">
        <w:rPr>
          <w:rFonts w:cs="Arial"/>
          <w:sz w:val="22"/>
          <w:szCs w:val="22"/>
        </w:rPr>
        <w:t xml:space="preserve"> » sur la Liste du patrimoine culturel immatériel nécessitant une sauvegarde urgente par la sixième session du Comité en 2011 (décision </w:t>
      </w:r>
      <w:hyperlink r:id="rId14" w:history="1">
        <w:r w:rsidRPr="009E318C">
          <w:rPr>
            <w:rStyle w:val="Hyperlink"/>
            <w:rFonts w:cs="Arial"/>
            <w:sz w:val="22"/>
            <w:szCs w:val="22"/>
          </w:rPr>
          <w:t>6.COM 8.6</w:t>
        </w:r>
      </w:hyperlink>
      <w:r w:rsidRPr="007C3B28">
        <w:rPr>
          <w:rFonts w:cs="Arial"/>
          <w:sz w:val="22"/>
          <w:szCs w:val="22"/>
        </w:rPr>
        <w:t xml:space="preserve">), </w:t>
      </w:r>
    </w:p>
    <w:p w14:paraId="1181D5FA" w14:textId="70E99A83" w:rsidR="00344A03" w:rsidRPr="007C3B28" w:rsidRDefault="00344A03" w:rsidP="004D23ED">
      <w:pPr>
        <w:numPr>
          <w:ilvl w:val="0"/>
          <w:numId w:val="21"/>
        </w:numPr>
        <w:tabs>
          <w:tab w:val="left" w:pos="1134"/>
          <w:tab w:val="left" w:pos="1701"/>
          <w:tab w:val="left" w:pos="2268"/>
        </w:tabs>
        <w:spacing w:before="120" w:after="120"/>
        <w:ind w:left="1134" w:hanging="567"/>
        <w:jc w:val="both"/>
        <w:rPr>
          <w:rFonts w:cs="Arial"/>
          <w:sz w:val="22"/>
          <w:szCs w:val="22"/>
        </w:rPr>
      </w:pPr>
      <w:r w:rsidRPr="007C3B28">
        <w:rPr>
          <w:rFonts w:cs="Arial"/>
          <w:sz w:val="22"/>
          <w:szCs w:val="22"/>
          <w:u w:val="single"/>
        </w:rPr>
        <w:t>Rappelant en outre</w:t>
      </w:r>
      <w:r w:rsidRPr="007C3B28">
        <w:rPr>
          <w:rFonts w:cs="Arial"/>
          <w:sz w:val="22"/>
          <w:szCs w:val="22"/>
        </w:rPr>
        <w:t xml:space="preserve"> le dernier rapport périodique soumis par la Chine sur l’état de cet élément examiné par la dix-neuvième session du Comité en 2024 (décision </w:t>
      </w:r>
      <w:hyperlink r:id="rId15" w:history="1">
        <w:r w:rsidRPr="009E318C">
          <w:rPr>
            <w:rStyle w:val="Hyperlink"/>
            <w:rFonts w:cs="Arial"/>
            <w:sz w:val="22"/>
            <w:szCs w:val="22"/>
          </w:rPr>
          <w:t>19.COM</w:t>
        </w:r>
        <w:r w:rsidR="008A06BB" w:rsidRPr="009E318C">
          <w:rPr>
            <w:rStyle w:val="Hyperlink"/>
            <w:rFonts w:cs="Arial"/>
            <w:sz w:val="22"/>
            <w:szCs w:val="22"/>
          </w:rPr>
          <w:t> </w:t>
        </w:r>
        <w:proofErr w:type="gramStart"/>
        <w:r w:rsidRPr="009E318C">
          <w:rPr>
            <w:rStyle w:val="Hyperlink"/>
            <w:rFonts w:cs="Arial"/>
            <w:sz w:val="22"/>
            <w:szCs w:val="22"/>
          </w:rPr>
          <w:t>6.a.</w:t>
        </w:r>
        <w:proofErr w:type="gramEnd"/>
        <w:r w:rsidRPr="009E318C">
          <w:rPr>
            <w:rStyle w:val="Hyperlink"/>
            <w:rFonts w:cs="Arial"/>
            <w:sz w:val="22"/>
            <w:szCs w:val="22"/>
          </w:rPr>
          <w:t>9</w:t>
        </w:r>
      </w:hyperlink>
      <w:r w:rsidRPr="007C3B28">
        <w:rPr>
          <w:rFonts w:cs="Arial"/>
          <w:sz w:val="22"/>
          <w:szCs w:val="22"/>
        </w:rPr>
        <w:t xml:space="preserve">), </w:t>
      </w:r>
    </w:p>
    <w:p w14:paraId="3CFA9689" w14:textId="7507383A" w:rsidR="00344A03" w:rsidRPr="007C3B28" w:rsidRDefault="001C77C8" w:rsidP="004D23ED">
      <w:pPr>
        <w:numPr>
          <w:ilvl w:val="0"/>
          <w:numId w:val="21"/>
        </w:numPr>
        <w:tabs>
          <w:tab w:val="left" w:pos="1134"/>
          <w:tab w:val="left" w:pos="1701"/>
          <w:tab w:val="left" w:pos="2268"/>
        </w:tabs>
        <w:spacing w:before="120" w:after="120"/>
        <w:ind w:left="1134" w:hanging="567"/>
        <w:jc w:val="both"/>
        <w:rPr>
          <w:rFonts w:cs="Arial"/>
          <w:sz w:val="22"/>
          <w:szCs w:val="22"/>
        </w:rPr>
      </w:pPr>
      <w:r w:rsidRPr="007C3B28">
        <w:rPr>
          <w:rFonts w:cs="Arial"/>
          <w:sz w:val="22"/>
          <w:szCs w:val="22"/>
          <w:u w:val="single"/>
        </w:rPr>
        <w:t>Prend note</w:t>
      </w:r>
      <w:r w:rsidRPr="007C3B28">
        <w:rPr>
          <w:rFonts w:cs="Arial"/>
          <w:sz w:val="22"/>
          <w:szCs w:val="22"/>
        </w:rPr>
        <w:t xml:space="preserve"> de la demande présentée par la Chine de transférer </w:t>
      </w:r>
      <w:r w:rsidRPr="007C3B28">
        <w:rPr>
          <w:rFonts w:cs="Arial"/>
          <w:b/>
          <w:sz w:val="22"/>
          <w:szCs w:val="22"/>
        </w:rPr>
        <w:t xml:space="preserve">le </w:t>
      </w:r>
      <w:proofErr w:type="spellStart"/>
      <w:r w:rsidRPr="007C3B28">
        <w:rPr>
          <w:rFonts w:cs="Arial"/>
          <w:b/>
          <w:sz w:val="22"/>
          <w:szCs w:val="22"/>
        </w:rPr>
        <w:t>Yimakan</w:t>
      </w:r>
      <w:proofErr w:type="spellEnd"/>
      <w:r w:rsidRPr="007C3B28">
        <w:rPr>
          <w:rFonts w:cs="Arial"/>
          <w:b/>
          <w:sz w:val="22"/>
          <w:szCs w:val="22"/>
        </w:rPr>
        <w:t xml:space="preserve">, les récits oraux des </w:t>
      </w:r>
      <w:proofErr w:type="spellStart"/>
      <w:r w:rsidRPr="007C3B28">
        <w:rPr>
          <w:rFonts w:cs="Arial"/>
          <w:b/>
          <w:sz w:val="22"/>
          <w:szCs w:val="22"/>
        </w:rPr>
        <w:t>Hezhen</w:t>
      </w:r>
      <w:proofErr w:type="spellEnd"/>
      <w:r w:rsidRPr="007C3B28">
        <w:rPr>
          <w:rFonts w:cs="Arial"/>
          <w:sz w:val="22"/>
          <w:szCs w:val="22"/>
        </w:rPr>
        <w:t xml:space="preserve"> (n° 02224) de la Liste du patrimoine culturel immatériel nécessitant une sauvegarde urgente à la Liste représentative du patrimoine culturel immatériel de l’humanité :</w:t>
      </w:r>
    </w:p>
    <w:p w14:paraId="38BCCF07" w14:textId="09B174F6" w:rsidR="001C77C8" w:rsidRPr="007C3B28" w:rsidRDefault="00344A03" w:rsidP="004D23ED">
      <w:pPr>
        <w:tabs>
          <w:tab w:val="left" w:pos="1134"/>
          <w:tab w:val="left" w:pos="1701"/>
          <w:tab w:val="left" w:pos="2268"/>
        </w:tabs>
        <w:spacing w:before="120" w:after="120"/>
        <w:ind w:left="1134"/>
        <w:jc w:val="both"/>
        <w:rPr>
          <w:rFonts w:cs="Arial"/>
          <w:noProof/>
          <w:sz w:val="22"/>
          <w:szCs w:val="22"/>
        </w:rPr>
      </w:pPr>
      <w:r w:rsidRPr="007C3B28">
        <w:rPr>
          <w:rFonts w:cs="Arial"/>
          <w:sz w:val="22"/>
          <w:szCs w:val="22"/>
        </w:rPr>
        <w:t xml:space="preserve">Les </w:t>
      </w:r>
      <w:r w:rsidR="00F5625D" w:rsidRPr="007C3B28">
        <w:rPr>
          <w:rFonts w:cs="Arial"/>
          <w:sz w:val="22"/>
          <w:szCs w:val="22"/>
        </w:rPr>
        <w:t xml:space="preserve">récits oraux </w:t>
      </w:r>
      <w:proofErr w:type="spellStart"/>
      <w:r w:rsidRPr="007C3B28">
        <w:rPr>
          <w:rFonts w:cs="Arial"/>
          <w:sz w:val="22"/>
          <w:szCs w:val="22"/>
        </w:rPr>
        <w:t>Yimakan</w:t>
      </w:r>
      <w:proofErr w:type="spellEnd"/>
      <w:r w:rsidRPr="007C3B28">
        <w:rPr>
          <w:rFonts w:cs="Arial"/>
          <w:sz w:val="22"/>
          <w:szCs w:val="22"/>
        </w:rPr>
        <w:t xml:space="preserve"> sont un </w:t>
      </w:r>
      <w:r w:rsidR="008A06BB" w:rsidRPr="007C3B28">
        <w:rPr>
          <w:rFonts w:cs="Arial"/>
          <w:sz w:val="22"/>
          <w:szCs w:val="22"/>
        </w:rPr>
        <w:t>patrimoine</w:t>
      </w:r>
      <w:r w:rsidRPr="007C3B28">
        <w:rPr>
          <w:rFonts w:cs="Arial"/>
          <w:sz w:val="22"/>
          <w:szCs w:val="22"/>
        </w:rPr>
        <w:t xml:space="preserve"> oral qui transmet l’histoire ethnique, les actes héroïques, le mode de vie, les coutumes et la morale de ses praticiens. Les récits décrivent des alliances tribales et des batailles, y compris la défaite de monstres et d’envahisseurs par des héros locaux. Les artistes improvisent des histoires, alternant entre la parole et le chant (sans accompagnement instrumental) et utilisant des mélodies variées pour représenter différents personnages et intrigues. Ils se forment généralement dans le cadre d’une relation maître-apprenti au sein de leurs propres clans et familles, bien qu’aujourd’hui les </w:t>
      </w:r>
      <w:r w:rsidR="00F5625D" w:rsidRPr="007C3B28">
        <w:rPr>
          <w:rFonts w:cs="Arial"/>
          <w:sz w:val="22"/>
          <w:szCs w:val="22"/>
        </w:rPr>
        <w:t xml:space="preserve">personnes extérieures </w:t>
      </w:r>
      <w:r w:rsidRPr="007C3B28">
        <w:rPr>
          <w:rFonts w:cs="Arial"/>
          <w:sz w:val="22"/>
          <w:szCs w:val="22"/>
        </w:rPr>
        <w:t>soient de plus en plus souvent accepté</w:t>
      </w:r>
      <w:r w:rsidR="008A06BB" w:rsidRPr="007C3B28">
        <w:rPr>
          <w:rFonts w:cs="Arial"/>
          <w:sz w:val="22"/>
          <w:szCs w:val="22"/>
        </w:rPr>
        <w:t>e</w:t>
      </w:r>
      <w:r w:rsidRPr="007C3B28">
        <w:rPr>
          <w:rFonts w:cs="Arial"/>
          <w:sz w:val="22"/>
          <w:szCs w:val="22"/>
        </w:rPr>
        <w:t xml:space="preserve">s comme apprentis. </w:t>
      </w:r>
    </w:p>
    <w:p w14:paraId="750E0C2F" w14:textId="77777777" w:rsidR="001C77C8" w:rsidRPr="007C3B28" w:rsidRDefault="001C77C8" w:rsidP="004D23ED">
      <w:pPr>
        <w:pStyle w:val="ListParagraph"/>
        <w:numPr>
          <w:ilvl w:val="0"/>
          <w:numId w:val="21"/>
        </w:numPr>
        <w:spacing w:after="120"/>
        <w:ind w:left="1134" w:hanging="567"/>
        <w:jc w:val="both"/>
        <w:rPr>
          <w:rFonts w:ascii="Arial" w:hAnsi="Arial" w:cs="Arial"/>
          <w:bCs/>
          <w:sz w:val="22"/>
          <w:szCs w:val="22"/>
        </w:rPr>
      </w:pPr>
      <w:r w:rsidRPr="007C3B28">
        <w:rPr>
          <w:rFonts w:ascii="Arial" w:hAnsi="Arial" w:cs="Arial"/>
          <w:sz w:val="22"/>
          <w:szCs w:val="22"/>
          <w:u w:val="single"/>
          <w:lang w:eastAsia="fr-FR"/>
        </w:rPr>
        <w:t>Considère</w:t>
      </w:r>
      <w:r w:rsidRPr="007C3B28">
        <w:rPr>
          <w:rFonts w:ascii="Arial" w:hAnsi="Arial" w:cs="Arial"/>
          <w:sz w:val="22"/>
          <w:szCs w:val="22"/>
          <w:lang w:eastAsia="fr-FR"/>
        </w:rPr>
        <w:t xml:space="preserve"> que, d’après les informations contenues dans la demande et le rapport périodique sur l’état de l’élément sur la Liste du patrimoine culturel immatériel nécessitant une sauvegarde urgente, la demande satisfait aux critères suivants pour inscription sur la Liste représentative du patrimoine culturel immatériel de l’humanité :</w:t>
      </w:r>
    </w:p>
    <w:p w14:paraId="36F66ACD" w14:textId="3FF8E7CF" w:rsidR="001C77C8" w:rsidRPr="007C3B28" w:rsidRDefault="001C77C8"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R.1 :</w:t>
      </w:r>
      <w:r w:rsidRPr="007C3B28">
        <w:rPr>
          <w:rFonts w:ascii="Arial" w:hAnsi="Arial" w:cs="Arial"/>
          <w:sz w:val="22"/>
          <w:szCs w:val="22"/>
        </w:rPr>
        <w:tab/>
      </w:r>
      <w:r w:rsidR="007A198E" w:rsidRPr="007C3B28">
        <w:rPr>
          <w:rFonts w:ascii="Arial" w:hAnsi="Arial" w:cs="Arial"/>
          <w:sz w:val="22"/>
          <w:szCs w:val="22"/>
        </w:rPr>
        <w:t>L’</w:t>
      </w:r>
      <w:r w:rsidRPr="007C3B28">
        <w:rPr>
          <w:rFonts w:ascii="Arial" w:hAnsi="Arial" w:cs="Arial"/>
          <w:sz w:val="22"/>
          <w:szCs w:val="22"/>
        </w:rPr>
        <w:t xml:space="preserve">élément a été inscrit pour la première fois sur la </w:t>
      </w:r>
      <w:r w:rsidR="00F5625D" w:rsidRPr="007C3B28">
        <w:rPr>
          <w:rFonts w:ascii="Arial" w:hAnsi="Arial" w:cs="Arial"/>
          <w:sz w:val="22"/>
          <w:szCs w:val="22"/>
        </w:rPr>
        <w:t>L</w:t>
      </w:r>
      <w:r w:rsidRPr="007C3B28">
        <w:rPr>
          <w:rFonts w:ascii="Arial" w:hAnsi="Arial" w:cs="Arial"/>
          <w:sz w:val="22"/>
          <w:szCs w:val="22"/>
        </w:rPr>
        <w:t xml:space="preserve">iste du patrimoine culturel immatériel nécessitant une sauvegarde urgente en 2011, la langue maternelle </w:t>
      </w:r>
      <w:proofErr w:type="spellStart"/>
      <w:r w:rsidRPr="007C3B28">
        <w:rPr>
          <w:rFonts w:ascii="Arial" w:hAnsi="Arial" w:cs="Arial"/>
          <w:sz w:val="22"/>
          <w:szCs w:val="22"/>
        </w:rPr>
        <w:t>Hezhen</w:t>
      </w:r>
      <w:proofErr w:type="spellEnd"/>
      <w:r w:rsidRPr="007C3B28">
        <w:rPr>
          <w:rFonts w:ascii="Arial" w:hAnsi="Arial" w:cs="Arial"/>
          <w:sz w:val="22"/>
          <w:szCs w:val="22"/>
        </w:rPr>
        <w:t xml:space="preserve"> étant menacée du fait de l</w:t>
      </w:r>
      <w:r w:rsidR="00CB41F3" w:rsidRPr="007C3B28">
        <w:rPr>
          <w:rFonts w:ascii="Arial" w:hAnsi="Arial" w:cs="Arial"/>
          <w:sz w:val="22"/>
          <w:szCs w:val="22"/>
        </w:rPr>
        <w:t>’</w:t>
      </w:r>
      <w:r w:rsidRPr="007C3B28">
        <w:rPr>
          <w:rFonts w:ascii="Arial" w:hAnsi="Arial" w:cs="Arial"/>
          <w:sz w:val="22"/>
          <w:szCs w:val="22"/>
        </w:rPr>
        <w:t>accélération de la modernisation et la standardisation de l</w:t>
      </w:r>
      <w:r w:rsidR="00CB41F3" w:rsidRPr="007C3B28">
        <w:rPr>
          <w:rFonts w:ascii="Arial" w:hAnsi="Arial" w:cs="Arial"/>
          <w:sz w:val="22"/>
          <w:szCs w:val="22"/>
        </w:rPr>
        <w:t>’</w:t>
      </w:r>
      <w:r w:rsidRPr="007C3B28">
        <w:rPr>
          <w:rFonts w:ascii="Arial" w:hAnsi="Arial" w:cs="Arial"/>
          <w:sz w:val="22"/>
          <w:szCs w:val="22"/>
        </w:rPr>
        <w:t>éducation scolaire, et seuls les anciens étant capables de parler leur langue maternelle. Aujourd</w:t>
      </w:r>
      <w:r w:rsidR="00CB41F3" w:rsidRPr="007C3B28">
        <w:rPr>
          <w:rFonts w:ascii="Arial" w:hAnsi="Arial" w:cs="Arial"/>
          <w:sz w:val="22"/>
          <w:szCs w:val="22"/>
        </w:rPr>
        <w:t>’</w:t>
      </w:r>
      <w:r w:rsidRPr="007C3B28">
        <w:rPr>
          <w:rFonts w:ascii="Arial" w:hAnsi="Arial" w:cs="Arial"/>
          <w:sz w:val="22"/>
          <w:szCs w:val="22"/>
        </w:rPr>
        <w:t>hui, grâce à une meilleure connaissance de l</w:t>
      </w:r>
      <w:r w:rsidR="00CB41F3" w:rsidRPr="007C3B28">
        <w:rPr>
          <w:rFonts w:ascii="Arial" w:hAnsi="Arial" w:cs="Arial"/>
          <w:sz w:val="22"/>
          <w:szCs w:val="22"/>
        </w:rPr>
        <w:t>’</w:t>
      </w:r>
      <w:r w:rsidRPr="007C3B28">
        <w:rPr>
          <w:rFonts w:ascii="Arial" w:hAnsi="Arial" w:cs="Arial"/>
          <w:sz w:val="22"/>
          <w:szCs w:val="22"/>
        </w:rPr>
        <w:t>élément et de ses significations culturelles, un nombre grandissant de femmes s</w:t>
      </w:r>
      <w:r w:rsidR="00CB41F3" w:rsidRPr="007C3B28">
        <w:rPr>
          <w:rFonts w:ascii="Arial" w:hAnsi="Arial" w:cs="Arial"/>
          <w:sz w:val="22"/>
          <w:szCs w:val="22"/>
        </w:rPr>
        <w:t>’</w:t>
      </w:r>
      <w:r w:rsidRPr="007C3B28">
        <w:rPr>
          <w:rFonts w:ascii="Arial" w:hAnsi="Arial" w:cs="Arial"/>
          <w:sz w:val="22"/>
          <w:szCs w:val="22"/>
        </w:rPr>
        <w:t xml:space="preserve">adonnent à cette pratique, contribuant ainsi grandement à sa transmission. Les connaissances </w:t>
      </w:r>
      <w:r w:rsidR="00F5625D" w:rsidRPr="007C3B28">
        <w:rPr>
          <w:rFonts w:ascii="Arial" w:hAnsi="Arial" w:cs="Arial"/>
          <w:sz w:val="22"/>
          <w:szCs w:val="22"/>
        </w:rPr>
        <w:t>associées</w:t>
      </w:r>
      <w:r w:rsidRPr="007C3B28">
        <w:rPr>
          <w:rFonts w:ascii="Arial" w:hAnsi="Arial" w:cs="Arial"/>
          <w:sz w:val="22"/>
          <w:szCs w:val="22"/>
        </w:rPr>
        <w:t xml:space="preserve">, y compris la langue locale, en tant que vecteur de </w:t>
      </w:r>
      <w:r w:rsidRPr="007C3B28">
        <w:rPr>
          <w:rFonts w:ascii="Arial" w:hAnsi="Arial" w:cs="Arial"/>
          <w:sz w:val="22"/>
          <w:szCs w:val="22"/>
        </w:rPr>
        <w:lastRenderedPageBreak/>
        <w:t>l</w:t>
      </w:r>
      <w:r w:rsidR="00CB41F3" w:rsidRPr="007C3B28">
        <w:rPr>
          <w:rFonts w:ascii="Arial" w:hAnsi="Arial" w:cs="Arial"/>
          <w:sz w:val="22"/>
          <w:szCs w:val="22"/>
        </w:rPr>
        <w:t>’</w:t>
      </w:r>
      <w:r w:rsidRPr="007C3B28">
        <w:rPr>
          <w:rFonts w:ascii="Arial" w:hAnsi="Arial" w:cs="Arial"/>
          <w:sz w:val="22"/>
          <w:szCs w:val="22"/>
        </w:rPr>
        <w:t>élément, ont également été intégrées dans l</w:t>
      </w:r>
      <w:r w:rsidR="00CB41F3" w:rsidRPr="007C3B28">
        <w:rPr>
          <w:rFonts w:ascii="Arial" w:hAnsi="Arial" w:cs="Arial"/>
          <w:sz w:val="22"/>
          <w:szCs w:val="22"/>
        </w:rPr>
        <w:t>’</w:t>
      </w:r>
      <w:r w:rsidRPr="007C3B28">
        <w:rPr>
          <w:rFonts w:ascii="Arial" w:hAnsi="Arial" w:cs="Arial"/>
          <w:sz w:val="22"/>
          <w:szCs w:val="22"/>
        </w:rPr>
        <w:t>éducation formelle, ce qui a stimulé l</w:t>
      </w:r>
      <w:r w:rsidR="00CB41F3" w:rsidRPr="007C3B28">
        <w:rPr>
          <w:rFonts w:ascii="Arial" w:hAnsi="Arial" w:cs="Arial"/>
          <w:sz w:val="22"/>
          <w:szCs w:val="22"/>
        </w:rPr>
        <w:t>’</w:t>
      </w:r>
      <w:r w:rsidRPr="007C3B28">
        <w:rPr>
          <w:rFonts w:ascii="Arial" w:hAnsi="Arial" w:cs="Arial"/>
          <w:sz w:val="22"/>
          <w:szCs w:val="22"/>
        </w:rPr>
        <w:t xml:space="preserve">intérêt des jeunes. Les communautés </w:t>
      </w:r>
      <w:r w:rsidR="00F5625D" w:rsidRPr="007C3B28">
        <w:rPr>
          <w:rFonts w:ascii="Arial" w:hAnsi="Arial" w:cs="Arial"/>
          <w:sz w:val="22"/>
          <w:szCs w:val="22"/>
        </w:rPr>
        <w:t xml:space="preserve">praticiennes </w:t>
      </w:r>
      <w:r w:rsidRPr="007C3B28">
        <w:rPr>
          <w:rFonts w:ascii="Arial" w:hAnsi="Arial" w:cs="Arial"/>
          <w:sz w:val="22"/>
          <w:szCs w:val="22"/>
        </w:rPr>
        <w:t>n</w:t>
      </w:r>
      <w:r w:rsidR="00CB41F3" w:rsidRPr="007C3B28">
        <w:rPr>
          <w:rFonts w:ascii="Arial" w:hAnsi="Arial" w:cs="Arial"/>
          <w:sz w:val="22"/>
          <w:szCs w:val="22"/>
        </w:rPr>
        <w:t>’</w:t>
      </w:r>
      <w:r w:rsidRPr="007C3B28">
        <w:rPr>
          <w:rFonts w:ascii="Arial" w:hAnsi="Arial" w:cs="Arial"/>
          <w:sz w:val="22"/>
          <w:szCs w:val="22"/>
        </w:rPr>
        <w:t>ayant pas de système d</w:t>
      </w:r>
      <w:r w:rsidR="00CB41F3" w:rsidRPr="007C3B28">
        <w:rPr>
          <w:rFonts w:ascii="Arial" w:hAnsi="Arial" w:cs="Arial"/>
          <w:sz w:val="22"/>
          <w:szCs w:val="22"/>
        </w:rPr>
        <w:t>’</w:t>
      </w:r>
      <w:r w:rsidRPr="007C3B28">
        <w:rPr>
          <w:rFonts w:ascii="Arial" w:hAnsi="Arial" w:cs="Arial"/>
          <w:sz w:val="22"/>
          <w:szCs w:val="22"/>
        </w:rPr>
        <w:t xml:space="preserve">écriture, le </w:t>
      </w:r>
      <w:proofErr w:type="spellStart"/>
      <w:r w:rsidRPr="007C3B28">
        <w:rPr>
          <w:rFonts w:ascii="Arial" w:hAnsi="Arial" w:cs="Arial"/>
          <w:sz w:val="22"/>
          <w:szCs w:val="22"/>
        </w:rPr>
        <w:t>Yimakan</w:t>
      </w:r>
      <w:proofErr w:type="spellEnd"/>
      <w:r w:rsidRPr="007C3B28">
        <w:rPr>
          <w:rFonts w:ascii="Arial" w:hAnsi="Arial" w:cs="Arial"/>
          <w:sz w:val="22"/>
          <w:szCs w:val="22"/>
        </w:rPr>
        <w:t xml:space="preserve"> joue un rôle essentiel dans la préservation de leur langue maternelle, de leur religion, de leurs croyances, de leur folklore et de leurs coutumes. Outre l</w:t>
      </w:r>
      <w:r w:rsidR="00CB41F3" w:rsidRPr="007C3B28">
        <w:rPr>
          <w:rFonts w:ascii="Arial" w:hAnsi="Arial" w:cs="Arial"/>
          <w:sz w:val="22"/>
          <w:szCs w:val="22"/>
        </w:rPr>
        <w:t>’</w:t>
      </w:r>
      <w:r w:rsidRPr="007C3B28">
        <w:rPr>
          <w:rFonts w:ascii="Arial" w:hAnsi="Arial" w:cs="Arial"/>
          <w:sz w:val="22"/>
          <w:szCs w:val="22"/>
        </w:rPr>
        <w:t xml:space="preserve">éducation et le divertissement, les </w:t>
      </w:r>
      <w:r w:rsidR="00F5625D" w:rsidRPr="007C3B28">
        <w:rPr>
          <w:rFonts w:ascii="Arial" w:hAnsi="Arial" w:cs="Arial"/>
          <w:sz w:val="22"/>
          <w:szCs w:val="22"/>
        </w:rPr>
        <w:t xml:space="preserve">récits oraux </w:t>
      </w:r>
      <w:proofErr w:type="spellStart"/>
      <w:r w:rsidRPr="007C3B28">
        <w:rPr>
          <w:rFonts w:ascii="Arial" w:hAnsi="Arial" w:cs="Arial"/>
          <w:sz w:val="22"/>
          <w:szCs w:val="22"/>
        </w:rPr>
        <w:t>Yimakan</w:t>
      </w:r>
      <w:proofErr w:type="spellEnd"/>
      <w:r w:rsidRPr="007C3B28">
        <w:rPr>
          <w:rFonts w:ascii="Arial" w:hAnsi="Arial" w:cs="Arial"/>
          <w:sz w:val="22"/>
          <w:szCs w:val="22"/>
        </w:rPr>
        <w:t xml:space="preserve"> favorisent l</w:t>
      </w:r>
      <w:r w:rsidR="00CB41F3" w:rsidRPr="007C3B28">
        <w:rPr>
          <w:rFonts w:ascii="Arial" w:hAnsi="Arial" w:cs="Arial"/>
          <w:sz w:val="22"/>
          <w:szCs w:val="22"/>
        </w:rPr>
        <w:t>’</w:t>
      </w:r>
      <w:r w:rsidRPr="007C3B28">
        <w:rPr>
          <w:rFonts w:ascii="Arial" w:hAnsi="Arial" w:cs="Arial"/>
          <w:sz w:val="22"/>
          <w:szCs w:val="22"/>
        </w:rPr>
        <w:t xml:space="preserve">identité culturelle et le sentiment de continuité au sein des communautés. </w:t>
      </w:r>
      <w:r w:rsidR="00F5625D" w:rsidRPr="007C3B28">
        <w:rPr>
          <w:rFonts w:ascii="Arial" w:hAnsi="Arial" w:cs="Arial"/>
          <w:sz w:val="22"/>
          <w:szCs w:val="22"/>
        </w:rPr>
        <w:t xml:space="preserve">Il </w:t>
      </w:r>
      <w:r w:rsidRPr="007C3B28">
        <w:rPr>
          <w:rFonts w:ascii="Arial" w:hAnsi="Arial" w:cs="Arial"/>
          <w:sz w:val="22"/>
          <w:szCs w:val="22"/>
        </w:rPr>
        <w:t xml:space="preserve">permet de préserver la mémoire collective et de promouvoir le dialogue et le respect mutuel. </w:t>
      </w:r>
      <w:r w:rsidR="00F5625D" w:rsidRPr="007C3B28">
        <w:rPr>
          <w:rFonts w:ascii="Arial" w:hAnsi="Arial" w:cs="Arial"/>
          <w:sz w:val="22"/>
          <w:szCs w:val="22"/>
        </w:rPr>
        <w:t xml:space="preserve">Il </w:t>
      </w:r>
      <w:r w:rsidRPr="007C3B28">
        <w:rPr>
          <w:rFonts w:ascii="Arial" w:hAnsi="Arial" w:cs="Arial"/>
          <w:sz w:val="22"/>
          <w:szCs w:val="22"/>
        </w:rPr>
        <w:t>transmet en outre les valeurs de justice, de bravoure et de gentillesse, tout en promouvant la liberté, la cohésion sociale et l</w:t>
      </w:r>
      <w:r w:rsidR="00CB41F3" w:rsidRPr="007C3B28">
        <w:rPr>
          <w:rFonts w:ascii="Arial" w:hAnsi="Arial" w:cs="Arial"/>
          <w:sz w:val="22"/>
          <w:szCs w:val="22"/>
        </w:rPr>
        <w:t>’</w:t>
      </w:r>
      <w:r w:rsidRPr="007C3B28">
        <w:rPr>
          <w:rFonts w:ascii="Arial" w:hAnsi="Arial" w:cs="Arial"/>
          <w:sz w:val="22"/>
          <w:szCs w:val="22"/>
        </w:rPr>
        <w:t>harmonie entre les hommes et la nature.</w:t>
      </w:r>
    </w:p>
    <w:p w14:paraId="266BFA8A" w14:textId="2C978C07" w:rsidR="001C77C8" w:rsidRPr="007C3B28" w:rsidRDefault="001C77C8"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R.2 :</w:t>
      </w:r>
      <w:r w:rsidRPr="007C3B28">
        <w:rPr>
          <w:rFonts w:ascii="Arial" w:hAnsi="Arial" w:cs="Arial"/>
          <w:sz w:val="22"/>
          <w:szCs w:val="22"/>
        </w:rPr>
        <w:tab/>
      </w:r>
      <w:r w:rsidR="00F5625D" w:rsidRPr="007C3B28">
        <w:rPr>
          <w:rFonts w:ascii="Arial" w:hAnsi="Arial" w:cs="Arial"/>
          <w:sz w:val="22"/>
          <w:szCs w:val="22"/>
        </w:rPr>
        <w:t>L</w:t>
      </w:r>
      <w:r w:rsidR="008A06BB" w:rsidRPr="007C3B28">
        <w:rPr>
          <w:rFonts w:ascii="Arial" w:hAnsi="Arial" w:cs="Arial"/>
          <w:sz w:val="22"/>
          <w:szCs w:val="22"/>
        </w:rPr>
        <w:t>’</w:t>
      </w:r>
      <w:r w:rsidR="00F5625D" w:rsidRPr="007C3B28">
        <w:rPr>
          <w:rFonts w:ascii="Arial" w:hAnsi="Arial" w:cs="Arial"/>
          <w:sz w:val="22"/>
          <w:szCs w:val="22"/>
        </w:rPr>
        <w:t>inscription de cet élément contribuerait à sensibiliser à l</w:t>
      </w:r>
      <w:r w:rsidR="007A198E" w:rsidRPr="007C3B28">
        <w:rPr>
          <w:rFonts w:ascii="Arial" w:hAnsi="Arial" w:cs="Arial"/>
          <w:sz w:val="22"/>
          <w:szCs w:val="22"/>
        </w:rPr>
        <w:t>’</w:t>
      </w:r>
      <w:r w:rsidR="00F5625D" w:rsidRPr="007C3B28">
        <w:rPr>
          <w:rFonts w:ascii="Arial" w:hAnsi="Arial" w:cs="Arial"/>
          <w:sz w:val="22"/>
          <w:szCs w:val="22"/>
        </w:rPr>
        <w:t xml:space="preserve">importance et à la diversité du patrimoine culturel immatériel dans la communauté </w:t>
      </w:r>
      <w:proofErr w:type="spellStart"/>
      <w:r w:rsidR="00F5625D" w:rsidRPr="007C3B28">
        <w:rPr>
          <w:rFonts w:ascii="Arial" w:hAnsi="Arial" w:cs="Arial"/>
          <w:sz w:val="22"/>
          <w:szCs w:val="22"/>
        </w:rPr>
        <w:t>Hezhen</w:t>
      </w:r>
      <w:proofErr w:type="spellEnd"/>
      <w:r w:rsidR="00F5625D" w:rsidRPr="007C3B28">
        <w:rPr>
          <w:rFonts w:ascii="Arial" w:hAnsi="Arial" w:cs="Arial"/>
          <w:sz w:val="22"/>
          <w:szCs w:val="22"/>
        </w:rPr>
        <w:t>. En outre, f</w:t>
      </w:r>
      <w:r w:rsidRPr="007C3B28">
        <w:rPr>
          <w:rFonts w:ascii="Arial" w:hAnsi="Arial" w:cs="Arial"/>
          <w:sz w:val="22"/>
          <w:szCs w:val="22"/>
        </w:rPr>
        <w:t>ortement lié aux valeurs morales de la communauté, cet élément contribue à promouvoir une éducation de qualité, l</w:t>
      </w:r>
      <w:r w:rsidR="00CB41F3" w:rsidRPr="007C3B28">
        <w:rPr>
          <w:rFonts w:ascii="Arial" w:hAnsi="Arial" w:cs="Arial"/>
          <w:sz w:val="22"/>
          <w:szCs w:val="22"/>
        </w:rPr>
        <w:t>’</w:t>
      </w:r>
      <w:r w:rsidRPr="007C3B28">
        <w:rPr>
          <w:rFonts w:ascii="Arial" w:hAnsi="Arial" w:cs="Arial"/>
          <w:sz w:val="22"/>
          <w:szCs w:val="22"/>
        </w:rPr>
        <w:t xml:space="preserve">égalité des </w:t>
      </w:r>
      <w:r w:rsidR="00F5625D" w:rsidRPr="007C3B28">
        <w:rPr>
          <w:rFonts w:ascii="Arial" w:hAnsi="Arial" w:cs="Arial"/>
          <w:sz w:val="22"/>
          <w:szCs w:val="22"/>
        </w:rPr>
        <w:t>genres</w:t>
      </w:r>
      <w:r w:rsidRPr="007C3B28">
        <w:rPr>
          <w:rFonts w:ascii="Arial" w:hAnsi="Arial" w:cs="Arial"/>
          <w:sz w:val="22"/>
          <w:szCs w:val="22"/>
        </w:rPr>
        <w:t xml:space="preserve">, la paix et la cohésion sociale. Le fait que les connaissances associées, y compris </w:t>
      </w:r>
      <w:r w:rsidR="008A06BB" w:rsidRPr="007C3B28">
        <w:rPr>
          <w:rFonts w:ascii="Arial" w:hAnsi="Arial" w:cs="Arial"/>
          <w:sz w:val="22"/>
          <w:szCs w:val="22"/>
        </w:rPr>
        <w:t>la langue des</w:t>
      </w:r>
      <w:r w:rsidRPr="007C3B28">
        <w:rPr>
          <w:rFonts w:ascii="Arial" w:hAnsi="Arial" w:cs="Arial"/>
          <w:sz w:val="22"/>
          <w:szCs w:val="22"/>
        </w:rPr>
        <w:t xml:space="preserve"> </w:t>
      </w:r>
      <w:proofErr w:type="spellStart"/>
      <w:r w:rsidRPr="007C3B28">
        <w:rPr>
          <w:rFonts w:ascii="Arial" w:hAnsi="Arial" w:cs="Arial"/>
          <w:sz w:val="22"/>
          <w:szCs w:val="22"/>
        </w:rPr>
        <w:t>Hez</w:t>
      </w:r>
      <w:r w:rsidR="00CE6F95" w:rsidRPr="007C3B28">
        <w:rPr>
          <w:rFonts w:ascii="Arial" w:hAnsi="Arial" w:cs="Arial"/>
          <w:sz w:val="22"/>
          <w:szCs w:val="22"/>
        </w:rPr>
        <w:t>h</w:t>
      </w:r>
      <w:r w:rsidRPr="007C3B28">
        <w:rPr>
          <w:rFonts w:ascii="Arial" w:hAnsi="Arial" w:cs="Arial"/>
          <w:sz w:val="22"/>
          <w:szCs w:val="22"/>
        </w:rPr>
        <w:t>en</w:t>
      </w:r>
      <w:proofErr w:type="spellEnd"/>
      <w:r w:rsidRPr="007C3B28">
        <w:rPr>
          <w:rFonts w:ascii="Arial" w:hAnsi="Arial" w:cs="Arial"/>
          <w:sz w:val="22"/>
          <w:szCs w:val="22"/>
        </w:rPr>
        <w:t xml:space="preserve"> dans lequel elles sont transmises, soient intégrées dans l</w:t>
      </w:r>
      <w:r w:rsidR="00CB41F3" w:rsidRPr="007C3B28">
        <w:rPr>
          <w:rFonts w:ascii="Arial" w:hAnsi="Arial" w:cs="Arial"/>
          <w:sz w:val="22"/>
          <w:szCs w:val="22"/>
        </w:rPr>
        <w:t>’</w:t>
      </w:r>
      <w:r w:rsidRPr="007C3B28">
        <w:rPr>
          <w:rFonts w:ascii="Arial" w:hAnsi="Arial" w:cs="Arial"/>
          <w:sz w:val="22"/>
          <w:szCs w:val="22"/>
        </w:rPr>
        <w:t>éducation formelle favorise la compréhension de l</w:t>
      </w:r>
      <w:r w:rsidR="00CB41F3" w:rsidRPr="007C3B28">
        <w:rPr>
          <w:rFonts w:ascii="Arial" w:hAnsi="Arial" w:cs="Arial"/>
          <w:sz w:val="22"/>
          <w:szCs w:val="22"/>
        </w:rPr>
        <w:t>’</w:t>
      </w:r>
      <w:r w:rsidRPr="007C3B28">
        <w:rPr>
          <w:rFonts w:ascii="Arial" w:hAnsi="Arial" w:cs="Arial"/>
          <w:sz w:val="22"/>
          <w:szCs w:val="22"/>
        </w:rPr>
        <w:t>élément par les jeunes et leur participation à sa sauvegarde. De même, le rôle croissant des femmes rend cet élément culturel plus inclusif.</w:t>
      </w:r>
    </w:p>
    <w:p w14:paraId="17773F3A" w14:textId="05B8F056" w:rsidR="001C77C8" w:rsidRPr="007C3B28" w:rsidRDefault="001C77C8"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R.3 :</w:t>
      </w:r>
      <w:r w:rsidRPr="007C3B28">
        <w:rPr>
          <w:rFonts w:ascii="Arial" w:hAnsi="Arial" w:cs="Arial"/>
          <w:sz w:val="22"/>
          <w:szCs w:val="22"/>
        </w:rPr>
        <w:tab/>
        <w:t>De nombreuses mesures de sauvegarde dans les domaines de la recherche, de la documentation, de la transmission des connaissances, de la préservation et de la promotion de la visibilité de l</w:t>
      </w:r>
      <w:r w:rsidR="00CB41F3" w:rsidRPr="007C3B28">
        <w:rPr>
          <w:rFonts w:ascii="Arial" w:hAnsi="Arial" w:cs="Arial"/>
          <w:sz w:val="22"/>
          <w:szCs w:val="22"/>
        </w:rPr>
        <w:t>’</w:t>
      </w:r>
      <w:r w:rsidRPr="007C3B28">
        <w:rPr>
          <w:rFonts w:ascii="Arial" w:hAnsi="Arial" w:cs="Arial"/>
          <w:sz w:val="22"/>
          <w:szCs w:val="22"/>
        </w:rPr>
        <w:t>élément ont été mises en œuvre avec succès par l</w:t>
      </w:r>
      <w:r w:rsidR="00CB41F3" w:rsidRPr="007C3B28">
        <w:rPr>
          <w:rFonts w:ascii="Arial" w:hAnsi="Arial" w:cs="Arial"/>
          <w:sz w:val="22"/>
          <w:szCs w:val="22"/>
        </w:rPr>
        <w:t>’</w:t>
      </w:r>
      <w:r w:rsidRPr="007C3B28">
        <w:rPr>
          <w:rFonts w:ascii="Arial" w:hAnsi="Arial" w:cs="Arial"/>
          <w:sz w:val="22"/>
          <w:szCs w:val="22"/>
        </w:rPr>
        <w:t xml:space="preserve">État partie et les </w:t>
      </w:r>
      <w:r w:rsidR="00146002" w:rsidRPr="007C3B28">
        <w:rPr>
          <w:rFonts w:ascii="Arial" w:hAnsi="Arial" w:cs="Arial"/>
          <w:sz w:val="22"/>
          <w:szCs w:val="22"/>
        </w:rPr>
        <w:t>détenteurs</w:t>
      </w:r>
      <w:r w:rsidRPr="007C3B28">
        <w:rPr>
          <w:rFonts w:ascii="Arial" w:hAnsi="Arial" w:cs="Arial"/>
          <w:sz w:val="22"/>
          <w:szCs w:val="22"/>
        </w:rPr>
        <w:t>. Parmi les éléments clés des mesures de sauvegarde adoptées, figurent l</w:t>
      </w:r>
      <w:r w:rsidR="00CB41F3" w:rsidRPr="007C3B28">
        <w:rPr>
          <w:rFonts w:ascii="Arial" w:hAnsi="Arial" w:cs="Arial"/>
          <w:sz w:val="22"/>
          <w:szCs w:val="22"/>
        </w:rPr>
        <w:t>’</w:t>
      </w:r>
      <w:r w:rsidRPr="007C3B28">
        <w:rPr>
          <w:rFonts w:ascii="Arial" w:hAnsi="Arial" w:cs="Arial"/>
          <w:sz w:val="22"/>
          <w:szCs w:val="22"/>
        </w:rPr>
        <w:t>intégration de l</w:t>
      </w:r>
      <w:r w:rsidR="00CB41F3" w:rsidRPr="007C3B28">
        <w:rPr>
          <w:rFonts w:ascii="Arial" w:hAnsi="Arial" w:cs="Arial"/>
          <w:sz w:val="22"/>
          <w:szCs w:val="22"/>
        </w:rPr>
        <w:t>’</w:t>
      </w:r>
      <w:r w:rsidRPr="007C3B28">
        <w:rPr>
          <w:rFonts w:ascii="Arial" w:hAnsi="Arial" w:cs="Arial"/>
          <w:sz w:val="22"/>
          <w:szCs w:val="22"/>
        </w:rPr>
        <w:t>élément dans l</w:t>
      </w:r>
      <w:r w:rsidR="00CB41F3" w:rsidRPr="007C3B28">
        <w:rPr>
          <w:rFonts w:ascii="Arial" w:hAnsi="Arial" w:cs="Arial"/>
          <w:sz w:val="22"/>
          <w:szCs w:val="22"/>
        </w:rPr>
        <w:t>’</w:t>
      </w:r>
      <w:r w:rsidRPr="007C3B28">
        <w:rPr>
          <w:rFonts w:ascii="Arial" w:hAnsi="Arial" w:cs="Arial"/>
          <w:sz w:val="22"/>
          <w:szCs w:val="22"/>
        </w:rPr>
        <w:t xml:space="preserve">éducation formelle et le renforcement du patrimoine linguistique </w:t>
      </w:r>
      <w:proofErr w:type="spellStart"/>
      <w:r w:rsidRPr="007C3B28">
        <w:rPr>
          <w:rFonts w:ascii="Arial" w:hAnsi="Arial" w:cs="Arial"/>
          <w:sz w:val="22"/>
          <w:szCs w:val="22"/>
        </w:rPr>
        <w:t>Hezhen</w:t>
      </w:r>
      <w:proofErr w:type="spellEnd"/>
      <w:r w:rsidRPr="007C3B28">
        <w:rPr>
          <w:rFonts w:ascii="Arial" w:hAnsi="Arial" w:cs="Arial"/>
          <w:sz w:val="22"/>
          <w:szCs w:val="22"/>
        </w:rPr>
        <w:t>.</w:t>
      </w:r>
    </w:p>
    <w:p w14:paraId="54C1454C" w14:textId="6F1FF95D" w:rsidR="001C77C8" w:rsidRPr="007C3B28" w:rsidRDefault="001C77C8"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R.4 :</w:t>
      </w:r>
      <w:r w:rsidRPr="007C3B28">
        <w:rPr>
          <w:rFonts w:ascii="Arial" w:hAnsi="Arial" w:cs="Arial"/>
          <w:sz w:val="22"/>
          <w:szCs w:val="22"/>
        </w:rPr>
        <w:tab/>
        <w:t xml:space="preserve">Les communautés </w:t>
      </w:r>
      <w:proofErr w:type="spellStart"/>
      <w:r w:rsidRPr="007C3B28">
        <w:rPr>
          <w:rFonts w:ascii="Arial" w:hAnsi="Arial" w:cs="Arial"/>
          <w:sz w:val="22"/>
          <w:szCs w:val="22"/>
        </w:rPr>
        <w:t>Hezhen</w:t>
      </w:r>
      <w:proofErr w:type="spellEnd"/>
      <w:r w:rsidRPr="007C3B28">
        <w:rPr>
          <w:rFonts w:ascii="Arial" w:hAnsi="Arial" w:cs="Arial"/>
          <w:sz w:val="22"/>
          <w:szCs w:val="22"/>
        </w:rPr>
        <w:t xml:space="preserve">, y compris les représentants des </w:t>
      </w:r>
      <w:r w:rsidR="00CE6F95" w:rsidRPr="007C3B28">
        <w:rPr>
          <w:rFonts w:ascii="Arial" w:hAnsi="Arial" w:cs="Arial"/>
          <w:sz w:val="22"/>
          <w:szCs w:val="22"/>
        </w:rPr>
        <w:t xml:space="preserve">détenteurs </w:t>
      </w:r>
      <w:r w:rsidRPr="007C3B28">
        <w:rPr>
          <w:rFonts w:ascii="Arial" w:hAnsi="Arial" w:cs="Arial"/>
          <w:sz w:val="22"/>
          <w:szCs w:val="22"/>
        </w:rPr>
        <w:t xml:space="preserve">et </w:t>
      </w:r>
      <w:r w:rsidR="00CE6F95" w:rsidRPr="007C3B28">
        <w:rPr>
          <w:rFonts w:ascii="Arial" w:hAnsi="Arial" w:cs="Arial"/>
          <w:sz w:val="22"/>
          <w:szCs w:val="22"/>
        </w:rPr>
        <w:t>d</w:t>
      </w:r>
      <w:r w:rsidRPr="007C3B28">
        <w:rPr>
          <w:rFonts w:ascii="Arial" w:hAnsi="Arial" w:cs="Arial"/>
          <w:sz w:val="22"/>
          <w:szCs w:val="22"/>
        </w:rPr>
        <w:t>es praticiens</w:t>
      </w:r>
      <w:r w:rsidR="00CE6F95" w:rsidRPr="007C3B28">
        <w:rPr>
          <w:rFonts w:ascii="Arial" w:hAnsi="Arial" w:cs="Arial"/>
          <w:sz w:val="22"/>
          <w:szCs w:val="22"/>
        </w:rPr>
        <w:t xml:space="preserve"> locaux</w:t>
      </w:r>
      <w:r w:rsidRPr="007C3B28">
        <w:rPr>
          <w:rFonts w:ascii="Arial" w:hAnsi="Arial" w:cs="Arial"/>
          <w:sz w:val="22"/>
          <w:szCs w:val="22"/>
        </w:rPr>
        <w:t>, ont exprimé leur consentement libre, préalable et éclairé à la demande de transfert. La participation active de ces communautés aux efforts de sauvegarde et le désir exprimé de transfert soulignent leur engagement continu en faveur de la pratique et de sa reconnaissance.</w:t>
      </w:r>
    </w:p>
    <w:p w14:paraId="344D6432" w14:textId="3FF6F0B7" w:rsidR="001C77C8" w:rsidRPr="007C3B28" w:rsidRDefault="001C77C8" w:rsidP="004D23ED">
      <w:pPr>
        <w:pStyle w:val="ListParagraph"/>
        <w:spacing w:after="120"/>
        <w:ind w:left="1701" w:hanging="567"/>
        <w:jc w:val="both"/>
        <w:rPr>
          <w:rFonts w:ascii="Arial" w:hAnsi="Arial" w:cs="Arial"/>
          <w:bCs/>
          <w:sz w:val="22"/>
          <w:szCs w:val="22"/>
        </w:rPr>
      </w:pPr>
      <w:r w:rsidRPr="007C3B28">
        <w:rPr>
          <w:rFonts w:ascii="Arial" w:hAnsi="Arial" w:cs="Arial"/>
          <w:sz w:val="22"/>
          <w:szCs w:val="22"/>
        </w:rPr>
        <w:t>R.5 :</w:t>
      </w:r>
      <w:r w:rsidRPr="007C3B28">
        <w:rPr>
          <w:rFonts w:ascii="Arial" w:hAnsi="Arial" w:cs="Arial"/>
          <w:sz w:val="22"/>
          <w:szCs w:val="22"/>
        </w:rPr>
        <w:tab/>
      </w:r>
      <w:r w:rsidR="007A198E" w:rsidRPr="007C3B28">
        <w:rPr>
          <w:rFonts w:ascii="Arial" w:hAnsi="Arial" w:cs="Arial"/>
          <w:sz w:val="22"/>
          <w:szCs w:val="22"/>
        </w:rPr>
        <w:t>L’</w:t>
      </w:r>
      <w:r w:rsidR="00CE6F95" w:rsidRPr="007C3B28">
        <w:rPr>
          <w:rFonts w:ascii="Arial" w:hAnsi="Arial" w:cs="Arial"/>
          <w:sz w:val="22"/>
          <w:szCs w:val="22"/>
        </w:rPr>
        <w:t xml:space="preserve">élément a été ajouté à la liste du patrimoine culturel immatériel de la province du Heilongjiang et à la première liste du patrimoine culturel immatériel national en 2006. Ces listes sont gérées respectivement par la province du Heilongjiang et par le Département du patrimoine culturel immatériel du </w:t>
      </w:r>
      <w:proofErr w:type="gramStart"/>
      <w:r w:rsidR="00CE6F95" w:rsidRPr="007C3B28">
        <w:rPr>
          <w:rFonts w:ascii="Arial" w:hAnsi="Arial" w:cs="Arial"/>
          <w:sz w:val="22"/>
          <w:szCs w:val="22"/>
        </w:rPr>
        <w:t>Ministère de la culture</w:t>
      </w:r>
      <w:proofErr w:type="gramEnd"/>
      <w:r w:rsidR="00CE6F95" w:rsidRPr="007C3B28">
        <w:rPr>
          <w:rFonts w:ascii="Arial" w:hAnsi="Arial" w:cs="Arial"/>
          <w:sz w:val="22"/>
          <w:szCs w:val="22"/>
        </w:rPr>
        <w:t xml:space="preserve"> de la République populaire de Chine, et sont régulièrement mises à jour avec la participation et l</w:t>
      </w:r>
      <w:r w:rsidR="007A198E" w:rsidRPr="007C3B28">
        <w:rPr>
          <w:rFonts w:ascii="Arial" w:hAnsi="Arial" w:cs="Arial"/>
          <w:sz w:val="22"/>
          <w:szCs w:val="22"/>
        </w:rPr>
        <w:t>’</w:t>
      </w:r>
      <w:r w:rsidR="00CE6F95" w:rsidRPr="007C3B28">
        <w:rPr>
          <w:rFonts w:ascii="Arial" w:hAnsi="Arial" w:cs="Arial"/>
          <w:sz w:val="22"/>
          <w:szCs w:val="22"/>
        </w:rPr>
        <w:t>implication éclairées des communautés, groupes et individus concernés.</w:t>
      </w:r>
    </w:p>
    <w:p w14:paraId="78E1AE89" w14:textId="72A5E522" w:rsidR="001C77C8" w:rsidRPr="007C3B28" w:rsidRDefault="001C77C8" w:rsidP="004D23ED">
      <w:pPr>
        <w:pStyle w:val="ListParagraph"/>
        <w:numPr>
          <w:ilvl w:val="0"/>
          <w:numId w:val="21"/>
        </w:numPr>
        <w:spacing w:after="120"/>
        <w:ind w:left="1134" w:hanging="567"/>
        <w:jc w:val="both"/>
        <w:rPr>
          <w:rFonts w:ascii="Arial" w:hAnsi="Arial" w:cs="Arial"/>
          <w:bCs/>
          <w:sz w:val="22"/>
          <w:szCs w:val="22"/>
        </w:rPr>
      </w:pPr>
      <w:r w:rsidRPr="007C3B28">
        <w:rPr>
          <w:rFonts w:ascii="Arial" w:hAnsi="Arial" w:cs="Arial"/>
          <w:sz w:val="22"/>
          <w:szCs w:val="22"/>
          <w:u w:val="single"/>
          <w:lang w:eastAsia="fr-FR"/>
        </w:rPr>
        <w:t>Décide de transférer</w:t>
      </w:r>
      <w:r w:rsidRPr="007C3B28">
        <w:rPr>
          <w:rFonts w:ascii="Arial" w:hAnsi="Arial" w:cs="Arial"/>
          <w:b/>
          <w:sz w:val="22"/>
          <w:szCs w:val="22"/>
          <w:lang w:eastAsia="fr-FR"/>
        </w:rPr>
        <w:t xml:space="preserve"> le </w:t>
      </w:r>
      <w:proofErr w:type="spellStart"/>
      <w:r w:rsidRPr="007C3B28">
        <w:rPr>
          <w:rFonts w:ascii="Arial" w:hAnsi="Arial" w:cs="Arial"/>
          <w:b/>
          <w:sz w:val="22"/>
          <w:szCs w:val="22"/>
          <w:lang w:eastAsia="fr-FR"/>
        </w:rPr>
        <w:t>Yimakan</w:t>
      </w:r>
      <w:proofErr w:type="spellEnd"/>
      <w:r w:rsidRPr="007C3B28">
        <w:rPr>
          <w:rFonts w:ascii="Arial" w:hAnsi="Arial" w:cs="Arial"/>
          <w:b/>
          <w:sz w:val="22"/>
          <w:szCs w:val="22"/>
          <w:lang w:eastAsia="fr-FR"/>
        </w:rPr>
        <w:t xml:space="preserve">, les récits oraux des </w:t>
      </w:r>
      <w:proofErr w:type="spellStart"/>
      <w:r w:rsidRPr="007C3B28">
        <w:rPr>
          <w:rFonts w:ascii="Arial" w:hAnsi="Arial" w:cs="Arial"/>
          <w:b/>
          <w:sz w:val="22"/>
          <w:szCs w:val="22"/>
          <w:lang w:eastAsia="fr-FR"/>
        </w:rPr>
        <w:t>Hezhen</w:t>
      </w:r>
      <w:proofErr w:type="spellEnd"/>
      <w:r w:rsidRPr="007C3B28">
        <w:rPr>
          <w:rFonts w:ascii="Arial" w:hAnsi="Arial" w:cs="Arial"/>
          <w:b/>
          <w:sz w:val="22"/>
          <w:szCs w:val="22"/>
          <w:lang w:eastAsia="fr-FR"/>
        </w:rPr>
        <w:t xml:space="preserve"> </w:t>
      </w:r>
      <w:r w:rsidRPr="007C3B28">
        <w:rPr>
          <w:rFonts w:ascii="Arial" w:hAnsi="Arial" w:cs="Arial"/>
          <w:sz w:val="22"/>
          <w:szCs w:val="22"/>
          <w:lang w:eastAsia="fr-FR"/>
        </w:rPr>
        <w:t>de la Liste du patrimoine culturel immatériel nécessitant une sauvegarde urgente à la Liste représentative du patrimoine culturel immatériel de l’humanité ;</w:t>
      </w:r>
    </w:p>
    <w:p w14:paraId="7A484DDE" w14:textId="7F7D7172" w:rsidR="00A60E00" w:rsidRPr="007C3B28" w:rsidRDefault="001C77C8" w:rsidP="004D23ED">
      <w:pPr>
        <w:numPr>
          <w:ilvl w:val="0"/>
          <w:numId w:val="21"/>
        </w:numPr>
        <w:tabs>
          <w:tab w:val="left" w:pos="1134"/>
          <w:tab w:val="left" w:pos="1701"/>
          <w:tab w:val="left" w:pos="2268"/>
        </w:tabs>
        <w:spacing w:before="120" w:after="120"/>
        <w:ind w:left="1134" w:hanging="567"/>
        <w:jc w:val="both"/>
        <w:rPr>
          <w:rFonts w:cs="Arial"/>
          <w:bCs/>
          <w:sz w:val="22"/>
          <w:szCs w:val="22"/>
        </w:rPr>
      </w:pPr>
      <w:r w:rsidRPr="007C3B28">
        <w:rPr>
          <w:rFonts w:cs="Arial"/>
          <w:sz w:val="22"/>
          <w:szCs w:val="22"/>
          <w:u w:val="single"/>
        </w:rPr>
        <w:t>Prend note en outre</w:t>
      </w:r>
      <w:r w:rsidRPr="007C3B28">
        <w:rPr>
          <w:rFonts w:cs="Arial"/>
          <w:sz w:val="22"/>
          <w:szCs w:val="22"/>
        </w:rPr>
        <w:t xml:space="preserve"> de la demande simultanée de la Chine d’inclure dans le Registre de bonnes pratiques de sauvegarde, l’expérience de sauvegarde présentée dans la demande de transfert :</w:t>
      </w:r>
    </w:p>
    <w:p w14:paraId="199E99F3" w14:textId="35FBB55E" w:rsidR="00CE6F95" w:rsidRPr="007C3B28" w:rsidRDefault="005A2555" w:rsidP="00284063">
      <w:pPr>
        <w:tabs>
          <w:tab w:val="left" w:pos="1134"/>
          <w:tab w:val="left" w:pos="1701"/>
          <w:tab w:val="left" w:pos="2268"/>
        </w:tabs>
        <w:spacing w:before="120" w:after="120"/>
        <w:ind w:left="1134"/>
        <w:jc w:val="both"/>
        <w:rPr>
          <w:rFonts w:cs="Arial"/>
          <w:bCs/>
          <w:sz w:val="22"/>
          <w:szCs w:val="22"/>
        </w:rPr>
      </w:pPr>
      <w:r w:rsidRPr="007C3B28">
        <w:rPr>
          <w:rFonts w:cs="Arial"/>
          <w:bCs/>
          <w:sz w:val="22"/>
          <w:szCs w:val="22"/>
        </w:rPr>
        <w:t xml:space="preserve">Au moment </w:t>
      </w:r>
      <w:r w:rsidR="006E530C" w:rsidRPr="007C3B28">
        <w:rPr>
          <w:rFonts w:cs="Arial"/>
          <w:bCs/>
          <w:sz w:val="22"/>
          <w:szCs w:val="22"/>
        </w:rPr>
        <w:t>de l’inscription initiale</w:t>
      </w:r>
      <w:r w:rsidRPr="007C3B28">
        <w:rPr>
          <w:rFonts w:cs="Arial"/>
          <w:bCs/>
          <w:sz w:val="22"/>
          <w:szCs w:val="22"/>
        </w:rPr>
        <w:t xml:space="preserve">, seuls cinq conteurs étaient encore capables d'interpréter certains chants </w:t>
      </w:r>
      <w:proofErr w:type="spellStart"/>
      <w:r w:rsidRPr="007C3B28">
        <w:rPr>
          <w:rFonts w:cs="Arial"/>
          <w:bCs/>
          <w:sz w:val="22"/>
          <w:szCs w:val="22"/>
        </w:rPr>
        <w:t>Yimakan</w:t>
      </w:r>
      <w:proofErr w:type="spellEnd"/>
      <w:r w:rsidRPr="007C3B28">
        <w:rPr>
          <w:rFonts w:cs="Arial"/>
          <w:bCs/>
          <w:sz w:val="22"/>
          <w:szCs w:val="22"/>
        </w:rPr>
        <w:t xml:space="preserve">, et les pratiques traditionnelles associées aux récits oraux </w:t>
      </w:r>
      <w:proofErr w:type="spellStart"/>
      <w:r w:rsidRPr="007C3B28">
        <w:rPr>
          <w:rFonts w:cs="Arial"/>
          <w:bCs/>
          <w:sz w:val="22"/>
          <w:szCs w:val="22"/>
        </w:rPr>
        <w:t>Hezhen</w:t>
      </w:r>
      <w:proofErr w:type="spellEnd"/>
      <w:r w:rsidRPr="007C3B28">
        <w:rPr>
          <w:rFonts w:cs="Arial"/>
          <w:bCs/>
          <w:sz w:val="22"/>
          <w:szCs w:val="22"/>
        </w:rPr>
        <w:t xml:space="preserve"> étaient menacées à plusieurs égards. Dans ce contexte, un programme bien structuré a mobilisé les familles, les communautés, les écoles, les autorités locales et l'État pour sauvegarder cet élément </w:t>
      </w:r>
      <w:r w:rsidR="006E530C" w:rsidRPr="007C3B28">
        <w:rPr>
          <w:rFonts w:cs="Arial"/>
          <w:bCs/>
          <w:sz w:val="22"/>
          <w:szCs w:val="22"/>
        </w:rPr>
        <w:t>du patrimoine immatériel.</w:t>
      </w:r>
      <w:r w:rsidRPr="007C3B28">
        <w:rPr>
          <w:rFonts w:cs="Arial"/>
          <w:bCs/>
          <w:sz w:val="22"/>
          <w:szCs w:val="22"/>
        </w:rPr>
        <w:t xml:space="preserve"> Son intégration dans les écoles a suscité un intérêt accru chez les jeunes générations, tant pour la narration orale que pour </w:t>
      </w:r>
      <w:r w:rsidR="006E530C" w:rsidRPr="007C3B28">
        <w:rPr>
          <w:rFonts w:cs="Arial"/>
          <w:bCs/>
          <w:sz w:val="22"/>
          <w:szCs w:val="22"/>
        </w:rPr>
        <w:t>leur implication dans la sauvegarde de l’élément</w:t>
      </w:r>
      <w:r w:rsidRPr="007C3B28">
        <w:rPr>
          <w:rFonts w:cs="Arial"/>
          <w:bCs/>
          <w:sz w:val="22"/>
          <w:szCs w:val="22"/>
        </w:rPr>
        <w:t xml:space="preserve">. Au-delà du patrimoine culturel immatériel </w:t>
      </w:r>
      <w:r w:rsidR="007330A0" w:rsidRPr="007C3B28">
        <w:rPr>
          <w:rFonts w:cs="Arial"/>
          <w:bCs/>
          <w:sz w:val="22"/>
          <w:szCs w:val="22"/>
        </w:rPr>
        <w:t>spécifiquement</w:t>
      </w:r>
      <w:r w:rsidRPr="007C3B28">
        <w:rPr>
          <w:rFonts w:cs="Arial"/>
          <w:bCs/>
          <w:sz w:val="22"/>
          <w:szCs w:val="22"/>
        </w:rPr>
        <w:t>, l'intégration de cette pratique dans l'éducation formelle a également favorisé la transmission de la langue</w:t>
      </w:r>
      <w:r w:rsidR="008A06BB" w:rsidRPr="007C3B28">
        <w:rPr>
          <w:rFonts w:cs="Arial"/>
          <w:bCs/>
          <w:sz w:val="22"/>
          <w:szCs w:val="22"/>
        </w:rPr>
        <w:t xml:space="preserve"> des</w:t>
      </w:r>
      <w:r w:rsidRPr="007C3B28">
        <w:rPr>
          <w:rFonts w:cs="Arial"/>
          <w:bCs/>
          <w:sz w:val="22"/>
          <w:szCs w:val="22"/>
        </w:rPr>
        <w:t xml:space="preserve"> </w:t>
      </w:r>
      <w:proofErr w:type="spellStart"/>
      <w:r w:rsidR="008A06BB" w:rsidRPr="007C3B28">
        <w:rPr>
          <w:rFonts w:cs="Arial"/>
          <w:bCs/>
          <w:sz w:val="22"/>
          <w:szCs w:val="22"/>
        </w:rPr>
        <w:t>H</w:t>
      </w:r>
      <w:r w:rsidRPr="007C3B28">
        <w:rPr>
          <w:rFonts w:cs="Arial"/>
          <w:bCs/>
          <w:sz w:val="22"/>
          <w:szCs w:val="22"/>
        </w:rPr>
        <w:t>ezhen</w:t>
      </w:r>
      <w:proofErr w:type="spellEnd"/>
      <w:r w:rsidRPr="007C3B28">
        <w:rPr>
          <w:rFonts w:cs="Arial"/>
          <w:bCs/>
          <w:sz w:val="22"/>
          <w:szCs w:val="22"/>
        </w:rPr>
        <w:t xml:space="preserve">. La dimension de genre a également été prise en compte dans les </w:t>
      </w:r>
      <w:r w:rsidR="0090523D" w:rsidRPr="007C3B28">
        <w:rPr>
          <w:rFonts w:cs="Arial"/>
          <w:bCs/>
          <w:sz w:val="22"/>
          <w:szCs w:val="22"/>
        </w:rPr>
        <w:t xml:space="preserve">interventions pour la </w:t>
      </w:r>
      <w:r w:rsidRPr="007C3B28">
        <w:rPr>
          <w:rFonts w:cs="Arial"/>
          <w:bCs/>
          <w:sz w:val="22"/>
          <w:szCs w:val="22"/>
        </w:rPr>
        <w:lastRenderedPageBreak/>
        <w:t xml:space="preserve">sauvegarde, qui ont encouragé une plus grande participation des femmes en élargissant et en renforçant la transmission des connaissances </w:t>
      </w:r>
      <w:r w:rsidR="00BC26BA" w:rsidRPr="007C3B28">
        <w:rPr>
          <w:rFonts w:cs="Arial"/>
          <w:bCs/>
          <w:sz w:val="22"/>
          <w:szCs w:val="22"/>
        </w:rPr>
        <w:t>associées</w:t>
      </w:r>
      <w:r w:rsidR="0090523D" w:rsidRPr="007C3B28">
        <w:rPr>
          <w:rFonts w:cs="Arial"/>
          <w:bCs/>
          <w:sz w:val="22"/>
          <w:szCs w:val="22"/>
        </w:rPr>
        <w:t xml:space="preserve"> aux récits oraux </w:t>
      </w:r>
      <w:proofErr w:type="spellStart"/>
      <w:r w:rsidR="0090523D" w:rsidRPr="007C3B28">
        <w:rPr>
          <w:rFonts w:cs="Arial"/>
          <w:bCs/>
          <w:sz w:val="22"/>
          <w:szCs w:val="22"/>
        </w:rPr>
        <w:t>Yimakan</w:t>
      </w:r>
      <w:proofErr w:type="spellEnd"/>
      <w:r w:rsidR="0090523D" w:rsidRPr="007C3B28">
        <w:rPr>
          <w:rFonts w:cs="Arial"/>
          <w:bCs/>
          <w:sz w:val="22"/>
          <w:szCs w:val="22"/>
        </w:rPr>
        <w:t xml:space="preserve"> des </w:t>
      </w:r>
      <w:proofErr w:type="spellStart"/>
      <w:r w:rsidR="0090523D" w:rsidRPr="007C3B28">
        <w:rPr>
          <w:rFonts w:cs="Arial"/>
          <w:bCs/>
          <w:sz w:val="22"/>
          <w:szCs w:val="22"/>
        </w:rPr>
        <w:t>Hezhen</w:t>
      </w:r>
      <w:proofErr w:type="spellEnd"/>
      <w:r w:rsidRPr="007C3B28">
        <w:rPr>
          <w:rFonts w:cs="Arial"/>
          <w:bCs/>
          <w:sz w:val="22"/>
          <w:szCs w:val="22"/>
        </w:rPr>
        <w:t xml:space="preserve"> dans les cadres recréés.</w:t>
      </w:r>
    </w:p>
    <w:p w14:paraId="478BAA4E" w14:textId="53DEA9E1" w:rsidR="001C77C8" w:rsidRPr="007C3B28" w:rsidRDefault="001C77C8" w:rsidP="004D23ED">
      <w:pPr>
        <w:numPr>
          <w:ilvl w:val="0"/>
          <w:numId w:val="22"/>
        </w:numPr>
        <w:tabs>
          <w:tab w:val="left" w:pos="1134"/>
          <w:tab w:val="left" w:pos="1701"/>
          <w:tab w:val="left" w:pos="2268"/>
        </w:tabs>
        <w:spacing w:before="120" w:after="120"/>
        <w:ind w:left="1134" w:hanging="567"/>
        <w:jc w:val="both"/>
        <w:rPr>
          <w:rFonts w:cs="Arial"/>
          <w:bCs/>
          <w:sz w:val="22"/>
          <w:szCs w:val="22"/>
        </w:rPr>
      </w:pPr>
      <w:r w:rsidRPr="007C3B28">
        <w:rPr>
          <w:rFonts w:cs="Arial"/>
          <w:sz w:val="22"/>
          <w:szCs w:val="22"/>
          <w:u w:val="single"/>
        </w:rPr>
        <w:t>Considère en outre</w:t>
      </w:r>
      <w:r w:rsidRPr="007C3B28">
        <w:rPr>
          <w:rFonts w:cs="Arial"/>
          <w:sz w:val="22"/>
          <w:szCs w:val="22"/>
        </w:rPr>
        <w:t xml:space="preserve"> que, d’après les informations contenues dans la demande et dans le rapport périodique sur l’état de l'élément sur la Liste du patrimoine culturel immatériel nécessitant une sauvegarde urgente, le programme répond comme suit aux critères de sélection, en tant que bonne pratique de sauvegarde, tels qu’énoncés au paragraphe 7 des Directives opérationnelles :</w:t>
      </w:r>
    </w:p>
    <w:p w14:paraId="54113DDD" w14:textId="0A7621DF" w:rsidR="001C77C8" w:rsidRPr="007C3B28" w:rsidRDefault="001C77C8" w:rsidP="004D23ED">
      <w:pPr>
        <w:tabs>
          <w:tab w:val="left" w:pos="1701"/>
          <w:tab w:val="left" w:pos="2268"/>
        </w:tabs>
        <w:spacing w:before="120" w:after="120"/>
        <w:ind w:left="1701" w:hanging="567"/>
        <w:jc w:val="both"/>
        <w:rPr>
          <w:rFonts w:cs="Arial"/>
          <w:bCs/>
          <w:sz w:val="22"/>
          <w:szCs w:val="22"/>
        </w:rPr>
      </w:pPr>
      <w:r w:rsidRPr="007C3B28">
        <w:rPr>
          <w:rFonts w:cs="Arial"/>
          <w:sz w:val="22"/>
          <w:szCs w:val="22"/>
        </w:rPr>
        <w:t>G.1 :</w:t>
      </w:r>
      <w:r w:rsidRPr="007C3B28">
        <w:rPr>
          <w:rFonts w:cs="Arial"/>
          <w:sz w:val="22"/>
          <w:szCs w:val="22"/>
        </w:rPr>
        <w:tab/>
        <w:t xml:space="preserve">Mettant en œuvre des mesures culturellement adaptées aux communautés de </w:t>
      </w:r>
      <w:r w:rsidR="00146002" w:rsidRPr="007C3B28">
        <w:rPr>
          <w:rFonts w:cs="Arial"/>
          <w:sz w:val="22"/>
          <w:szCs w:val="22"/>
        </w:rPr>
        <w:t xml:space="preserve">détenteurs </w:t>
      </w:r>
      <w:r w:rsidRPr="007C3B28">
        <w:rPr>
          <w:rFonts w:cs="Arial"/>
          <w:sz w:val="22"/>
          <w:szCs w:val="22"/>
        </w:rPr>
        <w:t>et de praticiens, le programme de sauvegarde reflète les principes et les objectifs de la Convention. Le renforcement de l</w:t>
      </w:r>
      <w:r w:rsidR="00CB41F3" w:rsidRPr="007C3B28">
        <w:rPr>
          <w:rFonts w:cs="Arial"/>
          <w:sz w:val="22"/>
          <w:szCs w:val="22"/>
        </w:rPr>
        <w:t>’</w:t>
      </w:r>
      <w:r w:rsidRPr="007C3B28">
        <w:rPr>
          <w:rFonts w:cs="Arial"/>
          <w:sz w:val="22"/>
          <w:szCs w:val="22"/>
        </w:rPr>
        <w:t>identité et de la langue locales par la préservation du patrimoine culturel oral est un point clé de ce programme.</w:t>
      </w:r>
    </w:p>
    <w:p w14:paraId="347F24B9" w14:textId="70FE1A70" w:rsidR="001C77C8" w:rsidRPr="007C3B28" w:rsidRDefault="001C77C8" w:rsidP="004D23ED">
      <w:pPr>
        <w:tabs>
          <w:tab w:val="left" w:pos="1701"/>
          <w:tab w:val="left" w:pos="2268"/>
        </w:tabs>
        <w:spacing w:before="120" w:after="120"/>
        <w:ind w:left="1701" w:hanging="567"/>
        <w:jc w:val="both"/>
        <w:rPr>
          <w:rFonts w:cs="Arial"/>
          <w:bCs/>
          <w:sz w:val="22"/>
          <w:szCs w:val="22"/>
        </w:rPr>
      </w:pPr>
      <w:r w:rsidRPr="007C3B28">
        <w:rPr>
          <w:rFonts w:cs="Arial"/>
          <w:sz w:val="22"/>
          <w:szCs w:val="22"/>
        </w:rPr>
        <w:t>G.2 :</w:t>
      </w:r>
      <w:r w:rsidRPr="007C3B28">
        <w:rPr>
          <w:rFonts w:cs="Arial"/>
          <w:sz w:val="22"/>
          <w:szCs w:val="22"/>
        </w:rPr>
        <w:tab/>
        <w:t>Le programme a démontré sa capacité à assurer la viabilité et la vitalité de l</w:t>
      </w:r>
      <w:r w:rsidR="00CB41F3" w:rsidRPr="007C3B28">
        <w:rPr>
          <w:rFonts w:cs="Arial"/>
          <w:sz w:val="22"/>
          <w:szCs w:val="22"/>
        </w:rPr>
        <w:t>’</w:t>
      </w:r>
      <w:r w:rsidRPr="007C3B28">
        <w:rPr>
          <w:rFonts w:cs="Arial"/>
          <w:sz w:val="22"/>
          <w:szCs w:val="22"/>
        </w:rPr>
        <w:t xml:space="preserve">élément, en créant un environnement plus propice à sa transmission et adapté aux contextes culturels locaux ainsi qu’aux transitions sociales actuelles. Il a ainsi renforcé les pratiques </w:t>
      </w:r>
      <w:r w:rsidR="00BC26BA" w:rsidRPr="007C3B28">
        <w:rPr>
          <w:rFonts w:cs="Arial"/>
          <w:sz w:val="22"/>
          <w:szCs w:val="22"/>
        </w:rPr>
        <w:t xml:space="preserve">de la communauté </w:t>
      </w:r>
      <w:r w:rsidRPr="007C3B28">
        <w:rPr>
          <w:rFonts w:cs="Arial"/>
          <w:sz w:val="22"/>
          <w:szCs w:val="22"/>
        </w:rPr>
        <w:t>et augmenté le nombre de personnes impliquées.</w:t>
      </w:r>
    </w:p>
    <w:p w14:paraId="0CB09418" w14:textId="262C4396" w:rsidR="001C77C8" w:rsidRPr="007C3B28" w:rsidRDefault="001C77C8" w:rsidP="004D23ED">
      <w:pPr>
        <w:tabs>
          <w:tab w:val="left" w:pos="1701"/>
          <w:tab w:val="left" w:pos="2268"/>
        </w:tabs>
        <w:spacing w:before="120" w:after="120"/>
        <w:ind w:left="1701" w:hanging="567"/>
        <w:jc w:val="both"/>
        <w:rPr>
          <w:rFonts w:cs="Arial"/>
          <w:bCs/>
          <w:sz w:val="22"/>
          <w:szCs w:val="22"/>
        </w:rPr>
      </w:pPr>
      <w:r w:rsidRPr="007C3B28">
        <w:rPr>
          <w:rFonts w:cs="Arial"/>
          <w:sz w:val="22"/>
          <w:szCs w:val="22"/>
        </w:rPr>
        <w:t>G.3 :</w:t>
      </w:r>
      <w:r w:rsidRPr="007C3B28">
        <w:rPr>
          <w:rFonts w:cs="Arial"/>
          <w:sz w:val="22"/>
          <w:szCs w:val="22"/>
        </w:rPr>
        <w:tab/>
      </w:r>
      <w:r w:rsidR="007A198E" w:rsidRPr="007C3B28">
        <w:rPr>
          <w:rFonts w:cs="Arial"/>
          <w:sz w:val="22"/>
          <w:szCs w:val="22"/>
        </w:rPr>
        <w:t>L</w:t>
      </w:r>
      <w:r w:rsidR="00DB7A83" w:rsidRPr="007C3B28">
        <w:rPr>
          <w:rFonts w:cs="Arial"/>
          <w:sz w:val="22"/>
          <w:szCs w:val="22"/>
        </w:rPr>
        <w:t>a forte implication de la communauté a été démontrée pendant l’expérience de sauvegarde. De plus, l</w:t>
      </w:r>
      <w:r w:rsidR="00CB41F3" w:rsidRPr="007C3B28">
        <w:rPr>
          <w:rFonts w:cs="Arial"/>
          <w:sz w:val="22"/>
          <w:szCs w:val="22"/>
        </w:rPr>
        <w:t>’</w:t>
      </w:r>
      <w:r w:rsidRPr="007C3B28">
        <w:rPr>
          <w:rFonts w:cs="Arial"/>
          <w:sz w:val="22"/>
          <w:szCs w:val="22"/>
        </w:rPr>
        <w:t>initiative a démontré une forte capacité à promouvoir l</w:t>
      </w:r>
      <w:r w:rsidR="00CB41F3" w:rsidRPr="007C3B28">
        <w:rPr>
          <w:rFonts w:cs="Arial"/>
          <w:sz w:val="22"/>
          <w:szCs w:val="22"/>
        </w:rPr>
        <w:t>’</w:t>
      </w:r>
      <w:r w:rsidRPr="007C3B28">
        <w:rPr>
          <w:rFonts w:cs="Arial"/>
          <w:sz w:val="22"/>
          <w:szCs w:val="22"/>
        </w:rPr>
        <w:t>intégration intersectorielle et interinstitutionnelle, notamment par l</w:t>
      </w:r>
      <w:r w:rsidR="00CB41F3" w:rsidRPr="007C3B28">
        <w:rPr>
          <w:rFonts w:cs="Arial"/>
          <w:sz w:val="22"/>
          <w:szCs w:val="22"/>
        </w:rPr>
        <w:t>’</w:t>
      </w:r>
      <w:r w:rsidRPr="007C3B28">
        <w:rPr>
          <w:rFonts w:cs="Arial"/>
          <w:sz w:val="22"/>
          <w:szCs w:val="22"/>
        </w:rPr>
        <w:t xml:space="preserve">implication des écoles, des universités, des autorités locales et du gouvernement central, ainsi que celle des </w:t>
      </w:r>
      <w:r w:rsidR="00B83CD1" w:rsidRPr="007C3B28">
        <w:rPr>
          <w:rFonts w:cs="Arial"/>
          <w:sz w:val="22"/>
          <w:szCs w:val="22"/>
        </w:rPr>
        <w:t xml:space="preserve">détenteurs </w:t>
      </w:r>
      <w:r w:rsidRPr="007C3B28">
        <w:rPr>
          <w:rFonts w:cs="Arial"/>
          <w:sz w:val="22"/>
          <w:szCs w:val="22"/>
        </w:rPr>
        <w:t xml:space="preserve">de traditions orales. </w:t>
      </w:r>
    </w:p>
    <w:p w14:paraId="47A38CC3" w14:textId="77777777" w:rsidR="004D23ED" w:rsidRPr="007C3B28" w:rsidRDefault="001C77C8" w:rsidP="004D23ED">
      <w:pPr>
        <w:tabs>
          <w:tab w:val="left" w:pos="1701"/>
          <w:tab w:val="left" w:pos="2268"/>
        </w:tabs>
        <w:spacing w:before="120" w:after="120"/>
        <w:ind w:left="1701" w:hanging="567"/>
        <w:jc w:val="both"/>
        <w:rPr>
          <w:rFonts w:cs="Arial"/>
          <w:sz w:val="22"/>
          <w:szCs w:val="22"/>
        </w:rPr>
      </w:pPr>
      <w:r w:rsidRPr="007C3B28">
        <w:rPr>
          <w:rFonts w:cs="Arial"/>
          <w:sz w:val="22"/>
          <w:szCs w:val="22"/>
        </w:rPr>
        <w:t>G.4 :</w:t>
      </w:r>
      <w:r w:rsidRPr="007C3B28">
        <w:rPr>
          <w:rFonts w:cs="Arial"/>
          <w:sz w:val="22"/>
          <w:szCs w:val="22"/>
        </w:rPr>
        <w:tab/>
        <w:t>Les parties concernées se sont accordées et engagées à poursuivre les actions de sauvegarde de cet élément culturel. La coordination entre la sauvegarde du patrimoine culturel et celle du patrimoine linguistique pourrait servir d</w:t>
      </w:r>
      <w:r w:rsidR="00CB41F3" w:rsidRPr="007C3B28">
        <w:rPr>
          <w:rFonts w:cs="Arial"/>
          <w:sz w:val="22"/>
          <w:szCs w:val="22"/>
        </w:rPr>
        <w:t>’</w:t>
      </w:r>
      <w:r w:rsidRPr="007C3B28">
        <w:rPr>
          <w:rFonts w:cs="Arial"/>
          <w:sz w:val="22"/>
          <w:szCs w:val="22"/>
        </w:rPr>
        <w:t>exemple à d</w:t>
      </w:r>
      <w:r w:rsidR="00CB41F3" w:rsidRPr="007C3B28">
        <w:rPr>
          <w:rFonts w:cs="Arial"/>
          <w:sz w:val="22"/>
          <w:szCs w:val="22"/>
        </w:rPr>
        <w:t>’</w:t>
      </w:r>
      <w:r w:rsidRPr="007C3B28">
        <w:rPr>
          <w:rFonts w:cs="Arial"/>
          <w:sz w:val="22"/>
          <w:szCs w:val="22"/>
        </w:rPr>
        <w:t>autres États parties et communautés.</w:t>
      </w:r>
    </w:p>
    <w:p w14:paraId="6CA03F47" w14:textId="25251CB7" w:rsidR="00DB3591" w:rsidRDefault="004D23ED" w:rsidP="004D23ED">
      <w:pPr>
        <w:tabs>
          <w:tab w:val="left" w:pos="2268"/>
        </w:tabs>
        <w:spacing w:before="120" w:after="120"/>
        <w:ind w:left="1134" w:hanging="567"/>
        <w:jc w:val="both"/>
        <w:rPr>
          <w:rFonts w:cs="Arial"/>
          <w:sz w:val="22"/>
          <w:szCs w:val="22"/>
        </w:rPr>
      </w:pPr>
      <w:r w:rsidRPr="007C3B28">
        <w:rPr>
          <w:rFonts w:cs="Arial"/>
          <w:sz w:val="22"/>
          <w:szCs w:val="22"/>
        </w:rPr>
        <w:t>8.</w:t>
      </w:r>
      <w:r w:rsidRPr="007C3B28">
        <w:rPr>
          <w:rFonts w:cs="Arial"/>
          <w:sz w:val="22"/>
          <w:szCs w:val="22"/>
        </w:rPr>
        <w:tab/>
      </w:r>
      <w:r w:rsidR="001C77C8" w:rsidRPr="007C3B28">
        <w:rPr>
          <w:rFonts w:cs="Arial"/>
          <w:sz w:val="22"/>
          <w:szCs w:val="22"/>
          <w:u w:val="single"/>
        </w:rPr>
        <w:t>Décide de sélectionner</w:t>
      </w:r>
      <w:r w:rsidR="001C77C8" w:rsidRPr="007C3B28">
        <w:rPr>
          <w:rFonts w:cs="Arial"/>
          <w:sz w:val="22"/>
          <w:szCs w:val="22"/>
        </w:rPr>
        <w:t xml:space="preserve"> </w:t>
      </w:r>
      <w:r w:rsidR="001C77C8" w:rsidRPr="007C3B28">
        <w:rPr>
          <w:rFonts w:cs="Arial"/>
          <w:b/>
          <w:sz w:val="22"/>
          <w:szCs w:val="22"/>
        </w:rPr>
        <w:t>le programme de sauvegarde pour</w:t>
      </w:r>
      <w:r w:rsidR="007A198E" w:rsidRPr="007C3B28">
        <w:rPr>
          <w:rFonts w:cs="Arial"/>
          <w:b/>
          <w:sz w:val="22"/>
          <w:szCs w:val="22"/>
        </w:rPr>
        <w:t xml:space="preserve"> le</w:t>
      </w:r>
      <w:r w:rsidR="001C77C8" w:rsidRPr="007C3B28">
        <w:rPr>
          <w:rFonts w:cs="Arial"/>
          <w:b/>
          <w:sz w:val="22"/>
          <w:szCs w:val="22"/>
        </w:rPr>
        <w:t xml:space="preserve"> </w:t>
      </w:r>
      <w:proofErr w:type="spellStart"/>
      <w:r w:rsidR="001C77C8" w:rsidRPr="007C3B28">
        <w:rPr>
          <w:rFonts w:cs="Arial"/>
          <w:b/>
          <w:sz w:val="22"/>
          <w:szCs w:val="22"/>
        </w:rPr>
        <w:t>Yimakan</w:t>
      </w:r>
      <w:proofErr w:type="spellEnd"/>
      <w:r w:rsidR="001C77C8" w:rsidRPr="007C3B28">
        <w:rPr>
          <w:rFonts w:cs="Arial"/>
          <w:b/>
          <w:sz w:val="22"/>
          <w:szCs w:val="22"/>
        </w:rPr>
        <w:t xml:space="preserve">, les récits oraux des </w:t>
      </w:r>
      <w:proofErr w:type="spellStart"/>
      <w:r w:rsidR="001C77C8" w:rsidRPr="007C3B28">
        <w:rPr>
          <w:rFonts w:cs="Arial"/>
          <w:b/>
          <w:sz w:val="22"/>
          <w:szCs w:val="22"/>
        </w:rPr>
        <w:t>Hezhen</w:t>
      </w:r>
      <w:proofErr w:type="spellEnd"/>
      <w:r w:rsidR="001C77C8" w:rsidRPr="007C3B28">
        <w:rPr>
          <w:rFonts w:cs="Arial"/>
          <w:b/>
          <w:sz w:val="22"/>
          <w:szCs w:val="22"/>
        </w:rPr>
        <w:t xml:space="preserve"> </w:t>
      </w:r>
      <w:r w:rsidR="001C77C8" w:rsidRPr="007C3B28">
        <w:rPr>
          <w:rFonts w:cs="Arial"/>
          <w:sz w:val="22"/>
          <w:szCs w:val="22"/>
        </w:rPr>
        <w:t>en tant que programme, projet ou activité reflétant le mieux les principes et objectifs de la Convention</w:t>
      </w:r>
      <w:r w:rsidR="00DB3591">
        <w:rPr>
          <w:rFonts w:cs="Arial"/>
          <w:sz w:val="22"/>
          <w:szCs w:val="22"/>
        </w:rPr>
        <w:t> ;</w:t>
      </w:r>
    </w:p>
    <w:p w14:paraId="4D3371CA" w14:textId="14458376" w:rsidR="001C77C8" w:rsidRPr="007C3B28" w:rsidRDefault="00DB3591" w:rsidP="00DB3591">
      <w:pPr>
        <w:tabs>
          <w:tab w:val="left" w:pos="2268"/>
        </w:tabs>
        <w:spacing w:before="120" w:after="120"/>
        <w:ind w:left="1134" w:hanging="567"/>
        <w:jc w:val="both"/>
        <w:rPr>
          <w:rFonts w:cs="Arial"/>
          <w:bCs/>
          <w:sz w:val="22"/>
          <w:szCs w:val="22"/>
        </w:rPr>
      </w:pPr>
      <w:r w:rsidRPr="00757D12">
        <w:rPr>
          <w:rFonts w:cs="Arial"/>
          <w:sz w:val="22"/>
          <w:szCs w:val="22"/>
        </w:rPr>
        <w:t xml:space="preserve">9. </w:t>
      </w:r>
      <w:r w:rsidRPr="00757D12">
        <w:t xml:space="preserve"> </w:t>
      </w:r>
      <w:r w:rsidRPr="00757D12">
        <w:tab/>
      </w:r>
      <w:r w:rsidRPr="00757D12">
        <w:rPr>
          <w:rFonts w:cs="Arial"/>
          <w:sz w:val="22"/>
          <w:szCs w:val="22"/>
          <w:u w:val="single"/>
        </w:rPr>
        <w:t>Encourage</w:t>
      </w:r>
      <w:r w:rsidRPr="00757D12">
        <w:rPr>
          <w:rFonts w:cs="Arial"/>
          <w:sz w:val="22"/>
          <w:szCs w:val="22"/>
        </w:rPr>
        <w:t xml:space="preserve"> l</w:t>
      </w:r>
      <w:r w:rsidR="00F810A4" w:rsidRPr="00757D12">
        <w:rPr>
          <w:rFonts w:cs="Arial"/>
          <w:sz w:val="22"/>
          <w:szCs w:val="22"/>
        </w:rPr>
        <w:t>’</w:t>
      </w:r>
      <w:r w:rsidRPr="00757D12">
        <w:rPr>
          <w:rFonts w:cs="Arial"/>
          <w:sz w:val="22"/>
          <w:szCs w:val="22"/>
        </w:rPr>
        <w:t xml:space="preserve">État partie et les communautés concernées à partager les expériences </w:t>
      </w:r>
      <w:r w:rsidR="00261888" w:rsidRPr="00757D12">
        <w:rPr>
          <w:rFonts w:cs="Arial"/>
          <w:sz w:val="22"/>
          <w:szCs w:val="22"/>
        </w:rPr>
        <w:t xml:space="preserve">associées </w:t>
      </w:r>
      <w:r w:rsidRPr="00757D12">
        <w:rPr>
          <w:rFonts w:cs="Arial"/>
          <w:sz w:val="22"/>
          <w:szCs w:val="22"/>
        </w:rPr>
        <w:t xml:space="preserve">acquises en matière de sauvegarde, </w:t>
      </w:r>
      <w:r w:rsidR="00261888" w:rsidRPr="00757D12">
        <w:rPr>
          <w:rFonts w:cs="Arial"/>
          <w:sz w:val="22"/>
          <w:szCs w:val="22"/>
        </w:rPr>
        <w:t>y compris</w:t>
      </w:r>
      <w:r w:rsidRPr="00757D12">
        <w:rPr>
          <w:rFonts w:cs="Arial"/>
          <w:sz w:val="22"/>
          <w:szCs w:val="22"/>
        </w:rPr>
        <w:t xml:space="preserve"> par le biais de la plateforme en ligne qui sera mise en place dans le cadre d</w:t>
      </w:r>
      <w:r w:rsidR="00F810A4" w:rsidRPr="00757D12">
        <w:rPr>
          <w:rFonts w:cs="Arial"/>
          <w:sz w:val="22"/>
          <w:szCs w:val="22"/>
        </w:rPr>
        <w:t>’</w:t>
      </w:r>
      <w:r w:rsidRPr="00757D12">
        <w:rPr>
          <w:rFonts w:cs="Arial"/>
          <w:sz w:val="22"/>
          <w:szCs w:val="22"/>
        </w:rPr>
        <w:t>une mise en œuvre plus large de l</w:t>
      </w:r>
      <w:r w:rsidR="00F810A4" w:rsidRPr="00757D12">
        <w:rPr>
          <w:rFonts w:cs="Arial"/>
          <w:sz w:val="22"/>
          <w:szCs w:val="22"/>
        </w:rPr>
        <w:t>’</w:t>
      </w:r>
      <w:r w:rsidRPr="00757D12">
        <w:rPr>
          <w:rFonts w:cs="Arial"/>
          <w:sz w:val="22"/>
          <w:szCs w:val="22"/>
        </w:rPr>
        <w:t>article</w:t>
      </w:r>
      <w:r w:rsidR="00261888" w:rsidRPr="00757D12">
        <w:rPr>
          <w:rFonts w:cs="Arial"/>
          <w:sz w:val="22"/>
          <w:szCs w:val="22"/>
        </w:rPr>
        <w:t> </w:t>
      </w:r>
      <w:r w:rsidRPr="00757D12">
        <w:rPr>
          <w:rFonts w:cs="Arial"/>
          <w:sz w:val="22"/>
          <w:szCs w:val="22"/>
        </w:rPr>
        <w:t>18 de la Convention.</w:t>
      </w:r>
    </w:p>
    <w:p w14:paraId="12405294" w14:textId="4319C9C5" w:rsidR="00344A03" w:rsidRPr="007C3B28" w:rsidRDefault="00344A03" w:rsidP="00344A03">
      <w:pPr>
        <w:rPr>
          <w:rFonts w:cs="Arial"/>
          <w:bCs/>
          <w:sz w:val="22"/>
          <w:szCs w:val="22"/>
        </w:rPr>
      </w:pPr>
    </w:p>
    <w:sectPr w:rsidR="00344A03" w:rsidRPr="007C3B28" w:rsidSect="004D23ED">
      <w:headerReference w:type="even" r:id="rId16"/>
      <w:headerReference w:type="default" r:id="rId17"/>
      <w:footerReference w:type="default" r:id="rId18"/>
      <w:headerReference w:type="first" r:id="rId19"/>
      <w:pgSz w:w="11906" w:h="16838"/>
      <w:pgMar w:top="1418" w:right="1134" w:bottom="1134" w:left="1134" w:header="397" w:footer="283" w:gutter="0"/>
      <w:pgBorders w:display="firstPage"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7EDB" w14:textId="77777777" w:rsidR="00D30307" w:rsidRDefault="00D30307" w:rsidP="004963DE">
      <w:r>
        <w:separator/>
      </w:r>
    </w:p>
  </w:endnote>
  <w:endnote w:type="continuationSeparator" w:id="0">
    <w:p w14:paraId="12E42CE7" w14:textId="77777777" w:rsidR="00D30307" w:rsidRDefault="00D30307" w:rsidP="004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5D0F" w14:textId="416BF4DE" w:rsidR="00AF1536" w:rsidRPr="00845432" w:rsidRDefault="00AF1536" w:rsidP="00845432">
    <w:pPr>
      <w:pStyle w:val="Footer"/>
      <w:tabs>
        <w:tab w:val="clear" w:pos="4513"/>
        <w:tab w:val="clear" w:pos="9026"/>
        <w:tab w:val="right" w:pos="9639"/>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DFE7" w14:textId="77777777" w:rsidR="00D30307" w:rsidRDefault="00D30307" w:rsidP="004963DE">
      <w:r>
        <w:separator/>
      </w:r>
    </w:p>
  </w:footnote>
  <w:footnote w:type="continuationSeparator" w:id="0">
    <w:p w14:paraId="7234C249" w14:textId="77777777" w:rsidR="00D30307" w:rsidRDefault="00D30307" w:rsidP="0049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32EE" w14:textId="7217D415" w:rsidR="004D23ED" w:rsidRPr="004D23ED" w:rsidRDefault="004D23ED">
    <w:pPr>
      <w:pStyle w:val="Header"/>
      <w:rPr>
        <w:rFonts w:cs="Arial"/>
      </w:rPr>
    </w:pPr>
    <w:r w:rsidRPr="00F13D4D">
      <w:rPr>
        <w:rFonts w:cs="Arial"/>
        <w:sz w:val="20"/>
        <w:szCs w:val="20"/>
      </w:rPr>
      <w:t>LHE/2</w:t>
    </w:r>
    <w:r>
      <w:rPr>
        <w:rFonts w:cs="Arial"/>
        <w:sz w:val="20"/>
        <w:szCs w:val="20"/>
      </w:rPr>
      <w:t>5</w:t>
    </w:r>
    <w:r w:rsidRPr="00F13D4D">
      <w:rPr>
        <w:rFonts w:cs="Arial"/>
        <w:sz w:val="20"/>
        <w:szCs w:val="20"/>
      </w:rPr>
      <w:t>/</w:t>
    </w:r>
    <w:r>
      <w:rPr>
        <w:rFonts w:cs="Arial"/>
        <w:sz w:val="20"/>
        <w:szCs w:val="20"/>
      </w:rPr>
      <w:t>20</w:t>
    </w:r>
    <w:r w:rsidRPr="00F13D4D">
      <w:rPr>
        <w:rFonts w:cs="Arial"/>
        <w:sz w:val="20"/>
        <w:szCs w:val="20"/>
      </w:rPr>
      <w:t>.CO</w:t>
    </w:r>
    <w:r w:rsidR="002E4C81">
      <w:rPr>
        <w:rFonts w:cs="Arial"/>
        <w:sz w:val="20"/>
        <w:szCs w:val="20"/>
      </w:rPr>
      <w:t>M/7.c</w:t>
    </w:r>
    <w:r w:rsidRPr="00F13D4D">
      <w:rPr>
        <w:rFonts w:cs="Arial"/>
        <w:sz w:val="20"/>
        <w:szCs w:val="20"/>
      </w:rPr>
      <w:t xml:space="preserve"> – page </w:t>
    </w:r>
    <w:r w:rsidRPr="00F13D4D">
      <w:rPr>
        <w:rStyle w:val="PageNumber"/>
        <w:rFonts w:eastAsiaTheme="majorEastAsia"/>
        <w:sz w:val="20"/>
        <w:szCs w:val="20"/>
      </w:rPr>
      <w:fldChar w:fldCharType="begin"/>
    </w:r>
    <w:r w:rsidRPr="00F13D4D">
      <w:rPr>
        <w:rStyle w:val="PageNumber"/>
        <w:rFonts w:eastAsiaTheme="majorEastAsia"/>
        <w:sz w:val="20"/>
        <w:szCs w:val="20"/>
      </w:rPr>
      <w:instrText xml:space="preserve"> PAGE </w:instrText>
    </w:r>
    <w:r w:rsidRPr="00F13D4D">
      <w:rPr>
        <w:rStyle w:val="PageNumber"/>
        <w:rFonts w:eastAsiaTheme="majorEastAsia"/>
        <w:sz w:val="20"/>
        <w:szCs w:val="20"/>
      </w:rPr>
      <w:fldChar w:fldCharType="separate"/>
    </w:r>
    <w:r>
      <w:rPr>
        <w:rStyle w:val="PageNumber"/>
        <w:rFonts w:eastAsiaTheme="majorEastAsia"/>
        <w:sz w:val="20"/>
        <w:szCs w:val="20"/>
      </w:rPr>
      <w:t>2</w:t>
    </w:r>
    <w:r w:rsidRPr="00F13D4D">
      <w:rPr>
        <w:rStyle w:val="PageNumber"/>
        <w:rFonts w:eastAsiaTheme="majorEastAsia"/>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872B" w14:textId="1C8FD5F9" w:rsidR="00AF1536" w:rsidRPr="004D23ED" w:rsidRDefault="004D23ED" w:rsidP="004D23ED">
    <w:pPr>
      <w:pStyle w:val="Header"/>
      <w:jc w:val="right"/>
      <w:rPr>
        <w:rFonts w:cs="Arial"/>
      </w:rPr>
    </w:pPr>
    <w:r w:rsidRPr="00F13D4D">
      <w:rPr>
        <w:rFonts w:cs="Arial"/>
        <w:sz w:val="20"/>
        <w:szCs w:val="20"/>
      </w:rPr>
      <w:t>LHE/2</w:t>
    </w:r>
    <w:r>
      <w:rPr>
        <w:rFonts w:cs="Arial"/>
        <w:sz w:val="20"/>
        <w:szCs w:val="20"/>
      </w:rPr>
      <w:t>5</w:t>
    </w:r>
    <w:r w:rsidRPr="00F13D4D">
      <w:rPr>
        <w:rFonts w:cs="Arial"/>
        <w:sz w:val="20"/>
        <w:szCs w:val="20"/>
      </w:rPr>
      <w:t>/</w:t>
    </w:r>
    <w:r>
      <w:rPr>
        <w:rFonts w:cs="Arial"/>
        <w:sz w:val="20"/>
        <w:szCs w:val="20"/>
      </w:rPr>
      <w:t>20</w:t>
    </w:r>
    <w:r w:rsidRPr="00F13D4D">
      <w:rPr>
        <w:rFonts w:cs="Arial"/>
        <w:sz w:val="20"/>
        <w:szCs w:val="20"/>
      </w:rPr>
      <w:t>.CO</w:t>
    </w:r>
    <w:r w:rsidR="002E4C81">
      <w:rPr>
        <w:rFonts w:cs="Arial"/>
        <w:sz w:val="20"/>
        <w:szCs w:val="20"/>
      </w:rPr>
      <w:t>M/7.c</w:t>
    </w:r>
    <w:r w:rsidRPr="00F13D4D">
      <w:rPr>
        <w:rFonts w:cs="Arial"/>
        <w:sz w:val="20"/>
        <w:szCs w:val="20"/>
      </w:rPr>
      <w:t xml:space="preserve"> – page </w:t>
    </w:r>
    <w:r w:rsidRPr="00F13D4D">
      <w:rPr>
        <w:rStyle w:val="PageNumber"/>
        <w:rFonts w:eastAsiaTheme="majorEastAsia"/>
        <w:sz w:val="20"/>
        <w:szCs w:val="20"/>
      </w:rPr>
      <w:fldChar w:fldCharType="begin"/>
    </w:r>
    <w:r w:rsidRPr="00F13D4D">
      <w:rPr>
        <w:rStyle w:val="PageNumber"/>
        <w:rFonts w:eastAsiaTheme="majorEastAsia"/>
        <w:sz w:val="20"/>
        <w:szCs w:val="20"/>
      </w:rPr>
      <w:instrText xml:space="preserve"> PAGE </w:instrText>
    </w:r>
    <w:r w:rsidRPr="00F13D4D">
      <w:rPr>
        <w:rStyle w:val="PageNumber"/>
        <w:rFonts w:eastAsiaTheme="majorEastAsia"/>
        <w:sz w:val="20"/>
        <w:szCs w:val="20"/>
      </w:rPr>
      <w:fldChar w:fldCharType="separate"/>
    </w:r>
    <w:r>
      <w:rPr>
        <w:rStyle w:val="PageNumber"/>
        <w:rFonts w:eastAsiaTheme="majorEastAsia"/>
        <w:sz w:val="20"/>
        <w:szCs w:val="20"/>
      </w:rPr>
      <w:t>3</w:t>
    </w:r>
    <w:r w:rsidRPr="00F13D4D">
      <w:rPr>
        <w:rStyle w:val="PageNumber"/>
        <w:rFonts w:eastAsiaTheme="majorEastAsia"/>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FF9E" w14:textId="77777777" w:rsidR="004D23ED" w:rsidRPr="00113500" w:rsidRDefault="004D23ED" w:rsidP="004D23ED">
    <w:pPr>
      <w:pStyle w:val="Header"/>
      <w:rPr>
        <w:sz w:val="22"/>
        <w:szCs w:val="22"/>
      </w:rPr>
    </w:pPr>
  </w:p>
  <w:p w14:paraId="4BEE0991" w14:textId="77777777" w:rsidR="004D23ED" w:rsidRPr="00113500" w:rsidRDefault="004D23ED" w:rsidP="004D23ED">
    <w:pPr>
      <w:pStyle w:val="Header"/>
      <w:spacing w:after="120"/>
      <w:jc w:val="right"/>
      <w:rPr>
        <w:rFonts w:cs="Arial"/>
        <w:b/>
        <w:color w:val="0070C0"/>
        <w:sz w:val="22"/>
        <w:szCs w:val="22"/>
      </w:rPr>
    </w:pPr>
  </w:p>
  <w:p w14:paraId="05F1F039" w14:textId="48B742A3" w:rsidR="004D23ED" w:rsidRPr="00757D12" w:rsidRDefault="004D23ED" w:rsidP="004D23ED">
    <w:pPr>
      <w:pStyle w:val="Header"/>
      <w:spacing w:after="520"/>
      <w:jc w:val="right"/>
      <w:rPr>
        <w:rFonts w:cs="Arial"/>
        <w:b/>
        <w:color w:val="0070C0"/>
        <w:sz w:val="44"/>
        <w:szCs w:val="44"/>
      </w:rPr>
    </w:pPr>
    <w:r w:rsidRPr="00113500">
      <w:rPr>
        <w:noProof/>
      </w:rPr>
      <w:drawing>
        <wp:anchor distT="0" distB="0" distL="114300" distR="114300" simplePos="0" relativeHeight="251659264" behindDoc="1" locked="0" layoutInCell="1" allowOverlap="1" wp14:anchorId="06C354BC" wp14:editId="44449BF8">
          <wp:simplePos x="0" y="0"/>
          <wp:positionH relativeFrom="column">
            <wp:posOffset>0</wp:posOffset>
          </wp:positionH>
          <wp:positionV relativeFrom="paragraph">
            <wp:posOffset>-635</wp:posOffset>
          </wp:positionV>
          <wp:extent cx="1657350" cy="1391920"/>
          <wp:effectExtent l="0" t="0" r="0" b="0"/>
          <wp:wrapNone/>
          <wp:docPr id="28" name="Imag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 name="Image 2" descr="A blue and white logo&#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r w:rsidRPr="00757D12">
      <w:rPr>
        <w:b/>
        <w:color w:val="0070C0"/>
        <w:sz w:val="44"/>
      </w:rPr>
      <w:t>20 COM</w:t>
    </w:r>
  </w:p>
  <w:p w14:paraId="2D996771" w14:textId="725651C1" w:rsidR="004D23ED" w:rsidRPr="00757D12" w:rsidRDefault="004D23ED" w:rsidP="004D23ED">
    <w:pPr>
      <w:jc w:val="right"/>
      <w:rPr>
        <w:rFonts w:cs="Arial"/>
        <w:b/>
        <w:color w:val="0070C0"/>
        <w:sz w:val="22"/>
        <w:szCs w:val="22"/>
      </w:rPr>
    </w:pPr>
    <w:r w:rsidRPr="00757D12">
      <w:rPr>
        <w:rFonts w:cs="Arial"/>
        <w:b/>
        <w:color w:val="0070C0"/>
        <w:sz w:val="22"/>
        <w:szCs w:val="22"/>
      </w:rPr>
      <w:t>LHE/25/20.COM</w:t>
    </w:r>
    <w:r w:rsidR="002E4C81">
      <w:rPr>
        <w:rFonts w:cs="Arial"/>
        <w:b/>
        <w:color w:val="0070C0"/>
        <w:sz w:val="22"/>
        <w:szCs w:val="22"/>
      </w:rPr>
      <w:t>/7.c</w:t>
    </w:r>
  </w:p>
  <w:p w14:paraId="44F4889E" w14:textId="0078A4E9" w:rsidR="004D23ED" w:rsidRPr="00113500" w:rsidRDefault="004D23ED" w:rsidP="004D23ED">
    <w:pPr>
      <w:jc w:val="right"/>
      <w:rPr>
        <w:rFonts w:eastAsiaTheme="minorEastAsia" w:cs="Arial"/>
        <w:b/>
        <w:color w:val="0070C0"/>
        <w:sz w:val="22"/>
        <w:szCs w:val="22"/>
      </w:rPr>
    </w:pPr>
    <w:r w:rsidRPr="007C3B28">
      <w:rPr>
        <w:b/>
        <w:color w:val="0070C0"/>
        <w:sz w:val="22"/>
      </w:rPr>
      <w:t xml:space="preserve">Paris, le </w:t>
    </w:r>
    <w:r w:rsidR="008F185E">
      <w:rPr>
        <w:b/>
        <w:color w:val="0070C0"/>
        <w:sz w:val="22"/>
      </w:rPr>
      <w:t>1</w:t>
    </w:r>
    <w:r w:rsidR="002E4C81">
      <w:rPr>
        <w:b/>
        <w:color w:val="0070C0"/>
        <w:sz w:val="22"/>
      </w:rPr>
      <w:t>0</w:t>
    </w:r>
    <w:r w:rsidR="008F185E">
      <w:rPr>
        <w:b/>
        <w:color w:val="0070C0"/>
        <w:sz w:val="22"/>
      </w:rPr>
      <w:t xml:space="preserve"> </w:t>
    </w:r>
    <w:r w:rsidR="002E4C81">
      <w:rPr>
        <w:b/>
        <w:color w:val="0070C0"/>
        <w:sz w:val="22"/>
      </w:rPr>
      <w:t>novembre</w:t>
    </w:r>
    <w:r w:rsidRPr="007C3B28">
      <w:rPr>
        <w:b/>
        <w:color w:val="0070C0"/>
        <w:sz w:val="22"/>
      </w:rPr>
      <w:t xml:space="preserve"> 2025</w:t>
    </w:r>
  </w:p>
  <w:p w14:paraId="7429E857" w14:textId="77777777" w:rsidR="004D23ED" w:rsidRPr="00113500" w:rsidRDefault="004D23ED" w:rsidP="004D23ED">
    <w:pPr>
      <w:spacing w:after="120"/>
      <w:jc w:val="right"/>
      <w:rPr>
        <w:rFonts w:cs="Arial"/>
        <w:b/>
        <w:color w:val="0070C0"/>
        <w:sz w:val="22"/>
        <w:szCs w:val="22"/>
      </w:rPr>
    </w:pPr>
    <w:r w:rsidRPr="00113500">
      <w:rPr>
        <w:b/>
        <w:color w:val="0070C0"/>
        <w:sz w:val="22"/>
      </w:rPr>
      <w:t>Original : anglais</w:t>
    </w:r>
  </w:p>
  <w:p w14:paraId="00E4CD5E" w14:textId="77777777" w:rsidR="00CB41F3" w:rsidRDefault="00CB4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09C"/>
    <w:multiLevelType w:val="hybridMultilevel"/>
    <w:tmpl w:val="CEA67528"/>
    <w:lvl w:ilvl="0" w:tplc="AB78B04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CF4978"/>
    <w:multiLevelType w:val="hybridMultilevel"/>
    <w:tmpl w:val="8A86B774"/>
    <w:lvl w:ilvl="0" w:tplc="34CABB6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F7C89"/>
    <w:multiLevelType w:val="hybridMultilevel"/>
    <w:tmpl w:val="E9B67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07854"/>
    <w:multiLevelType w:val="hybridMultilevel"/>
    <w:tmpl w:val="752C9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A37A5F"/>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2A4B87"/>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AF411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615619"/>
    <w:multiLevelType w:val="hybridMultilevel"/>
    <w:tmpl w:val="692E75EE"/>
    <w:lvl w:ilvl="0" w:tplc="68E6DBF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3374C4"/>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F021EC"/>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0C7EBB"/>
    <w:multiLevelType w:val="hybridMultilevel"/>
    <w:tmpl w:val="4968705E"/>
    <w:lvl w:ilvl="0" w:tplc="2D8CC14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639AD"/>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6C5D06"/>
    <w:multiLevelType w:val="hybridMultilevel"/>
    <w:tmpl w:val="03E497A6"/>
    <w:lvl w:ilvl="0" w:tplc="F35CBE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0147D4"/>
    <w:multiLevelType w:val="hybridMultilevel"/>
    <w:tmpl w:val="D54A3686"/>
    <w:lvl w:ilvl="0" w:tplc="59B27ED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E90C99"/>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EE4372"/>
    <w:multiLevelType w:val="hybridMultilevel"/>
    <w:tmpl w:val="38D47766"/>
    <w:lvl w:ilvl="0" w:tplc="D3C02A02">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8" w15:restartNumberingAfterBreak="0">
    <w:nsid w:val="5BCD172C"/>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CF5277"/>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DA2697C"/>
    <w:multiLevelType w:val="hybridMultilevel"/>
    <w:tmpl w:val="2F1487DA"/>
    <w:lvl w:ilvl="0" w:tplc="8618C46C">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52B39"/>
    <w:multiLevelType w:val="hybridMultilevel"/>
    <w:tmpl w:val="B22AA128"/>
    <w:lvl w:ilvl="0" w:tplc="EC7A85BC">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765" w:hanging="360"/>
      </w:pPr>
    </w:lvl>
    <w:lvl w:ilvl="2" w:tplc="040C001B" w:tentative="1">
      <w:start w:val="1"/>
      <w:numFmt w:val="lowerRoman"/>
      <w:lvlText w:val="%3."/>
      <w:lvlJc w:val="right"/>
      <w:pPr>
        <w:ind w:left="1485" w:hanging="180"/>
      </w:pPr>
    </w:lvl>
    <w:lvl w:ilvl="3" w:tplc="040C000F" w:tentative="1">
      <w:start w:val="1"/>
      <w:numFmt w:val="decimal"/>
      <w:lvlText w:val="%4."/>
      <w:lvlJc w:val="left"/>
      <w:pPr>
        <w:ind w:left="2205" w:hanging="360"/>
      </w:pPr>
    </w:lvl>
    <w:lvl w:ilvl="4" w:tplc="040C0019" w:tentative="1">
      <w:start w:val="1"/>
      <w:numFmt w:val="lowerLetter"/>
      <w:lvlText w:val="%5."/>
      <w:lvlJc w:val="left"/>
      <w:pPr>
        <w:ind w:left="2925" w:hanging="360"/>
      </w:pPr>
    </w:lvl>
    <w:lvl w:ilvl="5" w:tplc="040C001B" w:tentative="1">
      <w:start w:val="1"/>
      <w:numFmt w:val="lowerRoman"/>
      <w:lvlText w:val="%6."/>
      <w:lvlJc w:val="right"/>
      <w:pPr>
        <w:ind w:left="3645" w:hanging="180"/>
      </w:pPr>
    </w:lvl>
    <w:lvl w:ilvl="6" w:tplc="040C000F" w:tentative="1">
      <w:start w:val="1"/>
      <w:numFmt w:val="decimal"/>
      <w:lvlText w:val="%7."/>
      <w:lvlJc w:val="left"/>
      <w:pPr>
        <w:ind w:left="4365" w:hanging="360"/>
      </w:pPr>
    </w:lvl>
    <w:lvl w:ilvl="7" w:tplc="040C0019" w:tentative="1">
      <w:start w:val="1"/>
      <w:numFmt w:val="lowerLetter"/>
      <w:lvlText w:val="%8."/>
      <w:lvlJc w:val="left"/>
      <w:pPr>
        <w:ind w:left="5085" w:hanging="360"/>
      </w:pPr>
    </w:lvl>
    <w:lvl w:ilvl="8" w:tplc="040C001B" w:tentative="1">
      <w:start w:val="1"/>
      <w:numFmt w:val="lowerRoman"/>
      <w:lvlText w:val="%9."/>
      <w:lvlJc w:val="right"/>
      <w:pPr>
        <w:ind w:left="5805" w:hanging="180"/>
      </w:pPr>
    </w:lvl>
  </w:abstractNum>
  <w:abstractNum w:abstractNumId="22" w15:restartNumberingAfterBreak="0">
    <w:nsid w:val="646C53AC"/>
    <w:multiLevelType w:val="hybridMultilevel"/>
    <w:tmpl w:val="FD229418"/>
    <w:lvl w:ilvl="0" w:tplc="93B85C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434337"/>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B5E078B"/>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2511628">
    <w:abstractNumId w:val="20"/>
  </w:num>
  <w:num w:numId="2" w16cid:durableId="488793785">
    <w:abstractNumId w:val="3"/>
  </w:num>
  <w:num w:numId="3" w16cid:durableId="1172381129">
    <w:abstractNumId w:val="24"/>
  </w:num>
  <w:num w:numId="4" w16cid:durableId="1512721299">
    <w:abstractNumId w:val="6"/>
  </w:num>
  <w:num w:numId="5" w16cid:durableId="812794381">
    <w:abstractNumId w:val="4"/>
  </w:num>
  <w:num w:numId="6" w16cid:durableId="1115294201">
    <w:abstractNumId w:val="7"/>
  </w:num>
  <w:num w:numId="7" w16cid:durableId="1331442184">
    <w:abstractNumId w:val="21"/>
  </w:num>
  <w:num w:numId="8" w16cid:durableId="1330406010">
    <w:abstractNumId w:val="0"/>
  </w:num>
  <w:num w:numId="9" w16cid:durableId="984432712">
    <w:abstractNumId w:val="13"/>
  </w:num>
  <w:num w:numId="10" w16cid:durableId="1867869006">
    <w:abstractNumId w:val="10"/>
  </w:num>
  <w:num w:numId="11" w16cid:durableId="1042948955">
    <w:abstractNumId w:val="14"/>
  </w:num>
  <w:num w:numId="12" w16cid:durableId="1997680128">
    <w:abstractNumId w:val="9"/>
  </w:num>
  <w:num w:numId="13" w16cid:durableId="382218810">
    <w:abstractNumId w:val="15"/>
  </w:num>
  <w:num w:numId="14" w16cid:durableId="206453701">
    <w:abstractNumId w:val="19"/>
  </w:num>
  <w:num w:numId="15" w16cid:durableId="1221479336">
    <w:abstractNumId w:val="18"/>
  </w:num>
  <w:num w:numId="16" w16cid:durableId="1021513488">
    <w:abstractNumId w:val="12"/>
  </w:num>
  <w:num w:numId="17" w16cid:durableId="1240021675">
    <w:abstractNumId w:val="22"/>
  </w:num>
  <w:num w:numId="18" w16cid:durableId="208496497">
    <w:abstractNumId w:val="8"/>
  </w:num>
  <w:num w:numId="19" w16cid:durableId="1147429462">
    <w:abstractNumId w:val="11"/>
  </w:num>
  <w:num w:numId="20" w16cid:durableId="1827621000">
    <w:abstractNumId w:val="5"/>
  </w:num>
  <w:num w:numId="21" w16cid:durableId="1490174031">
    <w:abstractNumId w:val="23"/>
  </w:num>
  <w:num w:numId="22" w16cid:durableId="567301983">
    <w:abstractNumId w:val="1"/>
  </w:num>
  <w:num w:numId="23" w16cid:durableId="185289888">
    <w:abstractNumId w:val="16"/>
  </w:num>
  <w:num w:numId="24" w16cid:durableId="1011030240">
    <w:abstractNumId w:val="17"/>
  </w:num>
  <w:num w:numId="25" w16cid:durableId="729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124F1"/>
    <w:rsid w:val="00003016"/>
    <w:rsid w:val="0000380D"/>
    <w:rsid w:val="00004BA0"/>
    <w:rsid w:val="00012A86"/>
    <w:rsid w:val="00021510"/>
    <w:rsid w:val="000257B5"/>
    <w:rsid w:val="00035E2B"/>
    <w:rsid w:val="000368C4"/>
    <w:rsid w:val="00036D4C"/>
    <w:rsid w:val="00042D0B"/>
    <w:rsid w:val="0005799C"/>
    <w:rsid w:val="00062E0E"/>
    <w:rsid w:val="00075C4A"/>
    <w:rsid w:val="00077110"/>
    <w:rsid w:val="00084A1C"/>
    <w:rsid w:val="00090B01"/>
    <w:rsid w:val="00090BFA"/>
    <w:rsid w:val="00091C1C"/>
    <w:rsid w:val="00091E2E"/>
    <w:rsid w:val="00092807"/>
    <w:rsid w:val="000965AF"/>
    <w:rsid w:val="000968B2"/>
    <w:rsid w:val="000A18EC"/>
    <w:rsid w:val="000A6C42"/>
    <w:rsid w:val="000A6D2D"/>
    <w:rsid w:val="000B4B06"/>
    <w:rsid w:val="000C1816"/>
    <w:rsid w:val="000C5CFF"/>
    <w:rsid w:val="000D1665"/>
    <w:rsid w:val="000E396A"/>
    <w:rsid w:val="000E43A1"/>
    <w:rsid w:val="000E7684"/>
    <w:rsid w:val="000F2639"/>
    <w:rsid w:val="000F2DA1"/>
    <w:rsid w:val="001011D5"/>
    <w:rsid w:val="001037DE"/>
    <w:rsid w:val="001057B9"/>
    <w:rsid w:val="0010727B"/>
    <w:rsid w:val="00111BD2"/>
    <w:rsid w:val="00111C08"/>
    <w:rsid w:val="00116253"/>
    <w:rsid w:val="0012058A"/>
    <w:rsid w:val="00123386"/>
    <w:rsid w:val="001348D6"/>
    <w:rsid w:val="00134BD0"/>
    <w:rsid w:val="00135214"/>
    <w:rsid w:val="001356EF"/>
    <w:rsid w:val="00135E6A"/>
    <w:rsid w:val="00136E20"/>
    <w:rsid w:val="0014538B"/>
    <w:rsid w:val="00146002"/>
    <w:rsid w:val="00151EF2"/>
    <w:rsid w:val="00156F0B"/>
    <w:rsid w:val="00163E7F"/>
    <w:rsid w:val="001643B0"/>
    <w:rsid w:val="00164762"/>
    <w:rsid w:val="001660E4"/>
    <w:rsid w:val="00167664"/>
    <w:rsid w:val="00170700"/>
    <w:rsid w:val="001771C3"/>
    <w:rsid w:val="00191DD1"/>
    <w:rsid w:val="001977CC"/>
    <w:rsid w:val="00197DF3"/>
    <w:rsid w:val="001A6512"/>
    <w:rsid w:val="001A6898"/>
    <w:rsid w:val="001A6D0F"/>
    <w:rsid w:val="001B1690"/>
    <w:rsid w:val="001B4D6C"/>
    <w:rsid w:val="001B5342"/>
    <w:rsid w:val="001B5430"/>
    <w:rsid w:val="001C2779"/>
    <w:rsid w:val="001C2E16"/>
    <w:rsid w:val="001C77C8"/>
    <w:rsid w:val="001D5834"/>
    <w:rsid w:val="001D5A13"/>
    <w:rsid w:val="001E44BF"/>
    <w:rsid w:val="001E4887"/>
    <w:rsid w:val="001F23C7"/>
    <w:rsid w:val="001F28C5"/>
    <w:rsid w:val="001F3F82"/>
    <w:rsid w:val="001F78A0"/>
    <w:rsid w:val="00203881"/>
    <w:rsid w:val="002060D6"/>
    <w:rsid w:val="002069B1"/>
    <w:rsid w:val="00215B93"/>
    <w:rsid w:val="0023552F"/>
    <w:rsid w:val="00242101"/>
    <w:rsid w:val="002438B0"/>
    <w:rsid w:val="00247ECF"/>
    <w:rsid w:val="002507AB"/>
    <w:rsid w:val="0025156B"/>
    <w:rsid w:val="00252CE8"/>
    <w:rsid w:val="00255D05"/>
    <w:rsid w:val="00261888"/>
    <w:rsid w:val="002724A5"/>
    <w:rsid w:val="00284063"/>
    <w:rsid w:val="002B0495"/>
    <w:rsid w:val="002B3E7A"/>
    <w:rsid w:val="002B3ED7"/>
    <w:rsid w:val="002C0575"/>
    <w:rsid w:val="002C735A"/>
    <w:rsid w:val="002D1A1F"/>
    <w:rsid w:val="002D33F1"/>
    <w:rsid w:val="002D343E"/>
    <w:rsid w:val="002D4BE0"/>
    <w:rsid w:val="002D7AD9"/>
    <w:rsid w:val="002E1D15"/>
    <w:rsid w:val="002E364A"/>
    <w:rsid w:val="002E4C81"/>
    <w:rsid w:val="003017ED"/>
    <w:rsid w:val="00304ED8"/>
    <w:rsid w:val="0030744C"/>
    <w:rsid w:val="00310CD4"/>
    <w:rsid w:val="003167E6"/>
    <w:rsid w:val="00316C80"/>
    <w:rsid w:val="00336C8B"/>
    <w:rsid w:val="00343164"/>
    <w:rsid w:val="00343545"/>
    <w:rsid w:val="00344A03"/>
    <w:rsid w:val="00345D5D"/>
    <w:rsid w:val="00354153"/>
    <w:rsid w:val="0035420E"/>
    <w:rsid w:val="00360B39"/>
    <w:rsid w:val="00367638"/>
    <w:rsid w:val="003729E7"/>
    <w:rsid w:val="0037642E"/>
    <w:rsid w:val="00377524"/>
    <w:rsid w:val="003859A0"/>
    <w:rsid w:val="00397DEC"/>
    <w:rsid w:val="003A4CE7"/>
    <w:rsid w:val="003A5965"/>
    <w:rsid w:val="003B2FE0"/>
    <w:rsid w:val="003B534D"/>
    <w:rsid w:val="003C7E30"/>
    <w:rsid w:val="003D1A9F"/>
    <w:rsid w:val="003D7E53"/>
    <w:rsid w:val="003E428C"/>
    <w:rsid w:val="003F23B5"/>
    <w:rsid w:val="003F61A7"/>
    <w:rsid w:val="003F6BE4"/>
    <w:rsid w:val="003F7D47"/>
    <w:rsid w:val="0040539B"/>
    <w:rsid w:val="00406035"/>
    <w:rsid w:val="00416D6E"/>
    <w:rsid w:val="00420146"/>
    <w:rsid w:val="004223CE"/>
    <w:rsid w:val="0042282D"/>
    <w:rsid w:val="00423EB3"/>
    <w:rsid w:val="00427011"/>
    <w:rsid w:val="00427F26"/>
    <w:rsid w:val="004424D7"/>
    <w:rsid w:val="00442F9A"/>
    <w:rsid w:val="00446180"/>
    <w:rsid w:val="004508A5"/>
    <w:rsid w:val="00452EFE"/>
    <w:rsid w:val="00460553"/>
    <w:rsid w:val="004627CF"/>
    <w:rsid w:val="00465734"/>
    <w:rsid w:val="0047247F"/>
    <w:rsid w:val="00473697"/>
    <w:rsid w:val="004762E8"/>
    <w:rsid w:val="0048407B"/>
    <w:rsid w:val="004963DE"/>
    <w:rsid w:val="004979FB"/>
    <w:rsid w:val="00497C1B"/>
    <w:rsid w:val="004A04A5"/>
    <w:rsid w:val="004B0BD6"/>
    <w:rsid w:val="004B1C87"/>
    <w:rsid w:val="004B2E23"/>
    <w:rsid w:val="004B4884"/>
    <w:rsid w:val="004C19BC"/>
    <w:rsid w:val="004C1FD7"/>
    <w:rsid w:val="004C3649"/>
    <w:rsid w:val="004C3D21"/>
    <w:rsid w:val="004C6AAD"/>
    <w:rsid w:val="004D23ED"/>
    <w:rsid w:val="004D3573"/>
    <w:rsid w:val="004E18B6"/>
    <w:rsid w:val="004E439D"/>
    <w:rsid w:val="004E765F"/>
    <w:rsid w:val="004F4632"/>
    <w:rsid w:val="0050371D"/>
    <w:rsid w:val="00506F05"/>
    <w:rsid w:val="00507DA1"/>
    <w:rsid w:val="005118A2"/>
    <w:rsid w:val="005137D1"/>
    <w:rsid w:val="00517175"/>
    <w:rsid w:val="00520878"/>
    <w:rsid w:val="00525A13"/>
    <w:rsid w:val="00531768"/>
    <w:rsid w:val="00533470"/>
    <w:rsid w:val="0054136C"/>
    <w:rsid w:val="00542F45"/>
    <w:rsid w:val="005508D1"/>
    <w:rsid w:val="0055114C"/>
    <w:rsid w:val="0055212C"/>
    <w:rsid w:val="00552FFF"/>
    <w:rsid w:val="00553374"/>
    <w:rsid w:val="005557B3"/>
    <w:rsid w:val="005564AC"/>
    <w:rsid w:val="0056321C"/>
    <w:rsid w:val="00564F37"/>
    <w:rsid w:val="00575905"/>
    <w:rsid w:val="00582C7A"/>
    <w:rsid w:val="00591BDB"/>
    <w:rsid w:val="00592B45"/>
    <w:rsid w:val="0059357A"/>
    <w:rsid w:val="00594FBD"/>
    <w:rsid w:val="005A2555"/>
    <w:rsid w:val="005A68DA"/>
    <w:rsid w:val="005B0D53"/>
    <w:rsid w:val="005B11B9"/>
    <w:rsid w:val="005B3223"/>
    <w:rsid w:val="005B46CE"/>
    <w:rsid w:val="005B66E9"/>
    <w:rsid w:val="005B7708"/>
    <w:rsid w:val="005C235B"/>
    <w:rsid w:val="005C2B7E"/>
    <w:rsid w:val="005C41AC"/>
    <w:rsid w:val="005D5D3C"/>
    <w:rsid w:val="005E1294"/>
    <w:rsid w:val="005E1705"/>
    <w:rsid w:val="005E2EC6"/>
    <w:rsid w:val="005E36FD"/>
    <w:rsid w:val="005E7715"/>
    <w:rsid w:val="005F76A8"/>
    <w:rsid w:val="00600AFC"/>
    <w:rsid w:val="0060718D"/>
    <w:rsid w:val="00613C60"/>
    <w:rsid w:val="00614F3E"/>
    <w:rsid w:val="0063149D"/>
    <w:rsid w:val="006339FF"/>
    <w:rsid w:val="00637894"/>
    <w:rsid w:val="00654E3C"/>
    <w:rsid w:val="006660FD"/>
    <w:rsid w:val="0066695D"/>
    <w:rsid w:val="00666BDC"/>
    <w:rsid w:val="0067248F"/>
    <w:rsid w:val="00677925"/>
    <w:rsid w:val="00677954"/>
    <w:rsid w:val="00677D03"/>
    <w:rsid w:val="00681899"/>
    <w:rsid w:val="00687871"/>
    <w:rsid w:val="006906EB"/>
    <w:rsid w:val="00694B89"/>
    <w:rsid w:val="006A5628"/>
    <w:rsid w:val="006B1199"/>
    <w:rsid w:val="006B6D8F"/>
    <w:rsid w:val="006C2912"/>
    <w:rsid w:val="006C34F1"/>
    <w:rsid w:val="006C4F14"/>
    <w:rsid w:val="006C5294"/>
    <w:rsid w:val="006D35DD"/>
    <w:rsid w:val="006D5D4C"/>
    <w:rsid w:val="006D6087"/>
    <w:rsid w:val="006D792F"/>
    <w:rsid w:val="006E530C"/>
    <w:rsid w:val="006F201B"/>
    <w:rsid w:val="007059EB"/>
    <w:rsid w:val="00706E57"/>
    <w:rsid w:val="00707336"/>
    <w:rsid w:val="00710221"/>
    <w:rsid w:val="0072192C"/>
    <w:rsid w:val="007330A0"/>
    <w:rsid w:val="00743B35"/>
    <w:rsid w:val="007511D9"/>
    <w:rsid w:val="00754CE4"/>
    <w:rsid w:val="00757D12"/>
    <w:rsid w:val="00763C17"/>
    <w:rsid w:val="00771ABD"/>
    <w:rsid w:val="00772853"/>
    <w:rsid w:val="00773EE9"/>
    <w:rsid w:val="007800BA"/>
    <w:rsid w:val="0078310C"/>
    <w:rsid w:val="00785E80"/>
    <w:rsid w:val="0078635B"/>
    <w:rsid w:val="007916DF"/>
    <w:rsid w:val="00796FEE"/>
    <w:rsid w:val="007A1136"/>
    <w:rsid w:val="007A1739"/>
    <w:rsid w:val="007A198E"/>
    <w:rsid w:val="007B12B4"/>
    <w:rsid w:val="007B20B9"/>
    <w:rsid w:val="007B614E"/>
    <w:rsid w:val="007C0466"/>
    <w:rsid w:val="007C17E8"/>
    <w:rsid w:val="007C3B28"/>
    <w:rsid w:val="007C4712"/>
    <w:rsid w:val="007E264D"/>
    <w:rsid w:val="007E6D51"/>
    <w:rsid w:val="007F0990"/>
    <w:rsid w:val="007F11F9"/>
    <w:rsid w:val="0080382A"/>
    <w:rsid w:val="00810B57"/>
    <w:rsid w:val="00811497"/>
    <w:rsid w:val="0081599E"/>
    <w:rsid w:val="00827B8D"/>
    <w:rsid w:val="00837E5F"/>
    <w:rsid w:val="00845432"/>
    <w:rsid w:val="008506B2"/>
    <w:rsid w:val="00865397"/>
    <w:rsid w:val="00874210"/>
    <w:rsid w:val="008805F9"/>
    <w:rsid w:val="0088407F"/>
    <w:rsid w:val="00886479"/>
    <w:rsid w:val="00887712"/>
    <w:rsid w:val="00890BF4"/>
    <w:rsid w:val="00891FF0"/>
    <w:rsid w:val="00896CC9"/>
    <w:rsid w:val="008A06BB"/>
    <w:rsid w:val="008A574B"/>
    <w:rsid w:val="008A5877"/>
    <w:rsid w:val="008A7169"/>
    <w:rsid w:val="008C48AA"/>
    <w:rsid w:val="008D06B7"/>
    <w:rsid w:val="008D12C4"/>
    <w:rsid w:val="008D1B7A"/>
    <w:rsid w:val="008D5ED1"/>
    <w:rsid w:val="008E1F0E"/>
    <w:rsid w:val="008E3042"/>
    <w:rsid w:val="008F185E"/>
    <w:rsid w:val="00903851"/>
    <w:rsid w:val="0090462D"/>
    <w:rsid w:val="00904D8F"/>
    <w:rsid w:val="0090523D"/>
    <w:rsid w:val="00915930"/>
    <w:rsid w:val="009171E5"/>
    <w:rsid w:val="0092107B"/>
    <w:rsid w:val="00923742"/>
    <w:rsid w:val="009270DB"/>
    <w:rsid w:val="00930E92"/>
    <w:rsid w:val="00932893"/>
    <w:rsid w:val="00933A6C"/>
    <w:rsid w:val="0093469B"/>
    <w:rsid w:val="00940069"/>
    <w:rsid w:val="00945AC3"/>
    <w:rsid w:val="0094645E"/>
    <w:rsid w:val="00951845"/>
    <w:rsid w:val="00960C7F"/>
    <w:rsid w:val="009761A3"/>
    <w:rsid w:val="00977279"/>
    <w:rsid w:val="00980B0B"/>
    <w:rsid w:val="00985F05"/>
    <w:rsid w:val="00990D4F"/>
    <w:rsid w:val="00997BA4"/>
    <w:rsid w:val="009A4765"/>
    <w:rsid w:val="009A4F81"/>
    <w:rsid w:val="009A52F7"/>
    <w:rsid w:val="009B6BAC"/>
    <w:rsid w:val="009C6CAD"/>
    <w:rsid w:val="009C76F7"/>
    <w:rsid w:val="009D156F"/>
    <w:rsid w:val="009D19BD"/>
    <w:rsid w:val="009D6A73"/>
    <w:rsid w:val="009E1D96"/>
    <w:rsid w:val="009E318C"/>
    <w:rsid w:val="009E3A6D"/>
    <w:rsid w:val="009E5A9D"/>
    <w:rsid w:val="009E6D11"/>
    <w:rsid w:val="009F1CC6"/>
    <w:rsid w:val="009F27C3"/>
    <w:rsid w:val="009F617C"/>
    <w:rsid w:val="00A0054F"/>
    <w:rsid w:val="00A10E4A"/>
    <w:rsid w:val="00A11B1D"/>
    <w:rsid w:val="00A12C9E"/>
    <w:rsid w:val="00A13FFA"/>
    <w:rsid w:val="00A1614A"/>
    <w:rsid w:val="00A263E6"/>
    <w:rsid w:val="00A329AA"/>
    <w:rsid w:val="00A37BCF"/>
    <w:rsid w:val="00A412CB"/>
    <w:rsid w:val="00A42939"/>
    <w:rsid w:val="00A45AAF"/>
    <w:rsid w:val="00A5120A"/>
    <w:rsid w:val="00A578CA"/>
    <w:rsid w:val="00A60E00"/>
    <w:rsid w:val="00A64D66"/>
    <w:rsid w:val="00A66D19"/>
    <w:rsid w:val="00A72BE4"/>
    <w:rsid w:val="00A908EE"/>
    <w:rsid w:val="00A91D1A"/>
    <w:rsid w:val="00A97DB5"/>
    <w:rsid w:val="00AA27FA"/>
    <w:rsid w:val="00AB5DF0"/>
    <w:rsid w:val="00AC37FD"/>
    <w:rsid w:val="00AC6123"/>
    <w:rsid w:val="00AD1315"/>
    <w:rsid w:val="00AD15E3"/>
    <w:rsid w:val="00AD3A3F"/>
    <w:rsid w:val="00AD4D99"/>
    <w:rsid w:val="00AD5E3A"/>
    <w:rsid w:val="00AD7B8F"/>
    <w:rsid w:val="00AE0C3C"/>
    <w:rsid w:val="00AE7E4B"/>
    <w:rsid w:val="00AF1536"/>
    <w:rsid w:val="00AF6DAC"/>
    <w:rsid w:val="00B0712B"/>
    <w:rsid w:val="00B11665"/>
    <w:rsid w:val="00B1285F"/>
    <w:rsid w:val="00B13203"/>
    <w:rsid w:val="00B26DA6"/>
    <w:rsid w:val="00B43896"/>
    <w:rsid w:val="00B529BE"/>
    <w:rsid w:val="00B57022"/>
    <w:rsid w:val="00B72BD0"/>
    <w:rsid w:val="00B735C0"/>
    <w:rsid w:val="00B77DA9"/>
    <w:rsid w:val="00B833A1"/>
    <w:rsid w:val="00B83CD1"/>
    <w:rsid w:val="00B90524"/>
    <w:rsid w:val="00B9699B"/>
    <w:rsid w:val="00BA3304"/>
    <w:rsid w:val="00BA54CE"/>
    <w:rsid w:val="00BA7C8E"/>
    <w:rsid w:val="00BB0D36"/>
    <w:rsid w:val="00BB4794"/>
    <w:rsid w:val="00BC21D3"/>
    <w:rsid w:val="00BC26BA"/>
    <w:rsid w:val="00BD13A6"/>
    <w:rsid w:val="00BD3186"/>
    <w:rsid w:val="00BE6F06"/>
    <w:rsid w:val="00BE7AC4"/>
    <w:rsid w:val="00BF5B68"/>
    <w:rsid w:val="00C01FBE"/>
    <w:rsid w:val="00C049B8"/>
    <w:rsid w:val="00C10FC3"/>
    <w:rsid w:val="00C124F1"/>
    <w:rsid w:val="00C21C04"/>
    <w:rsid w:val="00C2597F"/>
    <w:rsid w:val="00C304D6"/>
    <w:rsid w:val="00C34AF0"/>
    <w:rsid w:val="00C35C24"/>
    <w:rsid w:val="00C36879"/>
    <w:rsid w:val="00C37979"/>
    <w:rsid w:val="00C50EF9"/>
    <w:rsid w:val="00C53E8E"/>
    <w:rsid w:val="00C729C7"/>
    <w:rsid w:val="00C73EDB"/>
    <w:rsid w:val="00C740ED"/>
    <w:rsid w:val="00C74743"/>
    <w:rsid w:val="00C748BF"/>
    <w:rsid w:val="00C81104"/>
    <w:rsid w:val="00C81822"/>
    <w:rsid w:val="00C90F1A"/>
    <w:rsid w:val="00C955DF"/>
    <w:rsid w:val="00CA3D2B"/>
    <w:rsid w:val="00CB41F3"/>
    <w:rsid w:val="00CD0958"/>
    <w:rsid w:val="00CD14A6"/>
    <w:rsid w:val="00CE6F95"/>
    <w:rsid w:val="00CE7281"/>
    <w:rsid w:val="00CE77CF"/>
    <w:rsid w:val="00CF004C"/>
    <w:rsid w:val="00CF02C4"/>
    <w:rsid w:val="00CF36B2"/>
    <w:rsid w:val="00D14150"/>
    <w:rsid w:val="00D16EF2"/>
    <w:rsid w:val="00D174D2"/>
    <w:rsid w:val="00D17761"/>
    <w:rsid w:val="00D17890"/>
    <w:rsid w:val="00D2215F"/>
    <w:rsid w:val="00D23097"/>
    <w:rsid w:val="00D239C3"/>
    <w:rsid w:val="00D2431F"/>
    <w:rsid w:val="00D30307"/>
    <w:rsid w:val="00D41D38"/>
    <w:rsid w:val="00D719D4"/>
    <w:rsid w:val="00D76778"/>
    <w:rsid w:val="00D77F3B"/>
    <w:rsid w:val="00D82393"/>
    <w:rsid w:val="00D85E51"/>
    <w:rsid w:val="00D874C6"/>
    <w:rsid w:val="00D87D16"/>
    <w:rsid w:val="00D91081"/>
    <w:rsid w:val="00DB29FC"/>
    <w:rsid w:val="00DB305B"/>
    <w:rsid w:val="00DB3591"/>
    <w:rsid w:val="00DB4B93"/>
    <w:rsid w:val="00DB7A83"/>
    <w:rsid w:val="00DD17B2"/>
    <w:rsid w:val="00DF357C"/>
    <w:rsid w:val="00DF5C5D"/>
    <w:rsid w:val="00DF7B2F"/>
    <w:rsid w:val="00E2068B"/>
    <w:rsid w:val="00E33988"/>
    <w:rsid w:val="00E3787A"/>
    <w:rsid w:val="00E43134"/>
    <w:rsid w:val="00E438AA"/>
    <w:rsid w:val="00E43DB7"/>
    <w:rsid w:val="00E45881"/>
    <w:rsid w:val="00E65915"/>
    <w:rsid w:val="00E744D6"/>
    <w:rsid w:val="00E76D0D"/>
    <w:rsid w:val="00E77922"/>
    <w:rsid w:val="00E80831"/>
    <w:rsid w:val="00E852B4"/>
    <w:rsid w:val="00E8698F"/>
    <w:rsid w:val="00E96747"/>
    <w:rsid w:val="00E97D3D"/>
    <w:rsid w:val="00EA08E2"/>
    <w:rsid w:val="00EA3F4A"/>
    <w:rsid w:val="00EA443B"/>
    <w:rsid w:val="00EA6970"/>
    <w:rsid w:val="00EB0E75"/>
    <w:rsid w:val="00EB62B9"/>
    <w:rsid w:val="00EB7DE4"/>
    <w:rsid w:val="00EC1C94"/>
    <w:rsid w:val="00EC4AFB"/>
    <w:rsid w:val="00ED370E"/>
    <w:rsid w:val="00ED43DB"/>
    <w:rsid w:val="00ED486C"/>
    <w:rsid w:val="00ED57E8"/>
    <w:rsid w:val="00ED6F59"/>
    <w:rsid w:val="00EE0251"/>
    <w:rsid w:val="00EE6BE9"/>
    <w:rsid w:val="00EF2851"/>
    <w:rsid w:val="00EF44D2"/>
    <w:rsid w:val="00EF5560"/>
    <w:rsid w:val="00F0083F"/>
    <w:rsid w:val="00F030A5"/>
    <w:rsid w:val="00F05DA7"/>
    <w:rsid w:val="00F1040F"/>
    <w:rsid w:val="00F13A4D"/>
    <w:rsid w:val="00F30DD6"/>
    <w:rsid w:val="00F363BB"/>
    <w:rsid w:val="00F44162"/>
    <w:rsid w:val="00F51DC9"/>
    <w:rsid w:val="00F53E6F"/>
    <w:rsid w:val="00F54D70"/>
    <w:rsid w:val="00F5625D"/>
    <w:rsid w:val="00F60A77"/>
    <w:rsid w:val="00F6276E"/>
    <w:rsid w:val="00F63295"/>
    <w:rsid w:val="00F652D1"/>
    <w:rsid w:val="00F65BC0"/>
    <w:rsid w:val="00F66453"/>
    <w:rsid w:val="00F703A6"/>
    <w:rsid w:val="00F71506"/>
    <w:rsid w:val="00F73643"/>
    <w:rsid w:val="00F73E0F"/>
    <w:rsid w:val="00F7778A"/>
    <w:rsid w:val="00F810A4"/>
    <w:rsid w:val="00F84519"/>
    <w:rsid w:val="00F8770E"/>
    <w:rsid w:val="00F9024B"/>
    <w:rsid w:val="00F911D2"/>
    <w:rsid w:val="00F91E34"/>
    <w:rsid w:val="00F96E1D"/>
    <w:rsid w:val="00FB004B"/>
    <w:rsid w:val="00FB1144"/>
    <w:rsid w:val="00FB2612"/>
    <w:rsid w:val="00FB3246"/>
    <w:rsid w:val="00FB761A"/>
    <w:rsid w:val="00FC104C"/>
    <w:rsid w:val="00FC57F5"/>
    <w:rsid w:val="00FC5D1E"/>
    <w:rsid w:val="00FD1BA1"/>
    <w:rsid w:val="00FE011D"/>
    <w:rsid w:val="00FE5994"/>
    <w:rsid w:val="00FE67F2"/>
    <w:rsid w:val="00FF2B98"/>
    <w:rsid w:val="00FF6D46"/>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904A0"/>
  <w15:docId w15:val="{311921A1-DA72-416B-AA44-20F3102F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F1"/>
    <w:rPr>
      <w:rFonts w:ascii="Arial" w:eastAsia="Times New Roman" w:hAnsi="Arial"/>
      <w:sz w:val="24"/>
      <w:szCs w:val="24"/>
    </w:rPr>
  </w:style>
  <w:style w:type="paragraph" w:styleId="Heading2">
    <w:name w:val="heading 2"/>
    <w:basedOn w:val="NormalWeb"/>
    <w:next w:val="Normal"/>
    <w:link w:val="Heading2Char"/>
    <w:uiPriority w:val="9"/>
    <w:unhideWhenUsed/>
    <w:qFormat/>
    <w:rsid w:val="00ED370E"/>
    <w:pPr>
      <w:keepNext/>
      <w:tabs>
        <w:tab w:val="left" w:pos="567"/>
        <w:tab w:val="left" w:pos="1134"/>
        <w:tab w:val="left" w:pos="1701"/>
        <w:tab w:val="left" w:pos="2268"/>
      </w:tabs>
      <w:spacing w:before="240" w:beforeAutospacing="0" w:after="120" w:afterAutospacing="0"/>
      <w:jc w:val="both"/>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eastAsia="zh-CN"/>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fr-FR" w:eastAsia="fr-FR"/>
    </w:rPr>
  </w:style>
  <w:style w:type="paragraph" w:styleId="ListParagraph">
    <w:name w:val="List Paragraph"/>
    <w:basedOn w:val="Normal"/>
    <w:uiPriority w:val="34"/>
    <w:qFormat/>
    <w:rsid w:val="00E744D6"/>
    <w:pPr>
      <w:ind w:left="708"/>
    </w:pPr>
    <w:rPr>
      <w:rFonts w:ascii="Times New Roman" w:hAnsi="Times New Roman"/>
      <w:lang w:eastAsia="en-US"/>
    </w:rPr>
  </w:style>
  <w:style w:type="character" w:styleId="Hyperlink">
    <w:name w:val="Hyperlink"/>
    <w:basedOn w:val="DefaultParagraphFont"/>
    <w:uiPriority w:val="99"/>
    <w:unhideWhenUsed/>
    <w:rsid w:val="008D06B7"/>
    <w:rPr>
      <w:color w:val="0000FF"/>
      <w:u w:val="single"/>
    </w:rPr>
  </w:style>
  <w:style w:type="paragraph" w:styleId="NormalWeb">
    <w:name w:val="Normal (Web)"/>
    <w:basedOn w:val="Normal"/>
    <w:uiPriority w:val="99"/>
    <w:unhideWhenUsed/>
    <w:rsid w:val="00E43134"/>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4963DE"/>
    <w:pPr>
      <w:tabs>
        <w:tab w:val="center" w:pos="4513"/>
        <w:tab w:val="right" w:pos="9026"/>
      </w:tabs>
    </w:pPr>
  </w:style>
  <w:style w:type="character" w:customStyle="1" w:styleId="HeaderChar">
    <w:name w:val="Header Char"/>
    <w:basedOn w:val="DefaultParagraphFont"/>
    <w:link w:val="Header"/>
    <w:uiPriority w:val="99"/>
    <w:rsid w:val="004963DE"/>
    <w:rPr>
      <w:rFonts w:ascii="Arial" w:eastAsia="Times New Roman" w:hAnsi="Arial"/>
      <w:sz w:val="24"/>
      <w:szCs w:val="24"/>
      <w:lang w:val="fr-FR"/>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fr-FR"/>
    </w:rPr>
  </w:style>
  <w:style w:type="character" w:styleId="CommentReference">
    <w:name w:val="annotation reference"/>
    <w:basedOn w:val="DefaultParagraphFont"/>
    <w:uiPriority w:val="99"/>
    <w:semiHidden/>
    <w:unhideWhenUsed/>
    <w:rsid w:val="0023552F"/>
    <w:rPr>
      <w:sz w:val="16"/>
      <w:szCs w:val="16"/>
    </w:rPr>
  </w:style>
  <w:style w:type="paragraph" w:styleId="CommentText">
    <w:name w:val="annotation text"/>
    <w:basedOn w:val="Normal"/>
    <w:link w:val="CommentTextChar"/>
    <w:uiPriority w:val="99"/>
    <w:unhideWhenUsed/>
    <w:rsid w:val="0023552F"/>
    <w:rPr>
      <w:sz w:val="20"/>
      <w:szCs w:val="20"/>
    </w:rPr>
  </w:style>
  <w:style w:type="character" w:customStyle="1" w:styleId="CommentTextChar">
    <w:name w:val="Comment Text Char"/>
    <w:basedOn w:val="DefaultParagraphFont"/>
    <w:link w:val="CommentText"/>
    <w:uiPriority w:val="99"/>
    <w:rsid w:val="0023552F"/>
    <w:rPr>
      <w:rFonts w:ascii="Arial" w:eastAsia="Times New Roman" w:hAnsi="Arial"/>
      <w:lang w:val="fr-FR"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fr-FR"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51EF2"/>
    <w:rPr>
      <w:sz w:val="22"/>
      <w:szCs w:val="22"/>
      <w:lang w:eastAsia="zh-CN"/>
    </w:rPr>
  </w:style>
  <w:style w:type="character" w:customStyle="1" w:styleId="Heading2Char">
    <w:name w:val="Heading 2 Char"/>
    <w:basedOn w:val="DefaultParagraphFont"/>
    <w:link w:val="Heading2"/>
    <w:uiPriority w:val="9"/>
    <w:rsid w:val="00ED370E"/>
    <w:rPr>
      <w:rFonts w:ascii="Arial" w:eastAsia="Times New Roman" w:hAnsi="Arial" w:cs="Arial"/>
      <w:sz w:val="24"/>
      <w:szCs w:val="24"/>
    </w:rPr>
  </w:style>
  <w:style w:type="character" w:styleId="UnresolvedMention">
    <w:name w:val="Unresolved Mention"/>
    <w:basedOn w:val="DefaultParagraphFont"/>
    <w:uiPriority w:val="99"/>
    <w:semiHidden/>
    <w:unhideWhenUsed/>
    <w:rsid w:val="00344A03"/>
    <w:rPr>
      <w:color w:val="605E5C"/>
      <w:shd w:val="clear" w:color="auto" w:fill="E1DFDD"/>
    </w:rPr>
  </w:style>
  <w:style w:type="paragraph" w:styleId="Revision">
    <w:name w:val="Revision"/>
    <w:hidden/>
    <w:uiPriority w:val="99"/>
    <w:semiHidden/>
    <w:rsid w:val="003E428C"/>
    <w:rPr>
      <w:rFonts w:ascii="Arial" w:eastAsia="Times New Roman" w:hAnsi="Arial"/>
      <w:sz w:val="24"/>
      <w:szCs w:val="24"/>
    </w:rPr>
  </w:style>
  <w:style w:type="paragraph" w:customStyle="1" w:styleId="COMPara">
    <w:name w:val="COM Para"/>
    <w:qFormat/>
    <w:rsid w:val="004D23ED"/>
    <w:pPr>
      <w:spacing w:after="120"/>
    </w:pPr>
    <w:rPr>
      <w:rFonts w:ascii="Arial" w:eastAsia="Times New Roman" w:hAnsi="Arial" w:cs="Arial"/>
      <w:snapToGrid w:val="0"/>
      <w:sz w:val="22"/>
      <w:szCs w:val="22"/>
      <w:lang w:val="en-GB" w:eastAsia="en-US"/>
    </w:rPr>
  </w:style>
  <w:style w:type="paragraph" w:customStyle="1" w:styleId="Style1">
    <w:name w:val="Style1"/>
    <w:basedOn w:val="Normal"/>
    <w:link w:val="Style1Char"/>
    <w:qFormat/>
    <w:rsid w:val="004D23ED"/>
    <w:pPr>
      <w:tabs>
        <w:tab w:val="left" w:pos="1134"/>
        <w:tab w:val="left" w:pos="1701"/>
        <w:tab w:val="left" w:pos="2268"/>
      </w:tabs>
      <w:spacing w:before="120" w:after="120"/>
      <w:jc w:val="both"/>
    </w:pPr>
    <w:rPr>
      <w:rFonts w:cs="Arial"/>
      <w:sz w:val="22"/>
      <w:szCs w:val="22"/>
      <w:lang w:val="en-GB"/>
    </w:rPr>
  </w:style>
  <w:style w:type="character" w:customStyle="1" w:styleId="Style1Char">
    <w:name w:val="Style1 Char"/>
    <w:basedOn w:val="DefaultParagraphFont"/>
    <w:link w:val="Style1"/>
    <w:rsid w:val="004D23ED"/>
    <w:rPr>
      <w:rFonts w:ascii="Arial" w:eastAsia="Times New Roman" w:hAnsi="Arial" w:cs="Arial"/>
      <w:sz w:val="22"/>
      <w:szCs w:val="22"/>
      <w:lang w:val="en-GB"/>
    </w:rPr>
  </w:style>
  <w:style w:type="character" w:customStyle="1" w:styleId="NoSpacingChar">
    <w:name w:val="No Spacing Char"/>
    <w:basedOn w:val="DefaultParagraphFont"/>
    <w:link w:val="NoSpacing"/>
    <w:uiPriority w:val="1"/>
    <w:rsid w:val="004D23ED"/>
    <w:rPr>
      <w:sz w:val="22"/>
      <w:szCs w:val="22"/>
      <w:lang w:eastAsia="zh-CN"/>
    </w:rPr>
  </w:style>
  <w:style w:type="character" w:styleId="PageNumber">
    <w:name w:val="page number"/>
    <w:basedOn w:val="DefaultParagraphFont"/>
    <w:semiHidden/>
    <w:rsid w:val="004D23ED"/>
  </w:style>
  <w:style w:type="character" w:styleId="FollowedHyperlink">
    <w:name w:val="FollowedHyperlink"/>
    <w:basedOn w:val="DefaultParagraphFont"/>
    <w:uiPriority w:val="99"/>
    <w:semiHidden/>
    <w:unhideWhenUsed/>
    <w:rsid w:val="001460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1832">
      <w:bodyDiv w:val="1"/>
      <w:marLeft w:val="0"/>
      <w:marRight w:val="0"/>
      <w:marTop w:val="0"/>
      <w:marBottom w:val="0"/>
      <w:divBdr>
        <w:top w:val="none" w:sz="0" w:space="0" w:color="auto"/>
        <w:left w:val="none" w:sz="0" w:space="0" w:color="auto"/>
        <w:bottom w:val="none" w:sz="0" w:space="0" w:color="auto"/>
        <w:right w:val="none" w:sz="0" w:space="0" w:color="auto"/>
      </w:divBdr>
    </w:div>
    <w:div w:id="828058785">
      <w:bodyDiv w:val="1"/>
      <w:marLeft w:val="0"/>
      <w:marRight w:val="0"/>
      <w:marTop w:val="0"/>
      <w:marBottom w:val="0"/>
      <w:divBdr>
        <w:top w:val="none" w:sz="0" w:space="0" w:color="auto"/>
        <w:left w:val="none" w:sz="0" w:space="0" w:color="auto"/>
        <w:bottom w:val="none" w:sz="0" w:space="0" w:color="auto"/>
        <w:right w:val="none" w:sz="0" w:space="0" w:color="auto"/>
      </w:divBdr>
    </w:div>
    <w:div w:id="12043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7c-transfert-01413" TargetMode="External"/><Relationship Id="rId13" Type="http://schemas.openxmlformats.org/officeDocument/2006/relationships/hyperlink" Target="https://ich.unesco.org/fr/decisions/19.COM/6.A.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ich.unesco.org/fr/decisions/6.COM/8.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ich.unesco.org/fr/decisions/19.COM/6.A.9" TargetMode="External"/><Relationship Id="rId10" Type="http://schemas.openxmlformats.org/officeDocument/2006/relationships/hyperlink" Target="#Inscribe"/><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fr/7c-transfert-01413" TargetMode="External"/><Relationship Id="rId14" Type="http://schemas.openxmlformats.org/officeDocument/2006/relationships/hyperlink" Target="https://ich.unesco.org/fr/decisions/6.COM/8.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289B23EF8245058D8A201DFD6235BB"/>
        <w:category>
          <w:name w:val="General"/>
          <w:gallery w:val="placeholder"/>
        </w:category>
        <w:types>
          <w:type w:val="bbPlcHdr"/>
        </w:types>
        <w:behaviors>
          <w:behavior w:val="content"/>
        </w:behaviors>
        <w:guid w:val="{F26299F0-1D00-41AD-9FB0-5679B105F172}"/>
      </w:docPartPr>
      <w:docPartBody>
        <w:p w:rsidR="003077C4" w:rsidRDefault="003077C4" w:rsidP="003077C4">
          <w:pPr>
            <w:pStyle w:val="B5289B23EF8245058D8A201DFD6235BB"/>
          </w:pPr>
          <w:r>
            <w:rPr>
              <w:color w:val="0F4761" w:themeColor="accent1" w:themeShade="BF"/>
            </w:rPr>
            <w:t>[Nom de la société]</w:t>
          </w:r>
        </w:p>
      </w:docPartBody>
    </w:docPart>
    <w:docPart>
      <w:docPartPr>
        <w:name w:val="A2727F1775CE4805B40E07F96697412F"/>
        <w:category>
          <w:name w:val="General"/>
          <w:gallery w:val="placeholder"/>
        </w:category>
        <w:types>
          <w:type w:val="bbPlcHdr"/>
        </w:types>
        <w:behaviors>
          <w:behavior w:val="content"/>
        </w:behaviors>
        <w:guid w:val="{DC693576-F61B-4E3E-ACDE-14824C4C6CDD}"/>
      </w:docPartPr>
      <w:docPartBody>
        <w:p w:rsidR="003077C4" w:rsidRDefault="003077C4" w:rsidP="003077C4">
          <w:pPr>
            <w:pStyle w:val="A2727F1775CE4805B40E07F96697412F"/>
          </w:pPr>
          <w:r>
            <w:rPr>
              <w:rFonts w:asciiTheme="majorHAnsi" w:eastAsiaTheme="majorEastAsia" w:hAnsiTheme="majorHAnsi" w:cstheme="majorBidi"/>
              <w:color w:val="156082" w:themeColor="accent1"/>
              <w:sz w:val="88"/>
              <w:szCs w:val="88"/>
            </w:rPr>
            <w:t>[Titre du document]</w:t>
          </w:r>
        </w:p>
      </w:docPartBody>
    </w:docPart>
    <w:docPart>
      <w:docPartPr>
        <w:name w:val="710608E14EC24EAF91E7883E38B77E6C"/>
        <w:category>
          <w:name w:val="General"/>
          <w:gallery w:val="placeholder"/>
        </w:category>
        <w:types>
          <w:type w:val="bbPlcHdr"/>
        </w:types>
        <w:behaviors>
          <w:behavior w:val="content"/>
        </w:behaviors>
        <w:guid w:val="{50548FFC-CB3F-4095-94A1-B32617397916}"/>
      </w:docPartPr>
      <w:docPartBody>
        <w:p w:rsidR="003077C4" w:rsidRDefault="003077C4" w:rsidP="003077C4">
          <w:pPr>
            <w:pStyle w:val="710608E14EC24EAF91E7883E38B77E6C"/>
          </w:pPr>
          <w:r>
            <w:rPr>
              <w:color w:val="0F4761" w:themeColor="accent1" w:themeShade="BF"/>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C4"/>
    <w:rsid w:val="0025156B"/>
    <w:rsid w:val="003077C4"/>
    <w:rsid w:val="003C7E30"/>
    <w:rsid w:val="0054136C"/>
    <w:rsid w:val="005557B3"/>
    <w:rsid w:val="00887712"/>
    <w:rsid w:val="00891FF0"/>
    <w:rsid w:val="00990D4F"/>
    <w:rsid w:val="009A4F81"/>
    <w:rsid w:val="00A91D1A"/>
    <w:rsid w:val="00F51DC9"/>
    <w:rsid w:val="00F73643"/>
    <w:rsid w:val="00F91E34"/>
    <w:rsid w:val="00FF2B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289B23EF8245058D8A201DFD6235BB">
    <w:name w:val="B5289B23EF8245058D8A201DFD6235BB"/>
    <w:rsid w:val="003077C4"/>
  </w:style>
  <w:style w:type="paragraph" w:customStyle="1" w:styleId="A2727F1775CE4805B40E07F96697412F">
    <w:name w:val="A2727F1775CE4805B40E07F96697412F"/>
    <w:rsid w:val="003077C4"/>
  </w:style>
  <w:style w:type="paragraph" w:customStyle="1" w:styleId="710608E14EC24EAF91E7883E38B77E6C">
    <w:name w:val="710608E14EC24EAF91E7883E38B77E6C"/>
    <w:rsid w:val="00307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0E0BD-862D-435D-BE9F-FBB0B17098D9}">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3330</Words>
  <Characters>18982</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Examen des demandes de transfert d’éléments d’une liste à l’autre</vt:lpstr>
      <vt:lpstr>Examen des demandes de transfert d’éléments d’une liste à l’autre</vt:lpstr>
    </vt:vector>
  </TitlesOfParts>
  <Company>POINT 7.C DE L’ORDRE DU JOUR PROVISOIRE</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demandes de transfert d’éléments d’une liste à l’autre</dc:title>
  <dc:subject>Vingtième session, Comité intergouvernemental de sauvegarde du patrimoine culturel immatériel (New Delhi, Inde – du 8 décembre au 13 décembre 2025)</dc:subject>
  <dc:creator>CLT/CEH/ITH - H. Sicard</dc:creator>
  <cp:lastModifiedBy>Iturralde Agirre, Beñat</cp:lastModifiedBy>
  <cp:revision>8</cp:revision>
  <cp:lastPrinted>2009-05-07T17:43:00Z</cp:lastPrinted>
  <dcterms:created xsi:type="dcterms:W3CDTF">2025-10-15T14:06:00Z</dcterms:created>
  <dcterms:modified xsi:type="dcterms:W3CDTF">2025-10-30T17:12:00Z</dcterms:modified>
</cp:coreProperties>
</file>