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555F" w14:textId="77777777" w:rsidR="00711A28" w:rsidRPr="00A61C6E" w:rsidRDefault="00711A28" w:rsidP="00FB7F6A">
      <w:pPr>
        <w:spacing w:before="132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7C6FD6FA" w14:textId="77777777" w:rsidR="00711A28" w:rsidRPr="00A61C6E" w:rsidRDefault="00711A28" w:rsidP="00711A28">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6997413C" w14:textId="77777777" w:rsidR="00711A28" w:rsidRPr="00B43974" w:rsidRDefault="00711A28" w:rsidP="00711A28">
      <w:pPr>
        <w:spacing w:before="840"/>
        <w:jc w:val="center"/>
        <w:rPr>
          <w:rFonts w:ascii="Arial" w:hAnsi="Arial" w:cs="Arial"/>
          <w:b/>
          <w:sz w:val="22"/>
          <w:szCs w:val="22"/>
        </w:rPr>
      </w:pPr>
      <w:r>
        <w:rPr>
          <w:rFonts w:ascii="Arial" w:hAnsi="Arial" w:cs="Arial"/>
          <w:b/>
          <w:sz w:val="22"/>
          <w:szCs w:val="22"/>
        </w:rPr>
        <w:t>Vingtième</w:t>
      </w:r>
      <w:r w:rsidRPr="00F4581D">
        <w:rPr>
          <w:rFonts w:ascii="Arial" w:hAnsi="Arial" w:cs="Arial"/>
          <w:b/>
          <w:sz w:val="22"/>
          <w:szCs w:val="22"/>
        </w:rPr>
        <w:t xml:space="preserve"> </w:t>
      </w:r>
      <w:r w:rsidRPr="00B43974">
        <w:rPr>
          <w:rFonts w:ascii="Arial" w:hAnsi="Arial" w:cs="Arial"/>
          <w:b/>
          <w:sz w:val="22"/>
          <w:szCs w:val="22"/>
        </w:rPr>
        <w:t>session</w:t>
      </w:r>
    </w:p>
    <w:p w14:paraId="6AAE83EB" w14:textId="0897C09C" w:rsidR="00711A28" w:rsidRPr="009E0E64" w:rsidRDefault="00711A28" w:rsidP="00711A28">
      <w:pPr>
        <w:jc w:val="center"/>
        <w:rPr>
          <w:rFonts w:ascii="Arial" w:hAnsi="Arial"/>
          <w:b/>
          <w:sz w:val="22"/>
        </w:rPr>
      </w:pPr>
      <w:r w:rsidRPr="009E0E64">
        <w:rPr>
          <w:rFonts w:ascii="Arial" w:hAnsi="Arial"/>
          <w:b/>
          <w:sz w:val="22"/>
        </w:rPr>
        <w:t>New Delhi, République de l</w:t>
      </w:r>
      <w:r w:rsidR="00C93212">
        <w:rPr>
          <w:rFonts w:ascii="Arial" w:hAnsi="Arial"/>
          <w:b/>
          <w:sz w:val="22"/>
        </w:rPr>
        <w:t>’</w:t>
      </w:r>
      <w:r w:rsidRPr="009E0E64">
        <w:rPr>
          <w:rFonts w:ascii="Arial" w:hAnsi="Arial"/>
          <w:b/>
          <w:sz w:val="22"/>
        </w:rPr>
        <w:t>Inde</w:t>
      </w:r>
    </w:p>
    <w:p w14:paraId="4407C881" w14:textId="77777777" w:rsidR="00711A28" w:rsidRPr="00F4581D" w:rsidRDefault="00711A28" w:rsidP="00D071CF">
      <w:pPr>
        <w:jc w:val="center"/>
        <w:rPr>
          <w:rFonts w:ascii="Arial" w:hAnsi="Arial"/>
          <w:b/>
          <w:sz w:val="22"/>
        </w:rPr>
      </w:pPr>
      <w:r w:rsidRPr="009E0E64">
        <w:rPr>
          <w:rFonts w:ascii="Arial" w:hAnsi="Arial"/>
          <w:b/>
          <w:sz w:val="22"/>
        </w:rPr>
        <w:t>8 – 13 décembre 2025</w:t>
      </w:r>
    </w:p>
    <w:p w14:paraId="52EA6D50" w14:textId="371EA3A2" w:rsidR="00B2172B" w:rsidRPr="00CD7C16" w:rsidRDefault="00B2172B" w:rsidP="00B2172B">
      <w:pPr>
        <w:jc w:val="center"/>
        <w:rPr>
          <w:rFonts w:ascii="Arial" w:hAnsi="Arial" w:cs="Arial"/>
          <w:b/>
          <w:vanish/>
          <w:sz w:val="22"/>
          <w:szCs w:val="22"/>
        </w:rPr>
      </w:pPr>
    </w:p>
    <w:p w14:paraId="0BC40238" w14:textId="59AF8B9D" w:rsidR="00D071CF" w:rsidRPr="00B43974" w:rsidRDefault="00D071CF" w:rsidP="00D071CF">
      <w:pPr>
        <w:pStyle w:val="Sansinterligne2"/>
        <w:spacing w:before="960"/>
        <w:jc w:val="center"/>
        <w:rPr>
          <w:rFonts w:ascii="Arial" w:hAnsi="Arial" w:cs="Arial"/>
          <w:b/>
          <w:sz w:val="22"/>
          <w:szCs w:val="22"/>
        </w:rPr>
      </w:pPr>
      <w:r w:rsidRPr="00B43974">
        <w:rPr>
          <w:rFonts w:ascii="Arial" w:hAnsi="Arial" w:cs="Arial"/>
          <w:b/>
          <w:sz w:val="22"/>
          <w:szCs w:val="22"/>
          <w:u w:val="single"/>
        </w:rPr>
        <w:t xml:space="preserve">Point </w:t>
      </w:r>
      <w:r>
        <w:rPr>
          <w:rFonts w:ascii="Arial" w:hAnsi="Arial" w:cs="Arial"/>
          <w:b/>
          <w:sz w:val="22"/>
          <w:szCs w:val="22"/>
          <w:u w:val="single"/>
        </w:rPr>
        <w:t xml:space="preserve">6.a </w:t>
      </w:r>
      <w:r w:rsidRPr="00B43974">
        <w:rPr>
          <w:rFonts w:ascii="Arial" w:hAnsi="Arial" w:cs="Arial"/>
          <w:b/>
          <w:sz w:val="22"/>
          <w:szCs w:val="22"/>
          <w:u w:val="single"/>
        </w:rPr>
        <w:t>de l</w:t>
      </w:r>
      <w:r w:rsidR="00C93212">
        <w:rPr>
          <w:rFonts w:ascii="Arial" w:hAnsi="Arial" w:cs="Arial"/>
          <w:b/>
          <w:sz w:val="22"/>
          <w:szCs w:val="22"/>
          <w:u w:val="single"/>
        </w:rPr>
        <w:t>’</w:t>
      </w:r>
      <w:r w:rsidRPr="00B43974">
        <w:rPr>
          <w:rFonts w:ascii="Arial" w:hAnsi="Arial" w:cs="Arial"/>
          <w:b/>
          <w:sz w:val="22"/>
          <w:szCs w:val="22"/>
          <w:u w:val="single"/>
        </w:rPr>
        <w:t>ordre du jour provisoire</w:t>
      </w:r>
      <w:r w:rsidRPr="008F09EC">
        <w:rPr>
          <w:rFonts w:ascii="Arial" w:hAnsi="Arial" w:cs="Arial"/>
          <w:b/>
          <w:sz w:val="22"/>
          <w:szCs w:val="22"/>
        </w:rPr>
        <w:t> </w:t>
      </w:r>
      <w:r w:rsidRPr="00B43974">
        <w:rPr>
          <w:rFonts w:ascii="Arial" w:hAnsi="Arial" w:cs="Arial"/>
          <w:b/>
          <w:sz w:val="22"/>
          <w:szCs w:val="22"/>
        </w:rPr>
        <w:t>:</w:t>
      </w:r>
    </w:p>
    <w:p w14:paraId="7995E24D" w14:textId="198B09DB" w:rsidR="00D071CF" w:rsidRPr="00B43974" w:rsidRDefault="00D071CF" w:rsidP="00FB7F6A">
      <w:pPr>
        <w:pStyle w:val="NoSpacing"/>
        <w:tabs>
          <w:tab w:val="left" w:pos="4410"/>
          <w:tab w:val="center" w:pos="4819"/>
        </w:tabs>
        <w:spacing w:after="840"/>
        <w:jc w:val="center"/>
        <w:rPr>
          <w:rFonts w:ascii="Arial" w:hAnsi="Arial" w:cs="Arial"/>
          <w:b/>
          <w:sz w:val="22"/>
          <w:szCs w:val="22"/>
        </w:rPr>
      </w:pPr>
      <w:r>
        <w:rPr>
          <w:rFonts w:ascii="Arial" w:hAnsi="Arial"/>
          <w:b/>
          <w:sz w:val="22"/>
        </w:rPr>
        <w:t>Examen des rapports soumis par les États parties sur l</w:t>
      </w:r>
      <w:r w:rsidR="00C93212">
        <w:rPr>
          <w:rFonts w:ascii="Arial" w:hAnsi="Arial"/>
          <w:b/>
          <w:sz w:val="22"/>
        </w:rPr>
        <w:t>’</w:t>
      </w:r>
      <w:r>
        <w:rPr>
          <w:rFonts w:ascii="Arial" w:hAnsi="Arial"/>
          <w:b/>
          <w:sz w:val="22"/>
        </w:rPr>
        <w:t>état actuel des éléments inscrits sur la Liste du patrimoine culturel immatériel nécessitant une sauvegarde urgente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D071CF" w:rsidRPr="00B43974" w14:paraId="0D16021B" w14:textId="77777777" w:rsidTr="000B08C5">
        <w:trPr>
          <w:jc w:val="center"/>
        </w:trPr>
        <w:tc>
          <w:tcPr>
            <w:tcW w:w="7825" w:type="dxa"/>
            <w:vAlign w:val="center"/>
          </w:tcPr>
          <w:p w14:paraId="06179A83" w14:textId="77777777" w:rsidR="00D071CF" w:rsidRPr="00B43974" w:rsidRDefault="00D071CF" w:rsidP="000B08C5">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62B9FD08" w14:textId="2A6BE72E" w:rsidR="00D071CF" w:rsidRPr="00D071CF" w:rsidRDefault="00D071CF" w:rsidP="00D071CF">
            <w:pPr>
              <w:pStyle w:val="Sansinterligne1"/>
              <w:jc w:val="both"/>
              <w:rPr>
                <w:rFonts w:ascii="Arial" w:hAnsi="Arial" w:cs="Arial"/>
                <w:sz w:val="22"/>
                <w:szCs w:val="22"/>
              </w:rPr>
            </w:pPr>
            <w:r w:rsidRPr="00D071CF">
              <w:rPr>
                <w:rFonts w:ascii="Arial" w:hAnsi="Arial" w:cs="Arial"/>
                <w:sz w:val="22"/>
                <w:szCs w:val="22"/>
              </w:rPr>
              <w:t>Le présent document regroupe huit rapports soumis par les États parties concernant l</w:t>
            </w:r>
            <w:r w:rsidR="00C93212">
              <w:rPr>
                <w:rFonts w:ascii="Arial" w:hAnsi="Arial" w:cs="Arial"/>
                <w:sz w:val="22"/>
                <w:szCs w:val="22"/>
              </w:rPr>
              <w:t>’</w:t>
            </w:r>
            <w:r w:rsidRPr="00D071CF">
              <w:rPr>
                <w:rFonts w:ascii="Arial" w:hAnsi="Arial" w:cs="Arial"/>
                <w:sz w:val="22"/>
                <w:szCs w:val="22"/>
              </w:rPr>
              <w:t>état des éléments relevant du patrimoine culturel immatériel qui ont été inscrits sur la Liste du patrimoine culturel immatériel nécessitant une sauvegarde urgente, conformément aux paragraphes 160 à 164 des Directives opérationnelles.</w:t>
            </w:r>
          </w:p>
          <w:p w14:paraId="36ACCE7A" w14:textId="60D8EC04" w:rsidR="00D071CF" w:rsidRDefault="00D071CF" w:rsidP="00D071CF">
            <w:pPr>
              <w:pStyle w:val="Sansinterligne2"/>
              <w:spacing w:before="200" w:after="200"/>
              <w:ind w:right="284"/>
              <w:jc w:val="both"/>
              <w:rPr>
                <w:rFonts w:ascii="Arial" w:hAnsi="Arial" w:cs="Arial"/>
                <w:sz w:val="22"/>
                <w:szCs w:val="22"/>
              </w:rPr>
            </w:pPr>
            <w:r w:rsidRPr="00D071CF">
              <w:rPr>
                <w:rFonts w:ascii="Arial" w:hAnsi="Arial" w:cs="Arial"/>
                <w:sz w:val="22"/>
                <w:szCs w:val="22"/>
              </w:rPr>
              <w:t>Il comprend une vue d</w:t>
            </w:r>
            <w:r w:rsidR="00C93212">
              <w:rPr>
                <w:rFonts w:ascii="Arial" w:hAnsi="Arial" w:cs="Arial"/>
                <w:sz w:val="22"/>
                <w:szCs w:val="22"/>
              </w:rPr>
              <w:t>’</w:t>
            </w:r>
            <w:r w:rsidRPr="00D071CF">
              <w:rPr>
                <w:rFonts w:ascii="Arial" w:hAnsi="Arial" w:cs="Arial"/>
                <w:sz w:val="22"/>
                <w:szCs w:val="22"/>
              </w:rPr>
              <w:t>ensemble des rapports reçus ou en retard (partie A), des observations générales sur les rapports (partie B) ainsi qu</w:t>
            </w:r>
            <w:r w:rsidR="00C93212">
              <w:rPr>
                <w:rFonts w:ascii="Arial" w:hAnsi="Arial" w:cs="Arial"/>
                <w:sz w:val="22"/>
                <w:szCs w:val="22"/>
              </w:rPr>
              <w:t>’</w:t>
            </w:r>
            <w:r w:rsidRPr="00D071CF">
              <w:rPr>
                <w:rFonts w:ascii="Arial" w:hAnsi="Arial" w:cs="Arial"/>
                <w:sz w:val="22"/>
                <w:szCs w:val="22"/>
              </w:rPr>
              <w:t>une brève évaluation de chaque rapport soumis (partie C).</w:t>
            </w:r>
          </w:p>
          <w:p w14:paraId="5FB7110D" w14:textId="4724A3E4" w:rsidR="00D071CF" w:rsidRPr="00B43974" w:rsidRDefault="00D071CF" w:rsidP="00D071CF">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Pr="00D071CF">
              <w:rPr>
                <w:rFonts w:ascii="Arial" w:hAnsi="Arial" w:cs="Arial"/>
                <w:bCs/>
                <w:sz w:val="22"/>
                <w:szCs w:val="22"/>
              </w:rPr>
              <w:t>paragraphes 18, 25, 33, 41, 48, 57, 64, 71, 79</w:t>
            </w:r>
          </w:p>
        </w:tc>
      </w:tr>
    </w:tbl>
    <w:tbl>
      <w:tblPr>
        <w:tblStyle w:val="TableGrid"/>
        <w:tblW w:w="0" w:type="auto"/>
        <w:tblLook w:val="04A0" w:firstRow="1" w:lastRow="0" w:firstColumn="1" w:lastColumn="0" w:noHBand="0" w:noVBand="1"/>
      </w:tblPr>
      <w:tblGrid>
        <w:gridCol w:w="9628"/>
      </w:tblGrid>
      <w:tr w:rsidR="00001EAE" w:rsidRPr="00CD7C16" w14:paraId="31C88A24" w14:textId="77777777" w:rsidTr="00173229">
        <w:tc>
          <w:tcPr>
            <w:tcW w:w="9628" w:type="dxa"/>
            <w:shd w:val="clear" w:color="auto" w:fill="DBE5F1" w:themeFill="accent1" w:themeFillTint="33"/>
          </w:tcPr>
          <w:p w14:paraId="4E921D05" w14:textId="2BBF8DE4" w:rsidR="00001EAE" w:rsidRPr="00E96786" w:rsidRDefault="00001EAE" w:rsidP="00806D10">
            <w:pPr>
              <w:pStyle w:val="COMPara"/>
              <w:keepNext/>
              <w:numPr>
                <w:ilvl w:val="0"/>
                <w:numId w:val="0"/>
              </w:numPr>
              <w:ind w:left="-14"/>
              <w:jc w:val="both"/>
              <w:rPr>
                <w:rFonts w:asciiTheme="minorBidi" w:hAnsiTheme="minorBidi" w:cstheme="minorBidi"/>
                <w:i/>
                <w:iCs/>
              </w:rPr>
            </w:pPr>
            <w:bookmarkStart w:id="0" w:name="_Hlk124351255"/>
            <w:r>
              <w:rPr>
                <w:rFonts w:asciiTheme="minorBidi" w:hAnsiTheme="minorBidi"/>
                <w:i/>
              </w:rPr>
              <w:lastRenderedPageBreak/>
              <w:t xml:space="preserve">Les rapports soumis par les États parties sont publiés par le Secrétariat de la Convention de 2003 sur son site Internet, conformément au paragraphe 166 des Directives opérationnelles </w:t>
            </w:r>
            <w:r w:rsidR="0000529B">
              <w:rPr>
                <w:rFonts w:asciiTheme="minorBidi" w:hAnsiTheme="minorBidi"/>
                <w:i/>
              </w:rPr>
              <w:t xml:space="preserve">concernant </w:t>
            </w:r>
            <w:r>
              <w:rPr>
                <w:rFonts w:asciiTheme="minorBidi" w:hAnsiTheme="minorBidi"/>
                <w:i/>
              </w:rPr>
              <w:t xml:space="preserve">la procédure de soumission des rapports. En outre, les informations contenues dans les rapports sont </w:t>
            </w:r>
            <w:r w:rsidR="0000529B">
              <w:rPr>
                <w:rFonts w:asciiTheme="minorBidi" w:hAnsiTheme="minorBidi"/>
                <w:i/>
              </w:rPr>
              <w:t xml:space="preserve">reflétées </w:t>
            </w:r>
            <w:r>
              <w:rPr>
                <w:rFonts w:asciiTheme="minorBidi" w:hAnsiTheme="minorBidi"/>
                <w:i/>
              </w:rPr>
              <w:t>dans les documents de travail du Comité afin de garantir la transparence et l</w:t>
            </w:r>
            <w:r w:rsidR="00C93212">
              <w:rPr>
                <w:rFonts w:asciiTheme="minorBidi" w:hAnsiTheme="minorBidi"/>
                <w:i/>
              </w:rPr>
              <w:t>’</w:t>
            </w:r>
            <w:r>
              <w:rPr>
                <w:rFonts w:asciiTheme="minorBidi" w:hAnsiTheme="minorBidi"/>
                <w:i/>
              </w:rPr>
              <w:t>accès à l</w:t>
            </w:r>
            <w:r w:rsidR="00C93212">
              <w:rPr>
                <w:rFonts w:asciiTheme="minorBidi" w:hAnsiTheme="minorBidi"/>
                <w:i/>
              </w:rPr>
              <w:t>’</w:t>
            </w:r>
            <w:r>
              <w:rPr>
                <w:rFonts w:asciiTheme="minorBidi" w:hAnsiTheme="minorBidi"/>
                <w:i/>
              </w:rPr>
              <w:t>information.</w:t>
            </w:r>
          </w:p>
          <w:p w14:paraId="7409A9EB" w14:textId="19F81861" w:rsidR="00001EAE" w:rsidRPr="00E96786" w:rsidRDefault="00001EAE" w:rsidP="00001EAE">
            <w:pPr>
              <w:pStyle w:val="COMPara"/>
              <w:numPr>
                <w:ilvl w:val="0"/>
                <w:numId w:val="0"/>
              </w:numPr>
              <w:ind w:left="-20"/>
              <w:jc w:val="both"/>
              <w:rPr>
                <w:b/>
                <w:bCs/>
              </w:rPr>
            </w:pPr>
            <w:r>
              <w:rPr>
                <w:rFonts w:asciiTheme="minorBidi" w:hAnsiTheme="minorBidi"/>
                <w:i/>
              </w:rPr>
              <w:t>La responsabilité</w:t>
            </w:r>
            <w:r w:rsidR="0000529B">
              <w:rPr>
                <w:rFonts w:asciiTheme="minorBidi" w:hAnsiTheme="minorBidi"/>
                <w:i/>
              </w:rPr>
              <w:t xml:space="preserve"> </w:t>
            </w:r>
            <w:r w:rsidR="00C93212">
              <w:rPr>
                <w:rFonts w:asciiTheme="minorBidi" w:hAnsiTheme="minorBidi"/>
                <w:i/>
              </w:rPr>
              <w:t xml:space="preserve">exclusive </w:t>
            </w:r>
            <w:r>
              <w:rPr>
                <w:rFonts w:asciiTheme="minorBidi" w:hAnsiTheme="minorBidi"/>
                <w:i/>
              </w:rPr>
              <w:t xml:space="preserve">du contenu de chaque rapport incombe exclusivement aux États parties concernés. Les </w:t>
            </w:r>
            <w:r w:rsidR="00EF06DE">
              <w:rPr>
                <w:rFonts w:asciiTheme="minorBidi" w:hAnsiTheme="minorBidi"/>
                <w:i/>
              </w:rPr>
              <w:t xml:space="preserve">désignations </w:t>
            </w:r>
            <w:r>
              <w:rPr>
                <w:rFonts w:asciiTheme="minorBidi" w:hAnsiTheme="minorBidi"/>
                <w:i/>
              </w:rPr>
              <w:t>employé</w:t>
            </w:r>
            <w:r w:rsidR="00EF06DE">
              <w:rPr>
                <w:rFonts w:asciiTheme="minorBidi" w:hAnsiTheme="minorBidi"/>
                <w:i/>
              </w:rPr>
              <w:t>e</w:t>
            </w:r>
            <w:r>
              <w:rPr>
                <w:rFonts w:asciiTheme="minorBidi" w:hAnsiTheme="minorBidi"/>
                <w:i/>
              </w:rPr>
              <w:t>s dans les textes et documents présentés par les États parties n</w:t>
            </w:r>
            <w:r w:rsidR="00C93212">
              <w:rPr>
                <w:rFonts w:asciiTheme="minorBidi" w:hAnsiTheme="minorBidi"/>
                <w:i/>
              </w:rPr>
              <w:t>’</w:t>
            </w:r>
            <w:r>
              <w:rPr>
                <w:rFonts w:asciiTheme="minorBidi" w:hAnsiTheme="minorBidi"/>
                <w:i/>
              </w:rPr>
              <w:t xml:space="preserve">impliquent </w:t>
            </w:r>
            <w:r w:rsidR="00EF06DE">
              <w:rPr>
                <w:rFonts w:asciiTheme="minorBidi" w:hAnsiTheme="minorBidi"/>
                <w:i/>
              </w:rPr>
              <w:t>l</w:t>
            </w:r>
            <w:r w:rsidR="00C93212">
              <w:rPr>
                <w:rFonts w:asciiTheme="minorBidi" w:hAnsiTheme="minorBidi"/>
                <w:i/>
              </w:rPr>
              <w:t>’</w:t>
            </w:r>
            <w:r w:rsidR="00EF06DE">
              <w:rPr>
                <w:rFonts w:asciiTheme="minorBidi" w:hAnsiTheme="minorBidi"/>
                <w:i/>
              </w:rPr>
              <w:t>expression d</w:t>
            </w:r>
            <w:r w:rsidR="00C93212">
              <w:rPr>
                <w:rFonts w:asciiTheme="minorBidi" w:hAnsiTheme="minorBidi"/>
                <w:i/>
              </w:rPr>
              <w:t>’</w:t>
            </w:r>
            <w:r w:rsidR="00EF06DE">
              <w:rPr>
                <w:rFonts w:asciiTheme="minorBidi" w:hAnsiTheme="minorBidi"/>
                <w:i/>
              </w:rPr>
              <w:t>aucune opinion de la part</w:t>
            </w:r>
            <w:r>
              <w:rPr>
                <w:rFonts w:asciiTheme="minorBidi" w:hAnsiTheme="minorBidi"/>
                <w:i/>
              </w:rPr>
              <w:t xml:space="preserve"> du Comité ou de l</w:t>
            </w:r>
            <w:r w:rsidR="00C93212">
              <w:rPr>
                <w:rFonts w:asciiTheme="minorBidi" w:hAnsiTheme="minorBidi"/>
                <w:i/>
              </w:rPr>
              <w:t>’</w:t>
            </w:r>
            <w:r>
              <w:rPr>
                <w:rFonts w:asciiTheme="minorBidi" w:hAnsiTheme="minorBidi"/>
                <w:i/>
              </w:rPr>
              <w:t>UNESCO concernant : (a) le statut juridique d</w:t>
            </w:r>
            <w:r w:rsidR="00EF06DE">
              <w:rPr>
                <w:rFonts w:asciiTheme="minorBidi" w:hAnsiTheme="minorBidi"/>
                <w:i/>
              </w:rPr>
              <w:t>e tout</w:t>
            </w:r>
            <w:r>
              <w:rPr>
                <w:rFonts w:asciiTheme="minorBidi" w:hAnsiTheme="minorBidi"/>
                <w:i/>
              </w:rPr>
              <w:t xml:space="preserve"> pays, territoire, ville ou</w:t>
            </w:r>
            <w:r w:rsidR="00EF06DE">
              <w:rPr>
                <w:rFonts w:asciiTheme="minorBidi" w:hAnsiTheme="minorBidi"/>
                <w:i/>
              </w:rPr>
              <w:t xml:space="preserve"> zone</w:t>
            </w:r>
            <w:r w:rsidR="00C93212">
              <w:rPr>
                <w:rFonts w:asciiTheme="minorBidi" w:hAnsiTheme="minorBidi"/>
                <w:i/>
              </w:rPr>
              <w:t xml:space="preserve"> </w:t>
            </w:r>
            <w:r>
              <w:rPr>
                <w:rFonts w:asciiTheme="minorBidi" w:hAnsiTheme="minorBidi"/>
                <w:i/>
              </w:rPr>
              <w:t>; (b) le statut juridique de ses autorités ; (c) la délimitation de ses frontières ou limites ; ou (d) des références à des événements historiques spécifiques.</w:t>
            </w:r>
          </w:p>
        </w:tc>
      </w:tr>
    </w:tbl>
    <w:p w14:paraId="1289A6BC" w14:textId="5FB2FF98" w:rsidR="00CC5CDD" w:rsidRPr="00E96786" w:rsidRDefault="00CC5CDD" w:rsidP="00894010">
      <w:pPr>
        <w:pStyle w:val="COMPara"/>
        <w:numPr>
          <w:ilvl w:val="0"/>
          <w:numId w:val="5"/>
        </w:numPr>
        <w:spacing w:before="240"/>
        <w:ind w:left="567" w:hanging="567"/>
        <w:jc w:val="both"/>
        <w:rPr>
          <w:b/>
          <w:bCs/>
        </w:rPr>
      </w:pPr>
      <w:r>
        <w:rPr>
          <w:b/>
        </w:rPr>
        <w:t>Contexte</w:t>
      </w:r>
    </w:p>
    <w:p w14:paraId="45CE43F4" w14:textId="01B2D7DD" w:rsidR="00CC5CDD" w:rsidRPr="00E96786" w:rsidRDefault="00CC5CDD" w:rsidP="00894010">
      <w:pPr>
        <w:pStyle w:val="COMPara"/>
        <w:numPr>
          <w:ilvl w:val="0"/>
          <w:numId w:val="6"/>
        </w:numPr>
        <w:ind w:left="567" w:hanging="567"/>
        <w:jc w:val="both"/>
        <w:rPr>
          <w:rFonts w:asciiTheme="minorBidi" w:hAnsiTheme="minorBidi" w:cstheme="minorBidi"/>
        </w:rPr>
      </w:pPr>
      <w:r>
        <w:rPr>
          <w:rFonts w:asciiTheme="minorBidi" w:hAnsiTheme="minorBidi"/>
        </w:rPr>
        <w:t>Conformément à l</w:t>
      </w:r>
      <w:r w:rsidR="00C93212">
        <w:rPr>
          <w:rFonts w:asciiTheme="minorBidi" w:hAnsiTheme="minorBidi"/>
        </w:rPr>
        <w:t>’</w:t>
      </w:r>
      <w:r>
        <w:rPr>
          <w:rFonts w:asciiTheme="minorBidi" w:hAnsiTheme="minorBidi"/>
        </w:rPr>
        <w:t xml:space="preserve">article 29, « les États parties présentent au Comité [...] des rapports sur les </w:t>
      </w:r>
      <w:r w:rsidR="00EF06DE">
        <w:rPr>
          <w:rFonts w:asciiTheme="minorBidi" w:hAnsiTheme="minorBidi"/>
        </w:rPr>
        <w:t xml:space="preserve">dispositions </w:t>
      </w:r>
      <w:r>
        <w:rPr>
          <w:rFonts w:asciiTheme="minorBidi" w:hAnsiTheme="minorBidi"/>
        </w:rPr>
        <w:t xml:space="preserve">législatives, réglementaires et autres prises pour </w:t>
      </w:r>
      <w:r w:rsidR="00EF06DE">
        <w:rPr>
          <w:rFonts w:asciiTheme="minorBidi" w:hAnsiTheme="minorBidi"/>
        </w:rPr>
        <w:t xml:space="preserve">la mise en </w:t>
      </w:r>
      <w:r w:rsidR="008270F0">
        <w:rPr>
          <w:rFonts w:asciiTheme="minorBidi" w:hAnsiTheme="minorBidi"/>
        </w:rPr>
        <w:t>œuvre</w:t>
      </w:r>
      <w:r w:rsidR="00EF06DE">
        <w:rPr>
          <w:rFonts w:asciiTheme="minorBidi" w:hAnsiTheme="minorBidi"/>
        </w:rPr>
        <w:t xml:space="preserve"> </w:t>
      </w:r>
      <w:r>
        <w:rPr>
          <w:rFonts w:asciiTheme="minorBidi" w:hAnsiTheme="minorBidi"/>
        </w:rPr>
        <w:t>de la présente Convention ». L</w:t>
      </w:r>
      <w:r w:rsidR="00C93212">
        <w:rPr>
          <w:rFonts w:asciiTheme="minorBidi" w:hAnsiTheme="minorBidi"/>
        </w:rPr>
        <w:t>’</w:t>
      </w:r>
      <w:r>
        <w:rPr>
          <w:rFonts w:asciiTheme="minorBidi" w:hAnsiTheme="minorBidi"/>
        </w:rPr>
        <w:t>une des tâches du Comité, telle que définie à l</w:t>
      </w:r>
      <w:r w:rsidR="00C93212">
        <w:rPr>
          <w:rFonts w:asciiTheme="minorBidi" w:hAnsiTheme="minorBidi"/>
        </w:rPr>
        <w:t>’</w:t>
      </w:r>
      <w:r>
        <w:rPr>
          <w:rFonts w:asciiTheme="minorBidi" w:hAnsiTheme="minorBidi"/>
        </w:rPr>
        <w:t>article 7(f) de la Convention, consiste à examiner les rapports soumis par les États parties à cette fin et d</w:t>
      </w:r>
      <w:r w:rsidR="00C93212">
        <w:rPr>
          <w:rFonts w:asciiTheme="minorBidi" w:hAnsiTheme="minorBidi"/>
        </w:rPr>
        <w:t>’</w:t>
      </w:r>
      <w:r>
        <w:rPr>
          <w:rFonts w:asciiTheme="minorBidi" w:hAnsiTheme="minorBidi"/>
        </w:rPr>
        <w:t>en faire un résumé pour l</w:t>
      </w:r>
      <w:r w:rsidR="00C93212">
        <w:rPr>
          <w:rFonts w:asciiTheme="minorBidi" w:hAnsiTheme="minorBidi"/>
        </w:rPr>
        <w:t>’</w:t>
      </w:r>
      <w:r>
        <w:rPr>
          <w:rFonts w:asciiTheme="minorBidi" w:hAnsiTheme="minorBidi"/>
        </w:rPr>
        <w:t>Assemblée générale. Conformément à l</w:t>
      </w:r>
      <w:r w:rsidR="00C93212">
        <w:rPr>
          <w:rFonts w:asciiTheme="minorBidi" w:hAnsiTheme="minorBidi"/>
        </w:rPr>
        <w:t>’</w:t>
      </w:r>
      <w:r>
        <w:rPr>
          <w:rFonts w:asciiTheme="minorBidi" w:hAnsiTheme="minorBidi"/>
        </w:rPr>
        <w:t>article 30, le Comité soumet ensuite son propre rapport, basé en partie sur ces rapports, à l</w:t>
      </w:r>
      <w:r w:rsidR="00C93212">
        <w:rPr>
          <w:rFonts w:asciiTheme="minorBidi" w:hAnsiTheme="minorBidi"/>
        </w:rPr>
        <w:t>’</w:t>
      </w:r>
      <w:r>
        <w:rPr>
          <w:rFonts w:asciiTheme="minorBidi" w:hAnsiTheme="minorBidi"/>
        </w:rPr>
        <w:t>Assemblée générale.</w:t>
      </w:r>
    </w:p>
    <w:p w14:paraId="1511B053" w14:textId="3DB60CEE" w:rsidR="00CC5CDD" w:rsidRPr="00E96786" w:rsidRDefault="00CC5CDD" w:rsidP="00894010">
      <w:pPr>
        <w:pStyle w:val="COMPara"/>
        <w:numPr>
          <w:ilvl w:val="0"/>
          <w:numId w:val="6"/>
        </w:numPr>
        <w:tabs>
          <w:tab w:val="left" w:pos="720"/>
        </w:tabs>
        <w:ind w:left="567" w:hanging="567"/>
        <w:jc w:val="both"/>
        <w:rPr>
          <w:rFonts w:asciiTheme="minorBidi" w:hAnsiTheme="minorBidi" w:cstheme="minorBidi"/>
        </w:rPr>
      </w:pPr>
      <w:r>
        <w:rPr>
          <w:rFonts w:asciiTheme="minorBidi" w:hAnsiTheme="minorBidi"/>
        </w:rPr>
        <w:t>Conformément aux paragraphes 160 à 164 des Directives opérationnelles, chaque État partie ayant un élément inscrit sur la Liste du patrimoine culturel immatériel nécessitant une sauvegarde urgente (ci-après, « la Liste de sauvegarde urgente ») soumet au Comité des rapports réguliers sur l</w:t>
      </w:r>
      <w:r w:rsidR="00C93212">
        <w:rPr>
          <w:rFonts w:asciiTheme="minorBidi" w:hAnsiTheme="minorBidi"/>
        </w:rPr>
        <w:t>’</w:t>
      </w:r>
      <w:r>
        <w:rPr>
          <w:rFonts w:asciiTheme="minorBidi" w:hAnsiTheme="minorBidi"/>
        </w:rPr>
        <w:t>état de l</w:t>
      </w:r>
      <w:r w:rsidR="00C93212">
        <w:rPr>
          <w:rFonts w:asciiTheme="minorBidi" w:hAnsiTheme="minorBidi"/>
        </w:rPr>
        <w:t>’</w:t>
      </w:r>
      <w:r>
        <w:rPr>
          <w:rFonts w:asciiTheme="minorBidi" w:hAnsiTheme="minorBidi"/>
        </w:rPr>
        <w:t>élément en question. Ces rapports sont normalement soumis au plus tard le 15 décembre de la quatrième année suivant l</w:t>
      </w:r>
      <w:r w:rsidR="00C93212">
        <w:rPr>
          <w:rFonts w:asciiTheme="minorBidi" w:hAnsiTheme="minorBidi"/>
        </w:rPr>
        <w:t>’</w:t>
      </w:r>
      <w:r>
        <w:rPr>
          <w:rFonts w:asciiTheme="minorBidi" w:hAnsiTheme="minorBidi"/>
        </w:rPr>
        <w:t>année d</w:t>
      </w:r>
      <w:r w:rsidR="00C93212">
        <w:rPr>
          <w:rFonts w:asciiTheme="minorBidi" w:hAnsiTheme="minorBidi"/>
        </w:rPr>
        <w:t>’</w:t>
      </w:r>
      <w:r>
        <w:rPr>
          <w:rFonts w:asciiTheme="minorBidi" w:hAnsiTheme="minorBidi"/>
        </w:rPr>
        <w:t>inscription de l</w:t>
      </w:r>
      <w:r w:rsidR="00C93212">
        <w:rPr>
          <w:rFonts w:asciiTheme="minorBidi" w:hAnsiTheme="minorBidi"/>
        </w:rPr>
        <w:t>’</w:t>
      </w:r>
      <w:r>
        <w:rPr>
          <w:rFonts w:asciiTheme="minorBidi" w:hAnsiTheme="minorBidi"/>
        </w:rPr>
        <w:t>élément, et tous les quatre ans par la suite. Une fois soumis, ils sont reçus et traités par le Secrétariat, comme prévu aux paragraphes 165 et 166 des Directives opérationnelles.</w:t>
      </w:r>
    </w:p>
    <w:p w14:paraId="62A61AF8" w14:textId="7022FA48" w:rsidR="00CC5CDD" w:rsidRPr="00E96786" w:rsidRDefault="00CC5CDD" w:rsidP="00894010">
      <w:pPr>
        <w:pStyle w:val="COMPara"/>
        <w:numPr>
          <w:ilvl w:val="0"/>
          <w:numId w:val="6"/>
        </w:numPr>
        <w:tabs>
          <w:tab w:val="left" w:pos="720"/>
        </w:tabs>
        <w:ind w:left="567" w:hanging="567"/>
        <w:jc w:val="both"/>
        <w:rPr>
          <w:rFonts w:asciiTheme="minorBidi" w:hAnsiTheme="minorBidi" w:cstheme="minorBidi"/>
        </w:rPr>
      </w:pPr>
      <w:r>
        <w:rPr>
          <w:rFonts w:asciiTheme="minorBidi" w:hAnsiTheme="minorBidi"/>
        </w:rPr>
        <w:t xml:space="preserve">Le présent document concerne </w:t>
      </w:r>
      <w:r w:rsidRPr="001A5B04">
        <w:rPr>
          <w:rFonts w:asciiTheme="minorBidi" w:hAnsiTheme="minorBidi"/>
          <w:u w:val="single"/>
        </w:rPr>
        <w:t>le douzième cycle de rapports périodiques</w:t>
      </w:r>
      <w:r>
        <w:rPr>
          <w:rFonts w:asciiTheme="minorBidi" w:hAnsiTheme="minorBidi"/>
        </w:rPr>
        <w:t xml:space="preserve"> (cycle 2025)</w:t>
      </w:r>
      <w:r w:rsidRPr="00E96786">
        <w:rPr>
          <w:rStyle w:val="FootnoteReference"/>
        </w:rPr>
        <w:footnoteReference w:id="1"/>
      </w:r>
      <w:r w:rsidRPr="00E96786">
        <w:rPr>
          <w:rStyle w:val="FootnoteReference"/>
        </w:rPr>
        <w:t xml:space="preserve"> </w:t>
      </w:r>
      <w:r>
        <w:rPr>
          <w:rStyle w:val="FootnoteReference"/>
        </w:rPr>
        <w:t xml:space="preserve"> </w:t>
      </w:r>
      <w:r>
        <w:rPr>
          <w:rFonts w:asciiTheme="minorBidi" w:hAnsiTheme="minorBidi"/>
        </w:rPr>
        <w:t>pour les rapports sur les éléments inscrits sur la Liste de sauvegarde urgente soumis avant la date limite du 15 décembre 2024 ou après</w:t>
      </w:r>
      <w:r w:rsidRPr="00E96786">
        <w:rPr>
          <w:rStyle w:val="FootnoteReference"/>
        </w:rPr>
        <w:footnoteReference w:id="2"/>
      </w:r>
      <w:r w:rsidRPr="00E96786">
        <w:rPr>
          <w:rStyle w:val="FootnoteReference"/>
        </w:rPr>
        <w:t xml:space="preserve"> </w:t>
      </w:r>
      <w:r w:rsidRPr="001A5B04">
        <w:t>.</w:t>
      </w:r>
      <w:r w:rsidRPr="001A5B04">
        <w:rPr>
          <w:rStyle w:val="FootnoteReference"/>
        </w:rPr>
        <w:t xml:space="preserve"> </w:t>
      </w:r>
      <w:r>
        <w:rPr>
          <w:rFonts w:asciiTheme="minorBidi" w:hAnsiTheme="minorBidi"/>
        </w:rPr>
        <w:t>Ce cycle couvre : (a) les premiers rapports sur les éléments inscrits en 2020 ; (b) les deuxièmes rapports sur les éléments inscrits en 2016 ; et (c) les troisièmes rapports sur les éléments inscrits en 2012. Sur les quinze rapports qui devaient être examinés par le Comité lors de la présente session, huit ont été soumis par huit États parties, dont sept en retard.</w:t>
      </w:r>
    </w:p>
    <w:p w14:paraId="3CD6E12C" w14:textId="581FD3F9" w:rsidR="008270F0" w:rsidRPr="00323FC6" w:rsidRDefault="00CC5CDD" w:rsidP="008270F0">
      <w:pPr>
        <w:pStyle w:val="COMPara"/>
        <w:numPr>
          <w:ilvl w:val="0"/>
          <w:numId w:val="6"/>
        </w:numPr>
        <w:ind w:left="567" w:hanging="567"/>
        <w:jc w:val="both"/>
        <w:rPr>
          <w:color w:val="000000" w:themeColor="text1"/>
        </w:rPr>
      </w:pPr>
      <w:r>
        <w:rPr>
          <w:rFonts w:asciiTheme="minorBidi" w:hAnsiTheme="minorBidi"/>
        </w:rPr>
        <w:t>Le présent document comprend une vue d</w:t>
      </w:r>
      <w:r w:rsidR="00C93212">
        <w:rPr>
          <w:rFonts w:asciiTheme="minorBidi" w:hAnsiTheme="minorBidi"/>
        </w:rPr>
        <w:t>’</w:t>
      </w:r>
      <w:r>
        <w:rPr>
          <w:rFonts w:asciiTheme="minorBidi" w:hAnsiTheme="minorBidi"/>
        </w:rPr>
        <w:t>ensemble des huit rapports reçus et des sept rapports soumis en retard (section A), des observations générales sur les rapports soumis, accompagnées d</w:t>
      </w:r>
      <w:r w:rsidR="00C93212">
        <w:rPr>
          <w:rFonts w:asciiTheme="minorBidi" w:hAnsiTheme="minorBidi"/>
        </w:rPr>
        <w:t>’</w:t>
      </w:r>
      <w:r>
        <w:rPr>
          <w:rFonts w:asciiTheme="minorBidi" w:hAnsiTheme="minorBidi"/>
        </w:rPr>
        <w:t>une décision globale (section B), ainsi qu</w:t>
      </w:r>
      <w:r w:rsidR="00C93212">
        <w:rPr>
          <w:rFonts w:asciiTheme="minorBidi" w:hAnsiTheme="minorBidi"/>
        </w:rPr>
        <w:t>’</w:t>
      </w:r>
      <w:r>
        <w:rPr>
          <w:rFonts w:asciiTheme="minorBidi" w:hAnsiTheme="minorBidi"/>
        </w:rPr>
        <w:t>un résumé et un projet de décision pour chacun des rapports (section C), pour examen par le Comité. Chacun de ces rapports est disponible à l</w:t>
      </w:r>
      <w:r w:rsidR="00C93212">
        <w:rPr>
          <w:rFonts w:asciiTheme="minorBidi" w:hAnsiTheme="minorBidi"/>
        </w:rPr>
        <w:t>’</w:t>
      </w:r>
      <w:r>
        <w:rPr>
          <w:rFonts w:asciiTheme="minorBidi" w:hAnsiTheme="minorBidi"/>
        </w:rPr>
        <w:t>adresse :</w:t>
      </w:r>
      <w:r w:rsidR="00323FC6">
        <w:rPr>
          <w:rFonts w:asciiTheme="minorBidi" w:hAnsiTheme="minorBidi"/>
        </w:rPr>
        <w:t xml:space="preserve"> </w:t>
      </w:r>
      <w:hyperlink r:id="rId8" w:history="1">
        <w:r w:rsidR="00323FC6" w:rsidRPr="00745C43">
          <w:rPr>
            <w:rStyle w:val="Hyperlink"/>
          </w:rPr>
          <w:t>https://ich.unesco.org/fr/6a-rapports-periodiques-lsu-01409</w:t>
        </w:r>
      </w:hyperlink>
      <w:r w:rsidR="008270F0" w:rsidRPr="00323FC6">
        <w:rPr>
          <w:color w:val="000000" w:themeColor="text1"/>
        </w:rPr>
        <w:t>.</w:t>
      </w:r>
    </w:p>
    <w:p w14:paraId="67CB5C91" w14:textId="7659AD01" w:rsidR="00CC5CDD" w:rsidRPr="00E96786" w:rsidRDefault="00CC5CDD" w:rsidP="00F92876">
      <w:pPr>
        <w:pStyle w:val="COMPara"/>
        <w:keepNext/>
        <w:numPr>
          <w:ilvl w:val="0"/>
          <w:numId w:val="6"/>
        </w:numPr>
        <w:ind w:left="562" w:hanging="562"/>
        <w:jc w:val="both"/>
      </w:pPr>
      <w:r>
        <w:rPr>
          <w:rFonts w:asciiTheme="minorBidi" w:hAnsiTheme="minorBidi"/>
          <w:b/>
        </w:rPr>
        <w:lastRenderedPageBreak/>
        <w:t>Premiers rapports</w:t>
      </w:r>
      <w:r>
        <w:rPr>
          <w:rFonts w:asciiTheme="minorBidi" w:hAnsiTheme="minorBidi"/>
        </w:rPr>
        <w:t xml:space="preserve">. Les deux premiers rapports attendus dans le cadre de ce cycle ont été dûment soumis et </w:t>
      </w:r>
      <w:r>
        <w:t>sont présentés à cette session du Comité dans le tableau ci-après.</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938"/>
        <w:gridCol w:w="1704"/>
        <w:gridCol w:w="3622"/>
        <w:gridCol w:w="1314"/>
        <w:gridCol w:w="1226"/>
        <w:gridCol w:w="848"/>
      </w:tblGrid>
      <w:tr w:rsidR="00990F1C" w:rsidRPr="00E96786" w14:paraId="59373BFD" w14:textId="77777777" w:rsidTr="004D40FC">
        <w:trPr>
          <w:cantSplit/>
          <w:trHeight w:val="928"/>
          <w:tblHeader/>
          <w:jc w:val="center"/>
        </w:trPr>
        <w:tc>
          <w:tcPr>
            <w:tcW w:w="669"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C9166C9" w14:textId="77777777" w:rsidR="00990F1C" w:rsidRPr="00E96786" w:rsidRDefault="00990F1C" w:rsidP="00F92876">
            <w:pPr>
              <w:keepNext/>
              <w:widowControl w:val="0"/>
              <w:numPr>
                <w:ilvl w:val="0"/>
                <w:numId w:val="7"/>
              </w:numPr>
              <w:tabs>
                <w:tab w:val="left" w:pos="74"/>
              </w:tabs>
              <w:snapToGrid w:val="0"/>
              <w:ind w:left="0" w:hanging="567"/>
              <w:jc w:val="center"/>
              <w:outlineLvl w:val="3"/>
              <w:rPr>
                <w:rFonts w:ascii="Arial" w:hAnsi="Arial"/>
                <w:b/>
                <w:bCs/>
                <w:snapToGrid w:val="0"/>
                <w:sz w:val="20"/>
                <w:szCs w:val="20"/>
              </w:rPr>
            </w:pPr>
            <w:r>
              <w:rPr>
                <w:rFonts w:ascii="Arial" w:hAnsi="Arial"/>
                <w:b/>
                <w:snapToGrid w:val="0"/>
                <w:sz w:val="20"/>
              </w:rPr>
              <w:t>Projet de décision</w:t>
            </w:r>
          </w:p>
        </w:tc>
        <w:tc>
          <w:tcPr>
            <w:tcW w:w="786" w:type="pct"/>
            <w:tcBorders>
              <w:top w:val="single" w:sz="4" w:space="0" w:color="auto"/>
              <w:left w:val="nil"/>
              <w:bottom w:val="single" w:sz="4" w:space="0" w:color="auto"/>
              <w:right w:val="nil"/>
            </w:tcBorders>
            <w:shd w:val="clear" w:color="auto" w:fill="D9D9D9" w:themeFill="background1" w:themeFillShade="D9"/>
            <w:vAlign w:val="center"/>
          </w:tcPr>
          <w:p w14:paraId="61210AD4" w14:textId="77777777" w:rsidR="00990F1C" w:rsidRPr="00E96786" w:rsidRDefault="00990F1C" w:rsidP="00F92876">
            <w:pPr>
              <w:keepNext/>
              <w:widowControl w:val="0"/>
              <w:snapToGrid w:val="0"/>
              <w:jc w:val="center"/>
              <w:rPr>
                <w:rFonts w:ascii="Arial" w:hAnsi="Arial" w:cs="Arial"/>
                <w:b/>
                <w:bCs/>
                <w:color w:val="000000"/>
                <w:sz w:val="20"/>
                <w:szCs w:val="20"/>
              </w:rPr>
            </w:pPr>
            <w:r>
              <w:rPr>
                <w:rFonts w:ascii="Arial" w:hAnsi="Arial"/>
                <w:b/>
                <w:color w:val="000000"/>
                <w:sz w:val="20"/>
              </w:rPr>
              <w:t>État</w:t>
            </w:r>
          </w:p>
          <w:p w14:paraId="4BA950BD" w14:textId="77777777" w:rsidR="00990F1C" w:rsidRPr="00E96786" w:rsidRDefault="00990F1C" w:rsidP="00F92876">
            <w:pPr>
              <w:keepNext/>
              <w:widowControl w:val="0"/>
              <w:snapToGrid w:val="0"/>
              <w:jc w:val="center"/>
              <w:rPr>
                <w:rFonts w:ascii="Arial" w:hAnsi="Arial" w:cs="Arial"/>
                <w:b/>
                <w:bCs/>
                <w:color w:val="000000"/>
                <w:sz w:val="20"/>
                <w:szCs w:val="20"/>
              </w:rPr>
            </w:pPr>
            <w:r>
              <w:rPr>
                <w:rFonts w:ascii="Arial" w:hAnsi="Arial"/>
                <w:b/>
                <w:color w:val="000000"/>
                <w:sz w:val="20"/>
              </w:rPr>
              <w:t>soumissionnaire</w:t>
            </w:r>
          </w:p>
        </w:tc>
        <w:tc>
          <w:tcPr>
            <w:tcW w:w="2059" w:type="pct"/>
            <w:tcBorders>
              <w:top w:val="single" w:sz="4" w:space="0" w:color="auto"/>
              <w:left w:val="nil"/>
              <w:bottom w:val="single" w:sz="4" w:space="0" w:color="auto"/>
              <w:right w:val="nil"/>
            </w:tcBorders>
            <w:shd w:val="clear" w:color="auto" w:fill="D9D9D9" w:themeFill="background1" w:themeFillShade="D9"/>
            <w:vAlign w:val="center"/>
            <w:hideMark/>
          </w:tcPr>
          <w:p w14:paraId="398B47D0" w14:textId="77777777" w:rsidR="00990F1C" w:rsidRPr="00E96786" w:rsidRDefault="00990F1C" w:rsidP="00F92876">
            <w:pPr>
              <w:keepNext/>
              <w:widowControl w:val="0"/>
              <w:snapToGrid w:val="0"/>
              <w:jc w:val="center"/>
              <w:rPr>
                <w:rFonts w:ascii="Arial" w:hAnsi="Arial" w:cs="Arial"/>
                <w:color w:val="000000"/>
                <w:sz w:val="20"/>
                <w:szCs w:val="20"/>
              </w:rPr>
            </w:pPr>
            <w:r>
              <w:rPr>
                <w:rFonts w:ascii="Arial" w:hAnsi="Arial"/>
                <w:b/>
                <w:color w:val="000000"/>
                <w:sz w:val="20"/>
              </w:rPr>
              <w:t>Élément</w:t>
            </w:r>
          </w:p>
        </w:tc>
        <w:tc>
          <w:tcPr>
            <w:tcW w:w="589" w:type="pct"/>
            <w:tcBorders>
              <w:top w:val="single" w:sz="4" w:space="0" w:color="auto"/>
              <w:left w:val="nil"/>
              <w:bottom w:val="single" w:sz="4" w:space="0" w:color="auto"/>
              <w:right w:val="nil"/>
            </w:tcBorders>
            <w:shd w:val="clear" w:color="auto" w:fill="D9D9D9" w:themeFill="background1" w:themeFillShade="D9"/>
            <w:vAlign w:val="center"/>
            <w:hideMark/>
          </w:tcPr>
          <w:p w14:paraId="2F4ED8A5" w14:textId="25D88F31" w:rsidR="00990F1C" w:rsidRPr="00E96786" w:rsidRDefault="00990F1C" w:rsidP="00F92876">
            <w:pPr>
              <w:keepNext/>
              <w:widowControl w:val="0"/>
              <w:snapToGrid w:val="0"/>
              <w:jc w:val="center"/>
              <w:rPr>
                <w:rFonts w:ascii="Arial" w:hAnsi="Arial" w:cs="Arial"/>
                <w:b/>
                <w:bCs/>
                <w:color w:val="000000"/>
                <w:sz w:val="20"/>
                <w:szCs w:val="20"/>
              </w:rPr>
            </w:pPr>
            <w:r>
              <w:rPr>
                <w:rFonts w:ascii="Arial" w:hAnsi="Arial"/>
                <w:b/>
                <w:color w:val="000000"/>
                <w:sz w:val="20"/>
              </w:rPr>
              <w:t>Année d</w:t>
            </w:r>
            <w:r w:rsidR="00C93212">
              <w:rPr>
                <w:rFonts w:ascii="Arial" w:hAnsi="Arial"/>
                <w:b/>
                <w:color w:val="000000"/>
                <w:sz w:val="20"/>
              </w:rPr>
              <w:t>’</w:t>
            </w:r>
            <w:r>
              <w:rPr>
                <w:rFonts w:ascii="Arial" w:hAnsi="Arial"/>
                <w:b/>
                <w:color w:val="000000"/>
                <w:sz w:val="20"/>
              </w:rPr>
              <w:t>inscription</w:t>
            </w:r>
          </w:p>
        </w:tc>
        <w:tc>
          <w:tcPr>
            <w:tcW w:w="549" w:type="pct"/>
            <w:tcBorders>
              <w:top w:val="single" w:sz="4" w:space="0" w:color="auto"/>
              <w:left w:val="nil"/>
              <w:bottom w:val="single" w:sz="4" w:space="0" w:color="auto"/>
              <w:right w:val="nil"/>
            </w:tcBorders>
            <w:shd w:val="clear" w:color="auto" w:fill="D9D9D9" w:themeFill="background1" w:themeFillShade="D9"/>
            <w:vAlign w:val="center"/>
          </w:tcPr>
          <w:p w14:paraId="7EDA02DC" w14:textId="77777777" w:rsidR="00990F1C" w:rsidRPr="00E96786" w:rsidRDefault="00990F1C" w:rsidP="00F92876">
            <w:pPr>
              <w:keepNext/>
              <w:widowControl w:val="0"/>
              <w:snapToGrid w:val="0"/>
              <w:jc w:val="center"/>
              <w:rPr>
                <w:rFonts w:ascii="Arial" w:hAnsi="Arial" w:cs="Arial"/>
                <w:b/>
                <w:bCs/>
                <w:color w:val="000000"/>
                <w:sz w:val="20"/>
                <w:szCs w:val="20"/>
              </w:rPr>
            </w:pPr>
            <w:r>
              <w:rPr>
                <w:rFonts w:ascii="Arial" w:hAnsi="Arial"/>
                <w:b/>
                <w:color w:val="000000"/>
                <w:sz w:val="20"/>
              </w:rPr>
              <w:t>Initialement prévu pour le cycle</w:t>
            </w:r>
          </w:p>
        </w:tc>
        <w:tc>
          <w:tcPr>
            <w:tcW w:w="3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ACB8B9" w14:textId="654D6562" w:rsidR="00990F1C" w:rsidRPr="00E96786" w:rsidRDefault="00990F1C" w:rsidP="00F92876">
            <w:pPr>
              <w:keepNext/>
              <w:widowControl w:val="0"/>
              <w:snapToGrid w:val="0"/>
              <w:jc w:val="center"/>
              <w:rPr>
                <w:rFonts w:ascii="Arial" w:hAnsi="Arial" w:cs="Arial"/>
                <w:color w:val="000000"/>
                <w:sz w:val="20"/>
                <w:szCs w:val="20"/>
              </w:rPr>
            </w:pPr>
            <w:r>
              <w:rPr>
                <w:rFonts w:ascii="Arial" w:hAnsi="Arial"/>
                <w:b/>
                <w:color w:val="000000"/>
                <w:sz w:val="20"/>
              </w:rPr>
              <w:t>Dossier n</w:t>
            </w:r>
            <w:r w:rsidR="008270F0">
              <w:rPr>
                <w:rFonts w:ascii="Arial" w:hAnsi="Arial"/>
                <w:b/>
                <w:color w:val="000000"/>
                <w:sz w:val="20"/>
              </w:rPr>
              <w:t>°</w:t>
            </w:r>
          </w:p>
        </w:tc>
      </w:tr>
      <w:tr w:rsidR="00DE5410" w:rsidRPr="00E96786" w14:paraId="151075AF" w14:textId="77777777" w:rsidTr="00DE5410">
        <w:trPr>
          <w:cantSplit/>
          <w:trHeight w:val="50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ADB6C" w14:textId="059D48EC" w:rsidR="00DE5410" w:rsidRPr="00E96786" w:rsidRDefault="00DE5410" w:rsidP="00F92876">
            <w:pPr>
              <w:keepNext/>
              <w:widowControl w:val="0"/>
              <w:spacing w:before="120" w:after="120"/>
              <w:jc w:val="center"/>
            </w:pPr>
            <w:r>
              <w:rPr>
                <w:rFonts w:ascii="Arial" w:hAnsi="Arial"/>
                <w:b/>
                <w:color w:val="000000"/>
                <w:sz w:val="20"/>
              </w:rPr>
              <w:t>Premiers rapports</w:t>
            </w:r>
          </w:p>
        </w:tc>
      </w:tr>
      <w:tr w:rsidR="00990F1C" w:rsidRPr="00E96786" w14:paraId="32A25835" w14:textId="77777777" w:rsidTr="004D40FC">
        <w:trPr>
          <w:cantSplit/>
          <w:trHeight w:val="689"/>
          <w:jc w:val="center"/>
        </w:trPr>
        <w:tc>
          <w:tcPr>
            <w:tcW w:w="669" w:type="pct"/>
            <w:tcBorders>
              <w:top w:val="single" w:sz="4" w:space="0" w:color="auto"/>
              <w:left w:val="single" w:sz="4" w:space="0" w:color="auto"/>
              <w:bottom w:val="single" w:sz="4" w:space="0" w:color="auto"/>
              <w:right w:val="nil"/>
            </w:tcBorders>
          </w:tcPr>
          <w:p w14:paraId="337F7DF0" w14:textId="2323C23F" w:rsidR="00990F1C" w:rsidRPr="00E96786" w:rsidRDefault="00225380" w:rsidP="00990F1C">
            <w:pPr>
              <w:widowControl w:val="0"/>
              <w:spacing w:before="120" w:after="120"/>
              <w:outlineLvl w:val="0"/>
              <w:rPr>
                <w:rFonts w:ascii="Arial" w:eastAsiaTheme="majorEastAsia" w:hAnsi="Arial" w:cs="Arial"/>
                <w:color w:val="365F91" w:themeColor="accent1" w:themeShade="BF"/>
                <w:sz w:val="20"/>
                <w:szCs w:val="20"/>
                <w:u w:val="single"/>
              </w:rPr>
            </w:pPr>
            <w:hyperlink w:anchor="_DRAFT_DECISION_20.COM" w:history="1">
              <w:r>
                <w:rPr>
                  <w:rStyle w:val="Hyperlink"/>
                  <w:rFonts w:ascii="Arial" w:hAnsi="Arial"/>
                  <w:sz w:val="20"/>
                </w:rPr>
                <w:t>20.COM 6.a.1</w:t>
              </w:r>
            </w:hyperlink>
          </w:p>
        </w:tc>
        <w:tc>
          <w:tcPr>
            <w:tcW w:w="786" w:type="pct"/>
            <w:tcBorders>
              <w:top w:val="single" w:sz="4" w:space="0" w:color="auto"/>
              <w:left w:val="nil"/>
              <w:bottom w:val="single" w:sz="4" w:space="0" w:color="auto"/>
              <w:right w:val="nil"/>
            </w:tcBorders>
          </w:tcPr>
          <w:p w14:paraId="3D0F1EFA" w14:textId="13B5631F" w:rsidR="00990F1C" w:rsidRPr="00E96786" w:rsidRDefault="00902C7B" w:rsidP="00990F1C">
            <w:pPr>
              <w:widowControl w:val="0"/>
              <w:spacing w:before="120" w:after="120"/>
              <w:jc w:val="center"/>
              <w:rPr>
                <w:rFonts w:ascii="Arial" w:hAnsi="Arial" w:cs="Arial"/>
                <w:color w:val="000000"/>
                <w:sz w:val="20"/>
                <w:szCs w:val="20"/>
              </w:rPr>
            </w:pPr>
            <w:r>
              <w:rPr>
                <w:rFonts w:ascii="Arial" w:hAnsi="Arial"/>
                <w:color w:val="000000"/>
                <w:sz w:val="20"/>
              </w:rPr>
              <w:t>Colombie</w:t>
            </w:r>
          </w:p>
        </w:tc>
        <w:tc>
          <w:tcPr>
            <w:tcW w:w="2059" w:type="pct"/>
            <w:tcBorders>
              <w:top w:val="single" w:sz="4" w:space="0" w:color="auto"/>
              <w:left w:val="nil"/>
              <w:bottom w:val="single" w:sz="4" w:space="0" w:color="auto"/>
              <w:right w:val="nil"/>
            </w:tcBorders>
          </w:tcPr>
          <w:p w14:paraId="08243EE8" w14:textId="5276A09D" w:rsidR="00990F1C" w:rsidRPr="00E96786" w:rsidRDefault="00902C7B" w:rsidP="00990F1C">
            <w:pPr>
              <w:widowControl w:val="0"/>
              <w:spacing w:before="120" w:after="120"/>
              <w:rPr>
                <w:rFonts w:ascii="Arial" w:hAnsi="Arial" w:cs="Arial"/>
                <w:color w:val="000000"/>
                <w:sz w:val="20"/>
                <w:szCs w:val="20"/>
              </w:rPr>
            </w:pPr>
            <w:bookmarkStart w:id="1" w:name="_Hlk204346698"/>
            <w:r>
              <w:rPr>
                <w:rFonts w:ascii="Arial" w:hAnsi="Arial"/>
                <w:color w:val="000000"/>
                <w:sz w:val="20"/>
              </w:rPr>
              <w:t>Les connaissances et techniques traditionnelles associées au vernis de Pasto mopa-mopa de Putumayo et Nariño</w:t>
            </w:r>
            <w:bookmarkEnd w:id="1"/>
          </w:p>
        </w:tc>
        <w:tc>
          <w:tcPr>
            <w:tcW w:w="589" w:type="pct"/>
            <w:tcBorders>
              <w:top w:val="single" w:sz="4" w:space="0" w:color="auto"/>
              <w:left w:val="nil"/>
              <w:bottom w:val="single" w:sz="4" w:space="0" w:color="auto"/>
              <w:right w:val="nil"/>
            </w:tcBorders>
          </w:tcPr>
          <w:p w14:paraId="718DF4D6" w14:textId="2D16A13F"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2020</w:t>
            </w:r>
          </w:p>
        </w:tc>
        <w:tc>
          <w:tcPr>
            <w:tcW w:w="549" w:type="pct"/>
            <w:tcBorders>
              <w:top w:val="single" w:sz="4" w:space="0" w:color="auto"/>
              <w:left w:val="nil"/>
              <w:bottom w:val="single" w:sz="4" w:space="0" w:color="auto"/>
              <w:right w:val="nil"/>
            </w:tcBorders>
          </w:tcPr>
          <w:p w14:paraId="6DF6BC89" w14:textId="720CACC7"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8" w:type="pct"/>
            <w:tcBorders>
              <w:top w:val="single" w:sz="4" w:space="0" w:color="auto"/>
              <w:left w:val="nil"/>
              <w:bottom w:val="single" w:sz="4" w:space="0" w:color="auto"/>
              <w:right w:val="single" w:sz="4" w:space="0" w:color="auto"/>
            </w:tcBorders>
          </w:tcPr>
          <w:p w14:paraId="2DABCB48" w14:textId="6546DCFE" w:rsidR="00990F1C" w:rsidRPr="00E96786" w:rsidRDefault="00C95ED2" w:rsidP="00990F1C">
            <w:pPr>
              <w:widowControl w:val="0"/>
              <w:spacing w:before="120" w:after="120"/>
              <w:jc w:val="center"/>
              <w:rPr>
                <w:rFonts w:asciiTheme="minorBidi" w:hAnsiTheme="minorBidi" w:cstheme="minorBidi"/>
                <w:color w:val="0000FF"/>
                <w:sz w:val="20"/>
                <w:szCs w:val="20"/>
                <w:u w:val="single"/>
              </w:rPr>
            </w:pPr>
            <w:hyperlink r:id="rId9" w:history="1">
              <w:r>
                <w:rPr>
                  <w:rStyle w:val="Hyperlink"/>
                  <w:rFonts w:asciiTheme="minorBidi" w:hAnsiTheme="minorBidi"/>
                  <w:sz w:val="20"/>
                </w:rPr>
                <w:t>01599</w:t>
              </w:r>
            </w:hyperlink>
          </w:p>
        </w:tc>
      </w:tr>
      <w:bookmarkStart w:id="2" w:name="_19.COM_6.a.2"/>
      <w:bookmarkEnd w:id="2"/>
      <w:tr w:rsidR="00990F1C" w:rsidRPr="00E96786" w14:paraId="3B7DB866" w14:textId="77777777" w:rsidTr="004D40FC">
        <w:trPr>
          <w:cantSplit/>
          <w:trHeight w:val="689"/>
          <w:jc w:val="center"/>
        </w:trPr>
        <w:tc>
          <w:tcPr>
            <w:tcW w:w="669" w:type="pct"/>
            <w:tcBorders>
              <w:top w:val="single" w:sz="4" w:space="0" w:color="auto"/>
              <w:left w:val="single" w:sz="4" w:space="0" w:color="auto"/>
              <w:bottom w:val="single" w:sz="4" w:space="0" w:color="auto"/>
              <w:right w:val="nil"/>
            </w:tcBorders>
          </w:tcPr>
          <w:p w14:paraId="191EB4EF" w14:textId="27A0468E" w:rsidR="00990F1C" w:rsidRPr="00E96786" w:rsidRDefault="00990F1C" w:rsidP="00990F1C">
            <w:pPr>
              <w:widowControl w:val="0"/>
              <w:spacing w:before="120" w:after="120"/>
              <w:outlineLvl w:val="0"/>
              <w:rPr>
                <w:rFonts w:ascii="Arial" w:eastAsiaTheme="majorEastAsia" w:hAnsi="Arial" w:cs="Arial"/>
                <w:color w:val="000000" w:themeColor="text1"/>
                <w:sz w:val="20"/>
                <w:szCs w:val="20"/>
                <w:u w:val="single"/>
              </w:rPr>
            </w:pPr>
            <w:r w:rsidRPr="00E96786">
              <w:rPr>
                <w:rFonts w:ascii="Arial" w:eastAsiaTheme="majorEastAsia" w:hAnsi="Arial" w:cs="Arial"/>
                <w:color w:val="365F91" w:themeColor="accent1" w:themeShade="BF"/>
                <w:sz w:val="20"/>
                <w:u w:val="single"/>
              </w:rPr>
              <w:fldChar w:fldCharType="begin"/>
            </w:r>
            <w:r w:rsidR="00225380" w:rsidRPr="00E96786">
              <w:rPr>
                <w:rFonts w:ascii="Arial" w:eastAsiaTheme="majorEastAsia" w:hAnsi="Arial" w:cs="Arial"/>
                <w:color w:val="365F91" w:themeColor="accent1" w:themeShade="BF"/>
                <w:sz w:val="20"/>
                <w:u w:val="single"/>
              </w:rPr>
              <w:instrText>HYPERLINK  \l "_DRAFT_DECISION_20.COM_1"</w:instrText>
            </w:r>
            <w:r w:rsidRPr="00E96786">
              <w:rPr>
                <w:rFonts w:ascii="Arial" w:eastAsiaTheme="majorEastAsia" w:hAnsi="Arial" w:cs="Arial"/>
                <w:color w:val="365F91" w:themeColor="accent1" w:themeShade="BF"/>
                <w:sz w:val="20"/>
                <w:u w:val="single"/>
              </w:rPr>
            </w:r>
            <w:r w:rsidRPr="00E96786">
              <w:rPr>
                <w:rFonts w:ascii="Arial" w:eastAsiaTheme="majorEastAsia" w:hAnsi="Arial" w:cs="Arial"/>
                <w:color w:val="365F91" w:themeColor="accent1" w:themeShade="BF"/>
                <w:sz w:val="20"/>
                <w:u w:val="single"/>
              </w:rPr>
              <w:fldChar w:fldCharType="separate"/>
            </w:r>
            <w:r>
              <w:rPr>
                <w:rFonts w:ascii="Arial" w:hAnsi="Arial"/>
                <w:color w:val="0000FF"/>
                <w:sz w:val="20"/>
                <w:u w:val="single"/>
              </w:rPr>
              <w:t>20.COM 6.a.2</w:t>
            </w:r>
            <w:r w:rsidRPr="00E96786">
              <w:rPr>
                <w:rFonts w:ascii="Arial" w:eastAsiaTheme="majorEastAsia" w:hAnsi="Arial" w:cs="Arial"/>
                <w:color w:val="365F91" w:themeColor="accent1" w:themeShade="BF"/>
                <w:sz w:val="20"/>
                <w:u w:val="single"/>
              </w:rPr>
              <w:fldChar w:fldCharType="end"/>
            </w:r>
          </w:p>
        </w:tc>
        <w:tc>
          <w:tcPr>
            <w:tcW w:w="786" w:type="pct"/>
            <w:tcBorders>
              <w:top w:val="single" w:sz="4" w:space="0" w:color="auto"/>
              <w:left w:val="nil"/>
              <w:bottom w:val="single" w:sz="4" w:space="0" w:color="auto"/>
              <w:right w:val="nil"/>
            </w:tcBorders>
          </w:tcPr>
          <w:p w14:paraId="4A0FF9D5" w14:textId="4E7ECA72" w:rsidR="00990F1C" w:rsidRPr="00E96786" w:rsidRDefault="00B621FD" w:rsidP="00990F1C">
            <w:pPr>
              <w:widowControl w:val="0"/>
              <w:spacing w:before="120" w:after="120"/>
              <w:jc w:val="center"/>
              <w:rPr>
                <w:rFonts w:ascii="Arial" w:hAnsi="Arial" w:cs="Arial"/>
                <w:color w:val="000000"/>
                <w:sz w:val="20"/>
                <w:szCs w:val="20"/>
                <w:highlight w:val="yellow"/>
              </w:rPr>
            </w:pPr>
            <w:r>
              <w:rPr>
                <w:rFonts w:ascii="Arial" w:hAnsi="Arial"/>
                <w:color w:val="000000"/>
                <w:sz w:val="20"/>
              </w:rPr>
              <w:t>Namibie</w:t>
            </w:r>
          </w:p>
        </w:tc>
        <w:tc>
          <w:tcPr>
            <w:tcW w:w="2059" w:type="pct"/>
            <w:tcBorders>
              <w:top w:val="single" w:sz="4" w:space="0" w:color="auto"/>
              <w:left w:val="nil"/>
              <w:bottom w:val="single" w:sz="4" w:space="0" w:color="auto"/>
              <w:right w:val="nil"/>
            </w:tcBorders>
          </w:tcPr>
          <w:p w14:paraId="61F04561" w14:textId="352F54DF" w:rsidR="00990F1C" w:rsidRPr="00E96786" w:rsidRDefault="008873ED" w:rsidP="00990F1C">
            <w:pPr>
              <w:widowControl w:val="0"/>
              <w:spacing w:before="120" w:after="120"/>
              <w:rPr>
                <w:rFonts w:ascii="Arial" w:hAnsi="Arial" w:cs="Arial"/>
                <w:color w:val="000000"/>
                <w:sz w:val="20"/>
                <w:szCs w:val="20"/>
              </w:rPr>
            </w:pPr>
            <w:r>
              <w:rPr>
                <w:rFonts w:ascii="Arial" w:hAnsi="Arial"/>
                <w:color w:val="000000"/>
                <w:sz w:val="20"/>
              </w:rPr>
              <w:t>Les connaissances et les savoir-faire musicaux ancestraux d</w:t>
            </w:r>
            <w:r w:rsidR="00C93212">
              <w:rPr>
                <w:rFonts w:ascii="Arial" w:hAnsi="Arial"/>
                <w:color w:val="000000"/>
                <w:sz w:val="20"/>
              </w:rPr>
              <w:t>’</w:t>
            </w:r>
            <w:r>
              <w:rPr>
                <w:rFonts w:ascii="Arial" w:hAnsi="Arial"/>
                <w:color w:val="000000"/>
                <w:sz w:val="20"/>
              </w:rPr>
              <w:t>Aboxan Musik ǀŌb ǂÂns tsî ǁKhasigu</w:t>
            </w:r>
          </w:p>
        </w:tc>
        <w:tc>
          <w:tcPr>
            <w:tcW w:w="589" w:type="pct"/>
            <w:tcBorders>
              <w:top w:val="single" w:sz="4" w:space="0" w:color="auto"/>
              <w:left w:val="nil"/>
              <w:bottom w:val="single" w:sz="4" w:space="0" w:color="auto"/>
              <w:right w:val="nil"/>
            </w:tcBorders>
          </w:tcPr>
          <w:p w14:paraId="59A294BF" w14:textId="7D00BC6E"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2020</w:t>
            </w:r>
          </w:p>
        </w:tc>
        <w:tc>
          <w:tcPr>
            <w:tcW w:w="549" w:type="pct"/>
            <w:tcBorders>
              <w:top w:val="single" w:sz="4" w:space="0" w:color="auto"/>
              <w:left w:val="nil"/>
              <w:bottom w:val="single" w:sz="4" w:space="0" w:color="auto"/>
              <w:right w:val="nil"/>
            </w:tcBorders>
          </w:tcPr>
          <w:p w14:paraId="4D313C8D" w14:textId="0D2B6E18"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8" w:type="pct"/>
            <w:tcBorders>
              <w:top w:val="single" w:sz="4" w:space="0" w:color="auto"/>
              <w:left w:val="nil"/>
              <w:bottom w:val="single" w:sz="4" w:space="0" w:color="auto"/>
              <w:right w:val="single" w:sz="4" w:space="0" w:color="auto"/>
            </w:tcBorders>
          </w:tcPr>
          <w:p w14:paraId="74ECCCE7" w14:textId="65491711" w:rsidR="00990F1C" w:rsidRPr="00E96786" w:rsidRDefault="00990F1C" w:rsidP="00990F1C">
            <w:pPr>
              <w:widowControl w:val="0"/>
              <w:spacing w:before="120" w:after="120"/>
              <w:jc w:val="center"/>
              <w:rPr>
                <w:rFonts w:asciiTheme="minorBidi" w:hAnsiTheme="minorBidi" w:cstheme="minorBidi"/>
                <w:color w:val="0000FF"/>
                <w:u w:val="single"/>
              </w:rPr>
            </w:pPr>
            <w:hyperlink r:id="rId10" w:history="1">
              <w:r>
                <w:rPr>
                  <w:rStyle w:val="Hyperlink"/>
                  <w:rFonts w:asciiTheme="minorBidi" w:hAnsiTheme="minorBidi"/>
                  <w:sz w:val="20"/>
                </w:rPr>
                <w:t>01540</w:t>
              </w:r>
            </w:hyperlink>
          </w:p>
        </w:tc>
      </w:tr>
    </w:tbl>
    <w:p w14:paraId="5DEFF95C" w14:textId="2E2C3974" w:rsidR="00990F1C" w:rsidRPr="00E96786" w:rsidRDefault="00990F1C" w:rsidP="00894010">
      <w:pPr>
        <w:numPr>
          <w:ilvl w:val="0"/>
          <w:numId w:val="6"/>
        </w:numPr>
        <w:spacing w:before="240" w:after="120"/>
        <w:ind w:left="567" w:hanging="567"/>
        <w:jc w:val="both"/>
        <w:rPr>
          <w:rFonts w:ascii="Arial" w:hAnsi="Arial" w:cs="Arial"/>
          <w:snapToGrid w:val="0"/>
          <w:sz w:val="22"/>
          <w:szCs w:val="22"/>
        </w:rPr>
      </w:pPr>
      <w:bookmarkStart w:id="3" w:name="_19.COM_6.a.3"/>
      <w:bookmarkEnd w:id="3"/>
      <w:r>
        <w:rPr>
          <w:rFonts w:asciiTheme="minorBidi" w:hAnsiTheme="minorBidi"/>
          <w:b/>
          <w:snapToGrid w:val="0"/>
          <w:sz w:val="22"/>
        </w:rPr>
        <w:t>Deuxièmes rapports</w:t>
      </w:r>
      <w:r w:rsidRPr="001A5B04">
        <w:rPr>
          <w:rFonts w:asciiTheme="minorBidi" w:hAnsiTheme="minorBidi"/>
          <w:bCs/>
          <w:snapToGrid w:val="0"/>
          <w:sz w:val="22"/>
        </w:rPr>
        <w:t>.</w:t>
      </w:r>
      <w:r>
        <w:rPr>
          <w:rFonts w:asciiTheme="minorBidi" w:hAnsiTheme="minorBidi"/>
          <w:b/>
          <w:snapToGrid w:val="0"/>
          <w:sz w:val="22"/>
        </w:rPr>
        <w:t xml:space="preserve"> </w:t>
      </w:r>
      <w:r>
        <w:rPr>
          <w:rFonts w:asciiTheme="minorBidi" w:hAnsiTheme="minorBidi"/>
          <w:snapToGrid w:val="0"/>
          <w:sz w:val="22"/>
        </w:rPr>
        <w:t xml:space="preserve">Quatre seconds rapports attendus dans le cadre de ce cycle </w:t>
      </w:r>
      <w:bookmarkStart w:id="4" w:name="_Hlk204272263"/>
      <w:r>
        <w:rPr>
          <w:rFonts w:asciiTheme="minorBidi" w:hAnsiTheme="minorBidi"/>
          <w:snapToGrid w:val="0"/>
          <w:sz w:val="22"/>
        </w:rPr>
        <w:t>ont été reçus</w:t>
      </w:r>
      <w:bookmarkEnd w:id="4"/>
      <w:r>
        <w:rPr>
          <w:rFonts w:asciiTheme="minorBidi" w:hAnsiTheme="minorBidi"/>
          <w:snapToGrid w:val="0"/>
          <w:sz w:val="22"/>
        </w:rPr>
        <w:t xml:space="preserve"> et </w:t>
      </w:r>
      <w:r>
        <w:rPr>
          <w:rFonts w:ascii="Arial" w:hAnsi="Arial"/>
          <w:snapToGrid w:val="0"/>
          <w:sz w:val="22"/>
        </w:rPr>
        <w:t>sont présentés à cette session du Comité dans le tableau ci-après.</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940"/>
        <w:gridCol w:w="1704"/>
        <w:gridCol w:w="3620"/>
        <w:gridCol w:w="1314"/>
        <w:gridCol w:w="1226"/>
        <w:gridCol w:w="848"/>
      </w:tblGrid>
      <w:tr w:rsidR="00DE7DAA" w:rsidRPr="00E96786" w14:paraId="04A6CA5E" w14:textId="77777777" w:rsidTr="003916F3">
        <w:trPr>
          <w:cantSplit/>
          <w:trHeight w:val="928"/>
          <w:tblHeader/>
          <w:jc w:val="center"/>
        </w:trPr>
        <w:tc>
          <w:tcPr>
            <w:tcW w:w="687"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A3E17CF" w14:textId="77777777" w:rsidR="00990F1C" w:rsidRPr="00E96786" w:rsidRDefault="00990F1C" w:rsidP="00894010">
            <w:pPr>
              <w:widowControl w:val="0"/>
              <w:numPr>
                <w:ilvl w:val="0"/>
                <w:numId w:val="7"/>
              </w:numPr>
              <w:tabs>
                <w:tab w:val="left" w:pos="74"/>
              </w:tabs>
              <w:snapToGrid w:val="0"/>
              <w:ind w:left="0" w:hanging="567"/>
              <w:jc w:val="center"/>
              <w:outlineLvl w:val="3"/>
              <w:rPr>
                <w:rFonts w:ascii="Arial" w:hAnsi="Arial"/>
                <w:b/>
                <w:bCs/>
                <w:snapToGrid w:val="0"/>
                <w:sz w:val="20"/>
                <w:szCs w:val="20"/>
              </w:rPr>
            </w:pPr>
            <w:r>
              <w:rPr>
                <w:rFonts w:ascii="Arial" w:hAnsi="Arial"/>
                <w:b/>
                <w:snapToGrid w:val="0"/>
                <w:sz w:val="20"/>
              </w:rPr>
              <w:t>Projet de décision</w:t>
            </w:r>
          </w:p>
        </w:tc>
        <w:tc>
          <w:tcPr>
            <w:tcW w:w="802" w:type="pct"/>
            <w:tcBorders>
              <w:top w:val="single" w:sz="4" w:space="0" w:color="auto"/>
              <w:left w:val="nil"/>
              <w:bottom w:val="single" w:sz="4" w:space="0" w:color="auto"/>
              <w:right w:val="nil"/>
            </w:tcBorders>
            <w:shd w:val="clear" w:color="auto" w:fill="D9D9D9" w:themeFill="background1" w:themeFillShade="D9"/>
            <w:vAlign w:val="center"/>
          </w:tcPr>
          <w:p w14:paraId="1B2454CA"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État</w:t>
            </w:r>
          </w:p>
          <w:p w14:paraId="5BD59522"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soumissionnaire</w:t>
            </w:r>
          </w:p>
        </w:tc>
        <w:tc>
          <w:tcPr>
            <w:tcW w:w="2075" w:type="pct"/>
            <w:tcBorders>
              <w:top w:val="single" w:sz="4" w:space="0" w:color="auto"/>
              <w:left w:val="nil"/>
              <w:bottom w:val="single" w:sz="4" w:space="0" w:color="auto"/>
              <w:right w:val="nil"/>
            </w:tcBorders>
            <w:shd w:val="clear" w:color="auto" w:fill="D9D9D9" w:themeFill="background1" w:themeFillShade="D9"/>
            <w:vAlign w:val="center"/>
            <w:hideMark/>
          </w:tcPr>
          <w:p w14:paraId="2BC72BB2" w14:textId="77777777"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Élément</w:t>
            </w:r>
          </w:p>
        </w:tc>
        <w:tc>
          <w:tcPr>
            <w:tcW w:w="589" w:type="pct"/>
            <w:tcBorders>
              <w:top w:val="single" w:sz="4" w:space="0" w:color="auto"/>
              <w:left w:val="nil"/>
              <w:bottom w:val="single" w:sz="4" w:space="0" w:color="auto"/>
              <w:right w:val="nil"/>
            </w:tcBorders>
            <w:shd w:val="clear" w:color="auto" w:fill="D9D9D9" w:themeFill="background1" w:themeFillShade="D9"/>
            <w:vAlign w:val="center"/>
            <w:hideMark/>
          </w:tcPr>
          <w:p w14:paraId="12E40630" w14:textId="35728533"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Année d</w:t>
            </w:r>
            <w:r w:rsidR="00C93212">
              <w:rPr>
                <w:rFonts w:ascii="Arial" w:hAnsi="Arial"/>
                <w:b/>
                <w:color w:val="000000"/>
                <w:sz w:val="20"/>
              </w:rPr>
              <w:t>’</w:t>
            </w:r>
            <w:r>
              <w:rPr>
                <w:rFonts w:ascii="Arial" w:hAnsi="Arial"/>
                <w:b/>
                <w:color w:val="000000"/>
                <w:sz w:val="20"/>
              </w:rPr>
              <w:t>inscription</w:t>
            </w:r>
          </w:p>
        </w:tc>
        <w:tc>
          <w:tcPr>
            <w:tcW w:w="476" w:type="pct"/>
            <w:tcBorders>
              <w:top w:val="single" w:sz="4" w:space="0" w:color="auto"/>
              <w:left w:val="nil"/>
              <w:bottom w:val="single" w:sz="4" w:space="0" w:color="auto"/>
              <w:right w:val="nil"/>
            </w:tcBorders>
            <w:shd w:val="clear" w:color="auto" w:fill="D9D9D9" w:themeFill="background1" w:themeFillShade="D9"/>
            <w:vAlign w:val="center"/>
          </w:tcPr>
          <w:p w14:paraId="50CE0D98"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Initialement prévu pour le cycle</w:t>
            </w:r>
          </w:p>
        </w:tc>
        <w:tc>
          <w:tcPr>
            <w:tcW w:w="37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EC55DE" w14:textId="6E112F95"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Dossier n</w:t>
            </w:r>
            <w:r w:rsidR="008270F0">
              <w:rPr>
                <w:rFonts w:ascii="Arial" w:hAnsi="Arial"/>
                <w:b/>
                <w:color w:val="000000"/>
                <w:sz w:val="20"/>
              </w:rPr>
              <w:t>°</w:t>
            </w:r>
          </w:p>
        </w:tc>
      </w:tr>
      <w:tr w:rsidR="001E3CB0" w:rsidRPr="00E96786" w14:paraId="28DD1B62" w14:textId="77777777" w:rsidTr="001E3CB0">
        <w:trPr>
          <w:cantSplit/>
          <w:trHeight w:val="50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6C7D6" w14:textId="4BB8A080" w:rsidR="001E3CB0" w:rsidRPr="00E96786" w:rsidRDefault="001E3CB0" w:rsidP="00990F1C">
            <w:pPr>
              <w:widowControl w:val="0"/>
              <w:spacing w:before="120" w:after="120"/>
              <w:jc w:val="center"/>
            </w:pPr>
            <w:r>
              <w:rPr>
                <w:rFonts w:ascii="Arial" w:hAnsi="Arial"/>
                <w:b/>
                <w:color w:val="000000"/>
                <w:sz w:val="20"/>
              </w:rPr>
              <w:t>Deuxièmes rapports</w:t>
            </w:r>
          </w:p>
        </w:tc>
      </w:tr>
      <w:tr w:rsidR="00990F1C" w:rsidRPr="00E96786" w14:paraId="1848B8E4" w14:textId="77777777" w:rsidTr="003916F3">
        <w:trPr>
          <w:cantSplit/>
          <w:trHeight w:val="689"/>
          <w:jc w:val="center"/>
        </w:trPr>
        <w:tc>
          <w:tcPr>
            <w:tcW w:w="687" w:type="pct"/>
            <w:tcBorders>
              <w:top w:val="single" w:sz="4" w:space="0" w:color="auto"/>
              <w:left w:val="single" w:sz="4" w:space="0" w:color="auto"/>
              <w:bottom w:val="single" w:sz="4" w:space="0" w:color="auto"/>
              <w:right w:val="nil"/>
            </w:tcBorders>
          </w:tcPr>
          <w:p w14:paraId="457052BF" w14:textId="3FF3DD46" w:rsidR="00990F1C" w:rsidRPr="00E96786" w:rsidRDefault="003D3AA5" w:rsidP="00990F1C">
            <w:pPr>
              <w:widowControl w:val="0"/>
              <w:spacing w:before="120" w:after="120"/>
              <w:outlineLvl w:val="0"/>
              <w:rPr>
                <w:rFonts w:ascii="Arial" w:eastAsiaTheme="majorEastAsia" w:hAnsi="Arial" w:cs="Arial"/>
                <w:color w:val="365F91" w:themeColor="accent1" w:themeShade="BF"/>
                <w:sz w:val="20"/>
                <w:szCs w:val="20"/>
                <w:u w:val="single"/>
              </w:rPr>
            </w:pPr>
            <w:hyperlink w:anchor="_DRAFT_DECISION_20.COM_2" w:history="1">
              <w:r>
                <w:rPr>
                  <w:rStyle w:val="Hyperlink"/>
                  <w:rFonts w:ascii="Arial" w:hAnsi="Arial"/>
                  <w:sz w:val="20"/>
                </w:rPr>
                <w:t>20.COM 6.a.3</w:t>
              </w:r>
            </w:hyperlink>
          </w:p>
        </w:tc>
        <w:tc>
          <w:tcPr>
            <w:tcW w:w="802" w:type="pct"/>
            <w:tcBorders>
              <w:top w:val="single" w:sz="4" w:space="0" w:color="auto"/>
              <w:left w:val="nil"/>
              <w:bottom w:val="single" w:sz="4" w:space="0" w:color="auto"/>
              <w:right w:val="nil"/>
            </w:tcBorders>
          </w:tcPr>
          <w:p w14:paraId="0123428E" w14:textId="5C95CFBE" w:rsidR="00990F1C" w:rsidRPr="00E96786" w:rsidRDefault="00B15C12" w:rsidP="00990F1C">
            <w:pPr>
              <w:widowControl w:val="0"/>
              <w:spacing w:before="120" w:after="120"/>
              <w:jc w:val="center"/>
              <w:rPr>
                <w:rFonts w:ascii="Arial" w:hAnsi="Arial" w:cs="Arial"/>
                <w:color w:val="000000"/>
                <w:sz w:val="20"/>
                <w:szCs w:val="20"/>
              </w:rPr>
            </w:pPr>
            <w:r>
              <w:rPr>
                <w:rFonts w:asciiTheme="minorBidi" w:hAnsiTheme="minorBidi"/>
                <w:sz w:val="20"/>
              </w:rPr>
              <w:t>Cambodge</w:t>
            </w:r>
          </w:p>
        </w:tc>
        <w:tc>
          <w:tcPr>
            <w:tcW w:w="2075" w:type="pct"/>
            <w:tcBorders>
              <w:top w:val="single" w:sz="4" w:space="0" w:color="auto"/>
              <w:left w:val="nil"/>
              <w:bottom w:val="single" w:sz="4" w:space="0" w:color="auto"/>
              <w:right w:val="nil"/>
            </w:tcBorders>
          </w:tcPr>
          <w:p w14:paraId="40BCFAE8" w14:textId="33664461" w:rsidR="00990F1C" w:rsidRPr="00E96786" w:rsidRDefault="001B2382" w:rsidP="00990F1C">
            <w:pPr>
              <w:widowControl w:val="0"/>
              <w:spacing w:before="120" w:after="120"/>
              <w:rPr>
                <w:rFonts w:ascii="Arial" w:hAnsi="Arial" w:cs="Arial"/>
                <w:color w:val="000000"/>
                <w:sz w:val="20"/>
                <w:szCs w:val="20"/>
              </w:rPr>
            </w:pPr>
            <w:r>
              <w:rPr>
                <w:rFonts w:ascii="Arial" w:hAnsi="Arial"/>
                <w:color w:val="000000"/>
                <w:sz w:val="20"/>
              </w:rPr>
              <w:t>Le chapei Dang Veng</w:t>
            </w:r>
          </w:p>
        </w:tc>
        <w:tc>
          <w:tcPr>
            <w:tcW w:w="589" w:type="pct"/>
            <w:tcBorders>
              <w:top w:val="single" w:sz="4" w:space="0" w:color="auto"/>
              <w:left w:val="nil"/>
              <w:bottom w:val="single" w:sz="4" w:space="0" w:color="auto"/>
              <w:right w:val="nil"/>
            </w:tcBorders>
          </w:tcPr>
          <w:p w14:paraId="2CF26E66" w14:textId="2584867F"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2016</w:t>
            </w:r>
          </w:p>
        </w:tc>
        <w:tc>
          <w:tcPr>
            <w:tcW w:w="476" w:type="pct"/>
            <w:tcBorders>
              <w:top w:val="single" w:sz="4" w:space="0" w:color="auto"/>
              <w:left w:val="nil"/>
              <w:bottom w:val="single" w:sz="4" w:space="0" w:color="auto"/>
              <w:right w:val="nil"/>
            </w:tcBorders>
          </w:tcPr>
          <w:p w14:paraId="6B82155F" w14:textId="0CBCF44F"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70" w:type="pct"/>
            <w:tcBorders>
              <w:top w:val="single" w:sz="4" w:space="0" w:color="auto"/>
              <w:left w:val="nil"/>
              <w:bottom w:val="single" w:sz="4" w:space="0" w:color="auto"/>
              <w:right w:val="single" w:sz="4" w:space="0" w:color="auto"/>
            </w:tcBorders>
          </w:tcPr>
          <w:p w14:paraId="787AC0F0" w14:textId="141BC248" w:rsidR="00990F1C" w:rsidRPr="00E96786" w:rsidRDefault="00990F1C" w:rsidP="00B91DF4">
            <w:pPr>
              <w:widowControl w:val="0"/>
              <w:spacing w:before="120" w:after="120"/>
              <w:rPr>
                <w:rFonts w:asciiTheme="minorBidi" w:hAnsiTheme="minorBidi" w:cstheme="minorBidi"/>
                <w:color w:val="0000FF"/>
                <w:sz w:val="20"/>
                <w:szCs w:val="20"/>
                <w:u w:val="single"/>
              </w:rPr>
            </w:pPr>
            <w:hyperlink r:id="rId11" w:history="1">
              <w:r>
                <w:rPr>
                  <w:rStyle w:val="Hyperlink"/>
                  <w:rFonts w:asciiTheme="minorBidi" w:hAnsiTheme="minorBidi"/>
                  <w:sz w:val="20"/>
                </w:rPr>
                <w:t>01165</w:t>
              </w:r>
            </w:hyperlink>
          </w:p>
        </w:tc>
      </w:tr>
      <w:tr w:rsidR="00990F1C" w:rsidRPr="00E96786" w14:paraId="5A19A780" w14:textId="77777777" w:rsidTr="003916F3">
        <w:trPr>
          <w:cantSplit/>
          <w:trHeight w:val="689"/>
          <w:jc w:val="center"/>
        </w:trPr>
        <w:tc>
          <w:tcPr>
            <w:tcW w:w="687" w:type="pct"/>
            <w:tcBorders>
              <w:top w:val="single" w:sz="4" w:space="0" w:color="auto"/>
              <w:left w:val="single" w:sz="4" w:space="0" w:color="auto"/>
              <w:bottom w:val="single" w:sz="4" w:space="0" w:color="auto"/>
              <w:right w:val="nil"/>
            </w:tcBorders>
          </w:tcPr>
          <w:p w14:paraId="38E9C67D" w14:textId="7055A081" w:rsidR="00990F1C" w:rsidRPr="00E96786" w:rsidRDefault="003D3AA5" w:rsidP="00990F1C">
            <w:pPr>
              <w:widowControl w:val="0"/>
              <w:spacing w:before="120" w:after="120"/>
              <w:outlineLvl w:val="0"/>
              <w:rPr>
                <w:rFonts w:ascii="Arial" w:eastAsiaTheme="majorEastAsia" w:hAnsi="Arial" w:cs="Arial"/>
                <w:color w:val="000000" w:themeColor="text1"/>
                <w:sz w:val="20"/>
                <w:szCs w:val="20"/>
                <w:u w:val="single"/>
              </w:rPr>
            </w:pPr>
            <w:hyperlink w:anchor="_DRAFT_DECISION_20.COM_3" w:history="1">
              <w:r>
                <w:rPr>
                  <w:rStyle w:val="Hyperlink"/>
                  <w:rFonts w:ascii="Arial" w:hAnsi="Arial"/>
                  <w:sz w:val="20"/>
                </w:rPr>
                <w:t>20.COM 6.a.4</w:t>
              </w:r>
            </w:hyperlink>
          </w:p>
        </w:tc>
        <w:tc>
          <w:tcPr>
            <w:tcW w:w="802" w:type="pct"/>
            <w:tcBorders>
              <w:top w:val="single" w:sz="4" w:space="0" w:color="auto"/>
              <w:left w:val="nil"/>
              <w:bottom w:val="single" w:sz="4" w:space="0" w:color="auto"/>
              <w:right w:val="nil"/>
            </w:tcBorders>
          </w:tcPr>
          <w:p w14:paraId="7B708412" w14:textId="0CD34CEA" w:rsidR="00990F1C" w:rsidRPr="00E96786" w:rsidRDefault="00983FC3" w:rsidP="00990F1C">
            <w:pPr>
              <w:widowControl w:val="0"/>
              <w:spacing w:before="120" w:after="120"/>
              <w:jc w:val="center"/>
              <w:rPr>
                <w:rFonts w:ascii="Arial" w:hAnsi="Arial" w:cs="Arial"/>
                <w:color w:val="000000"/>
                <w:sz w:val="20"/>
                <w:szCs w:val="20"/>
                <w:highlight w:val="yellow"/>
              </w:rPr>
            </w:pPr>
            <w:r>
              <w:rPr>
                <w:rFonts w:ascii="Arial" w:hAnsi="Arial"/>
                <w:color w:val="000000"/>
                <w:sz w:val="20"/>
              </w:rPr>
              <w:t>Égypte</w:t>
            </w:r>
          </w:p>
        </w:tc>
        <w:tc>
          <w:tcPr>
            <w:tcW w:w="2075" w:type="pct"/>
            <w:tcBorders>
              <w:top w:val="single" w:sz="4" w:space="0" w:color="auto"/>
              <w:left w:val="nil"/>
              <w:bottom w:val="single" w:sz="4" w:space="0" w:color="auto"/>
              <w:right w:val="nil"/>
            </w:tcBorders>
          </w:tcPr>
          <w:p w14:paraId="26879E80" w14:textId="3976252B" w:rsidR="00990F1C" w:rsidRPr="00E96786" w:rsidRDefault="002031A2" w:rsidP="00990F1C">
            <w:pPr>
              <w:widowControl w:val="0"/>
              <w:spacing w:before="120" w:after="120"/>
              <w:rPr>
                <w:rFonts w:ascii="Arial" w:hAnsi="Arial" w:cs="Arial"/>
                <w:color w:val="000000"/>
                <w:sz w:val="20"/>
                <w:szCs w:val="20"/>
              </w:rPr>
            </w:pPr>
            <w:r>
              <w:rPr>
                <w:rFonts w:ascii="Arial" w:hAnsi="Arial"/>
                <w:color w:val="000000"/>
                <w:sz w:val="20"/>
              </w:rPr>
              <w:t>Le tissage à la main en Haute-Égypte (Sa</w:t>
            </w:r>
            <w:r w:rsidR="00C93212">
              <w:rPr>
                <w:rFonts w:ascii="Arial" w:hAnsi="Arial"/>
                <w:color w:val="000000"/>
                <w:sz w:val="20"/>
              </w:rPr>
              <w:t>’</w:t>
            </w:r>
            <w:r>
              <w:rPr>
                <w:rFonts w:ascii="Arial" w:hAnsi="Arial"/>
                <w:color w:val="000000"/>
                <w:sz w:val="20"/>
              </w:rPr>
              <w:t>eed)</w:t>
            </w:r>
            <w:r>
              <w:rPr>
                <w:rStyle w:val="FootnoteReference"/>
                <w:rFonts w:ascii="Arial" w:hAnsi="Arial"/>
                <w:color w:val="000000"/>
                <w:sz w:val="20"/>
              </w:rPr>
              <w:t xml:space="preserve"> </w:t>
            </w:r>
          </w:p>
        </w:tc>
        <w:tc>
          <w:tcPr>
            <w:tcW w:w="589" w:type="pct"/>
            <w:tcBorders>
              <w:top w:val="single" w:sz="4" w:space="0" w:color="auto"/>
              <w:left w:val="nil"/>
              <w:bottom w:val="single" w:sz="4" w:space="0" w:color="auto"/>
              <w:right w:val="nil"/>
            </w:tcBorders>
          </w:tcPr>
          <w:p w14:paraId="3BD866FF" w14:textId="437D5607"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2020</w:t>
            </w:r>
          </w:p>
        </w:tc>
        <w:tc>
          <w:tcPr>
            <w:tcW w:w="476" w:type="pct"/>
            <w:tcBorders>
              <w:top w:val="single" w:sz="4" w:space="0" w:color="auto"/>
              <w:left w:val="nil"/>
              <w:bottom w:val="single" w:sz="4" w:space="0" w:color="auto"/>
              <w:right w:val="nil"/>
            </w:tcBorders>
          </w:tcPr>
          <w:p w14:paraId="77F41DF3" w14:textId="2603AF3A"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r w:rsidR="007C231B" w:rsidRPr="00E96786">
              <w:rPr>
                <w:rStyle w:val="FootnoteReference"/>
                <w:rFonts w:ascii="Arial" w:hAnsi="Arial" w:cs="Arial"/>
                <w:color w:val="000000"/>
                <w:sz w:val="20"/>
                <w:szCs w:val="20"/>
                <w:lang w:val="en-GB"/>
              </w:rPr>
              <w:footnoteReference w:id="3"/>
            </w:r>
          </w:p>
        </w:tc>
        <w:tc>
          <w:tcPr>
            <w:tcW w:w="370" w:type="pct"/>
            <w:tcBorders>
              <w:top w:val="single" w:sz="4" w:space="0" w:color="auto"/>
              <w:left w:val="nil"/>
              <w:bottom w:val="single" w:sz="4" w:space="0" w:color="auto"/>
              <w:right w:val="single" w:sz="4" w:space="0" w:color="auto"/>
            </w:tcBorders>
          </w:tcPr>
          <w:p w14:paraId="6B2DE0E5" w14:textId="14F414AC" w:rsidR="00990F1C" w:rsidRPr="00E96786" w:rsidRDefault="00990F1C" w:rsidP="002031A2">
            <w:pPr>
              <w:widowControl w:val="0"/>
              <w:spacing w:before="120" w:after="120"/>
              <w:rPr>
                <w:rFonts w:asciiTheme="minorBidi" w:hAnsiTheme="minorBidi" w:cstheme="minorBidi"/>
                <w:color w:val="0000FF"/>
                <w:sz w:val="20"/>
                <w:szCs w:val="20"/>
                <w:u w:val="single"/>
              </w:rPr>
            </w:pPr>
            <w:hyperlink r:id="rId12" w:history="1">
              <w:r>
                <w:rPr>
                  <w:rStyle w:val="Hyperlink"/>
                  <w:rFonts w:asciiTheme="minorBidi" w:hAnsiTheme="minorBidi"/>
                  <w:sz w:val="20"/>
                </w:rPr>
                <w:t>01605</w:t>
              </w:r>
            </w:hyperlink>
          </w:p>
        </w:tc>
      </w:tr>
      <w:bookmarkStart w:id="5" w:name="_19.COM_6.a.8"/>
      <w:bookmarkStart w:id="6" w:name="_Hlk204259265"/>
      <w:bookmarkEnd w:id="5"/>
      <w:tr w:rsidR="00990F1C" w:rsidRPr="00E96786" w14:paraId="10C0382D" w14:textId="77777777" w:rsidTr="003916F3">
        <w:trPr>
          <w:cantSplit/>
          <w:trHeight w:val="689"/>
          <w:jc w:val="center"/>
        </w:trPr>
        <w:tc>
          <w:tcPr>
            <w:tcW w:w="687" w:type="pct"/>
            <w:tcBorders>
              <w:top w:val="single" w:sz="4" w:space="0" w:color="auto"/>
              <w:left w:val="single" w:sz="4" w:space="0" w:color="auto"/>
              <w:bottom w:val="single" w:sz="4" w:space="0" w:color="auto"/>
              <w:right w:val="nil"/>
            </w:tcBorders>
          </w:tcPr>
          <w:p w14:paraId="253BD283" w14:textId="4ABF87DB" w:rsidR="00990F1C" w:rsidRPr="00E96786" w:rsidRDefault="005B4A45" w:rsidP="00990F1C">
            <w:pPr>
              <w:widowControl w:val="0"/>
              <w:spacing w:before="120" w:after="120"/>
              <w:outlineLvl w:val="0"/>
              <w:rPr>
                <w:rFonts w:ascii="Arial" w:eastAsiaTheme="majorEastAsia" w:hAnsi="Arial" w:cs="Arial"/>
                <w:color w:val="365F91" w:themeColor="accent1" w:themeShade="BF"/>
                <w:sz w:val="20"/>
                <w:szCs w:val="20"/>
                <w:u w:val="single"/>
              </w:rPr>
            </w:pPr>
            <w:r w:rsidRPr="00E96786">
              <w:rPr>
                <w:rFonts w:ascii="Arial" w:eastAsiaTheme="majorEastAsia" w:hAnsi="Arial" w:cs="Arial"/>
                <w:color w:val="0000FF"/>
                <w:sz w:val="20"/>
                <w:u w:val="single"/>
              </w:rPr>
              <w:fldChar w:fldCharType="begin"/>
            </w:r>
            <w:r w:rsidRPr="00E96786">
              <w:rPr>
                <w:rFonts w:ascii="Arial" w:eastAsiaTheme="majorEastAsia" w:hAnsi="Arial" w:cs="Arial"/>
                <w:color w:val="0000FF"/>
                <w:sz w:val="20"/>
                <w:u w:val="single"/>
              </w:rPr>
              <w:instrText>HYPERLINK  \l "_DRAFT_DECISION_20.COM_4"</w:instrText>
            </w:r>
            <w:r w:rsidRPr="00E96786">
              <w:rPr>
                <w:rFonts w:ascii="Arial" w:eastAsiaTheme="majorEastAsia" w:hAnsi="Arial" w:cs="Arial"/>
                <w:color w:val="0000FF"/>
                <w:sz w:val="20"/>
                <w:u w:val="single"/>
              </w:rPr>
            </w:r>
            <w:r w:rsidRPr="00E96786">
              <w:rPr>
                <w:rFonts w:ascii="Arial" w:eastAsiaTheme="majorEastAsia" w:hAnsi="Arial" w:cs="Arial"/>
                <w:color w:val="0000FF"/>
                <w:sz w:val="20"/>
                <w:u w:val="single"/>
              </w:rPr>
              <w:fldChar w:fldCharType="separate"/>
            </w:r>
            <w:r>
              <w:rPr>
                <w:rStyle w:val="Hyperlink"/>
                <w:rFonts w:ascii="Arial" w:hAnsi="Arial"/>
                <w:sz w:val="20"/>
              </w:rPr>
              <w:t>20.COM 6.a.5</w:t>
            </w:r>
            <w:r w:rsidRPr="00E96786">
              <w:rPr>
                <w:rFonts w:ascii="Arial" w:eastAsiaTheme="majorEastAsia" w:hAnsi="Arial" w:cs="Arial"/>
                <w:color w:val="0000FF"/>
                <w:sz w:val="20"/>
                <w:u w:val="single"/>
              </w:rPr>
              <w:fldChar w:fldCharType="end"/>
            </w:r>
          </w:p>
        </w:tc>
        <w:tc>
          <w:tcPr>
            <w:tcW w:w="802" w:type="pct"/>
            <w:tcBorders>
              <w:top w:val="single" w:sz="4" w:space="0" w:color="auto"/>
              <w:left w:val="nil"/>
              <w:bottom w:val="single" w:sz="4" w:space="0" w:color="auto"/>
              <w:right w:val="nil"/>
            </w:tcBorders>
          </w:tcPr>
          <w:p w14:paraId="0307AC7B" w14:textId="77777777"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Portugal</w:t>
            </w:r>
          </w:p>
        </w:tc>
        <w:tc>
          <w:tcPr>
            <w:tcW w:w="2075" w:type="pct"/>
            <w:tcBorders>
              <w:top w:val="single" w:sz="4" w:space="0" w:color="auto"/>
              <w:left w:val="nil"/>
              <w:bottom w:val="single" w:sz="4" w:space="0" w:color="auto"/>
              <w:right w:val="nil"/>
            </w:tcBorders>
          </w:tcPr>
          <w:p w14:paraId="5870A9B2" w14:textId="73BE0E00" w:rsidR="00990F1C" w:rsidRPr="00E96786" w:rsidRDefault="00A55700" w:rsidP="00990F1C">
            <w:pPr>
              <w:widowControl w:val="0"/>
              <w:spacing w:before="120" w:after="120"/>
              <w:rPr>
                <w:rFonts w:ascii="Arial" w:hAnsi="Arial" w:cs="Arial"/>
                <w:color w:val="000000"/>
                <w:sz w:val="20"/>
                <w:szCs w:val="20"/>
              </w:rPr>
            </w:pPr>
            <w:r>
              <w:rPr>
                <w:rFonts w:ascii="Arial" w:hAnsi="Arial"/>
                <w:color w:val="000000"/>
                <w:sz w:val="20"/>
              </w:rPr>
              <w:t>Le processus de fabrication de la poterie noire de Bisalhães</w:t>
            </w:r>
          </w:p>
        </w:tc>
        <w:tc>
          <w:tcPr>
            <w:tcW w:w="589" w:type="pct"/>
            <w:tcBorders>
              <w:top w:val="single" w:sz="4" w:space="0" w:color="auto"/>
              <w:left w:val="nil"/>
              <w:bottom w:val="single" w:sz="4" w:space="0" w:color="auto"/>
              <w:right w:val="nil"/>
            </w:tcBorders>
          </w:tcPr>
          <w:p w14:paraId="752B08A6" w14:textId="0E8F7BCA"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2016</w:t>
            </w:r>
          </w:p>
        </w:tc>
        <w:tc>
          <w:tcPr>
            <w:tcW w:w="476" w:type="pct"/>
            <w:tcBorders>
              <w:top w:val="single" w:sz="4" w:space="0" w:color="auto"/>
              <w:left w:val="nil"/>
              <w:bottom w:val="single" w:sz="4" w:space="0" w:color="auto"/>
              <w:right w:val="nil"/>
            </w:tcBorders>
          </w:tcPr>
          <w:p w14:paraId="0EF7CA3C" w14:textId="154D8925"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70" w:type="pct"/>
            <w:tcBorders>
              <w:top w:val="single" w:sz="4" w:space="0" w:color="auto"/>
              <w:left w:val="nil"/>
              <w:bottom w:val="single" w:sz="4" w:space="0" w:color="auto"/>
              <w:right w:val="single" w:sz="4" w:space="0" w:color="auto"/>
            </w:tcBorders>
          </w:tcPr>
          <w:p w14:paraId="53161213" w14:textId="7E72A6BA" w:rsidR="00990F1C" w:rsidRPr="00E96786" w:rsidRDefault="00990F1C" w:rsidP="00A55700">
            <w:pPr>
              <w:widowControl w:val="0"/>
              <w:spacing w:before="120" w:after="120"/>
              <w:rPr>
                <w:rFonts w:asciiTheme="minorBidi" w:hAnsiTheme="minorBidi" w:cstheme="minorBidi"/>
                <w:color w:val="0000FF"/>
                <w:sz w:val="20"/>
                <w:szCs w:val="20"/>
                <w:u w:val="single"/>
              </w:rPr>
            </w:pPr>
            <w:hyperlink r:id="rId13" w:history="1">
              <w:r>
                <w:rPr>
                  <w:rStyle w:val="Hyperlink"/>
                  <w:rFonts w:asciiTheme="minorBidi" w:hAnsiTheme="minorBidi"/>
                  <w:sz w:val="20"/>
                </w:rPr>
                <w:t>01199</w:t>
              </w:r>
            </w:hyperlink>
          </w:p>
        </w:tc>
      </w:tr>
      <w:bookmarkEnd w:id="6"/>
      <w:tr w:rsidR="003916F3" w:rsidRPr="00E96786" w14:paraId="245241F5" w14:textId="77777777" w:rsidTr="003916F3">
        <w:trPr>
          <w:cantSplit/>
          <w:trHeight w:val="689"/>
          <w:jc w:val="center"/>
        </w:trPr>
        <w:tc>
          <w:tcPr>
            <w:tcW w:w="687" w:type="pct"/>
            <w:tcBorders>
              <w:top w:val="single" w:sz="4" w:space="0" w:color="auto"/>
              <w:left w:val="single" w:sz="4" w:space="0" w:color="auto"/>
              <w:bottom w:val="single" w:sz="4" w:space="0" w:color="auto"/>
              <w:right w:val="nil"/>
            </w:tcBorders>
          </w:tcPr>
          <w:p w14:paraId="0555D50D" w14:textId="30CBC755" w:rsidR="003916F3" w:rsidRPr="00E96786" w:rsidRDefault="005B4A45" w:rsidP="003916F3">
            <w:pPr>
              <w:widowControl w:val="0"/>
              <w:spacing w:before="120" w:after="120"/>
              <w:outlineLvl w:val="0"/>
              <w:rPr>
                <w:rFonts w:ascii="Arial" w:eastAsiaTheme="majorEastAsia" w:hAnsi="Arial" w:cs="Arial"/>
                <w:color w:val="365F91" w:themeColor="accent1" w:themeShade="BF"/>
                <w:sz w:val="20"/>
                <w:szCs w:val="20"/>
                <w:u w:val="single"/>
              </w:rPr>
            </w:pPr>
            <w:r w:rsidRPr="00E96786">
              <w:rPr>
                <w:rFonts w:ascii="Arial" w:eastAsiaTheme="majorEastAsia" w:hAnsi="Arial" w:cs="Arial"/>
                <w:color w:val="0000FF"/>
                <w:sz w:val="20"/>
                <w:u w:val="single"/>
              </w:rPr>
              <w:fldChar w:fldCharType="begin"/>
            </w:r>
            <w:r w:rsidRPr="00E96786">
              <w:rPr>
                <w:rFonts w:ascii="Arial" w:eastAsiaTheme="majorEastAsia" w:hAnsi="Arial" w:cs="Arial"/>
                <w:color w:val="0000FF"/>
                <w:sz w:val="20"/>
                <w:u w:val="single"/>
              </w:rPr>
              <w:instrText>HYPERLINK  \l "_DRAFT_DECISION_20.COM_5"</w:instrText>
            </w:r>
            <w:r w:rsidRPr="00E96786">
              <w:rPr>
                <w:rFonts w:ascii="Arial" w:eastAsiaTheme="majorEastAsia" w:hAnsi="Arial" w:cs="Arial"/>
                <w:color w:val="0000FF"/>
                <w:sz w:val="20"/>
                <w:u w:val="single"/>
              </w:rPr>
            </w:r>
            <w:r w:rsidRPr="00E96786">
              <w:rPr>
                <w:rFonts w:ascii="Arial" w:eastAsiaTheme="majorEastAsia" w:hAnsi="Arial" w:cs="Arial"/>
                <w:color w:val="0000FF"/>
                <w:sz w:val="20"/>
                <w:u w:val="single"/>
              </w:rPr>
              <w:fldChar w:fldCharType="separate"/>
            </w:r>
            <w:r>
              <w:rPr>
                <w:rStyle w:val="Hyperlink"/>
                <w:rFonts w:ascii="Arial" w:hAnsi="Arial"/>
                <w:sz w:val="20"/>
              </w:rPr>
              <w:t>20.COM 6.a.6</w:t>
            </w:r>
            <w:r w:rsidRPr="00E96786">
              <w:rPr>
                <w:rFonts w:ascii="Arial" w:eastAsiaTheme="majorEastAsia" w:hAnsi="Arial" w:cs="Arial"/>
                <w:color w:val="0000FF"/>
                <w:sz w:val="20"/>
                <w:u w:val="single"/>
              </w:rPr>
              <w:fldChar w:fldCharType="end"/>
            </w:r>
          </w:p>
        </w:tc>
        <w:tc>
          <w:tcPr>
            <w:tcW w:w="802" w:type="pct"/>
            <w:tcBorders>
              <w:top w:val="single" w:sz="4" w:space="0" w:color="auto"/>
              <w:left w:val="nil"/>
              <w:bottom w:val="single" w:sz="4" w:space="0" w:color="auto"/>
              <w:right w:val="nil"/>
            </w:tcBorders>
          </w:tcPr>
          <w:p w14:paraId="48DB01CE" w14:textId="72B1CDEF" w:rsidR="003916F3" w:rsidRPr="00E96786" w:rsidRDefault="00614CEF" w:rsidP="003916F3">
            <w:pPr>
              <w:widowControl w:val="0"/>
              <w:spacing w:before="120" w:after="120"/>
              <w:jc w:val="center"/>
              <w:rPr>
                <w:rFonts w:ascii="Arial" w:hAnsi="Arial" w:cs="Arial"/>
                <w:color w:val="000000"/>
                <w:sz w:val="20"/>
                <w:szCs w:val="20"/>
              </w:rPr>
            </w:pPr>
            <w:r>
              <w:rPr>
                <w:rFonts w:ascii="Arial" w:hAnsi="Arial"/>
                <w:color w:val="000000"/>
                <w:sz w:val="20"/>
              </w:rPr>
              <w:t>Ukraine</w:t>
            </w:r>
          </w:p>
        </w:tc>
        <w:tc>
          <w:tcPr>
            <w:tcW w:w="2075" w:type="pct"/>
            <w:tcBorders>
              <w:top w:val="single" w:sz="4" w:space="0" w:color="auto"/>
              <w:left w:val="nil"/>
              <w:bottom w:val="single" w:sz="4" w:space="0" w:color="auto"/>
              <w:right w:val="nil"/>
            </w:tcBorders>
          </w:tcPr>
          <w:p w14:paraId="14E10A83" w14:textId="6534E6B7" w:rsidR="003916F3" w:rsidRPr="00E96786" w:rsidRDefault="00DE7DAA" w:rsidP="003916F3">
            <w:pPr>
              <w:widowControl w:val="0"/>
              <w:spacing w:before="120" w:after="120"/>
              <w:rPr>
                <w:rFonts w:ascii="Arial" w:hAnsi="Arial" w:cs="Arial"/>
                <w:color w:val="000000"/>
                <w:sz w:val="20"/>
                <w:szCs w:val="20"/>
              </w:rPr>
            </w:pPr>
            <w:r>
              <w:rPr>
                <w:rFonts w:ascii="Arial" w:hAnsi="Arial"/>
                <w:color w:val="000000"/>
                <w:sz w:val="20"/>
              </w:rPr>
              <w:t>Les chants cosaques de la région de Dnipropetrovsk</w:t>
            </w:r>
          </w:p>
        </w:tc>
        <w:tc>
          <w:tcPr>
            <w:tcW w:w="589" w:type="pct"/>
            <w:tcBorders>
              <w:top w:val="single" w:sz="4" w:space="0" w:color="auto"/>
              <w:left w:val="nil"/>
              <w:bottom w:val="single" w:sz="4" w:space="0" w:color="auto"/>
              <w:right w:val="nil"/>
            </w:tcBorders>
          </w:tcPr>
          <w:p w14:paraId="185D12CB" w14:textId="685CF232" w:rsidR="003916F3" w:rsidRPr="00E96786" w:rsidRDefault="003916F3" w:rsidP="003916F3">
            <w:pPr>
              <w:widowControl w:val="0"/>
              <w:spacing w:before="120" w:after="120"/>
              <w:jc w:val="center"/>
              <w:rPr>
                <w:rFonts w:ascii="Arial" w:hAnsi="Arial" w:cs="Arial"/>
                <w:color w:val="000000"/>
                <w:sz w:val="20"/>
                <w:szCs w:val="20"/>
              </w:rPr>
            </w:pPr>
            <w:r>
              <w:rPr>
                <w:rFonts w:ascii="Arial" w:hAnsi="Arial"/>
                <w:color w:val="000000"/>
                <w:sz w:val="20"/>
              </w:rPr>
              <w:t>2016</w:t>
            </w:r>
          </w:p>
        </w:tc>
        <w:tc>
          <w:tcPr>
            <w:tcW w:w="476" w:type="pct"/>
            <w:tcBorders>
              <w:top w:val="single" w:sz="4" w:space="0" w:color="auto"/>
              <w:left w:val="nil"/>
              <w:bottom w:val="single" w:sz="4" w:space="0" w:color="auto"/>
              <w:right w:val="nil"/>
            </w:tcBorders>
          </w:tcPr>
          <w:p w14:paraId="45A6A8FF" w14:textId="1957D629" w:rsidR="003916F3" w:rsidRPr="00E96786" w:rsidRDefault="003916F3" w:rsidP="003916F3">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70" w:type="pct"/>
            <w:tcBorders>
              <w:top w:val="single" w:sz="4" w:space="0" w:color="auto"/>
              <w:left w:val="nil"/>
              <w:bottom w:val="single" w:sz="4" w:space="0" w:color="auto"/>
              <w:right w:val="single" w:sz="4" w:space="0" w:color="auto"/>
            </w:tcBorders>
          </w:tcPr>
          <w:p w14:paraId="25AE21C5" w14:textId="21A7386E" w:rsidR="003916F3" w:rsidRPr="00E96786" w:rsidRDefault="003916F3" w:rsidP="003916F3">
            <w:pPr>
              <w:widowControl w:val="0"/>
              <w:spacing w:before="120" w:after="120"/>
              <w:jc w:val="center"/>
            </w:pPr>
            <w:hyperlink r:id="rId14" w:history="1">
              <w:r>
                <w:rPr>
                  <w:rFonts w:asciiTheme="minorBidi" w:hAnsiTheme="minorBidi"/>
                  <w:color w:val="0000FF"/>
                  <w:sz w:val="20"/>
                  <w:u w:val="single"/>
                </w:rPr>
                <w:t>01194</w:t>
              </w:r>
            </w:hyperlink>
          </w:p>
        </w:tc>
      </w:tr>
    </w:tbl>
    <w:p w14:paraId="3937BE96" w14:textId="6658E2ED" w:rsidR="00990F1C" w:rsidRPr="00E96786" w:rsidRDefault="00990F1C" w:rsidP="00894010">
      <w:pPr>
        <w:numPr>
          <w:ilvl w:val="0"/>
          <w:numId w:val="6"/>
        </w:numPr>
        <w:spacing w:before="240" w:after="120"/>
        <w:ind w:left="567" w:hanging="567"/>
        <w:jc w:val="both"/>
        <w:rPr>
          <w:rFonts w:ascii="Arial" w:hAnsi="Arial" w:cs="Arial"/>
          <w:snapToGrid w:val="0"/>
          <w:sz w:val="22"/>
          <w:szCs w:val="22"/>
        </w:rPr>
      </w:pPr>
      <w:r>
        <w:rPr>
          <w:rFonts w:asciiTheme="minorBidi" w:hAnsiTheme="minorBidi"/>
          <w:b/>
          <w:snapToGrid w:val="0"/>
          <w:sz w:val="22"/>
        </w:rPr>
        <w:t>Troisièmes rapports</w:t>
      </w:r>
      <w:r w:rsidRPr="00200F7B">
        <w:rPr>
          <w:rFonts w:asciiTheme="minorBidi" w:hAnsiTheme="minorBidi"/>
          <w:bCs/>
          <w:snapToGrid w:val="0"/>
          <w:sz w:val="22"/>
        </w:rPr>
        <w:t>.</w:t>
      </w:r>
      <w:r>
        <w:rPr>
          <w:rFonts w:asciiTheme="minorBidi" w:hAnsiTheme="minorBidi"/>
          <w:b/>
          <w:snapToGrid w:val="0"/>
          <w:sz w:val="22"/>
        </w:rPr>
        <w:t xml:space="preserve"> </w:t>
      </w:r>
      <w:r>
        <w:rPr>
          <w:rFonts w:asciiTheme="minorBidi" w:hAnsiTheme="minorBidi"/>
          <w:snapToGrid w:val="0"/>
          <w:sz w:val="22"/>
        </w:rPr>
        <w:t xml:space="preserve">Deux troisièmes rapports attendus dans le cadre de ce cycle ont été reçus et sont </w:t>
      </w:r>
      <w:r>
        <w:rPr>
          <w:rFonts w:ascii="Arial" w:hAnsi="Arial"/>
          <w:snapToGrid w:val="0"/>
          <w:sz w:val="22"/>
        </w:rPr>
        <w:t>présentés à cette session du Comité dans le tableau ci-après.</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940"/>
        <w:gridCol w:w="1704"/>
        <w:gridCol w:w="3620"/>
        <w:gridCol w:w="1314"/>
        <w:gridCol w:w="1226"/>
        <w:gridCol w:w="848"/>
      </w:tblGrid>
      <w:tr w:rsidR="00990F1C" w:rsidRPr="00E96786" w14:paraId="6D571499" w14:textId="77777777" w:rsidTr="004D40FC">
        <w:trPr>
          <w:cantSplit/>
          <w:trHeight w:val="928"/>
          <w:tblHeader/>
          <w:jc w:val="center"/>
        </w:trPr>
        <w:tc>
          <w:tcPr>
            <w:tcW w:w="69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A9748BA" w14:textId="77777777" w:rsidR="00990F1C" w:rsidRPr="00E96786" w:rsidRDefault="00990F1C" w:rsidP="00894010">
            <w:pPr>
              <w:widowControl w:val="0"/>
              <w:numPr>
                <w:ilvl w:val="0"/>
                <w:numId w:val="7"/>
              </w:numPr>
              <w:tabs>
                <w:tab w:val="left" w:pos="74"/>
              </w:tabs>
              <w:snapToGrid w:val="0"/>
              <w:ind w:left="0" w:hanging="567"/>
              <w:jc w:val="center"/>
              <w:outlineLvl w:val="3"/>
              <w:rPr>
                <w:rFonts w:ascii="Arial" w:hAnsi="Arial"/>
                <w:b/>
                <w:bCs/>
                <w:snapToGrid w:val="0"/>
                <w:sz w:val="20"/>
                <w:szCs w:val="20"/>
              </w:rPr>
            </w:pPr>
            <w:r>
              <w:rPr>
                <w:rFonts w:ascii="Arial" w:hAnsi="Arial"/>
                <w:b/>
                <w:snapToGrid w:val="0"/>
                <w:sz w:val="20"/>
              </w:rPr>
              <w:t>Projet de décision</w:t>
            </w:r>
          </w:p>
        </w:tc>
        <w:tc>
          <w:tcPr>
            <w:tcW w:w="808" w:type="pct"/>
            <w:tcBorders>
              <w:top w:val="single" w:sz="4" w:space="0" w:color="auto"/>
              <w:left w:val="nil"/>
              <w:bottom w:val="single" w:sz="4" w:space="0" w:color="auto"/>
              <w:right w:val="nil"/>
            </w:tcBorders>
            <w:shd w:val="clear" w:color="auto" w:fill="D9D9D9" w:themeFill="background1" w:themeFillShade="D9"/>
            <w:vAlign w:val="center"/>
          </w:tcPr>
          <w:p w14:paraId="08CDBEF2"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État</w:t>
            </w:r>
          </w:p>
          <w:p w14:paraId="5823064E"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soumissionnaire</w:t>
            </w:r>
          </w:p>
        </w:tc>
        <w:tc>
          <w:tcPr>
            <w:tcW w:w="2081" w:type="pct"/>
            <w:tcBorders>
              <w:top w:val="single" w:sz="4" w:space="0" w:color="auto"/>
              <w:left w:val="nil"/>
              <w:bottom w:val="single" w:sz="4" w:space="0" w:color="auto"/>
              <w:right w:val="nil"/>
            </w:tcBorders>
            <w:shd w:val="clear" w:color="auto" w:fill="D9D9D9" w:themeFill="background1" w:themeFillShade="D9"/>
            <w:vAlign w:val="center"/>
            <w:hideMark/>
          </w:tcPr>
          <w:p w14:paraId="52B5C79C" w14:textId="77777777"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Élément</w:t>
            </w:r>
          </w:p>
        </w:tc>
        <w:tc>
          <w:tcPr>
            <w:tcW w:w="589" w:type="pct"/>
            <w:tcBorders>
              <w:top w:val="single" w:sz="4" w:space="0" w:color="auto"/>
              <w:left w:val="nil"/>
              <w:bottom w:val="single" w:sz="4" w:space="0" w:color="auto"/>
              <w:right w:val="nil"/>
            </w:tcBorders>
            <w:shd w:val="clear" w:color="auto" w:fill="D9D9D9" w:themeFill="background1" w:themeFillShade="D9"/>
            <w:vAlign w:val="center"/>
            <w:hideMark/>
          </w:tcPr>
          <w:p w14:paraId="22B78D61" w14:textId="3DEFA83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Année d</w:t>
            </w:r>
            <w:r w:rsidR="00C93212">
              <w:rPr>
                <w:rFonts w:ascii="Arial" w:hAnsi="Arial"/>
                <w:b/>
                <w:color w:val="000000"/>
                <w:sz w:val="20"/>
              </w:rPr>
              <w:t>’</w:t>
            </w:r>
            <w:r>
              <w:rPr>
                <w:rFonts w:ascii="Arial" w:hAnsi="Arial"/>
                <w:b/>
                <w:color w:val="000000"/>
                <w:sz w:val="20"/>
              </w:rPr>
              <w:t>inscription</w:t>
            </w:r>
          </w:p>
        </w:tc>
        <w:tc>
          <w:tcPr>
            <w:tcW w:w="481" w:type="pct"/>
            <w:tcBorders>
              <w:top w:val="single" w:sz="4" w:space="0" w:color="auto"/>
              <w:left w:val="nil"/>
              <w:bottom w:val="single" w:sz="4" w:space="0" w:color="auto"/>
              <w:right w:val="nil"/>
            </w:tcBorders>
            <w:shd w:val="clear" w:color="auto" w:fill="D9D9D9" w:themeFill="background1" w:themeFillShade="D9"/>
            <w:vAlign w:val="center"/>
          </w:tcPr>
          <w:p w14:paraId="76B796AE"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Initialement prévu pour le cycle</w:t>
            </w:r>
          </w:p>
        </w:tc>
        <w:tc>
          <w:tcPr>
            <w:tcW w:w="3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1C863F" w14:textId="17612173"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 xml:space="preserve">Dossier </w:t>
            </w:r>
            <w:r w:rsidR="001A5B04">
              <w:rPr>
                <w:rFonts w:ascii="Arial" w:hAnsi="Arial"/>
                <w:b/>
                <w:color w:val="000000"/>
                <w:sz w:val="20"/>
              </w:rPr>
              <w:t>n°</w:t>
            </w:r>
          </w:p>
        </w:tc>
      </w:tr>
      <w:tr w:rsidR="001E3CB0" w:rsidRPr="00E96786" w14:paraId="26164532" w14:textId="77777777" w:rsidTr="001E3CB0">
        <w:trPr>
          <w:cantSplit/>
          <w:trHeight w:val="50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38C625" w14:textId="48AB5C20" w:rsidR="001E3CB0" w:rsidRPr="00E96786" w:rsidRDefault="001E3CB0" w:rsidP="00990F1C">
            <w:pPr>
              <w:widowControl w:val="0"/>
              <w:spacing w:before="120" w:after="120"/>
              <w:jc w:val="center"/>
            </w:pPr>
            <w:r>
              <w:rPr>
                <w:rFonts w:ascii="Arial" w:hAnsi="Arial"/>
                <w:b/>
                <w:color w:val="000000"/>
                <w:sz w:val="20"/>
              </w:rPr>
              <w:t>Troisièmes rapports</w:t>
            </w:r>
          </w:p>
        </w:tc>
      </w:tr>
      <w:bookmarkStart w:id="7" w:name="_19.COM_6.a.9"/>
      <w:bookmarkEnd w:id="7"/>
      <w:tr w:rsidR="00990F1C" w:rsidRPr="00E96786" w14:paraId="69F53CC4" w14:textId="77777777" w:rsidTr="004D40FC">
        <w:trPr>
          <w:cantSplit/>
          <w:trHeight w:val="689"/>
          <w:jc w:val="center"/>
        </w:trPr>
        <w:tc>
          <w:tcPr>
            <w:tcW w:w="693" w:type="pct"/>
            <w:tcBorders>
              <w:top w:val="single" w:sz="4" w:space="0" w:color="auto"/>
              <w:left w:val="single" w:sz="4" w:space="0" w:color="auto"/>
              <w:bottom w:val="single" w:sz="4" w:space="0" w:color="auto"/>
              <w:right w:val="nil"/>
            </w:tcBorders>
          </w:tcPr>
          <w:p w14:paraId="3F695B24" w14:textId="52D775AB" w:rsidR="00990F1C" w:rsidRPr="00E96786" w:rsidRDefault="005B4A45" w:rsidP="00990F1C">
            <w:pPr>
              <w:widowControl w:val="0"/>
              <w:spacing w:before="120" w:after="120"/>
              <w:outlineLvl w:val="0"/>
              <w:rPr>
                <w:rFonts w:ascii="Arial" w:eastAsiaTheme="majorEastAsia" w:hAnsi="Arial" w:cs="Arial"/>
                <w:color w:val="365F91" w:themeColor="accent1" w:themeShade="BF"/>
                <w:sz w:val="20"/>
                <w:szCs w:val="20"/>
                <w:u w:val="single"/>
              </w:rPr>
            </w:pPr>
            <w:r w:rsidRPr="00E96786">
              <w:rPr>
                <w:rFonts w:ascii="Arial" w:eastAsiaTheme="majorEastAsia" w:hAnsi="Arial" w:cs="Arial"/>
                <w:color w:val="0000FF"/>
                <w:sz w:val="20"/>
                <w:u w:val="single"/>
              </w:rPr>
              <w:fldChar w:fldCharType="begin"/>
            </w:r>
            <w:r w:rsidRPr="00E96786">
              <w:rPr>
                <w:rFonts w:ascii="Arial" w:eastAsiaTheme="majorEastAsia" w:hAnsi="Arial" w:cs="Arial"/>
                <w:color w:val="0000FF"/>
                <w:sz w:val="20"/>
                <w:u w:val="single"/>
              </w:rPr>
              <w:instrText>HYPERLINK  \l "_DRAFT_DECISION_20.COM_6"</w:instrText>
            </w:r>
            <w:r w:rsidRPr="00E96786">
              <w:rPr>
                <w:rFonts w:ascii="Arial" w:eastAsiaTheme="majorEastAsia" w:hAnsi="Arial" w:cs="Arial"/>
                <w:color w:val="0000FF"/>
                <w:sz w:val="20"/>
                <w:u w:val="single"/>
              </w:rPr>
            </w:r>
            <w:r w:rsidRPr="00E96786">
              <w:rPr>
                <w:rFonts w:ascii="Arial" w:eastAsiaTheme="majorEastAsia" w:hAnsi="Arial" w:cs="Arial"/>
                <w:color w:val="0000FF"/>
                <w:sz w:val="20"/>
                <w:u w:val="single"/>
              </w:rPr>
              <w:fldChar w:fldCharType="separate"/>
            </w:r>
            <w:r>
              <w:rPr>
                <w:rStyle w:val="Hyperlink"/>
                <w:rFonts w:ascii="Arial" w:hAnsi="Arial"/>
                <w:sz w:val="20"/>
              </w:rPr>
              <w:t>20.COM 6.a.7</w:t>
            </w:r>
            <w:r w:rsidRPr="00E96786">
              <w:rPr>
                <w:rFonts w:ascii="Arial" w:eastAsiaTheme="majorEastAsia" w:hAnsi="Arial" w:cs="Arial"/>
                <w:color w:val="0000FF"/>
                <w:sz w:val="20"/>
                <w:u w:val="single"/>
              </w:rPr>
              <w:fldChar w:fldCharType="end"/>
            </w:r>
          </w:p>
        </w:tc>
        <w:tc>
          <w:tcPr>
            <w:tcW w:w="808" w:type="pct"/>
            <w:tcBorders>
              <w:top w:val="single" w:sz="4" w:space="0" w:color="auto"/>
              <w:left w:val="nil"/>
              <w:bottom w:val="single" w:sz="4" w:space="0" w:color="auto"/>
              <w:right w:val="nil"/>
            </w:tcBorders>
          </w:tcPr>
          <w:p w14:paraId="47DA54F6" w14:textId="28D34071" w:rsidR="00990F1C" w:rsidRPr="00E96786" w:rsidRDefault="0075203F" w:rsidP="00990F1C">
            <w:pPr>
              <w:widowControl w:val="0"/>
              <w:spacing w:before="120" w:after="120"/>
              <w:jc w:val="center"/>
              <w:rPr>
                <w:rFonts w:ascii="Arial" w:hAnsi="Arial" w:cs="Arial"/>
                <w:color w:val="000000"/>
                <w:sz w:val="20"/>
                <w:szCs w:val="20"/>
              </w:rPr>
            </w:pPr>
            <w:r>
              <w:rPr>
                <w:rFonts w:ascii="Arial" w:hAnsi="Arial"/>
                <w:color w:val="000000"/>
                <w:sz w:val="20"/>
              </w:rPr>
              <w:t>Botswana</w:t>
            </w:r>
          </w:p>
        </w:tc>
        <w:tc>
          <w:tcPr>
            <w:tcW w:w="2081" w:type="pct"/>
            <w:tcBorders>
              <w:top w:val="single" w:sz="4" w:space="0" w:color="auto"/>
              <w:left w:val="nil"/>
              <w:bottom w:val="single" w:sz="4" w:space="0" w:color="auto"/>
              <w:right w:val="nil"/>
            </w:tcBorders>
          </w:tcPr>
          <w:p w14:paraId="1DFA35E4" w14:textId="376E79DB" w:rsidR="00990F1C" w:rsidRPr="00E96786" w:rsidRDefault="008D702E" w:rsidP="00990F1C">
            <w:pPr>
              <w:widowControl w:val="0"/>
              <w:spacing w:before="120" w:after="120"/>
              <w:rPr>
                <w:rFonts w:ascii="Arial" w:hAnsi="Arial" w:cs="Arial"/>
                <w:color w:val="000000"/>
                <w:sz w:val="20"/>
                <w:szCs w:val="20"/>
              </w:rPr>
            </w:pPr>
            <w:r>
              <w:rPr>
                <w:rFonts w:ascii="Arial" w:hAnsi="Arial"/>
                <w:color w:val="000000"/>
                <w:sz w:val="20"/>
              </w:rPr>
              <w:t>Le savoir-faire de la poterie en terre cuite dans le district de Kgatleng au Botswana</w:t>
            </w:r>
          </w:p>
        </w:tc>
        <w:tc>
          <w:tcPr>
            <w:tcW w:w="589" w:type="pct"/>
            <w:tcBorders>
              <w:top w:val="single" w:sz="4" w:space="0" w:color="auto"/>
              <w:left w:val="nil"/>
              <w:bottom w:val="single" w:sz="4" w:space="0" w:color="auto"/>
              <w:right w:val="nil"/>
            </w:tcBorders>
          </w:tcPr>
          <w:p w14:paraId="22F21B1C" w14:textId="2E35BC0A"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2012</w:t>
            </w:r>
          </w:p>
        </w:tc>
        <w:tc>
          <w:tcPr>
            <w:tcW w:w="481" w:type="pct"/>
            <w:tcBorders>
              <w:top w:val="single" w:sz="4" w:space="0" w:color="auto"/>
              <w:left w:val="nil"/>
              <w:bottom w:val="single" w:sz="4" w:space="0" w:color="auto"/>
              <w:right w:val="nil"/>
            </w:tcBorders>
          </w:tcPr>
          <w:p w14:paraId="3D06CC40" w14:textId="449F91A2"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8" w:type="pct"/>
            <w:tcBorders>
              <w:top w:val="single" w:sz="4" w:space="0" w:color="auto"/>
              <w:left w:val="nil"/>
              <w:bottom w:val="single" w:sz="4" w:space="0" w:color="auto"/>
              <w:right w:val="single" w:sz="4" w:space="0" w:color="auto"/>
            </w:tcBorders>
          </w:tcPr>
          <w:p w14:paraId="48D68D3D" w14:textId="302DA389" w:rsidR="00990F1C" w:rsidRPr="00E96786" w:rsidRDefault="003C0069" w:rsidP="00990F1C">
            <w:pPr>
              <w:widowControl w:val="0"/>
              <w:spacing w:before="120" w:after="120"/>
              <w:jc w:val="center"/>
              <w:rPr>
                <w:rFonts w:asciiTheme="minorBidi" w:hAnsiTheme="minorBidi" w:cstheme="minorBidi"/>
                <w:color w:val="0000FF"/>
                <w:sz w:val="20"/>
                <w:szCs w:val="20"/>
                <w:u w:val="single"/>
              </w:rPr>
            </w:pPr>
            <w:hyperlink r:id="rId15" w:history="1">
              <w:r>
                <w:rPr>
                  <w:rStyle w:val="Hyperlink"/>
                  <w:rFonts w:asciiTheme="minorBidi" w:hAnsiTheme="minorBidi"/>
                  <w:sz w:val="20"/>
                </w:rPr>
                <w:t>00753</w:t>
              </w:r>
            </w:hyperlink>
          </w:p>
        </w:tc>
      </w:tr>
      <w:bookmarkStart w:id="8" w:name="_19.COM_6.a.10"/>
      <w:bookmarkStart w:id="9" w:name="_19.COM_6.a.11"/>
      <w:bookmarkEnd w:id="8"/>
      <w:bookmarkEnd w:id="9"/>
      <w:tr w:rsidR="00990F1C" w:rsidRPr="00E96786" w14:paraId="698784C7" w14:textId="77777777" w:rsidTr="004D40FC">
        <w:trPr>
          <w:cantSplit/>
          <w:trHeight w:val="689"/>
          <w:jc w:val="center"/>
        </w:trPr>
        <w:tc>
          <w:tcPr>
            <w:tcW w:w="693" w:type="pct"/>
            <w:tcBorders>
              <w:top w:val="single" w:sz="4" w:space="0" w:color="auto"/>
              <w:left w:val="single" w:sz="4" w:space="0" w:color="auto"/>
              <w:bottom w:val="single" w:sz="4" w:space="0" w:color="auto"/>
              <w:right w:val="nil"/>
            </w:tcBorders>
          </w:tcPr>
          <w:p w14:paraId="633D00B4" w14:textId="14AADB80" w:rsidR="00990F1C" w:rsidRPr="00E96786" w:rsidRDefault="005B4A45" w:rsidP="00990F1C">
            <w:pPr>
              <w:widowControl w:val="0"/>
              <w:spacing w:before="120" w:after="120"/>
              <w:outlineLvl w:val="0"/>
              <w:rPr>
                <w:rFonts w:ascii="Arial" w:eastAsiaTheme="majorEastAsia" w:hAnsi="Arial" w:cs="Arial"/>
                <w:color w:val="365F91" w:themeColor="accent1" w:themeShade="BF"/>
                <w:sz w:val="20"/>
                <w:szCs w:val="20"/>
                <w:u w:val="single"/>
              </w:rPr>
            </w:pPr>
            <w:r w:rsidRPr="00E96786">
              <w:rPr>
                <w:rFonts w:ascii="Arial" w:eastAsiaTheme="majorEastAsia" w:hAnsi="Arial" w:cs="Arial"/>
                <w:color w:val="0000FF"/>
                <w:sz w:val="20"/>
                <w:u w:val="single"/>
              </w:rPr>
              <w:fldChar w:fldCharType="begin"/>
            </w:r>
            <w:r w:rsidRPr="00E96786">
              <w:rPr>
                <w:rFonts w:ascii="Arial" w:eastAsiaTheme="majorEastAsia" w:hAnsi="Arial" w:cs="Arial"/>
                <w:color w:val="0000FF"/>
                <w:sz w:val="20"/>
                <w:u w:val="single"/>
              </w:rPr>
              <w:instrText>HYPERLINK  \l "_DRAFT_DECISION_20.COM_7"</w:instrText>
            </w:r>
            <w:r w:rsidRPr="00E96786">
              <w:rPr>
                <w:rFonts w:ascii="Arial" w:eastAsiaTheme="majorEastAsia" w:hAnsi="Arial" w:cs="Arial"/>
                <w:color w:val="0000FF"/>
                <w:sz w:val="20"/>
                <w:u w:val="single"/>
              </w:rPr>
            </w:r>
            <w:r w:rsidRPr="00E96786">
              <w:rPr>
                <w:rFonts w:ascii="Arial" w:eastAsiaTheme="majorEastAsia" w:hAnsi="Arial" w:cs="Arial"/>
                <w:color w:val="0000FF"/>
                <w:sz w:val="20"/>
                <w:u w:val="single"/>
              </w:rPr>
              <w:fldChar w:fldCharType="separate"/>
            </w:r>
            <w:r>
              <w:rPr>
                <w:rStyle w:val="Hyperlink"/>
                <w:rFonts w:ascii="Arial" w:hAnsi="Arial"/>
                <w:sz w:val="20"/>
              </w:rPr>
              <w:t>20.COM 6.a.8</w:t>
            </w:r>
            <w:r w:rsidRPr="00E96786">
              <w:rPr>
                <w:rFonts w:ascii="Arial" w:eastAsiaTheme="majorEastAsia" w:hAnsi="Arial" w:cs="Arial"/>
                <w:color w:val="0000FF"/>
                <w:sz w:val="20"/>
                <w:u w:val="single"/>
              </w:rPr>
              <w:fldChar w:fldCharType="end"/>
            </w:r>
          </w:p>
        </w:tc>
        <w:tc>
          <w:tcPr>
            <w:tcW w:w="808" w:type="pct"/>
            <w:tcBorders>
              <w:top w:val="single" w:sz="4" w:space="0" w:color="auto"/>
              <w:left w:val="nil"/>
              <w:bottom w:val="single" w:sz="4" w:space="0" w:color="auto"/>
              <w:right w:val="nil"/>
            </w:tcBorders>
          </w:tcPr>
          <w:p w14:paraId="3650DE52" w14:textId="77777777"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Indonésie</w:t>
            </w:r>
          </w:p>
        </w:tc>
        <w:tc>
          <w:tcPr>
            <w:tcW w:w="2081" w:type="pct"/>
            <w:tcBorders>
              <w:top w:val="single" w:sz="4" w:space="0" w:color="auto"/>
              <w:left w:val="nil"/>
              <w:bottom w:val="single" w:sz="4" w:space="0" w:color="auto"/>
              <w:right w:val="nil"/>
            </w:tcBorders>
          </w:tcPr>
          <w:p w14:paraId="576DBCF7" w14:textId="0B9BC226" w:rsidR="00990F1C" w:rsidRPr="00E96786" w:rsidRDefault="001F5BCF" w:rsidP="00990F1C">
            <w:pPr>
              <w:widowControl w:val="0"/>
              <w:spacing w:before="120" w:after="120"/>
              <w:rPr>
                <w:rFonts w:ascii="Arial" w:hAnsi="Arial" w:cs="Arial"/>
                <w:color w:val="000000"/>
                <w:sz w:val="20"/>
                <w:szCs w:val="20"/>
              </w:rPr>
            </w:pPr>
            <w:r>
              <w:rPr>
                <w:rFonts w:ascii="Arial" w:hAnsi="Arial"/>
                <w:color w:val="000000"/>
                <w:sz w:val="20"/>
              </w:rPr>
              <w:t>Le noken, sac multifonctionnel noué ou tissé, artisanat du peuple de Papouasie</w:t>
            </w:r>
          </w:p>
        </w:tc>
        <w:tc>
          <w:tcPr>
            <w:tcW w:w="589" w:type="pct"/>
            <w:tcBorders>
              <w:top w:val="single" w:sz="4" w:space="0" w:color="auto"/>
              <w:left w:val="nil"/>
              <w:bottom w:val="single" w:sz="4" w:space="0" w:color="auto"/>
              <w:right w:val="nil"/>
            </w:tcBorders>
          </w:tcPr>
          <w:p w14:paraId="27F72D05" w14:textId="308219C5"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2012</w:t>
            </w:r>
          </w:p>
        </w:tc>
        <w:tc>
          <w:tcPr>
            <w:tcW w:w="481" w:type="pct"/>
            <w:tcBorders>
              <w:top w:val="single" w:sz="4" w:space="0" w:color="auto"/>
              <w:left w:val="nil"/>
              <w:bottom w:val="single" w:sz="4" w:space="0" w:color="auto"/>
              <w:right w:val="nil"/>
            </w:tcBorders>
          </w:tcPr>
          <w:p w14:paraId="5086D1C3" w14:textId="0AC8A764"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8" w:type="pct"/>
            <w:tcBorders>
              <w:top w:val="single" w:sz="4" w:space="0" w:color="auto"/>
              <w:left w:val="nil"/>
              <w:bottom w:val="single" w:sz="4" w:space="0" w:color="auto"/>
              <w:right w:val="single" w:sz="4" w:space="0" w:color="auto"/>
            </w:tcBorders>
          </w:tcPr>
          <w:p w14:paraId="5F2A017A" w14:textId="600EE717" w:rsidR="00990F1C" w:rsidRPr="00E96786" w:rsidRDefault="00990F1C" w:rsidP="00990F1C">
            <w:pPr>
              <w:widowControl w:val="0"/>
              <w:spacing w:before="120" w:after="120"/>
              <w:jc w:val="center"/>
              <w:rPr>
                <w:rFonts w:asciiTheme="minorBidi" w:hAnsiTheme="minorBidi" w:cstheme="minorBidi"/>
                <w:color w:val="0000FF"/>
                <w:sz w:val="20"/>
                <w:szCs w:val="20"/>
                <w:u w:val="single"/>
              </w:rPr>
            </w:pPr>
            <w:hyperlink r:id="rId16" w:history="1">
              <w:r>
                <w:rPr>
                  <w:rFonts w:asciiTheme="minorBidi" w:hAnsiTheme="minorBidi"/>
                  <w:color w:val="0000FF"/>
                  <w:sz w:val="20"/>
                  <w:u w:val="single"/>
                </w:rPr>
                <w:t>00619</w:t>
              </w:r>
            </w:hyperlink>
          </w:p>
        </w:tc>
      </w:tr>
    </w:tbl>
    <w:p w14:paraId="51EB91C1" w14:textId="64926EB5" w:rsidR="00990F1C" w:rsidRPr="00E96786" w:rsidRDefault="00990F1C" w:rsidP="00894010">
      <w:pPr>
        <w:numPr>
          <w:ilvl w:val="0"/>
          <w:numId w:val="6"/>
        </w:numPr>
        <w:spacing w:before="240" w:after="120"/>
        <w:ind w:left="567" w:hanging="567"/>
        <w:jc w:val="both"/>
        <w:rPr>
          <w:rFonts w:ascii="Arial" w:eastAsia="SimSun" w:hAnsi="Arial" w:cs="Arial"/>
          <w:snapToGrid w:val="0"/>
          <w:sz w:val="22"/>
          <w:szCs w:val="22"/>
        </w:rPr>
      </w:pPr>
      <w:bookmarkStart w:id="10" w:name="_19.COM_6.a.12"/>
      <w:bookmarkEnd w:id="10"/>
      <w:r>
        <w:rPr>
          <w:rFonts w:asciiTheme="minorBidi" w:hAnsiTheme="minorBidi"/>
          <w:b/>
          <w:snapToGrid w:val="0"/>
          <w:sz w:val="22"/>
        </w:rPr>
        <w:lastRenderedPageBreak/>
        <w:t>Rapports soumis tardivement</w:t>
      </w:r>
      <w:r w:rsidR="006373D3">
        <w:rPr>
          <w:rFonts w:ascii="Arial" w:hAnsi="Arial"/>
          <w:snapToGrid w:val="0"/>
          <w:sz w:val="22"/>
        </w:rPr>
        <w:t>.</w:t>
      </w:r>
      <w:r>
        <w:rPr>
          <w:rFonts w:ascii="Arial" w:hAnsi="Arial"/>
          <w:snapToGrid w:val="0"/>
          <w:sz w:val="22"/>
        </w:rPr>
        <w:t xml:space="preserve"> Les rapports périodiques concernant sept éléments sont en retard pour ce cycle de rapport. La soumission des rapports en retard comme indiqué dans le tableau ci-dessous est attendue en décembre 2025, pour examen par le Comité lors de sa vingt-et-unième session en 2026.</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1704"/>
        <w:gridCol w:w="4574"/>
        <w:gridCol w:w="1314"/>
        <w:gridCol w:w="1226"/>
        <w:gridCol w:w="848"/>
      </w:tblGrid>
      <w:tr w:rsidR="00D20739" w:rsidRPr="00E96786" w14:paraId="7FA109CB" w14:textId="77777777" w:rsidTr="00CE4AF9">
        <w:trPr>
          <w:cantSplit/>
          <w:trHeight w:val="928"/>
          <w:tblHeader/>
        </w:trPr>
        <w:tc>
          <w:tcPr>
            <w:tcW w:w="949" w:type="pct"/>
            <w:shd w:val="clear" w:color="auto" w:fill="D9D9D9" w:themeFill="background1" w:themeFillShade="D9"/>
            <w:vAlign w:val="center"/>
          </w:tcPr>
          <w:p w14:paraId="554376B3"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État</w:t>
            </w:r>
          </w:p>
          <w:p w14:paraId="182D85D9"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soumissionnaire</w:t>
            </w:r>
          </w:p>
        </w:tc>
        <w:tc>
          <w:tcPr>
            <w:tcW w:w="2447" w:type="pct"/>
            <w:shd w:val="clear" w:color="auto" w:fill="D9D9D9" w:themeFill="background1" w:themeFillShade="D9"/>
            <w:vAlign w:val="center"/>
            <w:hideMark/>
          </w:tcPr>
          <w:p w14:paraId="2574A0FD" w14:textId="77777777"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Élément</w:t>
            </w:r>
          </w:p>
        </w:tc>
        <w:tc>
          <w:tcPr>
            <w:tcW w:w="693" w:type="pct"/>
            <w:shd w:val="clear" w:color="auto" w:fill="D9D9D9" w:themeFill="background1" w:themeFillShade="D9"/>
            <w:vAlign w:val="center"/>
            <w:hideMark/>
          </w:tcPr>
          <w:p w14:paraId="0650C482" w14:textId="7B500E82"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Année d</w:t>
            </w:r>
            <w:r w:rsidR="00C93212">
              <w:rPr>
                <w:rFonts w:ascii="Arial" w:hAnsi="Arial"/>
                <w:b/>
                <w:color w:val="000000"/>
                <w:sz w:val="20"/>
              </w:rPr>
              <w:t>’</w:t>
            </w:r>
            <w:r>
              <w:rPr>
                <w:rFonts w:ascii="Arial" w:hAnsi="Arial"/>
                <w:b/>
                <w:color w:val="000000"/>
                <w:sz w:val="20"/>
              </w:rPr>
              <w:t>inscription</w:t>
            </w:r>
          </w:p>
        </w:tc>
        <w:tc>
          <w:tcPr>
            <w:tcW w:w="564" w:type="pct"/>
            <w:shd w:val="clear" w:color="auto" w:fill="D9D9D9" w:themeFill="background1" w:themeFillShade="D9"/>
            <w:vAlign w:val="center"/>
          </w:tcPr>
          <w:p w14:paraId="638F6459" w14:textId="77777777" w:rsidR="00990F1C" w:rsidRPr="00E96786" w:rsidRDefault="00990F1C" w:rsidP="00990F1C">
            <w:pPr>
              <w:widowControl w:val="0"/>
              <w:snapToGrid w:val="0"/>
              <w:jc w:val="center"/>
              <w:rPr>
                <w:rFonts w:ascii="Arial" w:hAnsi="Arial" w:cs="Arial"/>
                <w:b/>
                <w:bCs/>
                <w:color w:val="000000"/>
                <w:sz w:val="20"/>
                <w:szCs w:val="20"/>
              </w:rPr>
            </w:pPr>
            <w:r>
              <w:rPr>
                <w:rFonts w:ascii="Arial" w:hAnsi="Arial"/>
                <w:b/>
                <w:color w:val="000000"/>
                <w:sz w:val="20"/>
              </w:rPr>
              <w:t>Initialement prévu pour le cycle</w:t>
            </w:r>
          </w:p>
        </w:tc>
        <w:tc>
          <w:tcPr>
            <w:tcW w:w="347" w:type="pct"/>
            <w:shd w:val="clear" w:color="auto" w:fill="D9D9D9" w:themeFill="background1" w:themeFillShade="D9"/>
            <w:vAlign w:val="center"/>
            <w:hideMark/>
          </w:tcPr>
          <w:p w14:paraId="0F09A238" w14:textId="77777777" w:rsidR="00990F1C" w:rsidRPr="00E96786" w:rsidRDefault="00990F1C" w:rsidP="00990F1C">
            <w:pPr>
              <w:widowControl w:val="0"/>
              <w:snapToGrid w:val="0"/>
              <w:jc w:val="center"/>
              <w:rPr>
                <w:rFonts w:ascii="Arial" w:hAnsi="Arial" w:cs="Arial"/>
                <w:color w:val="000000"/>
                <w:sz w:val="20"/>
                <w:szCs w:val="20"/>
              </w:rPr>
            </w:pPr>
            <w:r>
              <w:rPr>
                <w:rFonts w:ascii="Arial" w:hAnsi="Arial"/>
                <w:b/>
                <w:color w:val="000000"/>
                <w:sz w:val="20"/>
              </w:rPr>
              <w:t>Dossier no.</w:t>
            </w:r>
          </w:p>
        </w:tc>
      </w:tr>
      <w:tr w:rsidR="001E3CB0" w:rsidRPr="00E96786" w14:paraId="485125EB" w14:textId="77777777" w:rsidTr="001E3CB0">
        <w:trPr>
          <w:cantSplit/>
          <w:trHeight w:val="509"/>
        </w:trPr>
        <w:tc>
          <w:tcPr>
            <w:tcW w:w="5000" w:type="pct"/>
            <w:gridSpan w:val="5"/>
            <w:shd w:val="clear" w:color="auto" w:fill="BFBFBF" w:themeFill="background1" w:themeFillShade="BF"/>
          </w:tcPr>
          <w:p w14:paraId="6C1A4EE2" w14:textId="1F1235AA" w:rsidR="001E3CB0" w:rsidRPr="00E96786" w:rsidRDefault="001E3CB0" w:rsidP="00990F1C">
            <w:pPr>
              <w:widowControl w:val="0"/>
              <w:spacing w:before="120" w:after="120"/>
              <w:jc w:val="center"/>
            </w:pPr>
            <w:r>
              <w:rPr>
                <w:rFonts w:ascii="Arial" w:hAnsi="Arial"/>
                <w:b/>
                <w:color w:val="000000"/>
                <w:sz w:val="20"/>
              </w:rPr>
              <w:t>Premiers rapports</w:t>
            </w:r>
          </w:p>
        </w:tc>
      </w:tr>
      <w:tr w:rsidR="00990F1C" w:rsidRPr="00E96786" w14:paraId="0A354986" w14:textId="77777777" w:rsidTr="00CE4AF9">
        <w:trPr>
          <w:cantSplit/>
          <w:trHeight w:val="689"/>
        </w:trPr>
        <w:tc>
          <w:tcPr>
            <w:tcW w:w="949" w:type="pct"/>
          </w:tcPr>
          <w:p w14:paraId="6C287EE9" w14:textId="77777777"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Algérie</w:t>
            </w:r>
          </w:p>
        </w:tc>
        <w:tc>
          <w:tcPr>
            <w:tcW w:w="2447" w:type="pct"/>
          </w:tcPr>
          <w:p w14:paraId="6899A8FA" w14:textId="27F52858" w:rsidR="00990F1C" w:rsidRPr="00E96786" w:rsidRDefault="00990F1C" w:rsidP="00990F1C">
            <w:pPr>
              <w:widowControl w:val="0"/>
              <w:spacing w:before="120" w:after="120"/>
              <w:rPr>
                <w:rFonts w:ascii="Arial" w:hAnsi="Arial" w:cs="Arial"/>
                <w:color w:val="000000"/>
                <w:sz w:val="20"/>
                <w:szCs w:val="20"/>
              </w:rPr>
            </w:pPr>
            <w:r>
              <w:rPr>
                <w:rFonts w:ascii="Arial" w:hAnsi="Arial"/>
                <w:color w:val="000000"/>
                <w:sz w:val="20"/>
              </w:rPr>
              <w:t>Les savoirs et savoir-faire des mesureurs d</w:t>
            </w:r>
            <w:r w:rsidR="00C93212">
              <w:rPr>
                <w:rFonts w:ascii="Arial" w:hAnsi="Arial"/>
                <w:color w:val="000000"/>
                <w:sz w:val="20"/>
              </w:rPr>
              <w:t>’</w:t>
            </w:r>
            <w:r>
              <w:rPr>
                <w:rFonts w:ascii="Arial" w:hAnsi="Arial"/>
                <w:color w:val="000000"/>
                <w:sz w:val="20"/>
              </w:rPr>
              <w:t>eau des foggaras ou aiguadiers du Touat-Tidikelt</w:t>
            </w:r>
          </w:p>
        </w:tc>
        <w:tc>
          <w:tcPr>
            <w:tcW w:w="693" w:type="pct"/>
          </w:tcPr>
          <w:p w14:paraId="69F4743B" w14:textId="77777777" w:rsidR="00990F1C" w:rsidRPr="00E96786" w:rsidRDefault="00990F1C" w:rsidP="00990F1C">
            <w:pPr>
              <w:widowControl w:val="0"/>
              <w:spacing w:before="120" w:after="120"/>
              <w:jc w:val="center"/>
              <w:rPr>
                <w:rFonts w:ascii="Arial" w:hAnsi="Arial" w:cs="Arial"/>
                <w:color w:val="000000"/>
                <w:sz w:val="20"/>
                <w:szCs w:val="20"/>
              </w:rPr>
            </w:pPr>
            <w:r>
              <w:rPr>
                <w:rFonts w:ascii="Arial" w:hAnsi="Arial"/>
                <w:color w:val="000000"/>
                <w:sz w:val="20"/>
              </w:rPr>
              <w:t>2018</w:t>
            </w:r>
          </w:p>
        </w:tc>
        <w:tc>
          <w:tcPr>
            <w:tcW w:w="564" w:type="pct"/>
          </w:tcPr>
          <w:p w14:paraId="621BED79" w14:textId="77777777" w:rsidR="00990F1C" w:rsidRPr="00E96786" w:rsidRDefault="00990F1C" w:rsidP="00990F1C">
            <w:pPr>
              <w:widowControl w:val="0"/>
              <w:spacing w:before="120" w:after="120"/>
              <w:jc w:val="center"/>
              <w:rPr>
                <w:rFonts w:asciiTheme="minorBidi" w:hAnsiTheme="minorBidi" w:cstheme="minorBidi"/>
                <w:sz w:val="20"/>
                <w:szCs w:val="20"/>
              </w:rPr>
            </w:pPr>
            <w:r>
              <w:rPr>
                <w:rFonts w:asciiTheme="minorBidi" w:hAnsiTheme="minorBidi"/>
                <w:sz w:val="20"/>
              </w:rPr>
              <w:t>2023</w:t>
            </w:r>
          </w:p>
        </w:tc>
        <w:tc>
          <w:tcPr>
            <w:tcW w:w="347" w:type="pct"/>
          </w:tcPr>
          <w:p w14:paraId="64722654" w14:textId="77777777" w:rsidR="00990F1C" w:rsidRPr="00E96786" w:rsidRDefault="00990F1C" w:rsidP="00990F1C">
            <w:pPr>
              <w:widowControl w:val="0"/>
              <w:spacing w:before="120" w:after="120"/>
              <w:jc w:val="center"/>
              <w:rPr>
                <w:rFonts w:asciiTheme="minorBidi" w:hAnsiTheme="minorBidi" w:cstheme="minorBidi"/>
                <w:color w:val="0000FF"/>
                <w:sz w:val="20"/>
                <w:szCs w:val="20"/>
                <w:u w:val="single"/>
              </w:rPr>
            </w:pPr>
            <w:hyperlink r:id="rId17" w:history="1">
              <w:r>
                <w:rPr>
                  <w:rFonts w:asciiTheme="minorBidi" w:hAnsiTheme="minorBidi"/>
                  <w:color w:val="0000FF"/>
                  <w:sz w:val="20"/>
                  <w:u w:val="single"/>
                </w:rPr>
                <w:t>01274</w:t>
              </w:r>
            </w:hyperlink>
          </w:p>
        </w:tc>
      </w:tr>
      <w:tr w:rsidR="00D461D8" w:rsidRPr="00E96786" w14:paraId="00555BAE" w14:textId="77777777" w:rsidTr="00CE4AF9">
        <w:trPr>
          <w:cantSplit/>
          <w:trHeight w:val="689"/>
        </w:trPr>
        <w:tc>
          <w:tcPr>
            <w:tcW w:w="949" w:type="pct"/>
          </w:tcPr>
          <w:p w14:paraId="066C4D85" w14:textId="149A1670"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Kenya</w:t>
            </w:r>
          </w:p>
        </w:tc>
        <w:tc>
          <w:tcPr>
            <w:tcW w:w="2447" w:type="pct"/>
          </w:tcPr>
          <w:p w14:paraId="03E69F84" w14:textId="765B86C0" w:rsidR="00D461D8" w:rsidRPr="00E96786" w:rsidRDefault="00D461D8" w:rsidP="00D461D8">
            <w:pPr>
              <w:widowControl w:val="0"/>
              <w:spacing w:before="120" w:after="120"/>
              <w:rPr>
                <w:rFonts w:ascii="Arial" w:hAnsi="Arial" w:cs="Arial"/>
                <w:color w:val="000000"/>
                <w:sz w:val="20"/>
                <w:szCs w:val="20"/>
              </w:rPr>
            </w:pPr>
            <w:r>
              <w:rPr>
                <w:rFonts w:ascii="Arial" w:hAnsi="Arial"/>
                <w:sz w:val="20"/>
              </w:rPr>
              <w:t>Les rituels et pratiques associés au sanctuaire de Kit Mikayi</w:t>
            </w:r>
          </w:p>
        </w:tc>
        <w:tc>
          <w:tcPr>
            <w:tcW w:w="693" w:type="pct"/>
          </w:tcPr>
          <w:p w14:paraId="41824745" w14:textId="304D5934"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2019</w:t>
            </w:r>
          </w:p>
        </w:tc>
        <w:tc>
          <w:tcPr>
            <w:tcW w:w="564" w:type="pct"/>
          </w:tcPr>
          <w:p w14:paraId="3DF5045F" w14:textId="2263F7A2"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2024</w:t>
            </w:r>
          </w:p>
        </w:tc>
        <w:tc>
          <w:tcPr>
            <w:tcW w:w="347" w:type="pct"/>
          </w:tcPr>
          <w:p w14:paraId="7BB59656" w14:textId="701FD039" w:rsidR="00D461D8" w:rsidRPr="00E96786" w:rsidRDefault="00D461D8" w:rsidP="00D461D8">
            <w:pPr>
              <w:widowControl w:val="0"/>
              <w:spacing w:before="120" w:after="120"/>
              <w:jc w:val="center"/>
            </w:pPr>
            <w:hyperlink r:id="rId18" w:history="1">
              <w:r>
                <w:rPr>
                  <w:rFonts w:asciiTheme="minorBidi" w:hAnsiTheme="minorBidi"/>
                  <w:color w:val="0000FF"/>
                  <w:sz w:val="20"/>
                  <w:u w:val="single"/>
                </w:rPr>
                <w:t>01489</w:t>
              </w:r>
            </w:hyperlink>
          </w:p>
        </w:tc>
      </w:tr>
      <w:tr w:rsidR="00D461D8" w:rsidRPr="00E96786" w14:paraId="49F12563" w14:textId="77777777" w:rsidTr="001E3CB0">
        <w:trPr>
          <w:cantSplit/>
          <w:trHeight w:val="444"/>
        </w:trPr>
        <w:tc>
          <w:tcPr>
            <w:tcW w:w="5000" w:type="pct"/>
            <w:gridSpan w:val="5"/>
            <w:shd w:val="clear" w:color="auto" w:fill="BFBFBF" w:themeFill="background1" w:themeFillShade="BF"/>
          </w:tcPr>
          <w:p w14:paraId="466FCBFB" w14:textId="7DE6E976" w:rsidR="00D461D8" w:rsidRPr="00E96786" w:rsidRDefault="00D461D8" w:rsidP="00D461D8">
            <w:pPr>
              <w:widowControl w:val="0"/>
              <w:spacing w:before="120" w:after="120"/>
              <w:jc w:val="center"/>
              <w:rPr>
                <w:rFonts w:asciiTheme="minorBidi" w:hAnsiTheme="minorBidi" w:cstheme="minorBidi"/>
                <w:sz w:val="20"/>
                <w:szCs w:val="20"/>
              </w:rPr>
            </w:pPr>
            <w:r>
              <w:rPr>
                <w:rFonts w:ascii="Arial" w:hAnsi="Arial"/>
                <w:b/>
                <w:color w:val="000000"/>
                <w:sz w:val="20"/>
              </w:rPr>
              <w:t>Deuxièmes rapports</w:t>
            </w:r>
          </w:p>
        </w:tc>
      </w:tr>
      <w:tr w:rsidR="00D461D8" w:rsidRPr="00E96786" w14:paraId="7D658C8A" w14:textId="77777777" w:rsidTr="00CE4AF9">
        <w:trPr>
          <w:cantSplit/>
          <w:trHeight w:val="689"/>
        </w:trPr>
        <w:tc>
          <w:tcPr>
            <w:tcW w:w="949" w:type="pct"/>
          </w:tcPr>
          <w:p w14:paraId="43343290"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Kirghizistan</w:t>
            </w:r>
          </w:p>
        </w:tc>
        <w:tc>
          <w:tcPr>
            <w:tcW w:w="2447" w:type="pct"/>
          </w:tcPr>
          <w:p w14:paraId="448491DC" w14:textId="33626AEB" w:rsidR="00D461D8" w:rsidRPr="00E96786" w:rsidRDefault="00D461D8" w:rsidP="00D461D8">
            <w:pPr>
              <w:widowControl w:val="0"/>
              <w:spacing w:before="120" w:after="120"/>
              <w:rPr>
                <w:rFonts w:ascii="Arial" w:hAnsi="Arial" w:cs="Arial"/>
                <w:sz w:val="20"/>
                <w:szCs w:val="20"/>
              </w:rPr>
            </w:pPr>
            <w:bookmarkStart w:id="11" w:name="_Hlk72863677"/>
            <w:r>
              <w:rPr>
                <w:rFonts w:ascii="Arial" w:hAnsi="Arial"/>
                <w:sz w:val="20"/>
              </w:rPr>
              <w:t>L</w:t>
            </w:r>
            <w:r w:rsidR="00C93212">
              <w:rPr>
                <w:rFonts w:ascii="Arial" w:hAnsi="Arial"/>
                <w:sz w:val="20"/>
              </w:rPr>
              <w:t>’</w:t>
            </w:r>
            <w:r>
              <w:rPr>
                <w:rFonts w:ascii="Arial" w:hAnsi="Arial"/>
                <w:sz w:val="20"/>
              </w:rPr>
              <w:t>ala-kiyiz et le chirdak, l</w:t>
            </w:r>
            <w:r w:rsidR="00C93212">
              <w:rPr>
                <w:rFonts w:ascii="Arial" w:hAnsi="Arial"/>
                <w:sz w:val="20"/>
              </w:rPr>
              <w:t>’</w:t>
            </w:r>
            <w:r>
              <w:rPr>
                <w:rFonts w:ascii="Arial" w:hAnsi="Arial"/>
                <w:sz w:val="20"/>
              </w:rPr>
              <w:t>art du tapis traditionnel kirghiz en feutre</w:t>
            </w:r>
            <w:bookmarkEnd w:id="11"/>
          </w:p>
        </w:tc>
        <w:tc>
          <w:tcPr>
            <w:tcW w:w="693" w:type="pct"/>
          </w:tcPr>
          <w:p w14:paraId="2CDC6CB4"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2012</w:t>
            </w:r>
          </w:p>
        </w:tc>
        <w:tc>
          <w:tcPr>
            <w:tcW w:w="564" w:type="pct"/>
          </w:tcPr>
          <w:p w14:paraId="1F430FAE" w14:textId="40083EA9"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2021</w:t>
            </w:r>
            <w:r w:rsidR="00A179F0">
              <w:rPr>
                <w:rStyle w:val="FootnoteReference"/>
                <w:rFonts w:asciiTheme="minorBidi" w:hAnsiTheme="minorBidi" w:cstheme="minorBidi"/>
                <w:sz w:val="20"/>
                <w:szCs w:val="20"/>
                <w:lang w:val="en-GB"/>
              </w:rPr>
              <w:footnoteReference w:id="4"/>
            </w:r>
          </w:p>
        </w:tc>
        <w:tc>
          <w:tcPr>
            <w:tcW w:w="347" w:type="pct"/>
          </w:tcPr>
          <w:p w14:paraId="6ABD5B54" w14:textId="77777777" w:rsidR="00D461D8" w:rsidRPr="00E96786" w:rsidRDefault="00D461D8" w:rsidP="00D461D8">
            <w:pPr>
              <w:widowControl w:val="0"/>
              <w:spacing w:before="120" w:after="120"/>
              <w:jc w:val="center"/>
              <w:rPr>
                <w:rFonts w:asciiTheme="minorBidi" w:hAnsiTheme="minorBidi" w:cstheme="minorBidi"/>
                <w:sz w:val="20"/>
                <w:szCs w:val="20"/>
              </w:rPr>
            </w:pPr>
            <w:hyperlink r:id="rId19" w:history="1">
              <w:r>
                <w:rPr>
                  <w:rFonts w:asciiTheme="minorBidi" w:hAnsiTheme="minorBidi"/>
                  <w:color w:val="0000FF"/>
                  <w:sz w:val="20"/>
                  <w:u w:val="single"/>
                </w:rPr>
                <w:t>00693</w:t>
              </w:r>
            </w:hyperlink>
          </w:p>
        </w:tc>
      </w:tr>
      <w:tr w:rsidR="00D461D8" w:rsidRPr="00E96786" w14:paraId="3C03320E" w14:textId="77777777" w:rsidTr="00CE4AF9">
        <w:trPr>
          <w:cantSplit/>
          <w:trHeight w:val="689"/>
        </w:trPr>
        <w:tc>
          <w:tcPr>
            <w:tcW w:w="949" w:type="pct"/>
          </w:tcPr>
          <w:p w14:paraId="3BCD80F8"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Macédoine du Nord</w:t>
            </w:r>
          </w:p>
        </w:tc>
        <w:tc>
          <w:tcPr>
            <w:tcW w:w="2447" w:type="pct"/>
          </w:tcPr>
          <w:p w14:paraId="55D9873B" w14:textId="0A60C9F7" w:rsidR="00D461D8" w:rsidRPr="00E96786" w:rsidRDefault="00D461D8" w:rsidP="00D461D8">
            <w:pPr>
              <w:widowControl w:val="0"/>
              <w:spacing w:before="120" w:after="120"/>
              <w:rPr>
                <w:rFonts w:ascii="Arial" w:hAnsi="Arial" w:cs="Arial"/>
                <w:sz w:val="20"/>
                <w:szCs w:val="20"/>
              </w:rPr>
            </w:pPr>
            <w:r>
              <w:rPr>
                <w:rFonts w:ascii="Arial" w:hAnsi="Arial"/>
                <w:sz w:val="20"/>
              </w:rPr>
              <w:t>Le glasoechko, chant d</w:t>
            </w:r>
            <w:r w:rsidR="00C93212">
              <w:rPr>
                <w:rFonts w:ascii="Arial" w:hAnsi="Arial"/>
                <w:sz w:val="20"/>
              </w:rPr>
              <w:t>’</w:t>
            </w:r>
            <w:r>
              <w:rPr>
                <w:rFonts w:ascii="Arial" w:hAnsi="Arial"/>
                <w:sz w:val="20"/>
              </w:rPr>
              <w:t>hommes à deux voix dans le bas Polog</w:t>
            </w:r>
          </w:p>
        </w:tc>
        <w:tc>
          <w:tcPr>
            <w:tcW w:w="693" w:type="pct"/>
          </w:tcPr>
          <w:p w14:paraId="1525B3CF"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2015</w:t>
            </w:r>
          </w:p>
        </w:tc>
        <w:tc>
          <w:tcPr>
            <w:tcW w:w="564" w:type="pct"/>
          </w:tcPr>
          <w:p w14:paraId="626FC9B7" w14:textId="77777777"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2024</w:t>
            </w:r>
          </w:p>
        </w:tc>
        <w:tc>
          <w:tcPr>
            <w:tcW w:w="347" w:type="pct"/>
          </w:tcPr>
          <w:p w14:paraId="759A5030" w14:textId="77777777" w:rsidR="00D461D8" w:rsidRPr="00E96786" w:rsidRDefault="00D461D8" w:rsidP="00D461D8">
            <w:pPr>
              <w:widowControl w:val="0"/>
              <w:spacing w:before="120" w:after="120"/>
              <w:jc w:val="center"/>
              <w:rPr>
                <w:rFonts w:asciiTheme="minorBidi" w:hAnsiTheme="minorBidi" w:cstheme="minorBidi"/>
                <w:sz w:val="20"/>
                <w:szCs w:val="20"/>
              </w:rPr>
            </w:pPr>
            <w:hyperlink r:id="rId20" w:history="1">
              <w:r>
                <w:rPr>
                  <w:rFonts w:asciiTheme="minorBidi" w:hAnsiTheme="minorBidi"/>
                  <w:color w:val="0000FF"/>
                  <w:sz w:val="20"/>
                  <w:u w:val="single"/>
                </w:rPr>
                <w:t>01104</w:t>
              </w:r>
            </w:hyperlink>
          </w:p>
        </w:tc>
      </w:tr>
      <w:tr w:rsidR="00D461D8" w:rsidRPr="00E96786" w14:paraId="2D7E3DEF" w14:textId="77777777" w:rsidTr="00CE4AF9">
        <w:trPr>
          <w:cantSplit/>
          <w:trHeight w:val="689"/>
        </w:trPr>
        <w:tc>
          <w:tcPr>
            <w:tcW w:w="949" w:type="pct"/>
          </w:tcPr>
          <w:p w14:paraId="61A41D39"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Ouganda</w:t>
            </w:r>
          </w:p>
        </w:tc>
        <w:tc>
          <w:tcPr>
            <w:tcW w:w="2447" w:type="pct"/>
          </w:tcPr>
          <w:p w14:paraId="70020140" w14:textId="77777777" w:rsidR="00D461D8" w:rsidRPr="00E96786" w:rsidRDefault="00D461D8" w:rsidP="00D461D8">
            <w:pPr>
              <w:widowControl w:val="0"/>
              <w:spacing w:before="120" w:after="120"/>
              <w:rPr>
                <w:rFonts w:ascii="Arial" w:hAnsi="Arial" w:cs="Arial"/>
                <w:sz w:val="20"/>
                <w:szCs w:val="20"/>
              </w:rPr>
            </w:pPr>
            <w:r>
              <w:rPr>
                <w:rFonts w:ascii="Arial" w:hAnsi="Arial"/>
                <w:sz w:val="20"/>
              </w:rPr>
              <w:t>La tradition orale Koogere des Basongora, Banyabidi et Batooro</w:t>
            </w:r>
          </w:p>
        </w:tc>
        <w:tc>
          <w:tcPr>
            <w:tcW w:w="693" w:type="pct"/>
          </w:tcPr>
          <w:p w14:paraId="17F6E385" w14:textId="77777777"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2015</w:t>
            </w:r>
          </w:p>
        </w:tc>
        <w:tc>
          <w:tcPr>
            <w:tcW w:w="564" w:type="pct"/>
          </w:tcPr>
          <w:p w14:paraId="7583351D" w14:textId="77777777"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2024</w:t>
            </w:r>
          </w:p>
        </w:tc>
        <w:tc>
          <w:tcPr>
            <w:tcW w:w="347" w:type="pct"/>
          </w:tcPr>
          <w:p w14:paraId="45998488" w14:textId="3807F652" w:rsidR="00D461D8" w:rsidRPr="00E96786" w:rsidRDefault="00D461D8" w:rsidP="00D461D8">
            <w:pPr>
              <w:widowControl w:val="0"/>
              <w:spacing w:before="120" w:after="120"/>
              <w:jc w:val="center"/>
              <w:rPr>
                <w:rFonts w:asciiTheme="minorBidi" w:hAnsiTheme="minorBidi" w:cstheme="minorBidi"/>
                <w:sz w:val="20"/>
                <w:szCs w:val="20"/>
              </w:rPr>
            </w:pPr>
            <w:hyperlink r:id="rId21" w:history="1">
              <w:r>
                <w:rPr>
                  <w:rFonts w:asciiTheme="minorBidi" w:hAnsiTheme="minorBidi"/>
                  <w:color w:val="0000FF"/>
                  <w:sz w:val="20"/>
                  <w:u w:val="single"/>
                </w:rPr>
                <w:t>00911</w:t>
              </w:r>
            </w:hyperlink>
          </w:p>
        </w:tc>
      </w:tr>
      <w:tr w:rsidR="00D461D8" w:rsidRPr="00E96786" w14:paraId="0402FA91" w14:textId="77777777" w:rsidTr="00CE4AF9">
        <w:trPr>
          <w:cantSplit/>
          <w:trHeight w:val="689"/>
        </w:trPr>
        <w:tc>
          <w:tcPr>
            <w:tcW w:w="949" w:type="pct"/>
          </w:tcPr>
          <w:p w14:paraId="065981AD" w14:textId="24CCFCA8"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Ouganda</w:t>
            </w:r>
          </w:p>
        </w:tc>
        <w:tc>
          <w:tcPr>
            <w:tcW w:w="2447" w:type="pct"/>
          </w:tcPr>
          <w:p w14:paraId="32D075D5" w14:textId="6F3DE896" w:rsidR="00D461D8" w:rsidRPr="00E96786" w:rsidRDefault="00D461D8" w:rsidP="00D461D8">
            <w:pPr>
              <w:widowControl w:val="0"/>
              <w:spacing w:before="120" w:after="120"/>
              <w:rPr>
                <w:rFonts w:ascii="Arial" w:hAnsi="Arial" w:cs="Arial"/>
                <w:sz w:val="20"/>
                <w:szCs w:val="20"/>
              </w:rPr>
            </w:pPr>
            <w:r>
              <w:rPr>
                <w:rFonts w:asciiTheme="minorBidi" w:hAnsiTheme="minorBidi"/>
                <w:sz w:val="20"/>
              </w:rPr>
              <w:t>La danse et musique de lyre arquée ma</w:t>
            </w:r>
            <w:r w:rsidR="00C93212">
              <w:rPr>
                <w:rFonts w:asciiTheme="minorBidi" w:hAnsiTheme="minorBidi"/>
                <w:sz w:val="20"/>
              </w:rPr>
              <w:t>’</w:t>
            </w:r>
            <w:r>
              <w:rPr>
                <w:rFonts w:asciiTheme="minorBidi" w:hAnsiTheme="minorBidi"/>
                <w:sz w:val="20"/>
              </w:rPr>
              <w:t>di</w:t>
            </w:r>
          </w:p>
        </w:tc>
        <w:tc>
          <w:tcPr>
            <w:tcW w:w="693" w:type="pct"/>
          </w:tcPr>
          <w:p w14:paraId="024537C3" w14:textId="45E0777E"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2016</w:t>
            </w:r>
          </w:p>
        </w:tc>
        <w:tc>
          <w:tcPr>
            <w:tcW w:w="564" w:type="pct"/>
          </w:tcPr>
          <w:p w14:paraId="3478DCFA" w14:textId="56F6E3AC"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7" w:type="pct"/>
          </w:tcPr>
          <w:p w14:paraId="1BC231F3" w14:textId="2E3120DE" w:rsidR="00D461D8" w:rsidRPr="00E96786" w:rsidRDefault="00D461D8" w:rsidP="00D461D8">
            <w:pPr>
              <w:widowControl w:val="0"/>
              <w:spacing w:before="120" w:after="120"/>
              <w:jc w:val="center"/>
              <w:rPr>
                <w:rFonts w:asciiTheme="minorBidi" w:hAnsiTheme="minorBidi" w:cstheme="minorBidi"/>
                <w:sz w:val="20"/>
                <w:szCs w:val="20"/>
              </w:rPr>
            </w:pPr>
            <w:hyperlink r:id="rId22" w:history="1">
              <w:r>
                <w:rPr>
                  <w:rStyle w:val="Hyperlink"/>
                  <w:rFonts w:asciiTheme="minorBidi" w:hAnsiTheme="minorBidi"/>
                  <w:sz w:val="20"/>
                </w:rPr>
                <w:t>01187</w:t>
              </w:r>
            </w:hyperlink>
          </w:p>
        </w:tc>
      </w:tr>
      <w:tr w:rsidR="00D461D8" w:rsidRPr="00E96786" w14:paraId="45D4F91F" w14:textId="77777777" w:rsidTr="001E3CB0">
        <w:trPr>
          <w:cantSplit/>
          <w:trHeight w:val="442"/>
        </w:trPr>
        <w:tc>
          <w:tcPr>
            <w:tcW w:w="5000" w:type="pct"/>
            <w:gridSpan w:val="5"/>
            <w:shd w:val="clear" w:color="auto" w:fill="BFBFBF" w:themeFill="background1" w:themeFillShade="BF"/>
          </w:tcPr>
          <w:p w14:paraId="6221CD7C" w14:textId="4D597070"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b/>
                <w:sz w:val="20"/>
              </w:rPr>
              <w:t>Troisièmes rapports</w:t>
            </w:r>
          </w:p>
        </w:tc>
      </w:tr>
      <w:tr w:rsidR="00D461D8" w:rsidRPr="00E96786" w14:paraId="5FE49635" w14:textId="77777777" w:rsidTr="00CE4AF9">
        <w:trPr>
          <w:cantSplit/>
          <w:trHeight w:val="689"/>
        </w:trPr>
        <w:tc>
          <w:tcPr>
            <w:tcW w:w="949" w:type="pct"/>
          </w:tcPr>
          <w:p w14:paraId="3623EF49" w14:textId="4339A19B"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Ouganda</w:t>
            </w:r>
          </w:p>
        </w:tc>
        <w:tc>
          <w:tcPr>
            <w:tcW w:w="2447" w:type="pct"/>
          </w:tcPr>
          <w:p w14:paraId="1B9FA1B5" w14:textId="2619B8A3" w:rsidR="00D461D8" w:rsidRPr="00E96786" w:rsidRDefault="00D461D8" w:rsidP="00D461D8">
            <w:pPr>
              <w:widowControl w:val="0"/>
              <w:spacing w:before="120" w:after="120"/>
              <w:rPr>
                <w:rFonts w:asciiTheme="minorBidi" w:hAnsiTheme="minorBidi"/>
                <w:sz w:val="20"/>
                <w:szCs w:val="20"/>
              </w:rPr>
            </w:pPr>
            <w:r>
              <w:rPr>
                <w:rFonts w:asciiTheme="minorBidi" w:hAnsiTheme="minorBidi"/>
                <w:sz w:val="20"/>
              </w:rPr>
              <w:t>Le bigwala, musique de trompes en calebasse et danse du royaume du Busoga en Ouganda</w:t>
            </w:r>
          </w:p>
        </w:tc>
        <w:tc>
          <w:tcPr>
            <w:tcW w:w="693" w:type="pct"/>
          </w:tcPr>
          <w:p w14:paraId="560B5C97" w14:textId="7BA14B8F" w:rsidR="00D461D8" w:rsidRPr="00E96786" w:rsidRDefault="00D461D8" w:rsidP="00D461D8">
            <w:pPr>
              <w:widowControl w:val="0"/>
              <w:spacing w:before="120" w:after="120"/>
              <w:jc w:val="center"/>
              <w:rPr>
                <w:rFonts w:ascii="Arial" w:hAnsi="Arial" w:cs="Arial"/>
                <w:color w:val="000000"/>
                <w:sz w:val="20"/>
                <w:szCs w:val="20"/>
              </w:rPr>
            </w:pPr>
            <w:r>
              <w:rPr>
                <w:rFonts w:ascii="Arial" w:hAnsi="Arial"/>
                <w:color w:val="000000"/>
                <w:sz w:val="20"/>
              </w:rPr>
              <w:t>2012</w:t>
            </w:r>
          </w:p>
        </w:tc>
        <w:tc>
          <w:tcPr>
            <w:tcW w:w="564" w:type="pct"/>
          </w:tcPr>
          <w:p w14:paraId="0CEC03C5" w14:textId="2D30CA09" w:rsidR="00D461D8" w:rsidRPr="00E96786" w:rsidRDefault="00D461D8" w:rsidP="00D461D8">
            <w:pPr>
              <w:widowControl w:val="0"/>
              <w:spacing w:before="120" w:after="120"/>
              <w:jc w:val="center"/>
              <w:rPr>
                <w:rFonts w:asciiTheme="minorBidi" w:hAnsiTheme="minorBidi" w:cstheme="minorBidi"/>
                <w:sz w:val="20"/>
                <w:szCs w:val="20"/>
              </w:rPr>
            </w:pPr>
            <w:r>
              <w:rPr>
                <w:rFonts w:asciiTheme="minorBidi" w:hAnsiTheme="minorBidi"/>
                <w:sz w:val="20"/>
              </w:rPr>
              <w:t>2025</w:t>
            </w:r>
          </w:p>
        </w:tc>
        <w:tc>
          <w:tcPr>
            <w:tcW w:w="347" w:type="pct"/>
          </w:tcPr>
          <w:p w14:paraId="55595A28" w14:textId="69030902" w:rsidR="00D461D8" w:rsidRPr="00E96786" w:rsidRDefault="00D461D8" w:rsidP="00D461D8">
            <w:pPr>
              <w:widowControl w:val="0"/>
              <w:spacing w:before="120" w:after="120"/>
              <w:jc w:val="center"/>
              <w:rPr>
                <w:rFonts w:asciiTheme="minorBidi" w:hAnsiTheme="minorBidi" w:cstheme="minorBidi"/>
                <w:sz w:val="20"/>
                <w:szCs w:val="20"/>
              </w:rPr>
            </w:pPr>
            <w:hyperlink r:id="rId23" w:history="1">
              <w:r>
                <w:rPr>
                  <w:rStyle w:val="Hyperlink"/>
                  <w:rFonts w:asciiTheme="minorBidi" w:hAnsiTheme="minorBidi"/>
                  <w:sz w:val="20"/>
                </w:rPr>
                <w:t>00749</w:t>
              </w:r>
            </w:hyperlink>
          </w:p>
        </w:tc>
      </w:tr>
    </w:tbl>
    <w:p w14:paraId="3BBD1E18" w14:textId="5AECB941" w:rsidR="00B001AC" w:rsidRPr="00E96786" w:rsidRDefault="00B938BE" w:rsidP="00AC1BC7">
      <w:pPr>
        <w:pStyle w:val="ListParagraph"/>
        <w:keepNext/>
        <w:numPr>
          <w:ilvl w:val="0"/>
          <w:numId w:val="5"/>
        </w:numPr>
        <w:snapToGrid w:val="0"/>
        <w:spacing w:before="240" w:after="240"/>
        <w:ind w:left="567" w:hanging="567"/>
        <w:contextualSpacing w:val="0"/>
        <w:rPr>
          <w:rFonts w:ascii="Arial" w:hAnsi="Arial" w:cs="Arial"/>
          <w:b/>
          <w:sz w:val="22"/>
          <w:szCs w:val="22"/>
        </w:rPr>
      </w:pPr>
      <w:r>
        <w:rPr>
          <w:rFonts w:ascii="Arial" w:hAnsi="Arial"/>
          <w:b/>
          <w:snapToGrid w:val="0"/>
          <w:sz w:val="22"/>
        </w:rPr>
        <w:t>Observations</w:t>
      </w:r>
      <w:r>
        <w:rPr>
          <w:rFonts w:ascii="Arial" w:hAnsi="Arial"/>
          <w:b/>
          <w:sz w:val="22"/>
        </w:rPr>
        <w:t xml:space="preserve"> générales sur les rapports soumis pour examen en 2025</w:t>
      </w:r>
    </w:p>
    <w:p w14:paraId="34DD6B2A" w14:textId="25CEF800" w:rsidR="00505E6F" w:rsidRPr="00E96786" w:rsidRDefault="00375B0B" w:rsidP="00894010">
      <w:pPr>
        <w:pStyle w:val="COMPara"/>
        <w:numPr>
          <w:ilvl w:val="0"/>
          <w:numId w:val="9"/>
        </w:numPr>
        <w:ind w:left="567" w:hanging="567"/>
        <w:jc w:val="both"/>
      </w:pPr>
      <w:bookmarkStart w:id="12" w:name="_Hlk204180110"/>
      <w:bookmarkStart w:id="13" w:name="_Hlk204351706"/>
      <w:r>
        <w:t>Les éléments pour lesquels les États parties ont soumis un rapport sont de nature différente et s</w:t>
      </w:r>
      <w:r w:rsidR="00C93212">
        <w:t>’</w:t>
      </w:r>
      <w:r>
        <w:t>inscrivent dans des contextes culturels, environnementaux et socio-économiques divers. En conséquence, les rapports périodiques révèlent à la fois des progrès, des risques ainsi que défis persistants quant à la protection de la viabilité du patrimoine culturel immatériel nécessitant une sauvegarde urgente.</w:t>
      </w:r>
    </w:p>
    <w:p w14:paraId="7BF66F53" w14:textId="7BF18BDA" w:rsidR="00B75A08" w:rsidRPr="00E96786" w:rsidRDefault="009338A0" w:rsidP="00894010">
      <w:pPr>
        <w:pStyle w:val="COMPara"/>
        <w:numPr>
          <w:ilvl w:val="0"/>
          <w:numId w:val="9"/>
        </w:numPr>
        <w:ind w:left="567" w:hanging="567"/>
        <w:jc w:val="both"/>
        <w:rPr>
          <w:bCs/>
        </w:rPr>
      </w:pPr>
      <w:r>
        <w:rPr>
          <w:b/>
        </w:rPr>
        <w:t>Efficacité des plans de sauvegarde</w:t>
      </w:r>
      <w:r>
        <w:t xml:space="preserve">. </w:t>
      </w:r>
      <w:bookmarkEnd w:id="0"/>
      <w:bookmarkEnd w:id="12"/>
      <w:r>
        <w:t>Dans la plupart des cas, les mesures de sauvegarde ont été mises en œuvre conformément aux plans de sauvegarde établis, adaptées à l</w:t>
      </w:r>
      <w:r w:rsidR="00C93212">
        <w:t>’</w:t>
      </w:r>
      <w:r>
        <w:t>évolution du contexte et fondées sur les efforts et les réalisations passés. Face aux défis existants, certains États parties ont présenté des approches perspicaces et durables dans leurs plans de sauvegarde, offrant des exemples de bonnes expériences de sauvegarde qui pourront constituer une source d</w:t>
      </w:r>
      <w:r w:rsidR="00C93212">
        <w:t>’</w:t>
      </w:r>
      <w:r>
        <w:t>inspiration précieuse pour d</w:t>
      </w:r>
      <w:r w:rsidR="00C93212">
        <w:t>’</w:t>
      </w:r>
      <w:r>
        <w:t>autres. La plupart des rapports reflètent une vision stratégique et à long terme de la</w:t>
      </w:r>
      <w:r w:rsidR="00804A55">
        <w:t xml:space="preserve"> sauvegarde</w:t>
      </w:r>
      <w:r>
        <w:t>, intégrant les recommandations formulées par le Comité dans ses décisions à l</w:t>
      </w:r>
      <w:r w:rsidR="00C93212">
        <w:t>’</w:t>
      </w:r>
      <w:r>
        <w:t>égard des rapports précédents et renforçant les cadres de protection locaux. Si plusieurs rapports décrivent des activités de sauvegarde structurées, le niveau de détail des résultats obtenus est variable. En outre, dans certains cas, les mesures de sauvegarde ne sont pas accompagnées d</w:t>
      </w:r>
      <w:r w:rsidR="00C93212">
        <w:t>’</w:t>
      </w:r>
      <w:r>
        <w:t>indicateurs ou de mécanismes d</w:t>
      </w:r>
      <w:r w:rsidR="00C93212">
        <w:t>’</w:t>
      </w:r>
      <w:r>
        <w:t>évaluation clairement définis. Les rapports périodiques examinés dans le cadre de ce cycle font état de mesures et de stratégies très variées pour assurer la transmission et la viabilité des éléments inscrits :</w:t>
      </w:r>
    </w:p>
    <w:p w14:paraId="15A42024" w14:textId="454D7156" w:rsidR="00727ACC" w:rsidRPr="00E96786" w:rsidRDefault="00796F0B" w:rsidP="004D2E83">
      <w:pPr>
        <w:pStyle w:val="COMPara"/>
        <w:numPr>
          <w:ilvl w:val="0"/>
          <w:numId w:val="10"/>
        </w:numPr>
        <w:jc w:val="both"/>
        <w:rPr>
          <w:bCs/>
        </w:rPr>
      </w:pPr>
      <w:r>
        <w:t>Les efforts d</w:t>
      </w:r>
      <w:r w:rsidR="00C93212">
        <w:t>’</w:t>
      </w:r>
      <w:r>
        <w:t xml:space="preserve">inventaire et de documentation ont continué à jouer un rôle central dans les stratégies de sauvegarde. Les communautés, les </w:t>
      </w:r>
      <w:r w:rsidR="000C1B3E">
        <w:t>détenteurs</w:t>
      </w:r>
      <w:r>
        <w:t xml:space="preserve"> de traditions, les praticiens et les organisations non gouvernementales (ONG) ont été fréquemment et activement engagés dans ces processus, abordant souvent une série de spécificités intergénérationnelles, </w:t>
      </w:r>
      <w:r w:rsidR="00D907B0">
        <w:t>relatives</w:t>
      </w:r>
      <w:r w:rsidR="00804A55">
        <w:t xml:space="preserve"> au genre </w:t>
      </w:r>
      <w:r>
        <w:t>et socio-normatives liées à leurs éléments respectifs. Plusieurs États parties ont fait état d</w:t>
      </w:r>
      <w:r w:rsidR="00C93212">
        <w:t>’</w:t>
      </w:r>
      <w:r>
        <w:t>initiatives visant à enregistrer les techniques et compétences artisanales, ainsi que les expressions orales et artistiques, parfois par le biais de la numérisation de documents d</w:t>
      </w:r>
      <w:r w:rsidR="00C93212">
        <w:t>’</w:t>
      </w:r>
      <w:r>
        <w:t>archives. Le recours aux inventaires comme outils stratégiques pour la planification, l</w:t>
      </w:r>
      <w:r w:rsidR="00C93212">
        <w:t>’</w:t>
      </w:r>
      <w:r>
        <w:t>éducation et la recherche a été identifiée comme une bonne pratique. Il s</w:t>
      </w:r>
      <w:r w:rsidR="00C93212">
        <w:t>’</w:t>
      </w:r>
      <w:r>
        <w:t>agit notamment de la création de centres documentaires et éducatifs, qui ont contribué à renforcer la transmission intergénérationnelle, à améliorer le renforcement des capacités et à accroître la gestion durable des ressources naturelles.</w:t>
      </w:r>
    </w:p>
    <w:p w14:paraId="6ED0E274" w14:textId="4B348728" w:rsidR="00126A2A" w:rsidRPr="00E96786" w:rsidRDefault="00D907B0" w:rsidP="004D2E83">
      <w:pPr>
        <w:pStyle w:val="COMPara"/>
        <w:numPr>
          <w:ilvl w:val="0"/>
          <w:numId w:val="10"/>
        </w:numPr>
        <w:jc w:val="both"/>
        <w:rPr>
          <w:bCs/>
        </w:rPr>
      </w:pPr>
      <w:r>
        <w:t>L</w:t>
      </w:r>
      <w:r w:rsidR="00C93212">
        <w:t>’</w:t>
      </w:r>
      <w:r>
        <w:t xml:space="preserve">éducation </w:t>
      </w:r>
      <w:r w:rsidR="00ED7AA2">
        <w:t>(qu</w:t>
      </w:r>
      <w:r w:rsidR="00C93212">
        <w:t>’</w:t>
      </w:r>
      <w:r>
        <w:t>elle</w:t>
      </w:r>
      <w:r w:rsidR="001A5B04">
        <w:t xml:space="preserve"> </w:t>
      </w:r>
      <w:r w:rsidR="00ED7AA2">
        <w:t>soit formel</w:t>
      </w:r>
      <w:r>
        <w:t>le</w:t>
      </w:r>
      <w:r w:rsidR="00ED7AA2">
        <w:t>, non formel</w:t>
      </w:r>
      <w:r>
        <w:t>le</w:t>
      </w:r>
      <w:r w:rsidR="00ED7AA2">
        <w:t>, informel</w:t>
      </w:r>
      <w:r>
        <w:t>le</w:t>
      </w:r>
      <w:r w:rsidR="00ED7AA2">
        <w:t xml:space="preserve"> ou une combinaison de toutes ces formes) et le renforcement de l</w:t>
      </w:r>
      <w:r w:rsidR="00C93212">
        <w:t>’</w:t>
      </w:r>
      <w:r w:rsidR="00ED7AA2">
        <w:t>engagement des jeunes ont grandement favorisé la transmission. Si les systèmes d</w:t>
      </w:r>
      <w:r w:rsidR="00C93212">
        <w:t>’</w:t>
      </w:r>
      <w:r w:rsidR="00ED7AA2">
        <w:t>apprentissage traditionnels restent essentiels, le rôle des programmes universitaires, des centres de formation communautaires et des ateliers et cours intergénérationnels (souvent soutenus par des cadres institutionnels) a gagné en importance dans les efforts de sauvegarde. Dans plusieurs cas, les festivals ont servi de plates-formes efficaces pour la revitalisation des éléments, suscitant un regain d</w:t>
      </w:r>
      <w:r w:rsidR="00C93212">
        <w:t>’</w:t>
      </w:r>
      <w:r w:rsidR="00ED7AA2">
        <w:t>intérêt chez les jeunes générations et facilitant l</w:t>
      </w:r>
      <w:r w:rsidR="00C93212">
        <w:t>’</w:t>
      </w:r>
      <w:r w:rsidR="00ED7AA2">
        <w:t>intégration des spectacles dans des contextes éducatifs formels et extrascolaires. Certains rapports mettent en évidence l</w:t>
      </w:r>
      <w:r w:rsidR="00C93212">
        <w:t>’</w:t>
      </w:r>
      <w:r w:rsidR="00ED7AA2">
        <w:t>utilisation innovante et locale de ressources disponibles limitées pour promouvoir la transmission. Bien que de portée modeste, ces efforts ont produit des résultats tangibles, notamment en favorisant l</w:t>
      </w:r>
      <w:r w:rsidR="00C93212">
        <w:t>’</w:t>
      </w:r>
      <w:r w:rsidR="00ED7AA2">
        <w:t xml:space="preserve">engagement des jeunes et en encourageant la poursuite de la pratique des éléments inscrits. Dans certains contextes, des stratégies </w:t>
      </w:r>
      <w:r>
        <w:t xml:space="preserve">liées </w:t>
      </w:r>
      <w:r w:rsidR="00ED7AA2">
        <w:t xml:space="preserve">au genre et </w:t>
      </w:r>
      <w:r>
        <w:t xml:space="preserve">à </w:t>
      </w:r>
      <w:r w:rsidR="00ED7AA2">
        <w:t>l</w:t>
      </w:r>
      <w:r w:rsidR="00C93212">
        <w:t>’</w:t>
      </w:r>
      <w:r w:rsidR="00ED7AA2">
        <w:t>inclusion de groupes vulnérables ou ayant des besoins particuliers (tels que les personnes incarcérées ou les jeunes des zones rurales) ont également été mises en œuvre.</w:t>
      </w:r>
    </w:p>
    <w:p w14:paraId="078FEB7E" w14:textId="64A90D44" w:rsidR="00890F93" w:rsidRPr="00E96786" w:rsidRDefault="00787DC4" w:rsidP="004D2E83">
      <w:pPr>
        <w:pStyle w:val="COMPara"/>
        <w:numPr>
          <w:ilvl w:val="0"/>
          <w:numId w:val="10"/>
        </w:numPr>
        <w:jc w:val="both"/>
        <w:rPr>
          <w:bCs/>
        </w:rPr>
      </w:pPr>
      <w:r>
        <w:t xml:space="preserve">Des stratégies et des mesures de promotion et de sensibilisation, notamment via les outils numériques, ont été </w:t>
      </w:r>
      <w:r w:rsidR="00D907B0">
        <w:t>utilisées</w:t>
      </w:r>
      <w:r>
        <w:t xml:space="preserve"> dans plusieurs États. Ces actions incluent notamment des tutoriels vidéo, des podcasts, des archives en ligne et des applications mobiles. Plusieurs rapports soulignent le rôle de la télévision locale et nationale, de la radio et d</w:t>
      </w:r>
      <w:r w:rsidR="00C93212">
        <w:t>’</w:t>
      </w:r>
      <w:r>
        <w:t>autres médias dans l</w:t>
      </w:r>
      <w:r w:rsidR="00C93212">
        <w:t>’</w:t>
      </w:r>
      <w:r>
        <w:t>amélioration de la visibilité des éléments inscrits auprès d</w:t>
      </w:r>
      <w:r w:rsidR="00C93212">
        <w:t>’</w:t>
      </w:r>
      <w:r>
        <w:t>un public plus large. Néanmoins, nombre de rapports se concentrent sur la visibilité et les activités promotionnelles, souvent au détriment de modes d</w:t>
      </w:r>
      <w:r w:rsidR="00C93212">
        <w:t>’</w:t>
      </w:r>
      <w:r>
        <w:t>engagement communautaire plus participatifs. Une telle approche pourrait entraver la transmission durable des connaissances et des compétences au sein des communautés, tout en limitant l</w:t>
      </w:r>
      <w:r w:rsidR="00C93212">
        <w:t>’</w:t>
      </w:r>
      <w:r>
        <w:t xml:space="preserve">implication active des praticiens dans les processus de sauvegarde. Bien que les festivals, les foires et les expositions restent des mécanismes importants de sensibilisation, de visibilité et de transmission intergénérationnelle, il est essentiel de faire preuve de prudence pour atténuer les risques potentiels de décontextualisation qui y sont associés. Cela nécessite une évaluation minutieuse des implications </w:t>
      </w:r>
      <w:r w:rsidR="008109C2">
        <w:t>futures</w:t>
      </w:r>
      <w:r>
        <w:t xml:space="preserve">, en particulier lorsque les éléments sont adaptés à des </w:t>
      </w:r>
      <w:r w:rsidR="008109C2">
        <w:t xml:space="preserve">mises en scène </w:t>
      </w:r>
      <w:r>
        <w:t>ou lorsqu</w:t>
      </w:r>
      <w:r w:rsidR="00C93212">
        <w:t>’</w:t>
      </w:r>
      <w:r>
        <w:t xml:space="preserve">ils sont </w:t>
      </w:r>
      <w:r w:rsidR="008109C2">
        <w:t>davantage</w:t>
      </w:r>
      <w:r>
        <w:t xml:space="preserve"> orientés vers des marchés extérieurs.</w:t>
      </w:r>
    </w:p>
    <w:p w14:paraId="57BC605A" w14:textId="085F5C35" w:rsidR="00E40F33" w:rsidRPr="00E96786" w:rsidRDefault="00E40F33" w:rsidP="004D2E83">
      <w:pPr>
        <w:pStyle w:val="COMPara"/>
        <w:numPr>
          <w:ilvl w:val="0"/>
          <w:numId w:val="10"/>
        </w:numPr>
        <w:jc w:val="both"/>
        <w:rPr>
          <w:bCs/>
        </w:rPr>
      </w:pPr>
      <w:r>
        <w:rPr>
          <w:color w:val="000000" w:themeColor="text1"/>
        </w:rPr>
        <w:t xml:space="preserve">Les États rapporteurs ont identifié les moyens de subsistance et les conditions de travail des communautés, des praticiens et des </w:t>
      </w:r>
      <w:r w:rsidR="000C1B3E">
        <w:rPr>
          <w:color w:val="000000" w:themeColor="text1"/>
        </w:rPr>
        <w:t>détenteurs</w:t>
      </w:r>
      <w:r>
        <w:rPr>
          <w:color w:val="000000" w:themeColor="text1"/>
        </w:rPr>
        <w:t xml:space="preserve"> comme une priorité. Dans cette optique, une série d</w:t>
      </w:r>
      <w:r w:rsidR="00C93212">
        <w:rPr>
          <w:color w:val="000000" w:themeColor="text1"/>
        </w:rPr>
        <w:t>’</w:t>
      </w:r>
      <w:r>
        <w:rPr>
          <w:color w:val="000000" w:themeColor="text1"/>
        </w:rPr>
        <w:t xml:space="preserve">initiatives de sauvegarde se sont concentrées sur la reconnaissance formelle des praticiens et des </w:t>
      </w:r>
      <w:r w:rsidR="000C1B3E">
        <w:rPr>
          <w:color w:val="000000" w:themeColor="text1"/>
        </w:rPr>
        <w:t>détenteurs</w:t>
      </w:r>
      <w:r>
        <w:rPr>
          <w:color w:val="000000" w:themeColor="text1"/>
        </w:rPr>
        <w:t xml:space="preserve"> individuels par le biais</w:t>
      </w:r>
      <w:r>
        <w:t xml:space="preserve"> de systèmes de prix et de programmes honorifiques. Ces efforts comprennent la création ou l</w:t>
      </w:r>
      <w:r w:rsidR="00C93212">
        <w:t>’</w:t>
      </w:r>
      <w:r>
        <w:t>introduction prévue de titres et de prix visant à reconnaître les contributions exceptionnelles à la transmission et à la pratique du patrimoine culturel immatériel (souvent en privilégiant les praticiens plus âgés ou les jeunes). Dans certains cas, ces programmes ont été complétés par des incitations financières et des systèmes de propriété intellectuelle, ce qui a permis d</w:t>
      </w:r>
      <w:r w:rsidR="00C93212">
        <w:t>’</w:t>
      </w:r>
      <w:r>
        <w:t>améliorer la viabilité économique des praticiens et de renforcer la pertinence du patrimoine culturel immatériel au sein de leurs communautés.</w:t>
      </w:r>
    </w:p>
    <w:p w14:paraId="7B8A4FEA" w14:textId="68B2C2AC" w:rsidR="00BE66EF" w:rsidRPr="00E96786" w:rsidRDefault="00BE66EF" w:rsidP="00894010">
      <w:pPr>
        <w:pStyle w:val="COMPara"/>
        <w:numPr>
          <w:ilvl w:val="0"/>
          <w:numId w:val="9"/>
        </w:numPr>
        <w:ind w:left="567" w:hanging="567"/>
        <w:jc w:val="both"/>
        <w:rPr>
          <w:bCs/>
        </w:rPr>
      </w:pPr>
      <w:r>
        <w:rPr>
          <w:b/>
        </w:rPr>
        <w:t>Sources de financement</w:t>
      </w:r>
      <w:r>
        <w:t>.</w:t>
      </w:r>
      <w:r>
        <w:rPr>
          <w:color w:val="FF0000"/>
        </w:rPr>
        <w:t xml:space="preserve"> </w:t>
      </w:r>
      <w:r>
        <w:t xml:space="preserve">La plupart des mesures de sauvegarde reposent sur une combinaison de soutien de la part des gouvernements, des ONG et des communautés, comprenant à la fois des contributions financières et en nature. Dans de nombreux cas (en particulier dans les contextes à faibles ressources), la participation volontaire et le soutien en nature se sont avérés essentiels à la mise en œuvre des activités de sauvegarde. Plusieurs États parties continuent de rapporter limitations dans les ressources financières nécessaires pour assurer le bon fonctionnement des cadres institutionnels. Ces contraintes ont affecté non seulement la durabilité des ONG nouvellement créées, mais aussi les sources de revenus des </w:t>
      </w:r>
      <w:r w:rsidR="000C1B3E">
        <w:t>détenteurs</w:t>
      </w:r>
      <w:r>
        <w:t xml:space="preserve"> et des praticiens, ainsi que la pertinence et la viabilité des éléments inscrits. Certains rapports manquent d</w:t>
      </w:r>
      <w:r w:rsidR="00C93212">
        <w:t>’</w:t>
      </w:r>
      <w:r>
        <w:t xml:space="preserve">informations précises sur les ventilations budgétaires ou la durabilité des mécanismes de financement. </w:t>
      </w:r>
      <w:r>
        <w:rPr>
          <w:color w:val="000000" w:themeColor="text1"/>
        </w:rPr>
        <w:t>L</w:t>
      </w:r>
      <w:r w:rsidR="00C93212">
        <w:rPr>
          <w:color w:val="000000" w:themeColor="text1"/>
        </w:rPr>
        <w:t>’</w:t>
      </w:r>
      <w:r>
        <w:rPr>
          <w:color w:val="000000" w:themeColor="text1"/>
        </w:rPr>
        <w:t xml:space="preserve">assistance internationale au titre du Fonds du patrimoine culturel immatériel de la Convention de 2003 a joué un rôle important dans le soutien des efforts de sauvegarde au cours </w:t>
      </w:r>
      <w:r w:rsidR="00C20A36">
        <w:rPr>
          <w:color w:val="000000" w:themeColor="text1"/>
        </w:rPr>
        <w:t>de la période couverte par les rapports</w:t>
      </w:r>
      <w:r>
        <w:rPr>
          <w:color w:val="000000" w:themeColor="text1"/>
        </w:rPr>
        <w:t>.</w:t>
      </w:r>
      <w:r>
        <w:t xml:space="preserve"> </w:t>
      </w:r>
      <w:bookmarkStart w:id="14" w:name="_Hlk205371349"/>
      <w:r>
        <w:t xml:space="preserve">Quatre États parties (le Botswana, le Cambodge, la Colombie et la Namibie) ont reçu cette assistance pour mettre en œuvre le plan de sauvegarde </w:t>
      </w:r>
      <w:r w:rsidR="00DF4E41">
        <w:t>qu</w:t>
      </w:r>
      <w:r w:rsidR="00C93212">
        <w:t>’</w:t>
      </w:r>
      <w:r w:rsidR="00DF4E41">
        <w:t xml:space="preserve">ils ont </w:t>
      </w:r>
      <w:r>
        <w:t>proposé</w:t>
      </w:r>
      <w:r w:rsidR="00DF4E41">
        <w:t>,</w:t>
      </w:r>
      <w:r>
        <w:t xml:space="preserve"> et promouvoir davantage les éléments concernés.</w:t>
      </w:r>
      <w:bookmarkEnd w:id="14"/>
    </w:p>
    <w:p w14:paraId="2BFB039D" w14:textId="04205240" w:rsidR="00890F93" w:rsidRPr="00E96786" w:rsidRDefault="002B15CE" w:rsidP="00894010">
      <w:pPr>
        <w:pStyle w:val="COMPara"/>
        <w:numPr>
          <w:ilvl w:val="0"/>
          <w:numId w:val="9"/>
        </w:numPr>
        <w:ind w:left="567" w:hanging="567"/>
        <w:jc w:val="both"/>
        <w:rPr>
          <w:bCs/>
        </w:rPr>
      </w:pPr>
      <w:r>
        <w:rPr>
          <w:b/>
        </w:rPr>
        <w:t>Participation de la communauté</w:t>
      </w:r>
      <w:r>
        <w:t>. Les rapports périodiques de ce cycle ont souligné le rôle central joué par les communautés dans la transmission et la sauvegarde des éléments inscrits, bien que l</w:t>
      </w:r>
      <w:r w:rsidR="00C93212">
        <w:t>’</w:t>
      </w:r>
      <w:r>
        <w:t>étendue et les modalités de la participation des communautés varient d</w:t>
      </w:r>
      <w:r w:rsidR="00C93212">
        <w:t>’</w:t>
      </w:r>
      <w:r>
        <w:t>un rapport à l</w:t>
      </w:r>
      <w:r w:rsidR="00C93212">
        <w:t>’</w:t>
      </w:r>
      <w:r>
        <w:t xml:space="preserve">autre : </w:t>
      </w:r>
    </w:p>
    <w:p w14:paraId="2760D320" w14:textId="15D070D5" w:rsidR="00201B41" w:rsidRPr="00E96786" w:rsidRDefault="00201B41" w:rsidP="004D2E83">
      <w:pPr>
        <w:pStyle w:val="COMPara"/>
        <w:numPr>
          <w:ilvl w:val="0"/>
          <w:numId w:val="11"/>
        </w:numPr>
        <w:jc w:val="both"/>
        <w:rPr>
          <w:bCs/>
        </w:rPr>
      </w:pPr>
      <w:r>
        <w:t>Les plans de sauvegarde actualisés ont souvent été élaborés dans le cadre de vastes processus participatifs, les membres de la communauté contribuant activement à la conception, à la mise en œuvre et à l</w:t>
      </w:r>
      <w:r w:rsidR="00C93212">
        <w:t>’</w:t>
      </w:r>
      <w:r>
        <w:t>évaluation par la communauté. Dans de nombreux cas, les communautés ont travaillé en étroite collaboration avec les autorités culturelles, les ONG, les chercheurs et les gouvernements locaux ou régionaux pour mettre en œuvre des mesures de sauvegarde. Dans certains contextes, les communautés et les organisations communautaires (y compris les coopératives, les groupes de femmes et d</w:t>
      </w:r>
      <w:r w:rsidR="00C93212">
        <w:t>’</w:t>
      </w:r>
      <w:r>
        <w:t xml:space="preserve">autres collectifs </w:t>
      </w:r>
      <w:r w:rsidR="009A72C1">
        <w:t>locaux</w:t>
      </w:r>
      <w:r>
        <w:t>) ont joué un rôle de premier plan dans un large éventail d</w:t>
      </w:r>
      <w:r w:rsidR="00C93212">
        <w:t>’</w:t>
      </w:r>
      <w:r>
        <w:t xml:space="preserve">activités de sauvegarde. </w:t>
      </w:r>
      <w:r w:rsidR="009A72C1" w:rsidRPr="009A72C1">
        <w:t xml:space="preserve">Cela </w:t>
      </w:r>
      <w:r w:rsidR="00763F4A">
        <w:t xml:space="preserve">a </w:t>
      </w:r>
      <w:r w:rsidR="00763F4A" w:rsidRPr="009A72C1">
        <w:t>compr</w:t>
      </w:r>
      <w:r w:rsidR="00763F4A">
        <w:t>is </w:t>
      </w:r>
      <w:r w:rsidR="009A72C1" w:rsidRPr="009A72C1">
        <w:t>l</w:t>
      </w:r>
      <w:r w:rsidR="00C93212">
        <w:t>’</w:t>
      </w:r>
      <w:r w:rsidR="009A72C1" w:rsidRPr="009A72C1">
        <w:t>organisation de salons et d</w:t>
      </w:r>
      <w:r w:rsidR="00C93212">
        <w:t>’</w:t>
      </w:r>
      <w:r w:rsidR="009A72C1" w:rsidRPr="009A72C1">
        <w:t>événements culturels, l</w:t>
      </w:r>
      <w:r w:rsidR="00C93212">
        <w:t>’</w:t>
      </w:r>
      <w:r w:rsidR="009A72C1" w:rsidRPr="009A72C1">
        <w:t>élaboration de matériel</w:t>
      </w:r>
      <w:r w:rsidR="009A72C1">
        <w:t xml:space="preserve"> et d</w:t>
      </w:r>
      <w:r w:rsidR="00C93212">
        <w:t>’</w:t>
      </w:r>
      <w:r w:rsidR="009A72C1">
        <w:t>activités</w:t>
      </w:r>
      <w:r w:rsidR="009A72C1" w:rsidRPr="009A72C1">
        <w:t xml:space="preserve"> pédagogique</w:t>
      </w:r>
      <w:r w:rsidR="009A72C1">
        <w:t>s</w:t>
      </w:r>
      <w:r w:rsidR="00763F4A">
        <w:t>,</w:t>
      </w:r>
      <w:r w:rsidR="009A72C1" w:rsidRPr="009A72C1">
        <w:t xml:space="preserve"> et la promotion de politiques</w:t>
      </w:r>
      <w:r w:rsidR="009A72C1">
        <w:t xml:space="preserve"> publiques</w:t>
      </w:r>
      <w:r w:rsidR="009A72C1" w:rsidRPr="009A72C1">
        <w:t>.</w:t>
      </w:r>
      <w:r w:rsidR="001A5B04">
        <w:t xml:space="preserve"> </w:t>
      </w:r>
      <w:r>
        <w:t>Plusieurs rapports, en particulier ceux qui concernent des éléments pratiqués et transmis en milieu rural, soulignent le rôle essentiel des autorités traditionnelles et des chefs des communautés locales dans la mobilisation des membres de la communauté, la définition des priorités en matière de sauvegarde et l</w:t>
      </w:r>
      <w:r w:rsidR="00C93212">
        <w:t>’</w:t>
      </w:r>
      <w:r>
        <w:t>orientation des stratégies de transmission. Dans ces contextes, la participation de la communauté s</w:t>
      </w:r>
      <w:r w:rsidR="00C93212">
        <w:t>’</w:t>
      </w:r>
      <w:r>
        <w:t>est étendue au-delà des représentations et de l</w:t>
      </w:r>
      <w:r w:rsidR="00C93212">
        <w:t>’</w:t>
      </w:r>
      <w:r>
        <w:t>enseignement afin d</w:t>
      </w:r>
      <w:r w:rsidR="00C93212">
        <w:t>’</w:t>
      </w:r>
      <w:r>
        <w:t xml:space="preserve">inclure la planification logistique, la préparation des matériaux et la </w:t>
      </w:r>
      <w:r w:rsidR="00763F4A">
        <w:t xml:space="preserve">curation </w:t>
      </w:r>
      <w:r>
        <w:t xml:space="preserve">des expositions. </w:t>
      </w:r>
      <w:r w:rsidR="00956447" w:rsidRPr="00956447">
        <w:t>Une telle appropriation et un tel leadership locaux se sont révélés essentiels à la durabilité et à la pertinence des efforts de sauvegarde.</w:t>
      </w:r>
    </w:p>
    <w:p w14:paraId="0E92761F" w14:textId="425CFFC3" w:rsidR="00212A88" w:rsidRPr="00E96786" w:rsidRDefault="00201B41" w:rsidP="004D2E83">
      <w:pPr>
        <w:pStyle w:val="COMPara"/>
        <w:numPr>
          <w:ilvl w:val="0"/>
          <w:numId w:val="11"/>
        </w:numPr>
        <w:jc w:val="both"/>
        <w:rPr>
          <w:bCs/>
        </w:rPr>
      </w:pPr>
      <w:r>
        <w:t>Dans de nombreux cas, l</w:t>
      </w:r>
      <w:r w:rsidR="00C93212">
        <w:t>’</w:t>
      </w:r>
      <w:r>
        <w:t>inscription sur la</w:t>
      </w:r>
      <w:r w:rsidR="001A5B04">
        <w:t xml:space="preserve"> </w:t>
      </w:r>
      <w:r w:rsidR="00184320">
        <w:t>L</w:t>
      </w:r>
      <w:r>
        <w:t>iste de sauvegarde urgente a non seulement favorisé le dialogue et la collaboration entre les praticiens, mais a également renforcé la coopération entre un large éventail de parties prenantes, y compris les organismes gouvernementaux, les ONG, les chercheurs, les institutions culturelles et éducatives et le secteur privé. Certains rapports font également état d</w:t>
      </w:r>
      <w:r w:rsidR="00C93212">
        <w:t>’</w:t>
      </w:r>
      <w:r>
        <w:t>une interaction accrue entre les praticiens et les artistes contemporains, contribuant à accroître la visibilité et l</w:t>
      </w:r>
      <w:r w:rsidR="00C93212">
        <w:t>’</w:t>
      </w:r>
      <w:r>
        <w:t>appréciation des éléments inscrits, en particulier chez les jeunes. L</w:t>
      </w:r>
      <w:r w:rsidR="00C93212">
        <w:t>’</w:t>
      </w:r>
      <w:r>
        <w:t>émergence de nouvelles associations communautaires et de réseaux de soutien dans certains contextes a également mis en évidence l</w:t>
      </w:r>
      <w:r w:rsidR="00C93212">
        <w:t>’</w:t>
      </w:r>
      <w:r>
        <w:t>appropriation et le leadership locaux en matière de sauvegarde. Si la collaboration avec des ONG</w:t>
      </w:r>
      <w:r w:rsidR="002357DF">
        <w:t xml:space="preserve"> accréditées</w:t>
      </w:r>
      <w:r>
        <w:t xml:space="preserve"> et des institutions a favorisé la mise en œuvre, certains rapports soulignent l</w:t>
      </w:r>
      <w:r w:rsidR="00C93212">
        <w:t>’</w:t>
      </w:r>
      <w:r>
        <w:t>importance de respecter les préférences des communautés en matière d</w:t>
      </w:r>
      <w:r w:rsidR="00C93212">
        <w:t>’</w:t>
      </w:r>
      <w:r>
        <w:t>auto-organisation et de représentation indépendante.</w:t>
      </w:r>
    </w:p>
    <w:p w14:paraId="6B76C0A8" w14:textId="716D9321" w:rsidR="00CE1417" w:rsidRPr="00E96786" w:rsidRDefault="0049568F" w:rsidP="004D2E83">
      <w:pPr>
        <w:pStyle w:val="COMPara"/>
        <w:numPr>
          <w:ilvl w:val="0"/>
          <w:numId w:val="11"/>
        </w:numPr>
        <w:jc w:val="both"/>
        <w:rPr>
          <w:bCs/>
        </w:rPr>
      </w:pPr>
      <w:r>
        <w:t>L</w:t>
      </w:r>
      <w:r w:rsidR="00C93212">
        <w:t>’</w:t>
      </w:r>
      <w:r>
        <w:t xml:space="preserve">intégration de la dimension de genre est apparue comme un thème important dans plusieurs rapports, avec une participation accrue des femmes non seulement à la transmission des connaissances, mais aussi en tant que responsables, innovatrices et décisionnaires dans les processus de sauvegarde. Si certains éléments conservent des rôles spécifiques </w:t>
      </w:r>
      <w:r w:rsidR="002357DF">
        <w:t>liés au genre</w:t>
      </w:r>
      <w:r>
        <w:t>, d</w:t>
      </w:r>
      <w:r w:rsidR="00C93212">
        <w:t>’</w:t>
      </w:r>
      <w:r>
        <w:t>autres font preuve d</w:t>
      </w:r>
      <w:r w:rsidR="00C93212">
        <w:t>’</w:t>
      </w:r>
      <w:r>
        <w:t>une flexibilité croissante à cet égard. Les rapports indiquent en outre que les hommes et les femmes sont activement impliqués dans divers aspects de la sauvegarde, notamment l</w:t>
      </w:r>
      <w:r w:rsidR="00C93212">
        <w:t>’</w:t>
      </w:r>
      <w:r>
        <w:t>enseignement, la planification, la documentation et les activités de sensibilisation. Ces résultats soulignent l</w:t>
      </w:r>
      <w:r w:rsidR="00C93212">
        <w:t>’</w:t>
      </w:r>
      <w:r>
        <w:t xml:space="preserve">importance de promouvoir une compréhension plus globale des rôles </w:t>
      </w:r>
      <w:r w:rsidR="00A64EC2">
        <w:t>liés au genre</w:t>
      </w:r>
      <w:r>
        <w:t>, en reconnaissant la diversité des contributions à tous les stades de la sauvegarde.</w:t>
      </w:r>
    </w:p>
    <w:p w14:paraId="57CBD529" w14:textId="430A483E" w:rsidR="009512D8" w:rsidRPr="00E96786" w:rsidRDefault="008F3395" w:rsidP="00894010">
      <w:pPr>
        <w:pStyle w:val="COMPara"/>
        <w:numPr>
          <w:ilvl w:val="0"/>
          <w:numId w:val="9"/>
        </w:numPr>
        <w:ind w:left="567" w:hanging="567"/>
        <w:jc w:val="both"/>
        <w:rPr>
          <w:bCs/>
        </w:rPr>
      </w:pPr>
      <w:r>
        <w:rPr>
          <w:b/>
        </w:rPr>
        <w:t>Viabilité et risques actuels</w:t>
      </w:r>
      <w:r>
        <w:t>. Plusieurs rapports périodiques soulignent l</w:t>
      </w:r>
      <w:r w:rsidR="00C93212">
        <w:t>’</w:t>
      </w:r>
      <w:r>
        <w:t>amélioration de la viabilité des éléments inscrits, souvent attribuée à une visibilité accrue et au soutien des communautés et des institutions :</w:t>
      </w:r>
    </w:p>
    <w:p w14:paraId="3313A412" w14:textId="0FC6D42C" w:rsidR="009512D8" w:rsidRPr="00E96786" w:rsidRDefault="007D4C24" w:rsidP="004D2E83">
      <w:pPr>
        <w:pStyle w:val="COMPara"/>
        <w:numPr>
          <w:ilvl w:val="0"/>
          <w:numId w:val="12"/>
        </w:numPr>
        <w:jc w:val="both"/>
        <w:rPr>
          <w:bCs/>
        </w:rPr>
      </w:pPr>
      <w:r>
        <w:t xml:space="preserve">Certains rapports </w:t>
      </w:r>
      <w:r w:rsidR="00B2387C">
        <w:t>ont indiqué</w:t>
      </w:r>
      <w:r w:rsidR="00CC39A4">
        <w:t xml:space="preserve"> </w:t>
      </w:r>
      <w:r>
        <w:t>que l</w:t>
      </w:r>
      <w:r w:rsidR="00C93212">
        <w:t>’</w:t>
      </w:r>
      <w:r>
        <w:t xml:space="preserve">inscription sur la </w:t>
      </w:r>
      <w:r w:rsidR="00184320">
        <w:t>L</w:t>
      </w:r>
      <w:r>
        <w:t xml:space="preserve">iste de sauvegarde urgente a contribué à améliorer la viabilité des éléments en augmentant leur visibilité. Les efforts en matière </w:t>
      </w:r>
      <w:r w:rsidR="00B2387C">
        <w:t>d</w:t>
      </w:r>
      <w:r w:rsidR="00C93212">
        <w:t>’</w:t>
      </w:r>
      <w:r w:rsidR="00B2387C">
        <w:t xml:space="preserve">éducation </w:t>
      </w:r>
      <w:r>
        <w:t>et de formation professionnelle (y compris la création de matériel pédagogique), la collaboration entre les réseaux de parties prenantes et les initiatives en matière de recherche et de documentation ont contribué à la sauvegarde de ces éléments. Dans certains cas, la viabilité a également été renforcée par le développement d</w:t>
      </w:r>
      <w:r w:rsidR="00C93212">
        <w:t>’</w:t>
      </w:r>
      <w:r>
        <w:t>infrastructures appropriées et l</w:t>
      </w:r>
      <w:r w:rsidR="00C93212">
        <w:t>’</w:t>
      </w:r>
      <w:r>
        <w:t>amélioration de l</w:t>
      </w:r>
      <w:r w:rsidR="00C93212">
        <w:t>’</w:t>
      </w:r>
      <w:r>
        <w:t>accès aux fournitures et matériaux nécessaires à la pratique du patrimoine vivant. En outre, dans certains contextes, le renforcement des réseaux communautaires et l</w:t>
      </w:r>
      <w:r w:rsidR="00C93212">
        <w:t>’</w:t>
      </w:r>
      <w:r>
        <w:t>augmentation du nombre de praticiens ont été identifiés comme des facteurs clés contribuant au maintien des éléments inscrits.</w:t>
      </w:r>
    </w:p>
    <w:p w14:paraId="3D5DB7BB" w14:textId="5C48C0D5" w:rsidR="009512D8" w:rsidRPr="00E96786" w:rsidRDefault="009512D8" w:rsidP="004D2E83">
      <w:pPr>
        <w:pStyle w:val="COMPara"/>
        <w:numPr>
          <w:ilvl w:val="0"/>
          <w:numId w:val="12"/>
        </w:numPr>
        <w:jc w:val="both"/>
        <w:rPr>
          <w:bCs/>
        </w:rPr>
      </w:pPr>
      <w:r>
        <w:t>Les risques identifiés incluent notamment les changements démographiques (tels que le vieillissement des praticiens), l</w:t>
      </w:r>
      <w:r w:rsidR="00C93212">
        <w:t>’</w:t>
      </w:r>
      <w:r>
        <w:t>engagement limité des jeunes générations ainsi que l</w:t>
      </w:r>
      <w:r w:rsidR="00C93212">
        <w:t>’</w:t>
      </w:r>
      <w:r>
        <w:t>affaiblissement des liens intergénérationnels, souvent influencés par l</w:t>
      </w:r>
      <w:r w:rsidR="00C93212">
        <w:t>’</w:t>
      </w:r>
      <w:r>
        <w:t>évolution des valeurs. D</w:t>
      </w:r>
      <w:r w:rsidR="00C93212">
        <w:t>’</w:t>
      </w:r>
      <w:r>
        <w:t>autres défis concernent l</w:t>
      </w:r>
      <w:r w:rsidR="00C93212">
        <w:t>’</w:t>
      </w:r>
      <w:r>
        <w:t>accès limité à des matières premières de qualité, notamment en ce qui concerne le patrimoine vivant basé sur l</w:t>
      </w:r>
      <w:r w:rsidR="00C93212">
        <w:t>’</w:t>
      </w:r>
      <w:r>
        <w:t>artisanat et l</w:t>
      </w:r>
      <w:r w:rsidR="00C93212">
        <w:t>’</w:t>
      </w:r>
      <w:r>
        <w:t>agriculture, ainsi que les impacts de la migration urbaine, les pressions commerciales induites par la mondialisation et les conflits. Les systèmes de marché et l</w:t>
      </w:r>
      <w:r w:rsidR="00C93212">
        <w:t>’</w:t>
      </w:r>
      <w:r>
        <w:t>incapacité de certaines pratiques à fournir une source de revenus stable et durable compromettent encore davantage leur viabilité. Les menaces environnementales (telles que l</w:t>
      </w:r>
      <w:r w:rsidR="00C93212">
        <w:t>’</w:t>
      </w:r>
      <w:r>
        <w:t>épuisement des ressources naturelles dû à la déforestation et au changement climatique) ont également été mentionnées comme des risques importants, en particulier pour les pratiques qui sont étroitement liées à des écosystèmes spécifiques. En réponse, certains États ont adopté des approches plus durables, comme la conservation et la culture de ressources naturelles essentielles pour soutenir la viabilité à long terme de certains éléments. En outre, le financement sporadique, les difficultés logistiques dans les zones reculées et l</w:t>
      </w:r>
      <w:r w:rsidR="00C93212">
        <w:t>’</w:t>
      </w:r>
      <w:r>
        <w:t>absence de cadres institutionnels coordonnés ont été notés comme des facteurs limitant l</w:t>
      </w:r>
      <w:r w:rsidR="00C93212">
        <w:t>’</w:t>
      </w:r>
      <w:r>
        <w:t>ampleur et la continuité des efforts de sauvegarde.</w:t>
      </w:r>
    </w:p>
    <w:p w14:paraId="4D483041" w14:textId="0087A9D0" w:rsidR="00892B3C" w:rsidRPr="00E96786" w:rsidRDefault="00892B3C" w:rsidP="00D36F9A">
      <w:pPr>
        <w:pStyle w:val="COMPara"/>
        <w:numPr>
          <w:ilvl w:val="0"/>
          <w:numId w:val="9"/>
        </w:numPr>
        <w:ind w:left="567" w:hanging="567"/>
        <w:jc w:val="both"/>
        <w:rPr>
          <w:bCs/>
        </w:rPr>
      </w:pPr>
      <w:r>
        <w:rPr>
          <w:b/>
        </w:rPr>
        <w:t>Patrimoine vivant et situations d</w:t>
      </w:r>
      <w:r w:rsidR="00C93212">
        <w:rPr>
          <w:b/>
        </w:rPr>
        <w:t>’</w:t>
      </w:r>
      <w:r>
        <w:rPr>
          <w:b/>
        </w:rPr>
        <w:t>urgence</w:t>
      </w:r>
      <w:r>
        <w:t>. Les rapports indiquent que la pandémie de COVID-19 et les conflits armés sont deux des principaux déclencheurs des situations d</w:t>
      </w:r>
      <w:r w:rsidR="00C93212">
        <w:t>’</w:t>
      </w:r>
      <w:r>
        <w:t>urgence. Dans certains rapports, l</w:t>
      </w:r>
      <w:r w:rsidR="00C93212">
        <w:t>’</w:t>
      </w:r>
      <w:r>
        <w:t xml:space="preserve">impact persistant de la pandémie </w:t>
      </w:r>
      <w:r w:rsidR="00B2387C">
        <w:t>a été</w:t>
      </w:r>
      <w:r>
        <w:t xml:space="preserve"> évident, notamment en termes de perturbation des processus de transmission et de défis pour une participation équitable. Plusieurs États parties ont indiqué un ralentissement ou des modifications nécessaires dans la mise en œuvre des plans de sauvegarde. Un rapport souligne que, dans les régions touchées par un conflit armé, la viabilité du patrimoine culturel immatériel est gravement menacée. Le déplacement ou le décès de </w:t>
      </w:r>
      <w:r w:rsidR="000C1B3E">
        <w:t>détenteurs</w:t>
      </w:r>
      <w:r>
        <w:t xml:space="preserve"> a entraîné une interruption brutale de la transmission, tandis que la destruction des maisons, des ateliers et des espaces de représentation a encore miné les conditions nécessaires à la pratique. En outre, il apparaît que la mise en œuvre des mesures de sauvegarde, y compris les festivals, les activités de formation et les initiatives communautaires, devient extrêmement difficile dans les contextes d</w:t>
      </w:r>
      <w:r w:rsidR="00C93212">
        <w:t>’</w:t>
      </w:r>
      <w:r>
        <w:t>urgence, empêchant la coordination des efforts entre les États parties, les ONG et les communautés concernées. Dans ces contextes, les activités de sauvegarde s</w:t>
      </w:r>
      <w:r w:rsidR="00B2387C">
        <w:t>e sont</w:t>
      </w:r>
      <w:r>
        <w:t xml:space="preserve"> </w:t>
      </w:r>
      <w:r w:rsidR="00B2387C">
        <w:t xml:space="preserve">souvent </w:t>
      </w:r>
      <w:r>
        <w:t>limit</w:t>
      </w:r>
      <w:r w:rsidR="00B2387C">
        <w:t>ées</w:t>
      </w:r>
      <w:r>
        <w:t xml:space="preserve"> à un travail d</w:t>
      </w:r>
      <w:r w:rsidR="00C93212">
        <w:t>’</w:t>
      </w:r>
      <w:r>
        <w:t>archivage et de documentation.</w:t>
      </w:r>
    </w:p>
    <w:p w14:paraId="6B90CD9D" w14:textId="68C9BF5D" w:rsidR="00530575" w:rsidRPr="00E96786" w:rsidRDefault="00F02932" w:rsidP="00D36F9A">
      <w:pPr>
        <w:pStyle w:val="COMPara"/>
        <w:numPr>
          <w:ilvl w:val="0"/>
          <w:numId w:val="9"/>
        </w:numPr>
        <w:ind w:left="567" w:hanging="567"/>
        <w:jc w:val="both"/>
        <w:rPr>
          <w:bCs/>
        </w:rPr>
      </w:pPr>
      <w:r>
        <w:rPr>
          <w:b/>
        </w:rPr>
        <w:t>Mise à jour des plans de sauvegarde</w:t>
      </w:r>
      <w:r>
        <w:t xml:space="preserve">. Les plans de sauvegarde ont été principalement révisés sur la base des expériences passées afin de faire face aux risques en cours et de renforcer les évolutions positives. Une attention particulière </w:t>
      </w:r>
      <w:r w:rsidR="00E049B5">
        <w:t xml:space="preserve">a été </w:t>
      </w:r>
      <w:r>
        <w:t>accordée au renforcement des capacités ainsi qu</w:t>
      </w:r>
      <w:r w:rsidR="00C93212">
        <w:t>’</w:t>
      </w:r>
      <w:r>
        <w:t xml:space="preserve">à </w:t>
      </w:r>
      <w:r w:rsidR="00E049B5">
        <w:t>l</w:t>
      </w:r>
      <w:r w:rsidR="00C93212">
        <w:t>’</w:t>
      </w:r>
      <w:r w:rsidR="00E049B5">
        <w:t xml:space="preserve">éducation </w:t>
      </w:r>
      <w:r>
        <w:t>forme</w:t>
      </w:r>
      <w:r w:rsidR="00E049B5">
        <w:t>l</w:t>
      </w:r>
      <w:r>
        <w:t>l</w:t>
      </w:r>
      <w:r w:rsidR="00E049B5">
        <w:t>e</w:t>
      </w:r>
      <w:r>
        <w:t xml:space="preserve"> et non formel</w:t>
      </w:r>
      <w:r w:rsidR="00E049B5">
        <w:t>le</w:t>
      </w:r>
      <w:r>
        <w:t>, y compris l</w:t>
      </w:r>
      <w:r w:rsidR="00C93212">
        <w:t>’</w:t>
      </w:r>
      <w:r>
        <w:t xml:space="preserve">intégration du patrimoine vivant dans les programmes </w:t>
      </w:r>
      <w:r w:rsidR="00E049B5">
        <w:t xml:space="preserve">scolaires </w:t>
      </w:r>
      <w:r>
        <w:t>nationaux. Les efforts de sensibilisation et de promotion (en particulier ceux ciblant les enfants et les jeunes) ont également été privilégiés. De nombreux rapports ont identifié comme objectif clé l</w:t>
      </w:r>
      <w:r w:rsidR="00C93212">
        <w:t>’</w:t>
      </w:r>
      <w:r>
        <w:t xml:space="preserve">amélioration de la visibilité et de la compréhension des éléments inscrits aux niveaux national et international. Cet objectif sera poursuivi par la participation à des festivals, des </w:t>
      </w:r>
      <w:r w:rsidR="00E049B5">
        <w:t>salons</w:t>
      </w:r>
      <w:r>
        <w:t>, des expositions et des initiatives d</w:t>
      </w:r>
      <w:r w:rsidR="00C93212">
        <w:t>’</w:t>
      </w:r>
      <w:r>
        <w:t>échange d</w:t>
      </w:r>
      <w:r w:rsidR="00C93212">
        <w:t>’</w:t>
      </w:r>
      <w:r>
        <w:t xml:space="preserve">expériences afin de renforcer la transmission. Les plans de sauvegarde actualisés soulignent que la documentation, la recherche et le renforcement des partenariats et des réseaux de parties prenantes sont des stratégies importantes pour soutenir à la fois la viabilité et </w:t>
      </w:r>
      <w:r w:rsidR="00E049B5">
        <w:t>le plaidoyer</w:t>
      </w:r>
      <w:r>
        <w:t>. En outre, certains États rapporteurs se sont attachés à garantir l</w:t>
      </w:r>
      <w:r w:rsidR="00C93212">
        <w:t>’</w:t>
      </w:r>
      <w:r>
        <w:t>accès aux matériaux et fournitures nécessaires, à renforcer les moyens de subsistance des communautés et les économies locales, ainsi qu</w:t>
      </w:r>
      <w:r w:rsidR="00C93212">
        <w:t>’</w:t>
      </w:r>
      <w:r>
        <w:t>à créer des synergies avec la protection de l</w:t>
      </w:r>
      <w:r w:rsidR="00C93212">
        <w:t>’</w:t>
      </w:r>
      <w:r>
        <w:t>environnement ou les cadres touristiques. Certains rapports indiquent souhaiter institutionnaliser les efforts de sauvegarde par le biais de politiques culturelles locales ou de cadres juridiques, y compris les protections de la propriété intellectuelle. Toutefois, plusieurs plans manquent de calendriers spécifiques, d</w:t>
      </w:r>
      <w:r w:rsidR="00C93212">
        <w:t>’</w:t>
      </w:r>
      <w:r>
        <w:t>indicateurs mesurables ou de définitions claires des mécanismes de coordination et des responsabilités des parties prenantes.</w:t>
      </w:r>
    </w:p>
    <w:p w14:paraId="1AC14080" w14:textId="26BEEDBC" w:rsidR="00466C28" w:rsidRPr="00E96786" w:rsidRDefault="00F02932" w:rsidP="00894010">
      <w:pPr>
        <w:pStyle w:val="COMPara"/>
        <w:numPr>
          <w:ilvl w:val="0"/>
          <w:numId w:val="9"/>
        </w:numPr>
        <w:ind w:left="567" w:hanging="567"/>
        <w:jc w:val="both"/>
        <w:rPr>
          <w:bCs/>
        </w:rPr>
      </w:pPr>
      <w:r>
        <w:rPr>
          <w:b/>
        </w:rPr>
        <w:t>Demandes de transfert</w:t>
      </w:r>
      <w:r>
        <w:t>. Parmi les résultats concrets de la réflexion globale sur les mécanismes d</w:t>
      </w:r>
      <w:r w:rsidR="00C93212">
        <w:t>’</w:t>
      </w:r>
      <w:r>
        <w:t>inscription (2018-2022), la neuvième session de l</w:t>
      </w:r>
      <w:r w:rsidR="00C93212">
        <w:t>’</w:t>
      </w:r>
      <w:r>
        <w:t>Assemblée générale a adopté une procédure de transfert d</w:t>
      </w:r>
      <w:r w:rsidR="00C93212">
        <w:t>’</w:t>
      </w:r>
      <w:r>
        <w:t>un élément inscrit d</w:t>
      </w:r>
      <w:r w:rsidR="00C93212">
        <w:t>’</w:t>
      </w:r>
      <w:r>
        <w:t xml:space="preserve">une liste à une autre </w:t>
      </w:r>
      <w:hyperlink r:id="rId24" w:history="1">
        <w:r>
          <w:rPr>
            <w:rStyle w:val="Hyperlink"/>
            <w:color w:val="auto"/>
            <w:u w:val="none"/>
          </w:rPr>
          <w:t xml:space="preserve">(Résolution </w:t>
        </w:r>
        <w:r>
          <w:rPr>
            <w:rStyle w:val="Hyperlink"/>
          </w:rPr>
          <w:t>9.GA 9</w:t>
        </w:r>
      </w:hyperlink>
      <w:r>
        <w:t>), qui a entraîné la formulation d</w:t>
      </w:r>
      <w:r w:rsidR="00C93212">
        <w:t>’</w:t>
      </w:r>
      <w:r>
        <w:t>amendements aux Directives opérationnelles (voir les paragraphes 20.2, 38.1, 38.2 et 39.2). La nouvelle procédure exige qu</w:t>
      </w:r>
      <w:r w:rsidR="00C93212">
        <w:t>’</w:t>
      </w:r>
      <w:r>
        <w:t>une demande de transfert d</w:t>
      </w:r>
      <w:r w:rsidR="00C93212">
        <w:t>’</w:t>
      </w:r>
      <w:r>
        <w:t>un élément de la Liste de sauvegarde urgente à la Liste représentative soit soumise au moyen du formulaire ICH-02 LSU à LR, qui est joint au formulaire de rapport périodique ICH-11. Aucune demande de transfert vers la Liste représentative d</w:t>
      </w:r>
      <w:r w:rsidR="00C93212">
        <w:t>’</w:t>
      </w:r>
      <w:r>
        <w:t>éléments inscrits sur l</w:t>
      </w:r>
      <w:r w:rsidR="00E049B5">
        <w:t>a</w:t>
      </w:r>
      <w:r>
        <w:t xml:space="preserve"> </w:t>
      </w:r>
      <w:r w:rsidR="00184320">
        <w:t>L</w:t>
      </w:r>
      <w:r>
        <w:t>iste de sauvegarde urgente n</w:t>
      </w:r>
      <w:r w:rsidR="00C93212">
        <w:t>’</w:t>
      </w:r>
      <w:r>
        <w:t>a été faite au cours du présent cycle de rapport.</w:t>
      </w:r>
    </w:p>
    <w:p w14:paraId="655D2721" w14:textId="10676C90" w:rsidR="00F02932" w:rsidRPr="00E96786" w:rsidRDefault="006F2F47" w:rsidP="00894010">
      <w:pPr>
        <w:pStyle w:val="COMPara"/>
        <w:numPr>
          <w:ilvl w:val="0"/>
          <w:numId w:val="9"/>
        </w:numPr>
        <w:ind w:left="567" w:hanging="567"/>
        <w:jc w:val="both"/>
        <w:rPr>
          <w:bCs/>
        </w:rPr>
      </w:pPr>
      <w:r>
        <w:rPr>
          <w:b/>
        </w:rPr>
        <w:t>Futurs rapports</w:t>
      </w:r>
      <w:r>
        <w:t>. Suite à l</w:t>
      </w:r>
      <w:r w:rsidR="00C93212">
        <w:t>’</w:t>
      </w:r>
      <w:r>
        <w:t xml:space="preserve">adoption de la Déclaration MONDIACULT 2022, la dix-neuvième session du Comité (Décision </w:t>
      </w:r>
      <w:hyperlink r:id="rId25" w:history="1">
        <w:r>
          <w:rPr>
            <w:rStyle w:val="Hyperlink"/>
          </w:rPr>
          <w:t>19.COM 6.c</w:t>
        </w:r>
      </w:hyperlink>
      <w:r>
        <w:t>) a approuvé une feuille de route mise à jour, qui présente un calendrier pour le passage à un système de soumission unique et global pour les rapports périodiques. À compter du 30 juin 2027 et tous les quatre ans par la suite, tous les États parties soumettront des rapports périodiques pour tous les mécanismes d</w:t>
      </w:r>
      <w:r w:rsidR="00C93212">
        <w:t>’</w:t>
      </w:r>
      <w:r>
        <w:t>inscription de la Convention (ce qui concerne également l</w:t>
      </w:r>
      <w:r w:rsidR="00C93212">
        <w:t>’</w:t>
      </w:r>
      <w:r>
        <w:t xml:space="preserve">état des éléments inscrits sur la </w:t>
      </w:r>
      <w:r w:rsidR="00184320">
        <w:t>L</w:t>
      </w:r>
      <w:r>
        <w:t>iste de sauvegarde urgente). Par conséquent, la présentation de rapports sur l</w:t>
      </w:r>
      <w:r w:rsidR="00C93212">
        <w:t>’</w:t>
      </w:r>
      <w:r>
        <w:t xml:space="preserve">état des éléments inscrits sur la </w:t>
      </w:r>
      <w:r w:rsidR="00184320">
        <w:t>L</w:t>
      </w:r>
      <w:r>
        <w:t>iste de sauvegarde urgente devrait se poursuivre selon un cycle de quatre ans, mais cette périodicité ne sera plus liée à l</w:t>
      </w:r>
      <w:r w:rsidR="00C93212">
        <w:t>’</w:t>
      </w:r>
      <w:r>
        <w:t>année d</w:t>
      </w:r>
      <w:r w:rsidR="00C93212">
        <w:t>’</w:t>
      </w:r>
      <w:r>
        <w:t>inscription. Dans l</w:t>
      </w:r>
      <w:r w:rsidR="00C93212">
        <w:t>’</w:t>
      </w:r>
      <w:r>
        <w:t xml:space="preserve">attente des amendements aux Directives opérationnelles qui seront examinés par le Comité lors de la présente session (voir </w:t>
      </w:r>
      <w:r w:rsidRPr="00DF438D">
        <w:t>document LHE/25/20.COM/6.c) et</w:t>
      </w:r>
      <w:r>
        <w:t xml:space="preserve"> par l</w:t>
      </w:r>
      <w:r w:rsidR="00C93212">
        <w:t>’</w:t>
      </w:r>
      <w:r>
        <w:t>Assemblée générale lors de sa onzième session à la mi-2026, le projet de décision pour chaque rapport n</w:t>
      </w:r>
      <w:r w:rsidR="00C93212">
        <w:t>’</w:t>
      </w:r>
      <w:r>
        <w:t>indique pas de date précise pour le prochain rapport.</w:t>
      </w:r>
    </w:p>
    <w:p w14:paraId="50D3EAFF" w14:textId="31398AD5" w:rsidR="00D95C4C" w:rsidRPr="00E96786" w:rsidRDefault="000B1C8F" w:rsidP="00894010">
      <w:pPr>
        <w:pStyle w:val="COMPara"/>
        <w:numPr>
          <w:ilvl w:val="0"/>
          <w:numId w:val="9"/>
        </w:numPr>
        <w:ind w:left="567" w:hanging="567"/>
        <w:jc w:val="both"/>
        <w:rPr>
          <w:bCs/>
        </w:rPr>
      </w:pPr>
      <w:r>
        <w:t>Le Comité souhaitera peut-être adopter la décision suivante :</w:t>
      </w:r>
    </w:p>
    <w:p w14:paraId="15109379" w14:textId="212AF944" w:rsidR="00834290" w:rsidRPr="00E96786" w:rsidRDefault="004A34A0" w:rsidP="009B66DF">
      <w:pPr>
        <w:pStyle w:val="COMTitleDecision"/>
      </w:pPr>
      <w:r>
        <w:t xml:space="preserve">PROJET DE DECISION 20.COM </w:t>
      </w:r>
      <w:bookmarkEnd w:id="13"/>
      <w:r>
        <w:t>6.a</w:t>
      </w:r>
    </w:p>
    <w:p w14:paraId="6DEB8499" w14:textId="0751952D" w:rsidR="009B66DF" w:rsidRPr="00E96786" w:rsidRDefault="00EC7FEA" w:rsidP="009B66DF">
      <w:pPr>
        <w:pStyle w:val="COMTitleDecision"/>
        <w:rPr>
          <w:b w:val="0"/>
          <w:bCs/>
        </w:rPr>
      </w:pPr>
      <w:r>
        <w:rPr>
          <w:b w:val="0"/>
        </w:rPr>
        <w:t>Le Comité</w:t>
      </w:r>
    </w:p>
    <w:p w14:paraId="7908DAB6" w14:textId="01247858" w:rsidR="00EC7FEA" w:rsidRPr="00FC0C78" w:rsidRDefault="009B35CF" w:rsidP="00AC1BC7">
      <w:pPr>
        <w:pStyle w:val="COMTitleDecision"/>
        <w:keepNext w:val="0"/>
        <w:widowControl w:val="0"/>
        <w:numPr>
          <w:ilvl w:val="0"/>
          <w:numId w:val="13"/>
        </w:numPr>
        <w:spacing w:before="120"/>
        <w:ind w:left="1134" w:hanging="595"/>
        <w:rPr>
          <w:b w:val="0"/>
          <w:bCs/>
        </w:rPr>
      </w:pPr>
      <w:r>
        <w:rPr>
          <w:b w:val="0"/>
          <w:u w:val="single"/>
        </w:rPr>
        <w:t>Ayant examiné</w:t>
      </w:r>
      <w:r>
        <w:rPr>
          <w:b w:val="0"/>
        </w:rPr>
        <w:t xml:space="preserve"> le document </w:t>
      </w:r>
      <w:bookmarkStart w:id="15" w:name="_Hlk208854012"/>
      <w:r>
        <w:rPr>
          <w:b w:val="0"/>
        </w:rPr>
        <w:t>LHE/25/</w:t>
      </w:r>
      <w:bookmarkEnd w:id="15"/>
      <w:r>
        <w:rPr>
          <w:b w:val="0"/>
        </w:rPr>
        <w:t>20.COM/6.a,</w:t>
      </w:r>
    </w:p>
    <w:p w14:paraId="77330E64" w14:textId="77777777" w:rsidR="00056596" w:rsidRPr="00E96786" w:rsidRDefault="00056596" w:rsidP="00AC1BC7">
      <w:pPr>
        <w:pStyle w:val="COMTitleDecision"/>
        <w:keepNext w:val="0"/>
        <w:widowControl w:val="0"/>
        <w:numPr>
          <w:ilvl w:val="0"/>
          <w:numId w:val="13"/>
        </w:numPr>
        <w:spacing w:before="120"/>
        <w:ind w:left="1134" w:hanging="595"/>
        <w:rPr>
          <w:b w:val="0"/>
          <w:bCs/>
        </w:rPr>
      </w:pPr>
      <w:r>
        <w:rPr>
          <w:b w:val="0"/>
          <w:u w:val="single"/>
        </w:rPr>
        <w:t>Rappelant</w:t>
      </w:r>
      <w:r>
        <w:rPr>
          <w:b w:val="0"/>
        </w:rPr>
        <w:t xml:space="preserve"> les articles 7, 29 et 30 de la Convention concernant les rapports des États parties et le chapitre V des Directives opérationnelles,</w:t>
      </w:r>
    </w:p>
    <w:p w14:paraId="7CBBFE72" w14:textId="3B0D4810" w:rsidR="00056596" w:rsidRPr="00E96786" w:rsidRDefault="00056596" w:rsidP="00AC1BC7">
      <w:pPr>
        <w:pStyle w:val="COMTitleDecision"/>
        <w:keepNext w:val="0"/>
        <w:widowControl w:val="0"/>
        <w:numPr>
          <w:ilvl w:val="0"/>
          <w:numId w:val="13"/>
        </w:numPr>
        <w:spacing w:before="120"/>
        <w:ind w:left="1134" w:hanging="595"/>
        <w:rPr>
          <w:b w:val="0"/>
          <w:bCs/>
        </w:rPr>
      </w:pPr>
      <w:r>
        <w:rPr>
          <w:b w:val="0"/>
          <w:u w:val="single"/>
        </w:rPr>
        <w:t>Soulignant</w:t>
      </w:r>
      <w:r>
        <w:rPr>
          <w:b w:val="0"/>
        </w:rPr>
        <w:t xml:space="preserve"> l</w:t>
      </w:r>
      <w:r w:rsidR="00C93212">
        <w:rPr>
          <w:b w:val="0"/>
        </w:rPr>
        <w:t>’</w:t>
      </w:r>
      <w:r>
        <w:rPr>
          <w:b w:val="0"/>
        </w:rPr>
        <w:t>importance des rapports périodiques sur l</w:t>
      </w:r>
      <w:r w:rsidR="00C93212">
        <w:rPr>
          <w:b w:val="0"/>
        </w:rPr>
        <w:t>’</w:t>
      </w:r>
      <w:r>
        <w:rPr>
          <w:b w:val="0"/>
        </w:rPr>
        <w:t>état des éléments inscrits sur la Liste du patrimoine culturel immatériel nécessitant une sauvegarde urgente, qui constituent un outil de suivi essentiel pour les États parties concernés et pour le Comité afin d</w:t>
      </w:r>
      <w:r w:rsidR="00C93212">
        <w:rPr>
          <w:b w:val="0"/>
        </w:rPr>
        <w:t>’</w:t>
      </w:r>
      <w:r>
        <w:rPr>
          <w:b w:val="0"/>
        </w:rPr>
        <w:t>évaluer la viabilité des éléments en péril,</w:t>
      </w:r>
    </w:p>
    <w:p w14:paraId="755EFFF0" w14:textId="3140CD41" w:rsidR="009B35CF" w:rsidRPr="00E96786" w:rsidRDefault="00056596" w:rsidP="00AC1BC7">
      <w:pPr>
        <w:pStyle w:val="COMTitleDecision"/>
        <w:keepNext w:val="0"/>
        <w:widowControl w:val="0"/>
        <w:numPr>
          <w:ilvl w:val="0"/>
          <w:numId w:val="13"/>
        </w:numPr>
        <w:spacing w:before="120"/>
        <w:ind w:left="1134" w:hanging="595"/>
        <w:rPr>
          <w:b w:val="0"/>
          <w:bCs/>
        </w:rPr>
      </w:pPr>
      <w:r>
        <w:rPr>
          <w:b w:val="0"/>
          <w:u w:val="single"/>
        </w:rPr>
        <w:t>Remercie</w:t>
      </w:r>
      <w:r>
        <w:rPr>
          <w:b w:val="0"/>
        </w:rPr>
        <w:t xml:space="preserve"> les États parties qui ont soumis leur rapport dans les délais et </w:t>
      </w:r>
      <w:r>
        <w:rPr>
          <w:b w:val="0"/>
          <w:u w:val="single"/>
        </w:rPr>
        <w:t>les prie instamment</w:t>
      </w:r>
      <w:r>
        <w:rPr>
          <w:b w:val="0"/>
        </w:rPr>
        <w:t xml:space="preserve"> de soumettre les rapports en retard afin de permettre au Comité de procéder à une évaluation complète et éclairée de la viabilité actuelle des éléments concernés ;</w:t>
      </w:r>
    </w:p>
    <w:p w14:paraId="2A5D6B6E" w14:textId="728FC688" w:rsidR="00257A55" w:rsidRPr="005B7BB9" w:rsidRDefault="00257A55" w:rsidP="00AC1BC7">
      <w:pPr>
        <w:pStyle w:val="COMTitleDecision"/>
        <w:keepNext w:val="0"/>
        <w:widowControl w:val="0"/>
        <w:numPr>
          <w:ilvl w:val="0"/>
          <w:numId w:val="13"/>
        </w:numPr>
        <w:spacing w:before="120"/>
        <w:ind w:left="1134" w:hanging="595"/>
        <w:rPr>
          <w:b w:val="0"/>
          <w:bCs/>
        </w:rPr>
      </w:pPr>
      <w:r>
        <w:rPr>
          <w:b w:val="0"/>
          <w:u w:val="single"/>
        </w:rPr>
        <w:t>Observe</w:t>
      </w:r>
      <w:r>
        <w:rPr>
          <w:b w:val="0"/>
        </w:rPr>
        <w:t xml:space="preserve"> que les recommandations du Comité formulées dans ses décisions précédentes concernant les rapports sur les éléments inscrits ont été pour la plupart prises en compte et reflétées dans les plans de sauvegarde actualisés, tout en invitant les États à améliorer davantage le référencement lorsque cela est nécessaire de sorte à fournir des informations complètes et actualisées dans les futurs rapports, en évitant les répétitions inutiles du contenu des cycles précédents ;</w:t>
      </w:r>
    </w:p>
    <w:p w14:paraId="14751F1C" w14:textId="0F7D14B7" w:rsidR="00EF4E87" w:rsidRPr="00E96786" w:rsidRDefault="00104459" w:rsidP="00AC1BC7">
      <w:pPr>
        <w:pStyle w:val="COMTitleDecision"/>
        <w:keepNext w:val="0"/>
        <w:widowControl w:val="0"/>
        <w:numPr>
          <w:ilvl w:val="0"/>
          <w:numId w:val="13"/>
        </w:numPr>
        <w:spacing w:before="120"/>
        <w:ind w:left="1134" w:hanging="595"/>
        <w:rPr>
          <w:b w:val="0"/>
          <w:bCs/>
        </w:rPr>
      </w:pPr>
      <w:r>
        <w:rPr>
          <w:b w:val="0"/>
          <w:u w:val="single"/>
        </w:rPr>
        <w:t>Félicite</w:t>
      </w:r>
      <w:r>
        <w:rPr>
          <w:b w:val="0"/>
        </w:rPr>
        <w:t xml:space="preserve"> les États parties pour l</w:t>
      </w:r>
      <w:r w:rsidR="00C93212">
        <w:rPr>
          <w:b w:val="0"/>
        </w:rPr>
        <w:t>’</w:t>
      </w:r>
      <w:r>
        <w:rPr>
          <w:b w:val="0"/>
        </w:rPr>
        <w:t>amélioration de la viabilité des éléments concernés, comme en témoignent : (a) l</w:t>
      </w:r>
      <w:r w:rsidR="00C93212">
        <w:rPr>
          <w:b w:val="0"/>
        </w:rPr>
        <w:t>’</w:t>
      </w:r>
      <w:r>
        <w:rPr>
          <w:b w:val="0"/>
        </w:rPr>
        <w:t>engagement accru des jeunes et des femmes dans les efforts de sauvegarde ; (b) l</w:t>
      </w:r>
      <w:r w:rsidR="00C93212">
        <w:rPr>
          <w:b w:val="0"/>
        </w:rPr>
        <w:t>’</w:t>
      </w:r>
      <w:r>
        <w:rPr>
          <w:b w:val="0"/>
        </w:rPr>
        <w:t xml:space="preserve">amélioration des conditions de travail des </w:t>
      </w:r>
      <w:r w:rsidR="000C1B3E">
        <w:rPr>
          <w:b w:val="0"/>
        </w:rPr>
        <w:t>détenteurs</w:t>
      </w:r>
      <w:r w:rsidR="003B7315">
        <w:rPr>
          <w:b w:val="0"/>
        </w:rPr>
        <w:t xml:space="preserve"> </w:t>
      </w:r>
      <w:r>
        <w:rPr>
          <w:b w:val="0"/>
        </w:rPr>
        <w:t>et des praticiens ; (c) l</w:t>
      </w:r>
      <w:r w:rsidR="00C93212">
        <w:rPr>
          <w:b w:val="0"/>
        </w:rPr>
        <w:t>’</w:t>
      </w:r>
      <w:r>
        <w:rPr>
          <w:b w:val="0"/>
        </w:rPr>
        <w:t>augmentation du nombre de praticiens actifs ; (d) le renforcement des processus d</w:t>
      </w:r>
      <w:r w:rsidR="00C93212">
        <w:rPr>
          <w:b w:val="0"/>
        </w:rPr>
        <w:t>’</w:t>
      </w:r>
      <w:r>
        <w:rPr>
          <w:b w:val="0"/>
        </w:rPr>
        <w:t>enseignement et d</w:t>
      </w:r>
      <w:r w:rsidR="00C93212">
        <w:rPr>
          <w:b w:val="0"/>
        </w:rPr>
        <w:t>’</w:t>
      </w:r>
      <w:r>
        <w:rPr>
          <w:b w:val="0"/>
        </w:rPr>
        <w:t>apprentissage ; et (e) le renforcement et élargissement des collaborations intersectorielles entre les parties prenantes ;</w:t>
      </w:r>
    </w:p>
    <w:p w14:paraId="5BB25CD8" w14:textId="77A92511" w:rsidR="00257A55" w:rsidRPr="00E96786" w:rsidRDefault="00EF4E87" w:rsidP="00AC1BC7">
      <w:pPr>
        <w:pStyle w:val="COMTitleDecision"/>
        <w:keepNext w:val="0"/>
        <w:widowControl w:val="0"/>
        <w:numPr>
          <w:ilvl w:val="0"/>
          <w:numId w:val="13"/>
        </w:numPr>
        <w:spacing w:before="120"/>
        <w:ind w:left="1134" w:hanging="595"/>
        <w:rPr>
          <w:b w:val="0"/>
          <w:bCs/>
        </w:rPr>
      </w:pPr>
      <w:r>
        <w:rPr>
          <w:b w:val="0"/>
          <w:u w:val="single"/>
        </w:rPr>
        <w:t>Félicite en outre</w:t>
      </w:r>
      <w:r>
        <w:rPr>
          <w:b w:val="0"/>
        </w:rPr>
        <w:t xml:space="preserve"> les États parties pour l</w:t>
      </w:r>
      <w:r w:rsidR="00C93212">
        <w:rPr>
          <w:b w:val="0"/>
        </w:rPr>
        <w:t>’</w:t>
      </w:r>
      <w:r>
        <w:rPr>
          <w:b w:val="0"/>
        </w:rPr>
        <w:t>attention soutenue qu</w:t>
      </w:r>
      <w:r w:rsidR="00C93212">
        <w:rPr>
          <w:b w:val="0"/>
        </w:rPr>
        <w:t>’</w:t>
      </w:r>
      <w:r>
        <w:rPr>
          <w:b w:val="0"/>
        </w:rPr>
        <w:t>ils accordent aux approches participatives et inclusives de la sauvegarde, ainsi que pour leur engagement en faveur de la préservation de l</w:t>
      </w:r>
      <w:r w:rsidR="00C93212">
        <w:rPr>
          <w:b w:val="0"/>
        </w:rPr>
        <w:t>’</w:t>
      </w:r>
      <w:r>
        <w:rPr>
          <w:b w:val="0"/>
        </w:rPr>
        <w:t>environnement et du développement socio-économique des communautés concernées, conformément aux principes du développement durable ;</w:t>
      </w:r>
    </w:p>
    <w:p w14:paraId="40C8FD3B" w14:textId="4DB6057D" w:rsidR="006F2A85" w:rsidRPr="00E96786" w:rsidRDefault="006A4D3B" w:rsidP="00CC39A4">
      <w:pPr>
        <w:pStyle w:val="COMTitleDecision"/>
        <w:keepNext w:val="0"/>
        <w:widowControl w:val="0"/>
        <w:numPr>
          <w:ilvl w:val="0"/>
          <w:numId w:val="13"/>
        </w:numPr>
        <w:spacing w:before="120"/>
        <w:ind w:left="1134" w:hanging="595"/>
        <w:rPr>
          <w:b w:val="0"/>
          <w:bCs/>
        </w:rPr>
      </w:pPr>
      <w:r>
        <w:rPr>
          <w:b w:val="0"/>
          <w:u w:val="single"/>
        </w:rPr>
        <w:t>Reconnaît</w:t>
      </w:r>
      <w:r>
        <w:rPr>
          <w:b w:val="0"/>
        </w:rPr>
        <w:t xml:space="preserve"> que la sauvegarde du patrimoine culturel immatériel peut contribuer de manière significative à l</w:t>
      </w:r>
      <w:r w:rsidR="00C93212">
        <w:rPr>
          <w:b w:val="0"/>
        </w:rPr>
        <w:t>’</w:t>
      </w:r>
      <w:r>
        <w:rPr>
          <w:b w:val="0"/>
        </w:rPr>
        <w:t xml:space="preserve">égalité des genres et </w:t>
      </w:r>
      <w:r w:rsidR="00CC39A4" w:rsidRPr="00CC39A4">
        <w:rPr>
          <w:b w:val="0"/>
        </w:rPr>
        <w:t>à la sensibilité au genre</w:t>
      </w:r>
      <w:r>
        <w:rPr>
          <w:b w:val="0"/>
        </w:rPr>
        <w:t xml:space="preserve">, compte tenu du rôle essentiel et souvent prépondérant joué par les femmes, et </w:t>
      </w:r>
      <w:r>
        <w:rPr>
          <w:b w:val="0"/>
          <w:u w:val="single"/>
        </w:rPr>
        <w:t>encourage</w:t>
      </w:r>
      <w:r>
        <w:rPr>
          <w:b w:val="0"/>
        </w:rPr>
        <w:t xml:space="preserve"> les États parties à redoubler d</w:t>
      </w:r>
      <w:r w:rsidR="00C93212">
        <w:rPr>
          <w:b w:val="0"/>
        </w:rPr>
        <w:t>’</w:t>
      </w:r>
      <w:r>
        <w:rPr>
          <w:b w:val="0"/>
        </w:rPr>
        <w:t>efforts pour promouvoir l</w:t>
      </w:r>
      <w:r w:rsidR="00C93212">
        <w:rPr>
          <w:b w:val="0"/>
        </w:rPr>
        <w:t>’</w:t>
      </w:r>
      <w:r>
        <w:rPr>
          <w:b w:val="0"/>
        </w:rPr>
        <w:t>égalité des genres et l</w:t>
      </w:r>
      <w:r w:rsidR="00C93212">
        <w:rPr>
          <w:b w:val="0"/>
        </w:rPr>
        <w:t>’</w:t>
      </w:r>
      <w:r>
        <w:rPr>
          <w:b w:val="0"/>
        </w:rPr>
        <w:t xml:space="preserve">inclusion à tous les stades de la sauvegarde, tout en favorisant une compréhension plus large des rôles </w:t>
      </w:r>
      <w:r w:rsidR="00CB682D">
        <w:rPr>
          <w:b w:val="0"/>
        </w:rPr>
        <w:t>de</w:t>
      </w:r>
      <w:r w:rsidR="00CC39A4">
        <w:rPr>
          <w:b w:val="0"/>
        </w:rPr>
        <w:t>s</w:t>
      </w:r>
      <w:r w:rsidR="00CB682D">
        <w:rPr>
          <w:b w:val="0"/>
        </w:rPr>
        <w:t xml:space="preserve"> genre</w:t>
      </w:r>
      <w:r>
        <w:rPr>
          <w:b w:val="0"/>
        </w:rPr>
        <w:t>, au-delà de la participation visible à la mise en œuvre des pratiques du patrimoine vivant ;</w:t>
      </w:r>
    </w:p>
    <w:p w14:paraId="7745E638" w14:textId="67869D27" w:rsidR="002D6C31" w:rsidRDefault="002D6C31" w:rsidP="002D6C31">
      <w:pPr>
        <w:pStyle w:val="COMTitleDecision"/>
        <w:keepNext w:val="0"/>
        <w:widowControl w:val="0"/>
        <w:numPr>
          <w:ilvl w:val="0"/>
          <w:numId w:val="13"/>
        </w:numPr>
        <w:spacing w:before="120"/>
        <w:ind w:left="1134" w:hanging="595"/>
        <w:rPr>
          <w:b w:val="0"/>
          <w:bCs/>
        </w:rPr>
      </w:pPr>
      <w:r>
        <w:rPr>
          <w:b w:val="0"/>
          <w:u w:val="single"/>
        </w:rPr>
        <w:t>Encourage</w:t>
      </w:r>
      <w:r>
        <w:rPr>
          <w:b w:val="0"/>
        </w:rPr>
        <w:t xml:space="preserve"> la poursuite des efforts visant à mobiliser des ressources et à renforcer les synergies entre les mécanismes de financement publics et privés nationaux, régionaux et internationaux, tout en reconnaissant les contributions pertinentes apportées par le biais du mécanisme d</w:t>
      </w:r>
      <w:r w:rsidR="00C93212">
        <w:rPr>
          <w:b w:val="0"/>
        </w:rPr>
        <w:t>’</w:t>
      </w:r>
      <w:r>
        <w:rPr>
          <w:b w:val="0"/>
        </w:rPr>
        <w:t xml:space="preserve">assistance internationale pour la sauvegarde de nombreux éléments, et </w:t>
      </w:r>
      <w:r>
        <w:rPr>
          <w:b w:val="0"/>
          <w:u w:val="single"/>
        </w:rPr>
        <w:t>prend note</w:t>
      </w:r>
      <w:r>
        <w:rPr>
          <w:b w:val="0"/>
        </w:rPr>
        <w:t xml:space="preserve"> du fait que des stratégies de collecte de fonds coordonnées et diversifiées sont essentielles pour assurer la viabilité et l</w:t>
      </w:r>
      <w:r w:rsidR="00C93212">
        <w:rPr>
          <w:b w:val="0"/>
        </w:rPr>
        <w:t>’</w:t>
      </w:r>
      <w:r>
        <w:rPr>
          <w:b w:val="0"/>
        </w:rPr>
        <w:t>efficacité à long terme des plans et des mesures de sauvegarde ;</w:t>
      </w:r>
    </w:p>
    <w:p w14:paraId="551FE399" w14:textId="650B9E46" w:rsidR="00991507" w:rsidRPr="003B4DC7" w:rsidRDefault="00652DCC" w:rsidP="00AC1BC7">
      <w:pPr>
        <w:pStyle w:val="COMTitleDecision"/>
        <w:keepNext w:val="0"/>
        <w:widowControl w:val="0"/>
        <w:numPr>
          <w:ilvl w:val="0"/>
          <w:numId w:val="13"/>
        </w:numPr>
        <w:spacing w:before="120"/>
        <w:ind w:left="1134" w:hanging="595"/>
        <w:rPr>
          <w:b w:val="0"/>
          <w:bCs/>
        </w:rPr>
      </w:pPr>
      <w:r>
        <w:rPr>
          <w:b w:val="0"/>
          <w:u w:val="single"/>
        </w:rPr>
        <w:t>Exprime sa préoccupation</w:t>
      </w:r>
      <w:r>
        <w:rPr>
          <w:b w:val="0"/>
        </w:rPr>
        <w:t xml:space="preserve"> quant au fait que, dans certains cas, la mise en œuvre des mesures de sauvegarde a été sérieusement entravée ou perturbée par les conséquences de la pandémie de COVID-19 et des conflits armés, </w:t>
      </w:r>
      <w:r>
        <w:rPr>
          <w:b w:val="0"/>
          <w:u w:val="single"/>
        </w:rPr>
        <w:t>reconnaît</w:t>
      </w:r>
      <w:r>
        <w:rPr>
          <w:b w:val="0"/>
        </w:rPr>
        <w:t xml:space="preserve"> les défis considérables auxquels sont confrontés les États parties et les communautés pour assurer la viabilité du patrimoine vivant dans les situations d</w:t>
      </w:r>
      <w:r w:rsidR="00C93212">
        <w:rPr>
          <w:b w:val="0"/>
        </w:rPr>
        <w:t>’</w:t>
      </w:r>
      <w:r>
        <w:rPr>
          <w:b w:val="0"/>
        </w:rPr>
        <w:t xml:space="preserve">urgence, et </w:t>
      </w:r>
      <w:r>
        <w:rPr>
          <w:b w:val="0"/>
          <w:u w:val="single"/>
        </w:rPr>
        <w:t>souligne</w:t>
      </w:r>
      <w:r>
        <w:rPr>
          <w:b w:val="0"/>
        </w:rPr>
        <w:t xml:space="preserve"> l</w:t>
      </w:r>
      <w:r w:rsidR="00C93212">
        <w:rPr>
          <w:b w:val="0"/>
        </w:rPr>
        <w:t>’</w:t>
      </w:r>
      <w:r>
        <w:rPr>
          <w:b w:val="0"/>
        </w:rPr>
        <w:t>importance vitale d</w:t>
      </w:r>
      <w:r w:rsidR="00C93212">
        <w:rPr>
          <w:b w:val="0"/>
        </w:rPr>
        <w:t>’</w:t>
      </w:r>
      <w:r>
        <w:rPr>
          <w:b w:val="0"/>
        </w:rPr>
        <w:t>une coopération et d</w:t>
      </w:r>
      <w:r w:rsidR="00C93212">
        <w:rPr>
          <w:b w:val="0"/>
        </w:rPr>
        <w:t>’</w:t>
      </w:r>
      <w:r>
        <w:rPr>
          <w:b w:val="0"/>
        </w:rPr>
        <w:t>un soutien internationaux soutenus pour permettre les efforts de sauvegarde lorsque les conditions le permettent ;</w:t>
      </w:r>
    </w:p>
    <w:p w14:paraId="7E4C9A0C" w14:textId="7AF8A22D" w:rsidR="006441F6" w:rsidRPr="00E96786" w:rsidRDefault="006441F6" w:rsidP="00AC1BC7">
      <w:pPr>
        <w:pStyle w:val="COMTitleDecision"/>
        <w:keepNext w:val="0"/>
        <w:widowControl w:val="0"/>
        <w:numPr>
          <w:ilvl w:val="0"/>
          <w:numId w:val="13"/>
        </w:numPr>
        <w:spacing w:before="120"/>
        <w:ind w:left="1134" w:hanging="595"/>
        <w:rPr>
          <w:b w:val="0"/>
          <w:bCs/>
        </w:rPr>
      </w:pPr>
      <w:r>
        <w:rPr>
          <w:b w:val="0"/>
          <w:u w:val="single"/>
        </w:rPr>
        <w:t>Rappelle</w:t>
      </w:r>
      <w:r>
        <w:rPr>
          <w:b w:val="0"/>
        </w:rPr>
        <w:t xml:space="preserve"> que les termes utilisés dans les rapports soumis par les États parties n</w:t>
      </w:r>
      <w:r w:rsidR="00C93212">
        <w:rPr>
          <w:b w:val="0"/>
        </w:rPr>
        <w:t>’</w:t>
      </w:r>
      <w:r>
        <w:rPr>
          <w:b w:val="0"/>
        </w:rPr>
        <w:t xml:space="preserve">impliquent </w:t>
      </w:r>
      <w:r w:rsidR="00195D9B">
        <w:rPr>
          <w:b w:val="0"/>
        </w:rPr>
        <w:t>l</w:t>
      </w:r>
      <w:r w:rsidR="00C93212">
        <w:rPr>
          <w:b w:val="0"/>
        </w:rPr>
        <w:t>’</w:t>
      </w:r>
      <w:r w:rsidR="00195D9B">
        <w:rPr>
          <w:b w:val="0"/>
        </w:rPr>
        <w:t>expression d</w:t>
      </w:r>
      <w:r w:rsidR="00C93212">
        <w:rPr>
          <w:b w:val="0"/>
        </w:rPr>
        <w:t>’</w:t>
      </w:r>
      <w:r>
        <w:rPr>
          <w:b w:val="0"/>
        </w:rPr>
        <w:t>aucune opinion de la part du Comité ou de l</w:t>
      </w:r>
      <w:r w:rsidR="00C93212">
        <w:rPr>
          <w:b w:val="0"/>
        </w:rPr>
        <w:t>’</w:t>
      </w:r>
      <w:r>
        <w:rPr>
          <w:b w:val="0"/>
        </w:rPr>
        <w:t xml:space="preserve">UNESCO </w:t>
      </w:r>
      <w:r w:rsidR="00195D9B">
        <w:rPr>
          <w:b w:val="0"/>
        </w:rPr>
        <w:t>concernant</w:t>
      </w:r>
      <w:r>
        <w:rPr>
          <w:b w:val="0"/>
        </w:rPr>
        <w:t xml:space="preserve"> : (a) le statut juridique d</w:t>
      </w:r>
      <w:r w:rsidR="00195D9B">
        <w:rPr>
          <w:b w:val="0"/>
        </w:rPr>
        <w:t>e tout</w:t>
      </w:r>
      <w:r>
        <w:rPr>
          <w:b w:val="0"/>
        </w:rPr>
        <w:t xml:space="preserve"> pays, territoire, ville ou </w:t>
      </w:r>
      <w:r w:rsidR="00195D9B">
        <w:rPr>
          <w:b w:val="0"/>
        </w:rPr>
        <w:t>zone</w:t>
      </w:r>
      <w:r>
        <w:rPr>
          <w:b w:val="0"/>
        </w:rPr>
        <w:t xml:space="preserve"> ; (b) le statut juridique de ses autorités ; (c) la délimitation de ses frontières ou limites ; ou (d) des références à des événements historiques spécifiques ;</w:t>
      </w:r>
    </w:p>
    <w:p w14:paraId="5BBEA8D5" w14:textId="1D1AC264" w:rsidR="006441F6" w:rsidRPr="00E96786" w:rsidRDefault="006441F6" w:rsidP="00AC1BC7">
      <w:pPr>
        <w:pStyle w:val="COMTitleDecision"/>
        <w:keepNext w:val="0"/>
        <w:widowControl w:val="0"/>
        <w:numPr>
          <w:ilvl w:val="0"/>
          <w:numId w:val="13"/>
        </w:numPr>
        <w:spacing w:before="120"/>
        <w:ind w:left="1134" w:hanging="595"/>
        <w:rPr>
          <w:b w:val="0"/>
          <w:bCs/>
        </w:rPr>
      </w:pPr>
      <w:r>
        <w:rPr>
          <w:b w:val="0"/>
          <w:u w:val="single"/>
        </w:rPr>
        <w:t>Demande</w:t>
      </w:r>
      <w:r>
        <w:rPr>
          <w:b w:val="0"/>
        </w:rPr>
        <w:t xml:space="preserve"> au Secrétariat de prendre les mesures appropriées pour s</w:t>
      </w:r>
      <w:r w:rsidR="00C93212">
        <w:rPr>
          <w:b w:val="0"/>
        </w:rPr>
        <w:t>’</w:t>
      </w:r>
      <w:r>
        <w:rPr>
          <w:b w:val="0"/>
        </w:rPr>
        <w:t>assurer que les États parties rapporteurs sont dûment informés du calendrier de soumission de leurs prochains rapports, compte tenu de l</w:t>
      </w:r>
      <w:r w:rsidR="00C93212">
        <w:rPr>
          <w:b w:val="0"/>
        </w:rPr>
        <w:t>’</w:t>
      </w:r>
      <w:r>
        <w:rPr>
          <w:b w:val="0"/>
        </w:rPr>
        <w:t>évolution vers un système de soumission unique au niveau mondial pour les rapports périodiques, la première échéance étant fixée au 30 juin 2027 ;</w:t>
      </w:r>
    </w:p>
    <w:p w14:paraId="769647C7" w14:textId="7B144F3D" w:rsidR="0008298E" w:rsidRPr="00E96786" w:rsidRDefault="006441F6" w:rsidP="00AC1BC7">
      <w:pPr>
        <w:pStyle w:val="COMTitleDecision"/>
        <w:keepNext w:val="0"/>
        <w:widowControl w:val="0"/>
        <w:numPr>
          <w:ilvl w:val="0"/>
          <w:numId w:val="13"/>
        </w:numPr>
        <w:spacing w:before="120"/>
        <w:ind w:left="1134" w:hanging="595"/>
        <w:rPr>
          <w:b w:val="0"/>
          <w:bCs/>
        </w:rPr>
      </w:pPr>
      <w:r>
        <w:rPr>
          <w:b w:val="0"/>
          <w:u w:val="single"/>
        </w:rPr>
        <w:t>Décide</w:t>
      </w:r>
      <w:r>
        <w:rPr>
          <w:b w:val="0"/>
        </w:rPr>
        <w:t xml:space="preserve"> de soumettre pour examen à l</w:t>
      </w:r>
      <w:r w:rsidR="00C93212">
        <w:rPr>
          <w:b w:val="0"/>
        </w:rPr>
        <w:t>’</w:t>
      </w:r>
      <w:r>
        <w:rPr>
          <w:b w:val="0"/>
        </w:rPr>
        <w:t>Assemblée générale, à sa onzième session, un résumé des rapports soumis par les États parties sur l</w:t>
      </w:r>
      <w:r w:rsidR="00C93212">
        <w:rPr>
          <w:b w:val="0"/>
        </w:rPr>
        <w:t>’</w:t>
      </w:r>
      <w:r>
        <w:rPr>
          <w:b w:val="0"/>
        </w:rPr>
        <w:t>état actuel des éléments inscrits sur la Liste du patrimoine culturel immatériel nécessitant une sauvegarde urgente, examinés au cours de la présente session.</w:t>
      </w:r>
    </w:p>
    <w:p w14:paraId="7967FBDE" w14:textId="77777777" w:rsidR="0008298E" w:rsidRPr="00E96786" w:rsidRDefault="0008298E" w:rsidP="00FA30A9">
      <w:pPr>
        <w:rPr>
          <w:rFonts w:ascii="Arial" w:hAnsi="Arial" w:cs="Arial"/>
          <w:bCs/>
          <w:sz w:val="22"/>
          <w:szCs w:val="22"/>
        </w:rPr>
      </w:pPr>
      <w:r>
        <w:br w:type="page"/>
      </w:r>
    </w:p>
    <w:p w14:paraId="38B5CE94" w14:textId="7C0EF45F" w:rsidR="00C01DC2" w:rsidRPr="00FA30A9" w:rsidRDefault="00A26AE0" w:rsidP="00FA30A9">
      <w:pPr>
        <w:pStyle w:val="ListParagraph"/>
        <w:numPr>
          <w:ilvl w:val="0"/>
          <w:numId w:val="131"/>
        </w:numPr>
        <w:spacing w:after="240"/>
        <w:ind w:left="567" w:hanging="567"/>
        <w:contextualSpacing w:val="0"/>
        <w:rPr>
          <w:rFonts w:ascii="Arial" w:hAnsi="Arial" w:cs="Arial"/>
          <w:b/>
          <w:sz w:val="22"/>
          <w:szCs w:val="22"/>
        </w:rPr>
      </w:pPr>
      <w:r w:rsidRPr="00C93212">
        <w:rPr>
          <w:rFonts w:ascii="Arial" w:hAnsi="Arial" w:cs="Arial"/>
          <w:b/>
          <w:sz w:val="22"/>
          <w:szCs w:val="22"/>
        </w:rPr>
        <w:t>Évaluations</w:t>
      </w:r>
      <w:r w:rsidRPr="00FA30A9">
        <w:rPr>
          <w:rFonts w:ascii="Arial" w:hAnsi="Arial" w:cs="Arial"/>
          <w:b/>
          <w:sz w:val="22"/>
          <w:szCs w:val="22"/>
        </w:rPr>
        <w:t xml:space="preserve"> des premiers rapports et projets de décision</w:t>
      </w:r>
    </w:p>
    <w:p w14:paraId="05E24945" w14:textId="11A670F3" w:rsidR="00D31B01" w:rsidRPr="00E96786" w:rsidRDefault="00A80F0D" w:rsidP="00883456">
      <w:pPr>
        <w:pStyle w:val="COMPara"/>
        <w:numPr>
          <w:ilvl w:val="0"/>
          <w:numId w:val="0"/>
        </w:numPr>
        <w:ind w:left="567"/>
        <w:jc w:val="both"/>
        <w:rPr>
          <w:color w:val="000000"/>
        </w:rPr>
      </w:pPr>
      <w:r>
        <w:rPr>
          <w:b/>
        </w:rPr>
        <w:t xml:space="preserve">Colombie </w:t>
      </w:r>
      <w:r>
        <w:rPr>
          <w:b/>
          <w:color w:val="000000"/>
        </w:rPr>
        <w:t xml:space="preserve">: Les connaissances et techniques traditionnelles associées au vernis de Pasto mopa-mopa de Putumayo et Nariño </w:t>
      </w:r>
      <w:r>
        <w:rPr>
          <w:i/>
          <w:color w:val="000000"/>
        </w:rPr>
        <w:t xml:space="preserve">(voir </w:t>
      </w:r>
      <w:r w:rsidRPr="003B7315">
        <w:rPr>
          <w:i/>
          <w:color w:val="000000"/>
        </w:rPr>
        <w:t xml:space="preserve">le </w:t>
      </w:r>
      <w:hyperlink r:id="rId26" w:history="1">
        <w:r w:rsidRPr="003B7315">
          <w:rPr>
            <w:rStyle w:val="Hyperlink"/>
            <w:i/>
          </w:rPr>
          <w:t>rapport</w:t>
        </w:r>
      </w:hyperlink>
      <w:r>
        <w:rPr>
          <w:color w:val="000000"/>
        </w:rPr>
        <w:t>)</w:t>
      </w:r>
    </w:p>
    <w:p w14:paraId="2E15AE44" w14:textId="630FFC6B" w:rsidR="00883456" w:rsidRPr="00173229" w:rsidRDefault="00883456" w:rsidP="00592ACB">
      <w:pPr>
        <w:pStyle w:val="COMPara"/>
        <w:numPr>
          <w:ilvl w:val="0"/>
          <w:numId w:val="9"/>
        </w:numPr>
        <w:ind w:left="567" w:hanging="567"/>
        <w:jc w:val="both"/>
        <w:rPr>
          <w:shd w:val="clear" w:color="auto" w:fill="FFFFFF"/>
        </w:rPr>
      </w:pPr>
      <w:r>
        <w:rPr>
          <w:shd w:val="clear" w:color="auto" w:fill="FFFFFF"/>
        </w:rPr>
        <w:t xml:space="preserve">Les connaissances et techniques traditionnelles associées au vernis de Pasto mopa-mopa et Narino de </w:t>
      </w:r>
      <w:r>
        <w:t>Putumayo</w:t>
      </w:r>
      <w:r>
        <w:rPr>
          <w:shd w:val="clear" w:color="auto" w:fill="FFFFFF"/>
        </w:rPr>
        <w:t xml:space="preserve"> englobent trois métiers traditionnels : la récolte, </w:t>
      </w:r>
      <w:r w:rsidR="008D14C1">
        <w:rPr>
          <w:shd w:val="clear" w:color="auto" w:fill="FFFFFF"/>
        </w:rPr>
        <w:t>la menuiserie</w:t>
      </w:r>
      <w:r>
        <w:rPr>
          <w:shd w:val="clear" w:color="auto" w:fill="FFFFFF"/>
        </w:rPr>
        <w:t xml:space="preserve"> et le vernissage décoratif. La pratique consiste à récolter les fleurs de l</w:t>
      </w:r>
      <w:r w:rsidR="00C93212">
        <w:rPr>
          <w:shd w:val="clear" w:color="auto" w:fill="FFFFFF"/>
        </w:rPr>
        <w:t>’</w:t>
      </w:r>
      <w:r>
        <w:rPr>
          <w:shd w:val="clear" w:color="auto" w:fill="FFFFFF"/>
        </w:rPr>
        <w:t>arbre mopa-mopa dans les jungles de Putumayo et à réaliser des travaux de menuiserie, de tournage et de sculpture dans le département de Nariño. Les objets artisanaux sont ensuite décorés à l</w:t>
      </w:r>
      <w:r w:rsidR="00C93212">
        <w:rPr>
          <w:shd w:val="clear" w:color="auto" w:fill="FFFFFF"/>
        </w:rPr>
        <w:t>’</w:t>
      </w:r>
      <w:r>
        <w:rPr>
          <w:shd w:val="clear" w:color="auto" w:fill="FFFFFF"/>
        </w:rPr>
        <w:t>aide d</w:t>
      </w:r>
      <w:r w:rsidR="00C93212">
        <w:rPr>
          <w:shd w:val="clear" w:color="auto" w:fill="FFFFFF"/>
        </w:rPr>
        <w:t>’</w:t>
      </w:r>
      <w:r>
        <w:rPr>
          <w:shd w:val="clear" w:color="auto" w:fill="FFFFFF"/>
        </w:rPr>
        <w:t xml:space="preserve">un vernis fabriqué à partir de la résine du mopa-mopa. Le savoir-faire associé à cette tradition est transmis par les praticiens et les </w:t>
      </w:r>
      <w:r w:rsidR="000C1B3E">
        <w:rPr>
          <w:shd w:val="clear" w:color="auto" w:fill="FFFFFF"/>
        </w:rPr>
        <w:t>détenteurs</w:t>
      </w:r>
      <w:r>
        <w:rPr>
          <w:shd w:val="clear" w:color="auto" w:fill="FFFFFF"/>
        </w:rPr>
        <w:t xml:space="preserve"> principalement au sein des familles, par voie orale, ainsi que par le biais de l</w:t>
      </w:r>
      <w:r w:rsidR="00C93212">
        <w:rPr>
          <w:shd w:val="clear" w:color="auto" w:fill="FFFFFF"/>
        </w:rPr>
        <w:t>’</w:t>
      </w:r>
      <w:r>
        <w:rPr>
          <w:shd w:val="clear" w:color="auto" w:fill="FFFFFF"/>
        </w:rPr>
        <w:t>observation et de la mise en pratique.</w:t>
      </w:r>
    </w:p>
    <w:p w14:paraId="10CB3B73" w14:textId="10330470" w:rsidR="00883456" w:rsidRPr="00E96786" w:rsidRDefault="00883456" w:rsidP="00592ACB">
      <w:pPr>
        <w:pStyle w:val="COMPara"/>
        <w:numPr>
          <w:ilvl w:val="0"/>
          <w:numId w:val="9"/>
        </w:numPr>
        <w:ind w:left="567" w:hanging="567"/>
        <w:jc w:val="both"/>
        <w:rPr>
          <w:bCs/>
        </w:rPr>
      </w:pPr>
      <w:r>
        <w:t>L</w:t>
      </w:r>
      <w:r w:rsidR="00C93212">
        <w:t>’</w:t>
      </w:r>
      <w:r>
        <w:t>élément a été inscrit sur la Liste de sauvegarde urgente en 2020, et il s</w:t>
      </w:r>
      <w:r w:rsidR="00C93212">
        <w:t>’</w:t>
      </w:r>
      <w:r>
        <w:t>agit du premier rapport soumis par l</w:t>
      </w:r>
      <w:r w:rsidR="00C93212">
        <w:t>’</w:t>
      </w:r>
      <w:r>
        <w:t xml:space="preserve">État partie concernant son statut. Une assistance internationale a été accordée par le Bureau de la dix-septième session du Comité (décision </w:t>
      </w:r>
      <w:hyperlink r:id="rId27" w:history="1">
        <w:r>
          <w:rPr>
            <w:rStyle w:val="Hyperlink"/>
          </w:rPr>
          <w:t>17.COM 1.BUR 3</w:t>
        </w:r>
      </w:hyperlink>
      <w:r>
        <w:t>) pour sauvegarder l</w:t>
      </w:r>
      <w:r w:rsidR="00C93212">
        <w:t>’</w:t>
      </w:r>
      <w:r>
        <w:t xml:space="preserve">élément, à travers le projet </w:t>
      </w:r>
      <w:hyperlink r:id="rId28" w:history="1">
        <w:r>
          <w:rPr>
            <w:rStyle w:val="Hyperlink"/>
          </w:rPr>
          <w:t>« Entre l</w:t>
        </w:r>
        <w:r w:rsidR="00C93212">
          <w:rPr>
            <w:rStyle w:val="Hyperlink"/>
          </w:rPr>
          <w:t>’</w:t>
        </w:r>
        <w:r>
          <w:rPr>
            <w:rStyle w:val="Hyperlink"/>
          </w:rPr>
          <w:t>Amazonie et les Andes : sauvegarde et transmission des connaissances et techniques traditionnelles associées au vernis de Pasto mopa-mopa des départements colombiens de Putumayo et Nariño »,</w:t>
        </w:r>
      </w:hyperlink>
      <w:r w:rsidR="008D14C1">
        <w:t xml:space="preserve"> </w:t>
      </w:r>
      <w:r>
        <w:t>mis en œuvre entre août 2022 et avril 2024.</w:t>
      </w:r>
    </w:p>
    <w:p w14:paraId="5FB46EF6" w14:textId="416ABA12" w:rsidR="00883456" w:rsidRPr="00E96786" w:rsidRDefault="00883456" w:rsidP="00592ACB">
      <w:pPr>
        <w:pStyle w:val="COMPara"/>
        <w:numPr>
          <w:ilvl w:val="0"/>
          <w:numId w:val="9"/>
        </w:numPr>
        <w:ind w:left="567" w:hanging="567"/>
        <w:jc w:val="both"/>
        <w:rPr>
          <w:bCs/>
        </w:rPr>
      </w:pPr>
      <w:r>
        <w:rPr>
          <w:b/>
        </w:rPr>
        <w:t xml:space="preserve">Efficacité du plan de sauvegarde. </w:t>
      </w:r>
      <w:r>
        <w:t>Comme indiqué, les activités menées dans le cadre du plan de sauvegarde ont renforcé la viabilité de l</w:t>
      </w:r>
      <w:r w:rsidR="00C93212">
        <w:t>’</w:t>
      </w:r>
      <w:r>
        <w:t>élément, bien que des défis et des menaces critiques persistent, tels que la pénurie de mopa-mopa et de bois due à la déforestation et au changement climatique. L</w:t>
      </w:r>
      <w:r w:rsidR="00C93212">
        <w:t>’</w:t>
      </w:r>
      <w:r>
        <w:t>utilisation de nouveaux matériaux pour l</w:t>
      </w:r>
      <w:r w:rsidR="00C93212">
        <w:t>’</w:t>
      </w:r>
      <w:r>
        <w:t>application de vernis a été explorée, tandis que des efforts supplémentaires sont nécessaires pour protéger, cultiver et gérer durablement les ressources naturelles. Les activités de renforcement des capacités et la mise en œuvre de programmes d</w:t>
      </w:r>
      <w:r w:rsidR="00C93212">
        <w:t>’</w:t>
      </w:r>
      <w:r>
        <w:t>apprentissage ont entraîné une augmentation significative du nombre de praticiens, qui est passé de 55 à 110, la majorité des nouveaux praticiens étant des femmes. Les praticiens ont bénéficié d</w:t>
      </w:r>
      <w:r w:rsidR="00C93212">
        <w:t>’</w:t>
      </w:r>
      <w:r>
        <w:t>une amélioration de leurs conditions de travail, notamment grâce à un meilleur accès aux sites de récolte, à l</w:t>
      </w:r>
      <w:r w:rsidR="00C93212">
        <w:t>’</w:t>
      </w:r>
      <w:r>
        <w:t>installation de cabanes et de tuyaux de transport de l</w:t>
      </w:r>
      <w:r w:rsidR="00C93212">
        <w:t>’</w:t>
      </w:r>
      <w:r>
        <w:t>eau pour les collecteurs, et à l</w:t>
      </w:r>
      <w:r w:rsidR="00C93212">
        <w:t>’</w:t>
      </w:r>
      <w:r>
        <w:t>amélioration de certains ateliers domestiques des maîtres vernisseurs. Néanmoins, de nombreux ateliers doivent encore être améliorés, notamment ceux des artisans du bois. Diverses universités et institutions ont contribué à la recherche et à la documentation, ce qui a permis de créer un registre virtuel d</w:t>
      </w:r>
      <w:r w:rsidR="00C93212">
        <w:t>’</w:t>
      </w:r>
      <w:r>
        <w:t>études, qui fera partie d</w:t>
      </w:r>
      <w:r w:rsidR="00C93212">
        <w:t>’</w:t>
      </w:r>
      <w:r>
        <w:t>un centre de documentation en projet. Des réunions et des expositions régulières, ainsi que la production et la diffusion de matériel de sensibilisation, ont permis de mieux faire connaître et apprécier le patrimoine vivant. Les activités de sauvegarde ont été mises en œuvre grâce aux contributions en nature des communautés et au soutien du ministère de la Culture, des gouvernements locaux, de la fondation Mundo Espiral (une ONG accréditée) et du Fonds du patrimoine culturel immatériel.</w:t>
      </w:r>
    </w:p>
    <w:p w14:paraId="2811B872" w14:textId="496944AA" w:rsidR="00883456" w:rsidRPr="00E96786" w:rsidRDefault="00883456" w:rsidP="00592ACB">
      <w:pPr>
        <w:pStyle w:val="COMPara"/>
        <w:numPr>
          <w:ilvl w:val="0"/>
          <w:numId w:val="9"/>
        </w:numPr>
        <w:ind w:left="567" w:hanging="567"/>
        <w:jc w:val="both"/>
      </w:pPr>
      <w:r>
        <w:rPr>
          <w:b/>
        </w:rPr>
        <w:t>Participation de la communauté.</w:t>
      </w:r>
      <w:r>
        <w:t xml:space="preserve"> Selon le rapport, le dialogue et la collaboration entre les praticiens (récolteurs, </w:t>
      </w:r>
      <w:r w:rsidR="008D14C1">
        <w:t>menuisiers</w:t>
      </w:r>
      <w:r>
        <w:t xml:space="preserve"> et vernisseurs) ont considérablement augmenté au cours de la période </w:t>
      </w:r>
      <w:r w:rsidR="00F72B47">
        <w:t>couverte par le rapport</w:t>
      </w:r>
      <w:r>
        <w:t>. Les hommes et les femmes ont participé de manière égale aux activités de sauvegarde, qu</w:t>
      </w:r>
      <w:r w:rsidR="00C93212">
        <w:t>’</w:t>
      </w:r>
      <w:r>
        <w:t xml:space="preserve">ils perçoivent comme des </w:t>
      </w:r>
      <w:r>
        <w:rPr>
          <w:color w:val="212121"/>
          <w:shd w:val="clear" w:color="auto" w:fill="FFFFFF"/>
        </w:rPr>
        <w:t>opportunités</w:t>
      </w:r>
      <w:r>
        <w:t xml:space="preserve"> d</w:t>
      </w:r>
      <w:r w:rsidR="00C93212">
        <w:t>’</w:t>
      </w:r>
      <w:r>
        <w:t xml:space="preserve">améliorer la commercialisation de leur travail et, par conséquent, leurs revenus et leur qualité de vie. Les rôles </w:t>
      </w:r>
      <w:r w:rsidR="00B40138">
        <w:t xml:space="preserve">de genre </w:t>
      </w:r>
      <w:r>
        <w:t>se sont diversifiés,</w:t>
      </w:r>
      <w:r w:rsidR="00B40138">
        <w:t xml:space="preserve"> avec</w:t>
      </w:r>
      <w:r>
        <w:t xml:space="preserve"> 70 % des nouveaux praticiens étant de sexe féminin. Certaines femmes ont également assumé des rôles de leadership parmi les récolteurs et les vernisseurs. Elles ont commencé à expérimenter de nouveaux matériaux tels que le cuir et le tissu, ce qui a donné lieu à des innovations notables en matière de design et de couleurs. L</w:t>
      </w:r>
      <w:r w:rsidR="00C93212">
        <w:t>’</w:t>
      </w:r>
      <w:r>
        <w:t>efficacité des activités de sauvegarde a été évaluée par le biais d</w:t>
      </w:r>
      <w:r w:rsidR="00C93212">
        <w:t>’</w:t>
      </w:r>
      <w:r>
        <w:t>un processus de consultation participatif avec les praticiens et les</w:t>
      </w:r>
      <w:r w:rsidR="00CC39A4">
        <w:t xml:space="preserve"> </w:t>
      </w:r>
      <w:r w:rsidR="000C1B3E">
        <w:t>détenteurs</w:t>
      </w:r>
      <w:r>
        <w:t>. Les résultats ont été inclus dans le rapport périodique et ont contribué à l</w:t>
      </w:r>
      <w:r w:rsidR="00C93212">
        <w:t>’</w:t>
      </w:r>
      <w:r>
        <w:t>élaboration du plan de sauvegarde actualisé. Alors que la Fondation Mundo Espiral est impliquée dans la sauvegarde de l</w:t>
      </w:r>
      <w:r w:rsidR="00C93212">
        <w:t>’</w:t>
      </w:r>
      <w:r>
        <w:t>élément depuis 2012, d</w:t>
      </w:r>
      <w:r w:rsidR="00C93212">
        <w:t>’</w:t>
      </w:r>
      <w:r>
        <w:t xml:space="preserve">autres organisations ont été créées au cours de la </w:t>
      </w:r>
      <w:bookmarkStart w:id="16" w:name="_Hlk211868576"/>
      <w:r>
        <w:t xml:space="preserve">période </w:t>
      </w:r>
      <w:r w:rsidR="00B40138">
        <w:t xml:space="preserve">couverte par le rapport </w:t>
      </w:r>
      <w:bookmarkEnd w:id="16"/>
      <w:r>
        <w:t>pour faciliter la commercialisation des matières premières et de l</w:t>
      </w:r>
      <w:r w:rsidR="00C93212">
        <w:t>’</w:t>
      </w:r>
      <w:r>
        <w:t>artisanat. Cependant, certains praticiens ne souhaitent pas être représentés par ces organisations et préfèrent rester indépendants.</w:t>
      </w:r>
    </w:p>
    <w:p w14:paraId="4ADDC887" w14:textId="1F70B2CC" w:rsidR="00883456" w:rsidRPr="00E96786" w:rsidRDefault="00883456" w:rsidP="00592ACB">
      <w:pPr>
        <w:pStyle w:val="COMPara"/>
        <w:numPr>
          <w:ilvl w:val="0"/>
          <w:numId w:val="9"/>
        </w:numPr>
        <w:ind w:left="567" w:hanging="567"/>
        <w:jc w:val="both"/>
      </w:pPr>
      <w:r>
        <w:rPr>
          <w:b/>
        </w:rPr>
        <w:t>Viabilité et risques actuels.</w:t>
      </w:r>
      <w:r>
        <w:t xml:space="preserve"> Selon le rapport, la viabilité de l</w:t>
      </w:r>
      <w:r w:rsidR="00C93212">
        <w:t>’</w:t>
      </w:r>
      <w:r>
        <w:t>élément a été considérablement renforcée. Deux menaces majeures subsistent toutefois. Tout d</w:t>
      </w:r>
      <w:r w:rsidR="00C93212">
        <w:t>’</w:t>
      </w:r>
      <w:r>
        <w:t xml:space="preserve">abord, </w:t>
      </w:r>
      <w:r>
        <w:rPr>
          <w:shd w:val="clear" w:color="auto" w:fill="FFFFFF"/>
        </w:rPr>
        <w:t>la rareté du mopa-mopa et du bois due à la déforestation et au changement climatique menace toujours la durabilité de la pratique.</w:t>
      </w:r>
      <w:r>
        <w:t xml:space="preserve"> Les stratégies d</w:t>
      </w:r>
      <w:r w:rsidR="00C93212">
        <w:t>’</w:t>
      </w:r>
      <w:r>
        <w:t>atténuation et d</w:t>
      </w:r>
      <w:r w:rsidR="00C93212">
        <w:t>’</w:t>
      </w:r>
      <w:r>
        <w:t>adaptation requises ont conduit, par exemple, à l</w:t>
      </w:r>
      <w:r w:rsidR="00C93212">
        <w:t>’</w:t>
      </w:r>
      <w:r>
        <w:t>exploration de nouveaux matériaux pour l</w:t>
      </w:r>
      <w:r w:rsidR="00C93212">
        <w:t>’</w:t>
      </w:r>
      <w:r>
        <w:t>application de vernis et à la réhabilitation des plantes après les incendies. Deuxièmement, l</w:t>
      </w:r>
      <w:r w:rsidR="00C93212">
        <w:t>’</w:t>
      </w:r>
      <w:r>
        <w:t>inadéquation de la structure de commercialisation et l</w:t>
      </w:r>
      <w:r w:rsidR="00C93212">
        <w:t>’</w:t>
      </w:r>
      <w:r>
        <w:t xml:space="preserve">introduction de nouvelles technologies ont entraîné la nécessité </w:t>
      </w:r>
      <w:r w:rsidR="00075C4E">
        <w:t xml:space="preserve">de </w:t>
      </w:r>
      <w:r>
        <w:t>formation</w:t>
      </w:r>
      <w:r w:rsidR="00075C4E">
        <w:t>s</w:t>
      </w:r>
      <w:r>
        <w:t xml:space="preserve"> supplémentaire</w:t>
      </w:r>
      <w:r w:rsidR="00075C4E">
        <w:t>s</w:t>
      </w:r>
      <w:r>
        <w:t xml:space="preserve"> pour soutenir l</w:t>
      </w:r>
      <w:r w:rsidR="00C93212">
        <w:t>’</w:t>
      </w:r>
      <w:r>
        <w:t xml:space="preserve">entrepreneuriat culturel. </w:t>
      </w:r>
    </w:p>
    <w:p w14:paraId="3962B816" w14:textId="2CC731E0" w:rsidR="00883456" w:rsidRPr="00E96786" w:rsidRDefault="00883456" w:rsidP="00592ACB">
      <w:pPr>
        <w:pStyle w:val="COMPara"/>
        <w:numPr>
          <w:ilvl w:val="0"/>
          <w:numId w:val="9"/>
        </w:numPr>
        <w:ind w:left="567" w:hanging="567"/>
        <w:jc w:val="both"/>
      </w:pPr>
      <w:r>
        <w:t>Le plan de sauvegarde actualisé conserve les principaux objectifs du plan précédent, en privilégiant les actions suivantes : (a) renforcer l</w:t>
      </w:r>
      <w:r w:rsidR="00C93212">
        <w:t>’</w:t>
      </w:r>
      <w:r>
        <w:t>esprit d</w:t>
      </w:r>
      <w:r w:rsidR="00C93212">
        <w:t>’</w:t>
      </w:r>
      <w:r>
        <w:t xml:space="preserve">entreprise dans le domaine culturel ; et (b) améliorer les sources de revenus des </w:t>
      </w:r>
      <w:r w:rsidR="000C1B3E">
        <w:t>détenteurs</w:t>
      </w:r>
      <w:r w:rsidR="00CC39A4">
        <w:t xml:space="preserve"> </w:t>
      </w:r>
      <w:r>
        <w:t xml:space="preserve">et des praticiens. Il prévoit la mise en œuvre de plusieurs activités de renforcement des capacités et de </w:t>
      </w:r>
      <w:r>
        <w:rPr>
          <w:color w:val="212121"/>
          <w:shd w:val="clear" w:color="auto" w:fill="FFFFFF"/>
        </w:rPr>
        <w:t>programmes de</w:t>
      </w:r>
      <w:r>
        <w:t xml:space="preserve"> formation, notamment dans les domaines du marketing, de la comptabilité ainsi que dans le domaine linguistique, afin d</w:t>
      </w:r>
      <w:r w:rsidR="00C93212">
        <w:t>’</w:t>
      </w:r>
      <w:r>
        <w:t>améliorer l</w:t>
      </w:r>
      <w:r w:rsidR="00C93212">
        <w:t>’</w:t>
      </w:r>
      <w:r>
        <w:t>efficacité commerciale, d</w:t>
      </w:r>
      <w:r w:rsidR="00C93212">
        <w:t>’</w:t>
      </w:r>
      <w:r>
        <w:t xml:space="preserve">élargir les marchés et de renforcer la commercialisation du vernis Pasto. Les praticiens et les </w:t>
      </w:r>
      <w:r w:rsidR="000C1B3E">
        <w:t>détenteurs</w:t>
      </w:r>
      <w:r w:rsidR="00CC39A4">
        <w:t xml:space="preserve"> </w:t>
      </w:r>
      <w:r>
        <w:t>de projet ont également proposé d</w:t>
      </w:r>
      <w:r w:rsidR="00C93212">
        <w:t>’</w:t>
      </w:r>
      <w:r>
        <w:t>organiser des réunions annuelles des parties prenantes, d</w:t>
      </w:r>
      <w:r w:rsidR="00C93212">
        <w:t>’</w:t>
      </w:r>
      <w:r>
        <w:t>élaborer un plan de gestion du tourisme et de renforcer les protections juridiques. Le gouvernement continuera à soutenir les efforts de sauvegarde par le biais de divers programmes de financement, notamment via les fonds récoltés grâce à la taxe nationale sur la consommation. Compte tenu de la portée ambitieuse du plan de sauvegarde actualisé, l</w:t>
      </w:r>
      <w:r w:rsidR="00C93212">
        <w:t>’</w:t>
      </w:r>
      <w:r>
        <w:t>obtention de ressources financières suffisantes peut constituer un défi pour assurer sa mise en œuvre efficace et en temps voulu.</w:t>
      </w:r>
    </w:p>
    <w:p w14:paraId="1B3D040E" w14:textId="6BFE720E" w:rsidR="00883456" w:rsidRPr="00E96786" w:rsidRDefault="00883456" w:rsidP="00592ACB">
      <w:pPr>
        <w:pStyle w:val="COMPara"/>
        <w:numPr>
          <w:ilvl w:val="0"/>
          <w:numId w:val="9"/>
        </w:numPr>
        <w:ind w:left="567" w:hanging="567"/>
        <w:jc w:val="both"/>
      </w:pPr>
      <w:r>
        <w:t xml:space="preserve">Le </w:t>
      </w:r>
      <w:r>
        <w:rPr>
          <w:color w:val="212121"/>
          <w:shd w:val="clear" w:color="auto" w:fill="FFFFFF"/>
        </w:rPr>
        <w:t>Comité</w:t>
      </w:r>
      <w:r>
        <w:t xml:space="preserve"> souhaitera peut-être adopter la décision suivante :</w:t>
      </w:r>
    </w:p>
    <w:p w14:paraId="0ED13B52" w14:textId="076AF4EE" w:rsidR="00883456" w:rsidRPr="00E96786" w:rsidRDefault="00883456" w:rsidP="00592ACB">
      <w:pPr>
        <w:pStyle w:val="Heading4"/>
        <w:numPr>
          <w:ilvl w:val="0"/>
          <w:numId w:val="0"/>
        </w:numPr>
        <w:tabs>
          <w:tab w:val="clear" w:pos="567"/>
        </w:tabs>
        <w:spacing w:before="240"/>
        <w:ind w:left="567"/>
        <w:rPr>
          <w:rFonts w:eastAsia="SimSun"/>
          <w:szCs w:val="22"/>
        </w:rPr>
      </w:pPr>
      <w:bookmarkStart w:id="17" w:name="_DRAFT_DECISION_20.COM"/>
      <w:bookmarkStart w:id="18" w:name="Heading"/>
      <w:bookmarkEnd w:id="17"/>
      <w:r>
        <w:t xml:space="preserve">PROJET DE DÉCISION </w:t>
      </w:r>
      <w:bookmarkStart w:id="19" w:name="Table"/>
      <w:r>
        <w:t>20.COM 6.a.1</w:t>
      </w:r>
      <w:bookmarkEnd w:id="18"/>
      <w:bookmarkEnd w:id="19"/>
    </w:p>
    <w:p w14:paraId="0BDD6F0A" w14:textId="77777777" w:rsidR="00883456" w:rsidRPr="00E96786" w:rsidRDefault="00883456" w:rsidP="00A87ACF">
      <w:pPr>
        <w:pStyle w:val="Para"/>
        <w:keepNext/>
        <w:numPr>
          <w:ilvl w:val="0"/>
          <w:numId w:val="0"/>
        </w:numPr>
        <w:tabs>
          <w:tab w:val="left" w:pos="1134"/>
        </w:tabs>
        <w:spacing w:line="240" w:lineRule="auto"/>
        <w:ind w:left="567"/>
        <w:rPr>
          <w:rFonts w:cs="Arial"/>
          <w:sz w:val="22"/>
          <w:szCs w:val="22"/>
        </w:rPr>
      </w:pPr>
      <w:r>
        <w:rPr>
          <w:sz w:val="22"/>
        </w:rPr>
        <w:t>Le Comité,</w:t>
      </w:r>
    </w:p>
    <w:p w14:paraId="48F99997" w14:textId="2D944949" w:rsidR="00883456" w:rsidRPr="00FC0C78" w:rsidRDefault="00883456" w:rsidP="004D2E83">
      <w:pPr>
        <w:pStyle w:val="Para"/>
        <w:numPr>
          <w:ilvl w:val="0"/>
          <w:numId w:val="15"/>
        </w:numPr>
        <w:tabs>
          <w:tab w:val="left" w:pos="1134"/>
        </w:tabs>
        <w:spacing w:line="240" w:lineRule="auto"/>
        <w:ind w:left="1170" w:hanging="630"/>
        <w:rPr>
          <w:rFonts w:cs="Arial"/>
          <w:sz w:val="22"/>
          <w:szCs w:val="22"/>
        </w:rPr>
      </w:pPr>
      <w:r>
        <w:rPr>
          <w:sz w:val="22"/>
          <w:u w:val="single"/>
        </w:rPr>
        <w:t>Ayant examiné</w:t>
      </w:r>
      <w:r>
        <w:rPr>
          <w:sz w:val="22"/>
        </w:rPr>
        <w:t xml:space="preserve"> le document LHE/25/20.COM/6.a,</w:t>
      </w:r>
    </w:p>
    <w:p w14:paraId="2A861038" w14:textId="6CB27B41" w:rsidR="00883456" w:rsidRPr="00E96786"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Rappelant</w:t>
      </w:r>
      <w:r>
        <w:rPr>
          <w:sz w:val="22"/>
        </w:rPr>
        <w:t xml:space="preserve"> le chapitre V des Directives opérationnelles et sa </w:t>
      </w:r>
      <w:r w:rsidR="00A92B15">
        <w:rPr>
          <w:sz w:val="22"/>
        </w:rPr>
        <w:t>d</w:t>
      </w:r>
      <w:r>
        <w:rPr>
          <w:sz w:val="22"/>
        </w:rPr>
        <w:t xml:space="preserve">écision </w:t>
      </w:r>
      <w:hyperlink r:id="rId29" w:history="1">
        <w:r>
          <w:rPr>
            <w:rStyle w:val="Hyperlink"/>
            <w:sz w:val="22"/>
          </w:rPr>
          <w:t>15.COM 8.a.1</w:t>
        </w:r>
      </w:hyperlink>
      <w:r>
        <w:rPr>
          <w:sz w:val="22"/>
        </w:rPr>
        <w:t xml:space="preserve">, </w:t>
      </w:r>
    </w:p>
    <w:p w14:paraId="7429106E" w14:textId="3878A92B" w:rsidR="00883456" w:rsidRPr="00E96786"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Remercie</w:t>
      </w:r>
      <w:r>
        <w:rPr>
          <w:sz w:val="22"/>
        </w:rPr>
        <w:t xml:space="preserve"> la Colombie d</w:t>
      </w:r>
      <w:r w:rsidR="00C93212">
        <w:rPr>
          <w:sz w:val="22"/>
        </w:rPr>
        <w:t>’</w:t>
      </w:r>
      <w:r>
        <w:rPr>
          <w:sz w:val="22"/>
        </w:rPr>
        <w:t>avoir soumis, dans les délais, son premier rapport sur l</w:t>
      </w:r>
      <w:r w:rsidR="00C93212">
        <w:rPr>
          <w:sz w:val="22"/>
        </w:rPr>
        <w:t>’</w:t>
      </w:r>
      <w:r>
        <w:rPr>
          <w:sz w:val="22"/>
        </w:rPr>
        <w:t>état de l</w:t>
      </w:r>
      <w:r w:rsidR="00C93212">
        <w:rPr>
          <w:sz w:val="22"/>
        </w:rPr>
        <w:t>’</w:t>
      </w:r>
      <w:r>
        <w:rPr>
          <w:sz w:val="22"/>
        </w:rPr>
        <w:t>élément « Les connaissances et techniques traditionnelles associées au vernis de Pasto mopa-mopa de Putumayo et Nariño  », inscrit en 2020 sur la Liste du patrimoine culturel immatériel nécessitant une sauvegarde urgente ;</w:t>
      </w:r>
    </w:p>
    <w:p w14:paraId="66682EDD" w14:textId="5E8902EA" w:rsidR="00883456" w:rsidRPr="00E96786"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Prend note</w:t>
      </w:r>
      <w:r>
        <w:rPr>
          <w:sz w:val="22"/>
        </w:rPr>
        <w:t xml:space="preserve"> des efforts entrepris par l</w:t>
      </w:r>
      <w:r w:rsidR="00C93212">
        <w:rPr>
          <w:sz w:val="22"/>
        </w:rPr>
        <w:t>’</w:t>
      </w:r>
      <w:r>
        <w:rPr>
          <w:sz w:val="22"/>
        </w:rPr>
        <w:t>État partie pour sauvegarder l</w:t>
      </w:r>
      <w:r w:rsidR="00C93212">
        <w:rPr>
          <w:sz w:val="22"/>
        </w:rPr>
        <w:t>’</w:t>
      </w:r>
      <w:r>
        <w:rPr>
          <w:sz w:val="22"/>
        </w:rPr>
        <w:t>élément, notamment en améliorant sa transmission par le biais d</w:t>
      </w:r>
      <w:r w:rsidR="00C93212">
        <w:rPr>
          <w:sz w:val="22"/>
        </w:rPr>
        <w:t>’</w:t>
      </w:r>
      <w:r>
        <w:rPr>
          <w:sz w:val="22"/>
        </w:rPr>
        <w:t xml:space="preserve">initiatives de renforcement des capacités et de programmes de formation nouvellement établis, en améliorant les conditions de travail des praticiens et des </w:t>
      </w:r>
      <w:r w:rsidR="000C1B3E">
        <w:rPr>
          <w:sz w:val="22"/>
        </w:rPr>
        <w:t>détenteurs</w:t>
      </w:r>
      <w:r>
        <w:rPr>
          <w:sz w:val="22"/>
        </w:rPr>
        <w:t>, en augmentant la participation des praticiens hommes et femmes (accompagnée d</w:t>
      </w:r>
      <w:r w:rsidR="00C93212">
        <w:rPr>
          <w:sz w:val="22"/>
        </w:rPr>
        <w:t>’</w:t>
      </w:r>
      <w:r>
        <w:rPr>
          <w:sz w:val="22"/>
        </w:rPr>
        <w:t>une diversification de leurs rôles), en faisant progresser les activités de recherche et de documentation, en sensibilisant le public à l</w:t>
      </w:r>
      <w:r w:rsidR="00C93212">
        <w:rPr>
          <w:sz w:val="22"/>
        </w:rPr>
        <w:t>’</w:t>
      </w:r>
      <w:r>
        <w:rPr>
          <w:sz w:val="22"/>
        </w:rPr>
        <w:t>élément, et en renforçant sa visibilité et sa viabilité globale ;</w:t>
      </w:r>
    </w:p>
    <w:p w14:paraId="45DACB7F" w14:textId="2D49068B" w:rsidR="00883456" w:rsidRPr="00A5320D"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Prend en outre note</w:t>
      </w:r>
      <w:r>
        <w:rPr>
          <w:sz w:val="22"/>
        </w:rPr>
        <w:t xml:space="preserve"> de la forte participation communautaire rapportée, ainsi que de l</w:t>
      </w:r>
      <w:r w:rsidR="00C93212">
        <w:rPr>
          <w:sz w:val="22"/>
        </w:rPr>
        <w:t>’</w:t>
      </w:r>
      <w:r>
        <w:rPr>
          <w:sz w:val="22"/>
        </w:rPr>
        <w:t>engagement actif des femmes dans la sauvegarde, l</w:t>
      </w:r>
      <w:r w:rsidR="00C93212">
        <w:rPr>
          <w:sz w:val="22"/>
        </w:rPr>
        <w:t>’</w:t>
      </w:r>
      <w:r>
        <w:rPr>
          <w:sz w:val="22"/>
        </w:rPr>
        <w:t>innovation et les rôles de direction, renforçant ainsi la transmission des connaissances et promouvant l</w:t>
      </w:r>
      <w:r w:rsidR="00C93212">
        <w:rPr>
          <w:sz w:val="22"/>
        </w:rPr>
        <w:t>’</w:t>
      </w:r>
      <w:r>
        <w:rPr>
          <w:sz w:val="22"/>
        </w:rPr>
        <w:t>égalité des genres ;</w:t>
      </w:r>
    </w:p>
    <w:p w14:paraId="75BDA099" w14:textId="511DB64E" w:rsidR="00883456" w:rsidRPr="00E96786"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Encourage</w:t>
      </w:r>
      <w:r>
        <w:rPr>
          <w:sz w:val="22"/>
        </w:rPr>
        <w:t xml:space="preserve"> l</w:t>
      </w:r>
      <w:r w:rsidR="00C93212">
        <w:rPr>
          <w:sz w:val="22"/>
        </w:rPr>
        <w:t>’</w:t>
      </w:r>
      <w:r>
        <w:rPr>
          <w:sz w:val="22"/>
        </w:rPr>
        <w:t>État partie à poursuivre ses efforts pour protéger, cultiver et gérer durablement les ressources naturelles associées à l</w:t>
      </w:r>
      <w:r w:rsidR="00C93212">
        <w:rPr>
          <w:sz w:val="22"/>
        </w:rPr>
        <w:t>’</w:t>
      </w:r>
      <w:r>
        <w:rPr>
          <w:sz w:val="22"/>
        </w:rPr>
        <w:t xml:space="preserve">élément, à soutenir les praticiens et les </w:t>
      </w:r>
      <w:r w:rsidR="000C1B3E">
        <w:rPr>
          <w:sz w:val="22"/>
        </w:rPr>
        <w:t>détenteurs</w:t>
      </w:r>
      <w:r>
        <w:rPr>
          <w:sz w:val="22"/>
        </w:rPr>
        <w:t xml:space="preserve"> dans leur engagement en faveur de pratiques durables, de la préservation de la biodiversité et de la sauvegarde de leur patrimoine vivant (y compris en améliorant leurs moyens de subsistance et leurs conditions de travail), et à soutenir l</w:t>
      </w:r>
      <w:r w:rsidR="00C93212">
        <w:rPr>
          <w:sz w:val="22"/>
        </w:rPr>
        <w:t>’</w:t>
      </w:r>
      <w:r>
        <w:rPr>
          <w:sz w:val="22"/>
        </w:rPr>
        <w:t>engagement de diverses entités gouvernementales et non gouvernementales dans l</w:t>
      </w:r>
      <w:r w:rsidR="00C93212">
        <w:rPr>
          <w:sz w:val="22"/>
        </w:rPr>
        <w:t>’</w:t>
      </w:r>
      <w:r>
        <w:rPr>
          <w:sz w:val="22"/>
        </w:rPr>
        <w:t>amélioration de la viabilité de l</w:t>
      </w:r>
      <w:r w:rsidR="00C93212">
        <w:rPr>
          <w:sz w:val="22"/>
        </w:rPr>
        <w:t>’</w:t>
      </w:r>
      <w:r>
        <w:rPr>
          <w:sz w:val="22"/>
        </w:rPr>
        <w:t>élément ;</w:t>
      </w:r>
    </w:p>
    <w:p w14:paraId="06C70925" w14:textId="651B8043" w:rsidR="00883456" w:rsidRPr="00E96786" w:rsidRDefault="00883456" w:rsidP="004D2E83">
      <w:pPr>
        <w:pStyle w:val="Para"/>
        <w:numPr>
          <w:ilvl w:val="0"/>
          <w:numId w:val="14"/>
        </w:numPr>
        <w:tabs>
          <w:tab w:val="left" w:pos="1134"/>
        </w:tabs>
        <w:spacing w:line="240" w:lineRule="auto"/>
        <w:ind w:left="1134" w:hanging="567"/>
        <w:rPr>
          <w:rFonts w:cs="Arial"/>
          <w:sz w:val="22"/>
          <w:szCs w:val="22"/>
        </w:rPr>
      </w:pPr>
      <w:r>
        <w:rPr>
          <w:sz w:val="22"/>
          <w:u w:val="single"/>
        </w:rPr>
        <w:t>Prend note</w:t>
      </w:r>
      <w:r>
        <w:rPr>
          <w:sz w:val="22"/>
        </w:rPr>
        <w:t xml:space="preserve"> de l</w:t>
      </w:r>
      <w:r w:rsidR="00C93212">
        <w:rPr>
          <w:sz w:val="22"/>
        </w:rPr>
        <w:t>’</w:t>
      </w:r>
      <w:r>
        <w:rPr>
          <w:sz w:val="22"/>
        </w:rPr>
        <w:t>expansion prévue du marché, de l</w:t>
      </w:r>
      <w:r w:rsidR="00C93212">
        <w:rPr>
          <w:sz w:val="22"/>
        </w:rPr>
        <w:t>’</w:t>
      </w:r>
      <w:r>
        <w:rPr>
          <w:sz w:val="22"/>
        </w:rPr>
        <w:t>élaboration d</w:t>
      </w:r>
      <w:r w:rsidR="00C93212">
        <w:rPr>
          <w:sz w:val="22"/>
        </w:rPr>
        <w:t>’</w:t>
      </w:r>
      <w:r>
        <w:rPr>
          <w:sz w:val="22"/>
        </w:rPr>
        <w:t>un plan de tourisme durable et d</w:t>
      </w:r>
      <w:r w:rsidR="00C93212">
        <w:rPr>
          <w:sz w:val="22"/>
        </w:rPr>
        <w:t>’</w:t>
      </w:r>
      <w:r>
        <w:rPr>
          <w:sz w:val="22"/>
        </w:rPr>
        <w:t xml:space="preserve">autres activités commerciales visant à améliorer la viabilité économique de la pratique, et </w:t>
      </w:r>
      <w:r>
        <w:rPr>
          <w:sz w:val="22"/>
          <w:u w:val="single"/>
        </w:rPr>
        <w:t>rappelle</w:t>
      </w:r>
      <w:r>
        <w:rPr>
          <w:sz w:val="22"/>
        </w:rPr>
        <w:t xml:space="preserve"> l</w:t>
      </w:r>
      <w:r w:rsidR="00C93212">
        <w:rPr>
          <w:sz w:val="22"/>
        </w:rPr>
        <w:t>’</w:t>
      </w:r>
      <w:r>
        <w:rPr>
          <w:sz w:val="22"/>
        </w:rPr>
        <w:t>importance d</w:t>
      </w:r>
      <w:r w:rsidR="00C93212">
        <w:rPr>
          <w:sz w:val="22"/>
        </w:rPr>
        <w:t>’</w:t>
      </w:r>
      <w:r>
        <w:rPr>
          <w:sz w:val="22"/>
        </w:rPr>
        <w:t>évaluer l</w:t>
      </w:r>
      <w:r w:rsidR="00C93212">
        <w:rPr>
          <w:sz w:val="22"/>
        </w:rPr>
        <w:t>’</w:t>
      </w:r>
      <w:r>
        <w:rPr>
          <w:sz w:val="22"/>
        </w:rPr>
        <w:t>impact potentiel de ces mesures et d</w:t>
      </w:r>
      <w:r w:rsidR="00C93212">
        <w:rPr>
          <w:sz w:val="22"/>
        </w:rPr>
        <w:t>’</w:t>
      </w:r>
      <w:r>
        <w:rPr>
          <w:sz w:val="22"/>
        </w:rPr>
        <w:t>empêcher la décontextualisation et la commercialisation excessive de l</w:t>
      </w:r>
      <w:r w:rsidR="00C93212">
        <w:rPr>
          <w:sz w:val="22"/>
        </w:rPr>
        <w:t>’</w:t>
      </w:r>
      <w:r>
        <w:rPr>
          <w:sz w:val="22"/>
        </w:rPr>
        <w:t>élément.</w:t>
      </w:r>
    </w:p>
    <w:p w14:paraId="2C6DA058" w14:textId="77777777" w:rsidR="00D079BA" w:rsidRPr="00E96786" w:rsidRDefault="00D079BA" w:rsidP="00AC1BC7">
      <w:pPr>
        <w:pStyle w:val="Para"/>
        <w:ind w:left="1134" w:hanging="567"/>
        <w:rPr>
          <w:rFonts w:cs="Arial"/>
          <w:b/>
          <w:bCs/>
          <w:sz w:val="22"/>
          <w:szCs w:val="22"/>
        </w:rPr>
      </w:pPr>
      <w:r>
        <w:br w:type="page"/>
      </w:r>
    </w:p>
    <w:p w14:paraId="4D812A2B" w14:textId="0C5EDBD4" w:rsidR="00AE25C8" w:rsidRPr="00E96786" w:rsidRDefault="00AE25C8" w:rsidP="00251D85">
      <w:pPr>
        <w:pStyle w:val="COMTitleDecision"/>
      </w:pPr>
      <w:r>
        <w:t>Namibie : Les connaissances et les savoir-faire musicaux ancestraux d</w:t>
      </w:r>
      <w:r w:rsidR="00C93212">
        <w:t>’</w:t>
      </w:r>
      <w:r>
        <w:t>Aboxan Musik ǀŌb ǂÂns tsî ǁKhasigu</w:t>
      </w:r>
      <w:r>
        <w:rPr>
          <w:i/>
        </w:rPr>
        <w:t xml:space="preserve"> </w:t>
      </w:r>
      <w:r>
        <w:rPr>
          <w:b w:val="0"/>
          <w:i/>
        </w:rPr>
        <w:t xml:space="preserve">(voir le </w:t>
      </w:r>
      <w:hyperlink r:id="rId30" w:history="1">
        <w:r w:rsidRPr="003B7315">
          <w:rPr>
            <w:rStyle w:val="Hyperlink"/>
            <w:b w:val="0"/>
            <w:i/>
          </w:rPr>
          <w:t>rapport</w:t>
        </w:r>
      </w:hyperlink>
      <w:r>
        <w:rPr>
          <w:b w:val="0"/>
          <w:i/>
        </w:rPr>
        <w:t>)</w:t>
      </w:r>
    </w:p>
    <w:p w14:paraId="01EC761E" w14:textId="0A212707" w:rsidR="00514977" w:rsidRPr="00E96786" w:rsidRDefault="00514977" w:rsidP="00B9225D">
      <w:pPr>
        <w:pStyle w:val="COMPara"/>
        <w:numPr>
          <w:ilvl w:val="0"/>
          <w:numId w:val="9"/>
        </w:numPr>
        <w:ind w:left="567" w:hanging="567"/>
        <w:jc w:val="both"/>
      </w:pPr>
      <w:bookmarkStart w:id="20" w:name="_Hlk204351745"/>
      <w:r>
        <w:t>La musique Aboxan Musik ǀŌb ǂÂns tsî ǁKhasigu est une expression vivante de l</w:t>
      </w:r>
      <w:r w:rsidR="00C93212">
        <w:t>’</w:t>
      </w:r>
      <w:r>
        <w:t>identité culturelle du peuple Nama de Namibie, qui préserve ses traditions et façonne sa vie quotidienne. Enraciné dans des rythmes et des mélodies historiques, ce patrimoine musical véhicule la mémoire collective et les expériences de la communauté, des générations passées à celles d</w:t>
      </w:r>
      <w:r w:rsidR="00C93212">
        <w:t>’</w:t>
      </w:r>
      <w:r>
        <w:t>aujourd</w:t>
      </w:r>
      <w:r w:rsidR="00C93212">
        <w:t>’</w:t>
      </w:r>
      <w:r>
        <w:t>hui. Il joue un rôle central lors d</w:t>
      </w:r>
      <w:r w:rsidR="00C93212">
        <w:t>’</w:t>
      </w:r>
      <w:r>
        <w:t>occasions sociales et rituelles telles que les mariages, les danses de la pluie, les anniversaires et les rites de passage des jeunes filles, tout en sensibilisant à l</w:t>
      </w:r>
      <w:r w:rsidR="00C93212">
        <w:t>’</w:t>
      </w:r>
      <w:r>
        <w:t xml:space="preserve">environnement. En </w:t>
      </w:r>
      <w:r w:rsidR="00FC140C" w:rsidRPr="00FC140C">
        <w:t>favorisant le rapprochement entre les personnes</w:t>
      </w:r>
      <w:r w:rsidR="00FC140C" w:rsidRPr="00FC140C" w:rsidDel="00FC140C">
        <w:t xml:space="preserve"> </w:t>
      </w:r>
      <w:r w:rsidR="00FC140C">
        <w:t>dans ces contextes</w:t>
      </w:r>
      <w:r>
        <w:t xml:space="preserve">, la musique renforce les liens familiaux, favorise la cohésion sociale et constitue une source de revenus grâce aux spectacles et à la vente de produits musicaux. </w:t>
      </w:r>
    </w:p>
    <w:p w14:paraId="677C13F8" w14:textId="22BED16A" w:rsidR="00514977" w:rsidRPr="00E96786" w:rsidRDefault="00514977" w:rsidP="00B9225D">
      <w:pPr>
        <w:pStyle w:val="COMPara"/>
        <w:numPr>
          <w:ilvl w:val="0"/>
          <w:numId w:val="9"/>
        </w:numPr>
        <w:ind w:left="567" w:hanging="567"/>
        <w:jc w:val="both"/>
        <w:rPr>
          <w:bCs/>
        </w:rPr>
      </w:pPr>
      <w:r>
        <w:t>L</w:t>
      </w:r>
      <w:r w:rsidR="00C93212">
        <w:t>’</w:t>
      </w:r>
      <w:r>
        <w:t>élément a été inscrit sur la Liste de sauvegarde urgente en 2020, et il s</w:t>
      </w:r>
      <w:r w:rsidR="00C93212">
        <w:t>’</w:t>
      </w:r>
      <w:r>
        <w:t>agit du premier rapport soumis par l</w:t>
      </w:r>
      <w:r w:rsidR="00C93212">
        <w:t>’</w:t>
      </w:r>
      <w:r>
        <w:t xml:space="preserve">État partie concernant son statut. Une assistance internationale a été accordée par la quinzième session du Comité (décision </w:t>
      </w:r>
      <w:hyperlink r:id="rId31" w:history="1">
        <w:r>
          <w:rPr>
            <w:rStyle w:val="Hyperlink"/>
          </w:rPr>
          <w:t>15.COM 8.a.4)</w:t>
        </w:r>
      </w:hyperlink>
      <w:r w:rsidR="00FC140C">
        <w:t xml:space="preserve"> </w:t>
      </w:r>
      <w:r>
        <w:t>pour sauvegarder l</w:t>
      </w:r>
      <w:r w:rsidR="00C93212">
        <w:t>’</w:t>
      </w:r>
      <w:r>
        <w:t>élément à travers le projet « </w:t>
      </w:r>
      <w:hyperlink r:id="rId32" w:history="1">
        <w:r>
          <w:rPr>
            <w:rStyle w:val="Hyperlink"/>
          </w:rPr>
          <w:t>Les connaissances et les savoir-faire musicaux ancestraux d</w:t>
        </w:r>
        <w:r w:rsidR="00C93212">
          <w:rPr>
            <w:rStyle w:val="Hyperlink"/>
          </w:rPr>
          <w:t>’</w:t>
        </w:r>
        <w:r>
          <w:rPr>
            <w:rStyle w:val="Hyperlink"/>
          </w:rPr>
          <w:t>Aboxan Musik ǀŌb ǂÂns tsî ǁKhasigu</w:t>
        </w:r>
      </w:hyperlink>
      <w:r>
        <w:t> », mis en œuvre entre août 2021 et septembre 2024.</w:t>
      </w:r>
    </w:p>
    <w:p w14:paraId="1E16FE58" w14:textId="296E562C" w:rsidR="00514977" w:rsidRPr="00E96786" w:rsidRDefault="00514977" w:rsidP="00B9225D">
      <w:pPr>
        <w:pStyle w:val="COMPara"/>
        <w:numPr>
          <w:ilvl w:val="0"/>
          <w:numId w:val="9"/>
        </w:numPr>
        <w:ind w:left="567" w:hanging="567"/>
        <w:jc w:val="both"/>
        <w:rPr>
          <w:bCs/>
        </w:rPr>
      </w:pPr>
      <w:r>
        <w:rPr>
          <w:b/>
        </w:rPr>
        <w:t>Efficacité du plan de sauvegarde.</w:t>
      </w:r>
      <w:r>
        <w:t xml:space="preserve"> Dans le cadre des mesures de sauvegarde mises en œuvre au cours de la période</w:t>
      </w:r>
      <w:r w:rsidR="00B40138" w:rsidRPr="00B40138">
        <w:t xml:space="preserve"> couverte par le rapport</w:t>
      </w:r>
      <w:r>
        <w:t>, les activités de sensibilisation, y compris l</w:t>
      </w:r>
      <w:r w:rsidR="00C93212">
        <w:t>’</w:t>
      </w:r>
      <w:r>
        <w:t>élaboration de matériel éducatif et promotionnel, ont permis de renforcer la reconnaissance de l</w:t>
      </w:r>
      <w:r w:rsidR="00C93212">
        <w:t>’</w:t>
      </w:r>
      <w:r>
        <w:t>élément parmi les différentes parties prenantes, y compris les communautés, les autorités traditionnelles et les systèmes de gouvernance locale. Néanmoins, les restrictions budgétaires ont limité la distribution équitable de ce matériel dans toutes les régions, soulignant la nécessité de mobiliser davantage de ressources pour assurer une diffusion équilibrée. La fourniture d</w:t>
      </w:r>
      <w:r w:rsidR="00C93212">
        <w:t>’</w:t>
      </w:r>
      <w:r>
        <w:t>équipements techniques au bureau de coordination a permis d</w:t>
      </w:r>
      <w:r w:rsidR="00C93212">
        <w:t>’</w:t>
      </w:r>
      <w:r>
        <w:t>améliorer la communication, la coordination et la mise en œuvre des activités de sauvegarde, tout en soutenant le fonctionnement efficace du cadre de sauvegarde. La dispersion géographique des régions participantes a toutefois posé certains problèmes logistiques, qui ont nécessité des déplacements et des ressources importants. Bien que la diffusion par le service national de radio ait été identifiée comme une mesure prometteuse pour la sensibilisation au niveau national, son impact a été limité en raison d</w:t>
      </w:r>
      <w:r w:rsidR="00C93212">
        <w:t>’</w:t>
      </w:r>
      <w:r>
        <w:t>une programmation de suivi insuffisante et d</w:t>
      </w:r>
      <w:r w:rsidR="00C93212">
        <w:t>’</w:t>
      </w:r>
      <w:r>
        <w:t>opportunités limitées pour les membres de la communauté de s</w:t>
      </w:r>
      <w:r w:rsidR="00C93212">
        <w:t>’</w:t>
      </w:r>
      <w:r>
        <w:t>engager activement dans les émissions. La distribution d</w:t>
      </w:r>
      <w:r w:rsidR="00C93212">
        <w:t>’</w:t>
      </w:r>
      <w:r>
        <w:t>instruments de musique dans sept villages a considérablement amélioré la transmission intergénérationnelle en encourageant la participation des jeunes et en ravivant l</w:t>
      </w:r>
      <w:r w:rsidR="00C93212">
        <w:t>’</w:t>
      </w:r>
      <w:r>
        <w:t>intérêt pour cette pratique, même si l</w:t>
      </w:r>
      <w:r w:rsidR="00C93212">
        <w:t>’</w:t>
      </w:r>
      <w:r>
        <w:t>ampleur de l</w:t>
      </w:r>
      <w:r w:rsidR="00C93212">
        <w:t>’</w:t>
      </w:r>
      <w:r>
        <w:t>opération a été limitée en raison de contraintes budgétaires.</w:t>
      </w:r>
    </w:p>
    <w:p w14:paraId="73283A00" w14:textId="2A75C1B5" w:rsidR="00514977" w:rsidRPr="00E96786" w:rsidRDefault="00514977" w:rsidP="00B9225D">
      <w:pPr>
        <w:pStyle w:val="COMPara"/>
        <w:numPr>
          <w:ilvl w:val="0"/>
          <w:numId w:val="9"/>
        </w:numPr>
        <w:ind w:left="567" w:hanging="567"/>
        <w:jc w:val="both"/>
      </w:pPr>
      <w:r>
        <w:rPr>
          <w:b/>
        </w:rPr>
        <w:t>Participation de la communauté.</w:t>
      </w:r>
      <w:r>
        <w:t xml:space="preserve"> Comme indiqué, la participation des communautés fait partie intégrante de toutes les activités de sauvegarde, les membres étant activement engagés dans les processus de planification, de prise de décision et de mobilisation, ainsi que dans l</w:t>
      </w:r>
      <w:r w:rsidR="00C93212">
        <w:t>’</w:t>
      </w:r>
      <w:r>
        <w:t>élaboration de matériel pédagogique. Ils ont joué un rôle de premier plan dans l</w:t>
      </w:r>
      <w:r w:rsidR="00C93212">
        <w:t>’</w:t>
      </w:r>
      <w:r>
        <w:t>organisation du lancement de l</w:t>
      </w:r>
      <w:r w:rsidR="00C93212">
        <w:t>’</w:t>
      </w:r>
      <w:r>
        <w:t xml:space="preserve">exposition Aboxan Musik ǀŌb ǂÂns tsî ǁKhasigu, notamment en ce qui concerne la logistique, la restauration et la mobilisation des participants. Les </w:t>
      </w:r>
      <w:r w:rsidR="000C1B3E">
        <w:t>détenteurs</w:t>
      </w:r>
      <w:r>
        <w:t xml:space="preserve"> ont apporté une contribution précieuse à sélection et à l</w:t>
      </w:r>
      <w:r w:rsidR="00C93212">
        <w:t>’</w:t>
      </w:r>
      <w:r>
        <w:t>achat d</w:t>
      </w:r>
      <w:r w:rsidR="00C93212">
        <w:t>’</w:t>
      </w:r>
      <w:r>
        <w:t>instruments de musique, ainsi qu</w:t>
      </w:r>
      <w:r w:rsidR="00C93212">
        <w:t>’</w:t>
      </w:r>
      <w:r>
        <w:t>à l</w:t>
      </w:r>
      <w:r w:rsidR="00C93212">
        <w:t>’</w:t>
      </w:r>
      <w:r>
        <w:t>organisation d</w:t>
      </w:r>
      <w:r w:rsidR="00C93212">
        <w:t>’</w:t>
      </w:r>
      <w:r>
        <w:t>activités d</w:t>
      </w:r>
      <w:r w:rsidR="00C93212">
        <w:t>’</w:t>
      </w:r>
      <w:r>
        <w:t xml:space="preserve">enseignement musical. Les membres de la communauté ont également aidé à identifier les professeurs de musique locaux et ont participé aux discussions sur la manière dont les cours de musique devraient être dispensés. Deux ateliers réunissant des musiciens, des représentants de la communauté et </w:t>
      </w:r>
      <w:r w:rsidR="005D2A23">
        <w:t>du gouvernement</w:t>
      </w:r>
      <w:r>
        <w:t xml:space="preserve"> ont</w:t>
      </w:r>
      <w:r w:rsidR="005D2A23">
        <w:t xml:space="preserve"> </w:t>
      </w:r>
      <w:r w:rsidR="005D2A23" w:rsidRPr="005D2A23">
        <w:t>offert des espaces pour poursuivre la planification</w:t>
      </w:r>
      <w:r>
        <w:t xml:space="preserve">, y compris </w:t>
      </w:r>
      <w:r w:rsidR="005D2A23">
        <w:t>pour assurer la continuité</w:t>
      </w:r>
      <w:r>
        <w:t xml:space="preserve"> de l</w:t>
      </w:r>
      <w:r w:rsidR="00C93212">
        <w:t>’</w:t>
      </w:r>
      <w:r>
        <w:t xml:space="preserve">enseignement de la musique après </w:t>
      </w:r>
      <w:r w:rsidR="005D2A23">
        <w:t>l</w:t>
      </w:r>
      <w:r w:rsidR="00C93212">
        <w:t>’</w:t>
      </w:r>
      <w:r>
        <w:t>achèvement</w:t>
      </w:r>
      <w:r w:rsidR="005D2A23">
        <w:t xml:space="preserve"> du projet</w:t>
      </w:r>
      <w:r>
        <w:t xml:space="preserve">. </w:t>
      </w:r>
      <w:r w:rsidR="005D2A23">
        <w:t>Malgré une participation inégale des genres</w:t>
      </w:r>
      <w:r>
        <w:t xml:space="preserve"> dans les rôles de performance, les hommes </w:t>
      </w:r>
      <w:r w:rsidR="005D2A23">
        <w:t xml:space="preserve">comme </w:t>
      </w:r>
      <w:r>
        <w:t xml:space="preserve">les femmes ont </w:t>
      </w:r>
      <w:r w:rsidR="005D2A23">
        <w:t xml:space="preserve">participé </w:t>
      </w:r>
      <w:r>
        <w:t xml:space="preserve">activement </w:t>
      </w:r>
      <w:r w:rsidR="005D2A23">
        <w:t xml:space="preserve">aux efforts de </w:t>
      </w:r>
      <w:r>
        <w:t>sauvegarde. Les représentants de la communauté ont discuté des stratégies de sauvegarde à long terme, y compris la création éventuelle d</w:t>
      </w:r>
      <w:r w:rsidR="00C93212">
        <w:t>’</w:t>
      </w:r>
      <w:r>
        <w:t>une ONG spécialisée.</w:t>
      </w:r>
    </w:p>
    <w:p w14:paraId="69460F81" w14:textId="45A3F90F" w:rsidR="00514977" w:rsidRPr="00E96786" w:rsidRDefault="00514977" w:rsidP="00B9225D">
      <w:pPr>
        <w:pStyle w:val="COMPara"/>
        <w:numPr>
          <w:ilvl w:val="0"/>
          <w:numId w:val="9"/>
        </w:numPr>
        <w:ind w:left="567" w:hanging="567"/>
        <w:jc w:val="both"/>
      </w:pPr>
      <w:r>
        <w:rPr>
          <w:b/>
        </w:rPr>
        <w:t>Viabilité et risques actuels.</w:t>
      </w:r>
      <w:r>
        <w:t xml:space="preserve"> Selon le rapport, alors que les générations plus âgées pratiquaient traditionnellement l</w:t>
      </w:r>
      <w:r w:rsidR="00C93212">
        <w:t>’</w:t>
      </w:r>
      <w:r>
        <w:t>élément, la distribution récente d</w:t>
      </w:r>
      <w:r w:rsidR="00C93212">
        <w:t>’</w:t>
      </w:r>
      <w:r>
        <w:t>instruments de musique dans plusieurs villages a suscité un regain d</w:t>
      </w:r>
      <w:r w:rsidR="00C93212">
        <w:t>’</w:t>
      </w:r>
      <w:r>
        <w:t>intérêt chez les jeunes, garantissant ainsi la vitalité de la pratique. Néanmoins, des défis tels que le fossé intergénérationnel, les ressources limitées pour un enseignement généralisé et l</w:t>
      </w:r>
      <w:r w:rsidR="00C93212">
        <w:t>’</w:t>
      </w:r>
      <w:r>
        <w:t>insuffisance des mécanismes de coordination à long terme menacent encore la poursuite de sa pratique. Bien que le rapport mentionne l</w:t>
      </w:r>
      <w:r w:rsidR="00C93212">
        <w:t>’</w:t>
      </w:r>
      <w:r>
        <w:t xml:space="preserve">élément comme source de revenus pour les </w:t>
      </w:r>
      <w:r w:rsidR="000C1B3E">
        <w:t>détenteurs</w:t>
      </w:r>
      <w:r>
        <w:t xml:space="preserve"> individuels, il ne fournit pas suffisamment d</w:t>
      </w:r>
      <w:r w:rsidR="00C93212">
        <w:t>’</w:t>
      </w:r>
      <w:r>
        <w:t>informations sur la création d</w:t>
      </w:r>
      <w:r w:rsidR="00C93212">
        <w:t>’</w:t>
      </w:r>
      <w:r>
        <w:t xml:space="preserve">opportunités dans ce domaine qui contribuent au développement socio-économique des communautés concernées. Les membres de la communauté, y compris les </w:t>
      </w:r>
      <w:r w:rsidR="000C1B3E">
        <w:t xml:space="preserve">détenteurs </w:t>
      </w:r>
      <w:r>
        <w:t>et les autorités traditionnelles, ont toutefois fait preuve d</w:t>
      </w:r>
      <w:r w:rsidR="00C93212">
        <w:t>’</w:t>
      </w:r>
      <w:r>
        <w:t>un engagement fort en faveur de sa transmission en participant aux activités de planification et d</w:t>
      </w:r>
      <w:r w:rsidR="00C93212">
        <w:t>’</w:t>
      </w:r>
      <w:r>
        <w:t>éducation, ainsi qu</w:t>
      </w:r>
      <w:r w:rsidR="00C93212">
        <w:t>’</w:t>
      </w:r>
      <w:r>
        <w:t xml:space="preserve">en formant de nouveaux praticiens, </w:t>
      </w:r>
      <w:r w:rsidR="005D5A6B">
        <w:t>démontrant</w:t>
      </w:r>
      <w:r>
        <w:t xml:space="preserve"> un fort potentiel pour la sauvegarde de l</w:t>
      </w:r>
      <w:r w:rsidR="00C93212">
        <w:t>’</w:t>
      </w:r>
      <w:r>
        <w:t>élément.</w:t>
      </w:r>
    </w:p>
    <w:p w14:paraId="3FCDAB4B" w14:textId="07AD93E8" w:rsidR="00514977" w:rsidRPr="00E96786" w:rsidRDefault="00E873DE" w:rsidP="00B9225D">
      <w:pPr>
        <w:pStyle w:val="COMPara"/>
        <w:numPr>
          <w:ilvl w:val="0"/>
          <w:numId w:val="9"/>
        </w:numPr>
        <w:ind w:left="567" w:hanging="567"/>
        <w:jc w:val="both"/>
      </w:pPr>
      <w:r>
        <w:t>Le plan de sauvegarde actualisé conserve deux des trois objectifs principaux du plan de sauvegarde précédent, à savoir l</w:t>
      </w:r>
      <w:r w:rsidR="00C93212">
        <w:t>’</w:t>
      </w:r>
      <w:r>
        <w:t>amélioration de la visibilité de l</w:t>
      </w:r>
      <w:r w:rsidR="00C93212">
        <w:t>’</w:t>
      </w:r>
      <w:r>
        <w:t>élément et du patrimoine culturel immatériel en général, et le renforcement de la transmission des compétences musicales chez les jeunes par le biais d</w:t>
      </w:r>
      <w:r w:rsidR="00C93212">
        <w:t>’</w:t>
      </w:r>
      <w:r>
        <w:t>un programme d</w:t>
      </w:r>
      <w:r w:rsidR="00C93212">
        <w:t>’</w:t>
      </w:r>
      <w:r>
        <w:t>enseignement musical non formel. Le deuxième objectif du précédent plan - renforcer et promouvoir l</w:t>
      </w:r>
      <w:r w:rsidR="00C93212">
        <w:t>’</w:t>
      </w:r>
      <w:r>
        <w:t>élément parmi les jeunes, les membres de la communauté et le pays tout entier - a été fusionné avec les deux autres. En outre, le plan de sauvegarde actualisé comporte un nouvel objectif : le renforcement des capacités nationales en matière d</w:t>
      </w:r>
      <w:r w:rsidR="00C93212">
        <w:t>’</w:t>
      </w:r>
      <w:r>
        <w:t>inventaire et de documentation parmi les membres de la communauté.</w:t>
      </w:r>
    </w:p>
    <w:p w14:paraId="50313782" w14:textId="40D5D63D" w:rsidR="00514977" w:rsidRPr="00E96786" w:rsidRDefault="00514977" w:rsidP="00B9225D">
      <w:pPr>
        <w:pStyle w:val="COMPara"/>
        <w:numPr>
          <w:ilvl w:val="0"/>
          <w:numId w:val="9"/>
        </w:numPr>
        <w:ind w:left="567" w:hanging="567"/>
        <w:jc w:val="both"/>
      </w:pPr>
      <w:r>
        <w:t>Selon le plan de sauvegarde actualisé, la visibilité sera accrue par des expositions publiques, des émissions de radio et des campagnes de sensibilisation à l</w:t>
      </w:r>
      <w:r w:rsidR="00C93212">
        <w:t>’</w:t>
      </w:r>
      <w:r>
        <w:t>échelle nationale, une attention particulière étant accordée à l</w:t>
      </w:r>
      <w:r w:rsidR="00C93212">
        <w:t>’</w:t>
      </w:r>
      <w:r>
        <w:t>engagement des jeunes et des communautés locales. En outre, des documents imprimés tels que des brochures et des bannières seront produits et affichés lors d</w:t>
      </w:r>
      <w:r w:rsidR="00C93212">
        <w:t>’</w:t>
      </w:r>
      <w:r>
        <w:t>événements publics dans tout le pays. La transmission des compétences musicales se poursuivra grâce à un programme renforcé d</w:t>
      </w:r>
      <w:r w:rsidR="00C93212">
        <w:t>’</w:t>
      </w:r>
      <w:r>
        <w:t>enseignement non formel destiné aux écoliers, aux jeunes et aux adultes, soutenu par la fourniture d</w:t>
      </w:r>
      <w:r w:rsidR="00C93212">
        <w:t>’</w:t>
      </w:r>
      <w:r>
        <w:t>instruments de musique. Les membres de la communauté sont censés soutenir cette transmission en enseignant volontairement dans leurs villages. Les capacités nationales seront renforcées par le biais d</w:t>
      </w:r>
      <w:r w:rsidR="00C93212">
        <w:t>’</w:t>
      </w:r>
      <w:r>
        <w:t>ateliers communautaires sur l</w:t>
      </w:r>
      <w:r w:rsidR="00C93212">
        <w:t>’</w:t>
      </w:r>
      <w:r>
        <w:t>inventaire, la documentation et la sauvegarde, permettant aux formateurs locaux de poursuivre le processus dans leurs communautés. Bien que le rapport fournisse des informations précieuses, il gagnerait à être plus détaillé en ce qui concerne les méthodologies, les outils et les résultats spécifiques liés aux efforts d</w:t>
      </w:r>
      <w:r w:rsidR="00C93212">
        <w:t>’</w:t>
      </w:r>
      <w:r>
        <w:t>inventaire, de documentation et de sauvegarde déployés par les communautés.</w:t>
      </w:r>
    </w:p>
    <w:p w14:paraId="54002169" w14:textId="03CA62E2" w:rsidR="00AE25C8" w:rsidRPr="00E96786" w:rsidRDefault="00AE25C8" w:rsidP="00B9225D">
      <w:pPr>
        <w:pStyle w:val="COMPara"/>
        <w:numPr>
          <w:ilvl w:val="0"/>
          <w:numId w:val="9"/>
        </w:numPr>
        <w:ind w:left="567" w:hanging="567"/>
        <w:jc w:val="both"/>
        <w:rPr>
          <w:bCs/>
        </w:rPr>
      </w:pPr>
      <w:r>
        <w:t>Le Comité souhaitera peut-être adopter la décision suivante :</w:t>
      </w:r>
    </w:p>
    <w:p w14:paraId="641415F1" w14:textId="4E53CADE" w:rsidR="0073240E" w:rsidRPr="00E96786" w:rsidRDefault="00AE25C8" w:rsidP="005B1096">
      <w:pPr>
        <w:pStyle w:val="Heading4"/>
        <w:numPr>
          <w:ilvl w:val="0"/>
          <w:numId w:val="0"/>
        </w:numPr>
        <w:tabs>
          <w:tab w:val="clear" w:pos="567"/>
        </w:tabs>
        <w:spacing w:before="240"/>
        <w:ind w:left="567"/>
      </w:pPr>
      <w:bookmarkStart w:id="21" w:name="_DRAFT_DECISION_20.COM_1"/>
      <w:bookmarkEnd w:id="21"/>
      <w:r>
        <w:t xml:space="preserve">PROJET DE DECISION 20.COM </w:t>
      </w:r>
      <w:bookmarkEnd w:id="20"/>
      <w:r>
        <w:t>6.a.2</w:t>
      </w:r>
    </w:p>
    <w:p w14:paraId="313354DE" w14:textId="77777777" w:rsidR="00514977" w:rsidRPr="00E96786" w:rsidRDefault="00514977" w:rsidP="00514977">
      <w:pPr>
        <w:pStyle w:val="Para"/>
        <w:keepNext/>
        <w:numPr>
          <w:ilvl w:val="0"/>
          <w:numId w:val="0"/>
        </w:numPr>
        <w:tabs>
          <w:tab w:val="left" w:pos="1134"/>
        </w:tabs>
        <w:spacing w:line="240" w:lineRule="auto"/>
        <w:ind w:left="567"/>
        <w:rPr>
          <w:rFonts w:cs="Arial"/>
          <w:sz w:val="22"/>
          <w:szCs w:val="22"/>
        </w:rPr>
      </w:pPr>
      <w:r>
        <w:rPr>
          <w:sz w:val="22"/>
        </w:rPr>
        <w:t>Le Comité</w:t>
      </w:r>
    </w:p>
    <w:p w14:paraId="194B8784" w14:textId="7CE512E4" w:rsidR="00514977" w:rsidRPr="00FC0C78" w:rsidRDefault="00514977" w:rsidP="00173229">
      <w:pPr>
        <w:pStyle w:val="Para"/>
        <w:numPr>
          <w:ilvl w:val="0"/>
          <w:numId w:val="128"/>
        </w:numPr>
        <w:tabs>
          <w:tab w:val="left" w:pos="1134"/>
        </w:tabs>
        <w:spacing w:line="240" w:lineRule="auto"/>
        <w:ind w:left="1170" w:hanging="630"/>
        <w:rPr>
          <w:rFonts w:cs="Arial"/>
          <w:sz w:val="22"/>
          <w:szCs w:val="22"/>
        </w:rPr>
      </w:pPr>
      <w:r>
        <w:rPr>
          <w:sz w:val="22"/>
          <w:u w:val="single"/>
        </w:rPr>
        <w:t>Ayant examiné</w:t>
      </w:r>
      <w:r>
        <w:rPr>
          <w:sz w:val="22"/>
        </w:rPr>
        <w:t xml:space="preserve"> le document LHE/25/20.COM/6.a,</w:t>
      </w:r>
    </w:p>
    <w:p w14:paraId="019A95A5" w14:textId="769D5530" w:rsidR="00514977" w:rsidRPr="00E96786" w:rsidRDefault="00514977" w:rsidP="004D2E83">
      <w:pPr>
        <w:pStyle w:val="Para"/>
        <w:numPr>
          <w:ilvl w:val="0"/>
          <w:numId w:val="14"/>
        </w:numPr>
        <w:tabs>
          <w:tab w:val="left" w:pos="1134"/>
        </w:tabs>
        <w:spacing w:line="240" w:lineRule="auto"/>
        <w:ind w:left="1134" w:hanging="567"/>
        <w:rPr>
          <w:rFonts w:cs="Arial"/>
          <w:sz w:val="22"/>
          <w:szCs w:val="22"/>
        </w:rPr>
      </w:pPr>
      <w:r>
        <w:rPr>
          <w:sz w:val="22"/>
          <w:u w:val="single"/>
        </w:rPr>
        <w:t>Rappelant</w:t>
      </w:r>
      <w:r>
        <w:rPr>
          <w:sz w:val="22"/>
        </w:rPr>
        <w:t xml:space="preserve"> le chapitre V des Directives opérationnelles et ses décisions </w:t>
      </w:r>
      <w:hyperlink r:id="rId33" w:history="1">
        <w:r>
          <w:rPr>
            <w:rStyle w:val="Hyperlink"/>
            <w:sz w:val="22"/>
          </w:rPr>
          <w:t>15.COM 8.a.4</w:t>
        </w:r>
      </w:hyperlink>
      <w:r>
        <w:rPr>
          <w:sz w:val="22"/>
        </w:rPr>
        <w:t xml:space="preserve"> et </w:t>
      </w:r>
      <w:hyperlink r:id="rId34" w:history="1">
        <w:r>
          <w:rPr>
            <w:rStyle w:val="Hyperlink"/>
            <w:sz w:val="22"/>
          </w:rPr>
          <w:t>18.COM 21</w:t>
        </w:r>
      </w:hyperlink>
      <w:r>
        <w:rPr>
          <w:sz w:val="22"/>
        </w:rPr>
        <w:t xml:space="preserve">, </w:t>
      </w:r>
    </w:p>
    <w:p w14:paraId="3F3C45DE" w14:textId="51BB2614" w:rsidR="00B9225D" w:rsidRPr="00E96786" w:rsidRDefault="00B9225D" w:rsidP="004D2E83">
      <w:pPr>
        <w:pStyle w:val="Para"/>
        <w:numPr>
          <w:ilvl w:val="0"/>
          <w:numId w:val="14"/>
        </w:numPr>
        <w:tabs>
          <w:tab w:val="left" w:pos="1134"/>
        </w:tabs>
        <w:spacing w:line="240" w:lineRule="auto"/>
        <w:ind w:left="1134" w:hanging="567"/>
        <w:rPr>
          <w:rFonts w:cs="Arial"/>
          <w:sz w:val="22"/>
          <w:szCs w:val="22"/>
        </w:rPr>
      </w:pPr>
      <w:r>
        <w:rPr>
          <w:sz w:val="22"/>
          <w:u w:val="single"/>
        </w:rPr>
        <w:t>Remercie</w:t>
      </w:r>
      <w:r>
        <w:rPr>
          <w:sz w:val="22"/>
        </w:rPr>
        <w:t xml:space="preserve"> la Namibie d</w:t>
      </w:r>
      <w:r w:rsidR="00C93212">
        <w:rPr>
          <w:sz w:val="22"/>
        </w:rPr>
        <w:t>’</w:t>
      </w:r>
      <w:r>
        <w:rPr>
          <w:sz w:val="22"/>
        </w:rPr>
        <w:t>avoir soumis, dans les délais, son troisième rapport sur l</w:t>
      </w:r>
      <w:r w:rsidR="00C93212">
        <w:rPr>
          <w:sz w:val="22"/>
        </w:rPr>
        <w:t>’</w:t>
      </w:r>
      <w:r>
        <w:rPr>
          <w:sz w:val="22"/>
        </w:rPr>
        <w:t>état de l</w:t>
      </w:r>
      <w:r w:rsidR="00C93212">
        <w:rPr>
          <w:sz w:val="22"/>
        </w:rPr>
        <w:t>’</w:t>
      </w:r>
      <w:r>
        <w:rPr>
          <w:sz w:val="22"/>
        </w:rPr>
        <w:t>élément « Les connaissances et les savoir-faire musicaux ancestraux d</w:t>
      </w:r>
      <w:r w:rsidR="00C93212">
        <w:rPr>
          <w:sz w:val="22"/>
        </w:rPr>
        <w:t>’</w:t>
      </w:r>
      <w:r>
        <w:rPr>
          <w:sz w:val="22"/>
        </w:rPr>
        <w:t>Aboxan Musik ǀŌb ǂÂns tsî ǁKhasigu », inscrit en 2020 sur la Liste du patrimoine culturel immatériel nécessitant une sauvegarde urgente ;</w:t>
      </w:r>
    </w:p>
    <w:p w14:paraId="06513DBA" w14:textId="23E0C316" w:rsidR="00B9225D" w:rsidRPr="00E96786" w:rsidRDefault="00B9225D" w:rsidP="004D2E83">
      <w:pPr>
        <w:pStyle w:val="Para"/>
        <w:numPr>
          <w:ilvl w:val="0"/>
          <w:numId w:val="14"/>
        </w:numPr>
        <w:tabs>
          <w:tab w:val="left" w:pos="1134"/>
        </w:tabs>
        <w:spacing w:line="240" w:lineRule="auto"/>
        <w:ind w:left="1134" w:hanging="567"/>
        <w:rPr>
          <w:rFonts w:cs="Arial"/>
          <w:sz w:val="22"/>
          <w:szCs w:val="22"/>
        </w:rPr>
      </w:pPr>
      <w:r>
        <w:rPr>
          <w:sz w:val="22"/>
          <w:u w:val="single"/>
        </w:rPr>
        <w:t>Prend note</w:t>
      </w:r>
      <w:r>
        <w:rPr>
          <w:sz w:val="22"/>
        </w:rPr>
        <w:t xml:space="preserve"> de la forte participation de la communauté aux efforts de sauvegarde entrepris par l</w:t>
      </w:r>
      <w:r w:rsidR="00C93212">
        <w:rPr>
          <w:sz w:val="22"/>
        </w:rPr>
        <w:t>’</w:t>
      </w:r>
      <w:r>
        <w:rPr>
          <w:sz w:val="22"/>
        </w:rPr>
        <w:t>État partie, en particulier dans l</w:t>
      </w:r>
      <w:r w:rsidR="00C93212">
        <w:rPr>
          <w:sz w:val="22"/>
        </w:rPr>
        <w:t>’</w:t>
      </w:r>
      <w:r>
        <w:rPr>
          <w:sz w:val="22"/>
        </w:rPr>
        <w:t>amélioration de la visibilité de l</w:t>
      </w:r>
      <w:r w:rsidR="00C93212">
        <w:rPr>
          <w:sz w:val="22"/>
        </w:rPr>
        <w:t>’</w:t>
      </w:r>
      <w:r>
        <w:rPr>
          <w:sz w:val="22"/>
        </w:rPr>
        <w:t>élément par des activités de sensibilisation, et des mesures visant à renforcer la transmission intergénérationnelle des connaissances et des compétences, notamment par la fourniture d</w:t>
      </w:r>
      <w:r w:rsidR="00C93212">
        <w:rPr>
          <w:sz w:val="22"/>
        </w:rPr>
        <w:t>’</w:t>
      </w:r>
      <w:r>
        <w:rPr>
          <w:sz w:val="22"/>
        </w:rPr>
        <w:t>instruments de musique et la mise en œuvre de programmes non formels d</w:t>
      </w:r>
      <w:r w:rsidR="00C93212">
        <w:rPr>
          <w:sz w:val="22"/>
        </w:rPr>
        <w:t>’</w:t>
      </w:r>
      <w:r>
        <w:rPr>
          <w:sz w:val="22"/>
        </w:rPr>
        <w:t>enseignement de la musique ;</w:t>
      </w:r>
    </w:p>
    <w:p w14:paraId="7327B63E" w14:textId="5EBA469F" w:rsidR="00B9225D" w:rsidRPr="00E96786" w:rsidRDefault="00B9225D" w:rsidP="004D2E83">
      <w:pPr>
        <w:pStyle w:val="Para"/>
        <w:numPr>
          <w:ilvl w:val="0"/>
          <w:numId w:val="14"/>
        </w:numPr>
        <w:tabs>
          <w:tab w:val="left" w:pos="1134"/>
        </w:tabs>
        <w:spacing w:line="240" w:lineRule="auto"/>
        <w:ind w:left="1134" w:hanging="567"/>
        <w:rPr>
          <w:rFonts w:cs="Arial"/>
          <w:sz w:val="22"/>
          <w:szCs w:val="22"/>
        </w:rPr>
      </w:pPr>
      <w:r>
        <w:rPr>
          <w:sz w:val="22"/>
          <w:u w:val="single"/>
        </w:rPr>
        <w:t>Encourage</w:t>
      </w:r>
      <w:r>
        <w:rPr>
          <w:sz w:val="22"/>
        </w:rPr>
        <w:t xml:space="preserve"> l</w:t>
      </w:r>
      <w:r w:rsidR="00C93212">
        <w:rPr>
          <w:sz w:val="22"/>
        </w:rPr>
        <w:t>’</w:t>
      </w:r>
      <w:r>
        <w:rPr>
          <w:sz w:val="22"/>
        </w:rPr>
        <w:t>État partie à s</w:t>
      </w:r>
      <w:r w:rsidR="00C93212">
        <w:rPr>
          <w:sz w:val="22"/>
        </w:rPr>
        <w:t>’</w:t>
      </w:r>
      <w:r>
        <w:rPr>
          <w:sz w:val="22"/>
        </w:rPr>
        <w:t>appuyer sur les efforts de sauvegarde positifs déjà accomplis en renforçant l</w:t>
      </w:r>
      <w:r w:rsidR="00C93212">
        <w:rPr>
          <w:sz w:val="22"/>
        </w:rPr>
        <w:t>’</w:t>
      </w:r>
      <w:r>
        <w:rPr>
          <w:sz w:val="22"/>
        </w:rPr>
        <w:t>inventaire communautaire et en assurant la pleine participation des communautés, groupes et individus concernés, tout en fournissant des informations plus détaillées sur ces processus et leurs résultats dans le prochain rapport périodique ;</w:t>
      </w:r>
    </w:p>
    <w:p w14:paraId="443A16CE" w14:textId="75725F52" w:rsidR="00B9225D" w:rsidRPr="00E96786" w:rsidRDefault="00B9225D" w:rsidP="004D2E83">
      <w:pPr>
        <w:pStyle w:val="Para"/>
        <w:numPr>
          <w:ilvl w:val="0"/>
          <w:numId w:val="14"/>
        </w:numPr>
        <w:tabs>
          <w:tab w:val="left" w:pos="1134"/>
        </w:tabs>
        <w:spacing w:line="240" w:lineRule="auto"/>
        <w:ind w:left="1134" w:hanging="567"/>
      </w:pPr>
      <w:r>
        <w:rPr>
          <w:sz w:val="22"/>
          <w:u w:val="single"/>
        </w:rPr>
        <w:t>Encourage en outre</w:t>
      </w:r>
      <w:r>
        <w:rPr>
          <w:sz w:val="22"/>
        </w:rPr>
        <w:t xml:space="preserve"> l</w:t>
      </w:r>
      <w:r w:rsidR="00C93212">
        <w:rPr>
          <w:sz w:val="22"/>
        </w:rPr>
        <w:t>’</w:t>
      </w:r>
      <w:r>
        <w:rPr>
          <w:sz w:val="22"/>
        </w:rPr>
        <w:t>État partie à poursuivre ses efforts de collecte de fonds et à renforcer les synergies entre les sources de financement nationales, régionales et internationales, y compris les contributions publiques, privées et communautaires, afin d</w:t>
      </w:r>
      <w:r w:rsidR="00C93212">
        <w:rPr>
          <w:sz w:val="22"/>
        </w:rPr>
        <w:t>’</w:t>
      </w:r>
      <w:r>
        <w:rPr>
          <w:sz w:val="22"/>
        </w:rPr>
        <w:t>assurer la viabilité à long terme des mesures de sauvegarde.</w:t>
      </w:r>
    </w:p>
    <w:p w14:paraId="743E8755" w14:textId="751A37ED" w:rsidR="001211D9" w:rsidRPr="009D078E" w:rsidRDefault="00D079BA" w:rsidP="009D078E">
      <w:pPr>
        <w:pStyle w:val="ListParagraph"/>
        <w:numPr>
          <w:ilvl w:val="0"/>
          <w:numId w:val="8"/>
        </w:numPr>
        <w:spacing w:after="240"/>
        <w:ind w:left="567" w:hanging="567"/>
        <w:contextualSpacing w:val="0"/>
        <w:rPr>
          <w:rFonts w:ascii="Arial" w:hAnsi="Arial"/>
          <w:b/>
          <w:sz w:val="22"/>
        </w:rPr>
      </w:pPr>
      <w:bookmarkStart w:id="22" w:name="_Hlk204353778"/>
      <w:r>
        <w:br w:type="page"/>
      </w:r>
      <w:bookmarkStart w:id="23" w:name="_Hlk204353511"/>
      <w:r>
        <w:rPr>
          <w:rFonts w:ascii="Arial" w:hAnsi="Arial"/>
          <w:b/>
          <w:sz w:val="22"/>
        </w:rPr>
        <w:t>Évaluations des seconds rapports et projets de décision</w:t>
      </w:r>
      <w:bookmarkEnd w:id="23"/>
    </w:p>
    <w:bookmarkEnd w:id="22"/>
    <w:p w14:paraId="3A46B6A6" w14:textId="38655795" w:rsidR="00872CD2" w:rsidRPr="00E96786" w:rsidRDefault="00872CD2" w:rsidP="00F1246B">
      <w:pPr>
        <w:pStyle w:val="COMTitleDecision"/>
        <w:keepLines/>
        <w:spacing w:before="120"/>
        <w:ind w:left="562"/>
      </w:pPr>
      <w:r>
        <w:t xml:space="preserve">Cambodge : </w:t>
      </w:r>
      <w:r>
        <w:rPr>
          <w:color w:val="000000"/>
        </w:rPr>
        <w:t>Le chapei Dang Veng</w:t>
      </w:r>
      <w:r>
        <w:rPr>
          <w:i/>
        </w:rPr>
        <w:t xml:space="preserve"> </w:t>
      </w:r>
      <w:r>
        <w:rPr>
          <w:b w:val="0"/>
          <w:i/>
        </w:rPr>
        <w:t xml:space="preserve">(voir </w:t>
      </w:r>
      <w:r w:rsidRPr="003B7315">
        <w:rPr>
          <w:b w:val="0"/>
          <w:i/>
        </w:rPr>
        <w:t xml:space="preserve">le </w:t>
      </w:r>
      <w:hyperlink r:id="rId35" w:history="1">
        <w:r w:rsidRPr="003B7315">
          <w:rPr>
            <w:rStyle w:val="Hyperlink"/>
            <w:b w:val="0"/>
            <w:i/>
          </w:rPr>
          <w:t>rapport</w:t>
        </w:r>
      </w:hyperlink>
      <w:r>
        <w:rPr>
          <w:b w:val="0"/>
          <w:i/>
        </w:rPr>
        <w:t>)</w:t>
      </w:r>
    </w:p>
    <w:p w14:paraId="27BC9589" w14:textId="467F01F8" w:rsidR="00D80CE1" w:rsidRPr="00E96786" w:rsidRDefault="00D80CE1" w:rsidP="00D80CE1">
      <w:pPr>
        <w:pStyle w:val="COMPara"/>
        <w:numPr>
          <w:ilvl w:val="0"/>
          <w:numId w:val="9"/>
        </w:numPr>
        <w:ind w:left="567" w:hanging="567"/>
        <w:jc w:val="both"/>
        <w:rPr>
          <w:bCs/>
        </w:rPr>
      </w:pPr>
      <w:r>
        <w:t xml:space="preserve">Le </w:t>
      </w:r>
      <w:r>
        <w:rPr>
          <w:rStyle w:val="Strong"/>
          <w:b w:val="0"/>
        </w:rPr>
        <w:t>chapei Dang Veng</w:t>
      </w:r>
      <w:r>
        <w:t xml:space="preserve"> est un instrument de musique cambodgien qui se joue à l</w:t>
      </w:r>
      <w:r w:rsidR="00C93212">
        <w:t>’</w:t>
      </w:r>
      <w:r>
        <w:t>aide d</w:t>
      </w:r>
      <w:r w:rsidR="00C93212">
        <w:t>’</w:t>
      </w:r>
      <w:r>
        <w:t>un luth fretté à long manche, accompagné d</w:t>
      </w:r>
      <w:r w:rsidR="00C93212">
        <w:t>’</w:t>
      </w:r>
      <w:r>
        <w:t>improvisations vocales. Le répertoire, interprété en langue khmère, s</w:t>
      </w:r>
      <w:r w:rsidR="00C93212">
        <w:t>’</w:t>
      </w:r>
      <w:r>
        <w:t>inspire d</w:t>
      </w:r>
      <w:r w:rsidR="00C93212">
        <w:t>’</w:t>
      </w:r>
      <w:r>
        <w:t>histoires bouddhistes, de contes populaires, de poèmes didactiques traditionnels, de satires et de commentaires sociaux. Le chapei est généralement joué lors de festivals religieux, d</w:t>
      </w:r>
      <w:r w:rsidR="00C93212">
        <w:t>’</w:t>
      </w:r>
      <w:r>
        <w:t xml:space="preserve">événements cérémoniels et de rassemblements informels. Bien que la majorité des praticiens soient des hommes, la tradition est ouverte à tous, sans distinction de </w:t>
      </w:r>
      <w:r w:rsidR="0065112D">
        <w:t>genre</w:t>
      </w:r>
      <w:r>
        <w:t>. La tradition musicale a connu un déclin important pendant le régime des Khmers rouges, mais elle a été maintenue par un petit nombre de musiciens dévoués du chapei. Si la transmission s</w:t>
      </w:r>
      <w:r w:rsidR="00C93212">
        <w:t>’</w:t>
      </w:r>
      <w:r>
        <w:t>est toujours faite par le biais d</w:t>
      </w:r>
      <w:r w:rsidR="00C93212">
        <w:t>’</w:t>
      </w:r>
      <w:r>
        <w:t>apprentissages informels, elle est aujourd</w:t>
      </w:r>
      <w:r w:rsidR="00C93212">
        <w:t>’</w:t>
      </w:r>
      <w:r>
        <w:t>hui également soutenue par des programmes d</w:t>
      </w:r>
      <w:r w:rsidR="00C93212">
        <w:t>’</w:t>
      </w:r>
      <w:r>
        <w:t>enseignement et de formation.</w:t>
      </w:r>
    </w:p>
    <w:p w14:paraId="08C1702E" w14:textId="659C267F" w:rsidR="00D80CE1" w:rsidRPr="00E96786" w:rsidRDefault="00D80CE1" w:rsidP="00D80CE1">
      <w:pPr>
        <w:pStyle w:val="COMPara"/>
        <w:numPr>
          <w:ilvl w:val="0"/>
          <w:numId w:val="9"/>
        </w:numPr>
        <w:ind w:left="567" w:hanging="567"/>
        <w:jc w:val="both"/>
        <w:rPr>
          <w:bCs/>
        </w:rPr>
      </w:pPr>
      <w:r>
        <w:t>L</w:t>
      </w:r>
      <w:r w:rsidR="00C93212">
        <w:t>’</w:t>
      </w:r>
      <w:r>
        <w:t xml:space="preserve">élément a été inscrit sur la Liste de sauvegarde urgente en 2016, et le </w:t>
      </w:r>
      <w:hyperlink r:id="rId36" w:history="1">
        <w:r>
          <w:rPr>
            <w:rStyle w:val="Hyperlink"/>
          </w:rPr>
          <w:t>premier rapport périodique</w:t>
        </w:r>
      </w:hyperlink>
      <w:r>
        <w:t xml:space="preserve"> a été examiné par la </w:t>
      </w:r>
      <w:r>
        <w:rPr>
          <w:color w:val="222222"/>
          <w:shd w:val="clear" w:color="auto" w:fill="FFFFFF"/>
        </w:rPr>
        <w:t xml:space="preserve">seizième session du </w:t>
      </w:r>
      <w:r>
        <w:t>Comité en 2021</w:t>
      </w:r>
      <w:r>
        <w:rPr>
          <w:color w:val="222222"/>
          <w:shd w:val="clear" w:color="auto" w:fill="FFFFFF"/>
        </w:rPr>
        <w:t xml:space="preserve"> (Décision </w:t>
      </w:r>
      <w:hyperlink r:id="rId37" w:history="1">
        <w:r>
          <w:rPr>
            <w:rStyle w:val="Hyperlink"/>
            <w:shd w:val="clear" w:color="auto" w:fill="FFFFFF"/>
          </w:rPr>
          <w:t>16.COM 7.a.1</w:t>
        </w:r>
      </w:hyperlink>
      <w:r>
        <w:rPr>
          <w:color w:val="222222"/>
          <w:shd w:val="clear" w:color="auto" w:fill="FFFFFF"/>
        </w:rPr>
        <w:t>)</w:t>
      </w:r>
      <w:r>
        <w:t>. Il s</w:t>
      </w:r>
      <w:r w:rsidR="00C93212">
        <w:t>’</w:t>
      </w:r>
      <w:r>
        <w:t>agit du deuxième rapport périodique soumis par l</w:t>
      </w:r>
      <w:r w:rsidR="00C93212">
        <w:t>’</w:t>
      </w:r>
      <w:r>
        <w:t>État partie sur l</w:t>
      </w:r>
      <w:r w:rsidR="00C93212">
        <w:t>’</w:t>
      </w:r>
      <w:r>
        <w:t>état de cet élément, couvrant la période entre mai 2021 et décembre 2024. Une assistance internationale pour le chapei Dang Veng a été accordée par la onzième session du Comité pour sauvegarder l</w:t>
      </w:r>
      <w:r w:rsidR="00C93212">
        <w:t>’</w:t>
      </w:r>
      <w:r>
        <w:t xml:space="preserve">élément (décision </w:t>
      </w:r>
      <w:hyperlink r:id="rId38" w:history="1">
        <w:r>
          <w:rPr>
            <w:rStyle w:val="Hyperlink"/>
          </w:rPr>
          <w:t>11.COM 10.a.6</w:t>
        </w:r>
      </w:hyperlink>
      <w:r>
        <w:t>) par le biais du projet « </w:t>
      </w:r>
      <w:hyperlink r:id="rId39" w:history="1">
        <w:r>
          <w:rPr>
            <w:rStyle w:val="Hyperlink"/>
          </w:rPr>
          <w:t>Le chapei Dang Veng</w:t>
        </w:r>
      </w:hyperlink>
      <w:r>
        <w:t> » mis en œuvre entre novembre 2017 et novembre 2021.</w:t>
      </w:r>
    </w:p>
    <w:p w14:paraId="7FF94C28" w14:textId="00EE7120" w:rsidR="00D80CE1" w:rsidRPr="00E96786" w:rsidRDefault="00D80CE1" w:rsidP="00D80CE1">
      <w:pPr>
        <w:pStyle w:val="COMPara"/>
        <w:numPr>
          <w:ilvl w:val="0"/>
          <w:numId w:val="9"/>
        </w:numPr>
        <w:ind w:left="567" w:hanging="567"/>
        <w:jc w:val="both"/>
      </w:pPr>
      <w:r>
        <w:rPr>
          <w:b/>
        </w:rPr>
        <w:t>Efficacité du plan de sauvegarde.</w:t>
      </w:r>
      <w:r>
        <w:t xml:space="preserve"> Selon le rapport, les efforts de documentation en cours ont contribué à maintenir ainsi qu</w:t>
      </w:r>
      <w:r w:rsidR="00C93212">
        <w:t>’</w:t>
      </w:r>
      <w:r>
        <w:t>à mettre à jour une base de données sur les activités et les praticiens du chapei. Des données ont été collectées dans toutes les provinces, à l</w:t>
      </w:r>
      <w:r w:rsidR="00C93212">
        <w:t>’</w:t>
      </w:r>
      <w:r>
        <w:t>exception de quatre. La sensibilisation du public au chapei a augmenté, notamment grâce au Chapei Festival, dont la promotion a été assurée par la télévision nationale et les médias sociaux. Le nombre de représentations de chapei a augmenté aux niveaux national et international, notamment grâce à des collaborations avec le secteur privé, permettant aux artistes de toucher un public plus large. L</w:t>
      </w:r>
      <w:r w:rsidR="00C93212">
        <w:t>’</w:t>
      </w:r>
      <w:r>
        <w:t>intégration prévue du chapei dans les programmes des écoles publiques n</w:t>
      </w:r>
      <w:r w:rsidR="00C93212">
        <w:t>’</w:t>
      </w:r>
      <w:r>
        <w:t>a pas encore été mise en œuvre. Néanmoins, le gouvernement a lancé des programmes de formation dans plusieurs provinces, notamment dans le cadre de collaborations avec des écoles. Comme indiqué, deux programmes de formation ont été organisés en 2024, dirigés par deux maîtres du chapei, et auxquels ont participé plus de 100 lycéens. Les programmes d</w:t>
      </w:r>
      <w:r w:rsidR="00C93212">
        <w:t>’</w:t>
      </w:r>
      <w:r>
        <w:t>études des beaux-arts ont également inclus le chapei dans leur cursus, en proposant des cours facultatifs et spécialisés. Le nombre d</w:t>
      </w:r>
      <w:r w:rsidR="00C93212">
        <w:t>’</w:t>
      </w:r>
      <w:r>
        <w:t>inscriptions reste toutefois faible. Cinquante instruments ont été distribués aux étudiants et aux apprenants afin d</w:t>
      </w:r>
      <w:r w:rsidR="00C93212">
        <w:t>’</w:t>
      </w:r>
      <w:r>
        <w:t>améliorer l</w:t>
      </w:r>
      <w:r w:rsidR="00C93212">
        <w:t>’</w:t>
      </w:r>
      <w:r>
        <w:t>accès à l</w:t>
      </w:r>
      <w:r w:rsidR="00C93212">
        <w:t>’</w:t>
      </w:r>
      <w:r>
        <w:t>apprentissage du chapei.</w:t>
      </w:r>
    </w:p>
    <w:p w14:paraId="19EB8442" w14:textId="3F437CD4" w:rsidR="00D80CE1" w:rsidRPr="00E96786" w:rsidRDefault="00D80CE1" w:rsidP="00D80CE1">
      <w:pPr>
        <w:pStyle w:val="COMPara"/>
        <w:numPr>
          <w:ilvl w:val="0"/>
          <w:numId w:val="9"/>
        </w:numPr>
        <w:ind w:left="567" w:hanging="567"/>
        <w:jc w:val="both"/>
        <w:rPr>
          <w:bCs/>
        </w:rPr>
      </w:pPr>
      <w:r>
        <w:t xml:space="preserve">Concernant la précédente décision </w:t>
      </w:r>
      <w:hyperlink r:id="rId40" w:history="1">
        <w:r>
          <w:rPr>
            <w:rStyle w:val="Hyperlink"/>
          </w:rPr>
          <w:t>16.COM 7.a.1</w:t>
        </w:r>
      </w:hyperlink>
      <w:r>
        <w:t xml:space="preserve"> du Comité, qui encourageait l</w:t>
      </w:r>
      <w:r w:rsidR="00C93212">
        <w:t>’</w:t>
      </w:r>
      <w:r>
        <w:t>État partie à renforcer la formation, l</w:t>
      </w:r>
      <w:r w:rsidR="00C93212">
        <w:t>’</w:t>
      </w:r>
      <w:r>
        <w:t>enseignement et la sensibilisation, y compris parmi les femmes, le rapport indique une augmentation constante du nombre d</w:t>
      </w:r>
      <w:r w:rsidR="00C93212">
        <w:t>’</w:t>
      </w:r>
      <w:r>
        <w:t>artistes féminines et de la fréquence des représentations. Cependant, par rapport au rapport périodique précédent, le nombre de praticiens du chapei au Cambodge semble avoir diminué, passant de 328 à 162 (en 2024). Les initiatives d</w:t>
      </w:r>
      <w:r w:rsidR="00C93212">
        <w:t>’</w:t>
      </w:r>
      <w:r>
        <w:t>enseignement formel et informel, y compris en ligne, ont élargi l</w:t>
      </w:r>
      <w:r w:rsidR="00C93212">
        <w:t>’</w:t>
      </w:r>
      <w:r>
        <w:t>accès à cet élément, ce qui a entraîné une augmentation notable du nombre de stagiaires cambodgiens au sein de la diaspora. Les collaborations avec des artistes et des musiciens contemporains ont permis d</w:t>
      </w:r>
      <w:r w:rsidR="00C93212">
        <w:t>’</w:t>
      </w:r>
      <w:r>
        <w:t>accroître l</w:t>
      </w:r>
      <w:r w:rsidR="00C93212">
        <w:t>’</w:t>
      </w:r>
      <w:r>
        <w:t>appréciation et la visibilité de l</w:t>
      </w:r>
      <w:r w:rsidR="00C93212">
        <w:t>’</w:t>
      </w:r>
      <w:r>
        <w:t>élément auprès d</w:t>
      </w:r>
      <w:r w:rsidR="00C93212">
        <w:t>’</w:t>
      </w:r>
      <w:r>
        <w:t>un public plus jeune. Bien que le rapport indique que les connaissances relatives à l</w:t>
      </w:r>
      <w:r w:rsidR="00C93212">
        <w:t>’</w:t>
      </w:r>
      <w:r>
        <w:t>élaboration des instruments du chapei sont soutenues par des initiatives communautaires et des ONG, il ne fournit pas plus de détails sur les activités de sauvegarde spécifiques dans ce domaine.</w:t>
      </w:r>
    </w:p>
    <w:p w14:paraId="7B3D96D7" w14:textId="6E2AA306" w:rsidR="00D80CE1" w:rsidRPr="00E96786" w:rsidRDefault="00D80CE1" w:rsidP="00D80CE1">
      <w:pPr>
        <w:pStyle w:val="COMPara"/>
        <w:numPr>
          <w:ilvl w:val="0"/>
          <w:numId w:val="9"/>
        </w:numPr>
        <w:ind w:left="567" w:hanging="567"/>
        <w:jc w:val="both"/>
        <w:rPr>
          <w:bCs/>
        </w:rPr>
      </w:pPr>
      <w:r>
        <w:rPr>
          <w:b/>
        </w:rPr>
        <w:t>Participation de la communauté.</w:t>
      </w:r>
      <w:r>
        <w:t xml:space="preserve"> Comme indiqué, une base de données relatives au chapei a été développée avec la participation des communautés, des praticiens et des institutions culturelles, qui ont également mené leurs propres activités de recherche. Plusieurs associations, organisations communautaires ainsi qu</w:t>
      </w:r>
      <w:r w:rsidR="00C93212">
        <w:t>’</w:t>
      </w:r>
      <w:r>
        <w:t>une fondation ont été créées pour soutenir la sauvegarde de l</w:t>
      </w:r>
      <w:r w:rsidR="00C93212">
        <w:t>’</w:t>
      </w:r>
      <w:r>
        <w:t>élément. Ces initiatives ont joué un rôle important dans la transmission de la tradition et sa promotion à travers l</w:t>
      </w:r>
      <w:r w:rsidR="00C93212">
        <w:t>’</w:t>
      </w:r>
      <w:r>
        <w:t>éducation et les spectacles. Par exemple, la communauté Living Chapei accueille aujourd</w:t>
      </w:r>
      <w:r w:rsidR="00C93212">
        <w:t>’</w:t>
      </w:r>
      <w:r>
        <w:t>hui plus de 200 étudiants. L</w:t>
      </w:r>
      <w:r w:rsidR="00C93212">
        <w:t>’</w:t>
      </w:r>
      <w:r>
        <w:t>État partie rapporte en outre que le gouvernement a travaillé en étroite collaboration avec des praticiens, des ONG et d</w:t>
      </w:r>
      <w:r w:rsidR="00C93212">
        <w:t>’</w:t>
      </w:r>
      <w:r>
        <w:t>autres parties prenantes, à la fois pour mettre à jour le plan de sauvegarde et pour soutenir sa mise en œuvre.</w:t>
      </w:r>
    </w:p>
    <w:p w14:paraId="04D09F29" w14:textId="0FB21F6D" w:rsidR="00D80CE1" w:rsidRPr="00E96786" w:rsidRDefault="00D80CE1" w:rsidP="00D80CE1">
      <w:pPr>
        <w:pStyle w:val="COMPara"/>
        <w:numPr>
          <w:ilvl w:val="0"/>
          <w:numId w:val="9"/>
        </w:numPr>
        <w:ind w:left="567" w:hanging="567"/>
        <w:jc w:val="both"/>
      </w:pPr>
      <w:r>
        <w:rPr>
          <w:b/>
        </w:rPr>
        <w:t>Viabilité et risques actuels.</w:t>
      </w:r>
      <w:r>
        <w:t xml:space="preserve"> Si la visibilité et la viabilité de l</w:t>
      </w:r>
      <w:r w:rsidR="00C93212">
        <w:t>’</w:t>
      </w:r>
      <w:r>
        <w:t>élément se sont accrues, comme en témoignent le nombre croissant de représentations lors d</w:t>
      </w:r>
      <w:r w:rsidR="00C93212">
        <w:t>’</w:t>
      </w:r>
      <w:r>
        <w:t>événements nationaux et internationaux et les efforts de transmission accrus, la diminution du nombre d</w:t>
      </w:r>
      <w:r w:rsidR="00C93212">
        <w:t>’</w:t>
      </w:r>
      <w:r>
        <w:t>apprenants reste un défi majeur. Le plan de sauvegarde actualisé vise à résoudre ce problème par une série de mesures dans le domaine de l</w:t>
      </w:r>
      <w:r w:rsidR="00C93212">
        <w:t>’</w:t>
      </w:r>
      <w:r>
        <w:t>enseignement et de l</w:t>
      </w:r>
      <w:r w:rsidR="00C93212">
        <w:t>’</w:t>
      </w:r>
      <w:r>
        <w:t>apprentissage. L</w:t>
      </w:r>
      <w:r w:rsidR="00C93212">
        <w:t>’</w:t>
      </w:r>
      <w:r>
        <w:t>élaboration de matériel pédagogique et de lignes directrices normalisées est prévue pour soutenir la qualité de l</w:t>
      </w:r>
      <w:r w:rsidR="00C93212">
        <w:t>’</w:t>
      </w:r>
      <w:r>
        <w:t>enseignement et préserver les compétences traditionnelles. Parmi les autres défis à relever, on peut citer la perte des maîtres de Chapei en raison de leur âge avancé, ainsi que la relocalisation ou le déplacement de certains membres de la communauté. Le rapport ne fournit pas d</w:t>
      </w:r>
      <w:r w:rsidR="00C93212">
        <w:t>’</w:t>
      </w:r>
      <w:r>
        <w:t>informations actualisées sur le nombre de fabricants de chapei ; seuls deux étaient mentionnés dans le rapport précédent. La disponibilité des instruments n</w:t>
      </w:r>
      <w:r w:rsidR="00C93212">
        <w:t>’</w:t>
      </w:r>
      <w:r>
        <w:t>est cependant pas identifiée comme un risque actuel pour la viabilité de la pratique dans le présent rapport.</w:t>
      </w:r>
    </w:p>
    <w:p w14:paraId="52768E7B" w14:textId="39B0F77D" w:rsidR="00D80CE1" w:rsidRPr="00E96786" w:rsidRDefault="00D80CE1" w:rsidP="00D80CE1">
      <w:pPr>
        <w:pStyle w:val="COMPara"/>
        <w:numPr>
          <w:ilvl w:val="0"/>
          <w:numId w:val="9"/>
        </w:numPr>
        <w:ind w:left="567" w:hanging="567"/>
        <w:jc w:val="both"/>
      </w:pPr>
      <w:r>
        <w:rPr>
          <w:color w:val="000000" w:themeColor="text1"/>
        </w:rPr>
        <w:t>Le rapport comprend un plan de sauvegarde actualisé qui se concentre sur le renforcement de la transmission par la formation des enseignants et l</w:t>
      </w:r>
      <w:r w:rsidR="00C93212">
        <w:rPr>
          <w:color w:val="000000" w:themeColor="text1"/>
        </w:rPr>
        <w:t>’</w:t>
      </w:r>
      <w:r>
        <w:rPr>
          <w:color w:val="000000" w:themeColor="text1"/>
        </w:rPr>
        <w:t>élaboration de matériel pédagogique. Le rapport priorise en outre la documentation continue, la promotion de Chapei et le développement d</w:t>
      </w:r>
      <w:r w:rsidR="00C93212">
        <w:rPr>
          <w:color w:val="000000" w:themeColor="text1"/>
        </w:rPr>
        <w:t>’</w:t>
      </w:r>
      <w:r>
        <w:rPr>
          <w:color w:val="000000" w:themeColor="text1"/>
        </w:rPr>
        <w:t>infrastructures pour soutenir la pratique, la performance et la fabrication d</w:t>
      </w:r>
      <w:r w:rsidR="00C93212">
        <w:rPr>
          <w:color w:val="000000" w:themeColor="text1"/>
        </w:rPr>
        <w:t>’</w:t>
      </w:r>
      <w:r>
        <w:rPr>
          <w:color w:val="000000" w:themeColor="text1"/>
        </w:rPr>
        <w:t>instruments. En outre, le plan prévoit d</w:t>
      </w:r>
      <w:r w:rsidR="00C93212">
        <w:rPr>
          <w:color w:val="000000" w:themeColor="text1"/>
        </w:rPr>
        <w:t>’</w:t>
      </w:r>
      <w:r>
        <w:rPr>
          <w:color w:val="000000" w:themeColor="text1"/>
        </w:rPr>
        <w:t>améliorer le cadre juridique et politique, y compris la protection de la propriété intellectuelle, et l</w:t>
      </w:r>
      <w:r w:rsidR="00C93212">
        <w:rPr>
          <w:color w:val="000000" w:themeColor="text1"/>
        </w:rPr>
        <w:t>’</w:t>
      </w:r>
      <w:r>
        <w:rPr>
          <w:color w:val="000000" w:themeColor="text1"/>
        </w:rPr>
        <w:t>utilisation des données pour informer le suivi et la planification des activités de sauvegarde. Le gouvernement continuera à soutenir ces efforts, tout en cherchant à optimiser l</w:t>
      </w:r>
      <w:r w:rsidR="00C93212">
        <w:rPr>
          <w:color w:val="000000" w:themeColor="text1"/>
        </w:rPr>
        <w:t>’</w:t>
      </w:r>
      <w:r>
        <w:rPr>
          <w:color w:val="000000" w:themeColor="text1"/>
        </w:rPr>
        <w:t>utilisation des ressources par le biais de partenariats stratégiques avec les ONG, le secteur privé et les partenaires internationaux, ainsi qu</w:t>
      </w:r>
      <w:r w:rsidR="00C93212">
        <w:rPr>
          <w:color w:val="000000" w:themeColor="text1"/>
        </w:rPr>
        <w:t>’</w:t>
      </w:r>
      <w:r>
        <w:rPr>
          <w:color w:val="000000" w:themeColor="text1"/>
        </w:rPr>
        <w:t>en renforçant les capacités des communautés à mener des initiatives de sauvegarde.</w:t>
      </w:r>
    </w:p>
    <w:p w14:paraId="2944F36E" w14:textId="77777777" w:rsidR="00D80CE1" w:rsidRPr="00E96786" w:rsidRDefault="00D80CE1" w:rsidP="00D80CE1">
      <w:pPr>
        <w:pStyle w:val="COMPara"/>
        <w:numPr>
          <w:ilvl w:val="0"/>
          <w:numId w:val="9"/>
        </w:numPr>
        <w:ind w:left="567" w:hanging="567"/>
        <w:jc w:val="both"/>
      </w:pPr>
      <w:r>
        <w:t>Le Comité souhaitera peut-être adopter la décision suivante :</w:t>
      </w:r>
    </w:p>
    <w:p w14:paraId="68B75949" w14:textId="30EC73FA" w:rsidR="00474D9F" w:rsidRPr="00E96786" w:rsidRDefault="0059194E" w:rsidP="005B1096">
      <w:pPr>
        <w:pStyle w:val="Heading4"/>
        <w:numPr>
          <w:ilvl w:val="0"/>
          <w:numId w:val="0"/>
        </w:numPr>
        <w:tabs>
          <w:tab w:val="clear" w:pos="567"/>
        </w:tabs>
        <w:spacing w:before="240"/>
        <w:ind w:left="567"/>
      </w:pPr>
      <w:bookmarkStart w:id="24" w:name="_DRAFT_DECISION_20.COM_2"/>
      <w:bookmarkEnd w:id="24"/>
      <w:r>
        <w:t>PROJET DE DECISION 20.COM 6.a.3</w:t>
      </w:r>
    </w:p>
    <w:p w14:paraId="00B52EB3" w14:textId="727F131B" w:rsidR="004D2E83" w:rsidRPr="00E96786" w:rsidRDefault="004D2E83" w:rsidP="004D2E83">
      <w:pPr>
        <w:pStyle w:val="Para"/>
        <w:keepNext/>
        <w:numPr>
          <w:ilvl w:val="0"/>
          <w:numId w:val="0"/>
        </w:numPr>
        <w:tabs>
          <w:tab w:val="left" w:pos="1134"/>
        </w:tabs>
        <w:spacing w:line="240" w:lineRule="auto"/>
        <w:ind w:left="567"/>
        <w:rPr>
          <w:rFonts w:cs="Arial"/>
          <w:sz w:val="22"/>
          <w:szCs w:val="22"/>
        </w:rPr>
      </w:pPr>
      <w:r>
        <w:rPr>
          <w:sz w:val="22"/>
        </w:rPr>
        <w:t>Le Comité</w:t>
      </w:r>
    </w:p>
    <w:p w14:paraId="59619761" w14:textId="75222D2F" w:rsidR="004D2E83" w:rsidRPr="00FC0C78" w:rsidRDefault="004D2E83" w:rsidP="004D2E83">
      <w:pPr>
        <w:pStyle w:val="Para"/>
        <w:numPr>
          <w:ilvl w:val="0"/>
          <w:numId w:val="18"/>
        </w:numPr>
        <w:tabs>
          <w:tab w:val="left" w:pos="1134"/>
        </w:tabs>
        <w:spacing w:line="240" w:lineRule="auto"/>
        <w:ind w:left="1170" w:hanging="630"/>
        <w:rPr>
          <w:rFonts w:cs="Arial"/>
          <w:sz w:val="22"/>
          <w:szCs w:val="22"/>
        </w:rPr>
      </w:pPr>
      <w:r>
        <w:rPr>
          <w:sz w:val="22"/>
          <w:u w:val="single"/>
        </w:rPr>
        <w:t>Ayant examiné</w:t>
      </w:r>
      <w:r>
        <w:rPr>
          <w:sz w:val="22"/>
        </w:rPr>
        <w:t xml:space="preserve"> le document LHE/25/20.COM/6.a,</w:t>
      </w:r>
    </w:p>
    <w:p w14:paraId="0FF9492C" w14:textId="32F52A8B" w:rsidR="004D2E83" w:rsidRPr="00E96786" w:rsidRDefault="004D2E83" w:rsidP="004D2E83">
      <w:pPr>
        <w:pStyle w:val="Para"/>
        <w:numPr>
          <w:ilvl w:val="0"/>
          <w:numId w:val="14"/>
        </w:numPr>
        <w:tabs>
          <w:tab w:val="left" w:pos="1134"/>
        </w:tabs>
        <w:spacing w:line="240" w:lineRule="auto"/>
        <w:ind w:left="1134" w:hanging="567"/>
        <w:rPr>
          <w:rFonts w:cs="Arial"/>
          <w:sz w:val="22"/>
          <w:szCs w:val="22"/>
        </w:rPr>
      </w:pPr>
      <w:r>
        <w:rPr>
          <w:sz w:val="22"/>
          <w:u w:val="single"/>
        </w:rPr>
        <w:t>Rappelant</w:t>
      </w:r>
      <w:r>
        <w:rPr>
          <w:sz w:val="22"/>
        </w:rPr>
        <w:t xml:space="preserve"> le chapitre V des Directives opérationnelles et ses décisions </w:t>
      </w:r>
      <w:hyperlink r:id="rId41" w:history="1">
        <w:r>
          <w:rPr>
            <w:rStyle w:val="Hyperlink"/>
            <w:color w:val="1107FB"/>
            <w:sz w:val="22"/>
          </w:rPr>
          <w:t>11.COM 10.a.6</w:t>
        </w:r>
      </w:hyperlink>
      <w:r>
        <w:rPr>
          <w:sz w:val="22"/>
        </w:rPr>
        <w:t xml:space="preserve"> et </w:t>
      </w:r>
      <w:hyperlink r:id="rId42" w:history="1">
        <w:r>
          <w:rPr>
            <w:rStyle w:val="Hyperlink"/>
            <w:sz w:val="22"/>
          </w:rPr>
          <w:t>16.COM 7.a.1</w:t>
        </w:r>
      </w:hyperlink>
      <w:r>
        <w:rPr>
          <w:sz w:val="22"/>
        </w:rPr>
        <w:t xml:space="preserve">, </w:t>
      </w:r>
    </w:p>
    <w:p w14:paraId="6978C3CC" w14:textId="6F1EFD94" w:rsidR="004D2E83" w:rsidRPr="00E96786" w:rsidRDefault="004D2E83" w:rsidP="004D2E83">
      <w:pPr>
        <w:pStyle w:val="Para"/>
        <w:numPr>
          <w:ilvl w:val="0"/>
          <w:numId w:val="14"/>
        </w:numPr>
        <w:tabs>
          <w:tab w:val="left" w:pos="1134"/>
        </w:tabs>
        <w:spacing w:line="240" w:lineRule="auto"/>
        <w:ind w:left="1134" w:hanging="567"/>
        <w:rPr>
          <w:rFonts w:eastAsia="Times New Roman" w:cs="Arial"/>
          <w:color w:val="000000"/>
          <w:sz w:val="22"/>
          <w:szCs w:val="22"/>
        </w:rPr>
      </w:pPr>
      <w:r>
        <w:rPr>
          <w:color w:val="000000"/>
          <w:sz w:val="22"/>
          <w:u w:val="single"/>
        </w:rPr>
        <w:t>Remercie</w:t>
      </w:r>
      <w:r>
        <w:rPr>
          <w:color w:val="000000"/>
          <w:sz w:val="22"/>
        </w:rPr>
        <w:t xml:space="preserve"> le Cambodge d</w:t>
      </w:r>
      <w:r w:rsidR="00C93212">
        <w:rPr>
          <w:color w:val="000000"/>
          <w:sz w:val="22"/>
        </w:rPr>
        <w:t>’</w:t>
      </w:r>
      <w:r>
        <w:rPr>
          <w:color w:val="000000"/>
          <w:sz w:val="22"/>
        </w:rPr>
        <w:t>avoir soumis, dans les délais, son deuxième rapport sur l</w:t>
      </w:r>
      <w:r w:rsidR="00C93212">
        <w:rPr>
          <w:color w:val="000000"/>
          <w:sz w:val="22"/>
        </w:rPr>
        <w:t>’</w:t>
      </w:r>
      <w:r>
        <w:rPr>
          <w:color w:val="000000"/>
          <w:sz w:val="22"/>
        </w:rPr>
        <w:t>état de l</w:t>
      </w:r>
      <w:r w:rsidR="00C93212">
        <w:rPr>
          <w:color w:val="000000"/>
          <w:sz w:val="22"/>
        </w:rPr>
        <w:t>’</w:t>
      </w:r>
      <w:r>
        <w:rPr>
          <w:color w:val="000000"/>
          <w:sz w:val="22"/>
        </w:rPr>
        <w:t>élément « Le chapei Dang Veng », inscrit en 2016 sur la Liste du patrimoine culturel immatériel nécessitant une sauvegarde urgente ;</w:t>
      </w:r>
    </w:p>
    <w:p w14:paraId="58FC4665" w14:textId="0F2BAF86" w:rsidR="004D2E83" w:rsidRPr="00E96786" w:rsidRDefault="004D2E83" w:rsidP="004D2E83">
      <w:pPr>
        <w:pStyle w:val="Para"/>
        <w:numPr>
          <w:ilvl w:val="0"/>
          <w:numId w:val="14"/>
        </w:numPr>
        <w:tabs>
          <w:tab w:val="left" w:pos="1134"/>
        </w:tabs>
        <w:spacing w:line="240" w:lineRule="auto"/>
        <w:ind w:left="1134" w:hanging="567"/>
        <w:rPr>
          <w:rFonts w:eastAsia="Times New Roman" w:cs="Arial"/>
          <w:color w:val="000000"/>
          <w:sz w:val="22"/>
          <w:szCs w:val="22"/>
        </w:rPr>
      </w:pPr>
      <w:r>
        <w:rPr>
          <w:color w:val="000000"/>
          <w:sz w:val="22"/>
          <w:u w:val="single"/>
        </w:rPr>
        <w:t>Prend note</w:t>
      </w:r>
      <w:r>
        <w:rPr>
          <w:color w:val="000000"/>
          <w:sz w:val="22"/>
        </w:rPr>
        <w:t xml:space="preserve"> des efforts déployés par le Cambodge pour sauvegarder l</w:t>
      </w:r>
      <w:r w:rsidR="00C93212">
        <w:rPr>
          <w:color w:val="000000"/>
          <w:sz w:val="22"/>
        </w:rPr>
        <w:t>’</w:t>
      </w:r>
      <w:r>
        <w:rPr>
          <w:color w:val="000000"/>
          <w:sz w:val="22"/>
        </w:rPr>
        <w:t xml:space="preserve">élément, notamment la documentation en cours le concernant, le renforcement de la transmission via </w:t>
      </w:r>
      <w:r w:rsidR="009D078E">
        <w:rPr>
          <w:color w:val="000000"/>
          <w:sz w:val="22"/>
        </w:rPr>
        <w:t>l</w:t>
      </w:r>
      <w:r w:rsidR="00C93212">
        <w:rPr>
          <w:color w:val="000000"/>
          <w:sz w:val="22"/>
        </w:rPr>
        <w:t>’</w:t>
      </w:r>
      <w:r w:rsidR="005202D0">
        <w:rPr>
          <w:color w:val="000000"/>
          <w:sz w:val="22"/>
        </w:rPr>
        <w:t xml:space="preserve">éducation </w:t>
      </w:r>
      <w:r>
        <w:rPr>
          <w:color w:val="000000"/>
          <w:sz w:val="22"/>
        </w:rPr>
        <w:t>et la formation formel</w:t>
      </w:r>
      <w:r w:rsidR="005202D0">
        <w:rPr>
          <w:color w:val="000000"/>
          <w:sz w:val="22"/>
        </w:rPr>
        <w:t>le</w:t>
      </w:r>
      <w:r>
        <w:rPr>
          <w:color w:val="000000"/>
          <w:sz w:val="22"/>
        </w:rPr>
        <w:t>s et non formel</w:t>
      </w:r>
      <w:r w:rsidR="005202D0">
        <w:rPr>
          <w:color w:val="000000"/>
          <w:sz w:val="22"/>
        </w:rPr>
        <w:t>le</w:t>
      </w:r>
      <w:r>
        <w:rPr>
          <w:color w:val="000000"/>
          <w:sz w:val="22"/>
        </w:rPr>
        <w:t>s, la reconnaissance des maîtres chapei et le soutien aux artistes émergents, ainsi que la visibilité et la sensibilisation accrues de cette tradition musicale grâce à des spectacles, à l</w:t>
      </w:r>
      <w:r w:rsidR="00C93212">
        <w:rPr>
          <w:color w:val="000000"/>
          <w:sz w:val="22"/>
        </w:rPr>
        <w:t>’</w:t>
      </w:r>
      <w:r>
        <w:rPr>
          <w:color w:val="000000"/>
          <w:sz w:val="22"/>
        </w:rPr>
        <w:t>innovation artistique et à sa diffusion dans les médias ;</w:t>
      </w:r>
    </w:p>
    <w:p w14:paraId="61257000" w14:textId="3677CAA7" w:rsidR="004D2E83" w:rsidRPr="009D078E" w:rsidRDefault="004D2E83" w:rsidP="004D2E83">
      <w:pPr>
        <w:pStyle w:val="Para"/>
        <w:numPr>
          <w:ilvl w:val="0"/>
          <w:numId w:val="14"/>
        </w:numPr>
        <w:tabs>
          <w:tab w:val="left" w:pos="1134"/>
        </w:tabs>
        <w:spacing w:line="240" w:lineRule="auto"/>
        <w:ind w:left="1134" w:hanging="567"/>
        <w:rPr>
          <w:color w:val="000000"/>
          <w:sz w:val="22"/>
        </w:rPr>
      </w:pPr>
      <w:r>
        <w:rPr>
          <w:color w:val="000000"/>
          <w:sz w:val="22"/>
          <w:u w:val="single"/>
        </w:rPr>
        <w:t>Encourage</w:t>
      </w:r>
      <w:r>
        <w:rPr>
          <w:color w:val="000000"/>
          <w:sz w:val="22"/>
        </w:rPr>
        <w:t xml:space="preserve"> l</w:t>
      </w:r>
      <w:r w:rsidR="00C93212">
        <w:rPr>
          <w:color w:val="000000"/>
          <w:sz w:val="22"/>
        </w:rPr>
        <w:t>’</w:t>
      </w:r>
      <w:r>
        <w:rPr>
          <w:color w:val="000000"/>
          <w:sz w:val="22"/>
        </w:rPr>
        <w:t>État partie à poursuivre ses efforts pour renforcer la transmission par la formation et l</w:t>
      </w:r>
      <w:r w:rsidR="00C93212">
        <w:rPr>
          <w:color w:val="000000"/>
          <w:sz w:val="22"/>
        </w:rPr>
        <w:t>’</w:t>
      </w:r>
      <w:r>
        <w:rPr>
          <w:color w:val="000000"/>
          <w:sz w:val="22"/>
        </w:rPr>
        <w:t>éducation sur le chapei, de sorte à préserver tous les aspects de l</w:t>
      </w:r>
      <w:r w:rsidR="00C93212">
        <w:rPr>
          <w:color w:val="000000"/>
          <w:sz w:val="22"/>
        </w:rPr>
        <w:t>’</w:t>
      </w:r>
      <w:r>
        <w:rPr>
          <w:color w:val="000000"/>
          <w:sz w:val="22"/>
        </w:rPr>
        <w:t>élément, y compris les connaissances et les compétences liées à la fabrication d</w:t>
      </w:r>
      <w:r w:rsidR="00C93212">
        <w:rPr>
          <w:color w:val="000000"/>
          <w:sz w:val="22"/>
        </w:rPr>
        <w:t>’</w:t>
      </w:r>
      <w:r>
        <w:rPr>
          <w:color w:val="000000"/>
          <w:sz w:val="22"/>
        </w:rPr>
        <w:t>instruments chapei, ainsi que pour continuer à impliquer les membres de la communauté, les organisations et les autres parties prenantes dans la planification, la mise en œuvre et le suivi des activités de sauvegarde ;</w:t>
      </w:r>
    </w:p>
    <w:p w14:paraId="73D0ABA3" w14:textId="5FDC22F5" w:rsidR="0039742D" w:rsidRPr="00E96786" w:rsidRDefault="0039742D" w:rsidP="004D2E83">
      <w:pPr>
        <w:pStyle w:val="Para"/>
        <w:numPr>
          <w:ilvl w:val="0"/>
          <w:numId w:val="14"/>
        </w:numPr>
        <w:tabs>
          <w:tab w:val="left" w:pos="1134"/>
        </w:tabs>
        <w:spacing w:line="240" w:lineRule="auto"/>
        <w:ind w:left="1134" w:hanging="567"/>
        <w:rPr>
          <w:rFonts w:eastAsia="Times New Roman" w:cs="Arial"/>
          <w:color w:val="000000"/>
          <w:sz w:val="22"/>
          <w:szCs w:val="22"/>
        </w:rPr>
      </w:pPr>
      <w:r>
        <w:rPr>
          <w:color w:val="000000"/>
          <w:sz w:val="22"/>
          <w:u w:val="single"/>
        </w:rPr>
        <w:t>Encourage en outre</w:t>
      </w:r>
      <w:r>
        <w:rPr>
          <w:color w:val="000000"/>
          <w:sz w:val="22"/>
        </w:rPr>
        <w:t xml:space="preserve"> l</w:t>
      </w:r>
      <w:r w:rsidR="00C93212">
        <w:rPr>
          <w:color w:val="000000"/>
          <w:sz w:val="22"/>
        </w:rPr>
        <w:t>’</w:t>
      </w:r>
      <w:r>
        <w:rPr>
          <w:color w:val="000000"/>
          <w:sz w:val="22"/>
        </w:rPr>
        <w:t>État partie à trouver des moyens novateurs pour inciter les jeunes générations à apprendre et à pratiquer l</w:t>
      </w:r>
      <w:r w:rsidR="00C93212">
        <w:rPr>
          <w:color w:val="000000"/>
          <w:sz w:val="22"/>
        </w:rPr>
        <w:t>’</w:t>
      </w:r>
      <w:r>
        <w:rPr>
          <w:color w:val="000000"/>
          <w:sz w:val="22"/>
        </w:rPr>
        <w:t>élément, tout en s</w:t>
      </w:r>
      <w:r w:rsidR="00C93212">
        <w:rPr>
          <w:color w:val="000000"/>
          <w:sz w:val="22"/>
        </w:rPr>
        <w:t>’</w:t>
      </w:r>
      <w:r>
        <w:rPr>
          <w:color w:val="000000"/>
          <w:sz w:val="22"/>
        </w:rPr>
        <w:t>attaquant au risque de décontextualisation.</w:t>
      </w:r>
    </w:p>
    <w:p w14:paraId="6240CE31" w14:textId="004B1D74" w:rsidR="00474D9F" w:rsidRPr="00E96786" w:rsidRDefault="00474D9F" w:rsidP="009D078E">
      <w:pPr>
        <w:pStyle w:val="COMTitleDecision"/>
        <w:keepLines/>
        <w:spacing w:before="120"/>
        <w:ind w:left="562"/>
      </w:pPr>
      <w:r>
        <w:t xml:space="preserve">Égypte : « Le </w:t>
      </w:r>
      <w:r>
        <w:rPr>
          <w:color w:val="000000"/>
        </w:rPr>
        <w:t>tissage à la main en Haute-Égypte (Sa</w:t>
      </w:r>
      <w:r w:rsidR="00C93212">
        <w:rPr>
          <w:color w:val="000000"/>
        </w:rPr>
        <w:t>’</w:t>
      </w:r>
      <w:r>
        <w:rPr>
          <w:color w:val="000000"/>
        </w:rPr>
        <w:t>eed) »</w:t>
      </w:r>
      <w:r>
        <w:rPr>
          <w:i/>
        </w:rPr>
        <w:t xml:space="preserve"> </w:t>
      </w:r>
      <w:r w:rsidRPr="00E02EBC">
        <w:rPr>
          <w:b w:val="0"/>
          <w:bCs/>
          <w:i/>
        </w:rPr>
        <w:t xml:space="preserve">(voir le </w:t>
      </w:r>
      <w:hyperlink r:id="rId43" w:history="1">
        <w:r w:rsidR="003070F6" w:rsidRPr="00E02EBC">
          <w:rPr>
            <w:rStyle w:val="Hyperlink"/>
            <w:b w:val="0"/>
            <w:bCs/>
            <w:i/>
          </w:rPr>
          <w:t>rapport</w:t>
        </w:r>
      </w:hyperlink>
      <w:r w:rsidRPr="00E02EBC">
        <w:rPr>
          <w:b w:val="0"/>
          <w:bCs/>
          <w:i/>
        </w:rPr>
        <w:t>)</w:t>
      </w:r>
    </w:p>
    <w:p w14:paraId="1DFF2793" w14:textId="56820FB6" w:rsidR="00F1246B" w:rsidRPr="00E96786" w:rsidRDefault="00F1246B" w:rsidP="00F1246B">
      <w:pPr>
        <w:pStyle w:val="COMPara"/>
        <w:numPr>
          <w:ilvl w:val="0"/>
          <w:numId w:val="9"/>
        </w:numPr>
        <w:ind w:left="567" w:hanging="567"/>
        <w:jc w:val="both"/>
        <w:rPr>
          <w:bCs/>
        </w:rPr>
      </w:pPr>
      <w:bookmarkStart w:id="25" w:name="_Hlk204353084"/>
      <w:r>
        <w:rPr>
          <w:snapToGrid/>
          <w:color w:val="000000"/>
        </w:rPr>
        <w:t>« Le tissage à la main en Haute-Égypte (Sa</w:t>
      </w:r>
      <w:r w:rsidR="00C93212">
        <w:rPr>
          <w:snapToGrid/>
          <w:color w:val="000000"/>
        </w:rPr>
        <w:t>’</w:t>
      </w:r>
      <w:r>
        <w:rPr>
          <w:snapToGrid/>
          <w:color w:val="000000"/>
        </w:rPr>
        <w:t>eed) » constitue un ensemble de connaissances et de savoir-faire traditionnels associés aux techniques de tissage, à la préparation des métiers à tisser et à l</w:t>
      </w:r>
      <w:r w:rsidR="00C93212">
        <w:rPr>
          <w:snapToGrid/>
          <w:color w:val="000000"/>
        </w:rPr>
        <w:t>’</w:t>
      </w:r>
      <w:r>
        <w:rPr>
          <w:snapToGrid/>
          <w:color w:val="000000"/>
        </w:rPr>
        <w:t xml:space="preserve">enfilage. Historiquement, la pratique utilise des fibres naturelles telles que la soie, le coton, le lin et la laine. Cet élément est depuis longtemps une composante à part entière des communautés rurales et urbaines et constitue un marqueur important de leur mémoire historique et de leurs identités culturelles. Il englobe un système complexe de </w:t>
      </w:r>
      <w:r w:rsidR="000C1B3E">
        <w:rPr>
          <w:snapToGrid/>
          <w:color w:val="000000"/>
        </w:rPr>
        <w:t xml:space="preserve">détenteurs </w:t>
      </w:r>
      <w:r>
        <w:rPr>
          <w:snapToGrid/>
          <w:color w:val="000000"/>
        </w:rPr>
        <w:t xml:space="preserve">et de praticiens interconnectés, tels que les </w:t>
      </w:r>
      <w:r>
        <w:t>tisserands, les fabricants de métiers à tisser, les cultivateurs de lin et de coton, les éleveurs de moutons, les fabricants de soie et les tailleurs</w:t>
      </w:r>
      <w:r>
        <w:rPr>
          <w:snapToGrid/>
          <w:color w:val="000000"/>
        </w:rPr>
        <w:t>. L</w:t>
      </w:r>
      <w:r w:rsidR="00C93212">
        <w:rPr>
          <w:snapToGrid/>
          <w:color w:val="000000"/>
        </w:rPr>
        <w:t>’</w:t>
      </w:r>
      <w:r>
        <w:rPr>
          <w:snapToGrid/>
          <w:color w:val="000000"/>
        </w:rPr>
        <w:t>élément est pratiqué aussi bien par les hommes que par les femmes, et la cellule familiale constitue le principal cadre social de sa transmission orale intergénérationnelle. Le lien durable entre la pratique et la vie quotidienne des communautés se reflète dans les systèmes de connaissances, les technologies, la terminologie et la conceptualisation</w:t>
      </w:r>
      <w:r>
        <w:rPr>
          <w:rFonts w:ascii="Times New Roman" w:hAnsi="Times New Roman"/>
          <w:snapToGrid/>
          <w:sz w:val="24"/>
        </w:rPr>
        <w:t xml:space="preserve"> </w:t>
      </w:r>
      <w:r>
        <w:rPr>
          <w:snapToGrid/>
          <w:color w:val="000000"/>
        </w:rPr>
        <w:t xml:space="preserve">anthropomorphique des pratiques artisanales et des outils, reflétant la relation intime et animée de la communauté avec son patrimoine. Outre son importance socioculturelle, cet élément a toujours eu une importance économique considérable pour les communautés concernées, constituant une source vitale de revenus pour de nombreux ménages. </w:t>
      </w:r>
    </w:p>
    <w:p w14:paraId="609DF0BE" w14:textId="495CA18A" w:rsidR="00F1246B" w:rsidRPr="00E96786" w:rsidRDefault="00F1246B" w:rsidP="00F1246B">
      <w:pPr>
        <w:pStyle w:val="COMPara"/>
        <w:numPr>
          <w:ilvl w:val="0"/>
          <w:numId w:val="9"/>
        </w:numPr>
        <w:ind w:left="567" w:hanging="567"/>
        <w:jc w:val="both"/>
      </w:pPr>
      <w:r>
        <w:t>L</w:t>
      </w:r>
      <w:r w:rsidR="00C93212">
        <w:t>’</w:t>
      </w:r>
      <w:r>
        <w:t xml:space="preserve">élément a été inscrit sur la </w:t>
      </w:r>
      <w:r w:rsidR="00E049B5">
        <w:t>L</w:t>
      </w:r>
      <w:r>
        <w:t>iste de sauvegarde urgente en 2020. Conformément à la demande formulée par la quinzième session du Comité (</w:t>
      </w:r>
      <w:r w:rsidR="0039742D">
        <w:t>D</w:t>
      </w:r>
      <w:r>
        <w:t xml:space="preserve">écision </w:t>
      </w:r>
      <w:hyperlink r:id="rId44" w:history="1">
        <w:r>
          <w:rPr>
            <w:rStyle w:val="Hyperlink"/>
          </w:rPr>
          <w:t>15.COM 8.a.3)</w:t>
        </w:r>
      </w:hyperlink>
      <w:r>
        <w:t xml:space="preserve">, le </w:t>
      </w:r>
      <w:hyperlink r:id="rId45" w:history="1">
        <w:r>
          <w:rPr>
            <w:rStyle w:val="Hyperlink"/>
            <w:shd w:val="clear" w:color="auto" w:fill="FFFFFF"/>
          </w:rPr>
          <w:t>premier rapport</w:t>
        </w:r>
      </w:hyperlink>
      <w:r>
        <w:rPr>
          <w:color w:val="222222"/>
          <w:shd w:val="clear" w:color="auto" w:fill="FFFFFF"/>
        </w:rPr>
        <w:t xml:space="preserve"> </w:t>
      </w:r>
      <w:r>
        <w:rPr>
          <w:shd w:val="clear" w:color="auto" w:fill="FFFFFF"/>
        </w:rPr>
        <w:t>a été soumis deux ans après l</w:t>
      </w:r>
      <w:r w:rsidR="00C93212">
        <w:rPr>
          <w:shd w:val="clear" w:color="auto" w:fill="FFFFFF"/>
        </w:rPr>
        <w:t>’</w:t>
      </w:r>
      <w:r>
        <w:rPr>
          <w:shd w:val="clear" w:color="auto" w:fill="FFFFFF"/>
        </w:rPr>
        <w:t>inscription pour examen par le Comité lors de sa dix-huitième session en 2023 (</w:t>
      </w:r>
      <w:r w:rsidR="0039742D">
        <w:rPr>
          <w:shd w:val="clear" w:color="auto" w:fill="FFFFFF"/>
        </w:rPr>
        <w:t>D</w:t>
      </w:r>
      <w:r>
        <w:rPr>
          <w:shd w:val="clear" w:color="auto" w:fill="FFFFFF"/>
        </w:rPr>
        <w:t xml:space="preserve">écision </w:t>
      </w:r>
      <w:hyperlink r:id="rId46" w:history="1">
        <w:r>
          <w:rPr>
            <w:rStyle w:val="Hyperlink"/>
            <w:shd w:val="clear" w:color="auto" w:fill="FFFFFF"/>
          </w:rPr>
          <w:t>18.COM 7.a.5</w:t>
        </w:r>
      </w:hyperlink>
      <w:r>
        <w:t>)</w:t>
      </w:r>
      <w:r>
        <w:rPr>
          <w:color w:val="222222"/>
          <w:shd w:val="clear" w:color="auto" w:fill="FFFFFF"/>
        </w:rPr>
        <w:t xml:space="preserve">. </w:t>
      </w:r>
      <w:r w:rsidRPr="009D078E">
        <w:rPr>
          <w:shd w:val="clear" w:color="auto" w:fill="FFFFFF"/>
        </w:rPr>
        <w:t>Il s</w:t>
      </w:r>
      <w:r w:rsidR="00C93212">
        <w:rPr>
          <w:shd w:val="clear" w:color="auto" w:fill="FFFFFF"/>
        </w:rPr>
        <w:t>’</w:t>
      </w:r>
      <w:r w:rsidRPr="009D078E">
        <w:rPr>
          <w:shd w:val="clear" w:color="auto" w:fill="FFFFFF"/>
        </w:rPr>
        <w:t>agit du deuxième rapport sur l</w:t>
      </w:r>
      <w:r w:rsidR="00C93212">
        <w:rPr>
          <w:shd w:val="clear" w:color="auto" w:fill="FFFFFF"/>
        </w:rPr>
        <w:t>’</w:t>
      </w:r>
      <w:r w:rsidRPr="009D078E">
        <w:rPr>
          <w:shd w:val="clear" w:color="auto" w:fill="FFFFFF"/>
        </w:rPr>
        <w:t>état de cet élément, rétablissant le cycle de rapport selon le calendrier quadriennal habituel</w:t>
      </w:r>
      <w:r w:rsidRPr="004459E4">
        <w:rPr>
          <w:shd w:val="clear" w:color="auto" w:fill="FFFFFF"/>
        </w:rPr>
        <w:t>.</w:t>
      </w:r>
    </w:p>
    <w:p w14:paraId="262987A9" w14:textId="423CBE08" w:rsidR="00F1246B" w:rsidRPr="00CD33D2" w:rsidRDefault="00F1246B" w:rsidP="003D7316">
      <w:pPr>
        <w:pStyle w:val="COMPara"/>
        <w:numPr>
          <w:ilvl w:val="0"/>
          <w:numId w:val="9"/>
        </w:numPr>
        <w:ind w:left="567" w:hanging="567"/>
        <w:jc w:val="both"/>
      </w:pPr>
      <w:r>
        <w:rPr>
          <w:b/>
        </w:rPr>
        <w:t>Efficacité du plan de sauvegarde.</w:t>
      </w:r>
      <w:r>
        <w:t xml:space="preserve"> Le rapport souligne l</w:t>
      </w:r>
      <w:r w:rsidR="00C93212">
        <w:t>’</w:t>
      </w:r>
      <w:r>
        <w:t>impact croissant de l</w:t>
      </w:r>
      <w:r w:rsidR="00C93212">
        <w:t>’</w:t>
      </w:r>
      <w:r>
        <w:t>inscription sur la visibilité de l</w:t>
      </w:r>
      <w:r w:rsidR="00C93212">
        <w:t>’</w:t>
      </w:r>
      <w:r>
        <w:t>élément ainsi que sur le maintien de son utilisation dans les textiles d</w:t>
      </w:r>
      <w:r w:rsidR="00C93212">
        <w:t>’</w:t>
      </w:r>
      <w:r>
        <w:t>intérieur, malgré l</w:t>
      </w:r>
      <w:r w:rsidR="00C93212">
        <w:t>’</w:t>
      </w:r>
      <w:r>
        <w:t>abandon des fibres traditionnelles au profit d</w:t>
      </w:r>
      <w:r w:rsidR="00C93212">
        <w:t>’</w:t>
      </w:r>
      <w:r>
        <w:t>un coton plus largement disponible et souvent de moindre qualité. Sa participation à des foires nationales telles que Turathna et de vastes campagnes médiatiques ont collectivement amélioré la sensibilisation du public. Le plan prévoit une approche multipartite, avec une forte coopération entre les acteurs gouvernementaux et non gouvernementaux, y compris les organisations communautaires, notamment en ce qui concerne la coordination des ateliers de formation et la mise à disposition d</w:t>
      </w:r>
      <w:r w:rsidR="00C93212">
        <w:t>’</w:t>
      </w:r>
      <w:r>
        <w:t>espaces d</w:t>
      </w:r>
      <w:r w:rsidR="00C93212">
        <w:t>’</w:t>
      </w:r>
      <w:r>
        <w:t>exposition. L</w:t>
      </w:r>
      <w:r w:rsidR="00C93212">
        <w:t>’</w:t>
      </w:r>
      <w:r>
        <w:t>impact du plan a toutefois été limité par des problèmes structurels, notamment la baisse continue de la qualité des matières premières, l</w:t>
      </w:r>
      <w:r w:rsidR="00C93212">
        <w:t>’</w:t>
      </w:r>
      <w:r>
        <w:t xml:space="preserve">absence de soutien financier systémique et les vulnérabilités économiques plus larges auxquelles sont confrontés les artisans ruraux. Comme indiqué dans le précédent rapport, la pandémie de COVID-19 a gravement entravé la mise en œuvre initiale. </w:t>
      </w:r>
      <w:r>
        <w:rPr>
          <w:snapToGrid/>
        </w:rPr>
        <w:t>Si le rapport mentionne à nouveau l</w:t>
      </w:r>
      <w:r w:rsidR="00C93212">
        <w:rPr>
          <w:snapToGrid/>
        </w:rPr>
        <w:t>’</w:t>
      </w:r>
      <w:r>
        <w:rPr>
          <w:snapToGrid/>
        </w:rPr>
        <w:t>inclusion de l</w:t>
      </w:r>
      <w:r w:rsidR="00C93212">
        <w:rPr>
          <w:snapToGrid/>
        </w:rPr>
        <w:t>’</w:t>
      </w:r>
      <w:r>
        <w:rPr>
          <w:snapToGrid/>
        </w:rPr>
        <w:t>élément dans les programmes d</w:t>
      </w:r>
      <w:r w:rsidR="00C93212">
        <w:rPr>
          <w:snapToGrid/>
        </w:rPr>
        <w:t>’</w:t>
      </w:r>
      <w:r>
        <w:rPr>
          <w:snapToGrid/>
        </w:rPr>
        <w:t>enseignement primaire, il manque d</w:t>
      </w:r>
      <w:r w:rsidR="00C93212">
        <w:rPr>
          <w:snapToGrid/>
        </w:rPr>
        <w:t>’</w:t>
      </w:r>
      <w:r>
        <w:rPr>
          <w:snapToGrid/>
        </w:rPr>
        <w:t>informations supplémentaires concernant le contenu spécifique, l</w:t>
      </w:r>
      <w:r w:rsidR="00C93212">
        <w:rPr>
          <w:snapToGrid/>
        </w:rPr>
        <w:t>’</w:t>
      </w:r>
      <w:r>
        <w:rPr>
          <w:snapToGrid/>
        </w:rPr>
        <w:t>étendue ou les résultats éducatifs associés à cette mesure.</w:t>
      </w:r>
      <w:r>
        <w:t xml:space="preserve"> Les progrès réalisés dans la mise à jour de l</w:t>
      </w:r>
      <w:r w:rsidR="00C93212">
        <w:t>’</w:t>
      </w:r>
      <w:r>
        <w:t>inventaire national avec les techniques et les modèles de tissage traditionnels à utiliser dans l</w:t>
      </w:r>
      <w:r w:rsidR="00C93212">
        <w:t>’</w:t>
      </w:r>
      <w:r>
        <w:t>enseignement représentent une évolution positive.</w:t>
      </w:r>
    </w:p>
    <w:p w14:paraId="224621AF" w14:textId="7C9412FD" w:rsidR="00F1246B" w:rsidRPr="001668C0" w:rsidRDefault="00F1246B" w:rsidP="001668C0">
      <w:pPr>
        <w:pStyle w:val="COMPara"/>
        <w:numPr>
          <w:ilvl w:val="0"/>
          <w:numId w:val="9"/>
        </w:numPr>
        <w:ind w:left="567" w:hanging="567"/>
        <w:jc w:val="both"/>
        <w:rPr>
          <w:bCs/>
        </w:rPr>
      </w:pPr>
      <w:r>
        <w:rPr>
          <w:b/>
        </w:rPr>
        <w:t>Participation de la communauté.</w:t>
      </w:r>
      <w:r>
        <w:t xml:space="preserve"> Selon le rapport, l</w:t>
      </w:r>
      <w:r w:rsidR="00C93212">
        <w:t>’</w:t>
      </w:r>
      <w:r>
        <w:t xml:space="preserve">élément relie un large éventail de </w:t>
      </w:r>
      <w:r w:rsidR="000C1B3E">
        <w:t xml:space="preserve">détenteurs </w:t>
      </w:r>
      <w:r>
        <w:t>et de parties prenantes. Les interventions ciblées et l</w:t>
      </w:r>
      <w:r w:rsidR="00C93212">
        <w:t>’</w:t>
      </w:r>
      <w:r>
        <w:t>inscription ont entraîné une augmentation du nombre de praticiens. Le profil traditionnel de ces derniers a légèrement évolué : alors que le rôle des femmes était autrefois confiné dans des espaces privés et soumis à des restrictions, de récentes campagnes médiatiques ont levé des obstacles tels que les limitations de déplacement, permettant une plus grande visibilité de leur travail et de meilleures opportunités économiques. À Sa</w:t>
      </w:r>
      <w:r w:rsidR="00C93212">
        <w:t>’</w:t>
      </w:r>
      <w:r>
        <w:t>eed, une génération plus âgée et expérimentée reste active et pourrait contribuer davantage à la documentation et à la formation. L</w:t>
      </w:r>
      <w:r w:rsidR="00C93212">
        <w:t>’</w:t>
      </w:r>
      <w:r>
        <w:t>engagement communautaire se traduit principalement par la participation à des foires et expositions organisées par les ministères, ainsi que par l</w:t>
      </w:r>
      <w:r w:rsidR="00C93212">
        <w:t>’</w:t>
      </w:r>
      <w:r>
        <w:t>implication dans l</w:t>
      </w:r>
      <w:r w:rsidR="00C93212">
        <w:t>’</w:t>
      </w:r>
      <w:r>
        <w:t>évaluation des plans de sauvegarde. Cet engagement est soutenu par un solide réseau d</w:t>
      </w:r>
      <w:r w:rsidR="00C93212">
        <w:t>’</w:t>
      </w:r>
      <w:r>
        <w:t>ONG axé sur la formation, la documentation et la commercialisation des produits du tissage. La participation des organisations communautaires à la planification et à la mise en œuvre des mesures de sauvegarde, y compris la formulation du présent rapport, reflète une approche inclusive et ancrée localement. Néanmoins, le rapport aurait pu fournir des données plus complètes sur les résultats de la formation, l</w:t>
      </w:r>
      <w:r w:rsidR="00C93212">
        <w:t>’</w:t>
      </w:r>
      <w:r>
        <w:t xml:space="preserve">impact sur </w:t>
      </w:r>
      <w:r w:rsidR="004459E4">
        <w:t>le genre</w:t>
      </w:r>
      <w:r>
        <w:t xml:space="preserve"> et la diffusion régionale des activités.</w:t>
      </w:r>
    </w:p>
    <w:p w14:paraId="0E747EE6" w14:textId="6AE137AF" w:rsidR="00F1246B" w:rsidRPr="00E96786" w:rsidRDefault="00F1246B" w:rsidP="005B1096">
      <w:pPr>
        <w:pStyle w:val="COMPara"/>
        <w:numPr>
          <w:ilvl w:val="0"/>
          <w:numId w:val="9"/>
        </w:numPr>
        <w:ind w:left="567" w:hanging="567"/>
        <w:jc w:val="both"/>
        <w:rPr>
          <w:bCs/>
        </w:rPr>
      </w:pPr>
      <w:r>
        <w:rPr>
          <w:b/>
        </w:rPr>
        <w:t xml:space="preserve">Viabilité et risques actuels. </w:t>
      </w:r>
      <w:r>
        <w:t>Le rapport indique que l</w:t>
      </w:r>
      <w:r w:rsidR="00C93212">
        <w:t>’</w:t>
      </w:r>
      <w:r>
        <w:t>inscription de l</w:t>
      </w:r>
      <w:r w:rsidR="00C93212">
        <w:t>’</w:t>
      </w:r>
      <w:r>
        <w:t>élément a considérablement amélioré sa visibilité, contribué à sa renaissance et renforcé sa viabilité globale. Elle a également renforcé la pertinence culturelle, sociale et économique de l</w:t>
      </w:r>
      <w:r w:rsidR="00C93212">
        <w:t>’</w:t>
      </w:r>
      <w:r>
        <w:t>élément. En outre, l</w:t>
      </w:r>
      <w:r w:rsidR="00C93212">
        <w:t>’</w:t>
      </w:r>
      <w:r>
        <w:t>inscription a permis de sensibiliser le public, de mobiliser le soutien aux niveaux local et national et de faire renaître un sentiment d</w:t>
      </w:r>
      <w:r w:rsidR="00C93212">
        <w:t>’</w:t>
      </w:r>
      <w:r>
        <w:t>identité culturelle associé à la région de Haute-Égypte. Le tissage artisanal bénéficie aujourd</w:t>
      </w:r>
      <w:r w:rsidR="00C93212">
        <w:t>’</w:t>
      </w:r>
      <w:r>
        <w:t>hui d</w:t>
      </w:r>
      <w:r w:rsidR="00C93212">
        <w:t>’</w:t>
      </w:r>
      <w:r>
        <w:t>une plus grande reconnaissance. Toutefois, malgré ces évolutions positives, des mesures de sauvegarde urgentes restent nécessaires, car des risques structurels persistent. Parmi les problèmes les plus urgents, on peut citer l</w:t>
      </w:r>
      <w:r w:rsidR="00C93212">
        <w:t>’</w:t>
      </w:r>
      <w:r>
        <w:t>âge avancé des principaux tisserands experts et la faible viabilité économique de l</w:t>
      </w:r>
      <w:r w:rsidR="00C93212">
        <w:t>’</w:t>
      </w:r>
      <w:r>
        <w:t>artisanat en tant que source de revenus, ce qui limite son attrait pour les jeunes générations. Le problème du chômage subsiste également. La baisse de la qualité des fibres de coton et la production limitée, non rentable ou sous-développée sur le plan agricole d</w:t>
      </w:r>
      <w:r w:rsidR="00C93212">
        <w:t>’</w:t>
      </w:r>
      <w:r>
        <w:t>autres matières premières constituent un autre sujet de préoccupation. La laine et le lin sont toujours utilisés, mais sous différentes formes et à des fins diverses. En l</w:t>
      </w:r>
      <w:r w:rsidR="00C93212">
        <w:t>’</w:t>
      </w:r>
      <w:r>
        <w:t>absence d</w:t>
      </w:r>
      <w:r w:rsidR="00C93212">
        <w:t>’</w:t>
      </w:r>
      <w:r>
        <w:t>un soutien systémique à la production de matières premières et d</w:t>
      </w:r>
      <w:r w:rsidR="00C93212">
        <w:t>’</w:t>
      </w:r>
      <w:r>
        <w:t>une amélioration de la protection sociale des artisans, la viabilité de l</w:t>
      </w:r>
      <w:r w:rsidR="00C93212">
        <w:t>’</w:t>
      </w:r>
      <w:r>
        <w:t>élément reste fragile. Le processus global de sauvegarde ne bénéficie pas d</w:t>
      </w:r>
      <w:r w:rsidR="00C93212">
        <w:t>’</w:t>
      </w:r>
      <w:r>
        <w:t>une couverture financière systématique de la part des institutions publiques, et les mesures mises en œuvre et prévues reposent essentiellement sur des contributions en nature. Bien que le plan de sauvegarde actualisé identifie les risques pertinents et propose des activités appropriées, il gagnerait à être assorti de priorités et de calendriers plus précis, ainsi que de stratégies financières capables d</w:t>
      </w:r>
      <w:r w:rsidR="00C93212">
        <w:t>’</w:t>
      </w:r>
      <w:r>
        <w:t>assurer un impact durable.</w:t>
      </w:r>
    </w:p>
    <w:p w14:paraId="56AB219D" w14:textId="70D0F770" w:rsidR="00F1246B" w:rsidRPr="00E96786" w:rsidRDefault="00F1246B" w:rsidP="00F1246B">
      <w:pPr>
        <w:pStyle w:val="COMPara"/>
        <w:numPr>
          <w:ilvl w:val="0"/>
          <w:numId w:val="9"/>
        </w:numPr>
        <w:ind w:left="567" w:hanging="567"/>
        <w:jc w:val="both"/>
        <w:rPr>
          <w:bCs/>
        </w:rPr>
      </w:pPr>
      <w:r>
        <w:t>La stratégie de sauvegarde et l</w:t>
      </w:r>
      <w:r w:rsidR="00C93212">
        <w:t>’</w:t>
      </w:r>
      <w:r>
        <w:t>évaluation des risques actualisées sont le fruit d</w:t>
      </w:r>
      <w:r w:rsidR="00C93212">
        <w:t>’</w:t>
      </w:r>
      <w:r>
        <w:t>une collaboration entre les praticiens, les organismes publics (y compris les municipalités) et les ONG. La stratégie vise à garantir l</w:t>
      </w:r>
      <w:r w:rsidR="00C93212">
        <w:t>’</w:t>
      </w:r>
      <w:r>
        <w:t>accès aux matières premières et à soutenir la continuité de l</w:t>
      </w:r>
      <w:r w:rsidR="00C93212">
        <w:t>’</w:t>
      </w:r>
      <w:r>
        <w:t>élément, en se concentrant sur l</w:t>
      </w:r>
      <w:r w:rsidR="00C93212">
        <w:t>’</w:t>
      </w:r>
      <w:r>
        <w:t>augmentation du nombre de tisserands et de fabricants de métiers à tisser traditionnels, en particulier parmi les jeunes. Les activités comprennent des ateliers, des formations, la participation à des foires et des actions de sensibilisation dans les médias. Le plan ne prévoit pas de budget complet, de calendrier ou de cadre d</w:t>
      </w:r>
      <w:r w:rsidR="00C93212">
        <w:t>’</w:t>
      </w:r>
      <w:r>
        <w:t>évaluation. En outre, des parties substantielles du rapport reprennent des formulations des soumissions précédentes, ce qui réduit la clarté des progrès accomplis depuis le dernier cycle de rapport.</w:t>
      </w:r>
    </w:p>
    <w:p w14:paraId="7D83AAE2" w14:textId="3FA1CC54" w:rsidR="006E7439" w:rsidRPr="00E96786" w:rsidRDefault="00F1246B" w:rsidP="00F1246B">
      <w:pPr>
        <w:pStyle w:val="COMPara"/>
        <w:numPr>
          <w:ilvl w:val="0"/>
          <w:numId w:val="9"/>
        </w:numPr>
        <w:ind w:left="567" w:hanging="567"/>
        <w:jc w:val="both"/>
      </w:pPr>
      <w:r>
        <w:t>Le Comité souhaitera peut-être adopter la décision suivante :</w:t>
      </w:r>
    </w:p>
    <w:p w14:paraId="563BA27D" w14:textId="6FBAA91C" w:rsidR="000E3D8B" w:rsidRPr="00E96786" w:rsidRDefault="006E7439" w:rsidP="005B1096">
      <w:pPr>
        <w:pStyle w:val="Heading4"/>
        <w:numPr>
          <w:ilvl w:val="0"/>
          <w:numId w:val="0"/>
        </w:numPr>
        <w:tabs>
          <w:tab w:val="clear" w:pos="567"/>
        </w:tabs>
        <w:spacing w:before="240"/>
        <w:ind w:left="567"/>
      </w:pPr>
      <w:bookmarkStart w:id="26" w:name="_DRAFT_DECISION_20.COM_3"/>
      <w:bookmarkEnd w:id="25"/>
      <w:bookmarkEnd w:id="26"/>
      <w:r>
        <w:t>PROJET DE DECISION 20.COM 6.a.4</w:t>
      </w:r>
    </w:p>
    <w:p w14:paraId="15FFAD6E" w14:textId="36A36F3E" w:rsidR="00F1246B" w:rsidRPr="00E96786" w:rsidRDefault="00F1246B" w:rsidP="006177C7">
      <w:pPr>
        <w:pStyle w:val="COMTitleDecision"/>
        <w:keepLines/>
        <w:spacing w:after="240"/>
        <w:ind w:left="709" w:hanging="142"/>
        <w:rPr>
          <w:b w:val="0"/>
          <w:bCs/>
        </w:rPr>
      </w:pPr>
      <w:r>
        <w:rPr>
          <w:b w:val="0"/>
        </w:rPr>
        <w:t>Le Comité</w:t>
      </w:r>
    </w:p>
    <w:p w14:paraId="21995EDE" w14:textId="7095A388" w:rsidR="00F1246B" w:rsidRPr="00FC0C78" w:rsidRDefault="00F1246B" w:rsidP="00173229">
      <w:pPr>
        <w:pStyle w:val="Para"/>
        <w:numPr>
          <w:ilvl w:val="0"/>
          <w:numId w:val="126"/>
        </w:numPr>
        <w:ind w:left="1170" w:hanging="630"/>
        <w:rPr>
          <w:rFonts w:cs="Arial"/>
          <w:sz w:val="22"/>
          <w:szCs w:val="22"/>
        </w:rPr>
      </w:pPr>
      <w:r>
        <w:rPr>
          <w:sz w:val="22"/>
          <w:u w:val="single"/>
        </w:rPr>
        <w:t>Ayant examiné</w:t>
      </w:r>
      <w:r>
        <w:rPr>
          <w:sz w:val="22"/>
        </w:rPr>
        <w:t xml:space="preserve"> le document LHE/25/20.COM/6.a,</w:t>
      </w:r>
    </w:p>
    <w:p w14:paraId="13D9344E" w14:textId="288073A2" w:rsidR="00F1246B" w:rsidRPr="00E96786" w:rsidRDefault="00F1246B" w:rsidP="00173229">
      <w:pPr>
        <w:pStyle w:val="Marge"/>
        <w:numPr>
          <w:ilvl w:val="0"/>
          <w:numId w:val="14"/>
        </w:numPr>
        <w:snapToGrid/>
        <w:spacing w:after="120"/>
        <w:ind w:left="1134" w:hanging="567"/>
        <w:rPr>
          <w:rFonts w:cs="Arial"/>
          <w:szCs w:val="22"/>
        </w:rPr>
      </w:pPr>
      <w:r>
        <w:rPr>
          <w:u w:val="single"/>
        </w:rPr>
        <w:t>Rappelant</w:t>
      </w:r>
      <w:r>
        <w:t xml:space="preserve"> le chapitre V des Directives opérationnelles et ses décisions </w:t>
      </w:r>
      <w:hyperlink r:id="rId47" w:history="1">
        <w:r>
          <w:rPr>
            <w:rStyle w:val="Hyperlink"/>
          </w:rPr>
          <w:t>15.COM 8.a.3</w:t>
        </w:r>
      </w:hyperlink>
      <w:r>
        <w:t xml:space="preserve"> et </w:t>
      </w:r>
      <w:hyperlink r:id="rId48" w:history="1">
        <w:r>
          <w:rPr>
            <w:rStyle w:val="Hyperlink"/>
          </w:rPr>
          <w:t>18.COM 7.a.5</w:t>
        </w:r>
      </w:hyperlink>
      <w:r w:rsidR="0075314A">
        <w:t>,</w:t>
      </w:r>
    </w:p>
    <w:p w14:paraId="0EB85D05" w14:textId="6692EF0E" w:rsidR="00F1246B" w:rsidRPr="00E96786" w:rsidRDefault="00F1246B" w:rsidP="00173229">
      <w:pPr>
        <w:pStyle w:val="Marge"/>
        <w:numPr>
          <w:ilvl w:val="0"/>
          <w:numId w:val="14"/>
        </w:numPr>
        <w:tabs>
          <w:tab w:val="clear" w:pos="567"/>
        </w:tabs>
        <w:snapToGrid/>
        <w:spacing w:after="120"/>
        <w:ind w:left="1134" w:hanging="567"/>
        <w:rPr>
          <w:rFonts w:cs="Arial"/>
          <w:szCs w:val="22"/>
        </w:rPr>
      </w:pPr>
      <w:r>
        <w:rPr>
          <w:u w:val="single"/>
        </w:rPr>
        <w:t>Remercie</w:t>
      </w:r>
      <w:r>
        <w:t xml:space="preserve"> l</w:t>
      </w:r>
      <w:r w:rsidR="00C93212">
        <w:t>’</w:t>
      </w:r>
      <w:r>
        <w:t>Égypte d</w:t>
      </w:r>
      <w:r w:rsidR="00C93212">
        <w:t>’</w:t>
      </w:r>
      <w:r>
        <w:t xml:space="preserve">avoir soumis, dans les délais, son deuxième rapport </w:t>
      </w:r>
      <w:bookmarkStart w:id="27" w:name="_Hlk200957571"/>
      <w:r>
        <w:t>biennal</w:t>
      </w:r>
      <w:bookmarkEnd w:id="27"/>
      <w:r>
        <w:t xml:space="preserve"> sur l</w:t>
      </w:r>
      <w:r w:rsidR="00C93212">
        <w:t>’</w:t>
      </w:r>
      <w:r>
        <w:t>état de l</w:t>
      </w:r>
      <w:r w:rsidR="00C93212">
        <w:t>’</w:t>
      </w:r>
      <w:r>
        <w:t>élément « </w:t>
      </w:r>
      <w:r>
        <w:rPr>
          <w:color w:val="000000"/>
        </w:rPr>
        <w:t>Le tissage à la main en Haute-Égypte (Sa</w:t>
      </w:r>
      <w:r w:rsidR="00C93212">
        <w:rPr>
          <w:color w:val="000000"/>
        </w:rPr>
        <w:t>’</w:t>
      </w:r>
      <w:r>
        <w:rPr>
          <w:color w:val="000000"/>
        </w:rPr>
        <w:t>eed)</w:t>
      </w:r>
      <w:r>
        <w:t> », inscrit en 2020 sur la Liste du patrimoine culturel immatériel nécessitant une sauvegarde urgente ;</w:t>
      </w:r>
    </w:p>
    <w:p w14:paraId="51D543A2" w14:textId="6AE9CCEC" w:rsidR="00F1246B" w:rsidRPr="00E96786" w:rsidRDefault="00F1246B" w:rsidP="00173229">
      <w:pPr>
        <w:pStyle w:val="Marge"/>
        <w:numPr>
          <w:ilvl w:val="0"/>
          <w:numId w:val="14"/>
        </w:numPr>
        <w:tabs>
          <w:tab w:val="clear" w:pos="567"/>
        </w:tabs>
        <w:snapToGrid/>
        <w:spacing w:after="120"/>
        <w:ind w:left="1134" w:hanging="567"/>
        <w:rPr>
          <w:rFonts w:cs="Arial"/>
          <w:szCs w:val="22"/>
        </w:rPr>
      </w:pPr>
      <w:r>
        <w:rPr>
          <w:u w:val="single"/>
        </w:rPr>
        <w:t>Prend note</w:t>
      </w:r>
      <w:r>
        <w:t xml:space="preserve"> des efforts entrepris par l</w:t>
      </w:r>
      <w:r w:rsidR="00C93212">
        <w:t>’</w:t>
      </w:r>
      <w:r>
        <w:t>État partie pour sauvegarder l</w:t>
      </w:r>
      <w:r w:rsidR="00C93212">
        <w:t>’</w:t>
      </w:r>
      <w:r>
        <w:t>élément, notamment en améliorant sa visibilité lors des foires et expositions annuelles, en sensibilisant la population par le biais de l</w:t>
      </w:r>
      <w:r w:rsidR="00C93212">
        <w:t>’</w:t>
      </w:r>
      <w:r>
        <w:t>éducation formelle et en transmettant des connaissances et des compétences par le biais d</w:t>
      </w:r>
      <w:r w:rsidR="00C93212">
        <w:t>’</w:t>
      </w:r>
      <w:r>
        <w:t xml:space="preserve">une formation non formelle ciblant les jeunes générations ; </w:t>
      </w:r>
    </w:p>
    <w:p w14:paraId="7D908E3E" w14:textId="3842078F" w:rsidR="00F1246B" w:rsidRPr="00E96786" w:rsidRDefault="00F1246B" w:rsidP="00173229">
      <w:pPr>
        <w:pStyle w:val="Marge"/>
        <w:numPr>
          <w:ilvl w:val="0"/>
          <w:numId w:val="14"/>
        </w:numPr>
        <w:tabs>
          <w:tab w:val="clear" w:pos="567"/>
        </w:tabs>
        <w:snapToGrid/>
        <w:spacing w:after="120"/>
        <w:ind w:left="1134" w:hanging="567"/>
        <w:rPr>
          <w:rFonts w:cs="Arial"/>
          <w:szCs w:val="22"/>
        </w:rPr>
      </w:pPr>
      <w:r>
        <w:rPr>
          <w:u w:val="single"/>
        </w:rPr>
        <w:t>Félicite</w:t>
      </w:r>
      <w:r>
        <w:t xml:space="preserve"> l</w:t>
      </w:r>
      <w:r w:rsidR="00C93212">
        <w:t>’</w:t>
      </w:r>
      <w:r>
        <w:t>État partie pour le maintien et le développement d</w:t>
      </w:r>
      <w:r w:rsidR="00C93212">
        <w:t>’</w:t>
      </w:r>
      <w:r>
        <w:t>un solide réseau de parties prenantes gouvernementales et non gouvernementales, ainsi que pour l</w:t>
      </w:r>
      <w:r w:rsidR="00C93212">
        <w:t>’</w:t>
      </w:r>
      <w:r>
        <w:t>adoption d</w:t>
      </w:r>
      <w:r w:rsidR="00C93212">
        <w:t>’</w:t>
      </w:r>
      <w:r>
        <w:t>approches participatives dans la préparation du rapport périodique et du plan de sauvegarde actualisé ;</w:t>
      </w:r>
    </w:p>
    <w:p w14:paraId="2DADCC0C" w14:textId="2A1F7728" w:rsidR="00F1246B" w:rsidRPr="00E96786" w:rsidRDefault="00F1246B" w:rsidP="00173229">
      <w:pPr>
        <w:pStyle w:val="Marge"/>
        <w:numPr>
          <w:ilvl w:val="0"/>
          <w:numId w:val="14"/>
        </w:numPr>
        <w:tabs>
          <w:tab w:val="clear" w:pos="567"/>
        </w:tabs>
        <w:snapToGrid/>
        <w:spacing w:after="120"/>
        <w:ind w:left="1134" w:hanging="567"/>
        <w:rPr>
          <w:rFonts w:cs="Arial"/>
          <w:szCs w:val="22"/>
        </w:rPr>
      </w:pPr>
      <w:r>
        <w:rPr>
          <w:u w:val="single"/>
        </w:rPr>
        <w:t>Encourage en outre</w:t>
      </w:r>
      <w:r>
        <w:t xml:space="preserve"> l</w:t>
      </w:r>
      <w:r w:rsidR="00C93212">
        <w:t>’</w:t>
      </w:r>
      <w:r>
        <w:t>État partie à poursuivre les projets de documentation et de recherche, ainsi qu</w:t>
      </w:r>
      <w:r w:rsidR="00C93212">
        <w:t>’</w:t>
      </w:r>
      <w:r>
        <w:t>à continuer à développer sa stratégie de sauvegarde en précisant les mesures, les processus, les interventions et les méthodes d</w:t>
      </w:r>
      <w:r w:rsidR="00C93212">
        <w:t>’</w:t>
      </w:r>
      <w:r>
        <w:t>évaluation, y compris les efforts visant à comprendre les changements dans la popularité de l</w:t>
      </w:r>
      <w:r w:rsidR="00C93212">
        <w:t>’</w:t>
      </w:r>
      <w:r>
        <w:t>élément et sa distribution dans les zones géographiques et les groupes sociaux ;</w:t>
      </w:r>
    </w:p>
    <w:p w14:paraId="7F79B502" w14:textId="09E34F0C" w:rsidR="00F1246B" w:rsidRPr="00E96786" w:rsidRDefault="00F1246B" w:rsidP="00173229">
      <w:pPr>
        <w:pStyle w:val="Marge"/>
        <w:numPr>
          <w:ilvl w:val="0"/>
          <w:numId w:val="14"/>
        </w:numPr>
        <w:tabs>
          <w:tab w:val="clear" w:pos="567"/>
        </w:tabs>
        <w:snapToGrid/>
        <w:spacing w:after="120"/>
        <w:ind w:left="1134" w:hanging="567"/>
        <w:rPr>
          <w:rFonts w:cs="Arial"/>
          <w:szCs w:val="22"/>
        </w:rPr>
      </w:pPr>
      <w:r>
        <w:rPr>
          <w:u w:val="single"/>
        </w:rPr>
        <w:t>Invite</w:t>
      </w:r>
      <w:r>
        <w:t xml:space="preserve"> l</w:t>
      </w:r>
      <w:r w:rsidR="00C93212">
        <w:t>’</w:t>
      </w:r>
      <w:r>
        <w:t>État partie à identifier et à traiter les obstacles structurels affectant la viabilité de l</w:t>
      </w:r>
      <w:r w:rsidR="00C93212">
        <w:t>’</w:t>
      </w:r>
      <w:r>
        <w:t>élément, à améliorer la viabilité financière du plan de sauvegarde, à développer la promotion et la mise en réseau au-delà des activités de présentation, à poursuivre les programmes de formation et à formuler des résultats attendus avec des indicateurs pertinents pour évaluer l</w:t>
      </w:r>
      <w:r w:rsidR="00C93212">
        <w:t>’</w:t>
      </w:r>
      <w:r>
        <w:t>impact et l</w:t>
      </w:r>
      <w:r w:rsidR="00C93212">
        <w:t>’</w:t>
      </w:r>
      <w:r>
        <w:t>efficacité des actions de sauvegarde.</w:t>
      </w:r>
    </w:p>
    <w:p w14:paraId="4732F55A" w14:textId="4A35FED6" w:rsidR="002E1998" w:rsidRPr="00E96786" w:rsidRDefault="002E1998" w:rsidP="002E1998">
      <w:pPr>
        <w:pStyle w:val="COMTitleDecision"/>
        <w:pageBreakBefore/>
        <w:spacing w:before="480"/>
      </w:pPr>
      <w:r>
        <w:t>Portugal : « Le processus de fabrication de la poterie noire de Bisalhães »</w:t>
      </w:r>
      <w:r>
        <w:rPr>
          <w:i/>
        </w:rPr>
        <w:t xml:space="preserve"> </w:t>
      </w:r>
      <w:r>
        <w:rPr>
          <w:b w:val="0"/>
          <w:i/>
        </w:rPr>
        <w:t xml:space="preserve">(voir le </w:t>
      </w:r>
      <w:hyperlink r:id="rId49" w:history="1">
        <w:r w:rsidRPr="003B7315">
          <w:rPr>
            <w:rStyle w:val="Hyperlink"/>
            <w:b w:val="0"/>
            <w:i/>
          </w:rPr>
          <w:t>rapport</w:t>
        </w:r>
      </w:hyperlink>
      <w:r>
        <w:rPr>
          <w:b w:val="0"/>
          <w:i/>
        </w:rPr>
        <w:t>)</w:t>
      </w:r>
    </w:p>
    <w:p w14:paraId="00DB7CC8" w14:textId="386EBC4A" w:rsidR="00047A8C" w:rsidRPr="00E96786" w:rsidRDefault="00047A8C" w:rsidP="003377BD">
      <w:pPr>
        <w:pStyle w:val="COMPara"/>
        <w:numPr>
          <w:ilvl w:val="0"/>
          <w:numId w:val="9"/>
        </w:numPr>
        <w:ind w:left="567" w:hanging="567"/>
        <w:jc w:val="both"/>
        <w:rPr>
          <w:bCs/>
        </w:rPr>
      </w:pPr>
      <w:r>
        <w:t>L</w:t>
      </w:r>
      <w:r w:rsidR="00C93212">
        <w:t>’</w:t>
      </w:r>
      <w:r>
        <w:t>artisanat traditionnel de la poterie noire à Bisalhães, dans le nord du Portugal, est un élément important du patrimoine culturel de la communauté locale. Les connaissances et les techniques liées à la préparation de l</w:t>
      </w:r>
      <w:r w:rsidR="00C93212">
        <w:t>’</w:t>
      </w:r>
      <w:r>
        <w:t>argile, au façonnage et à la cuisson dans des fours creusés dans le sol continuent d</w:t>
      </w:r>
      <w:r w:rsidR="00C93212">
        <w:t>’</w:t>
      </w:r>
      <w:r>
        <w:t>être mises en pratique. Cependant, seules sept paroisses, dont Bisalhães, sont encore actives aujourd</w:t>
      </w:r>
      <w:r w:rsidR="00C93212">
        <w:t>’</w:t>
      </w:r>
      <w:r>
        <w:t>hui. La transmission des connaissances se fait presque exclusivement au sein des familles, les réseaux de parenté jouant un rôle important, bien que le rapport périodique souligne que la division traditionnelle du travail en fonction du genre et de l</w:t>
      </w:r>
      <w:r w:rsidR="00C93212">
        <w:t>’</w:t>
      </w:r>
      <w:r>
        <w:t>âge s</w:t>
      </w:r>
      <w:r w:rsidR="00C93212">
        <w:t>’</w:t>
      </w:r>
      <w:r>
        <w:t>est progressivement estompée. Les institutions publiques et les conseils municipaux offrent un soutien et coordonnent des initiatives de formation et d</w:t>
      </w:r>
      <w:r w:rsidR="00C93212">
        <w:t>’</w:t>
      </w:r>
      <w:r>
        <w:t>éducation visant à promouvoir une prise de conscience plus large de ce patrimoine et à soutenir sa transmission au-delà des structures familiales.</w:t>
      </w:r>
    </w:p>
    <w:p w14:paraId="7F4EB2E2" w14:textId="74B01B28" w:rsidR="00047A8C" w:rsidRPr="00E96786" w:rsidRDefault="00047A8C" w:rsidP="003377BD">
      <w:pPr>
        <w:pStyle w:val="COMPara"/>
        <w:numPr>
          <w:ilvl w:val="0"/>
          <w:numId w:val="9"/>
        </w:numPr>
        <w:ind w:left="567" w:hanging="567"/>
        <w:jc w:val="both"/>
      </w:pPr>
      <w:r>
        <w:rPr>
          <w:shd w:val="clear" w:color="auto" w:fill="FFFFFF"/>
        </w:rPr>
        <w:t>L</w:t>
      </w:r>
      <w:r w:rsidR="00C93212">
        <w:rPr>
          <w:shd w:val="clear" w:color="auto" w:fill="FFFFFF"/>
        </w:rPr>
        <w:t>’</w:t>
      </w:r>
      <w:r>
        <w:t>élément</w:t>
      </w:r>
      <w:r>
        <w:rPr>
          <w:shd w:val="clear" w:color="auto" w:fill="FFFFFF"/>
        </w:rPr>
        <w:t xml:space="preserve"> a été inscrit sur</w:t>
      </w:r>
      <w:r>
        <w:t xml:space="preserve"> la </w:t>
      </w:r>
      <w:r w:rsidR="00E049B5">
        <w:t>L</w:t>
      </w:r>
      <w:r>
        <w:t>iste de sauvegarde urgente</w:t>
      </w:r>
      <w:r>
        <w:rPr>
          <w:shd w:val="clear" w:color="auto" w:fill="FFFFFF"/>
        </w:rPr>
        <w:t xml:space="preserve"> en 2016. Le </w:t>
      </w:r>
      <w:hyperlink r:id="rId50" w:history="1">
        <w:r>
          <w:rPr>
            <w:rStyle w:val="Hyperlink"/>
            <w:shd w:val="clear" w:color="auto" w:fill="FFFFFF"/>
          </w:rPr>
          <w:t>premier rapport</w:t>
        </w:r>
      </w:hyperlink>
      <w:r>
        <w:rPr>
          <w:color w:val="222222"/>
          <w:shd w:val="clear" w:color="auto" w:fill="FFFFFF"/>
        </w:rPr>
        <w:t xml:space="preserve"> </w:t>
      </w:r>
      <w:r>
        <w:rPr>
          <w:shd w:val="clear" w:color="auto" w:fill="FFFFFF"/>
        </w:rPr>
        <w:t>a été examiné par la seizième session du Comité intergouvernemental en 2021 (</w:t>
      </w:r>
      <w:r w:rsidR="009F7886">
        <w:rPr>
          <w:shd w:val="clear" w:color="auto" w:fill="FFFFFF"/>
        </w:rPr>
        <w:t>D</w:t>
      </w:r>
      <w:r>
        <w:rPr>
          <w:shd w:val="clear" w:color="auto" w:fill="FFFFFF"/>
        </w:rPr>
        <w:t xml:space="preserve">écision </w:t>
      </w:r>
      <w:hyperlink r:id="rId51" w:history="1">
        <w:r>
          <w:rPr>
            <w:rStyle w:val="Hyperlink"/>
            <w:shd w:val="clear" w:color="auto" w:fill="FFFFFF"/>
          </w:rPr>
          <w:t>16.COM 7.a.4</w:t>
        </w:r>
      </w:hyperlink>
      <w:r>
        <w:rPr>
          <w:shd w:val="clear" w:color="auto" w:fill="FFFFFF"/>
        </w:rPr>
        <w:t>). Il s</w:t>
      </w:r>
      <w:r w:rsidR="00C93212">
        <w:rPr>
          <w:shd w:val="clear" w:color="auto" w:fill="FFFFFF"/>
        </w:rPr>
        <w:t>’</w:t>
      </w:r>
      <w:r>
        <w:rPr>
          <w:shd w:val="clear" w:color="auto" w:fill="FFFFFF"/>
        </w:rPr>
        <w:t>agit du deuxième rapport soumis par l</w:t>
      </w:r>
      <w:r w:rsidR="00C93212">
        <w:rPr>
          <w:shd w:val="clear" w:color="auto" w:fill="FFFFFF"/>
        </w:rPr>
        <w:t>’</w:t>
      </w:r>
      <w:r>
        <w:rPr>
          <w:shd w:val="clear" w:color="auto" w:fill="FFFFFF"/>
        </w:rPr>
        <w:t>État partie concernant l</w:t>
      </w:r>
      <w:r w:rsidR="00C93212">
        <w:rPr>
          <w:shd w:val="clear" w:color="auto" w:fill="FFFFFF"/>
        </w:rPr>
        <w:t>’</w:t>
      </w:r>
      <w:r>
        <w:rPr>
          <w:shd w:val="clear" w:color="auto" w:fill="FFFFFF"/>
        </w:rPr>
        <w:t>état de cet élément.</w:t>
      </w:r>
    </w:p>
    <w:p w14:paraId="09318B15" w14:textId="3C935B2D" w:rsidR="00047A8C" w:rsidRPr="00E96786" w:rsidRDefault="00047A8C" w:rsidP="003377BD">
      <w:pPr>
        <w:pStyle w:val="COMPara"/>
        <w:numPr>
          <w:ilvl w:val="0"/>
          <w:numId w:val="9"/>
        </w:numPr>
        <w:ind w:left="567" w:hanging="567"/>
        <w:jc w:val="both"/>
      </w:pPr>
      <w:r>
        <w:rPr>
          <w:b/>
        </w:rPr>
        <w:t>Efficacité du plan de sauvegarde.</w:t>
      </w:r>
      <w:r>
        <w:t xml:space="preserve"> Selon le rapport, les mesures de sauvegarde ont permis d</w:t>
      </w:r>
      <w:r w:rsidR="00C93212">
        <w:t>’</w:t>
      </w:r>
      <w:r>
        <w:t>atténuer certains impacts négatifs et d</w:t>
      </w:r>
      <w:r w:rsidR="00C93212">
        <w:t>’</w:t>
      </w:r>
      <w:r>
        <w:t>améliorer les conditions nécessaires pour assurer la continuité de l</w:t>
      </w:r>
      <w:r w:rsidR="00C93212">
        <w:t>’</w:t>
      </w:r>
      <w:r>
        <w:t>élément. Toutefois, des menaces fondamentales, telles que l</w:t>
      </w:r>
      <w:r w:rsidR="00C93212">
        <w:t>’</w:t>
      </w:r>
      <w:r>
        <w:t xml:space="preserve">âge avancé des </w:t>
      </w:r>
      <w:r w:rsidR="000C1B3E">
        <w:t>détenteurs</w:t>
      </w:r>
      <w:r>
        <w:t>, persistent et nécessitent des efforts de sauvegarde soutenus et adaptés. En outre, l</w:t>
      </w:r>
      <w:r w:rsidR="00C93212">
        <w:t>’</w:t>
      </w:r>
      <w:r>
        <w:t>accès aux matières premières reste un défi. Le premier rapport de l</w:t>
      </w:r>
      <w:r w:rsidR="00C93212">
        <w:t>’</w:t>
      </w:r>
      <w:r>
        <w:t>État partie indique que le nombre de potiers actifs a diminué davantage au cours de la période considérée, plusieurs potiers étant décédés ou ayant cessé leur activité. Par conséquent, le plan de sauvegarde visait à la fois la transmission et la promotion de l</w:t>
      </w:r>
      <w:r w:rsidR="00C93212">
        <w:t>’</w:t>
      </w:r>
      <w:r>
        <w:t>élément, en se concentrant sur l</w:t>
      </w:r>
      <w:r w:rsidR="00C93212">
        <w:t>’</w:t>
      </w:r>
      <w:r>
        <w:t>enseignement, la formation et la professionnalisation.</w:t>
      </w:r>
    </w:p>
    <w:p w14:paraId="4CB150C3" w14:textId="7C59A89F" w:rsidR="00047A8C" w:rsidRPr="00E96786" w:rsidRDefault="00047A8C" w:rsidP="003377BD">
      <w:pPr>
        <w:pStyle w:val="COMPara"/>
        <w:numPr>
          <w:ilvl w:val="0"/>
          <w:numId w:val="9"/>
        </w:numPr>
        <w:ind w:left="567" w:hanging="567"/>
        <w:jc w:val="both"/>
      </w:pPr>
      <w:r>
        <w:t>L</w:t>
      </w:r>
      <w:r w:rsidR="00C93212">
        <w:t>’</w:t>
      </w:r>
      <w:r>
        <w:t>amélioration des conditions de travail et des moyens de subsistance des potiers reste une priorité. Dans ce contexte, les investissements systématiques dans l</w:t>
      </w:r>
      <w:r w:rsidR="00C93212">
        <w:t>’</w:t>
      </w:r>
      <w:r>
        <w:t>éducation, la formation professionnelle et les activités et matériels de sensibilisation, avec une forte participation de la communauté, se sont avérés efficaces. Une formation organisée par l</w:t>
      </w:r>
      <w:r w:rsidR="00C93212">
        <w:t>’</w:t>
      </w:r>
      <w:r>
        <w:t>Institut de l</w:t>
      </w:r>
      <w:r w:rsidR="00C93212">
        <w:t>’</w:t>
      </w:r>
      <w:r>
        <w:t>emploi et de la formation professionnelle (IEFP) en collaboration avec le conseil paroissial de Mondrões et le conseil municipal de Vila Real, ainsi que d</w:t>
      </w:r>
      <w:r w:rsidR="00C93212">
        <w:t>’</w:t>
      </w:r>
      <w:r>
        <w:t>autres cours de formation modulaire certifiés, ont renforcé la transmission intergénérationnelle, tandis qu</w:t>
      </w:r>
      <w:r w:rsidR="00C93212">
        <w:t>’</w:t>
      </w:r>
      <w:r>
        <w:t>un projet cofinancé par l</w:t>
      </w:r>
      <w:r w:rsidR="00C93212">
        <w:t>’</w:t>
      </w:r>
      <w:r>
        <w:t>Union européenne a amélioré la visibilité de l</w:t>
      </w:r>
      <w:r w:rsidR="00C93212">
        <w:t>’</w:t>
      </w:r>
      <w:r>
        <w:t>élément par le biais d</w:t>
      </w:r>
      <w:r w:rsidR="00C93212">
        <w:t>’</w:t>
      </w:r>
      <w:r>
        <w:t>une signalisation, de matériel éducatif et d</w:t>
      </w:r>
      <w:r w:rsidR="00C93212">
        <w:t>’</w:t>
      </w:r>
      <w:r>
        <w:t>expositions. La collaboration avec les parties prenantes locales et nationales a permis d</w:t>
      </w:r>
      <w:r w:rsidR="00C93212">
        <w:t>’</w:t>
      </w:r>
      <w:r>
        <w:t>améliorer l</w:t>
      </w:r>
      <w:r w:rsidR="00C93212">
        <w:t>’</w:t>
      </w:r>
      <w:r>
        <w:t xml:space="preserve">accès aux ateliers de poterie et de renforcer la présence des </w:t>
      </w:r>
      <w:r w:rsidR="000C1B3E">
        <w:t xml:space="preserve">détenteurs </w:t>
      </w:r>
      <w:r>
        <w:t>sur les marchés, dans les foires et dans les médias, renforçant ainsi la visibilité de l</w:t>
      </w:r>
      <w:r w:rsidR="00C93212">
        <w:t>’</w:t>
      </w:r>
      <w:r>
        <w:t>élément.</w:t>
      </w:r>
    </w:p>
    <w:p w14:paraId="49742227" w14:textId="09742633" w:rsidR="00047A8C" w:rsidRPr="007E1B3A" w:rsidRDefault="00047A8C" w:rsidP="003377BD">
      <w:pPr>
        <w:pStyle w:val="COMPara"/>
        <w:numPr>
          <w:ilvl w:val="0"/>
          <w:numId w:val="9"/>
        </w:numPr>
        <w:ind w:left="567" w:hanging="567"/>
        <w:jc w:val="both"/>
      </w:pPr>
      <w:r>
        <w:rPr>
          <w:b/>
        </w:rPr>
        <w:t xml:space="preserve">Participation de la communauté. </w:t>
      </w:r>
      <w:r>
        <w:t xml:space="preserve">La mise en œuvre de mesures de sauvegarde, avec la collaboration active des </w:t>
      </w:r>
      <w:r w:rsidR="000C1B3E">
        <w:t>détenteurs</w:t>
      </w:r>
      <w:r>
        <w:t>, a renforcé leur statut social et leur reconnaissance, tout en consolidant le rôle de la poterie noire des Bisalhães en tant qu</w:t>
      </w:r>
      <w:r w:rsidR="00C93212">
        <w:t>’</w:t>
      </w:r>
      <w:r>
        <w:t>expression culturelle fondamentale. En conséquence, l</w:t>
      </w:r>
      <w:r w:rsidR="00C93212">
        <w:t>’</w:t>
      </w:r>
      <w:r>
        <w:t>élément est davantage reconnu comme source d</w:t>
      </w:r>
      <w:r w:rsidR="00C93212">
        <w:t>’</w:t>
      </w:r>
      <w:r>
        <w:t>identité culturelle, de mémoire historique et de possibilité d</w:t>
      </w:r>
      <w:r w:rsidR="00C93212">
        <w:t>’</w:t>
      </w:r>
      <w:r>
        <w:t>emploi à temps plein. Le conseil municipal de Vila Real et le conseil paroissial ont joué un rôle clé dans la mise en œuvre des mesures de sauvegarde. En collaboration avec l</w:t>
      </w:r>
      <w:r w:rsidR="00C93212">
        <w:t>’</w:t>
      </w:r>
      <w:r>
        <w:t>IEFP, ils ont intégré la poterie noire dans les programmes éducatifs et encouragé les initiatives de renforcement des capacités, avec le soutien d</w:t>
      </w:r>
      <w:r w:rsidR="00C93212">
        <w:t>’</w:t>
      </w:r>
      <w:r>
        <w:t>institutions de mémoire et de réseaux universitaires.</w:t>
      </w:r>
    </w:p>
    <w:p w14:paraId="074F1FCB" w14:textId="677C791A" w:rsidR="00047A8C" w:rsidRPr="00E96786" w:rsidRDefault="00047A8C" w:rsidP="003377BD">
      <w:pPr>
        <w:pStyle w:val="COMPara"/>
        <w:numPr>
          <w:ilvl w:val="0"/>
          <w:numId w:val="9"/>
        </w:numPr>
        <w:ind w:left="567" w:hanging="567"/>
        <w:jc w:val="both"/>
      </w:pPr>
      <w:r>
        <w:t>Bien que les familles restent le principal cadre de transmission, les rôles deviennent plus flexibles. Sept potiers ont été formés dans le cadre d</w:t>
      </w:r>
      <w:r w:rsidR="00C93212">
        <w:t>’</w:t>
      </w:r>
      <w:r>
        <w:t>une formation organisée par l</w:t>
      </w:r>
      <w:r w:rsidR="00C93212">
        <w:t>’</w:t>
      </w:r>
      <w:r>
        <w:t>IEFP, ce qui a permis de renforcer le rôle des femmes dans le processus de fabrication, deux d</w:t>
      </w:r>
      <w:r w:rsidR="00C93212">
        <w:t>’</w:t>
      </w:r>
      <w:r>
        <w:t>entre elles ayant été formées pour maîtriser toutes les étapes de la production. De même, les enfants et les jeunes (y compris les jeunes artistes) sont restés fortement impliqués dans les activités éducatives et les campagnes médiatiques, qui ont également encouragé de nouvelles interprétations de l</w:t>
      </w:r>
      <w:r w:rsidR="00C93212">
        <w:t>’</w:t>
      </w:r>
      <w:r>
        <w:t>élément tout en respectant les caractéristiques traditionnelles.</w:t>
      </w:r>
    </w:p>
    <w:p w14:paraId="26DDA795" w14:textId="6CD29E2C" w:rsidR="00047A8C" w:rsidRPr="00E96786" w:rsidRDefault="00047A8C" w:rsidP="005B1096">
      <w:pPr>
        <w:pStyle w:val="COMPara"/>
        <w:numPr>
          <w:ilvl w:val="0"/>
          <w:numId w:val="9"/>
        </w:numPr>
        <w:ind w:left="567" w:hanging="567"/>
        <w:jc w:val="both"/>
        <w:rPr>
          <w:bCs/>
        </w:rPr>
      </w:pPr>
      <w:r>
        <w:rPr>
          <w:b/>
        </w:rPr>
        <w:t>Viabilité et risques actuels.</w:t>
      </w:r>
      <w:r>
        <w:t xml:space="preserve"> L</w:t>
      </w:r>
      <w:r w:rsidR="00C93212">
        <w:t>’</w:t>
      </w:r>
      <w:r>
        <w:t xml:space="preserve">âge avancé des </w:t>
      </w:r>
      <w:r w:rsidR="000C1B3E">
        <w:t>détenteurs</w:t>
      </w:r>
      <w:r>
        <w:t>, les défis associés à la transmission des connaissances et la disponibilité de l</w:t>
      </w:r>
      <w:r w:rsidR="00C93212">
        <w:t>’</w:t>
      </w:r>
      <w:r>
        <w:t>argile continuent de menacer la viabilité de l</w:t>
      </w:r>
      <w:r w:rsidR="00C93212">
        <w:t>’</w:t>
      </w:r>
      <w:r>
        <w:t>élément. Néanmoins, la volonté des potiers chevronnés de partager leurs connaissances au-delà des cercles familiaux et l</w:t>
      </w:r>
      <w:r w:rsidR="00C93212">
        <w:t>’</w:t>
      </w:r>
      <w:r>
        <w:t>engagement renforcé de la communauté des potiers, notamment par le biais d</w:t>
      </w:r>
      <w:r w:rsidR="00C93212">
        <w:t>’</w:t>
      </w:r>
      <w:r>
        <w:t>une collaboration avec le conseil municipal, ont favorisé la transmission, notamment par le biais d</w:t>
      </w:r>
      <w:r w:rsidR="00C93212">
        <w:t>’</w:t>
      </w:r>
      <w:r>
        <w:t>initiatives de formation développées avec l</w:t>
      </w:r>
      <w:r w:rsidR="00C93212">
        <w:t>’</w:t>
      </w:r>
      <w:r>
        <w:t>IEFP. En outre, afin de sauvegarder l</w:t>
      </w:r>
      <w:r w:rsidR="00C93212">
        <w:t>’</w:t>
      </w:r>
      <w:r>
        <w:t>élément, le conseil municipal a mis en place un système de certification visant à garantir l</w:t>
      </w:r>
      <w:r w:rsidR="00C93212">
        <w:t>’</w:t>
      </w:r>
      <w:r>
        <w:t>origine de la poterie Bisalhães, en répondant aux inquiétudes concernant l</w:t>
      </w:r>
      <w:r w:rsidR="00C93212">
        <w:t>’</w:t>
      </w:r>
      <w:r>
        <w:t>identification erronée avec d</w:t>
      </w:r>
      <w:r w:rsidR="00C93212">
        <w:t>’</w:t>
      </w:r>
      <w:r>
        <w:t xml:space="preserve">autres produits similaires. </w:t>
      </w:r>
    </w:p>
    <w:p w14:paraId="2072BD2C" w14:textId="5D2D3C0D" w:rsidR="00047A8C" w:rsidRPr="00E96786" w:rsidRDefault="00047A8C" w:rsidP="003377BD">
      <w:pPr>
        <w:pStyle w:val="COMPara"/>
        <w:numPr>
          <w:ilvl w:val="0"/>
          <w:numId w:val="9"/>
        </w:numPr>
        <w:ind w:left="567" w:hanging="567"/>
        <w:jc w:val="both"/>
        <w:rPr>
          <w:rFonts w:cs="Times New Roman"/>
          <w:bCs/>
        </w:rPr>
      </w:pPr>
      <w:r>
        <w:t>Le plan de sauvegarde pour les quatre prochaines années a été mis à jour de sorte à privilégier la continuité à long terme de la tradition de la poterie noire de Bisalhães. Ce plan définit seize objectifs spécifiques, sur la base de l</w:t>
      </w:r>
      <w:r w:rsidR="00C93212">
        <w:t>’</w:t>
      </w:r>
      <w:r>
        <w:t>évaluation des expériences passées et du retour d</w:t>
      </w:r>
      <w:r w:rsidR="00C93212">
        <w:t>’</w:t>
      </w:r>
      <w:r>
        <w:t>information des membres de la communauté et des détenteurs de la tradition de la poterie. Les mesures se concentrent sur l</w:t>
      </w:r>
      <w:r w:rsidR="00C93212">
        <w:t>’</w:t>
      </w:r>
      <w:r>
        <w:t>amélioration des conditions de travail et la reconnaissance des potiers (notamment par l</w:t>
      </w:r>
      <w:r w:rsidR="00C93212">
        <w:t>’</w:t>
      </w:r>
      <w:r>
        <w:t>établissement d</w:t>
      </w:r>
      <w:r w:rsidR="00C93212">
        <w:t>’</w:t>
      </w:r>
      <w:r>
        <w:t>un certificat d</w:t>
      </w:r>
      <w:r w:rsidR="00C93212">
        <w:t>’</w:t>
      </w:r>
      <w:r>
        <w:t>origine), le soutien à la fourniture et au transport de l</w:t>
      </w:r>
      <w:r w:rsidR="00C93212">
        <w:t>’</w:t>
      </w:r>
      <w:r>
        <w:t>argile, le renforcement de diverses formes de transmission et de diffusion des connaissances (notamment par le renforcement des capacités et la formation), la sensibilisation des enfants et des jeunes, et la promotion de l</w:t>
      </w:r>
      <w:r w:rsidR="00C93212">
        <w:t>’</w:t>
      </w:r>
      <w:r>
        <w:t>artisanat par le biais des médias.</w:t>
      </w:r>
    </w:p>
    <w:p w14:paraId="3F08D8C9" w14:textId="304EB7AE" w:rsidR="002E1998" w:rsidRPr="00E96786" w:rsidRDefault="00047A8C" w:rsidP="003377BD">
      <w:pPr>
        <w:pStyle w:val="COMPara"/>
        <w:numPr>
          <w:ilvl w:val="0"/>
          <w:numId w:val="9"/>
        </w:numPr>
        <w:ind w:left="567" w:hanging="567"/>
        <w:jc w:val="both"/>
        <w:rPr>
          <w:rFonts w:cs="Times New Roman"/>
          <w:bCs/>
        </w:rPr>
      </w:pPr>
      <w:r>
        <w:t xml:space="preserve">Le Comité souhaitera peut-être adopter la décision suivante </w:t>
      </w:r>
      <w:r>
        <w:rPr>
          <w:rFonts w:asciiTheme="minorBidi" w:hAnsiTheme="minorBidi"/>
        </w:rPr>
        <w:t>:</w:t>
      </w:r>
    </w:p>
    <w:p w14:paraId="6DF58B48" w14:textId="37082FC9" w:rsidR="002E1998" w:rsidRPr="00E96786" w:rsidRDefault="002E1998" w:rsidP="005B1096">
      <w:pPr>
        <w:pStyle w:val="Heading4"/>
        <w:numPr>
          <w:ilvl w:val="0"/>
          <w:numId w:val="0"/>
        </w:numPr>
        <w:tabs>
          <w:tab w:val="clear" w:pos="567"/>
        </w:tabs>
        <w:spacing w:before="240"/>
        <w:ind w:left="567"/>
      </w:pPr>
      <w:bookmarkStart w:id="28" w:name="_DRAFT_DECISION_20.COM_4"/>
      <w:bookmarkEnd w:id="28"/>
      <w:r>
        <w:t>PROJET DE DECISION 20.COM 6.a.5</w:t>
      </w:r>
    </w:p>
    <w:p w14:paraId="69D6F07B" w14:textId="349F670C" w:rsidR="00BD5DD6" w:rsidRPr="00E96786" w:rsidRDefault="003377BD" w:rsidP="0044608C">
      <w:pPr>
        <w:pStyle w:val="COMTitleDecision"/>
        <w:keepLines/>
        <w:spacing w:after="240"/>
        <w:ind w:left="0" w:firstLine="567"/>
        <w:rPr>
          <w:b w:val="0"/>
          <w:bCs/>
        </w:rPr>
      </w:pPr>
      <w:r>
        <w:rPr>
          <w:b w:val="0"/>
        </w:rPr>
        <w:t>Le Comité</w:t>
      </w:r>
    </w:p>
    <w:p w14:paraId="6E272C67" w14:textId="5C9540EC" w:rsidR="003377BD" w:rsidRPr="00FC0C78" w:rsidRDefault="003377BD" w:rsidP="00FD3559">
      <w:pPr>
        <w:pStyle w:val="Para"/>
        <w:numPr>
          <w:ilvl w:val="0"/>
          <w:numId w:val="57"/>
        </w:numPr>
        <w:tabs>
          <w:tab w:val="left" w:pos="1134"/>
        </w:tabs>
        <w:ind w:left="1170" w:hanging="630"/>
        <w:rPr>
          <w:rFonts w:cs="Arial"/>
          <w:sz w:val="22"/>
          <w:szCs w:val="22"/>
        </w:rPr>
      </w:pPr>
      <w:r>
        <w:rPr>
          <w:sz w:val="22"/>
          <w:u w:val="single"/>
        </w:rPr>
        <w:t>Ayant examiné</w:t>
      </w:r>
      <w:r>
        <w:rPr>
          <w:sz w:val="22"/>
        </w:rPr>
        <w:t xml:space="preserve"> le document LHE/25/20.COM/6.a,</w:t>
      </w:r>
    </w:p>
    <w:p w14:paraId="6FDF58A9" w14:textId="5125D018" w:rsidR="003377BD" w:rsidRPr="00E96786" w:rsidRDefault="003377BD" w:rsidP="003377BD">
      <w:pPr>
        <w:pStyle w:val="Para"/>
        <w:numPr>
          <w:ilvl w:val="0"/>
          <w:numId w:val="7"/>
        </w:numPr>
        <w:ind w:left="1134" w:hanging="567"/>
        <w:rPr>
          <w:rFonts w:cs="Arial"/>
          <w:sz w:val="22"/>
          <w:szCs w:val="22"/>
        </w:rPr>
      </w:pPr>
      <w:r>
        <w:rPr>
          <w:sz w:val="22"/>
          <w:u w:val="single"/>
        </w:rPr>
        <w:t>Rappelant</w:t>
      </w:r>
      <w:r>
        <w:rPr>
          <w:sz w:val="22"/>
        </w:rPr>
        <w:t xml:space="preserve"> le chapitre V des Directives opérationnelles et ses décisions </w:t>
      </w:r>
      <w:hyperlink r:id="rId52" w:history="1">
        <w:r>
          <w:rPr>
            <w:rStyle w:val="Hyperlink"/>
            <w:sz w:val="22"/>
          </w:rPr>
          <w:t>11.COM 10.a.3</w:t>
        </w:r>
      </w:hyperlink>
      <w:r>
        <w:rPr>
          <w:sz w:val="22"/>
        </w:rPr>
        <w:t xml:space="preserve">et </w:t>
      </w:r>
      <w:hyperlink r:id="rId53" w:history="1">
        <w:r>
          <w:rPr>
            <w:rStyle w:val="Hyperlink"/>
            <w:sz w:val="22"/>
          </w:rPr>
          <w:t>16.COM 7.a.4</w:t>
        </w:r>
      </w:hyperlink>
      <w:r w:rsidR="0075314A">
        <w:rPr>
          <w:sz w:val="22"/>
        </w:rPr>
        <w:t>,</w:t>
      </w:r>
    </w:p>
    <w:p w14:paraId="6659454D" w14:textId="2EA001F3" w:rsidR="003377BD" w:rsidRPr="00E96786" w:rsidRDefault="003377BD" w:rsidP="003377BD">
      <w:pPr>
        <w:pStyle w:val="Para"/>
        <w:numPr>
          <w:ilvl w:val="0"/>
          <w:numId w:val="7"/>
        </w:numPr>
        <w:ind w:left="1134" w:hanging="567"/>
        <w:rPr>
          <w:rFonts w:cs="Arial"/>
          <w:sz w:val="22"/>
          <w:szCs w:val="22"/>
        </w:rPr>
      </w:pPr>
      <w:r>
        <w:rPr>
          <w:sz w:val="22"/>
          <w:u w:val="single"/>
        </w:rPr>
        <w:t>Remercie</w:t>
      </w:r>
      <w:r>
        <w:rPr>
          <w:sz w:val="22"/>
        </w:rPr>
        <w:t xml:space="preserve"> le Portugal d</w:t>
      </w:r>
      <w:r w:rsidR="00C93212">
        <w:rPr>
          <w:sz w:val="22"/>
        </w:rPr>
        <w:t>’</w:t>
      </w:r>
      <w:r>
        <w:rPr>
          <w:sz w:val="22"/>
        </w:rPr>
        <w:t>avoir soumis, dans les délais, son deuxième rapport sur l</w:t>
      </w:r>
      <w:r w:rsidR="00C93212">
        <w:rPr>
          <w:sz w:val="22"/>
        </w:rPr>
        <w:t>’</w:t>
      </w:r>
      <w:r>
        <w:rPr>
          <w:sz w:val="22"/>
        </w:rPr>
        <w:t>état de l</w:t>
      </w:r>
      <w:r w:rsidR="00C93212">
        <w:rPr>
          <w:sz w:val="22"/>
        </w:rPr>
        <w:t>’</w:t>
      </w:r>
      <w:r>
        <w:rPr>
          <w:sz w:val="22"/>
        </w:rPr>
        <w:t>élément « Le processus de fabrication de la poterie noire de Bisalhães », inscrit en 2016 sur la Liste du patrimoine culturel immatériel nécessitant une sauvegarde urgente ;</w:t>
      </w:r>
    </w:p>
    <w:p w14:paraId="09C48932" w14:textId="5BDE0FE7" w:rsidR="003377BD" w:rsidRPr="00E96786" w:rsidRDefault="003377BD" w:rsidP="003377BD">
      <w:pPr>
        <w:pStyle w:val="Para"/>
        <w:numPr>
          <w:ilvl w:val="0"/>
          <w:numId w:val="7"/>
        </w:numPr>
        <w:ind w:left="1134" w:hanging="567"/>
        <w:rPr>
          <w:rFonts w:cs="Arial"/>
          <w:sz w:val="22"/>
          <w:szCs w:val="22"/>
        </w:rPr>
      </w:pPr>
      <w:r>
        <w:rPr>
          <w:sz w:val="22"/>
          <w:u w:val="single"/>
        </w:rPr>
        <w:t>Prend note</w:t>
      </w:r>
      <w:r>
        <w:rPr>
          <w:sz w:val="22"/>
        </w:rPr>
        <w:t xml:space="preserve"> de l</w:t>
      </w:r>
      <w:r w:rsidR="00C93212">
        <w:rPr>
          <w:sz w:val="22"/>
        </w:rPr>
        <w:t>’</w:t>
      </w:r>
      <w:r>
        <w:rPr>
          <w:sz w:val="22"/>
        </w:rPr>
        <w:t>engagement de l</w:t>
      </w:r>
      <w:r w:rsidR="00C93212">
        <w:rPr>
          <w:sz w:val="22"/>
        </w:rPr>
        <w:t>’</w:t>
      </w:r>
      <w:r>
        <w:rPr>
          <w:sz w:val="22"/>
        </w:rPr>
        <w:t>État partie pour la sauvegarde de l</w:t>
      </w:r>
      <w:r w:rsidR="00C93212">
        <w:rPr>
          <w:sz w:val="22"/>
        </w:rPr>
        <w:t>’</w:t>
      </w:r>
      <w:r>
        <w:rPr>
          <w:sz w:val="22"/>
        </w:rPr>
        <w:t>élément, notamment par l</w:t>
      </w:r>
      <w:r w:rsidR="00C93212">
        <w:rPr>
          <w:sz w:val="22"/>
        </w:rPr>
        <w:t>’</w:t>
      </w:r>
      <w:r>
        <w:rPr>
          <w:sz w:val="22"/>
        </w:rPr>
        <w:t>évaluation systématique et la mise en œuvre de mesures de sauvegarde, ainsi que</w:t>
      </w:r>
      <w:r>
        <w:rPr>
          <w:i/>
          <w:sz w:val="22"/>
        </w:rPr>
        <w:t xml:space="preserve"> </w:t>
      </w:r>
      <w:r>
        <w:rPr>
          <w:sz w:val="22"/>
        </w:rPr>
        <w:t>des efforts accomplis pour améliorer la viabilité de l</w:t>
      </w:r>
      <w:r w:rsidR="00C93212">
        <w:rPr>
          <w:sz w:val="22"/>
        </w:rPr>
        <w:t>’</w:t>
      </w:r>
      <w:r>
        <w:rPr>
          <w:sz w:val="22"/>
        </w:rPr>
        <w:t>élément par le renforcement des capacités, les programmes de formation et les activités de sensibilisation et d</w:t>
      </w:r>
      <w:r w:rsidR="00C93212">
        <w:rPr>
          <w:sz w:val="22"/>
        </w:rPr>
        <w:t>’</w:t>
      </w:r>
      <w:r>
        <w:rPr>
          <w:sz w:val="22"/>
        </w:rPr>
        <w:t>éducation, avec l</w:t>
      </w:r>
      <w:r w:rsidR="00C93212">
        <w:rPr>
          <w:sz w:val="22"/>
        </w:rPr>
        <w:t>’</w:t>
      </w:r>
      <w:r>
        <w:rPr>
          <w:sz w:val="22"/>
        </w:rPr>
        <w:t xml:space="preserve">implication des </w:t>
      </w:r>
      <w:r w:rsidR="000C1B3E">
        <w:rPr>
          <w:sz w:val="22"/>
        </w:rPr>
        <w:t>détenteurs</w:t>
      </w:r>
      <w:r>
        <w:rPr>
          <w:sz w:val="22"/>
        </w:rPr>
        <w:t xml:space="preserve"> et des parties prenantes locales ;</w:t>
      </w:r>
    </w:p>
    <w:p w14:paraId="53CFFE0F" w14:textId="736E13E0" w:rsidR="003377BD" w:rsidRPr="00E96786" w:rsidRDefault="003377BD" w:rsidP="003377BD">
      <w:pPr>
        <w:pStyle w:val="Para"/>
        <w:numPr>
          <w:ilvl w:val="0"/>
          <w:numId w:val="7"/>
        </w:numPr>
        <w:ind w:left="1134" w:hanging="567"/>
        <w:rPr>
          <w:rFonts w:cs="Arial"/>
          <w:sz w:val="22"/>
          <w:szCs w:val="22"/>
        </w:rPr>
      </w:pPr>
      <w:r>
        <w:rPr>
          <w:sz w:val="22"/>
          <w:u w:val="single"/>
        </w:rPr>
        <w:t>Prend également note</w:t>
      </w:r>
      <w:r>
        <w:rPr>
          <w:sz w:val="22"/>
        </w:rPr>
        <w:t xml:space="preserve"> des efforts déployés par les parties prenantes nationales et locales pour promouvoir l</w:t>
      </w:r>
      <w:r w:rsidR="00C93212">
        <w:rPr>
          <w:sz w:val="22"/>
        </w:rPr>
        <w:t>’</w:t>
      </w:r>
      <w:r>
        <w:rPr>
          <w:sz w:val="22"/>
        </w:rPr>
        <w:t xml:space="preserve">élément au-delà des frontières municipales et régionales, ainsi que des initiatives éducatives destinées aux jeunes générations et aux futurs </w:t>
      </w:r>
      <w:r w:rsidR="000C1B3E">
        <w:rPr>
          <w:sz w:val="22"/>
        </w:rPr>
        <w:t>détenteurs</w:t>
      </w:r>
      <w:r>
        <w:rPr>
          <w:sz w:val="22"/>
        </w:rPr>
        <w:t xml:space="preserve"> potentiels ;</w:t>
      </w:r>
    </w:p>
    <w:p w14:paraId="6D525672" w14:textId="077DE228" w:rsidR="003377BD" w:rsidRPr="00E96786" w:rsidRDefault="003377BD" w:rsidP="003377BD">
      <w:pPr>
        <w:pStyle w:val="Para"/>
        <w:numPr>
          <w:ilvl w:val="0"/>
          <w:numId w:val="7"/>
        </w:numPr>
        <w:ind w:left="1134" w:hanging="567"/>
        <w:rPr>
          <w:rFonts w:cs="Arial"/>
          <w:sz w:val="22"/>
          <w:szCs w:val="22"/>
        </w:rPr>
      </w:pPr>
      <w:r>
        <w:rPr>
          <w:sz w:val="22"/>
          <w:u w:val="single"/>
        </w:rPr>
        <w:t>Encourage</w:t>
      </w:r>
      <w:r>
        <w:rPr>
          <w:sz w:val="22"/>
        </w:rPr>
        <w:t xml:space="preserve"> l</w:t>
      </w:r>
      <w:r w:rsidR="00C93212">
        <w:rPr>
          <w:sz w:val="22"/>
        </w:rPr>
        <w:t>’</w:t>
      </w:r>
      <w:r>
        <w:rPr>
          <w:sz w:val="22"/>
        </w:rPr>
        <w:t>État partie à continuer d</w:t>
      </w:r>
      <w:r w:rsidR="00C93212">
        <w:rPr>
          <w:sz w:val="22"/>
        </w:rPr>
        <w:t>’</w:t>
      </w:r>
      <w:r>
        <w:rPr>
          <w:sz w:val="22"/>
        </w:rPr>
        <w:t>améliorer les conditions de travail des potiers et à leur garantir l</w:t>
      </w:r>
      <w:r w:rsidR="00C93212">
        <w:rPr>
          <w:sz w:val="22"/>
        </w:rPr>
        <w:t>’</w:t>
      </w:r>
      <w:r>
        <w:rPr>
          <w:sz w:val="22"/>
        </w:rPr>
        <w:t>accès à l</w:t>
      </w:r>
      <w:r w:rsidR="00C93212">
        <w:rPr>
          <w:sz w:val="22"/>
        </w:rPr>
        <w:t>’</w:t>
      </w:r>
      <w:r>
        <w:rPr>
          <w:sz w:val="22"/>
        </w:rPr>
        <w:t>argile et aux autres ressources nécessaires ;</w:t>
      </w:r>
    </w:p>
    <w:p w14:paraId="0ACB3AD2" w14:textId="4BD0E7B0" w:rsidR="003377BD" w:rsidRPr="00E96786" w:rsidRDefault="003377BD" w:rsidP="003377BD">
      <w:pPr>
        <w:pStyle w:val="Para"/>
        <w:numPr>
          <w:ilvl w:val="0"/>
          <w:numId w:val="7"/>
        </w:numPr>
        <w:ind w:left="1134" w:hanging="567"/>
        <w:rPr>
          <w:rFonts w:cs="Arial"/>
          <w:sz w:val="22"/>
          <w:szCs w:val="22"/>
        </w:rPr>
      </w:pPr>
      <w:r>
        <w:rPr>
          <w:sz w:val="22"/>
          <w:u w:val="single"/>
        </w:rPr>
        <w:t>Encourage en outre</w:t>
      </w:r>
      <w:r>
        <w:rPr>
          <w:sz w:val="22"/>
        </w:rPr>
        <w:t xml:space="preserve"> l</w:t>
      </w:r>
      <w:r w:rsidR="00C93212">
        <w:rPr>
          <w:sz w:val="22"/>
        </w:rPr>
        <w:t>’</w:t>
      </w:r>
      <w:r>
        <w:rPr>
          <w:sz w:val="22"/>
        </w:rPr>
        <w:t>État partie à poursuivre ses efforts pour documenter l</w:t>
      </w:r>
      <w:r w:rsidR="00C93212">
        <w:rPr>
          <w:sz w:val="22"/>
        </w:rPr>
        <w:t>’</w:t>
      </w:r>
      <w:r>
        <w:rPr>
          <w:sz w:val="22"/>
        </w:rPr>
        <w:t>élément et revitaliser sa pratique, et à soutenir les initiatives communautaires visant à sauvegarder l</w:t>
      </w:r>
      <w:r w:rsidR="00C93212">
        <w:rPr>
          <w:sz w:val="22"/>
        </w:rPr>
        <w:t>’</w:t>
      </w:r>
      <w:r>
        <w:rPr>
          <w:sz w:val="22"/>
        </w:rPr>
        <w:t>élément, tout en favorisant la prise de conscience de la nature évolutive et dynamique du patrimoine culturel immatériel.</w:t>
      </w:r>
    </w:p>
    <w:p w14:paraId="5812E034" w14:textId="77777777" w:rsidR="009345A8" w:rsidRPr="00E96786" w:rsidRDefault="009345A8">
      <w:pPr>
        <w:rPr>
          <w:rFonts w:ascii="Arial" w:hAnsi="Arial" w:cs="Arial"/>
          <w:b/>
          <w:bCs/>
          <w:sz w:val="22"/>
          <w:szCs w:val="22"/>
        </w:rPr>
      </w:pPr>
      <w:r>
        <w:br w:type="page"/>
      </w:r>
    </w:p>
    <w:p w14:paraId="1FCC1DB7" w14:textId="492D42DE" w:rsidR="00CB5429" w:rsidRPr="00E96786" w:rsidRDefault="00CB5429" w:rsidP="00501764">
      <w:pPr>
        <w:pStyle w:val="COMTitleDecision"/>
        <w:keepLines/>
        <w:spacing w:after="240"/>
      </w:pPr>
      <w:r>
        <w:t xml:space="preserve">Ukraine : « Les chants cosaques de la région de Dnipropetrovsk » </w:t>
      </w:r>
      <w:r>
        <w:rPr>
          <w:b w:val="0"/>
          <w:i/>
        </w:rPr>
        <w:t xml:space="preserve">(voir </w:t>
      </w:r>
      <w:r w:rsidRPr="003B7315">
        <w:rPr>
          <w:b w:val="0"/>
          <w:i/>
        </w:rPr>
        <w:t xml:space="preserve">le </w:t>
      </w:r>
      <w:hyperlink r:id="rId54" w:history="1">
        <w:r w:rsidRPr="003B7315">
          <w:rPr>
            <w:rStyle w:val="Hyperlink"/>
            <w:b w:val="0"/>
            <w:i/>
          </w:rPr>
          <w:t>rapport</w:t>
        </w:r>
      </w:hyperlink>
      <w:r w:rsidRPr="003B7315">
        <w:rPr>
          <w:rStyle w:val="Hyperlink"/>
          <w:b w:val="0"/>
          <w:i/>
        </w:rPr>
        <w:t>)</w:t>
      </w:r>
    </w:p>
    <w:p w14:paraId="77794082" w14:textId="158AA5DC" w:rsidR="002D2816" w:rsidRPr="00E96786" w:rsidRDefault="00CF740C" w:rsidP="005B1096">
      <w:pPr>
        <w:pStyle w:val="COMPara"/>
        <w:numPr>
          <w:ilvl w:val="0"/>
          <w:numId w:val="9"/>
        </w:numPr>
        <w:ind w:left="567" w:hanging="567"/>
        <w:jc w:val="both"/>
        <w:rPr>
          <w:rStyle w:val="Strong"/>
          <w:b w:val="0"/>
          <w:snapToGrid/>
        </w:rPr>
      </w:pPr>
      <w:r>
        <w:t>Les chants cosaques de la région de Dnipropetrovsk racontent les exploits de guerre et les histoires personnelles des soldats cosaques. Les chansons apportent de la joie et un sentiment de connexion avec les ancêtres et l</w:t>
      </w:r>
      <w:r w:rsidR="00C93212">
        <w:t>’</w:t>
      </w:r>
      <w:r>
        <w:t>histoire locale. Les représentations commencent par un chanteur principal, suivi d</w:t>
      </w:r>
      <w:r w:rsidR="00C93212">
        <w:t>’</w:t>
      </w:r>
      <w:r>
        <w:t>une deuxième voix, après quoi le reste du groupe se joint à l</w:t>
      </w:r>
      <w:r w:rsidR="00C93212">
        <w:t>’</w:t>
      </w:r>
      <w:r>
        <w:t>harmonie. Enracinés dans la liberté, la résilience et la défense de la patrie, les chants cosaques continuent d</w:t>
      </w:r>
      <w:r w:rsidR="00C93212">
        <w:t>’</w:t>
      </w:r>
      <w:r>
        <w:t>inspirer la fierté et l</w:t>
      </w:r>
      <w:r w:rsidR="00C93212">
        <w:t>’</w:t>
      </w:r>
      <w:r>
        <w:t>unité. Ils sont interprétés dans le cadre familial ainsi que dans les communautés réunies par trois groupes musicaux : Krynycya, Boguslavochka et Pershocvit. Au cours du premier cycle de rapports, la valeur culturelle et sociale de l</w:t>
      </w:r>
      <w:r w:rsidR="00C93212">
        <w:t>’</w:t>
      </w:r>
      <w:r>
        <w:t xml:space="preserve">élément a été démontrée par sa contribution au renforcement de la cohésion communautaire et à la promotion des interactions entre les diverses parties prenantes et le grand public. Avec la guerre en cours, il est devenu de plus en plus évident que le patrimoine culturel immatériel est un moyen essentiel de renforcer la résilience des communautés. </w:t>
      </w:r>
      <w:r w:rsidR="009F77A2">
        <w:t>A l</w:t>
      </w:r>
      <w:r w:rsidR="00C93212">
        <w:t>’</w:t>
      </w:r>
      <w:r w:rsidR="009F77A2">
        <w:t>heure actuelle</w:t>
      </w:r>
      <w:r>
        <w:t>, cet élément constitue une puissante source d</w:t>
      </w:r>
      <w:r w:rsidR="00C93212">
        <w:t>’</w:t>
      </w:r>
      <w:r>
        <w:t>inspiration, de continuité intergénérationnelle et de soutien psychologique</w:t>
      </w:r>
      <w:r w:rsidR="009F77A2">
        <w:t xml:space="preserve">, </w:t>
      </w:r>
      <w:r w:rsidR="009D078E" w:rsidRPr="009D078E">
        <w:t xml:space="preserve">jouant un rôle essentiel </w:t>
      </w:r>
      <w:r w:rsidR="009F77A2">
        <w:t>en tant que</w:t>
      </w:r>
      <w:r>
        <w:t xml:space="preserve"> force unificatrice qui rassemble les communautés autour de valeurs communes.</w:t>
      </w:r>
    </w:p>
    <w:p w14:paraId="01ACBFA1" w14:textId="518D9309" w:rsidR="002D2816" w:rsidRPr="00E96786" w:rsidRDefault="002D2816" w:rsidP="005B1096">
      <w:pPr>
        <w:pStyle w:val="COMPara"/>
        <w:numPr>
          <w:ilvl w:val="0"/>
          <w:numId w:val="9"/>
        </w:numPr>
        <w:ind w:left="567" w:hanging="567"/>
        <w:jc w:val="both"/>
      </w:pPr>
      <w:r>
        <w:t>L</w:t>
      </w:r>
      <w:r w:rsidR="00C93212">
        <w:t>’</w:t>
      </w:r>
      <w:r>
        <w:t xml:space="preserve">élément a été inscrit sur la </w:t>
      </w:r>
      <w:r w:rsidR="00E049B5">
        <w:t>L</w:t>
      </w:r>
      <w:r>
        <w:t xml:space="preserve">iste de sauvegarde urgente en 2016, et le </w:t>
      </w:r>
      <w:hyperlink r:id="rId55" w:history="1">
        <w:r>
          <w:rPr>
            <w:rStyle w:val="Hyperlink"/>
          </w:rPr>
          <w:t>premier rapport</w:t>
        </w:r>
      </w:hyperlink>
      <w:r>
        <w:t xml:space="preserve"> a été examiné par la seizième session du Comité (</w:t>
      </w:r>
      <w:r w:rsidR="00A8484A">
        <w:t>D</w:t>
      </w:r>
      <w:r>
        <w:t xml:space="preserve">écision </w:t>
      </w:r>
      <w:bookmarkStart w:id="29" w:name="_Hlk209013036"/>
      <w:r w:rsidR="00D80DB2">
        <w:fldChar w:fldCharType="begin"/>
      </w:r>
      <w:r w:rsidR="00D80DB2">
        <w:instrText>HYPERLINK "https://ich.unesco.org/fr/decisions/16.COM/7.A.6"</w:instrText>
      </w:r>
      <w:r w:rsidR="00D80DB2">
        <w:fldChar w:fldCharType="separate"/>
      </w:r>
      <w:r>
        <w:rPr>
          <w:rStyle w:val="Hyperlink"/>
        </w:rPr>
        <w:t>16.COM 7.a.6</w:t>
      </w:r>
      <w:r w:rsidR="00D80DB2">
        <w:fldChar w:fldCharType="end"/>
      </w:r>
      <w:bookmarkEnd w:id="29"/>
      <w:r>
        <w:t>). Il s</w:t>
      </w:r>
      <w:r w:rsidR="00C93212">
        <w:t>’</w:t>
      </w:r>
      <w:r>
        <w:t>agit du deuxième rapport périodique soumis par l</w:t>
      </w:r>
      <w:r w:rsidR="00C93212">
        <w:t>’</w:t>
      </w:r>
      <w:r>
        <w:t>État partie concernant l</w:t>
      </w:r>
      <w:r w:rsidR="00C93212">
        <w:t>’</w:t>
      </w:r>
      <w:r>
        <w:t>état de cet élément.</w:t>
      </w:r>
    </w:p>
    <w:p w14:paraId="5B403577" w14:textId="5EAEBD3D" w:rsidR="002D2816" w:rsidRPr="00E96786" w:rsidRDefault="002D2816" w:rsidP="005B1096">
      <w:pPr>
        <w:pStyle w:val="COMPara"/>
        <w:numPr>
          <w:ilvl w:val="0"/>
          <w:numId w:val="9"/>
        </w:numPr>
        <w:ind w:left="567" w:hanging="567"/>
        <w:jc w:val="both"/>
      </w:pPr>
      <w:r>
        <w:rPr>
          <w:b/>
        </w:rPr>
        <w:t xml:space="preserve">Efficacité du plan de sauvegarde. </w:t>
      </w:r>
      <w:r>
        <w:t>Le plan de sauvegarde inclus dans le dossier de candidature et actualisé pour la soumission</w:t>
      </w:r>
      <w:r w:rsidR="00A34D44">
        <w:t xml:space="preserve"> </w:t>
      </w:r>
      <w:r>
        <w:t>du premier rapport périodique visait à renforcer la durabilité principalement par l</w:t>
      </w:r>
      <w:r w:rsidR="00C93212">
        <w:t>’</w:t>
      </w:r>
      <w:r>
        <w:t>engagement des jeunes, les activités de sensibilisation et la transmission intergénérationnelle. Bien que les institutions culturelles et les autorités locales aient mis en œuvre plusieurs mesures de sauvegarde, des risques structurels persistent, notamment l</w:t>
      </w:r>
      <w:r w:rsidR="00C93212">
        <w:t>’</w:t>
      </w:r>
      <w:r>
        <w:t xml:space="preserve">âge avancé des </w:t>
      </w:r>
      <w:r w:rsidR="000C1B3E">
        <w:t>détenteurs</w:t>
      </w:r>
      <w:r>
        <w:t>, le faible engagement des jeunes, la migration urbaine et le manque de financement. En outre, l</w:t>
      </w:r>
      <w:r w:rsidR="00C93212">
        <w:t>’</w:t>
      </w:r>
      <w:r>
        <w:t>exécution du plan de sauvegarde actualisé a été fortement limitée en raison de la guerre. Malgré les limitations, les activités de sensibilisation mises en œuvre comprennent l</w:t>
      </w:r>
      <w:r w:rsidR="00C93212">
        <w:t>’</w:t>
      </w:r>
      <w:r>
        <w:t>organisation d</w:t>
      </w:r>
      <w:r w:rsidR="00C93212">
        <w:t>’</w:t>
      </w:r>
      <w:r>
        <w:t xml:space="preserve">événements régionaux, la participation de </w:t>
      </w:r>
      <w:r w:rsidR="000C1B3E">
        <w:t>détenteurs</w:t>
      </w:r>
      <w:r>
        <w:t xml:space="preserve"> à des festivals internationaux et la production de trois films documentaires. Des recherches et une documentation limitées se sont poursuivies, notamment par le groupe Spivanockhy du Myroslav Skoryk Kamianske Professional Music College. Cependant, certaines préoccupations éthiques sont apparues concernant l</w:t>
      </w:r>
      <w:r w:rsidR="00C93212">
        <w:t>’</w:t>
      </w:r>
      <w:r>
        <w:t>utilisation promotionnelle de l</w:t>
      </w:r>
      <w:r w:rsidR="00C93212">
        <w:t>’</w:t>
      </w:r>
      <w:r>
        <w:t>élément, en particulier le risque de décontextualisation lié aux concerts donnés par les groupes lors de nombreux événements et festivals. Dans l</w:t>
      </w:r>
      <w:r w:rsidR="00C93212">
        <w:t>’</w:t>
      </w:r>
      <w:r>
        <w:t>ensemble, le plan de sauvegarde témoigne d</w:t>
      </w:r>
      <w:r w:rsidR="00C93212">
        <w:t>’</w:t>
      </w:r>
      <w:r>
        <w:t>un engagement local fort, mais il est confronté à de graves contraintes pour réaliser pleinement ses objectifs dans les conditions d</w:t>
      </w:r>
      <w:r w:rsidR="00C93212">
        <w:t>’</w:t>
      </w:r>
      <w:r>
        <w:t>urgence actuelles.</w:t>
      </w:r>
    </w:p>
    <w:p w14:paraId="494FF5FE" w14:textId="7ED1A764" w:rsidR="002D2816" w:rsidRPr="00E96786" w:rsidRDefault="002D2816" w:rsidP="005B1096">
      <w:pPr>
        <w:pStyle w:val="COMPara"/>
        <w:numPr>
          <w:ilvl w:val="0"/>
          <w:numId w:val="9"/>
        </w:numPr>
        <w:ind w:left="567" w:hanging="567"/>
        <w:jc w:val="both"/>
        <w:rPr>
          <w:bCs/>
        </w:rPr>
      </w:pPr>
      <w:r>
        <w:rPr>
          <w:b/>
        </w:rPr>
        <w:t xml:space="preserve">Participation de la communauté. </w:t>
      </w:r>
      <w:r>
        <w:t>Malgré les perturbations importantes causées par la guerre, les communautés et les praticiens de l</w:t>
      </w:r>
      <w:r w:rsidR="00C93212">
        <w:t>’</w:t>
      </w:r>
      <w:r>
        <w:t>élément se sont activement engagés dans des activités de sauvegarde, notamment en impliquant les jeunes générations dans les efforts de transmission. Les gouvernements autonomes locaux ont soutenu ces efforts en fournissant des ressources essentielles telles que des lieux de réunion, des moyens de transport et une rémunération pour les chefs de groupe. Des institutions telles que l</w:t>
      </w:r>
      <w:r w:rsidR="00C93212">
        <w:t>’</w:t>
      </w:r>
      <w:r>
        <w:t>Académie de musique de Dnipro et le Collège de musique de Kamianske ont contribué à la sauvegarde par la recherche, la transcription d</w:t>
      </w:r>
      <w:r w:rsidR="00C93212">
        <w:t>’</w:t>
      </w:r>
      <w:r>
        <w:t>archives et la diffusion de l</w:t>
      </w:r>
      <w:r w:rsidR="00C93212">
        <w:t>’</w:t>
      </w:r>
      <w:r>
        <w:t xml:space="preserve">enseignement. Des ONG telles que </w:t>
      </w:r>
      <w:r>
        <w:rPr>
          <w:rStyle w:val="Emphasis"/>
          <w:i w:val="0"/>
        </w:rPr>
        <w:t>Women Plus</w:t>
      </w:r>
      <w:r>
        <w:t xml:space="preserve"> ont organisé des événements culturels et informatifs. Le plan de sauvegarde actualisé a été élaboré avec la participation active des communautés porteuses, des autorités locales, des institutions culturelles et des ONG, privilégiant des stratégies éducatives axées sur la jeunesse. Si les institutions culturelles ont joué un rôle clé, il reste nécessaire de renforcer les capacités des acteurs locaux. En outre, une plus grande implication des organisations de jeunesse dans la sauvegarde de l</w:t>
      </w:r>
      <w:r w:rsidR="00C93212">
        <w:t>’</w:t>
      </w:r>
      <w:r>
        <w:t>élément serait bénéfique. L</w:t>
      </w:r>
      <w:r w:rsidR="00C93212">
        <w:t>’</w:t>
      </w:r>
      <w:r>
        <w:t>évolution rapide de la situation pourrait nécessiter une nouvelle adaptation des mesures de sauvegarde dans un avenir proche.</w:t>
      </w:r>
    </w:p>
    <w:p w14:paraId="603D4AA3" w14:textId="3BFB7A69" w:rsidR="0087000A" w:rsidRPr="00E96786" w:rsidRDefault="002D2816" w:rsidP="00173229">
      <w:pPr>
        <w:pStyle w:val="COMPara"/>
        <w:numPr>
          <w:ilvl w:val="0"/>
          <w:numId w:val="9"/>
        </w:numPr>
        <w:ind w:left="540" w:hanging="540"/>
        <w:jc w:val="both"/>
        <w:rPr>
          <w:rFonts w:cs="Times New Roman"/>
          <w:szCs w:val="24"/>
        </w:rPr>
      </w:pPr>
      <w:r>
        <w:rPr>
          <w:b/>
        </w:rPr>
        <w:t xml:space="preserve">Viabilité et risques actuels. </w:t>
      </w:r>
      <w:r>
        <w:t>Le ministère de la Culture et des Communications stratégiques a mis en place un système de surveillance de l</w:t>
      </w:r>
      <w:r w:rsidR="00C93212">
        <w:t>’</w:t>
      </w:r>
      <w:r>
        <w:t xml:space="preserve">élément, mais les </w:t>
      </w:r>
      <w:r>
        <w:rPr>
          <w:rStyle w:val="Emphasis"/>
          <w:i w:val="0"/>
        </w:rPr>
        <w:t>chants cosaques de la région de Dnipropetrovsk</w:t>
      </w:r>
      <w:r>
        <w:t xml:space="preserve"> restent gravement menacés malgré les efforts constants de la communauté. La transmission est principalement intergénérationnelle au sein des groupes d</w:t>
      </w:r>
      <w:r w:rsidR="00C93212">
        <w:t>’</w:t>
      </w:r>
      <w:r>
        <w:t>artistes, mais l</w:t>
      </w:r>
      <w:r w:rsidR="00C93212">
        <w:t>’</w:t>
      </w:r>
      <w:r>
        <w:t>âge avancé des praticiens, le faible engagement des jeunes, la migration urbaine et la méconnaissance du contexte culturel de l</w:t>
      </w:r>
      <w:r w:rsidR="00C93212">
        <w:t>’</w:t>
      </w:r>
      <w:r>
        <w:t>élément posent de sérieux risques. Bien que des initiatives éducatives visant à promouvoir l</w:t>
      </w:r>
      <w:r w:rsidR="00C93212">
        <w:t>’</w:t>
      </w:r>
      <w:r>
        <w:t>élément (telles que des programmes dans les écoles et les collèges de musique) soient en place, la guerre sape leur efficacité. Les attaques constantes, les déplacements internes et l</w:t>
      </w:r>
      <w:r w:rsidR="00C93212">
        <w:t>’</w:t>
      </w:r>
      <w:r>
        <w:t xml:space="preserve">impact psychologique sur les </w:t>
      </w:r>
      <w:r w:rsidR="000C1B3E">
        <w:t>détenteurs</w:t>
      </w:r>
      <w:r>
        <w:t xml:space="preserve"> ont perturbé l</w:t>
      </w:r>
      <w:r w:rsidR="00C93212">
        <w:t>’</w:t>
      </w:r>
      <w:r>
        <w:t>apprentissage et mis en danger la continuité de l</w:t>
      </w:r>
      <w:r w:rsidR="00C93212">
        <w:t>’</w:t>
      </w:r>
      <w:r>
        <w:t>élément. Alors que les communautés et les institutions poursuivent leurs efforts pour sauvegarder l</w:t>
      </w:r>
      <w:r w:rsidR="00C93212">
        <w:t>’</w:t>
      </w:r>
      <w:r>
        <w:t>élément par le biais de collaborations et d</w:t>
      </w:r>
      <w:r w:rsidR="00C93212">
        <w:t>’</w:t>
      </w:r>
      <w:r>
        <w:t>événements publics, l</w:t>
      </w:r>
      <w:r w:rsidR="00C93212">
        <w:t>’</w:t>
      </w:r>
      <w:r>
        <w:t>insuffisance des financements, la guerre, le déclin démographique et, dans certains cas, l</w:t>
      </w:r>
      <w:r w:rsidR="00C93212">
        <w:t>’</w:t>
      </w:r>
      <w:r>
        <w:t>utilisation abusive de l</w:t>
      </w:r>
      <w:r w:rsidR="00C93212">
        <w:t>’</w:t>
      </w:r>
      <w:r>
        <w:t>élément par des tiers continuent de menacer sa viabilité à long terme.</w:t>
      </w:r>
    </w:p>
    <w:p w14:paraId="6C707AAA" w14:textId="03510359" w:rsidR="002D2816" w:rsidRPr="00E96786" w:rsidRDefault="0087000A" w:rsidP="005B1096">
      <w:pPr>
        <w:pStyle w:val="COMPara"/>
        <w:numPr>
          <w:ilvl w:val="0"/>
          <w:numId w:val="9"/>
        </w:numPr>
        <w:ind w:left="567" w:hanging="567"/>
        <w:jc w:val="both"/>
      </w:pPr>
      <w:r>
        <w:t>Le plan de sauvegarde proposé est axé sur l</w:t>
      </w:r>
      <w:r w:rsidR="00C93212">
        <w:t>’</w:t>
      </w:r>
      <w:r>
        <w:t>éducation, le renforcement des capacités des différents groupes de parties prenantes, la sensibilisation et la poursuite des recherches. Les actions clés comprennent l</w:t>
      </w:r>
      <w:r w:rsidR="00C93212">
        <w:t>’</w:t>
      </w:r>
      <w:r>
        <w:t>élaboration de programmes éducatifs en collaboration avec les écoles et les institutions artistiques locales, la formation des travailleurs culturels et des communautés à la gestion du patrimoine, et l</w:t>
      </w:r>
      <w:r w:rsidR="00C93212">
        <w:t>’</w:t>
      </w:r>
      <w:r>
        <w:t>engagement des jeunes par l</w:t>
      </w:r>
      <w:r w:rsidR="00C93212">
        <w:t>’</w:t>
      </w:r>
      <w:r>
        <w:t>intermédiaire des médias et des réseaux sociaux. Les communautés participeront à des festivals et à des échanges interrégionaux afin de partager leurs expériences et de renforcer la transmission. Les efforts de recherche permettront de documenter et d</w:t>
      </w:r>
      <w:r w:rsidR="00C93212">
        <w:t>’</w:t>
      </w:r>
      <w:r>
        <w:t>approfondir les connaissances sur l</w:t>
      </w:r>
      <w:r w:rsidR="00C93212">
        <w:t>’</w:t>
      </w:r>
      <w:r>
        <w:t>élément, y compris sa résilience face aux situations d</w:t>
      </w:r>
      <w:r w:rsidR="00C93212">
        <w:t>’</w:t>
      </w:r>
      <w:r>
        <w:t>urgence. Les activités sont conçues pour être flexibles et peuvent être révisées en fonction de l</w:t>
      </w:r>
      <w:r w:rsidR="00C93212">
        <w:t>’</w:t>
      </w:r>
      <w:r>
        <w:t>évolution de la situation en matière de sécurité.</w:t>
      </w:r>
    </w:p>
    <w:p w14:paraId="321EB868" w14:textId="674856EF" w:rsidR="002D2816" w:rsidRPr="00E96786" w:rsidRDefault="002D2816" w:rsidP="005B1096">
      <w:pPr>
        <w:pStyle w:val="COMPara"/>
        <w:numPr>
          <w:ilvl w:val="0"/>
          <w:numId w:val="9"/>
        </w:numPr>
        <w:ind w:left="567" w:hanging="567"/>
        <w:jc w:val="both"/>
      </w:pPr>
      <w:r>
        <w:t>Le Comité souhaitera peut-être adopter la décision suivante :</w:t>
      </w:r>
    </w:p>
    <w:p w14:paraId="11A20F4D" w14:textId="7E9230E8" w:rsidR="00DC4AA7" w:rsidRPr="00E96786" w:rsidRDefault="00DC4AA7" w:rsidP="005B1096">
      <w:pPr>
        <w:pStyle w:val="Heading4"/>
        <w:numPr>
          <w:ilvl w:val="0"/>
          <w:numId w:val="0"/>
        </w:numPr>
        <w:tabs>
          <w:tab w:val="clear" w:pos="567"/>
        </w:tabs>
        <w:spacing w:before="240"/>
        <w:ind w:left="567"/>
      </w:pPr>
      <w:bookmarkStart w:id="30" w:name="_DRAFT_DECISION_20.COM_5"/>
      <w:bookmarkEnd w:id="30"/>
      <w:r>
        <w:t>PROJET DE DECISION 20.COM 6.a.6</w:t>
      </w:r>
    </w:p>
    <w:p w14:paraId="62F144EE" w14:textId="468F0454" w:rsidR="003A6B19" w:rsidRPr="00E96786" w:rsidRDefault="003A6B19" w:rsidP="0044608C">
      <w:pPr>
        <w:pStyle w:val="COMTitleDecision"/>
        <w:keepLines/>
        <w:spacing w:after="240"/>
        <w:ind w:left="0" w:firstLine="567"/>
        <w:rPr>
          <w:b w:val="0"/>
          <w:bCs/>
        </w:rPr>
      </w:pPr>
      <w:r>
        <w:rPr>
          <w:b w:val="0"/>
        </w:rPr>
        <w:t>Le Comité</w:t>
      </w:r>
      <w:r w:rsidR="00466826">
        <w:rPr>
          <w:b w:val="0"/>
        </w:rPr>
        <w:t>,</w:t>
      </w:r>
    </w:p>
    <w:p w14:paraId="740BADC6" w14:textId="79CA9705" w:rsidR="009C7B35" w:rsidRPr="00FC0C78" w:rsidRDefault="009C7B35" w:rsidP="005B1096">
      <w:pPr>
        <w:pStyle w:val="Para"/>
        <w:numPr>
          <w:ilvl w:val="0"/>
          <w:numId w:val="111"/>
        </w:numPr>
        <w:tabs>
          <w:tab w:val="left" w:pos="1134"/>
        </w:tabs>
        <w:spacing w:line="240" w:lineRule="auto"/>
        <w:ind w:left="1170" w:hanging="630"/>
        <w:rPr>
          <w:rFonts w:cs="Arial"/>
          <w:sz w:val="22"/>
          <w:szCs w:val="22"/>
        </w:rPr>
      </w:pPr>
      <w:r>
        <w:rPr>
          <w:sz w:val="22"/>
          <w:u w:val="single"/>
        </w:rPr>
        <w:t>Ayant examiné</w:t>
      </w:r>
      <w:r>
        <w:rPr>
          <w:sz w:val="22"/>
        </w:rPr>
        <w:t xml:space="preserve"> le document LHE/25/20.COM/6.a,</w:t>
      </w:r>
    </w:p>
    <w:p w14:paraId="7F167039" w14:textId="6CAF91F0" w:rsidR="009C7B35" w:rsidRPr="00540A7B" w:rsidRDefault="009C7B35" w:rsidP="009C7B35">
      <w:pPr>
        <w:pStyle w:val="Para"/>
        <w:numPr>
          <w:ilvl w:val="0"/>
          <w:numId w:val="14"/>
        </w:numPr>
        <w:tabs>
          <w:tab w:val="left" w:pos="1134"/>
        </w:tabs>
        <w:spacing w:line="240" w:lineRule="auto"/>
        <w:ind w:left="1134" w:hanging="567"/>
        <w:rPr>
          <w:rFonts w:cs="Arial"/>
          <w:sz w:val="22"/>
          <w:szCs w:val="22"/>
        </w:rPr>
      </w:pPr>
      <w:r>
        <w:rPr>
          <w:sz w:val="22"/>
          <w:u w:val="single"/>
        </w:rPr>
        <w:t>Rappelant</w:t>
      </w:r>
      <w:r>
        <w:rPr>
          <w:sz w:val="22"/>
        </w:rPr>
        <w:t xml:space="preserve"> le chapitre V des Directives opérationnelles et ses décisions </w:t>
      </w:r>
      <w:hyperlink r:id="rId56" w:history="1">
        <w:r>
          <w:rPr>
            <w:rStyle w:val="Hyperlink"/>
            <w:sz w:val="22"/>
          </w:rPr>
          <w:t>11.COM 10.a.5</w:t>
        </w:r>
      </w:hyperlink>
      <w:r>
        <w:rPr>
          <w:sz w:val="22"/>
        </w:rPr>
        <w:t xml:space="preserve"> et </w:t>
      </w:r>
      <w:hyperlink r:id="rId57" w:history="1">
        <w:r>
          <w:rPr>
            <w:rStyle w:val="Hyperlink"/>
            <w:sz w:val="22"/>
          </w:rPr>
          <w:t>16.COM 7.a.6</w:t>
        </w:r>
      </w:hyperlink>
      <w:r>
        <w:rPr>
          <w:sz w:val="22"/>
        </w:rPr>
        <w:t xml:space="preserve">, </w:t>
      </w:r>
    </w:p>
    <w:p w14:paraId="1ADC3F1C" w14:textId="65C68F5A" w:rsidR="009C7B35" w:rsidRPr="00E96786" w:rsidRDefault="009C7B35" w:rsidP="009C7B35">
      <w:pPr>
        <w:pStyle w:val="Para"/>
        <w:numPr>
          <w:ilvl w:val="0"/>
          <w:numId w:val="14"/>
        </w:numPr>
        <w:tabs>
          <w:tab w:val="left" w:pos="1134"/>
        </w:tabs>
        <w:spacing w:line="240" w:lineRule="auto"/>
        <w:ind w:left="1134" w:hanging="567"/>
        <w:rPr>
          <w:rFonts w:eastAsia="Times New Roman" w:cs="Arial"/>
          <w:color w:val="000000"/>
          <w:sz w:val="22"/>
          <w:szCs w:val="22"/>
        </w:rPr>
      </w:pPr>
      <w:r>
        <w:rPr>
          <w:color w:val="000000"/>
          <w:sz w:val="22"/>
          <w:u w:val="single"/>
        </w:rPr>
        <w:t>Remercie</w:t>
      </w:r>
      <w:r>
        <w:rPr>
          <w:color w:val="000000"/>
          <w:sz w:val="22"/>
        </w:rPr>
        <w:t xml:space="preserve"> l</w:t>
      </w:r>
      <w:r w:rsidR="00C93212">
        <w:rPr>
          <w:color w:val="000000"/>
          <w:sz w:val="22"/>
        </w:rPr>
        <w:t>’</w:t>
      </w:r>
      <w:r>
        <w:rPr>
          <w:color w:val="000000"/>
          <w:sz w:val="22"/>
        </w:rPr>
        <w:t>Ukraine d</w:t>
      </w:r>
      <w:r w:rsidR="00C93212">
        <w:rPr>
          <w:color w:val="000000"/>
          <w:sz w:val="22"/>
        </w:rPr>
        <w:t>’</w:t>
      </w:r>
      <w:r>
        <w:rPr>
          <w:color w:val="000000"/>
          <w:sz w:val="22"/>
        </w:rPr>
        <w:t>avoir soumis, dans les délais, son deuxième rapport sur l</w:t>
      </w:r>
      <w:r w:rsidR="00C93212">
        <w:rPr>
          <w:color w:val="000000"/>
          <w:sz w:val="22"/>
        </w:rPr>
        <w:t>’</w:t>
      </w:r>
      <w:r>
        <w:rPr>
          <w:color w:val="000000"/>
          <w:sz w:val="22"/>
        </w:rPr>
        <w:t>état de l</w:t>
      </w:r>
      <w:r w:rsidR="00C93212">
        <w:rPr>
          <w:color w:val="000000"/>
          <w:sz w:val="22"/>
        </w:rPr>
        <w:t>’</w:t>
      </w:r>
      <w:r>
        <w:rPr>
          <w:color w:val="000000"/>
          <w:sz w:val="22"/>
        </w:rPr>
        <w:t>élément « Les chants cosaques de la région de Dnipropetrovsk », inscrit en 2016 sur la Liste du patrimoine culturel immatériel nécessitant une sauvegarde urgente ;</w:t>
      </w:r>
    </w:p>
    <w:p w14:paraId="0E6DC727" w14:textId="54859499" w:rsidR="009C7B35" w:rsidRPr="00E96786" w:rsidRDefault="009C7B35" w:rsidP="009C7B35">
      <w:pPr>
        <w:pStyle w:val="Para"/>
        <w:numPr>
          <w:ilvl w:val="0"/>
          <w:numId w:val="14"/>
        </w:numPr>
        <w:tabs>
          <w:tab w:val="left" w:pos="1134"/>
        </w:tabs>
        <w:spacing w:line="240" w:lineRule="auto"/>
        <w:ind w:left="1134" w:hanging="567"/>
        <w:rPr>
          <w:rFonts w:eastAsia="Times New Roman" w:cs="Arial"/>
          <w:color w:val="000000"/>
          <w:sz w:val="22"/>
          <w:szCs w:val="22"/>
        </w:rPr>
      </w:pPr>
      <w:r>
        <w:rPr>
          <w:color w:val="000000"/>
          <w:sz w:val="22"/>
          <w:u w:val="single"/>
        </w:rPr>
        <w:t>Se félicite</w:t>
      </w:r>
      <w:r>
        <w:rPr>
          <w:color w:val="000000"/>
          <w:sz w:val="22"/>
        </w:rPr>
        <w:t xml:space="preserve"> de l</w:t>
      </w:r>
      <w:r w:rsidR="00C93212">
        <w:rPr>
          <w:color w:val="000000"/>
          <w:sz w:val="22"/>
        </w:rPr>
        <w:t>’</w:t>
      </w:r>
      <w:r>
        <w:rPr>
          <w:color w:val="000000"/>
          <w:sz w:val="22"/>
        </w:rPr>
        <w:t>engagement continu des communautés, des institutions et des autorités locales en faveur de la sauvegarde de l</w:t>
      </w:r>
      <w:r w:rsidR="00C93212">
        <w:rPr>
          <w:color w:val="000000"/>
          <w:sz w:val="22"/>
        </w:rPr>
        <w:t>’</w:t>
      </w:r>
      <w:r>
        <w:rPr>
          <w:color w:val="000000"/>
          <w:sz w:val="22"/>
        </w:rPr>
        <w:t>élément, malgré les difficultés exceptionnelles posées par la guerre en cours, et reconnaît le rôle crucial de l</w:t>
      </w:r>
      <w:r w:rsidR="00C93212">
        <w:rPr>
          <w:color w:val="000000"/>
          <w:sz w:val="22"/>
        </w:rPr>
        <w:t>’</w:t>
      </w:r>
      <w:r>
        <w:rPr>
          <w:color w:val="000000"/>
          <w:sz w:val="22"/>
        </w:rPr>
        <w:t>élément en tant que source de soutien émotionnel et mental, d</w:t>
      </w:r>
      <w:r w:rsidR="00C93212">
        <w:rPr>
          <w:color w:val="000000"/>
          <w:sz w:val="22"/>
        </w:rPr>
        <w:t>’</w:t>
      </w:r>
      <w:r>
        <w:rPr>
          <w:color w:val="000000"/>
          <w:sz w:val="22"/>
        </w:rPr>
        <w:t>identité et de résilience dans le contexte actuel ;</w:t>
      </w:r>
    </w:p>
    <w:p w14:paraId="247DDC91" w14:textId="35733EE8" w:rsidR="009C7B35" w:rsidRPr="00E96786" w:rsidRDefault="009C7B35" w:rsidP="00200F7B">
      <w:pPr>
        <w:pStyle w:val="Para"/>
        <w:numPr>
          <w:ilvl w:val="0"/>
          <w:numId w:val="14"/>
        </w:numPr>
        <w:tabs>
          <w:tab w:val="left" w:pos="1134"/>
        </w:tabs>
        <w:spacing w:line="240" w:lineRule="auto"/>
        <w:ind w:left="1134" w:hanging="567"/>
        <w:rPr>
          <w:sz w:val="22"/>
          <w:szCs w:val="22"/>
        </w:rPr>
      </w:pPr>
      <w:r>
        <w:rPr>
          <w:color w:val="000000"/>
          <w:sz w:val="22"/>
          <w:u w:val="single"/>
        </w:rPr>
        <w:t>Prend note avec satisfaction</w:t>
      </w:r>
      <w:r>
        <w:rPr>
          <w:color w:val="000000"/>
          <w:sz w:val="22"/>
        </w:rPr>
        <w:t xml:space="preserve"> des initiatives prises au cours de la période couverte par le rapport, telles que le développement de programmes éducatifs, </w:t>
      </w:r>
      <w:r>
        <w:rPr>
          <w:sz w:val="22"/>
        </w:rPr>
        <w:t>la sensibilisation et la production de documentaires, ainsi que les efforts de transmission au niveau communautaire, qui ont contribué à maintenir la viabilité de l</w:t>
      </w:r>
      <w:r w:rsidR="00C93212">
        <w:rPr>
          <w:sz w:val="22"/>
        </w:rPr>
        <w:t>’</w:t>
      </w:r>
      <w:r>
        <w:rPr>
          <w:sz w:val="22"/>
        </w:rPr>
        <w:t>élément dans des conditions d</w:t>
      </w:r>
      <w:r w:rsidR="00C93212">
        <w:rPr>
          <w:sz w:val="22"/>
        </w:rPr>
        <w:t>’</w:t>
      </w:r>
      <w:r>
        <w:rPr>
          <w:sz w:val="22"/>
        </w:rPr>
        <w:t>urgence ;</w:t>
      </w:r>
    </w:p>
    <w:p w14:paraId="0B835F66" w14:textId="42D8E17B" w:rsidR="009C7B35" w:rsidRPr="00E96786" w:rsidRDefault="009C7B35" w:rsidP="009C7B35">
      <w:pPr>
        <w:pStyle w:val="Para"/>
        <w:numPr>
          <w:ilvl w:val="0"/>
          <w:numId w:val="14"/>
        </w:numPr>
        <w:tabs>
          <w:tab w:val="left" w:pos="1134"/>
        </w:tabs>
        <w:spacing w:line="240" w:lineRule="auto"/>
        <w:ind w:left="1134" w:hanging="567"/>
        <w:rPr>
          <w:sz w:val="22"/>
          <w:szCs w:val="22"/>
        </w:rPr>
      </w:pPr>
      <w:r>
        <w:rPr>
          <w:sz w:val="22"/>
          <w:u w:val="single"/>
        </w:rPr>
        <w:t>En outre, prend note</w:t>
      </w:r>
      <w:r>
        <w:rPr>
          <w:sz w:val="22"/>
        </w:rPr>
        <w:t xml:space="preserve"> de la participation active des communautés et des institutions locales à l</w:t>
      </w:r>
      <w:r w:rsidR="00C93212">
        <w:rPr>
          <w:sz w:val="22"/>
        </w:rPr>
        <w:t>’</w:t>
      </w:r>
      <w:r>
        <w:rPr>
          <w:sz w:val="22"/>
        </w:rPr>
        <w:t xml:space="preserve">élaboration des mesures de sauvegarde et du plan de sauvegarde actualisé, et </w:t>
      </w:r>
      <w:r>
        <w:rPr>
          <w:sz w:val="22"/>
          <w:u w:val="single"/>
        </w:rPr>
        <w:t>souligne</w:t>
      </w:r>
      <w:r>
        <w:rPr>
          <w:sz w:val="22"/>
        </w:rPr>
        <w:t xml:space="preserve"> l</w:t>
      </w:r>
      <w:r w:rsidR="00C93212">
        <w:rPr>
          <w:sz w:val="22"/>
        </w:rPr>
        <w:t>’</w:t>
      </w:r>
      <w:r>
        <w:rPr>
          <w:sz w:val="22"/>
        </w:rPr>
        <w:t>importance de sa flexibilité pour s</w:t>
      </w:r>
      <w:r w:rsidR="00C93212">
        <w:rPr>
          <w:sz w:val="22"/>
        </w:rPr>
        <w:t>’</w:t>
      </w:r>
      <w:r>
        <w:rPr>
          <w:sz w:val="22"/>
        </w:rPr>
        <w:t>adapter à l</w:t>
      </w:r>
      <w:r w:rsidR="00C93212">
        <w:rPr>
          <w:sz w:val="22"/>
        </w:rPr>
        <w:t>’</w:t>
      </w:r>
      <w:r>
        <w:rPr>
          <w:sz w:val="22"/>
        </w:rPr>
        <w:t>évolution des circonstances ;</w:t>
      </w:r>
    </w:p>
    <w:p w14:paraId="49EF92C9" w14:textId="075D8583" w:rsidR="009C7B35" w:rsidRPr="00E96786" w:rsidRDefault="009C7B35" w:rsidP="009C7B35">
      <w:pPr>
        <w:pStyle w:val="Para"/>
        <w:numPr>
          <w:ilvl w:val="0"/>
          <w:numId w:val="14"/>
        </w:numPr>
        <w:tabs>
          <w:tab w:val="left" w:pos="1134"/>
        </w:tabs>
        <w:spacing w:line="240" w:lineRule="auto"/>
        <w:ind w:left="1134" w:hanging="567"/>
        <w:rPr>
          <w:sz w:val="22"/>
          <w:szCs w:val="22"/>
        </w:rPr>
      </w:pPr>
      <w:r>
        <w:rPr>
          <w:sz w:val="22"/>
          <w:u w:val="single"/>
        </w:rPr>
        <w:t>Exprime sa préoccupation</w:t>
      </w:r>
      <w:r>
        <w:rPr>
          <w:sz w:val="22"/>
        </w:rPr>
        <w:t xml:space="preserve"> quant aux menaces qui continuent de peser sur la viabilité de l</w:t>
      </w:r>
      <w:r w:rsidR="00C93212">
        <w:rPr>
          <w:sz w:val="22"/>
        </w:rPr>
        <w:t>’</w:t>
      </w:r>
      <w:r>
        <w:rPr>
          <w:sz w:val="22"/>
        </w:rPr>
        <w:t>élément, notamment l</w:t>
      </w:r>
      <w:r w:rsidR="00C93212">
        <w:rPr>
          <w:sz w:val="22"/>
        </w:rPr>
        <w:t>’</w:t>
      </w:r>
      <w:r>
        <w:rPr>
          <w:sz w:val="22"/>
        </w:rPr>
        <w:t xml:space="preserve">âge avancé des </w:t>
      </w:r>
      <w:r w:rsidR="000C1B3E">
        <w:rPr>
          <w:sz w:val="22"/>
        </w:rPr>
        <w:t>détenteurs</w:t>
      </w:r>
      <w:r w:rsidR="00E02EBC">
        <w:rPr>
          <w:sz w:val="22"/>
        </w:rPr>
        <w:t xml:space="preserve"> et</w:t>
      </w:r>
      <w:r>
        <w:rPr>
          <w:sz w:val="22"/>
        </w:rPr>
        <w:t xml:space="preserve"> l</w:t>
      </w:r>
      <w:r w:rsidR="00C93212">
        <w:rPr>
          <w:sz w:val="22"/>
        </w:rPr>
        <w:t>’</w:t>
      </w:r>
      <w:r>
        <w:rPr>
          <w:sz w:val="22"/>
        </w:rPr>
        <w:t>engagement limité des jeunes,</w:t>
      </w:r>
      <w:r w:rsidR="00200F7B">
        <w:rPr>
          <w:sz w:val="22"/>
        </w:rPr>
        <w:t xml:space="preserve"> </w:t>
      </w:r>
      <w:r w:rsidR="00466826">
        <w:rPr>
          <w:sz w:val="22"/>
        </w:rPr>
        <w:t>qui a été exacerbé par l</w:t>
      </w:r>
      <w:r w:rsidR="00C93212">
        <w:rPr>
          <w:sz w:val="22"/>
        </w:rPr>
        <w:t>’</w:t>
      </w:r>
      <w:r w:rsidR="00466826">
        <w:rPr>
          <w:sz w:val="22"/>
        </w:rPr>
        <w:t>impact négatif de la guerre</w:t>
      </w:r>
      <w:r>
        <w:rPr>
          <w:sz w:val="22"/>
        </w:rPr>
        <w:t xml:space="preserve"> ;</w:t>
      </w:r>
    </w:p>
    <w:p w14:paraId="06DF14D8" w14:textId="42D8EF64" w:rsidR="009C7B35" w:rsidRPr="00E96786" w:rsidRDefault="009C7B35" w:rsidP="009C7B35">
      <w:pPr>
        <w:pStyle w:val="Para"/>
        <w:numPr>
          <w:ilvl w:val="0"/>
          <w:numId w:val="14"/>
        </w:numPr>
        <w:tabs>
          <w:tab w:val="left" w:pos="1134"/>
        </w:tabs>
        <w:spacing w:line="240" w:lineRule="auto"/>
        <w:ind w:left="1134" w:hanging="567"/>
        <w:rPr>
          <w:sz w:val="22"/>
          <w:szCs w:val="22"/>
        </w:rPr>
      </w:pPr>
      <w:r>
        <w:rPr>
          <w:sz w:val="22"/>
          <w:u w:val="single"/>
        </w:rPr>
        <w:t>Invite</w:t>
      </w:r>
      <w:r>
        <w:rPr>
          <w:sz w:val="22"/>
        </w:rPr>
        <w:t xml:space="preserve"> l</w:t>
      </w:r>
      <w:r w:rsidR="00C93212">
        <w:rPr>
          <w:sz w:val="22"/>
        </w:rPr>
        <w:t>’</w:t>
      </w:r>
      <w:r>
        <w:rPr>
          <w:sz w:val="22"/>
        </w:rPr>
        <w:t xml:space="preserve">État partie à poursuivre la mise en œuvre de stratégies de sauvegarde axées sur la jeunesse, en engageant les organisations communautaires dans des efforts de renforcement des capacités et de transmission, et en </w:t>
      </w:r>
      <w:r w:rsidR="00466826">
        <w:rPr>
          <w:sz w:val="22"/>
        </w:rPr>
        <w:t xml:space="preserve">surveillant </w:t>
      </w:r>
      <w:r>
        <w:rPr>
          <w:sz w:val="22"/>
        </w:rPr>
        <w:t>la viabilité de l</w:t>
      </w:r>
      <w:r w:rsidR="00C93212">
        <w:rPr>
          <w:sz w:val="22"/>
        </w:rPr>
        <w:t>’</w:t>
      </w:r>
      <w:r>
        <w:rPr>
          <w:sz w:val="22"/>
        </w:rPr>
        <w:t>élément.</w:t>
      </w:r>
    </w:p>
    <w:p w14:paraId="26BA494B" w14:textId="77777777" w:rsidR="002D2816" w:rsidRPr="00E96786" w:rsidRDefault="002D2816">
      <w:pPr>
        <w:rPr>
          <w:rFonts w:asciiTheme="minorBidi" w:hAnsiTheme="minorBidi" w:cstheme="minorBidi"/>
          <w:b/>
          <w:sz w:val="22"/>
          <w:szCs w:val="22"/>
        </w:rPr>
      </w:pPr>
      <w:r>
        <w:br w:type="page"/>
      </w:r>
    </w:p>
    <w:p w14:paraId="53C495D5" w14:textId="02B9A34C" w:rsidR="0059194E" w:rsidRPr="00E96786" w:rsidRDefault="00B6417A" w:rsidP="00501764">
      <w:pPr>
        <w:keepNext/>
        <w:keepLines/>
        <w:spacing w:before="240" w:after="240"/>
        <w:ind w:left="567" w:hanging="567"/>
        <w:rPr>
          <w:rFonts w:asciiTheme="minorBidi" w:hAnsiTheme="minorBidi" w:cstheme="minorBidi"/>
          <w:b/>
          <w:sz w:val="22"/>
          <w:szCs w:val="22"/>
        </w:rPr>
      </w:pPr>
      <w:r>
        <w:rPr>
          <w:rFonts w:asciiTheme="minorBidi" w:hAnsiTheme="minorBidi"/>
          <w:b/>
          <w:sz w:val="22"/>
        </w:rPr>
        <w:t>C.3.</w:t>
      </w:r>
      <w:r>
        <w:rPr>
          <w:rFonts w:asciiTheme="minorBidi" w:hAnsiTheme="minorBidi"/>
          <w:b/>
          <w:sz w:val="22"/>
        </w:rPr>
        <w:tab/>
      </w:r>
      <w:r>
        <w:rPr>
          <w:rFonts w:ascii="Arial" w:hAnsi="Arial"/>
          <w:b/>
          <w:sz w:val="22"/>
        </w:rPr>
        <w:t>Évaluations des premiers rapports et projets de décision</w:t>
      </w:r>
    </w:p>
    <w:p w14:paraId="335907E2" w14:textId="1EF8C603" w:rsidR="009B174C" w:rsidRPr="00E96786" w:rsidRDefault="009B174C" w:rsidP="00F81906">
      <w:pPr>
        <w:pStyle w:val="COMPara"/>
        <w:keepLines/>
        <w:numPr>
          <w:ilvl w:val="0"/>
          <w:numId w:val="0"/>
        </w:numPr>
        <w:ind w:left="567"/>
        <w:jc w:val="both"/>
        <w:rPr>
          <w:rFonts w:eastAsia="Arial"/>
          <w:b/>
          <w:color w:val="000000"/>
        </w:rPr>
      </w:pPr>
      <w:r>
        <w:rPr>
          <w:b/>
          <w:color w:val="000000"/>
        </w:rPr>
        <w:t>Botswana : « Le savoir-faire de la poterie en terre cuite dans le district de Kgatleng au Botswana »</w:t>
      </w:r>
      <w:r>
        <w:rPr>
          <w:b/>
          <w:i/>
          <w:color w:val="000000"/>
        </w:rPr>
        <w:t xml:space="preserve"> </w:t>
      </w:r>
      <w:r>
        <w:rPr>
          <w:i/>
          <w:color w:val="000000"/>
        </w:rPr>
        <w:t xml:space="preserve">(voir le </w:t>
      </w:r>
      <w:hyperlink r:id="rId58" w:history="1">
        <w:r w:rsidRPr="003B7315">
          <w:rPr>
            <w:rStyle w:val="Hyperlink"/>
            <w:i/>
          </w:rPr>
          <w:t>rapport</w:t>
        </w:r>
      </w:hyperlink>
      <w:r>
        <w:rPr>
          <w:i/>
          <w:color w:val="000000"/>
        </w:rPr>
        <w:t>)</w:t>
      </w:r>
    </w:p>
    <w:p w14:paraId="4ED863F2" w14:textId="362F6B47" w:rsidR="00F81906" w:rsidRPr="00E96786" w:rsidRDefault="00F81906" w:rsidP="00F81906">
      <w:pPr>
        <w:pStyle w:val="COMPara"/>
        <w:numPr>
          <w:ilvl w:val="0"/>
          <w:numId w:val="9"/>
        </w:numPr>
        <w:ind w:left="567" w:hanging="567"/>
        <w:jc w:val="both"/>
        <w:rPr>
          <w:rFonts w:eastAsia="Arial"/>
          <w:color w:val="000000"/>
        </w:rPr>
      </w:pPr>
      <w:r>
        <w:rPr>
          <w:color w:val="000000"/>
        </w:rPr>
        <w:t>La communauté Bakgatla ba Kgafela du district Kgatleng du Botswana a apporté avec elle certaines pratiques relatives à la poterie en terre cuite lorsqu</w:t>
      </w:r>
      <w:r w:rsidR="00C93212">
        <w:rPr>
          <w:color w:val="000000"/>
        </w:rPr>
        <w:t>’</w:t>
      </w:r>
      <w:r>
        <w:rPr>
          <w:color w:val="000000"/>
        </w:rPr>
        <w:t>elle a émigré de Moruleng, en Afrique du Sud, à Mochudi entre 1869 et 1871. L</w:t>
      </w:r>
      <w:r w:rsidR="00C93212">
        <w:rPr>
          <w:color w:val="000000"/>
        </w:rPr>
        <w:t>’</w:t>
      </w:r>
      <w:r>
        <w:t>élément</w:t>
      </w:r>
      <w:r>
        <w:rPr>
          <w:color w:val="000000"/>
        </w:rPr>
        <w:t xml:space="preserve"> continue de refléter leur système de croyances, leur mythologie et leur identité culturelle, reliant la vie quotidienne à l</w:t>
      </w:r>
      <w:r w:rsidR="00C93212">
        <w:rPr>
          <w:color w:val="000000"/>
        </w:rPr>
        <w:t>’</w:t>
      </w:r>
      <w:r>
        <w:rPr>
          <w:color w:val="000000"/>
        </w:rPr>
        <w:t xml:space="preserve">environnement naturel. </w:t>
      </w:r>
      <w:r w:rsidR="00251E12">
        <w:rPr>
          <w:color w:val="000000"/>
        </w:rPr>
        <w:t>Cela</w:t>
      </w:r>
      <w:r>
        <w:rPr>
          <w:color w:val="000000"/>
        </w:rPr>
        <w:t xml:space="preserve"> concerne la fabrication de six types de pots ayant des fonctions différentes. Deux types restent significatifs d</w:t>
      </w:r>
      <w:r w:rsidR="00C93212">
        <w:rPr>
          <w:color w:val="000000"/>
        </w:rPr>
        <w:t>’</w:t>
      </w:r>
      <w:r>
        <w:rPr>
          <w:color w:val="000000"/>
        </w:rPr>
        <w:t>un point de vue culturel : (a) le Nkgwana ya sedimo (pot ancestral), utilisé dans des contextes religieux et rituels ; et (b) le Setsaga (pot à bière), utilisé lors de cérémonies telles que les mariages. Les maîtres potiers exploitent les sols en respectant des tabous stricts et en accomplissant des rituels sacrés qui impliquent une communication avec les ancêtres, les propriétaires mythologiques des ressources du sol. Les connaissances et le savoir-faire sont transmis par les lignées familiales féminines et les rites d</w:t>
      </w:r>
      <w:r w:rsidR="00C93212">
        <w:rPr>
          <w:color w:val="000000"/>
        </w:rPr>
        <w:t>’</w:t>
      </w:r>
      <w:r>
        <w:rPr>
          <w:color w:val="000000"/>
        </w:rPr>
        <w:t>initiation. Les hommes ou les garçons occupent généralement des rôles secondaires tels que le creusage et le pilonnage du sol, ainsi que la collecte et le transport du bois de chauffage. Depuis les années 1970, la viabilité de la poterie a diminué en raison de l</w:t>
      </w:r>
      <w:r w:rsidR="00C93212">
        <w:rPr>
          <w:color w:val="000000"/>
        </w:rPr>
        <w:t>’</w:t>
      </w:r>
      <w:r>
        <w:rPr>
          <w:color w:val="000000"/>
        </w:rPr>
        <w:t>utilisation de matériaux alternatifs, du déclin des pratiques d</w:t>
      </w:r>
      <w:r w:rsidR="00C93212">
        <w:rPr>
          <w:color w:val="000000"/>
        </w:rPr>
        <w:t>’</w:t>
      </w:r>
      <w:r>
        <w:rPr>
          <w:color w:val="000000"/>
        </w:rPr>
        <w:t>initiation féminine, des faibles revenus et de la migration urbaine.</w:t>
      </w:r>
    </w:p>
    <w:p w14:paraId="5E7F2011" w14:textId="2C695484" w:rsidR="00F81906" w:rsidRPr="00E96786" w:rsidRDefault="00F81906" w:rsidP="00F81906">
      <w:pPr>
        <w:pStyle w:val="COMPara"/>
        <w:numPr>
          <w:ilvl w:val="0"/>
          <w:numId w:val="9"/>
        </w:numPr>
        <w:ind w:left="567" w:hanging="567"/>
        <w:jc w:val="both"/>
        <w:rPr>
          <w:rFonts w:eastAsia="Arial"/>
          <w:color w:val="000000"/>
        </w:rPr>
      </w:pPr>
      <w:r>
        <w:rPr>
          <w:color w:val="000000"/>
        </w:rPr>
        <w:t>L</w:t>
      </w:r>
      <w:r w:rsidR="00C93212">
        <w:rPr>
          <w:color w:val="000000"/>
        </w:rPr>
        <w:t>’</w:t>
      </w:r>
      <w:r>
        <w:rPr>
          <w:color w:val="000000"/>
        </w:rPr>
        <w:t>élément a été inscrit sur la liste de sauvegarde urgente</w:t>
      </w:r>
      <w:r>
        <w:t xml:space="preserve"> en </w:t>
      </w:r>
      <w:r>
        <w:rPr>
          <w:color w:val="000000"/>
        </w:rPr>
        <w:t>2012</w:t>
      </w:r>
      <w:r>
        <w:t>.</w:t>
      </w:r>
      <w:r>
        <w:rPr>
          <w:color w:val="000000"/>
        </w:rPr>
        <w:t xml:space="preserve"> Le </w:t>
      </w:r>
      <w:hyperlink r:id="rId59">
        <w:r>
          <w:rPr>
            <w:color w:val="0000FF"/>
            <w:u w:val="single"/>
          </w:rPr>
          <w:t>premier rapport</w:t>
        </w:r>
      </w:hyperlink>
      <w:r>
        <w:rPr>
          <w:color w:val="000000"/>
        </w:rPr>
        <w:t xml:space="preserve"> et le </w:t>
      </w:r>
      <w:hyperlink r:id="rId60">
        <w:r>
          <w:rPr>
            <w:color w:val="0000FF"/>
            <w:u w:val="single"/>
          </w:rPr>
          <w:t>deuxième rapport</w:t>
        </w:r>
      </w:hyperlink>
      <w:r>
        <w:t xml:space="preserve"> </w:t>
      </w:r>
      <w:r>
        <w:rPr>
          <w:color w:val="000000"/>
        </w:rPr>
        <w:t>ont été examinés par le Comité respectivement lors de sa douzième session en 2017 (</w:t>
      </w:r>
      <w:r w:rsidR="00251E12">
        <w:rPr>
          <w:color w:val="000000"/>
        </w:rPr>
        <w:t>D</w:t>
      </w:r>
      <w:r>
        <w:rPr>
          <w:color w:val="000000"/>
        </w:rPr>
        <w:t xml:space="preserve">écision </w:t>
      </w:r>
      <w:hyperlink r:id="rId61" w:history="1">
        <w:r>
          <w:rPr>
            <w:rStyle w:val="Hyperlink"/>
          </w:rPr>
          <w:t>12.COM 8.c.1</w:t>
        </w:r>
      </w:hyperlink>
      <w:r>
        <w:rPr>
          <w:color w:val="000000"/>
        </w:rPr>
        <w:t>) et de sa seizième session en 2021 (</w:t>
      </w:r>
      <w:r w:rsidR="00251E12">
        <w:rPr>
          <w:color w:val="000000"/>
        </w:rPr>
        <w:t>D</w:t>
      </w:r>
      <w:r>
        <w:rPr>
          <w:color w:val="000000"/>
        </w:rPr>
        <w:t xml:space="preserve">écision </w:t>
      </w:r>
      <w:hyperlink r:id="rId62" w:history="1">
        <w:r>
          <w:rPr>
            <w:rStyle w:val="Hyperlink"/>
          </w:rPr>
          <w:t>16.COM 7.a.7)</w:t>
        </w:r>
      </w:hyperlink>
      <w:r>
        <w:rPr>
          <w:color w:val="000000"/>
        </w:rPr>
        <w:t xml:space="preserve">. </w:t>
      </w:r>
      <w:r>
        <w:t>Une assistance internationale</w:t>
      </w:r>
      <w:r>
        <w:rPr>
          <w:color w:val="000000"/>
        </w:rPr>
        <w:t xml:space="preserve"> a été accordée par le Bureau de la onzième session du Comité (</w:t>
      </w:r>
      <w:r w:rsidR="00251E12">
        <w:rPr>
          <w:color w:val="000000"/>
        </w:rPr>
        <w:t>D</w:t>
      </w:r>
      <w:r>
        <w:rPr>
          <w:color w:val="000000"/>
        </w:rPr>
        <w:t>écision</w:t>
      </w:r>
      <w:r w:rsidR="00640896">
        <w:rPr>
          <w:color w:val="000000"/>
        </w:rPr>
        <w:t xml:space="preserve"> </w:t>
      </w:r>
      <w:hyperlink r:id="rId63">
        <w:r>
          <w:rPr>
            <w:color w:val="0000FF"/>
            <w:u w:val="single"/>
          </w:rPr>
          <w:t>11.COM 3.BUR 5.1</w:t>
        </w:r>
      </w:hyperlink>
      <w:r>
        <w:rPr>
          <w:color w:val="000000"/>
        </w:rPr>
        <w:t>) pour la sauvegarde de l</w:t>
      </w:r>
      <w:r w:rsidR="00C93212">
        <w:rPr>
          <w:color w:val="000000"/>
        </w:rPr>
        <w:t>’</w:t>
      </w:r>
      <w:r>
        <w:rPr>
          <w:color w:val="000000"/>
        </w:rPr>
        <w:t xml:space="preserve">élément à travers le projet </w:t>
      </w:r>
      <w:hyperlink r:id="rId64" w:history="1">
        <w:r>
          <w:rPr>
            <w:rStyle w:val="Hyperlink"/>
          </w:rPr>
          <w:t>« La valorisation du savoir-faire de la poterie en terre cuite dans le district de Kgatleng »,</w:t>
        </w:r>
      </w:hyperlink>
      <w:r>
        <w:rPr>
          <w:color w:val="000000"/>
        </w:rPr>
        <w:t xml:space="preserve"> mis en œuvre entre février 2017 et juin 2018. Il s</w:t>
      </w:r>
      <w:r w:rsidR="00C93212">
        <w:rPr>
          <w:color w:val="000000"/>
        </w:rPr>
        <w:t>’</w:t>
      </w:r>
      <w:r>
        <w:rPr>
          <w:color w:val="000000"/>
        </w:rPr>
        <w:t>agit du troisième rapport soumis par l</w:t>
      </w:r>
      <w:r w:rsidR="00C93212">
        <w:rPr>
          <w:color w:val="000000"/>
        </w:rPr>
        <w:t>’</w:t>
      </w:r>
      <w:r>
        <w:rPr>
          <w:color w:val="000000"/>
        </w:rPr>
        <w:t>État partie.</w:t>
      </w:r>
    </w:p>
    <w:p w14:paraId="2C012073" w14:textId="747C3993" w:rsidR="00005A21" w:rsidRPr="00E96786" w:rsidRDefault="00F81906" w:rsidP="005B1096">
      <w:pPr>
        <w:pStyle w:val="COMPara"/>
        <w:numPr>
          <w:ilvl w:val="0"/>
          <w:numId w:val="9"/>
        </w:numPr>
        <w:ind w:left="567" w:hanging="567"/>
        <w:jc w:val="both"/>
        <w:rPr>
          <w:rFonts w:eastAsia="Arial"/>
          <w:color w:val="000000"/>
        </w:rPr>
      </w:pPr>
      <w:r>
        <w:rPr>
          <w:b/>
          <w:color w:val="000000"/>
        </w:rPr>
        <w:t>Efficacité du plan de sauvegarde.</w:t>
      </w:r>
      <w:r>
        <w:rPr>
          <w:color w:val="000000"/>
        </w:rPr>
        <w:t xml:space="preserve"> Selon l</w:t>
      </w:r>
      <w:r w:rsidR="00C93212">
        <w:rPr>
          <w:color w:val="000000"/>
        </w:rPr>
        <w:t>’</w:t>
      </w:r>
      <w:r>
        <w:rPr>
          <w:color w:val="000000"/>
        </w:rPr>
        <w:t>État partie, la tradition de la poterie en terre cuite est gravement menacée en raison d</w:t>
      </w:r>
      <w:r w:rsidR="00C93212">
        <w:rPr>
          <w:color w:val="000000"/>
        </w:rPr>
        <w:t>’</w:t>
      </w:r>
      <w:r>
        <w:rPr>
          <w:color w:val="000000"/>
        </w:rPr>
        <w:t xml:space="preserve">une série de facteurs sociétaux et culturels. Par conséquent, la pratique et les connaissances, les rituels, les tabous et les systèmes de croyance qui y sont associés sont menacés. Depuis son inscription sur la </w:t>
      </w:r>
      <w:r w:rsidR="00E049B5">
        <w:rPr>
          <w:color w:val="000000"/>
        </w:rPr>
        <w:t>L</w:t>
      </w:r>
      <w:r>
        <w:rPr>
          <w:color w:val="000000"/>
        </w:rPr>
        <w:t>iste de sauvegarde urgente, deux plans de sauvegarde ont été élaborés. Toutefois, la mise en œuvre du plan le plus récent a été considérablement entravée par la pandémie de COVID-19. Un plan de sauvegarde révisé, élaboré selon une approche participative, doit être mis en œuvre en coopération avec le musée Phuthadikobo, une institution communautaire qui soutient les efforts de sauvegarde depuis l</w:t>
      </w:r>
      <w:r w:rsidR="00C93212">
        <w:rPr>
          <w:color w:val="000000"/>
        </w:rPr>
        <w:t>’</w:t>
      </w:r>
      <w:r>
        <w:rPr>
          <w:color w:val="000000"/>
        </w:rPr>
        <w:t>inscription de l</w:t>
      </w:r>
      <w:r w:rsidR="00C93212">
        <w:rPr>
          <w:color w:val="000000"/>
        </w:rPr>
        <w:t>’</w:t>
      </w:r>
      <w:r>
        <w:rPr>
          <w:color w:val="000000"/>
        </w:rPr>
        <w:t>élément, sous la supervision du comité du patrimoine culturel immatériel du district de Kgatleng. Il présente des objectifs actualisés et nouveaux, notamment le renforcement du processus de mise en réseau, la défense et la représentation des intérêts des praticiens de l</w:t>
      </w:r>
      <w:r w:rsidR="00C93212">
        <w:rPr>
          <w:color w:val="000000"/>
        </w:rPr>
        <w:t>’</w:t>
      </w:r>
      <w:r>
        <w:rPr>
          <w:color w:val="000000"/>
        </w:rPr>
        <w:t>élément.</w:t>
      </w:r>
    </w:p>
    <w:p w14:paraId="0FF5B9FE" w14:textId="40E15C92" w:rsidR="00F81906" w:rsidRPr="00E96786" w:rsidRDefault="00F81906" w:rsidP="00F81906">
      <w:pPr>
        <w:pStyle w:val="COMPara"/>
        <w:numPr>
          <w:ilvl w:val="0"/>
          <w:numId w:val="9"/>
        </w:numPr>
        <w:ind w:left="567" w:hanging="567"/>
        <w:jc w:val="both"/>
        <w:rPr>
          <w:rFonts w:eastAsia="Arial"/>
          <w:color w:val="000000"/>
        </w:rPr>
      </w:pPr>
      <w:bookmarkStart w:id="31" w:name="_heading=h.36r2g9brhwog"/>
      <w:bookmarkEnd w:id="31"/>
      <w:r>
        <w:rPr>
          <w:b/>
          <w:color w:val="000000"/>
        </w:rPr>
        <w:t>Participation de la communauté.</w:t>
      </w:r>
      <w:r>
        <w:rPr>
          <w:color w:val="000000"/>
        </w:rPr>
        <w:t xml:space="preserve"> Depuis 2010, date à laquelle seuls quatre </w:t>
      </w:r>
      <w:r w:rsidR="000C1B3E">
        <w:rPr>
          <w:color w:val="000000"/>
        </w:rPr>
        <w:t>détenteurs</w:t>
      </w:r>
      <w:r>
        <w:rPr>
          <w:color w:val="000000"/>
        </w:rPr>
        <w:t xml:space="preserve"> connus de la tradition de la poterie en terre ont été identifiés, la communauté de praticiens s</w:t>
      </w:r>
      <w:r w:rsidR="00C93212">
        <w:rPr>
          <w:color w:val="000000"/>
        </w:rPr>
        <w:t>’</w:t>
      </w:r>
      <w:r>
        <w:rPr>
          <w:color w:val="000000"/>
        </w:rPr>
        <w:t>est modérément élargie</w:t>
      </w:r>
      <w:r>
        <w:t xml:space="preserve"> </w:t>
      </w:r>
      <w:r>
        <w:rPr>
          <w:color w:val="000000"/>
        </w:rPr>
        <w:t>par le biais de la transmission traditionnelle et d</w:t>
      </w:r>
      <w:r w:rsidR="00C93212">
        <w:rPr>
          <w:color w:val="000000"/>
        </w:rPr>
        <w:t>’</w:t>
      </w:r>
      <w:r>
        <w:rPr>
          <w:color w:val="000000"/>
        </w:rPr>
        <w:t>ateliers de formation animés par des maîtres potiers. Les nouveaux élèves, notamment ceux de l</w:t>
      </w:r>
      <w:r w:rsidR="00C93212">
        <w:rPr>
          <w:color w:val="000000"/>
        </w:rPr>
        <w:t>’</w:t>
      </w:r>
      <w:r>
        <w:rPr>
          <w:color w:val="000000"/>
        </w:rPr>
        <w:t xml:space="preserve">enseignement secondaire, sont désormais </w:t>
      </w:r>
      <w:r>
        <w:t>reconnus</w:t>
      </w:r>
      <w:r>
        <w:rPr>
          <w:color w:val="000000"/>
        </w:rPr>
        <w:t xml:space="preserve"> comme des praticiens. Les maîtres potiers </w:t>
      </w:r>
      <w:r>
        <w:t>ont joué un</w:t>
      </w:r>
      <w:r>
        <w:rPr>
          <w:color w:val="000000"/>
        </w:rPr>
        <w:t xml:space="preserve"> rôle plus actif dans l</w:t>
      </w:r>
      <w:r w:rsidR="00C93212">
        <w:rPr>
          <w:color w:val="000000"/>
        </w:rPr>
        <w:t>’</w:t>
      </w:r>
      <w:r>
        <w:rPr>
          <w:color w:val="000000"/>
        </w:rPr>
        <w:t>élaboration du plan de sauvegarde actuel, soutenu par une évaluation révisée des besoins et un atelier de validation, et ont contribué à la défense des intérêts en fondant la Nkgo Thitelo Society. En collaboration avec le musée Phuthadikobo, ils dirigeront la mise en œuvre du plan actualisé. Le comité a également mis en place une équipe spéciale chargée de mettre en œuvre la convention de 2003 en établissant des rapports trimestriels au niveau national. Le plan de sauvegarde actualisé a été élaboré avec la participation de praticiens d</w:t>
      </w:r>
      <w:r w:rsidR="00C93212">
        <w:rPr>
          <w:color w:val="000000"/>
        </w:rPr>
        <w:t>’</w:t>
      </w:r>
      <w:r>
        <w:rPr>
          <w:color w:val="000000"/>
        </w:rPr>
        <w:t>autres districts (Kweneng, Southern, Northeast et Tswapon), ce qui témoigne d</w:t>
      </w:r>
      <w:r w:rsidR="00C93212">
        <w:rPr>
          <w:color w:val="000000"/>
        </w:rPr>
        <w:t>’</w:t>
      </w:r>
      <w:r>
        <w:rPr>
          <w:color w:val="000000"/>
        </w:rPr>
        <w:t>un engagement fort en faveur d</w:t>
      </w:r>
      <w:r w:rsidR="00C93212">
        <w:rPr>
          <w:color w:val="000000"/>
        </w:rPr>
        <w:t>’</w:t>
      </w:r>
      <w:r>
        <w:rPr>
          <w:color w:val="000000"/>
        </w:rPr>
        <w:t>une sauvegarde inclusive, dirigée par la communauté, et d</w:t>
      </w:r>
      <w:r w:rsidR="00C93212">
        <w:rPr>
          <w:color w:val="000000"/>
        </w:rPr>
        <w:t>’</w:t>
      </w:r>
      <w:r>
        <w:rPr>
          <w:color w:val="000000"/>
        </w:rPr>
        <w:t>une coopération entre les districts.</w:t>
      </w:r>
    </w:p>
    <w:p w14:paraId="60ECEFFB" w14:textId="427688BE" w:rsidR="00F81906" w:rsidRPr="00E96786" w:rsidRDefault="00F81906" w:rsidP="005B1096">
      <w:pPr>
        <w:pStyle w:val="COMPara"/>
        <w:numPr>
          <w:ilvl w:val="0"/>
          <w:numId w:val="9"/>
        </w:numPr>
        <w:ind w:left="567" w:hanging="567"/>
        <w:jc w:val="both"/>
        <w:rPr>
          <w:rFonts w:ascii="Calibri" w:eastAsia="Arial" w:hAnsi="Calibri" w:cs="Calibri"/>
        </w:rPr>
      </w:pPr>
      <w:r>
        <w:rPr>
          <w:b/>
          <w:snapToGrid/>
        </w:rPr>
        <w:t xml:space="preserve">Viabilité et risques actuels. </w:t>
      </w:r>
      <w:r>
        <w:rPr>
          <w:snapToGrid/>
        </w:rPr>
        <w:t>Selon le deuxième rapport</w:t>
      </w:r>
      <w:r>
        <w:t xml:space="preserve"> </w:t>
      </w:r>
      <w:r>
        <w:rPr>
          <w:snapToGrid/>
        </w:rPr>
        <w:t xml:space="preserve">et le </w:t>
      </w:r>
      <w:r w:rsidR="00BF0C60" w:rsidRPr="00200F7B">
        <w:t>rapport final</w:t>
      </w:r>
      <w:r>
        <w:rPr>
          <w:snapToGrid/>
        </w:rPr>
        <w:t xml:space="preserve"> </w:t>
      </w:r>
      <w:r>
        <w:t>du projet financé par le Fonds du patrimoine culturel immatériel</w:t>
      </w:r>
      <w:r>
        <w:rPr>
          <w:snapToGrid/>
        </w:rPr>
        <w:t>, la viabilité de l</w:t>
      </w:r>
      <w:r w:rsidR="00C93212">
        <w:rPr>
          <w:snapToGrid/>
        </w:rPr>
        <w:t>’</w:t>
      </w:r>
      <w:r>
        <w:rPr>
          <w:snapToGrid/>
        </w:rPr>
        <w:t xml:space="preserve">élément a été renforcée </w:t>
      </w:r>
      <w:r>
        <w:rPr>
          <w:snapToGrid/>
          <w:color w:val="000000" w:themeColor="text1"/>
        </w:rPr>
        <w:t>principalement par la collaboration entre un solide réseau de parties prenantes diverses, impliquant des établissements d</w:t>
      </w:r>
      <w:r w:rsidR="00C93212">
        <w:rPr>
          <w:snapToGrid/>
          <w:color w:val="000000" w:themeColor="text1"/>
        </w:rPr>
        <w:t>’</w:t>
      </w:r>
      <w:r>
        <w:rPr>
          <w:snapToGrid/>
          <w:color w:val="000000" w:themeColor="text1"/>
        </w:rPr>
        <w:t>enseignement à tous les niveaux du système éducatif. L</w:t>
      </w:r>
      <w:r w:rsidR="00C93212">
        <w:rPr>
          <w:snapToGrid/>
          <w:color w:val="000000" w:themeColor="text1"/>
        </w:rPr>
        <w:t>’</w:t>
      </w:r>
      <w:r>
        <w:rPr>
          <w:snapToGrid/>
          <w:color w:val="000000" w:themeColor="text1"/>
        </w:rPr>
        <w:t>université du Botswana a signé un protocole avec le comité du patrimoine culturel immatériel du district de Kgatleng afin d</w:t>
      </w:r>
      <w:r w:rsidR="00C93212">
        <w:rPr>
          <w:snapToGrid/>
          <w:color w:val="000000" w:themeColor="text1"/>
        </w:rPr>
        <w:t>’</w:t>
      </w:r>
      <w:r>
        <w:rPr>
          <w:snapToGrid/>
          <w:color w:val="000000" w:themeColor="text1"/>
        </w:rPr>
        <w:t>organiser des séminaires, des expositions et des spectacles, avec la participation active de maîtres potiers en tant qu</w:t>
      </w:r>
      <w:r w:rsidR="00C93212">
        <w:rPr>
          <w:snapToGrid/>
          <w:color w:val="000000" w:themeColor="text1"/>
        </w:rPr>
        <w:t>’</w:t>
      </w:r>
      <w:r>
        <w:rPr>
          <w:snapToGrid/>
          <w:color w:val="000000" w:themeColor="text1"/>
        </w:rPr>
        <w:t>experts. La Kgatleng Earthenware Potters</w:t>
      </w:r>
      <w:r w:rsidR="00C93212">
        <w:rPr>
          <w:snapToGrid/>
          <w:color w:val="000000" w:themeColor="text1"/>
        </w:rPr>
        <w:t>’</w:t>
      </w:r>
      <w:r>
        <w:rPr>
          <w:snapToGrid/>
          <w:color w:val="000000" w:themeColor="text1"/>
        </w:rPr>
        <w:t xml:space="preserve"> Association (association des potiers de faïence de Kgatleng) soutient leur engagement. Grâce à la recherche et à la documentation, la présence de l</w:t>
      </w:r>
      <w:r w:rsidR="00C93212">
        <w:rPr>
          <w:snapToGrid/>
          <w:color w:val="000000" w:themeColor="text1"/>
        </w:rPr>
        <w:t>’</w:t>
      </w:r>
      <w:r>
        <w:rPr>
          <w:snapToGrid/>
          <w:color w:val="000000" w:themeColor="text1"/>
        </w:rPr>
        <w:t>élément et de maîtres potiers a également été identifiée dans d</w:t>
      </w:r>
      <w:r w:rsidR="00C93212">
        <w:rPr>
          <w:snapToGrid/>
          <w:color w:val="000000" w:themeColor="text1"/>
        </w:rPr>
        <w:t>’</w:t>
      </w:r>
      <w:r>
        <w:rPr>
          <w:snapToGrid/>
          <w:color w:val="000000" w:themeColor="text1"/>
        </w:rPr>
        <w:t>autres districts. Cependant, l</w:t>
      </w:r>
      <w:r w:rsidR="00C93212">
        <w:rPr>
          <w:snapToGrid/>
          <w:color w:val="000000" w:themeColor="text1"/>
        </w:rPr>
        <w:t>’</w:t>
      </w:r>
      <w:r>
        <w:rPr>
          <w:snapToGrid/>
          <w:color w:val="000000" w:themeColor="text1"/>
        </w:rPr>
        <w:t>élément reste confronté à des risques pour sa viabilité à long terme. Si les pots Setsaga et Nkgo ya Sedimo sont toujours utilisés, d</w:t>
      </w:r>
      <w:r w:rsidR="00C93212">
        <w:rPr>
          <w:snapToGrid/>
          <w:color w:val="000000" w:themeColor="text1"/>
        </w:rPr>
        <w:t>’</w:t>
      </w:r>
      <w:r>
        <w:rPr>
          <w:snapToGrid/>
          <w:color w:val="000000" w:themeColor="text1"/>
        </w:rPr>
        <w:t>autres types de pots traditionnels sont en déclin, principalement en raison de la concurrence des produits de remplacement en plastique et en métal.</w:t>
      </w:r>
      <w:r>
        <w:rPr>
          <w:snapToGrid/>
        </w:rPr>
        <w:t xml:space="preserve"> Les pots ancestraux sont désormais produits principalement sur commande, et les pots à bière sont souvent loués en raison de la réduction de la production. Le système de commercialisation n</w:t>
      </w:r>
      <w:r w:rsidR="00C93212">
        <w:rPr>
          <w:snapToGrid/>
        </w:rPr>
        <w:t>’</w:t>
      </w:r>
      <w:r>
        <w:rPr>
          <w:snapToGrid/>
        </w:rPr>
        <w:t>est pas durable et ne permet pas aux potiers à temps plein ou à temps partiel de bénéficier d</w:t>
      </w:r>
      <w:r w:rsidR="00C93212">
        <w:rPr>
          <w:snapToGrid/>
        </w:rPr>
        <w:t>’</w:t>
      </w:r>
      <w:r>
        <w:rPr>
          <w:snapToGrid/>
        </w:rPr>
        <w:t>une stabilité économique. La poterie n</w:t>
      </w:r>
      <w:r w:rsidR="00C93212">
        <w:rPr>
          <w:snapToGrid/>
        </w:rPr>
        <w:t>’</w:t>
      </w:r>
      <w:r>
        <w:rPr>
          <w:snapToGrid/>
        </w:rPr>
        <w:t>est pas considérée comme</w:t>
      </w:r>
      <w:r>
        <w:t xml:space="preserve"> une source viable de revenu</w:t>
      </w:r>
      <w:r>
        <w:rPr>
          <w:snapToGrid/>
        </w:rPr>
        <w:t>s, en particulier par les jeunes, et la transmission est perturbée par l</w:t>
      </w:r>
      <w:r w:rsidR="00C93212">
        <w:rPr>
          <w:snapToGrid/>
        </w:rPr>
        <w:t>’</w:t>
      </w:r>
      <w:r>
        <w:rPr>
          <w:snapToGrid/>
        </w:rPr>
        <w:t>insécurité économique, les migrations et l</w:t>
      </w:r>
      <w:r w:rsidR="00C93212">
        <w:rPr>
          <w:snapToGrid/>
        </w:rPr>
        <w:t>’</w:t>
      </w:r>
      <w:r>
        <w:rPr>
          <w:snapToGrid/>
        </w:rPr>
        <w:t>affaiblissement des liens entre les générations. Le désengagement des jeunes vis-à-vis de cet élément est également dû en partie aux tabous stricts associés à sa pratique.</w:t>
      </w:r>
    </w:p>
    <w:p w14:paraId="7CBF5E8D" w14:textId="34BF1CB1" w:rsidR="00F81906" w:rsidRPr="00425581" w:rsidRDefault="00F81906" w:rsidP="00F81906">
      <w:pPr>
        <w:pStyle w:val="COMPara"/>
        <w:numPr>
          <w:ilvl w:val="0"/>
          <w:numId w:val="9"/>
        </w:numPr>
        <w:ind w:left="567" w:hanging="567"/>
        <w:jc w:val="both"/>
        <w:rPr>
          <w:rFonts w:eastAsia="Arial"/>
        </w:rPr>
      </w:pPr>
      <w:r>
        <w:t>Ce troisième rapport reflète la volonté et l</w:t>
      </w:r>
      <w:r w:rsidR="00C93212">
        <w:t>’</w:t>
      </w:r>
      <w:r>
        <w:t>engagement croissants de l</w:t>
      </w:r>
      <w:r w:rsidR="00C93212">
        <w:t>’</w:t>
      </w:r>
      <w:r>
        <w:t>État partie à promouvoir l</w:t>
      </w:r>
      <w:r w:rsidR="00C93212">
        <w:t>’</w:t>
      </w:r>
      <w:r>
        <w:t>élément au-delà du district de Kgatleng. Accroître la visibilité de l</w:t>
      </w:r>
      <w:r w:rsidR="00C93212">
        <w:t>’</w:t>
      </w:r>
      <w:r>
        <w:t>élément au niveau national, notamment par la mise en place d</w:t>
      </w:r>
      <w:r w:rsidR="00C93212">
        <w:t>’</w:t>
      </w:r>
      <w:r>
        <w:t>un réseau national de praticiens et l</w:t>
      </w:r>
      <w:r w:rsidR="00C93212">
        <w:t>’</w:t>
      </w:r>
      <w:r>
        <w:t>organisation d</w:t>
      </w:r>
      <w:r w:rsidR="00C93212">
        <w:t>’</w:t>
      </w:r>
      <w:r>
        <w:t>une exposition nationale annuelle, est devenu l</w:t>
      </w:r>
      <w:r w:rsidR="00C93212">
        <w:t>’</w:t>
      </w:r>
      <w:r>
        <w:t>objectif principal du plan de sauvegarde actualisé. La mise en œuvre de la Convention de 2003 a contribué à l</w:t>
      </w:r>
      <w:r w:rsidR="00C93212">
        <w:t>’</w:t>
      </w:r>
      <w:r>
        <w:t>identification de nouvelles communautés de potiers dans les districts de Kweneng, Palapye, Southern, Tswapong et Northeast. Ce troisième rapport souligne que l</w:t>
      </w:r>
      <w:r w:rsidR="00C93212">
        <w:t>’</w:t>
      </w:r>
      <w:r>
        <w:t>extension des activités de sauvegarde aux potiers actifs de ces districts est essentielle pour renforcer la viabilité et la visibilité de l</w:t>
      </w:r>
      <w:r w:rsidR="00C93212">
        <w:t>’</w:t>
      </w:r>
      <w:r>
        <w:t>élément au niveau national. Lors d</w:t>
      </w:r>
      <w:r w:rsidR="00C93212">
        <w:t>’</w:t>
      </w:r>
      <w:r>
        <w:t>un atelier consacré à la définition des priorités, les praticiens du district de Kgatleng ont souligné l</w:t>
      </w:r>
      <w:r w:rsidR="00C93212">
        <w:t>’</w:t>
      </w:r>
      <w:r>
        <w:t>importance de renforcer les capacités de leurs homologues des autres districts, notamment en les sensibilisant à la Convention de 2003. Bien qu</w:t>
      </w:r>
      <w:r w:rsidR="00C93212">
        <w:t>’</w:t>
      </w:r>
      <w:r>
        <w:t>elle n</w:t>
      </w:r>
      <w:r w:rsidR="00C93212">
        <w:t>’</w:t>
      </w:r>
      <w:r>
        <w:t>ait pas été prévue à l</w:t>
      </w:r>
      <w:r w:rsidR="00C93212">
        <w:t>’</w:t>
      </w:r>
      <w:r>
        <w:t>origine dans le plan de sauvegarde actuel, cette activité est apparue comme une priorité de la communauté et a été mise en œuvre en tant que telle.</w:t>
      </w:r>
    </w:p>
    <w:p w14:paraId="61836FA0" w14:textId="77777777" w:rsidR="00F81906" w:rsidRPr="00E96786" w:rsidRDefault="00F81906" w:rsidP="00F81906">
      <w:pPr>
        <w:pStyle w:val="COMPara"/>
        <w:numPr>
          <w:ilvl w:val="0"/>
          <w:numId w:val="9"/>
        </w:numPr>
        <w:ind w:left="567" w:hanging="567"/>
        <w:jc w:val="both"/>
      </w:pPr>
      <w:r>
        <w:rPr>
          <w:color w:val="000000"/>
        </w:rPr>
        <w:t>Le Comité souhaitera peut-être adopter la décision suivante :</w:t>
      </w:r>
    </w:p>
    <w:p w14:paraId="120B0235" w14:textId="3799B051" w:rsidR="009B174C" w:rsidRPr="00E96786" w:rsidRDefault="009B174C" w:rsidP="005B1096">
      <w:pPr>
        <w:pStyle w:val="Heading4"/>
        <w:numPr>
          <w:ilvl w:val="0"/>
          <w:numId w:val="0"/>
        </w:numPr>
        <w:tabs>
          <w:tab w:val="clear" w:pos="567"/>
        </w:tabs>
        <w:spacing w:before="240"/>
        <w:ind w:left="567"/>
      </w:pPr>
      <w:bookmarkStart w:id="32" w:name="_DRAFT_DECISION_20.COM_6"/>
      <w:bookmarkEnd w:id="32"/>
      <w:r>
        <w:t>PROJET DE DECISION 20.COM 6.a.7</w:t>
      </w:r>
    </w:p>
    <w:p w14:paraId="74C70B56" w14:textId="0687400E" w:rsidR="00BD5DD6" w:rsidRPr="00E96786" w:rsidRDefault="00F81906" w:rsidP="00E45687">
      <w:pPr>
        <w:pStyle w:val="COMTitleDecision"/>
        <w:keepLines/>
        <w:spacing w:after="240"/>
        <w:ind w:left="0" w:firstLine="567"/>
        <w:rPr>
          <w:b w:val="0"/>
          <w:bCs/>
        </w:rPr>
      </w:pPr>
      <w:r>
        <w:rPr>
          <w:b w:val="0"/>
        </w:rPr>
        <w:t>Le Comité</w:t>
      </w:r>
    </w:p>
    <w:p w14:paraId="684FAD21" w14:textId="6D2558A3" w:rsidR="003E3A5E" w:rsidRPr="00FC0C78" w:rsidRDefault="003E3A5E" w:rsidP="00AC1BC7">
      <w:pPr>
        <w:pStyle w:val="Para"/>
        <w:numPr>
          <w:ilvl w:val="0"/>
          <w:numId w:val="89"/>
        </w:numPr>
        <w:tabs>
          <w:tab w:val="left" w:pos="1134"/>
        </w:tabs>
        <w:spacing w:line="240" w:lineRule="auto"/>
        <w:ind w:left="1170" w:hanging="630"/>
        <w:rPr>
          <w:rFonts w:eastAsia="Arial" w:cs="Arial"/>
          <w:color w:val="000000"/>
          <w:sz w:val="22"/>
          <w:szCs w:val="22"/>
        </w:rPr>
      </w:pPr>
      <w:r>
        <w:rPr>
          <w:color w:val="000000"/>
          <w:sz w:val="22"/>
          <w:u w:val="single"/>
        </w:rPr>
        <w:t>Ayant examiné</w:t>
      </w:r>
      <w:r>
        <w:rPr>
          <w:color w:val="000000"/>
          <w:sz w:val="22"/>
        </w:rPr>
        <w:t xml:space="preserve"> le document LHE//25/20.</w:t>
      </w:r>
      <w:r>
        <w:rPr>
          <w:sz w:val="22"/>
        </w:rPr>
        <w:t>COM</w:t>
      </w:r>
      <w:r>
        <w:rPr>
          <w:color w:val="000000"/>
          <w:sz w:val="22"/>
        </w:rPr>
        <w:t>/6.a,</w:t>
      </w:r>
    </w:p>
    <w:p w14:paraId="53B1B3BD" w14:textId="0C2D39EC" w:rsidR="003E3A5E" w:rsidRPr="00E96786" w:rsidRDefault="003E3A5E" w:rsidP="00B86673">
      <w:pPr>
        <w:pStyle w:val="Para"/>
        <w:numPr>
          <w:ilvl w:val="0"/>
          <w:numId w:val="14"/>
        </w:numPr>
        <w:tabs>
          <w:tab w:val="left" w:pos="1134"/>
        </w:tabs>
        <w:spacing w:line="240" w:lineRule="auto"/>
        <w:ind w:left="1134" w:hanging="567"/>
        <w:rPr>
          <w:rFonts w:cs="Arial"/>
          <w:sz w:val="22"/>
          <w:szCs w:val="22"/>
        </w:rPr>
      </w:pPr>
      <w:r>
        <w:rPr>
          <w:sz w:val="22"/>
          <w:u w:val="single"/>
        </w:rPr>
        <w:t>Rappelant</w:t>
      </w:r>
      <w:r>
        <w:rPr>
          <w:sz w:val="22"/>
        </w:rPr>
        <w:t xml:space="preserve"> le chapitre V des Directives opérationnelles et ses décisions </w:t>
      </w:r>
      <w:hyperlink r:id="rId65" w:history="1">
        <w:r>
          <w:rPr>
            <w:rStyle w:val="Hyperlink"/>
            <w:sz w:val="22"/>
          </w:rPr>
          <w:t>7.COM 8,1</w:t>
        </w:r>
      </w:hyperlink>
      <w:r>
        <w:rPr>
          <w:sz w:val="22"/>
        </w:rPr>
        <w:t xml:space="preserve">, </w:t>
      </w:r>
      <w:hyperlink r:id="rId66" w:history="1">
        <w:r>
          <w:rPr>
            <w:rStyle w:val="Hyperlink"/>
            <w:sz w:val="22"/>
          </w:rPr>
          <w:t>12.COM 8.c.1</w:t>
        </w:r>
      </w:hyperlink>
      <w:r>
        <w:rPr>
          <w:sz w:val="22"/>
        </w:rPr>
        <w:t xml:space="preserve">, et </w:t>
      </w:r>
      <w:hyperlink r:id="rId67" w:history="1">
        <w:r>
          <w:rPr>
            <w:rStyle w:val="Hyperlink"/>
            <w:sz w:val="22"/>
          </w:rPr>
          <w:t>16.COM 7.a.7</w:t>
        </w:r>
      </w:hyperlink>
      <w:r>
        <w:rPr>
          <w:sz w:val="22"/>
        </w:rPr>
        <w:t>,</w:t>
      </w:r>
    </w:p>
    <w:p w14:paraId="634930F3" w14:textId="1A8A028A" w:rsidR="003E3A5E" w:rsidRPr="00E96786" w:rsidRDefault="003E3A5E" w:rsidP="00B86673">
      <w:pPr>
        <w:pStyle w:val="Para"/>
        <w:numPr>
          <w:ilvl w:val="0"/>
          <w:numId w:val="14"/>
        </w:numPr>
        <w:tabs>
          <w:tab w:val="left" w:pos="1134"/>
        </w:tabs>
        <w:spacing w:line="240" w:lineRule="auto"/>
        <w:ind w:left="1134" w:hanging="567"/>
        <w:rPr>
          <w:sz w:val="22"/>
          <w:szCs w:val="22"/>
        </w:rPr>
      </w:pPr>
      <w:r>
        <w:rPr>
          <w:sz w:val="22"/>
          <w:u w:val="single"/>
        </w:rPr>
        <w:t>Remercie</w:t>
      </w:r>
      <w:r>
        <w:rPr>
          <w:sz w:val="22"/>
        </w:rPr>
        <w:t xml:space="preserve"> le Botswana d</w:t>
      </w:r>
      <w:r w:rsidR="00C93212">
        <w:rPr>
          <w:sz w:val="22"/>
        </w:rPr>
        <w:t>’</w:t>
      </w:r>
      <w:r>
        <w:rPr>
          <w:sz w:val="22"/>
        </w:rPr>
        <w:t>avoir soumis, dans les délais, son troisième rapport sur l</w:t>
      </w:r>
      <w:r w:rsidR="00C93212">
        <w:rPr>
          <w:sz w:val="22"/>
        </w:rPr>
        <w:t>’</w:t>
      </w:r>
      <w:r>
        <w:rPr>
          <w:sz w:val="22"/>
        </w:rPr>
        <w:t>état de l</w:t>
      </w:r>
      <w:r w:rsidR="00C93212">
        <w:rPr>
          <w:sz w:val="22"/>
        </w:rPr>
        <w:t>’</w:t>
      </w:r>
      <w:r>
        <w:rPr>
          <w:sz w:val="22"/>
        </w:rPr>
        <w:t>élément « Le savoir-faire de la poterie en terre cuite dans le district de Kgatleng au Botswana », inscrit en 2012 sur la Liste du patrimoine culturel immatériel nécessitant une sauvegarde urgente ;</w:t>
      </w:r>
    </w:p>
    <w:p w14:paraId="49FB1927" w14:textId="29D0CFDC" w:rsidR="00540964" w:rsidRPr="002C6462" w:rsidRDefault="003E3A5E" w:rsidP="002C6462">
      <w:pPr>
        <w:pStyle w:val="Para"/>
        <w:numPr>
          <w:ilvl w:val="0"/>
          <w:numId w:val="14"/>
        </w:numPr>
        <w:tabs>
          <w:tab w:val="left" w:pos="1134"/>
        </w:tabs>
        <w:spacing w:line="240" w:lineRule="auto"/>
        <w:ind w:left="1134" w:hanging="567"/>
        <w:rPr>
          <w:sz w:val="22"/>
          <w:szCs w:val="22"/>
        </w:rPr>
      </w:pPr>
      <w:r>
        <w:rPr>
          <w:sz w:val="22"/>
          <w:u w:val="single"/>
        </w:rPr>
        <w:t>Prend note</w:t>
      </w:r>
      <w:r>
        <w:rPr>
          <w:sz w:val="22"/>
        </w:rPr>
        <w:t xml:space="preserve"> des efforts continus du Botswana pour sauvegarder l</w:t>
      </w:r>
      <w:r w:rsidR="00C93212">
        <w:rPr>
          <w:sz w:val="22"/>
        </w:rPr>
        <w:t>’</w:t>
      </w:r>
      <w:r>
        <w:rPr>
          <w:sz w:val="22"/>
        </w:rPr>
        <w:t>élément, en particulier grâce au renforcement des réseaux de parties prenantes, à une approche participative impliquant les maîtres potiers et les établissements d</w:t>
      </w:r>
      <w:r w:rsidR="00C93212">
        <w:rPr>
          <w:sz w:val="22"/>
        </w:rPr>
        <w:t>’</w:t>
      </w:r>
      <w:r>
        <w:rPr>
          <w:sz w:val="22"/>
        </w:rPr>
        <w:t>enseignement dans le cadre d</w:t>
      </w:r>
      <w:r w:rsidR="00C93212">
        <w:rPr>
          <w:sz w:val="22"/>
        </w:rPr>
        <w:t>’</w:t>
      </w:r>
      <w:r>
        <w:rPr>
          <w:sz w:val="22"/>
        </w:rPr>
        <w:t>un apprentissage structuré et d</w:t>
      </w:r>
      <w:r w:rsidR="00C93212">
        <w:rPr>
          <w:sz w:val="22"/>
        </w:rPr>
        <w:t>’</w:t>
      </w:r>
      <w:r>
        <w:rPr>
          <w:sz w:val="22"/>
        </w:rPr>
        <w:t>une formation des jeunes, ainsi qu</w:t>
      </w:r>
      <w:r w:rsidR="00C93212">
        <w:rPr>
          <w:sz w:val="22"/>
        </w:rPr>
        <w:t>’</w:t>
      </w:r>
      <w:r>
        <w:rPr>
          <w:sz w:val="22"/>
        </w:rPr>
        <w:t>à son engagement en faveur d</w:t>
      </w:r>
      <w:r w:rsidR="00C93212">
        <w:rPr>
          <w:sz w:val="22"/>
        </w:rPr>
        <w:t>’</w:t>
      </w:r>
      <w:r>
        <w:rPr>
          <w:sz w:val="22"/>
        </w:rPr>
        <w:t>une sauvegarde inclusive, dirigée par la communauté, et d</w:t>
      </w:r>
      <w:r w:rsidR="00C93212">
        <w:rPr>
          <w:sz w:val="22"/>
        </w:rPr>
        <w:t>’</w:t>
      </w:r>
      <w:r>
        <w:rPr>
          <w:sz w:val="22"/>
        </w:rPr>
        <w:t>une coopération inter-district ;</w:t>
      </w:r>
    </w:p>
    <w:p w14:paraId="66A4FA2E" w14:textId="2E3EB9DD" w:rsidR="00425581" w:rsidRDefault="003E3A5E" w:rsidP="00B86673">
      <w:pPr>
        <w:pStyle w:val="Para"/>
        <w:numPr>
          <w:ilvl w:val="0"/>
          <w:numId w:val="14"/>
        </w:numPr>
        <w:tabs>
          <w:tab w:val="left" w:pos="1134"/>
        </w:tabs>
        <w:spacing w:line="240" w:lineRule="auto"/>
        <w:ind w:left="1134" w:hanging="567"/>
        <w:rPr>
          <w:sz w:val="22"/>
          <w:szCs w:val="22"/>
        </w:rPr>
      </w:pPr>
      <w:r>
        <w:rPr>
          <w:sz w:val="22"/>
          <w:u w:val="single"/>
        </w:rPr>
        <w:t>Invite</w:t>
      </w:r>
      <w:r>
        <w:rPr>
          <w:sz w:val="22"/>
        </w:rPr>
        <w:t xml:space="preserve"> l</w:t>
      </w:r>
      <w:r w:rsidR="00C93212">
        <w:rPr>
          <w:sz w:val="22"/>
        </w:rPr>
        <w:t>’</w:t>
      </w:r>
      <w:r>
        <w:rPr>
          <w:sz w:val="22"/>
        </w:rPr>
        <w:t xml:space="preserve">État partie à continuer à renforcer les capacités des principales parties prenantes et à soutenir la sauvegarde participative, et </w:t>
      </w:r>
      <w:r>
        <w:rPr>
          <w:sz w:val="22"/>
          <w:u w:val="single"/>
        </w:rPr>
        <w:t>encourage</w:t>
      </w:r>
      <w:r>
        <w:rPr>
          <w:sz w:val="22"/>
        </w:rPr>
        <w:t xml:space="preserve"> l</w:t>
      </w:r>
      <w:r w:rsidR="00C93212">
        <w:rPr>
          <w:sz w:val="22"/>
        </w:rPr>
        <w:t>’</w:t>
      </w:r>
      <w:r>
        <w:rPr>
          <w:sz w:val="22"/>
        </w:rPr>
        <w:t>évaluation des conditions de pratique, l</w:t>
      </w:r>
      <w:r w:rsidR="00C93212">
        <w:rPr>
          <w:sz w:val="22"/>
        </w:rPr>
        <w:t>’</w:t>
      </w:r>
      <w:r>
        <w:rPr>
          <w:sz w:val="22"/>
        </w:rPr>
        <w:t>amélioration de l</w:t>
      </w:r>
      <w:r w:rsidR="00C93212">
        <w:rPr>
          <w:sz w:val="22"/>
        </w:rPr>
        <w:t>’</w:t>
      </w:r>
      <w:r>
        <w:rPr>
          <w:sz w:val="22"/>
        </w:rPr>
        <w:t xml:space="preserve">accès aux ressources naturelles et le suivi des conditions de vie des </w:t>
      </w:r>
      <w:r w:rsidR="000C1B3E">
        <w:rPr>
          <w:sz w:val="22"/>
        </w:rPr>
        <w:t>détenteurs</w:t>
      </w:r>
      <w:r>
        <w:rPr>
          <w:sz w:val="22"/>
        </w:rPr>
        <w:t xml:space="preserve"> et des facteurs de migration, ainsi que l</w:t>
      </w:r>
      <w:r w:rsidR="00C93212">
        <w:rPr>
          <w:sz w:val="22"/>
        </w:rPr>
        <w:t>’</w:t>
      </w:r>
      <w:r>
        <w:rPr>
          <w:sz w:val="22"/>
        </w:rPr>
        <w:t xml:space="preserve">évaluation régulière des résultats de la sauvegarde ; </w:t>
      </w:r>
    </w:p>
    <w:p w14:paraId="40926A71" w14:textId="1C93DE38" w:rsidR="003E3A5E" w:rsidRPr="00E96786" w:rsidRDefault="003E3A5E" w:rsidP="00B86673">
      <w:pPr>
        <w:pStyle w:val="Para"/>
        <w:numPr>
          <w:ilvl w:val="0"/>
          <w:numId w:val="14"/>
        </w:numPr>
        <w:tabs>
          <w:tab w:val="left" w:pos="1134"/>
        </w:tabs>
        <w:spacing w:line="240" w:lineRule="auto"/>
        <w:ind w:left="1134" w:hanging="567"/>
        <w:rPr>
          <w:sz w:val="22"/>
          <w:szCs w:val="22"/>
        </w:rPr>
      </w:pPr>
      <w:r>
        <w:rPr>
          <w:sz w:val="22"/>
          <w:u w:val="single"/>
        </w:rPr>
        <w:t>Encourage</w:t>
      </w:r>
      <w:r>
        <w:rPr>
          <w:sz w:val="22"/>
        </w:rPr>
        <w:t xml:space="preserve"> l</w:t>
      </w:r>
      <w:r w:rsidR="00C93212">
        <w:rPr>
          <w:sz w:val="22"/>
        </w:rPr>
        <w:t>’</w:t>
      </w:r>
      <w:r>
        <w:rPr>
          <w:sz w:val="22"/>
        </w:rPr>
        <w:t>État partie à soutenir la recherche et la documentation sur l</w:t>
      </w:r>
      <w:r w:rsidR="00C93212">
        <w:rPr>
          <w:sz w:val="22"/>
        </w:rPr>
        <w:t>’</w:t>
      </w:r>
      <w:r>
        <w:rPr>
          <w:sz w:val="22"/>
        </w:rPr>
        <w:t>élément, en mettant l</w:t>
      </w:r>
      <w:r w:rsidR="00C93212">
        <w:rPr>
          <w:sz w:val="22"/>
        </w:rPr>
        <w:t>’</w:t>
      </w:r>
      <w:r>
        <w:rPr>
          <w:sz w:val="22"/>
        </w:rPr>
        <w:t>accent sur les systèmes de connaissances et de croyances, y compris l</w:t>
      </w:r>
      <w:r w:rsidR="00C93212">
        <w:rPr>
          <w:sz w:val="22"/>
        </w:rPr>
        <w:t>’</w:t>
      </w:r>
      <w:r>
        <w:rPr>
          <w:sz w:val="22"/>
        </w:rPr>
        <w:t>évolution des tabous et les nouvelles dynamiques religieuses, afin d</w:t>
      </w:r>
      <w:r w:rsidR="00C93212">
        <w:rPr>
          <w:sz w:val="22"/>
        </w:rPr>
        <w:t>’</w:t>
      </w:r>
      <w:r>
        <w:rPr>
          <w:sz w:val="22"/>
        </w:rPr>
        <w:t>assurer la viabilité continue de l</w:t>
      </w:r>
      <w:r w:rsidR="00C93212">
        <w:rPr>
          <w:sz w:val="22"/>
        </w:rPr>
        <w:t>’</w:t>
      </w:r>
      <w:r>
        <w:rPr>
          <w:sz w:val="22"/>
        </w:rPr>
        <w:t>élément ;</w:t>
      </w:r>
    </w:p>
    <w:p w14:paraId="61A3E3A4" w14:textId="498A9657" w:rsidR="00425581" w:rsidRDefault="007D2733" w:rsidP="00B86673">
      <w:pPr>
        <w:pStyle w:val="Para"/>
        <w:numPr>
          <w:ilvl w:val="0"/>
          <w:numId w:val="14"/>
        </w:numPr>
        <w:tabs>
          <w:tab w:val="left" w:pos="1134"/>
        </w:tabs>
        <w:spacing w:line="240" w:lineRule="auto"/>
        <w:ind w:left="1134" w:hanging="567"/>
        <w:rPr>
          <w:sz w:val="22"/>
          <w:szCs w:val="22"/>
        </w:rPr>
      </w:pPr>
      <w:r>
        <w:rPr>
          <w:sz w:val="22"/>
          <w:u w:val="single"/>
        </w:rPr>
        <w:t>Invite en outre</w:t>
      </w:r>
      <w:r>
        <w:rPr>
          <w:sz w:val="22"/>
        </w:rPr>
        <w:t xml:space="preserve"> l</w:t>
      </w:r>
      <w:r w:rsidR="00C93212">
        <w:rPr>
          <w:sz w:val="22"/>
        </w:rPr>
        <w:t>’</w:t>
      </w:r>
      <w:r>
        <w:rPr>
          <w:sz w:val="22"/>
        </w:rPr>
        <w:t>État partie à poursuivre une collecte de fonds suffisante et diversifiée pour que les praticiens bénéficient directement des activités économiques basées sur le patrimoine, et à soutenir la création d</w:t>
      </w:r>
      <w:r w:rsidR="00C93212">
        <w:rPr>
          <w:sz w:val="22"/>
        </w:rPr>
        <w:t>’</w:t>
      </w:r>
      <w:r>
        <w:rPr>
          <w:sz w:val="22"/>
        </w:rPr>
        <w:t>un réseau national de potiers.</w:t>
      </w:r>
    </w:p>
    <w:p w14:paraId="17CDBDDB" w14:textId="77777777" w:rsidR="007D2733" w:rsidRPr="00E96786" w:rsidRDefault="007D2733">
      <w:pPr>
        <w:rPr>
          <w:rFonts w:ascii="Arial" w:hAnsi="Arial" w:cs="Arial"/>
          <w:b/>
          <w:bCs/>
          <w:snapToGrid w:val="0"/>
          <w:color w:val="000000"/>
          <w:sz w:val="22"/>
          <w:szCs w:val="22"/>
        </w:rPr>
      </w:pPr>
      <w:r>
        <w:br w:type="page"/>
      </w:r>
    </w:p>
    <w:p w14:paraId="611F525E" w14:textId="1E96EE5D" w:rsidR="003B217F" w:rsidRPr="00E96786" w:rsidRDefault="00E45687" w:rsidP="00F81906">
      <w:pPr>
        <w:pStyle w:val="COMPara"/>
        <w:keepLines/>
        <w:numPr>
          <w:ilvl w:val="0"/>
          <w:numId w:val="0"/>
        </w:numPr>
        <w:ind w:left="567"/>
        <w:jc w:val="both"/>
        <w:rPr>
          <w:b/>
          <w:bCs/>
          <w:i/>
          <w:iCs/>
        </w:rPr>
      </w:pPr>
      <w:r>
        <w:rPr>
          <w:b/>
          <w:color w:val="000000"/>
        </w:rPr>
        <w:t>Indonésie : « Le noken, sac multifonctionnel noué ou tissé, artisanat du peuple de Papouasie »</w:t>
      </w:r>
      <w:r>
        <w:rPr>
          <w:i/>
        </w:rPr>
        <w:t xml:space="preserve"> (voir </w:t>
      </w:r>
      <w:r w:rsidRPr="003B7315">
        <w:rPr>
          <w:i/>
        </w:rPr>
        <w:t xml:space="preserve">le </w:t>
      </w:r>
      <w:hyperlink r:id="rId68" w:history="1">
        <w:r w:rsidRPr="003B7315">
          <w:rPr>
            <w:rStyle w:val="Hyperlink"/>
            <w:i/>
          </w:rPr>
          <w:t>rapport</w:t>
        </w:r>
      </w:hyperlink>
      <w:r w:rsidRPr="003B7315">
        <w:rPr>
          <w:i/>
        </w:rPr>
        <w:t>)</w:t>
      </w:r>
    </w:p>
    <w:p w14:paraId="049C3C15" w14:textId="24209731" w:rsidR="00A20C01" w:rsidRPr="00E96786" w:rsidRDefault="00A20C01" w:rsidP="00A20C01">
      <w:pPr>
        <w:pStyle w:val="COMPara"/>
        <w:numPr>
          <w:ilvl w:val="0"/>
          <w:numId w:val="9"/>
        </w:numPr>
        <w:ind w:left="567" w:hanging="567"/>
        <w:jc w:val="both"/>
      </w:pPr>
      <w:r>
        <w:t xml:space="preserve">Le </w:t>
      </w:r>
      <w:r w:rsidR="00315D7C">
        <w:t>n</w:t>
      </w:r>
      <w:r>
        <w:t>oken est un sac traditionnel noué ou tissé à la main, fabriqué à partir de fibres naturelles telles que d</w:t>
      </w:r>
      <w:r w:rsidR="00C93212">
        <w:t>’</w:t>
      </w:r>
      <w:r>
        <w:t>écorce d</w:t>
      </w:r>
      <w:r w:rsidR="00C93212">
        <w:t>’</w:t>
      </w:r>
      <w:r>
        <w:t xml:space="preserve">arbre, des feuilles, des racines, des </w:t>
      </w:r>
      <w:r>
        <w:rPr>
          <w:color w:val="000000"/>
        </w:rPr>
        <w:t>fleurs</w:t>
      </w:r>
      <w:r>
        <w:t>, des cordes et de l</w:t>
      </w:r>
      <w:r w:rsidR="00C93212">
        <w:t>’</w:t>
      </w:r>
      <w:r>
        <w:t>herbe en Papouasie et en Papouasie occidentale. Le noken est de taille et d</w:t>
      </w:r>
      <w:r w:rsidR="00C93212">
        <w:t>’</w:t>
      </w:r>
      <w:r>
        <w:t>utilisation diverses, allant du transport des récoltes et des objets personnels aux vêtements. Ses formes, ses motifs et ses couleurs diffèrent d</w:t>
      </w:r>
      <w:r w:rsidR="00C93212">
        <w:t>’</w:t>
      </w:r>
      <w:r>
        <w:t>une communauté à l</w:t>
      </w:r>
      <w:r w:rsidR="00C93212">
        <w:t>’</w:t>
      </w:r>
      <w:r>
        <w:t xml:space="preserve">autre, sont riches en symbolisme et reflètent le caractère de chaque environnement local, soulignant la relation étroite entre les communautés et leur </w:t>
      </w:r>
      <w:r w:rsidR="0025079E">
        <w:t>écosystème</w:t>
      </w:r>
      <w:r>
        <w:t>. Si son utilisation a évolué dans les zones urbaines, où il est de plus en plus considéré comme un produit pratique, le noken reste un élément central des rituels et des cérémonies dans les régions rurales. Sa transmission reste forte dans de nombreuses zones rurales, en particulier chez les femmes, mais la pratique est confrontée à des défis liés à une documentation incomplète, à la diminution du nombre de praticiens, à la commercialisation et à l</w:t>
      </w:r>
      <w:r w:rsidR="00C93212">
        <w:t>’</w:t>
      </w:r>
      <w:r>
        <w:t>approvisionnement durable en matières premières.</w:t>
      </w:r>
    </w:p>
    <w:p w14:paraId="78B9A9E6" w14:textId="50E3CDA2" w:rsidR="00A20C01" w:rsidRPr="00E96786" w:rsidRDefault="00A20C01" w:rsidP="00A20C01">
      <w:pPr>
        <w:pStyle w:val="COMPara"/>
        <w:numPr>
          <w:ilvl w:val="0"/>
          <w:numId w:val="9"/>
        </w:numPr>
        <w:ind w:left="567" w:hanging="567"/>
        <w:jc w:val="both"/>
        <w:rPr>
          <w:bCs/>
        </w:rPr>
      </w:pPr>
      <w:r>
        <w:t>L</w:t>
      </w:r>
      <w:r w:rsidR="00C93212">
        <w:t>’</w:t>
      </w:r>
      <w:r>
        <w:t xml:space="preserve">élément a été </w:t>
      </w:r>
      <w:r>
        <w:rPr>
          <w:color w:val="000000"/>
        </w:rPr>
        <w:t>inscrit</w:t>
      </w:r>
      <w:r>
        <w:t xml:space="preserve"> sur la </w:t>
      </w:r>
      <w:r w:rsidR="00E049B5">
        <w:t>L</w:t>
      </w:r>
      <w:r>
        <w:t xml:space="preserve">iste de sauvegarde urgente en 2012. </w:t>
      </w:r>
      <w:hyperlink r:id="rId69" w:history="1">
        <w:r>
          <w:rPr>
            <w:rStyle w:val="Hyperlink"/>
          </w:rPr>
          <w:t>Le premier rapport</w:t>
        </w:r>
      </w:hyperlink>
      <w:r>
        <w:rPr>
          <w:color w:val="000000"/>
        </w:rPr>
        <w:t xml:space="preserve"> a été examiné par la douzième session du Comité en 2017 (</w:t>
      </w:r>
      <w:r w:rsidR="004C0E3F">
        <w:rPr>
          <w:color w:val="000000"/>
        </w:rPr>
        <w:t>D</w:t>
      </w:r>
      <w:r>
        <w:rPr>
          <w:color w:val="000000"/>
        </w:rPr>
        <w:t xml:space="preserve">écision </w:t>
      </w:r>
      <w:hyperlink r:id="rId70" w:history="1">
        <w:r>
          <w:rPr>
            <w:rStyle w:val="Hyperlink"/>
          </w:rPr>
          <w:t>12.COM 8.c.10)</w:t>
        </w:r>
      </w:hyperlink>
      <w:r>
        <w:rPr>
          <w:color w:val="000000"/>
        </w:rPr>
        <w:t xml:space="preserve">, et </w:t>
      </w:r>
      <w:hyperlink r:id="rId71">
        <w:r>
          <w:rPr>
            <w:color w:val="0000FF"/>
            <w:u w:val="single"/>
          </w:rPr>
          <w:t>le deuxième rapport</w:t>
        </w:r>
      </w:hyperlink>
      <w:r>
        <w:rPr>
          <w:color w:val="000000"/>
        </w:rPr>
        <w:t xml:space="preserve"> a été examiné par la seizième session du Comité en 2021 (</w:t>
      </w:r>
      <w:r w:rsidR="004C0E3F">
        <w:rPr>
          <w:color w:val="000000"/>
        </w:rPr>
        <w:t>D</w:t>
      </w:r>
      <w:r>
        <w:rPr>
          <w:color w:val="000000"/>
        </w:rPr>
        <w:t xml:space="preserve">écision </w:t>
      </w:r>
      <w:hyperlink r:id="rId72" w:history="1">
        <w:r>
          <w:rPr>
            <w:rStyle w:val="Hyperlink"/>
          </w:rPr>
          <w:t>16.COM 7.a.15</w:t>
        </w:r>
      </w:hyperlink>
      <w:r>
        <w:t>). Il s</w:t>
      </w:r>
      <w:r w:rsidR="00C93212">
        <w:t>’</w:t>
      </w:r>
      <w:r>
        <w:t>agit du troisième rapport soumis par l</w:t>
      </w:r>
      <w:r w:rsidR="00C93212">
        <w:t>’</w:t>
      </w:r>
      <w:r>
        <w:t>État partie sur l</w:t>
      </w:r>
      <w:r w:rsidR="00C93212">
        <w:t>’</w:t>
      </w:r>
      <w:r>
        <w:t>état de cet élément.</w:t>
      </w:r>
    </w:p>
    <w:p w14:paraId="05B7C635" w14:textId="383A54BC" w:rsidR="00A20C01" w:rsidRPr="00E96786" w:rsidRDefault="00A20C01" w:rsidP="00A20C01">
      <w:pPr>
        <w:pStyle w:val="COMPara"/>
        <w:numPr>
          <w:ilvl w:val="0"/>
          <w:numId w:val="9"/>
        </w:numPr>
        <w:ind w:left="567" w:hanging="567"/>
        <w:jc w:val="both"/>
        <w:rPr>
          <w:bCs/>
        </w:rPr>
      </w:pPr>
      <w:r>
        <w:rPr>
          <w:b/>
        </w:rPr>
        <w:t xml:space="preserve">Efficacité du plan de sauvegarde. </w:t>
      </w:r>
      <w:r>
        <w:t>Comme indiqué, des progrès notables ont été réalisés dans la mise en œuvre du plan de sauvegarde. La transmission et la promotion de l</w:t>
      </w:r>
      <w:r w:rsidR="00C93212">
        <w:t>’</w:t>
      </w:r>
      <w:r>
        <w:t>élément ont été renforcées à travers l</w:t>
      </w:r>
      <w:r w:rsidR="00C93212">
        <w:t>’</w:t>
      </w:r>
      <w:r>
        <w:t>enseignement et la formation formels et non formels, en particulier parmi les femmes et les jeunes. Les programmes ont impliqué des étudiants appartenant à différents niveaux d</w:t>
      </w:r>
      <w:r w:rsidR="00C93212">
        <w:t>’</w:t>
      </w:r>
      <w:r>
        <w:t xml:space="preserve">éducation, sensibilisant à la valeur culturelle de </w:t>
      </w:r>
      <w:r w:rsidR="00315D7C">
        <w:t>n</w:t>
      </w:r>
      <w:r>
        <w:t>oken tout en soutenant des opportunités économiques créatives. Des ateliers organisés par la communauté du oken de Papouasie et d</w:t>
      </w:r>
      <w:r w:rsidR="00C93212">
        <w:t>’</w:t>
      </w:r>
      <w:r>
        <w:t>autres parties prenantes ont permis de sensibiliser à la nécessité de préserver l</w:t>
      </w:r>
      <w:r w:rsidR="00C93212">
        <w:t>’</w:t>
      </w:r>
      <w:r>
        <w:t>environnement et d</w:t>
      </w:r>
      <w:r w:rsidR="00C93212">
        <w:t>’</w:t>
      </w:r>
      <w:r>
        <w:t>encourager la plantation de matières premières. Les activités d</w:t>
      </w:r>
      <w:r w:rsidR="00C93212">
        <w:t>’</w:t>
      </w:r>
      <w:r>
        <w:t xml:space="preserve">inventaire et de documentation se sont poursuivies dans de nombreux endroits, bien que les défis géographiques et les </w:t>
      </w:r>
      <w:r>
        <w:rPr>
          <w:color w:val="000000"/>
        </w:rPr>
        <w:t>sources</w:t>
      </w:r>
      <w:r>
        <w:t xml:space="preserve"> de données fragmentées limitent encore l</w:t>
      </w:r>
      <w:r w:rsidR="00C93212">
        <w:t>’</w:t>
      </w:r>
      <w:r>
        <w:t>exhaustivité et l</w:t>
      </w:r>
      <w:r w:rsidR="00C93212">
        <w:t>’</w:t>
      </w:r>
      <w:r>
        <w:t>organisation de l</w:t>
      </w:r>
      <w:r w:rsidR="00C93212">
        <w:t>’</w:t>
      </w:r>
      <w:r>
        <w:t>inventaire du noken. La collaboration entre les organismes gouvernementaux, les praticiens, les organisations non gouvernementales et communautaires, les chercheurs et le secteur privé a permis d</w:t>
      </w:r>
      <w:r w:rsidR="00C93212">
        <w:t>’</w:t>
      </w:r>
      <w:r>
        <w:t>améliorer la visibilité et la viabilité du noken en tant que patrimoine vivant et source de revenus durable. Bien que ces évolutions soient encourageantes, le rapport reconnaît la nécessité de poursuivre les efforts pour assurer la durabilité des ressources naturelles et pour impliquer plus systématiquement les jeunes générations dans la sauvegarde à long terme de l</w:t>
      </w:r>
      <w:r w:rsidR="00C93212">
        <w:t>’</w:t>
      </w:r>
      <w:r>
        <w:t>élément.</w:t>
      </w:r>
    </w:p>
    <w:p w14:paraId="763B9739" w14:textId="208F6DE1" w:rsidR="00A20C01" w:rsidRPr="00E96786" w:rsidRDefault="00A20C01" w:rsidP="00A20C01">
      <w:pPr>
        <w:pStyle w:val="COMPara"/>
        <w:numPr>
          <w:ilvl w:val="0"/>
          <w:numId w:val="9"/>
        </w:numPr>
        <w:ind w:left="567" w:hanging="567"/>
        <w:jc w:val="both"/>
        <w:rPr>
          <w:color w:val="212121"/>
          <w:shd w:val="clear" w:color="auto" w:fill="FFFFFF"/>
        </w:rPr>
      </w:pPr>
      <w:r>
        <w:t xml:space="preserve">En ce qui concerne la précédente décision </w:t>
      </w:r>
      <w:bookmarkStart w:id="33" w:name="_Hlk80291914"/>
      <w:r w:rsidRPr="00E96786">
        <w:rPr>
          <w:rFonts w:cs="Times New Roman"/>
        </w:rPr>
        <w:fldChar w:fldCharType="begin"/>
      </w:r>
      <w:r w:rsidRPr="00E96786">
        <w:instrText>HYPERLINK "https://ich.unesco.org/fr/decisions/16.COM/7.A.15"</w:instrText>
      </w:r>
      <w:r w:rsidRPr="00E96786">
        <w:rPr>
          <w:rFonts w:cs="Times New Roman"/>
        </w:rPr>
      </w:r>
      <w:r w:rsidRPr="00E96786">
        <w:rPr>
          <w:rFonts w:cs="Times New Roman"/>
        </w:rPr>
        <w:fldChar w:fldCharType="separate"/>
      </w:r>
      <w:r>
        <w:rPr>
          <w:rStyle w:val="Hyperlink"/>
        </w:rPr>
        <w:t>16.COM 7.a.15</w:t>
      </w:r>
      <w:r w:rsidRPr="00E96786">
        <w:rPr>
          <w:rStyle w:val="Hyperlink"/>
        </w:rPr>
        <w:fldChar w:fldCharType="end"/>
      </w:r>
      <w:bookmarkEnd w:id="33"/>
      <w:r>
        <w:t xml:space="preserve"> du Comité, l</w:t>
      </w:r>
      <w:r w:rsidR="00C93212">
        <w:t>’</w:t>
      </w:r>
      <w:r>
        <w:t>État partie a élargi les possibilités de formation et encouragé l</w:t>
      </w:r>
      <w:r w:rsidR="00C93212">
        <w:t>’</w:t>
      </w:r>
      <w:r>
        <w:t>approvisionnement durable ainsi que la préservation de l</w:t>
      </w:r>
      <w:r w:rsidR="00C93212">
        <w:t>’</w:t>
      </w:r>
      <w:r>
        <w:t>environnement. Alors qu</w:t>
      </w:r>
      <w:r w:rsidR="00C93212">
        <w:t>’</w:t>
      </w:r>
      <w:r>
        <w:t>un inventaire numérique complet et des politiques nationales sur la protection des matières premières sont encore en cours d</w:t>
      </w:r>
      <w:r w:rsidR="00C93212">
        <w:t>’</w:t>
      </w:r>
      <w:r>
        <w:t xml:space="preserve">élaboration, des </w:t>
      </w:r>
      <w:r>
        <w:rPr>
          <w:color w:val="000000"/>
        </w:rPr>
        <w:t>mesures</w:t>
      </w:r>
      <w:r>
        <w:t xml:space="preserve"> locales telles que le règlement 2023 de la ville de Sorong et la création d</w:t>
      </w:r>
      <w:r w:rsidR="00C93212">
        <w:t>’</w:t>
      </w:r>
      <w:r>
        <w:t>un arboretum et d</w:t>
      </w:r>
      <w:r w:rsidR="00C93212">
        <w:t>’</w:t>
      </w:r>
      <w:r>
        <w:t>une collection botanique reflètent les efforts en cours pour améliorer la gestion durable des matières premières. Le rapport considère que les opportunités croissantes du marché sont bénéfiques pour les praticiens, bien qu</w:t>
      </w:r>
      <w:r w:rsidR="00C93212">
        <w:t>’</w:t>
      </w:r>
      <w:r>
        <w:t>il reconnaisse la nécessité d</w:t>
      </w:r>
      <w:r w:rsidR="00C93212">
        <w:t>’</w:t>
      </w:r>
      <w:r>
        <w:t>aborder le risque de décontextualisation. L</w:t>
      </w:r>
      <w:r w:rsidR="00C93212">
        <w:t>’</w:t>
      </w:r>
      <w:r>
        <w:t>introduction d</w:t>
      </w:r>
      <w:r w:rsidR="00C93212">
        <w:t>’</w:t>
      </w:r>
      <w:r>
        <w:t xml:space="preserve">un </w:t>
      </w:r>
      <w:r>
        <w:rPr>
          <w:shd w:val="clear" w:color="auto" w:fill="FFFFFF"/>
        </w:rPr>
        <w:t>prix culturel pour reconnaître la contribution des praticiens du noken est prévue pour 2025</w:t>
      </w:r>
      <w:r>
        <w:t>.</w:t>
      </w:r>
    </w:p>
    <w:p w14:paraId="672559D8" w14:textId="67604FF5" w:rsidR="00A20C01" w:rsidRPr="00E96786" w:rsidRDefault="00A20C01" w:rsidP="00A20C01">
      <w:pPr>
        <w:pStyle w:val="COMPara"/>
        <w:numPr>
          <w:ilvl w:val="0"/>
          <w:numId w:val="9"/>
        </w:numPr>
        <w:ind w:left="567" w:hanging="567"/>
        <w:jc w:val="both"/>
        <w:rPr>
          <w:bCs/>
        </w:rPr>
      </w:pPr>
      <w:r>
        <w:rPr>
          <w:b/>
        </w:rPr>
        <w:t>Participation de la communauté.</w:t>
      </w:r>
      <w:r>
        <w:t xml:space="preserve"> Comme l</w:t>
      </w:r>
      <w:r w:rsidR="00C93212">
        <w:t>’</w:t>
      </w:r>
      <w:r>
        <w:t>a indiqué l</w:t>
      </w:r>
      <w:r w:rsidR="00C93212">
        <w:t>’</w:t>
      </w:r>
      <w:r>
        <w:t>État partie, l</w:t>
      </w:r>
      <w:r w:rsidR="00C93212">
        <w:t>’</w:t>
      </w:r>
      <w:r>
        <w:t>implication de la communauté reste forte, en particulier parmi les femmes qui continuent de diriger la fabrication, la transmission et la commercialisation du noken. L</w:t>
      </w:r>
      <w:r w:rsidR="00C93212">
        <w:t>’</w:t>
      </w:r>
      <w:r>
        <w:t xml:space="preserve">inscription du noken a permis de sensibiliser le public et de mobiliser une large coopération entre les communautés locales, les entités gouvernementales, les ONG, les chercheurs, les institutions culturelles et éducatives </w:t>
      </w:r>
      <w:r>
        <w:rPr>
          <w:color w:val="000000"/>
        </w:rPr>
        <w:t>et</w:t>
      </w:r>
      <w:r>
        <w:t xml:space="preserve"> le secteur privé. Ces acteurs ont collaboré à l</w:t>
      </w:r>
      <w:r w:rsidR="00C93212">
        <w:t>’</w:t>
      </w:r>
      <w:r>
        <w:t>inventaire, à la sensibilisation, à l</w:t>
      </w:r>
      <w:r w:rsidR="00C93212">
        <w:t>’</w:t>
      </w:r>
      <w:r>
        <w:t>éducation et à la formation, ainsi qu</w:t>
      </w:r>
      <w:r w:rsidR="00C93212">
        <w:t>’</w:t>
      </w:r>
      <w:r>
        <w:t>à la culture de matières premières, en associant la sauvegarde du patrimoine vivant à la conservation de l</w:t>
      </w:r>
      <w:r w:rsidR="00C93212">
        <w:t>’</w:t>
      </w:r>
      <w:r>
        <w:t>environnement. Le plan de sauvegarde actualisé a été élaboré dans le cadre de groupes de discussion et de réunions coordonnés par le ministère de la Culture, avec la participation de praticiens, d</w:t>
      </w:r>
      <w:r w:rsidR="00C93212">
        <w:t>’</w:t>
      </w:r>
      <w:r>
        <w:t>ONG, de chercheurs et de représentants des autorités locales et régionales.</w:t>
      </w:r>
    </w:p>
    <w:p w14:paraId="1EF4A24A" w14:textId="23C25FD1" w:rsidR="00A20C01" w:rsidRPr="00E96786" w:rsidRDefault="00A20C01" w:rsidP="00A20C01">
      <w:pPr>
        <w:pStyle w:val="COMPara"/>
        <w:numPr>
          <w:ilvl w:val="0"/>
          <w:numId w:val="9"/>
        </w:numPr>
        <w:ind w:left="567" w:hanging="567"/>
        <w:jc w:val="both"/>
        <w:rPr>
          <w:bCs/>
        </w:rPr>
      </w:pPr>
      <w:r>
        <w:rPr>
          <w:b/>
        </w:rPr>
        <w:t>Viabilité et risques actuels.</w:t>
      </w:r>
      <w:r>
        <w:t xml:space="preserve"> Si la viabilité de l</w:t>
      </w:r>
      <w:r w:rsidR="00C93212">
        <w:t>’</w:t>
      </w:r>
      <w:r>
        <w:t>élément s</w:t>
      </w:r>
      <w:r w:rsidR="00C93212">
        <w:t>’</w:t>
      </w:r>
      <w:r>
        <w:t>est notablement améliorée depuis son inscription, certains défis subsistent. Une documentation incomplète, en particulier dans les zones reculées, a limité les efforts de protection globale de l</w:t>
      </w:r>
      <w:r w:rsidR="00C93212">
        <w:t>’</w:t>
      </w:r>
      <w:r>
        <w:t>élément. La création de l</w:t>
      </w:r>
      <w:r w:rsidR="00C93212">
        <w:t>’</w:t>
      </w:r>
      <w:r>
        <w:t>Arboretum des plantes du noken est une étape positive pour garantir un accès à long terme aux matières premières naturelles, mais des efforts supplémentaires sont nécessaires pour assurer un approvisionnement durable. Si la reconnaissance internationale a ouvert des perspectives économiques aux praticiens, la production croissante de noken pour les marchés extérieurs présente également des risques de commercialisation excessive et de décontextualisation.</w:t>
      </w:r>
    </w:p>
    <w:p w14:paraId="461FA449" w14:textId="00C32CEB" w:rsidR="00A20C01" w:rsidRPr="00E96786" w:rsidRDefault="00A20C01" w:rsidP="00A20C01">
      <w:pPr>
        <w:pStyle w:val="COMPara"/>
        <w:numPr>
          <w:ilvl w:val="0"/>
          <w:numId w:val="9"/>
        </w:numPr>
        <w:ind w:left="567" w:hanging="567"/>
        <w:jc w:val="both"/>
        <w:rPr>
          <w:rFonts w:eastAsia="Arial"/>
          <w:color w:val="000000"/>
        </w:rPr>
      </w:pPr>
      <w:r>
        <w:rPr>
          <w:color w:val="000000"/>
        </w:rPr>
        <w:t>Le plan de sauvegarde actualisé priorise la documentation, l</w:t>
      </w:r>
      <w:r w:rsidR="00C93212">
        <w:rPr>
          <w:color w:val="000000"/>
        </w:rPr>
        <w:t>’</w:t>
      </w:r>
      <w:r>
        <w:rPr>
          <w:color w:val="000000"/>
        </w:rPr>
        <w:t>éducation et la formation, l</w:t>
      </w:r>
      <w:r w:rsidR="00C93212">
        <w:rPr>
          <w:color w:val="000000"/>
        </w:rPr>
        <w:t>’</w:t>
      </w:r>
      <w:r>
        <w:rPr>
          <w:color w:val="000000"/>
        </w:rPr>
        <w:t>utilisation durable des ressources et l</w:t>
      </w:r>
      <w:r w:rsidR="00C93212">
        <w:rPr>
          <w:color w:val="000000"/>
        </w:rPr>
        <w:t>’</w:t>
      </w:r>
      <w:r>
        <w:rPr>
          <w:color w:val="000000"/>
        </w:rPr>
        <w:t>engagement des jeunes, en particulier dans les zones urbaines. Il comprend la création d</w:t>
      </w:r>
      <w:r w:rsidR="00C93212">
        <w:rPr>
          <w:color w:val="000000"/>
        </w:rPr>
        <w:t>’</w:t>
      </w:r>
      <w:r>
        <w:rPr>
          <w:color w:val="000000"/>
        </w:rPr>
        <w:t>une pépinière de plantes associées au noken, le développement de Hutan Kotanopi en tant que centre d</w:t>
      </w:r>
      <w:r w:rsidR="00C93212">
        <w:rPr>
          <w:color w:val="000000"/>
        </w:rPr>
        <w:t>’</w:t>
      </w:r>
      <w:r>
        <w:rPr>
          <w:color w:val="000000"/>
        </w:rPr>
        <w:t>apprentissage, la reconnaissance officielle des praticiens dévoués par le biais d</w:t>
      </w:r>
      <w:r w:rsidR="00C93212">
        <w:rPr>
          <w:color w:val="000000"/>
        </w:rPr>
        <w:t>’</w:t>
      </w:r>
      <w:r>
        <w:rPr>
          <w:color w:val="000000"/>
        </w:rPr>
        <w:t>un programme de récompenses culturelles, ainsi que le développement et l</w:t>
      </w:r>
      <w:r w:rsidR="00C93212">
        <w:rPr>
          <w:color w:val="000000"/>
        </w:rPr>
        <w:t>’</w:t>
      </w:r>
      <w:r>
        <w:rPr>
          <w:color w:val="000000"/>
        </w:rPr>
        <w:t>affinement des politiques aux niveaux national, provincial et du district pour soutenir la sauvegarde de l</w:t>
      </w:r>
      <w:r w:rsidR="00C93212">
        <w:rPr>
          <w:color w:val="000000"/>
        </w:rPr>
        <w:t>’</w:t>
      </w:r>
      <w:r>
        <w:rPr>
          <w:color w:val="000000"/>
        </w:rPr>
        <w:t>élément et l</w:t>
      </w:r>
      <w:r w:rsidR="00C93212">
        <w:rPr>
          <w:color w:val="000000"/>
        </w:rPr>
        <w:t>’</w:t>
      </w:r>
      <w:r>
        <w:rPr>
          <w:color w:val="000000"/>
        </w:rPr>
        <w:t>autonomisation économique des praticiens. Le gouvernement continuera à fournir un soutien financier ainsi qu</w:t>
      </w:r>
      <w:r w:rsidR="00C93212">
        <w:rPr>
          <w:color w:val="000000"/>
        </w:rPr>
        <w:t>’</w:t>
      </w:r>
      <w:r>
        <w:rPr>
          <w:color w:val="000000"/>
        </w:rPr>
        <w:t>à faciliter les partenariats avec les communautés et les autres parties prenantes.</w:t>
      </w:r>
    </w:p>
    <w:p w14:paraId="46EE6EEB" w14:textId="21AA0DB6" w:rsidR="00A20C01" w:rsidRPr="00E96786" w:rsidRDefault="00A20C01" w:rsidP="00A20C01">
      <w:pPr>
        <w:pStyle w:val="COMPara"/>
        <w:numPr>
          <w:ilvl w:val="0"/>
          <w:numId w:val="9"/>
        </w:numPr>
        <w:ind w:left="567" w:hanging="567"/>
        <w:jc w:val="both"/>
      </w:pPr>
      <w:r>
        <w:t xml:space="preserve">Le Comité souhaitera peut-être </w:t>
      </w:r>
      <w:r>
        <w:rPr>
          <w:color w:val="000000"/>
        </w:rPr>
        <w:t>adopter</w:t>
      </w:r>
      <w:r>
        <w:t xml:space="preserve"> la décision suivante :</w:t>
      </w:r>
    </w:p>
    <w:p w14:paraId="424E62EF" w14:textId="159F2F09" w:rsidR="003B217F" w:rsidRPr="00E96786" w:rsidRDefault="003B217F" w:rsidP="005B1096">
      <w:pPr>
        <w:pStyle w:val="Heading4"/>
        <w:numPr>
          <w:ilvl w:val="0"/>
          <w:numId w:val="0"/>
        </w:numPr>
        <w:tabs>
          <w:tab w:val="clear" w:pos="567"/>
        </w:tabs>
        <w:spacing w:before="240"/>
        <w:ind w:left="567"/>
      </w:pPr>
      <w:bookmarkStart w:id="34" w:name="_DRAFT_DECISION_20.COM_7"/>
      <w:bookmarkEnd w:id="34"/>
      <w:r>
        <w:t>PROJET DE DECISION 20.COM 6.a.8</w:t>
      </w:r>
    </w:p>
    <w:p w14:paraId="5372D182" w14:textId="63CF61EA" w:rsidR="00A20C01" w:rsidRPr="00E96786" w:rsidRDefault="00A20C01" w:rsidP="003B217F">
      <w:pPr>
        <w:pStyle w:val="COMTitleDecision"/>
        <w:keepLines/>
        <w:spacing w:after="240"/>
        <w:ind w:left="0" w:firstLine="567"/>
        <w:rPr>
          <w:b w:val="0"/>
          <w:bCs/>
        </w:rPr>
      </w:pPr>
      <w:r>
        <w:rPr>
          <w:b w:val="0"/>
        </w:rPr>
        <w:t>Le Comité</w:t>
      </w:r>
    </w:p>
    <w:p w14:paraId="3962982E" w14:textId="476EE929" w:rsidR="00A26E8A" w:rsidRPr="00FC0C78" w:rsidRDefault="00A26E8A" w:rsidP="00200F7B">
      <w:pPr>
        <w:pStyle w:val="Para"/>
        <w:numPr>
          <w:ilvl w:val="0"/>
          <w:numId w:val="130"/>
        </w:numPr>
        <w:tabs>
          <w:tab w:val="left" w:pos="1134"/>
        </w:tabs>
        <w:spacing w:line="240" w:lineRule="auto"/>
        <w:rPr>
          <w:rFonts w:cs="Arial"/>
          <w:sz w:val="22"/>
          <w:szCs w:val="22"/>
        </w:rPr>
      </w:pPr>
      <w:r>
        <w:rPr>
          <w:sz w:val="22"/>
          <w:u w:val="single"/>
        </w:rPr>
        <w:t>Ayant examiné</w:t>
      </w:r>
      <w:r>
        <w:rPr>
          <w:sz w:val="22"/>
        </w:rPr>
        <w:t xml:space="preserve"> le document LHE/25/20.COM/6.a,</w:t>
      </w:r>
    </w:p>
    <w:p w14:paraId="1674F9B3" w14:textId="34D6C3AC" w:rsidR="00A26E8A" w:rsidRPr="00E96786" w:rsidRDefault="00A26E8A" w:rsidP="00200F7B">
      <w:pPr>
        <w:pStyle w:val="Para"/>
        <w:numPr>
          <w:ilvl w:val="0"/>
          <w:numId w:val="130"/>
        </w:numPr>
        <w:tabs>
          <w:tab w:val="left" w:pos="1134"/>
        </w:tabs>
        <w:spacing w:line="240" w:lineRule="auto"/>
        <w:rPr>
          <w:rFonts w:cs="Arial"/>
          <w:sz w:val="22"/>
          <w:szCs w:val="22"/>
        </w:rPr>
      </w:pPr>
      <w:r>
        <w:rPr>
          <w:sz w:val="22"/>
          <w:u w:val="single"/>
        </w:rPr>
        <w:t>Rappelant</w:t>
      </w:r>
      <w:r>
        <w:rPr>
          <w:sz w:val="22"/>
        </w:rPr>
        <w:t xml:space="preserve"> le chapitre V des Directives opérationnelles et ses décisions </w:t>
      </w:r>
      <w:hyperlink r:id="rId73" w:history="1">
        <w:r>
          <w:rPr>
            <w:rStyle w:val="Hyperlink"/>
            <w:sz w:val="22"/>
          </w:rPr>
          <w:t>7.COM 8,3</w:t>
        </w:r>
      </w:hyperlink>
      <w:r>
        <w:rPr>
          <w:sz w:val="22"/>
        </w:rPr>
        <w:t xml:space="preserve">, </w:t>
      </w:r>
      <w:hyperlink r:id="rId74" w:history="1">
        <w:r>
          <w:rPr>
            <w:rStyle w:val="Hyperlink"/>
            <w:sz w:val="22"/>
          </w:rPr>
          <w:t>12.COM 8.c.10</w:t>
        </w:r>
      </w:hyperlink>
      <w:r>
        <w:rPr>
          <w:sz w:val="22"/>
        </w:rPr>
        <w:t xml:space="preserve"> et </w:t>
      </w:r>
      <w:hyperlink r:id="rId75" w:history="1">
        <w:r>
          <w:rPr>
            <w:rStyle w:val="Hyperlink"/>
            <w:sz w:val="22"/>
          </w:rPr>
          <w:t>16.COM 7.a.15</w:t>
        </w:r>
      </w:hyperlink>
      <w:r>
        <w:rPr>
          <w:sz w:val="22"/>
        </w:rPr>
        <w:t>,</w:t>
      </w:r>
    </w:p>
    <w:p w14:paraId="209C0B77" w14:textId="6B9012CF" w:rsidR="00A26E8A" w:rsidRPr="00E96786" w:rsidRDefault="00A26E8A" w:rsidP="00200F7B">
      <w:pPr>
        <w:pStyle w:val="Para"/>
        <w:numPr>
          <w:ilvl w:val="0"/>
          <w:numId w:val="130"/>
        </w:numPr>
        <w:tabs>
          <w:tab w:val="left" w:pos="1134"/>
        </w:tabs>
        <w:spacing w:line="240" w:lineRule="auto"/>
        <w:rPr>
          <w:rFonts w:cs="Arial"/>
          <w:sz w:val="22"/>
          <w:szCs w:val="22"/>
        </w:rPr>
      </w:pPr>
      <w:r>
        <w:rPr>
          <w:sz w:val="22"/>
          <w:u w:val="single"/>
        </w:rPr>
        <w:t>Remercie</w:t>
      </w:r>
      <w:r>
        <w:rPr>
          <w:sz w:val="22"/>
        </w:rPr>
        <w:t xml:space="preserve"> l</w:t>
      </w:r>
      <w:r w:rsidR="00C93212">
        <w:rPr>
          <w:sz w:val="22"/>
        </w:rPr>
        <w:t>’</w:t>
      </w:r>
      <w:r>
        <w:rPr>
          <w:sz w:val="22"/>
        </w:rPr>
        <w:t>Indonésie d</w:t>
      </w:r>
      <w:r w:rsidR="00C93212">
        <w:rPr>
          <w:sz w:val="22"/>
        </w:rPr>
        <w:t>’</w:t>
      </w:r>
      <w:r>
        <w:rPr>
          <w:sz w:val="22"/>
        </w:rPr>
        <w:t>avoir soumis, dans les délais, son troisième rapport sur l</w:t>
      </w:r>
      <w:r w:rsidR="00C93212">
        <w:rPr>
          <w:sz w:val="22"/>
        </w:rPr>
        <w:t>’</w:t>
      </w:r>
      <w:r>
        <w:rPr>
          <w:sz w:val="22"/>
        </w:rPr>
        <w:t>état de l</w:t>
      </w:r>
      <w:r w:rsidR="00C93212">
        <w:rPr>
          <w:sz w:val="22"/>
        </w:rPr>
        <w:t>’</w:t>
      </w:r>
      <w:r>
        <w:rPr>
          <w:sz w:val="22"/>
        </w:rPr>
        <w:t>élément « Le noken, sac multifonctionnel noué ou tissé, artisanat du peuple de Papouasie », inscrit en 2012 sur la Liste du patrimoine culturel immatériel nécessitant une sauvegarde urgente ;</w:t>
      </w:r>
    </w:p>
    <w:p w14:paraId="172F2DE9" w14:textId="7DB6F182" w:rsidR="00612A70" w:rsidRDefault="00A26E8A" w:rsidP="00200F7B">
      <w:pPr>
        <w:pStyle w:val="Para"/>
        <w:numPr>
          <w:ilvl w:val="0"/>
          <w:numId w:val="130"/>
        </w:numPr>
        <w:tabs>
          <w:tab w:val="left" w:pos="1134"/>
        </w:tabs>
        <w:spacing w:line="240" w:lineRule="auto"/>
        <w:rPr>
          <w:rFonts w:cs="Arial"/>
          <w:sz w:val="22"/>
          <w:szCs w:val="22"/>
        </w:rPr>
      </w:pPr>
      <w:r>
        <w:rPr>
          <w:sz w:val="22"/>
          <w:u w:val="single"/>
        </w:rPr>
        <w:t>Prend note</w:t>
      </w:r>
      <w:r>
        <w:rPr>
          <w:sz w:val="22"/>
        </w:rPr>
        <w:t xml:space="preserve"> des efforts continus déployés pour sauvegarder l</w:t>
      </w:r>
      <w:r w:rsidR="00C93212">
        <w:rPr>
          <w:sz w:val="22"/>
        </w:rPr>
        <w:t>’</w:t>
      </w:r>
      <w:r>
        <w:rPr>
          <w:sz w:val="22"/>
        </w:rPr>
        <w:t>élément, notamment en renforçant sa valeur économique et en élargissant les possibilités économiques créatives pour les praticiens, en particulier les femmes, en renforçant l</w:t>
      </w:r>
      <w:r w:rsidR="00C93212">
        <w:rPr>
          <w:sz w:val="22"/>
        </w:rPr>
        <w:t>’</w:t>
      </w:r>
      <w:r>
        <w:rPr>
          <w:sz w:val="22"/>
        </w:rPr>
        <w:t>engagement de la communauté dans l</w:t>
      </w:r>
      <w:r w:rsidR="00C93212">
        <w:rPr>
          <w:sz w:val="22"/>
        </w:rPr>
        <w:t>’</w:t>
      </w:r>
      <w:r>
        <w:rPr>
          <w:sz w:val="22"/>
        </w:rPr>
        <w:t>éducation et la formation ainsi qu</w:t>
      </w:r>
      <w:r w:rsidR="00C93212">
        <w:rPr>
          <w:sz w:val="22"/>
        </w:rPr>
        <w:t>’</w:t>
      </w:r>
      <w:r>
        <w:rPr>
          <w:sz w:val="22"/>
        </w:rPr>
        <w:t>en promouvant la biodiversité et les connaissances traditionnelles grâce au développement de l</w:t>
      </w:r>
      <w:r w:rsidR="00C93212">
        <w:rPr>
          <w:sz w:val="22"/>
        </w:rPr>
        <w:t>’</w:t>
      </w:r>
      <w:r>
        <w:rPr>
          <w:sz w:val="22"/>
        </w:rPr>
        <w:t>Arboretum de plantes d</w:t>
      </w:r>
      <w:r w:rsidR="00CB39F6">
        <w:rPr>
          <w:sz w:val="22"/>
        </w:rPr>
        <w:t>u</w:t>
      </w:r>
      <w:r>
        <w:rPr>
          <w:sz w:val="22"/>
        </w:rPr>
        <w:t xml:space="preserve"> </w:t>
      </w:r>
      <w:r w:rsidR="00CB39F6">
        <w:rPr>
          <w:sz w:val="22"/>
        </w:rPr>
        <w:t xml:space="preserve">noken de </w:t>
      </w:r>
      <w:r>
        <w:rPr>
          <w:sz w:val="22"/>
        </w:rPr>
        <w:t>Papouasie et aux initiatives de conservation qui y sont liées ;</w:t>
      </w:r>
    </w:p>
    <w:p w14:paraId="3C033E08" w14:textId="5D3AE8A9" w:rsidR="00144628" w:rsidRPr="00E96786" w:rsidRDefault="00144628" w:rsidP="00200F7B">
      <w:pPr>
        <w:pStyle w:val="Para"/>
        <w:numPr>
          <w:ilvl w:val="0"/>
          <w:numId w:val="130"/>
        </w:numPr>
        <w:tabs>
          <w:tab w:val="left" w:pos="1134"/>
        </w:tabs>
        <w:spacing w:line="240" w:lineRule="auto"/>
      </w:pPr>
      <w:r>
        <w:rPr>
          <w:sz w:val="22"/>
          <w:u w:val="single"/>
        </w:rPr>
        <w:t>En outre, prend note</w:t>
      </w:r>
      <w:r>
        <w:rPr>
          <w:sz w:val="22"/>
        </w:rPr>
        <w:t xml:space="preserve"> de l</w:t>
      </w:r>
      <w:r w:rsidR="00C93212">
        <w:rPr>
          <w:sz w:val="22"/>
        </w:rPr>
        <w:t>’</w:t>
      </w:r>
      <w:r>
        <w:rPr>
          <w:sz w:val="22"/>
        </w:rPr>
        <w:t>impact des efforts intensifs de commercialisation concernant l</w:t>
      </w:r>
      <w:r w:rsidR="00C93212">
        <w:rPr>
          <w:sz w:val="22"/>
        </w:rPr>
        <w:t>’</w:t>
      </w:r>
      <w:r>
        <w:rPr>
          <w:sz w:val="22"/>
        </w:rPr>
        <w:t>élément et rappelle l</w:t>
      </w:r>
      <w:r w:rsidR="00C93212">
        <w:rPr>
          <w:sz w:val="22"/>
        </w:rPr>
        <w:t>’</w:t>
      </w:r>
      <w:r>
        <w:rPr>
          <w:sz w:val="22"/>
        </w:rPr>
        <w:t>importance de surveiller l</w:t>
      </w:r>
      <w:r w:rsidR="00C93212">
        <w:rPr>
          <w:sz w:val="22"/>
        </w:rPr>
        <w:t>’</w:t>
      </w:r>
      <w:r>
        <w:rPr>
          <w:sz w:val="22"/>
        </w:rPr>
        <w:t>impact de cette commercialisation afin d</w:t>
      </w:r>
      <w:r w:rsidR="00C93212">
        <w:rPr>
          <w:sz w:val="22"/>
        </w:rPr>
        <w:t>’</w:t>
      </w:r>
      <w:r>
        <w:rPr>
          <w:sz w:val="22"/>
        </w:rPr>
        <w:t>éviter toute décontextualisation ;</w:t>
      </w:r>
    </w:p>
    <w:p w14:paraId="1D7099FE" w14:textId="6C5B02C2" w:rsidR="00A26E8A" w:rsidRPr="00E96786" w:rsidRDefault="00612A70" w:rsidP="00200F7B">
      <w:pPr>
        <w:pStyle w:val="Para"/>
        <w:numPr>
          <w:ilvl w:val="0"/>
          <w:numId w:val="130"/>
        </w:numPr>
        <w:tabs>
          <w:tab w:val="left" w:pos="1134"/>
        </w:tabs>
        <w:spacing w:line="240" w:lineRule="auto"/>
        <w:rPr>
          <w:rFonts w:cs="Arial"/>
          <w:sz w:val="22"/>
          <w:szCs w:val="22"/>
        </w:rPr>
      </w:pPr>
      <w:r>
        <w:rPr>
          <w:sz w:val="22"/>
          <w:u w:val="single"/>
        </w:rPr>
        <w:t>Reconnaît</w:t>
      </w:r>
      <w:r>
        <w:rPr>
          <w:sz w:val="22"/>
        </w:rPr>
        <w:t xml:space="preserve"> la coopération forte entre les praticiens, les communautés locales, les organisations gouvernementales et non gouvernementales, les institutions éducatives et culturelles et le secteur privé pour la sauvegarde de l</w:t>
      </w:r>
      <w:r w:rsidR="00C93212">
        <w:rPr>
          <w:sz w:val="22"/>
        </w:rPr>
        <w:t>’</w:t>
      </w:r>
      <w:r>
        <w:rPr>
          <w:sz w:val="22"/>
        </w:rPr>
        <w:t>élément ;</w:t>
      </w:r>
    </w:p>
    <w:p w14:paraId="03D05CE0" w14:textId="6C9BE863" w:rsidR="00A26E8A" w:rsidRPr="00E96786" w:rsidRDefault="00A26E8A" w:rsidP="00200F7B">
      <w:pPr>
        <w:pStyle w:val="Para"/>
        <w:numPr>
          <w:ilvl w:val="0"/>
          <w:numId w:val="130"/>
        </w:numPr>
        <w:tabs>
          <w:tab w:val="left" w:pos="1134"/>
        </w:tabs>
        <w:spacing w:line="240" w:lineRule="auto"/>
        <w:rPr>
          <w:rFonts w:cs="Arial"/>
          <w:sz w:val="22"/>
          <w:szCs w:val="22"/>
        </w:rPr>
      </w:pPr>
      <w:r>
        <w:rPr>
          <w:sz w:val="22"/>
          <w:u w:val="single"/>
        </w:rPr>
        <w:t>Encourage</w:t>
      </w:r>
      <w:r>
        <w:rPr>
          <w:sz w:val="22"/>
        </w:rPr>
        <w:t xml:space="preserve"> l</w:t>
      </w:r>
      <w:r w:rsidR="00C93212">
        <w:rPr>
          <w:sz w:val="22"/>
        </w:rPr>
        <w:t>’</w:t>
      </w:r>
      <w:r>
        <w:rPr>
          <w:sz w:val="22"/>
        </w:rPr>
        <w:t>État partie à poursuivre ses efforts de sensibilisation à l</w:t>
      </w:r>
      <w:r w:rsidR="00C93212">
        <w:rPr>
          <w:sz w:val="22"/>
        </w:rPr>
        <w:t>’</w:t>
      </w:r>
      <w:r>
        <w:rPr>
          <w:sz w:val="22"/>
        </w:rPr>
        <w:t xml:space="preserve">importance culturelle du </w:t>
      </w:r>
      <w:r w:rsidR="00315D7C">
        <w:rPr>
          <w:sz w:val="22"/>
        </w:rPr>
        <w:t>n</w:t>
      </w:r>
      <w:r>
        <w:rPr>
          <w:sz w:val="22"/>
        </w:rPr>
        <w:t>oken, à mener des recherches et des inventaires exhaustifs, à renforcer les capacités des praticiens et des autres parties prenantes, ainsi qu</w:t>
      </w:r>
      <w:r w:rsidR="00C93212">
        <w:rPr>
          <w:sz w:val="22"/>
        </w:rPr>
        <w:t>’</w:t>
      </w:r>
      <w:r>
        <w:rPr>
          <w:sz w:val="22"/>
        </w:rPr>
        <w:t>à garantir un accès durable aux matières premières ;</w:t>
      </w:r>
    </w:p>
    <w:p w14:paraId="6B87A84E" w14:textId="12422C8B" w:rsidR="00A26E8A" w:rsidRPr="00E96786" w:rsidRDefault="00A26E8A" w:rsidP="00200F7B">
      <w:pPr>
        <w:pStyle w:val="Para"/>
        <w:numPr>
          <w:ilvl w:val="0"/>
          <w:numId w:val="130"/>
        </w:numPr>
        <w:tabs>
          <w:tab w:val="left" w:pos="1134"/>
        </w:tabs>
        <w:spacing w:line="240" w:lineRule="auto"/>
        <w:rPr>
          <w:rFonts w:cs="Arial"/>
          <w:sz w:val="22"/>
          <w:szCs w:val="22"/>
        </w:rPr>
      </w:pPr>
      <w:r>
        <w:rPr>
          <w:sz w:val="22"/>
          <w:u w:val="single"/>
        </w:rPr>
        <w:t>Encourage en outre</w:t>
      </w:r>
      <w:r>
        <w:rPr>
          <w:sz w:val="22"/>
        </w:rPr>
        <w:t xml:space="preserve"> l</w:t>
      </w:r>
      <w:r w:rsidR="00C93212">
        <w:rPr>
          <w:sz w:val="22"/>
        </w:rPr>
        <w:t>’</w:t>
      </w:r>
      <w:r>
        <w:rPr>
          <w:sz w:val="22"/>
        </w:rPr>
        <w:t>État partie à créer un centre d</w:t>
      </w:r>
      <w:r w:rsidR="00C93212">
        <w:rPr>
          <w:sz w:val="22"/>
        </w:rPr>
        <w:t>’</w:t>
      </w:r>
      <w:r>
        <w:rPr>
          <w:sz w:val="22"/>
        </w:rPr>
        <w:t xml:space="preserve">apprentissage et une pépinière de plantes </w:t>
      </w:r>
      <w:r w:rsidR="00995D4D">
        <w:rPr>
          <w:sz w:val="22"/>
        </w:rPr>
        <w:t xml:space="preserve">du </w:t>
      </w:r>
      <w:r w:rsidR="00315D7C">
        <w:rPr>
          <w:sz w:val="22"/>
        </w:rPr>
        <w:t>n</w:t>
      </w:r>
      <w:r>
        <w:rPr>
          <w:sz w:val="22"/>
        </w:rPr>
        <w:t>oken ainsi qu</w:t>
      </w:r>
      <w:r w:rsidR="00C93212">
        <w:rPr>
          <w:sz w:val="22"/>
        </w:rPr>
        <w:t>’</w:t>
      </w:r>
      <w:r>
        <w:rPr>
          <w:sz w:val="22"/>
        </w:rPr>
        <w:t>à promouvoir ces initiatives en tant que modèles d</w:t>
      </w:r>
      <w:r w:rsidR="00C93212">
        <w:rPr>
          <w:sz w:val="22"/>
        </w:rPr>
        <w:t>’</w:t>
      </w:r>
      <w:r>
        <w:rPr>
          <w:sz w:val="22"/>
        </w:rPr>
        <w:t>utilisation durable des ressources pour sauvegarder l</w:t>
      </w:r>
      <w:r w:rsidR="00C93212">
        <w:rPr>
          <w:sz w:val="22"/>
        </w:rPr>
        <w:t>’</w:t>
      </w:r>
      <w:r>
        <w:rPr>
          <w:sz w:val="22"/>
        </w:rPr>
        <w:t>élément, à reconnaître les praticiens dévoués par le biais d</w:t>
      </w:r>
      <w:r w:rsidR="00C93212">
        <w:rPr>
          <w:sz w:val="22"/>
        </w:rPr>
        <w:t>’</w:t>
      </w:r>
      <w:r>
        <w:rPr>
          <w:sz w:val="22"/>
        </w:rPr>
        <w:t>un programme d</w:t>
      </w:r>
      <w:r w:rsidR="00C93212">
        <w:rPr>
          <w:sz w:val="22"/>
        </w:rPr>
        <w:t>’</w:t>
      </w:r>
      <w:r>
        <w:rPr>
          <w:sz w:val="22"/>
        </w:rPr>
        <w:t>appréciation officiel, et à développer et affiner une politique et un cadre juridique pour la sauvegarde de l</w:t>
      </w:r>
      <w:r w:rsidR="00C93212">
        <w:rPr>
          <w:sz w:val="22"/>
        </w:rPr>
        <w:t>’</w:t>
      </w:r>
      <w:r>
        <w:rPr>
          <w:sz w:val="22"/>
        </w:rPr>
        <w:t>élément.</w:t>
      </w:r>
    </w:p>
    <w:p w14:paraId="1BFCC524" w14:textId="0629E3AB" w:rsidR="00A26E8A" w:rsidRPr="00711A28" w:rsidRDefault="00A26E8A" w:rsidP="00AC1BC7">
      <w:pPr>
        <w:pStyle w:val="Para"/>
        <w:numPr>
          <w:ilvl w:val="0"/>
          <w:numId w:val="0"/>
        </w:numPr>
        <w:tabs>
          <w:tab w:val="left" w:pos="1134"/>
        </w:tabs>
        <w:spacing w:line="240" w:lineRule="auto"/>
        <w:ind w:left="502" w:hanging="360"/>
      </w:pPr>
    </w:p>
    <w:sectPr w:rsidR="00A26E8A" w:rsidRPr="00711A28" w:rsidSect="00655736">
      <w:headerReference w:type="even" r:id="rId76"/>
      <w:headerReference w:type="default" r:id="rId77"/>
      <w:headerReference w:type="first" r:id="rId7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74E8" w14:textId="77777777" w:rsidR="00D26F93" w:rsidRDefault="00D26F93" w:rsidP="00655736">
      <w:r>
        <w:separator/>
      </w:r>
    </w:p>
  </w:endnote>
  <w:endnote w:type="continuationSeparator" w:id="0">
    <w:p w14:paraId="0FE0F725" w14:textId="77777777" w:rsidR="00D26F93" w:rsidRDefault="00D26F9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785F" w14:textId="77777777" w:rsidR="00D26F93" w:rsidRDefault="00D26F93" w:rsidP="00655736">
      <w:r>
        <w:separator/>
      </w:r>
    </w:p>
  </w:footnote>
  <w:footnote w:type="continuationSeparator" w:id="0">
    <w:p w14:paraId="0B8E2C34" w14:textId="77777777" w:rsidR="00D26F93" w:rsidRDefault="00D26F93" w:rsidP="00655736">
      <w:r>
        <w:continuationSeparator/>
      </w:r>
    </w:p>
  </w:footnote>
  <w:footnote w:id="1">
    <w:p w14:paraId="7FAB199D" w14:textId="0EB9D6F3" w:rsidR="00CC5CDD" w:rsidRPr="00454FBC" w:rsidRDefault="00CC5CDD" w:rsidP="00DE5410">
      <w:pPr>
        <w:pStyle w:val="FootnoteText"/>
        <w:spacing w:after="60"/>
        <w:jc w:val="both"/>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Le premier cycle de rapports périodiques sur l'état des éléments inscrits sur la </w:t>
      </w:r>
      <w:r w:rsidR="00E049B5">
        <w:rPr>
          <w:rFonts w:ascii="Arial" w:hAnsi="Arial"/>
          <w:sz w:val="18"/>
        </w:rPr>
        <w:t>L</w:t>
      </w:r>
      <w:r>
        <w:rPr>
          <w:rFonts w:ascii="Arial" w:hAnsi="Arial"/>
          <w:sz w:val="18"/>
        </w:rPr>
        <w:t>iste de sauvegarde urgente a commencé avec les éléments inscrits en 2009. Les premiers rapports ont été soumis en décembre 2013 et examinés par la neuvième session du Comité en 2014.</w:t>
      </w:r>
    </w:p>
  </w:footnote>
  <w:footnote w:id="2">
    <w:p w14:paraId="62028E4D" w14:textId="3E492ADC" w:rsidR="00CC5CDD" w:rsidRPr="00454FBC" w:rsidRDefault="00CC5CDD" w:rsidP="00DE5410">
      <w:pPr>
        <w:pStyle w:val="FootnoteText"/>
        <w:spacing w:after="60"/>
        <w:jc w:val="both"/>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Pr>
          <w:rFonts w:ascii="Arial" w:hAnsi="Arial"/>
          <w:snapToGrid w:val="0"/>
          <w:sz w:val="18"/>
        </w:rPr>
        <w:t>Le Secrétariat a enregistré et accusé réception des huit rapports soumis pour le cycle 2025, conformément au paragraphe 165 des Directives opérationnelles. Trois rapports ont été soumis à l'aide de l'interface en ligne.</w:t>
      </w:r>
      <w:r>
        <w:rPr>
          <w:rFonts w:ascii="Arial" w:hAnsi="Arial"/>
          <w:sz w:val="18"/>
        </w:rPr>
        <w:t xml:space="preserve"> </w:t>
      </w:r>
      <w:r>
        <w:rPr>
          <w:rFonts w:ascii="Arial" w:hAnsi="Arial"/>
          <w:snapToGrid w:val="0"/>
          <w:sz w:val="18"/>
        </w:rPr>
        <w:t>Cinq rapports ont été soumis avant la date limite statutaire du 15 décembre 2025. Le Secrétariat a contacté chacun des États parties soumissionnaires dont les rapports étaient en retard, afin de leur apporter son soutien. Trois rapports supplémentaires ont été soumis au 13 février 2025.</w:t>
      </w:r>
    </w:p>
  </w:footnote>
  <w:footnote w:id="3">
    <w:p w14:paraId="766607E1" w14:textId="77777777" w:rsidR="007C231B" w:rsidRPr="00BE6A4D" w:rsidRDefault="007C231B" w:rsidP="007C231B">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Comme demandé lors de la quinzième session du Comité (décision </w:t>
      </w:r>
      <w:hyperlink r:id="rId1" w:history="1">
        <w:r>
          <w:rPr>
            <w:rStyle w:val="Hyperlink"/>
            <w:rFonts w:ascii="Arial" w:hAnsi="Arial"/>
            <w:sz w:val="18"/>
          </w:rPr>
          <w:t>15.COM 8.a.3</w:t>
        </w:r>
      </w:hyperlink>
      <w:r>
        <w:rPr>
          <w:rFonts w:ascii="Arial" w:hAnsi="Arial"/>
          <w:sz w:val="18"/>
        </w:rPr>
        <w:t xml:space="preserve">), le premier rapport biennal sur l'état de l'élément a été examiné par la dix-huitième session du Comité en 2023 (décision </w:t>
      </w:r>
      <w:hyperlink r:id="rId2" w:history="1">
        <w:r>
          <w:rPr>
            <w:rStyle w:val="Hyperlink"/>
            <w:rFonts w:ascii="Arial" w:hAnsi="Arial"/>
            <w:sz w:val="18"/>
          </w:rPr>
          <w:t>18.COM 7.a.5</w:t>
        </w:r>
      </w:hyperlink>
      <w:r>
        <w:rPr>
          <w:rFonts w:ascii="Arial" w:hAnsi="Arial"/>
          <w:sz w:val="18"/>
        </w:rPr>
        <w:t>).</w:t>
      </w:r>
    </w:p>
  </w:footnote>
  <w:footnote w:id="4">
    <w:p w14:paraId="1758B1E3" w14:textId="60B5D8B0" w:rsidR="00A179F0" w:rsidRPr="001A5B04" w:rsidRDefault="00A179F0" w:rsidP="001A5B04">
      <w:pPr>
        <w:pStyle w:val="FootnoteText"/>
        <w:jc w:val="both"/>
        <w:rPr>
          <w:rFonts w:asciiTheme="minorBidi" w:hAnsiTheme="minorBidi" w:cstheme="minorBidi"/>
          <w:sz w:val="18"/>
          <w:szCs w:val="18"/>
        </w:rPr>
      </w:pPr>
      <w:r w:rsidRPr="001A5B04">
        <w:rPr>
          <w:rStyle w:val="FootnoteReference"/>
          <w:rFonts w:asciiTheme="minorBidi" w:hAnsiTheme="minorBidi" w:cstheme="minorBidi"/>
          <w:sz w:val="18"/>
          <w:szCs w:val="18"/>
        </w:rPr>
        <w:footnoteRef/>
      </w:r>
      <w:r w:rsidRPr="001A5B04">
        <w:rPr>
          <w:rFonts w:asciiTheme="minorBidi" w:hAnsiTheme="minorBidi" w:cstheme="minorBidi"/>
          <w:sz w:val="18"/>
        </w:rPr>
        <w:t xml:space="preserve"> Le deuxième rapport sur l'état de cet élément était attendu pour le 15 décembre 2020 et le troisième pour le 15 décembre 2024, conformément au calendrier établi.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50697D9" w:rsidR="00D95C4C" w:rsidRPr="00C23A97" w:rsidRDefault="00C5776D" w:rsidP="00C5776D">
    <w:pPr>
      <w:pStyle w:val="Header"/>
      <w:rPr>
        <w:rFonts w:ascii="Arial" w:hAnsi="Arial" w:cs="Arial"/>
      </w:rPr>
    </w:pPr>
    <w:r>
      <w:rPr>
        <w:rFonts w:ascii="Arial" w:hAnsi="Arial"/>
        <w:sz w:val="20"/>
      </w:rPr>
      <w:t xml:space="preserve">LHE/25/20.COM/6.a –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3D25B997" w:rsidR="00D95C4C" w:rsidRPr="0063300C" w:rsidRDefault="00C5776D" w:rsidP="00C5776D">
    <w:pPr>
      <w:pStyle w:val="Header"/>
      <w:jc w:val="right"/>
      <w:rPr>
        <w:rFonts w:ascii="Arial" w:hAnsi="Arial" w:cs="Arial"/>
      </w:rPr>
    </w:pPr>
    <w:r>
      <w:rPr>
        <w:rFonts w:ascii="Arial" w:hAnsi="Arial"/>
        <w:sz w:val="20"/>
      </w:rPr>
      <w:t>LHE/2</w:t>
    </w:r>
    <w:r w:rsidR="0012152B">
      <w:rPr>
        <w:rFonts w:ascii="Arial" w:hAnsi="Arial"/>
        <w:sz w:val="20"/>
      </w:rPr>
      <w:t>5</w:t>
    </w:r>
    <w:r>
      <w:rPr>
        <w:rFonts w:ascii="Arial" w:hAnsi="Arial"/>
        <w:sz w:val="20"/>
      </w:rPr>
      <w:t>/</w:t>
    </w:r>
    <w:r w:rsidR="0012152B">
      <w:rPr>
        <w:rFonts w:ascii="Arial" w:hAnsi="Arial"/>
        <w:sz w:val="20"/>
      </w:rPr>
      <w:t>20</w:t>
    </w:r>
    <w:r>
      <w:rPr>
        <w:rFonts w:ascii="Arial" w:hAnsi="Arial"/>
        <w:sz w:val="20"/>
      </w:rPr>
      <w:t xml:space="preserve">.COM/6.a –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D684229" w:rsidR="00D95C4C" w:rsidRPr="00E95AE2" w:rsidRDefault="00711A28">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53BF161B" wp14:editId="7443140E">
          <wp:simplePos x="0" y="0"/>
          <wp:positionH relativeFrom="margin">
            <wp:posOffset>0</wp:posOffset>
          </wp:positionH>
          <wp:positionV relativeFrom="paragraph">
            <wp:posOffset>160020</wp:posOffset>
          </wp:positionV>
          <wp:extent cx="1710000" cy="1436138"/>
          <wp:effectExtent l="0" t="0" r="508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C97EE" w14:textId="77777777" w:rsidR="00711A28" w:rsidRPr="00C318BF" w:rsidRDefault="00711A28" w:rsidP="00711A28">
    <w:pPr>
      <w:pStyle w:val="Header"/>
      <w:spacing w:after="520"/>
      <w:jc w:val="right"/>
      <w:rPr>
        <w:rFonts w:ascii="Arial" w:hAnsi="Arial" w:cs="Arial"/>
        <w:b/>
        <w:sz w:val="44"/>
        <w:szCs w:val="44"/>
        <w:lang w:val="pt-PT"/>
      </w:rPr>
    </w:pPr>
    <w:r>
      <w:rPr>
        <w:rFonts w:ascii="Arial" w:hAnsi="Arial" w:cs="Arial"/>
        <w:b/>
        <w:sz w:val="44"/>
        <w:szCs w:val="44"/>
        <w:lang w:val="pt-PT"/>
      </w:rPr>
      <w:t>20</w:t>
    </w:r>
    <w:r w:rsidRPr="00C318BF">
      <w:rPr>
        <w:rFonts w:ascii="Arial" w:hAnsi="Arial" w:cs="Arial"/>
        <w:b/>
        <w:sz w:val="44"/>
        <w:szCs w:val="44"/>
        <w:lang w:val="pt-PT"/>
      </w:rPr>
      <w:t xml:space="preserve"> COM</w:t>
    </w:r>
  </w:p>
  <w:p w14:paraId="393D57CF" w14:textId="2FF529ED" w:rsidR="00711A28" w:rsidRPr="00C318BF" w:rsidRDefault="00711A28" w:rsidP="00711A28">
    <w:pPr>
      <w:jc w:val="right"/>
      <w:rPr>
        <w:rFonts w:ascii="Arial" w:hAnsi="Arial" w:cs="Arial"/>
        <w:b/>
        <w:sz w:val="22"/>
        <w:szCs w:val="22"/>
        <w:lang w:val="pt-PT"/>
      </w:rPr>
    </w:pPr>
    <w:r w:rsidRPr="00C318BF">
      <w:rPr>
        <w:rFonts w:ascii="Arial" w:hAnsi="Arial" w:cs="Arial"/>
        <w:b/>
        <w:sz w:val="22"/>
        <w:szCs w:val="22"/>
        <w:lang w:val="pt-PT"/>
      </w:rPr>
      <w:t>LHE/</w:t>
    </w:r>
    <w:r>
      <w:rPr>
        <w:rFonts w:ascii="Arial" w:hAnsi="Arial" w:cs="Arial"/>
        <w:b/>
        <w:sz w:val="22"/>
        <w:szCs w:val="22"/>
        <w:lang w:val="pt-PT"/>
      </w:rPr>
      <w:t>25</w:t>
    </w:r>
    <w:r w:rsidRPr="00C318BF">
      <w:rPr>
        <w:rFonts w:ascii="Arial" w:hAnsi="Arial" w:cs="Arial"/>
        <w:b/>
        <w:sz w:val="22"/>
        <w:szCs w:val="22"/>
        <w:lang w:val="pt-PT"/>
      </w:rPr>
      <w:t>/</w:t>
    </w:r>
    <w:r>
      <w:rPr>
        <w:rFonts w:ascii="Arial" w:hAnsi="Arial" w:cs="Arial"/>
        <w:b/>
        <w:sz w:val="22"/>
        <w:szCs w:val="22"/>
        <w:lang w:val="pt-PT"/>
      </w:rPr>
      <w:t>20</w:t>
    </w:r>
    <w:r w:rsidRPr="00C318BF">
      <w:rPr>
        <w:rFonts w:ascii="Arial" w:hAnsi="Arial" w:cs="Arial"/>
        <w:b/>
        <w:sz w:val="22"/>
        <w:szCs w:val="22"/>
        <w:lang w:val="pt-PT"/>
      </w:rPr>
      <w:t>.COM/</w:t>
    </w:r>
    <w:r w:rsidR="00A9428F">
      <w:rPr>
        <w:rFonts w:ascii="Arial" w:hAnsi="Arial" w:cs="Arial"/>
        <w:b/>
        <w:sz w:val="22"/>
        <w:szCs w:val="22"/>
        <w:lang w:val="pt-PT"/>
      </w:rPr>
      <w:t>6.a</w:t>
    </w:r>
  </w:p>
  <w:p w14:paraId="015E6B95" w14:textId="26672BF3" w:rsidR="00711A28" w:rsidRPr="00C318BF" w:rsidRDefault="00711A28" w:rsidP="00711A28">
    <w:pPr>
      <w:jc w:val="right"/>
      <w:rPr>
        <w:rFonts w:ascii="Arial" w:eastAsiaTheme="minorEastAsia" w:hAnsi="Arial" w:cs="Arial"/>
        <w:b/>
        <w:sz w:val="22"/>
        <w:szCs w:val="22"/>
        <w:lang w:val="pt-PT" w:eastAsia="ko-KR"/>
      </w:rPr>
    </w:pPr>
    <w:r w:rsidRPr="00C318BF">
      <w:rPr>
        <w:rFonts w:ascii="Arial" w:hAnsi="Arial" w:cs="Arial"/>
        <w:b/>
        <w:sz w:val="22"/>
        <w:szCs w:val="22"/>
        <w:lang w:val="pt-PT"/>
      </w:rPr>
      <w:t xml:space="preserve">Paris, le </w:t>
    </w:r>
    <w:r w:rsidR="00A9428F" w:rsidRPr="00A9428F">
      <w:rPr>
        <w:rFonts w:ascii="Arial" w:hAnsi="Arial" w:cs="Arial"/>
        <w:b/>
        <w:sz w:val="22"/>
        <w:szCs w:val="22"/>
        <w:lang w:val="pt-PT"/>
      </w:rPr>
      <w:t>10 novembre</w:t>
    </w:r>
    <w:r w:rsidRPr="009E0E64">
      <w:rPr>
        <w:rFonts w:ascii="Arial" w:hAnsi="Arial" w:cs="Arial"/>
        <w:b/>
        <w:sz w:val="22"/>
        <w:szCs w:val="22"/>
        <w:lang w:val="pt-PT"/>
      </w:rPr>
      <w:t xml:space="preserve"> </w:t>
    </w:r>
    <w:r w:rsidRPr="00C318BF">
      <w:rPr>
        <w:rFonts w:ascii="Arial" w:hAnsi="Arial" w:cs="Arial"/>
        <w:b/>
        <w:sz w:val="22"/>
        <w:szCs w:val="22"/>
        <w:lang w:val="pt-PT"/>
      </w:rPr>
      <w:t>20</w:t>
    </w:r>
    <w:r>
      <w:rPr>
        <w:rFonts w:ascii="Arial" w:hAnsi="Arial" w:cs="Arial"/>
        <w:b/>
        <w:sz w:val="22"/>
        <w:szCs w:val="22"/>
        <w:lang w:val="pt-PT"/>
      </w:rPr>
      <w:t>25</w:t>
    </w:r>
  </w:p>
  <w:p w14:paraId="1E51DC44" w14:textId="77777777" w:rsidR="00711A28" w:rsidRPr="0020150F" w:rsidRDefault="00711A28" w:rsidP="00711A28">
    <w:pPr>
      <w:spacing w:after="240"/>
      <w:jc w:val="right"/>
      <w:rPr>
        <w:rFonts w:ascii="Arial" w:hAnsi="Arial" w:cs="Arial"/>
        <w:b/>
        <w:sz w:val="22"/>
        <w:szCs w:val="22"/>
      </w:rPr>
    </w:pPr>
    <w:r w:rsidRPr="00022428">
      <w:rPr>
        <w:rFonts w:ascii="Arial" w:hAnsi="Arial" w:cs="Arial"/>
        <w:b/>
        <w:sz w:val="22"/>
        <w:szCs w:val="22"/>
      </w:rPr>
      <w:t>Original :</w:t>
    </w:r>
    <w:r>
      <w:rPr>
        <w:rFonts w:ascii="Arial" w:hAnsi="Arial" w:cs="Arial"/>
        <w:b/>
        <w:sz w:val="22"/>
        <w:szCs w:val="22"/>
      </w:rPr>
      <w:t xml:space="preserve"> anglais</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9A5"/>
    <w:multiLevelType w:val="hybridMultilevel"/>
    <w:tmpl w:val="E2F2E342"/>
    <w:lvl w:ilvl="0" w:tplc="FFFFFFFF">
      <w:start w:val="2"/>
      <w:numFmt w:val="decimal"/>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532BD"/>
    <w:multiLevelType w:val="multilevel"/>
    <w:tmpl w:val="FC6E9088"/>
    <w:lvl w:ilvl="0">
      <w:start w:val="3"/>
      <w:numFmt w:val="none"/>
      <w:lvlText w:val="C.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ED1B62"/>
    <w:multiLevelType w:val="hybridMultilevel"/>
    <w:tmpl w:val="4510FEA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594F3F"/>
    <w:multiLevelType w:val="hybridMultilevel"/>
    <w:tmpl w:val="C1E27E54"/>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14A014D"/>
    <w:multiLevelType w:val="hybridMultilevel"/>
    <w:tmpl w:val="C6A8C41A"/>
    <w:lvl w:ilvl="0" w:tplc="FB5CB93C">
      <w:start w:val="9"/>
      <w:numFmt w:val="decimal"/>
      <w:lvlText w:val="%1."/>
      <w:lvlJc w:val="left"/>
      <w:pPr>
        <w:ind w:left="720" w:hanging="360"/>
      </w:pPr>
      <w:rPr>
        <w:rFonts w:asciiTheme="minorBidi" w:hAnsiTheme="minorBidi" w:cstheme="minorBidi"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403337"/>
    <w:multiLevelType w:val="hybridMultilevel"/>
    <w:tmpl w:val="E8BC0834"/>
    <w:lvl w:ilvl="0" w:tplc="3BCA351E">
      <w:start w:val="1"/>
      <w:numFmt w:val="decimal"/>
      <w:lvlText w:val="%1."/>
      <w:lvlJc w:val="left"/>
      <w:pPr>
        <w:ind w:left="1080" w:hanging="360"/>
      </w:pPr>
      <w:rPr>
        <w:rFonts w:asciiTheme="minorBidi" w:hAnsiTheme="minorBidi"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B15582"/>
    <w:multiLevelType w:val="hybridMultilevel"/>
    <w:tmpl w:val="EF1CAD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B71679"/>
    <w:multiLevelType w:val="hybridMultilevel"/>
    <w:tmpl w:val="0B480A86"/>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40CE7015"/>
    <w:multiLevelType w:val="hybridMultilevel"/>
    <w:tmpl w:val="E3025460"/>
    <w:lvl w:ilvl="0" w:tplc="3E56DE62">
      <w:start w:val="1"/>
      <w:numFmt w:val="decimal"/>
      <w:pStyle w:val="Para"/>
      <w:lvlText w:val="%1."/>
      <w:lvlJc w:val="left"/>
      <w:pPr>
        <w:ind w:left="1123" w:hanging="360"/>
      </w:pPr>
      <w:rPr>
        <w:rFonts w:hint="default"/>
        <w:b w:val="0"/>
        <w:color w:val="auto"/>
        <w:sz w:val="22"/>
        <w:szCs w:val="22"/>
        <w:lang w:val="en-US"/>
      </w:rPr>
    </w:lvl>
    <w:lvl w:ilvl="1" w:tplc="04090019">
      <w:start w:val="1"/>
      <w:numFmt w:val="lowerLetter"/>
      <w:lvlText w:val="%2."/>
      <w:lvlJc w:val="left"/>
      <w:pPr>
        <w:ind w:left="1843" w:hanging="360"/>
      </w:pPr>
    </w:lvl>
    <w:lvl w:ilvl="2" w:tplc="0409001B">
      <w:start w:val="1"/>
      <w:numFmt w:val="lowerRoman"/>
      <w:lvlText w:val="%3."/>
      <w:lvlJc w:val="right"/>
      <w:pPr>
        <w:ind w:left="2563" w:hanging="180"/>
      </w:pPr>
    </w:lvl>
    <w:lvl w:ilvl="3" w:tplc="0409000F">
      <w:start w:val="1"/>
      <w:numFmt w:val="decimal"/>
      <w:lvlText w:val="%4."/>
      <w:lvlJc w:val="left"/>
      <w:pPr>
        <w:ind w:left="3283" w:hanging="360"/>
      </w:pPr>
    </w:lvl>
    <w:lvl w:ilvl="4" w:tplc="04090019">
      <w:start w:val="1"/>
      <w:numFmt w:val="lowerLetter"/>
      <w:lvlText w:val="%5."/>
      <w:lvlJc w:val="left"/>
      <w:pPr>
        <w:ind w:left="4003" w:hanging="360"/>
      </w:pPr>
    </w:lvl>
    <w:lvl w:ilvl="5" w:tplc="0409001B">
      <w:start w:val="1"/>
      <w:numFmt w:val="lowerRoman"/>
      <w:lvlText w:val="%6."/>
      <w:lvlJc w:val="right"/>
      <w:pPr>
        <w:ind w:left="4723" w:hanging="180"/>
      </w:pPr>
    </w:lvl>
    <w:lvl w:ilvl="6" w:tplc="0409000F">
      <w:start w:val="1"/>
      <w:numFmt w:val="decimal"/>
      <w:lvlText w:val="%7."/>
      <w:lvlJc w:val="left"/>
      <w:pPr>
        <w:ind w:left="5443" w:hanging="360"/>
      </w:pPr>
    </w:lvl>
    <w:lvl w:ilvl="7" w:tplc="04090019">
      <w:start w:val="1"/>
      <w:numFmt w:val="lowerLetter"/>
      <w:lvlText w:val="%8."/>
      <w:lvlJc w:val="left"/>
      <w:pPr>
        <w:ind w:left="6163" w:hanging="360"/>
      </w:pPr>
    </w:lvl>
    <w:lvl w:ilvl="8" w:tplc="0409001B">
      <w:start w:val="1"/>
      <w:numFmt w:val="lowerRoman"/>
      <w:lvlText w:val="%9."/>
      <w:lvlJc w:val="right"/>
      <w:pPr>
        <w:ind w:left="6883" w:hanging="180"/>
      </w:pPr>
    </w:lvl>
  </w:abstractNum>
  <w:abstractNum w:abstractNumId="13" w15:restartNumberingAfterBreak="0">
    <w:nsid w:val="45DA7F1C"/>
    <w:multiLevelType w:val="hybridMultilevel"/>
    <w:tmpl w:val="9B4E7E78"/>
    <w:lvl w:ilvl="0" w:tplc="34A2751C">
      <w:start w:val="1"/>
      <w:numFmt w:val="decimal"/>
      <w:lvlText w:val="%1."/>
      <w:lvlJc w:val="left"/>
      <w:pPr>
        <w:ind w:left="360" w:hanging="360"/>
      </w:pPr>
      <w:rPr>
        <w:rFonts w:hint="default"/>
        <w:lang w:val="fr-FR"/>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7B8305E"/>
    <w:multiLevelType w:val="hybridMultilevel"/>
    <w:tmpl w:val="7086281A"/>
    <w:lvl w:ilvl="0" w:tplc="BBDC7878">
      <w:start w:val="1"/>
      <w:numFmt w:val="decimal"/>
      <w:lvlText w:val="%1."/>
      <w:lvlJc w:val="left"/>
      <w:pPr>
        <w:ind w:left="720" w:hanging="360"/>
      </w:pPr>
    </w:lvl>
    <w:lvl w:ilvl="1" w:tplc="170C81B6">
      <w:start w:val="1"/>
      <w:numFmt w:val="decimal"/>
      <w:lvlText w:val="%2."/>
      <w:lvlJc w:val="left"/>
      <w:pPr>
        <w:ind w:left="720" w:hanging="360"/>
      </w:pPr>
    </w:lvl>
    <w:lvl w:ilvl="2" w:tplc="B6A2E90E">
      <w:start w:val="1"/>
      <w:numFmt w:val="decimal"/>
      <w:lvlText w:val="%3."/>
      <w:lvlJc w:val="left"/>
      <w:pPr>
        <w:ind w:left="720" w:hanging="360"/>
      </w:pPr>
    </w:lvl>
    <w:lvl w:ilvl="3" w:tplc="5E0A41E0">
      <w:start w:val="1"/>
      <w:numFmt w:val="decimal"/>
      <w:lvlText w:val="%4."/>
      <w:lvlJc w:val="left"/>
      <w:pPr>
        <w:ind w:left="720" w:hanging="360"/>
      </w:pPr>
    </w:lvl>
    <w:lvl w:ilvl="4" w:tplc="A238C5D8">
      <w:start w:val="1"/>
      <w:numFmt w:val="decimal"/>
      <w:lvlText w:val="%5."/>
      <w:lvlJc w:val="left"/>
      <w:pPr>
        <w:ind w:left="720" w:hanging="360"/>
      </w:pPr>
    </w:lvl>
    <w:lvl w:ilvl="5" w:tplc="8E5617BE">
      <w:start w:val="1"/>
      <w:numFmt w:val="decimal"/>
      <w:lvlText w:val="%6."/>
      <w:lvlJc w:val="left"/>
      <w:pPr>
        <w:ind w:left="720" w:hanging="360"/>
      </w:pPr>
    </w:lvl>
    <w:lvl w:ilvl="6" w:tplc="33B65F6C">
      <w:start w:val="1"/>
      <w:numFmt w:val="decimal"/>
      <w:lvlText w:val="%7."/>
      <w:lvlJc w:val="left"/>
      <w:pPr>
        <w:ind w:left="720" w:hanging="360"/>
      </w:pPr>
    </w:lvl>
    <w:lvl w:ilvl="7" w:tplc="1D5006EA">
      <w:start w:val="1"/>
      <w:numFmt w:val="decimal"/>
      <w:lvlText w:val="%8."/>
      <w:lvlJc w:val="left"/>
      <w:pPr>
        <w:ind w:left="720" w:hanging="360"/>
      </w:pPr>
    </w:lvl>
    <w:lvl w:ilvl="8" w:tplc="8E945734">
      <w:start w:val="1"/>
      <w:numFmt w:val="decimal"/>
      <w:lvlText w:val="%9."/>
      <w:lvlJc w:val="left"/>
      <w:pPr>
        <w:ind w:left="720" w:hanging="360"/>
      </w:pPr>
    </w:lvl>
  </w:abstractNum>
  <w:abstractNum w:abstractNumId="15" w15:restartNumberingAfterBreak="0">
    <w:nsid w:val="47ED11EA"/>
    <w:multiLevelType w:val="hybridMultilevel"/>
    <w:tmpl w:val="E23CB926"/>
    <w:lvl w:ilvl="0" w:tplc="E014F83E">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73646"/>
    <w:multiLevelType w:val="hybridMultilevel"/>
    <w:tmpl w:val="F6FE2324"/>
    <w:lvl w:ilvl="0" w:tplc="62F6D2B8">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492AB2"/>
    <w:multiLevelType w:val="hybridMultilevel"/>
    <w:tmpl w:val="66A2D118"/>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C9C233F"/>
    <w:multiLevelType w:val="hybridMultilevel"/>
    <w:tmpl w:val="482AC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716772">
    <w:abstractNumId w:val="4"/>
  </w:num>
  <w:num w:numId="2" w16cid:durableId="1383089948">
    <w:abstractNumId w:val="7"/>
  </w:num>
  <w:num w:numId="3" w16cid:durableId="1272324320">
    <w:abstractNumId w:val="8"/>
  </w:num>
  <w:num w:numId="4" w16cid:durableId="193202981">
    <w:abstractNumId w:val="10"/>
  </w:num>
  <w:num w:numId="5" w16cid:durableId="39518358">
    <w:abstractNumId w:val="18"/>
  </w:num>
  <w:num w:numId="6" w16cid:durableId="892541030">
    <w:abstractNumId w:val="16"/>
  </w:num>
  <w:num w:numId="7" w16cid:durableId="1917468891">
    <w:abstractNumId w:val="12"/>
    <w:lvlOverride w:ilvl="0">
      <w:startOverride w:val="1"/>
    </w:lvlOverride>
  </w:num>
  <w:num w:numId="8" w16cid:durableId="1917281680">
    <w:abstractNumId w:val="1"/>
  </w:num>
  <w:num w:numId="9" w16cid:durableId="1523319938">
    <w:abstractNumId w:val="5"/>
  </w:num>
  <w:num w:numId="10" w16cid:durableId="1822502107">
    <w:abstractNumId w:val="3"/>
  </w:num>
  <w:num w:numId="11" w16cid:durableId="90510038">
    <w:abstractNumId w:val="17"/>
  </w:num>
  <w:num w:numId="12" w16cid:durableId="761879431">
    <w:abstractNumId w:val="2"/>
  </w:num>
  <w:num w:numId="13" w16cid:durableId="455564028">
    <w:abstractNumId w:val="9"/>
  </w:num>
  <w:num w:numId="14" w16cid:durableId="47194369">
    <w:abstractNumId w:val="12"/>
  </w:num>
  <w:num w:numId="15" w16cid:durableId="442845551">
    <w:abstractNumId w:val="12"/>
    <w:lvlOverride w:ilvl="0">
      <w:startOverride w:val="1"/>
    </w:lvlOverride>
  </w:num>
  <w:num w:numId="16" w16cid:durableId="1127166414">
    <w:abstractNumId w:val="12"/>
    <w:lvlOverride w:ilvl="0">
      <w:startOverride w:val="1"/>
    </w:lvlOverride>
  </w:num>
  <w:num w:numId="17" w16cid:durableId="501699723">
    <w:abstractNumId w:val="6"/>
  </w:num>
  <w:num w:numId="18" w16cid:durableId="1944339296">
    <w:abstractNumId w:val="12"/>
    <w:lvlOverride w:ilvl="0">
      <w:startOverride w:val="1"/>
    </w:lvlOverride>
  </w:num>
  <w:num w:numId="19" w16cid:durableId="891186959">
    <w:abstractNumId w:val="12"/>
    <w:lvlOverride w:ilvl="0">
      <w:startOverride w:val="1"/>
    </w:lvlOverride>
  </w:num>
  <w:num w:numId="20" w16cid:durableId="905186016">
    <w:abstractNumId w:val="7"/>
  </w:num>
  <w:num w:numId="21" w16cid:durableId="1326936779">
    <w:abstractNumId w:val="7"/>
  </w:num>
  <w:num w:numId="22" w16cid:durableId="425657589">
    <w:abstractNumId w:val="7"/>
  </w:num>
  <w:num w:numId="23" w16cid:durableId="1992713621">
    <w:abstractNumId w:val="7"/>
  </w:num>
  <w:num w:numId="24" w16cid:durableId="1608122686">
    <w:abstractNumId w:val="7"/>
  </w:num>
  <w:num w:numId="25" w16cid:durableId="622926650">
    <w:abstractNumId w:val="7"/>
  </w:num>
  <w:num w:numId="26" w16cid:durableId="1525708932">
    <w:abstractNumId w:val="7"/>
  </w:num>
  <w:num w:numId="27" w16cid:durableId="2002849188">
    <w:abstractNumId w:val="7"/>
  </w:num>
  <w:num w:numId="28" w16cid:durableId="1901674555">
    <w:abstractNumId w:val="12"/>
  </w:num>
  <w:num w:numId="29" w16cid:durableId="603152904">
    <w:abstractNumId w:val="7"/>
  </w:num>
  <w:num w:numId="30" w16cid:durableId="713818975">
    <w:abstractNumId w:val="7"/>
  </w:num>
  <w:num w:numId="31" w16cid:durableId="1198738795">
    <w:abstractNumId w:val="7"/>
  </w:num>
  <w:num w:numId="32" w16cid:durableId="712778337">
    <w:abstractNumId w:val="7"/>
  </w:num>
  <w:num w:numId="33" w16cid:durableId="1638610331">
    <w:abstractNumId w:val="7"/>
  </w:num>
  <w:num w:numId="34" w16cid:durableId="402412160">
    <w:abstractNumId w:val="7"/>
  </w:num>
  <w:num w:numId="35" w16cid:durableId="1331563890">
    <w:abstractNumId w:val="7"/>
  </w:num>
  <w:num w:numId="36" w16cid:durableId="1754935000">
    <w:abstractNumId w:val="7"/>
  </w:num>
  <w:num w:numId="37" w16cid:durableId="2118330768">
    <w:abstractNumId w:val="7"/>
  </w:num>
  <w:num w:numId="38" w16cid:durableId="547913032">
    <w:abstractNumId w:val="7"/>
  </w:num>
  <w:num w:numId="39" w16cid:durableId="1143086077">
    <w:abstractNumId w:val="7"/>
  </w:num>
  <w:num w:numId="40" w16cid:durableId="1838303144">
    <w:abstractNumId w:val="12"/>
    <w:lvlOverride w:ilvl="0">
      <w:startOverride w:val="1"/>
    </w:lvlOverride>
  </w:num>
  <w:num w:numId="41" w16cid:durableId="1651523153">
    <w:abstractNumId w:val="12"/>
    <w:lvlOverride w:ilvl="0">
      <w:startOverride w:val="1"/>
    </w:lvlOverride>
  </w:num>
  <w:num w:numId="42" w16cid:durableId="333804902">
    <w:abstractNumId w:val="12"/>
    <w:lvlOverride w:ilvl="0">
      <w:startOverride w:val="1"/>
    </w:lvlOverride>
  </w:num>
  <w:num w:numId="43" w16cid:durableId="595526788">
    <w:abstractNumId w:val="12"/>
    <w:lvlOverride w:ilvl="0">
      <w:startOverride w:val="1"/>
    </w:lvlOverride>
  </w:num>
  <w:num w:numId="44" w16cid:durableId="113404462">
    <w:abstractNumId w:val="12"/>
    <w:lvlOverride w:ilvl="0">
      <w:startOverride w:val="1"/>
    </w:lvlOverride>
  </w:num>
  <w:num w:numId="45" w16cid:durableId="750661717">
    <w:abstractNumId w:val="12"/>
    <w:lvlOverride w:ilvl="0">
      <w:startOverride w:val="1"/>
    </w:lvlOverride>
  </w:num>
  <w:num w:numId="46" w16cid:durableId="1869567516">
    <w:abstractNumId w:val="12"/>
    <w:lvlOverride w:ilvl="0">
      <w:startOverride w:val="1"/>
    </w:lvlOverride>
  </w:num>
  <w:num w:numId="47" w16cid:durableId="434984131">
    <w:abstractNumId w:val="12"/>
    <w:lvlOverride w:ilvl="0">
      <w:startOverride w:val="1"/>
    </w:lvlOverride>
  </w:num>
  <w:num w:numId="48" w16cid:durableId="1749225919">
    <w:abstractNumId w:val="0"/>
  </w:num>
  <w:num w:numId="49" w16cid:durableId="1296906455">
    <w:abstractNumId w:val="7"/>
  </w:num>
  <w:num w:numId="50" w16cid:durableId="905725687">
    <w:abstractNumId w:val="7"/>
  </w:num>
  <w:num w:numId="51" w16cid:durableId="146481746">
    <w:abstractNumId w:val="7"/>
  </w:num>
  <w:num w:numId="52" w16cid:durableId="2144157766">
    <w:abstractNumId w:val="7"/>
  </w:num>
  <w:num w:numId="53" w16cid:durableId="596405123">
    <w:abstractNumId w:val="7"/>
  </w:num>
  <w:num w:numId="54" w16cid:durableId="1511338054">
    <w:abstractNumId w:val="7"/>
  </w:num>
  <w:num w:numId="55" w16cid:durableId="1167015453">
    <w:abstractNumId w:val="7"/>
  </w:num>
  <w:num w:numId="56" w16cid:durableId="1117993943">
    <w:abstractNumId w:val="12"/>
    <w:lvlOverride w:ilvl="0">
      <w:startOverride w:val="1"/>
    </w:lvlOverride>
  </w:num>
  <w:num w:numId="57" w16cid:durableId="661932034">
    <w:abstractNumId w:val="12"/>
    <w:lvlOverride w:ilvl="0">
      <w:startOverride w:val="1"/>
    </w:lvlOverride>
  </w:num>
  <w:num w:numId="58" w16cid:durableId="182286922">
    <w:abstractNumId w:val="12"/>
  </w:num>
  <w:num w:numId="59" w16cid:durableId="430048994">
    <w:abstractNumId w:val="12"/>
    <w:lvlOverride w:ilvl="0">
      <w:startOverride w:val="1"/>
    </w:lvlOverride>
  </w:num>
  <w:num w:numId="60" w16cid:durableId="1551111036">
    <w:abstractNumId w:val="12"/>
  </w:num>
  <w:num w:numId="61" w16cid:durableId="226454579">
    <w:abstractNumId w:val="7"/>
  </w:num>
  <w:num w:numId="62" w16cid:durableId="418672048">
    <w:abstractNumId w:val="7"/>
  </w:num>
  <w:num w:numId="63" w16cid:durableId="1346128897">
    <w:abstractNumId w:val="7"/>
  </w:num>
  <w:num w:numId="64" w16cid:durableId="1828201227">
    <w:abstractNumId w:val="7"/>
  </w:num>
  <w:num w:numId="65" w16cid:durableId="1441148545">
    <w:abstractNumId w:val="7"/>
  </w:num>
  <w:num w:numId="66" w16cid:durableId="420759637">
    <w:abstractNumId w:val="7"/>
  </w:num>
  <w:num w:numId="67" w16cid:durableId="1212500594">
    <w:abstractNumId w:val="7"/>
  </w:num>
  <w:num w:numId="68" w16cid:durableId="942036120">
    <w:abstractNumId w:val="7"/>
  </w:num>
  <w:num w:numId="69" w16cid:durableId="488450870">
    <w:abstractNumId w:val="7"/>
  </w:num>
  <w:num w:numId="70" w16cid:durableId="370112360">
    <w:abstractNumId w:val="7"/>
  </w:num>
  <w:num w:numId="71" w16cid:durableId="1743408976">
    <w:abstractNumId w:val="12"/>
  </w:num>
  <w:num w:numId="72" w16cid:durableId="581331429">
    <w:abstractNumId w:val="12"/>
  </w:num>
  <w:num w:numId="73" w16cid:durableId="2137409150">
    <w:abstractNumId w:val="12"/>
  </w:num>
  <w:num w:numId="74" w16cid:durableId="1576165384">
    <w:abstractNumId w:val="12"/>
  </w:num>
  <w:num w:numId="75" w16cid:durableId="1037008335">
    <w:abstractNumId w:val="12"/>
  </w:num>
  <w:num w:numId="76" w16cid:durableId="1732577018">
    <w:abstractNumId w:val="12"/>
  </w:num>
  <w:num w:numId="77" w16cid:durableId="143544695">
    <w:abstractNumId w:val="12"/>
  </w:num>
  <w:num w:numId="78" w16cid:durableId="795367669">
    <w:abstractNumId w:val="12"/>
  </w:num>
  <w:num w:numId="79" w16cid:durableId="1837915253">
    <w:abstractNumId w:val="12"/>
  </w:num>
  <w:num w:numId="80" w16cid:durableId="391856303">
    <w:abstractNumId w:val="12"/>
  </w:num>
  <w:num w:numId="81" w16cid:durableId="1284459233">
    <w:abstractNumId w:val="12"/>
  </w:num>
  <w:num w:numId="82" w16cid:durableId="1927153289">
    <w:abstractNumId w:val="12"/>
  </w:num>
  <w:num w:numId="83" w16cid:durableId="529609785">
    <w:abstractNumId w:val="12"/>
  </w:num>
  <w:num w:numId="84" w16cid:durableId="1438258027">
    <w:abstractNumId w:val="12"/>
  </w:num>
  <w:num w:numId="85" w16cid:durableId="837767435">
    <w:abstractNumId w:val="12"/>
  </w:num>
  <w:num w:numId="86" w16cid:durableId="1992323178">
    <w:abstractNumId w:val="12"/>
  </w:num>
  <w:num w:numId="87" w16cid:durableId="1644505896">
    <w:abstractNumId w:val="12"/>
  </w:num>
  <w:num w:numId="88" w16cid:durableId="353966405">
    <w:abstractNumId w:val="12"/>
  </w:num>
  <w:num w:numId="89" w16cid:durableId="1706327698">
    <w:abstractNumId w:val="12"/>
    <w:lvlOverride w:ilvl="0">
      <w:startOverride w:val="1"/>
    </w:lvlOverride>
  </w:num>
  <w:num w:numId="90" w16cid:durableId="1986859398">
    <w:abstractNumId w:val="12"/>
  </w:num>
  <w:num w:numId="91" w16cid:durableId="1437291473">
    <w:abstractNumId w:val="13"/>
  </w:num>
  <w:num w:numId="92" w16cid:durableId="726300979">
    <w:abstractNumId w:val="7"/>
  </w:num>
  <w:num w:numId="93" w16cid:durableId="1654525886">
    <w:abstractNumId w:val="7"/>
  </w:num>
  <w:num w:numId="94" w16cid:durableId="588655120">
    <w:abstractNumId w:val="7"/>
  </w:num>
  <w:num w:numId="95" w16cid:durableId="2111973664">
    <w:abstractNumId w:val="7"/>
  </w:num>
  <w:num w:numId="96" w16cid:durableId="538249326">
    <w:abstractNumId w:val="7"/>
  </w:num>
  <w:num w:numId="97" w16cid:durableId="1126506008">
    <w:abstractNumId w:val="7"/>
  </w:num>
  <w:num w:numId="98" w16cid:durableId="687685248">
    <w:abstractNumId w:val="7"/>
  </w:num>
  <w:num w:numId="99" w16cid:durableId="296033427">
    <w:abstractNumId w:val="7"/>
  </w:num>
  <w:num w:numId="100" w16cid:durableId="1101147520">
    <w:abstractNumId w:val="7"/>
  </w:num>
  <w:num w:numId="101" w16cid:durableId="1772235195">
    <w:abstractNumId w:val="7"/>
  </w:num>
  <w:num w:numId="102" w16cid:durableId="441265420">
    <w:abstractNumId w:val="7"/>
  </w:num>
  <w:num w:numId="103" w16cid:durableId="1522549084">
    <w:abstractNumId w:val="7"/>
  </w:num>
  <w:num w:numId="104" w16cid:durableId="2122843873">
    <w:abstractNumId w:val="7"/>
  </w:num>
  <w:num w:numId="105" w16cid:durableId="1006132884">
    <w:abstractNumId w:val="7"/>
  </w:num>
  <w:num w:numId="106" w16cid:durableId="640617062">
    <w:abstractNumId w:val="7"/>
  </w:num>
  <w:num w:numId="107" w16cid:durableId="298612819">
    <w:abstractNumId w:val="7"/>
  </w:num>
  <w:num w:numId="108" w16cid:durableId="177471996">
    <w:abstractNumId w:val="7"/>
  </w:num>
  <w:num w:numId="109" w16cid:durableId="972445037">
    <w:abstractNumId w:val="7"/>
  </w:num>
  <w:num w:numId="110" w16cid:durableId="209273613">
    <w:abstractNumId w:val="7"/>
  </w:num>
  <w:num w:numId="111" w16cid:durableId="508636988">
    <w:abstractNumId w:val="12"/>
    <w:lvlOverride w:ilvl="0">
      <w:startOverride w:val="1"/>
    </w:lvlOverride>
  </w:num>
  <w:num w:numId="112" w16cid:durableId="1883446412">
    <w:abstractNumId w:val="14"/>
  </w:num>
  <w:num w:numId="113" w16cid:durableId="1599362580">
    <w:abstractNumId w:val="7"/>
  </w:num>
  <w:num w:numId="114" w16cid:durableId="1223978102">
    <w:abstractNumId w:val="7"/>
  </w:num>
  <w:num w:numId="115" w16cid:durableId="437681843">
    <w:abstractNumId w:val="12"/>
  </w:num>
  <w:num w:numId="116" w16cid:durableId="252056415">
    <w:abstractNumId w:val="12"/>
    <w:lvlOverride w:ilvl="0">
      <w:startOverride w:val="1"/>
    </w:lvlOverride>
  </w:num>
  <w:num w:numId="117" w16cid:durableId="12465064">
    <w:abstractNumId w:val="12"/>
  </w:num>
  <w:num w:numId="118" w16cid:durableId="866404726">
    <w:abstractNumId w:val="12"/>
    <w:lvlOverride w:ilvl="0">
      <w:startOverride w:val="1"/>
    </w:lvlOverride>
  </w:num>
  <w:num w:numId="119" w16cid:durableId="1442727051">
    <w:abstractNumId w:val="10"/>
  </w:num>
  <w:num w:numId="120" w16cid:durableId="1734427288">
    <w:abstractNumId w:val="10"/>
  </w:num>
  <w:num w:numId="121" w16cid:durableId="787042394">
    <w:abstractNumId w:val="10"/>
  </w:num>
  <w:num w:numId="122" w16cid:durableId="1384132250">
    <w:abstractNumId w:val="10"/>
  </w:num>
  <w:num w:numId="123" w16cid:durableId="1892766835">
    <w:abstractNumId w:val="10"/>
  </w:num>
  <w:num w:numId="124" w16cid:durableId="1131091018">
    <w:abstractNumId w:val="10"/>
  </w:num>
  <w:num w:numId="125" w16cid:durableId="1030184874">
    <w:abstractNumId w:val="10"/>
  </w:num>
  <w:num w:numId="126" w16cid:durableId="738092003">
    <w:abstractNumId w:val="12"/>
    <w:lvlOverride w:ilvl="0">
      <w:startOverride w:val="1"/>
    </w:lvlOverride>
  </w:num>
  <w:num w:numId="127" w16cid:durableId="1746030924">
    <w:abstractNumId w:val="12"/>
  </w:num>
  <w:num w:numId="128" w16cid:durableId="456610234">
    <w:abstractNumId w:val="12"/>
    <w:lvlOverride w:ilvl="0">
      <w:startOverride w:val="1"/>
    </w:lvlOverride>
  </w:num>
  <w:num w:numId="129" w16cid:durableId="1075200090">
    <w:abstractNumId w:val="12"/>
  </w:num>
  <w:num w:numId="130" w16cid:durableId="751439840">
    <w:abstractNumId w:val="11"/>
  </w:num>
  <w:num w:numId="131" w16cid:durableId="2112583973">
    <w:abstractNumId w:val="1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10 COM_WORKING DOCUMENT_EN"/>
  </w:docVars>
  <w:rsids>
    <w:rsidRoot w:val="00CB0542"/>
    <w:rsid w:val="00000898"/>
    <w:rsid w:val="00001E56"/>
    <w:rsid w:val="00001EAE"/>
    <w:rsid w:val="000048ED"/>
    <w:rsid w:val="0000529B"/>
    <w:rsid w:val="00005A21"/>
    <w:rsid w:val="00007839"/>
    <w:rsid w:val="0001049E"/>
    <w:rsid w:val="000108C1"/>
    <w:rsid w:val="000115B7"/>
    <w:rsid w:val="00014915"/>
    <w:rsid w:val="00014C32"/>
    <w:rsid w:val="000234D7"/>
    <w:rsid w:val="000236E4"/>
    <w:rsid w:val="00024206"/>
    <w:rsid w:val="00025373"/>
    <w:rsid w:val="00031682"/>
    <w:rsid w:val="00036D08"/>
    <w:rsid w:val="00041A66"/>
    <w:rsid w:val="000426DC"/>
    <w:rsid w:val="00042D88"/>
    <w:rsid w:val="0004672F"/>
    <w:rsid w:val="00047A8C"/>
    <w:rsid w:val="0005176E"/>
    <w:rsid w:val="00054C46"/>
    <w:rsid w:val="00055586"/>
    <w:rsid w:val="00055880"/>
    <w:rsid w:val="00056596"/>
    <w:rsid w:val="00057AB4"/>
    <w:rsid w:val="00062DFE"/>
    <w:rsid w:val="00063756"/>
    <w:rsid w:val="00066FAA"/>
    <w:rsid w:val="000734EF"/>
    <w:rsid w:val="00075C4E"/>
    <w:rsid w:val="000765F7"/>
    <w:rsid w:val="0007725F"/>
    <w:rsid w:val="00077911"/>
    <w:rsid w:val="00077AB7"/>
    <w:rsid w:val="00081CD8"/>
    <w:rsid w:val="0008298E"/>
    <w:rsid w:val="0008482A"/>
    <w:rsid w:val="00085C3D"/>
    <w:rsid w:val="0008654A"/>
    <w:rsid w:val="00093AA6"/>
    <w:rsid w:val="000958BA"/>
    <w:rsid w:val="00097000"/>
    <w:rsid w:val="000A5B98"/>
    <w:rsid w:val="000A6A13"/>
    <w:rsid w:val="000A739B"/>
    <w:rsid w:val="000A76C4"/>
    <w:rsid w:val="000A7F0E"/>
    <w:rsid w:val="000B1C8F"/>
    <w:rsid w:val="000B5AD4"/>
    <w:rsid w:val="000C0D08"/>
    <w:rsid w:val="000C0D61"/>
    <w:rsid w:val="000C1B3E"/>
    <w:rsid w:val="000D19B5"/>
    <w:rsid w:val="000D3775"/>
    <w:rsid w:val="000E026E"/>
    <w:rsid w:val="000E3D8B"/>
    <w:rsid w:val="000E4031"/>
    <w:rsid w:val="000E5A35"/>
    <w:rsid w:val="000F0447"/>
    <w:rsid w:val="000F36CC"/>
    <w:rsid w:val="000F3A3F"/>
    <w:rsid w:val="000F6412"/>
    <w:rsid w:val="000F65A4"/>
    <w:rsid w:val="000F65B8"/>
    <w:rsid w:val="000F6869"/>
    <w:rsid w:val="001003F7"/>
    <w:rsid w:val="00102557"/>
    <w:rsid w:val="00102D8F"/>
    <w:rsid w:val="00104459"/>
    <w:rsid w:val="001046E5"/>
    <w:rsid w:val="00111CA0"/>
    <w:rsid w:val="001211D9"/>
    <w:rsid w:val="0012152B"/>
    <w:rsid w:val="001219B4"/>
    <w:rsid w:val="00126A2A"/>
    <w:rsid w:val="00126B5F"/>
    <w:rsid w:val="001300C1"/>
    <w:rsid w:val="00130DC4"/>
    <w:rsid w:val="00132037"/>
    <w:rsid w:val="00144628"/>
    <w:rsid w:val="00147A38"/>
    <w:rsid w:val="00147F31"/>
    <w:rsid w:val="00150EF7"/>
    <w:rsid w:val="00152AD9"/>
    <w:rsid w:val="00152B16"/>
    <w:rsid w:val="00164D56"/>
    <w:rsid w:val="00165417"/>
    <w:rsid w:val="001668C0"/>
    <w:rsid w:val="001674F2"/>
    <w:rsid w:val="00167B10"/>
    <w:rsid w:val="00173229"/>
    <w:rsid w:val="0017402F"/>
    <w:rsid w:val="00176E7B"/>
    <w:rsid w:val="00183819"/>
    <w:rsid w:val="00184320"/>
    <w:rsid w:val="00184F40"/>
    <w:rsid w:val="00190205"/>
    <w:rsid w:val="00191461"/>
    <w:rsid w:val="00195D9B"/>
    <w:rsid w:val="00196C1B"/>
    <w:rsid w:val="00197375"/>
    <w:rsid w:val="00197710"/>
    <w:rsid w:val="001A162C"/>
    <w:rsid w:val="001A1668"/>
    <w:rsid w:val="001A5B04"/>
    <w:rsid w:val="001A699F"/>
    <w:rsid w:val="001B0F73"/>
    <w:rsid w:val="001B2380"/>
    <w:rsid w:val="001B2382"/>
    <w:rsid w:val="001B2716"/>
    <w:rsid w:val="001C2DB7"/>
    <w:rsid w:val="001D14FE"/>
    <w:rsid w:val="001D1A1A"/>
    <w:rsid w:val="001D1E43"/>
    <w:rsid w:val="001D5119"/>
    <w:rsid w:val="001D5C04"/>
    <w:rsid w:val="001D7A31"/>
    <w:rsid w:val="001E3769"/>
    <w:rsid w:val="001E3CB0"/>
    <w:rsid w:val="001E6E35"/>
    <w:rsid w:val="001F26CF"/>
    <w:rsid w:val="001F4892"/>
    <w:rsid w:val="001F51D5"/>
    <w:rsid w:val="001F5BCF"/>
    <w:rsid w:val="001F7DFF"/>
    <w:rsid w:val="00200F7B"/>
    <w:rsid w:val="00201B41"/>
    <w:rsid w:val="002031A2"/>
    <w:rsid w:val="002051E4"/>
    <w:rsid w:val="00205293"/>
    <w:rsid w:val="00212A88"/>
    <w:rsid w:val="00217D41"/>
    <w:rsid w:val="00222A2D"/>
    <w:rsid w:val="00223029"/>
    <w:rsid w:val="002239CF"/>
    <w:rsid w:val="00224C96"/>
    <w:rsid w:val="00225380"/>
    <w:rsid w:val="00225C1B"/>
    <w:rsid w:val="002260AA"/>
    <w:rsid w:val="00227618"/>
    <w:rsid w:val="00231A99"/>
    <w:rsid w:val="00234745"/>
    <w:rsid w:val="002351A6"/>
    <w:rsid w:val="002357DF"/>
    <w:rsid w:val="00236619"/>
    <w:rsid w:val="002407AF"/>
    <w:rsid w:val="00242188"/>
    <w:rsid w:val="00245501"/>
    <w:rsid w:val="0025079E"/>
    <w:rsid w:val="00250E93"/>
    <w:rsid w:val="00251D85"/>
    <w:rsid w:val="00251E12"/>
    <w:rsid w:val="00254B26"/>
    <w:rsid w:val="00256BA4"/>
    <w:rsid w:val="00257A55"/>
    <w:rsid w:val="00260071"/>
    <w:rsid w:val="0026110C"/>
    <w:rsid w:val="0026221A"/>
    <w:rsid w:val="00266023"/>
    <w:rsid w:val="00266322"/>
    <w:rsid w:val="00266886"/>
    <w:rsid w:val="00272799"/>
    <w:rsid w:val="0027466B"/>
    <w:rsid w:val="00280E6D"/>
    <w:rsid w:val="002814F6"/>
    <w:rsid w:val="002838A5"/>
    <w:rsid w:val="00285BB4"/>
    <w:rsid w:val="00293C27"/>
    <w:rsid w:val="002962D5"/>
    <w:rsid w:val="002A3844"/>
    <w:rsid w:val="002A45FA"/>
    <w:rsid w:val="002A7613"/>
    <w:rsid w:val="002B15CE"/>
    <w:rsid w:val="002B3689"/>
    <w:rsid w:val="002C09E3"/>
    <w:rsid w:val="002C6462"/>
    <w:rsid w:val="002C6A2C"/>
    <w:rsid w:val="002C6F95"/>
    <w:rsid w:val="002C7B20"/>
    <w:rsid w:val="002D1244"/>
    <w:rsid w:val="002D1F3A"/>
    <w:rsid w:val="002D2816"/>
    <w:rsid w:val="002D6C31"/>
    <w:rsid w:val="002D7DE1"/>
    <w:rsid w:val="002E1998"/>
    <w:rsid w:val="002E1C32"/>
    <w:rsid w:val="002E215C"/>
    <w:rsid w:val="002F5372"/>
    <w:rsid w:val="002F7EAE"/>
    <w:rsid w:val="00300CF0"/>
    <w:rsid w:val="00301107"/>
    <w:rsid w:val="00302A5C"/>
    <w:rsid w:val="003070F6"/>
    <w:rsid w:val="0031189C"/>
    <w:rsid w:val="00312130"/>
    <w:rsid w:val="00312F17"/>
    <w:rsid w:val="00313A88"/>
    <w:rsid w:val="00315812"/>
    <w:rsid w:val="00315C12"/>
    <w:rsid w:val="00315D7C"/>
    <w:rsid w:val="003164C7"/>
    <w:rsid w:val="00320103"/>
    <w:rsid w:val="00322340"/>
    <w:rsid w:val="00323FC6"/>
    <w:rsid w:val="003245C8"/>
    <w:rsid w:val="003355CB"/>
    <w:rsid w:val="003377BD"/>
    <w:rsid w:val="00337CEB"/>
    <w:rsid w:val="00344B58"/>
    <w:rsid w:val="0034539A"/>
    <w:rsid w:val="00345CB4"/>
    <w:rsid w:val="003474D7"/>
    <w:rsid w:val="003475B3"/>
    <w:rsid w:val="0035141C"/>
    <w:rsid w:val="003525FA"/>
    <w:rsid w:val="00357AAD"/>
    <w:rsid w:val="0036093E"/>
    <w:rsid w:val="00360B2F"/>
    <w:rsid w:val="003617C2"/>
    <w:rsid w:val="00371749"/>
    <w:rsid w:val="00375B0B"/>
    <w:rsid w:val="00375D42"/>
    <w:rsid w:val="0037780C"/>
    <w:rsid w:val="00382A94"/>
    <w:rsid w:val="003841CA"/>
    <w:rsid w:val="00390767"/>
    <w:rsid w:val="003916F3"/>
    <w:rsid w:val="00393F58"/>
    <w:rsid w:val="0039742D"/>
    <w:rsid w:val="003A02BD"/>
    <w:rsid w:val="003A1B23"/>
    <w:rsid w:val="003A63BF"/>
    <w:rsid w:val="003A6B19"/>
    <w:rsid w:val="003B1851"/>
    <w:rsid w:val="003B217F"/>
    <w:rsid w:val="003B4DC7"/>
    <w:rsid w:val="003B5726"/>
    <w:rsid w:val="003B7315"/>
    <w:rsid w:val="003C0069"/>
    <w:rsid w:val="003C2E1C"/>
    <w:rsid w:val="003C4FBC"/>
    <w:rsid w:val="003C55AE"/>
    <w:rsid w:val="003D069C"/>
    <w:rsid w:val="003D1D17"/>
    <w:rsid w:val="003D323F"/>
    <w:rsid w:val="003D3AA5"/>
    <w:rsid w:val="003D5BBA"/>
    <w:rsid w:val="003D7316"/>
    <w:rsid w:val="003D7646"/>
    <w:rsid w:val="003E0547"/>
    <w:rsid w:val="003E0EBE"/>
    <w:rsid w:val="003E3A5E"/>
    <w:rsid w:val="003E4959"/>
    <w:rsid w:val="003E50A4"/>
    <w:rsid w:val="003E60A0"/>
    <w:rsid w:val="003F113A"/>
    <w:rsid w:val="003F3E63"/>
    <w:rsid w:val="00407480"/>
    <w:rsid w:val="00410195"/>
    <w:rsid w:val="00411E48"/>
    <w:rsid w:val="00414643"/>
    <w:rsid w:val="00421FBF"/>
    <w:rsid w:val="004225A9"/>
    <w:rsid w:val="00425581"/>
    <w:rsid w:val="00427430"/>
    <w:rsid w:val="00427D4F"/>
    <w:rsid w:val="004313C4"/>
    <w:rsid w:val="00433CB7"/>
    <w:rsid w:val="00434391"/>
    <w:rsid w:val="00435290"/>
    <w:rsid w:val="004421E5"/>
    <w:rsid w:val="00445148"/>
    <w:rsid w:val="004459E4"/>
    <w:rsid w:val="0044608C"/>
    <w:rsid w:val="00452284"/>
    <w:rsid w:val="00454FBC"/>
    <w:rsid w:val="00457C8E"/>
    <w:rsid w:val="00463E85"/>
    <w:rsid w:val="00466826"/>
    <w:rsid w:val="00466C28"/>
    <w:rsid w:val="0047190C"/>
    <w:rsid w:val="004723A2"/>
    <w:rsid w:val="00474D9F"/>
    <w:rsid w:val="00476069"/>
    <w:rsid w:val="00480175"/>
    <w:rsid w:val="00480228"/>
    <w:rsid w:val="004856CA"/>
    <w:rsid w:val="00487603"/>
    <w:rsid w:val="00487E67"/>
    <w:rsid w:val="004906B7"/>
    <w:rsid w:val="004918F3"/>
    <w:rsid w:val="00492712"/>
    <w:rsid w:val="0049568F"/>
    <w:rsid w:val="00496FAC"/>
    <w:rsid w:val="0049705E"/>
    <w:rsid w:val="004A2875"/>
    <w:rsid w:val="004A334E"/>
    <w:rsid w:val="004A34A0"/>
    <w:rsid w:val="004B16E8"/>
    <w:rsid w:val="004C0E3F"/>
    <w:rsid w:val="004C7C82"/>
    <w:rsid w:val="004D2E83"/>
    <w:rsid w:val="004D370E"/>
    <w:rsid w:val="004D482F"/>
    <w:rsid w:val="004D7DAE"/>
    <w:rsid w:val="004E17E7"/>
    <w:rsid w:val="004E6F96"/>
    <w:rsid w:val="004F252E"/>
    <w:rsid w:val="005008A8"/>
    <w:rsid w:val="00501764"/>
    <w:rsid w:val="00501C8B"/>
    <w:rsid w:val="00505E6F"/>
    <w:rsid w:val="005071E6"/>
    <w:rsid w:val="005137E0"/>
    <w:rsid w:val="00514977"/>
    <w:rsid w:val="00517FD8"/>
    <w:rsid w:val="005202D0"/>
    <w:rsid w:val="005221C0"/>
    <w:rsid w:val="00526B7B"/>
    <w:rsid w:val="005274D2"/>
    <w:rsid w:val="005278EB"/>
    <w:rsid w:val="0053009B"/>
    <w:rsid w:val="00530575"/>
    <w:rsid w:val="005308CE"/>
    <w:rsid w:val="00531C28"/>
    <w:rsid w:val="0053315D"/>
    <w:rsid w:val="0053318C"/>
    <w:rsid w:val="005355B8"/>
    <w:rsid w:val="00535A93"/>
    <w:rsid w:val="00540964"/>
    <w:rsid w:val="00540A7B"/>
    <w:rsid w:val="00542AD5"/>
    <w:rsid w:val="0054466A"/>
    <w:rsid w:val="005470E5"/>
    <w:rsid w:val="005527B9"/>
    <w:rsid w:val="00555690"/>
    <w:rsid w:val="00563145"/>
    <w:rsid w:val="005656F8"/>
    <w:rsid w:val="005679E5"/>
    <w:rsid w:val="00571610"/>
    <w:rsid w:val="0057439C"/>
    <w:rsid w:val="00584CAA"/>
    <w:rsid w:val="00586420"/>
    <w:rsid w:val="00587362"/>
    <w:rsid w:val="0059194E"/>
    <w:rsid w:val="00592ACB"/>
    <w:rsid w:val="005960FA"/>
    <w:rsid w:val="005A2CDC"/>
    <w:rsid w:val="005A5760"/>
    <w:rsid w:val="005A668F"/>
    <w:rsid w:val="005B0127"/>
    <w:rsid w:val="005B1096"/>
    <w:rsid w:val="005B336A"/>
    <w:rsid w:val="005B4A45"/>
    <w:rsid w:val="005B7A35"/>
    <w:rsid w:val="005B7BB9"/>
    <w:rsid w:val="005C4B73"/>
    <w:rsid w:val="005D2A23"/>
    <w:rsid w:val="005D5A6B"/>
    <w:rsid w:val="005D68B3"/>
    <w:rsid w:val="005E0D4F"/>
    <w:rsid w:val="005E1D2B"/>
    <w:rsid w:val="005E27C7"/>
    <w:rsid w:val="005E3712"/>
    <w:rsid w:val="005E3D33"/>
    <w:rsid w:val="005E59D6"/>
    <w:rsid w:val="005E6A24"/>
    <w:rsid w:val="005E7074"/>
    <w:rsid w:val="005F0CE3"/>
    <w:rsid w:val="005F1F02"/>
    <w:rsid w:val="005F2BAF"/>
    <w:rsid w:val="005F4964"/>
    <w:rsid w:val="00600D93"/>
    <w:rsid w:val="00605390"/>
    <w:rsid w:val="006077D0"/>
    <w:rsid w:val="00610F7C"/>
    <w:rsid w:val="00612A70"/>
    <w:rsid w:val="006138FB"/>
    <w:rsid w:val="006145AA"/>
    <w:rsid w:val="00614CEF"/>
    <w:rsid w:val="006177C7"/>
    <w:rsid w:val="00620A66"/>
    <w:rsid w:val="0062356A"/>
    <w:rsid w:val="006260AA"/>
    <w:rsid w:val="00626BEA"/>
    <w:rsid w:val="00632BEE"/>
    <w:rsid w:val="0063300C"/>
    <w:rsid w:val="00635DBC"/>
    <w:rsid w:val="006373D3"/>
    <w:rsid w:val="00640023"/>
    <w:rsid w:val="00640896"/>
    <w:rsid w:val="00641DAD"/>
    <w:rsid w:val="0064355C"/>
    <w:rsid w:val="006441F6"/>
    <w:rsid w:val="00644B68"/>
    <w:rsid w:val="0065112D"/>
    <w:rsid w:val="00651A5B"/>
    <w:rsid w:val="00652DCC"/>
    <w:rsid w:val="00652F25"/>
    <w:rsid w:val="00655736"/>
    <w:rsid w:val="006561D2"/>
    <w:rsid w:val="006577AF"/>
    <w:rsid w:val="00660AFD"/>
    <w:rsid w:val="0066211E"/>
    <w:rsid w:val="00662533"/>
    <w:rsid w:val="00663B8D"/>
    <w:rsid w:val="00673F48"/>
    <w:rsid w:val="00675BF2"/>
    <w:rsid w:val="00677AEB"/>
    <w:rsid w:val="0068302B"/>
    <w:rsid w:val="006839B6"/>
    <w:rsid w:val="00685DD2"/>
    <w:rsid w:val="006937BF"/>
    <w:rsid w:val="00696C8D"/>
    <w:rsid w:val="00697784"/>
    <w:rsid w:val="006A2AC2"/>
    <w:rsid w:val="006A3617"/>
    <w:rsid w:val="006A4D3B"/>
    <w:rsid w:val="006B166F"/>
    <w:rsid w:val="006B28F7"/>
    <w:rsid w:val="006B37B8"/>
    <w:rsid w:val="006B4452"/>
    <w:rsid w:val="006C3628"/>
    <w:rsid w:val="006D53B6"/>
    <w:rsid w:val="006E0B00"/>
    <w:rsid w:val="006E46E4"/>
    <w:rsid w:val="006E7002"/>
    <w:rsid w:val="006E7439"/>
    <w:rsid w:val="006E75EB"/>
    <w:rsid w:val="006E7AD9"/>
    <w:rsid w:val="006F2A85"/>
    <w:rsid w:val="006F2F47"/>
    <w:rsid w:val="00703BA1"/>
    <w:rsid w:val="007049C1"/>
    <w:rsid w:val="00704F51"/>
    <w:rsid w:val="00706FF2"/>
    <w:rsid w:val="00710409"/>
    <w:rsid w:val="00711A28"/>
    <w:rsid w:val="00717DA5"/>
    <w:rsid w:val="0072598B"/>
    <w:rsid w:val="00727ACC"/>
    <w:rsid w:val="0073240E"/>
    <w:rsid w:val="007333D0"/>
    <w:rsid w:val="007358D1"/>
    <w:rsid w:val="007371DD"/>
    <w:rsid w:val="00744484"/>
    <w:rsid w:val="007468B3"/>
    <w:rsid w:val="0074742D"/>
    <w:rsid w:val="00747566"/>
    <w:rsid w:val="0075203F"/>
    <w:rsid w:val="0075314A"/>
    <w:rsid w:val="00754541"/>
    <w:rsid w:val="007567DE"/>
    <w:rsid w:val="00762242"/>
    <w:rsid w:val="00763F4A"/>
    <w:rsid w:val="00771BB3"/>
    <w:rsid w:val="00773188"/>
    <w:rsid w:val="00776A3E"/>
    <w:rsid w:val="00783782"/>
    <w:rsid w:val="00784B8C"/>
    <w:rsid w:val="007879E1"/>
    <w:rsid w:val="00787DC4"/>
    <w:rsid w:val="007926B8"/>
    <w:rsid w:val="00792F80"/>
    <w:rsid w:val="007948CD"/>
    <w:rsid w:val="00796F0B"/>
    <w:rsid w:val="007A1ADD"/>
    <w:rsid w:val="007A3187"/>
    <w:rsid w:val="007A3B49"/>
    <w:rsid w:val="007A3D84"/>
    <w:rsid w:val="007A3FB5"/>
    <w:rsid w:val="007A4364"/>
    <w:rsid w:val="007A5119"/>
    <w:rsid w:val="007A54A5"/>
    <w:rsid w:val="007A70F8"/>
    <w:rsid w:val="007B1AF5"/>
    <w:rsid w:val="007B530A"/>
    <w:rsid w:val="007B7F13"/>
    <w:rsid w:val="007C231B"/>
    <w:rsid w:val="007C2804"/>
    <w:rsid w:val="007C4225"/>
    <w:rsid w:val="007C4442"/>
    <w:rsid w:val="007C7A6C"/>
    <w:rsid w:val="007D1F51"/>
    <w:rsid w:val="007D214E"/>
    <w:rsid w:val="007D2733"/>
    <w:rsid w:val="007D2F54"/>
    <w:rsid w:val="007D4C24"/>
    <w:rsid w:val="007D6603"/>
    <w:rsid w:val="007D7678"/>
    <w:rsid w:val="007E0B3A"/>
    <w:rsid w:val="007E1B3A"/>
    <w:rsid w:val="007E4AF9"/>
    <w:rsid w:val="007E57AA"/>
    <w:rsid w:val="00804A55"/>
    <w:rsid w:val="00806D10"/>
    <w:rsid w:val="008109C2"/>
    <w:rsid w:val="008114E6"/>
    <w:rsid w:val="008138E9"/>
    <w:rsid w:val="00823A11"/>
    <w:rsid w:val="008270F0"/>
    <w:rsid w:val="0083065C"/>
    <w:rsid w:val="008315B7"/>
    <w:rsid w:val="00834290"/>
    <w:rsid w:val="008357A5"/>
    <w:rsid w:val="00846A15"/>
    <w:rsid w:val="0085192B"/>
    <w:rsid w:val="00851B1B"/>
    <w:rsid w:val="0085405E"/>
    <w:rsid w:val="0085414A"/>
    <w:rsid w:val="00857EB9"/>
    <w:rsid w:val="008608E2"/>
    <w:rsid w:val="008624B1"/>
    <w:rsid w:val="0086269D"/>
    <w:rsid w:val="00863A1F"/>
    <w:rsid w:val="0086543A"/>
    <w:rsid w:val="0087000A"/>
    <w:rsid w:val="00871114"/>
    <w:rsid w:val="008724E5"/>
    <w:rsid w:val="00872CD2"/>
    <w:rsid w:val="008765C9"/>
    <w:rsid w:val="00883456"/>
    <w:rsid w:val="00883AC8"/>
    <w:rsid w:val="00884A9D"/>
    <w:rsid w:val="0088512B"/>
    <w:rsid w:val="008873ED"/>
    <w:rsid w:val="00890F93"/>
    <w:rsid w:val="00892B3C"/>
    <w:rsid w:val="00894010"/>
    <w:rsid w:val="00894064"/>
    <w:rsid w:val="0089731E"/>
    <w:rsid w:val="00897FA9"/>
    <w:rsid w:val="008A19D3"/>
    <w:rsid w:val="008A2B2D"/>
    <w:rsid w:val="008A4E1E"/>
    <w:rsid w:val="008A6458"/>
    <w:rsid w:val="008A78DD"/>
    <w:rsid w:val="008B0BFE"/>
    <w:rsid w:val="008B0FEA"/>
    <w:rsid w:val="008B2170"/>
    <w:rsid w:val="008B372C"/>
    <w:rsid w:val="008B48CF"/>
    <w:rsid w:val="008B4AC5"/>
    <w:rsid w:val="008B73DA"/>
    <w:rsid w:val="008C296C"/>
    <w:rsid w:val="008D01FB"/>
    <w:rsid w:val="008D14C1"/>
    <w:rsid w:val="008D4305"/>
    <w:rsid w:val="008D702E"/>
    <w:rsid w:val="008E054B"/>
    <w:rsid w:val="008E09F0"/>
    <w:rsid w:val="008E1A85"/>
    <w:rsid w:val="008E2909"/>
    <w:rsid w:val="008E344F"/>
    <w:rsid w:val="008F23CE"/>
    <w:rsid w:val="008F3395"/>
    <w:rsid w:val="008F630D"/>
    <w:rsid w:val="00902C7B"/>
    <w:rsid w:val="00907B3A"/>
    <w:rsid w:val="009163A7"/>
    <w:rsid w:val="00917C70"/>
    <w:rsid w:val="0092359D"/>
    <w:rsid w:val="00925A97"/>
    <w:rsid w:val="009338A0"/>
    <w:rsid w:val="00933FBB"/>
    <w:rsid w:val="009345A8"/>
    <w:rsid w:val="00937D53"/>
    <w:rsid w:val="009455FF"/>
    <w:rsid w:val="00946D0B"/>
    <w:rsid w:val="00950848"/>
    <w:rsid w:val="009512D8"/>
    <w:rsid w:val="009525C5"/>
    <w:rsid w:val="00955877"/>
    <w:rsid w:val="00956447"/>
    <w:rsid w:val="009568FD"/>
    <w:rsid w:val="00962034"/>
    <w:rsid w:val="00966DAA"/>
    <w:rsid w:val="009737D1"/>
    <w:rsid w:val="00976D09"/>
    <w:rsid w:val="00977187"/>
    <w:rsid w:val="00983FC3"/>
    <w:rsid w:val="00986F5D"/>
    <w:rsid w:val="00990F1C"/>
    <w:rsid w:val="00991507"/>
    <w:rsid w:val="00995D4D"/>
    <w:rsid w:val="00996F54"/>
    <w:rsid w:val="009A18CD"/>
    <w:rsid w:val="009A343D"/>
    <w:rsid w:val="009A3479"/>
    <w:rsid w:val="009A3DAC"/>
    <w:rsid w:val="009A511C"/>
    <w:rsid w:val="009A5D47"/>
    <w:rsid w:val="009A5E39"/>
    <w:rsid w:val="009A6AE2"/>
    <w:rsid w:val="009A72C1"/>
    <w:rsid w:val="009B174C"/>
    <w:rsid w:val="009B35CF"/>
    <w:rsid w:val="009B66DF"/>
    <w:rsid w:val="009C6CA2"/>
    <w:rsid w:val="009C7B35"/>
    <w:rsid w:val="009D078E"/>
    <w:rsid w:val="009D11BA"/>
    <w:rsid w:val="009D5428"/>
    <w:rsid w:val="009D757A"/>
    <w:rsid w:val="009F77A2"/>
    <w:rsid w:val="009F7886"/>
    <w:rsid w:val="00A11A2F"/>
    <w:rsid w:val="00A12558"/>
    <w:rsid w:val="00A132F7"/>
    <w:rsid w:val="00A13903"/>
    <w:rsid w:val="00A15840"/>
    <w:rsid w:val="00A179F0"/>
    <w:rsid w:val="00A20C01"/>
    <w:rsid w:val="00A2278E"/>
    <w:rsid w:val="00A240F7"/>
    <w:rsid w:val="00A26AE0"/>
    <w:rsid w:val="00A26E8A"/>
    <w:rsid w:val="00A3315D"/>
    <w:rsid w:val="00A34D44"/>
    <w:rsid w:val="00A34ED5"/>
    <w:rsid w:val="00A45DBF"/>
    <w:rsid w:val="00A50473"/>
    <w:rsid w:val="00A50EA9"/>
    <w:rsid w:val="00A52FE8"/>
    <w:rsid w:val="00A5320D"/>
    <w:rsid w:val="00A55700"/>
    <w:rsid w:val="00A57F66"/>
    <w:rsid w:val="00A64A63"/>
    <w:rsid w:val="00A64EC2"/>
    <w:rsid w:val="00A65D14"/>
    <w:rsid w:val="00A72118"/>
    <w:rsid w:val="00A725CF"/>
    <w:rsid w:val="00A755A2"/>
    <w:rsid w:val="00A80F0D"/>
    <w:rsid w:val="00A8484A"/>
    <w:rsid w:val="00A855AA"/>
    <w:rsid w:val="00A860C9"/>
    <w:rsid w:val="00A91430"/>
    <w:rsid w:val="00A929F8"/>
    <w:rsid w:val="00A92B15"/>
    <w:rsid w:val="00A9428F"/>
    <w:rsid w:val="00A95139"/>
    <w:rsid w:val="00A95AB1"/>
    <w:rsid w:val="00AA590D"/>
    <w:rsid w:val="00AA5CBF"/>
    <w:rsid w:val="00AA6660"/>
    <w:rsid w:val="00AB0ADC"/>
    <w:rsid w:val="00AB2C36"/>
    <w:rsid w:val="00AB6DDE"/>
    <w:rsid w:val="00AB70B6"/>
    <w:rsid w:val="00AC064C"/>
    <w:rsid w:val="00AC18C1"/>
    <w:rsid w:val="00AC1BC7"/>
    <w:rsid w:val="00AC35D2"/>
    <w:rsid w:val="00AD0166"/>
    <w:rsid w:val="00AD1A86"/>
    <w:rsid w:val="00AD4FA0"/>
    <w:rsid w:val="00AD5C46"/>
    <w:rsid w:val="00AD7470"/>
    <w:rsid w:val="00AE103E"/>
    <w:rsid w:val="00AE2111"/>
    <w:rsid w:val="00AE2369"/>
    <w:rsid w:val="00AE25C8"/>
    <w:rsid w:val="00AE6870"/>
    <w:rsid w:val="00AF0A07"/>
    <w:rsid w:val="00AF4AEC"/>
    <w:rsid w:val="00AF5DCF"/>
    <w:rsid w:val="00AF625E"/>
    <w:rsid w:val="00AF770A"/>
    <w:rsid w:val="00B001AC"/>
    <w:rsid w:val="00B0513A"/>
    <w:rsid w:val="00B058DC"/>
    <w:rsid w:val="00B134CE"/>
    <w:rsid w:val="00B139BE"/>
    <w:rsid w:val="00B15C12"/>
    <w:rsid w:val="00B20281"/>
    <w:rsid w:val="00B21603"/>
    <w:rsid w:val="00B2172B"/>
    <w:rsid w:val="00B2387C"/>
    <w:rsid w:val="00B23C02"/>
    <w:rsid w:val="00B3148E"/>
    <w:rsid w:val="00B33540"/>
    <w:rsid w:val="00B34428"/>
    <w:rsid w:val="00B3601E"/>
    <w:rsid w:val="00B40138"/>
    <w:rsid w:val="00B46A63"/>
    <w:rsid w:val="00B5125A"/>
    <w:rsid w:val="00B51A6A"/>
    <w:rsid w:val="00B5239B"/>
    <w:rsid w:val="00B56E7F"/>
    <w:rsid w:val="00B60C94"/>
    <w:rsid w:val="00B61F83"/>
    <w:rsid w:val="00B621FD"/>
    <w:rsid w:val="00B63A24"/>
    <w:rsid w:val="00B64094"/>
    <w:rsid w:val="00B6417A"/>
    <w:rsid w:val="00B6659A"/>
    <w:rsid w:val="00B67340"/>
    <w:rsid w:val="00B70F8C"/>
    <w:rsid w:val="00B75A08"/>
    <w:rsid w:val="00B75DC1"/>
    <w:rsid w:val="00B77190"/>
    <w:rsid w:val="00B80D91"/>
    <w:rsid w:val="00B85A9E"/>
    <w:rsid w:val="00B86673"/>
    <w:rsid w:val="00B9080C"/>
    <w:rsid w:val="00B917D2"/>
    <w:rsid w:val="00B91DF4"/>
    <w:rsid w:val="00B921D8"/>
    <w:rsid w:val="00B9225D"/>
    <w:rsid w:val="00B938BE"/>
    <w:rsid w:val="00B941F2"/>
    <w:rsid w:val="00B97EB3"/>
    <w:rsid w:val="00BA241A"/>
    <w:rsid w:val="00BA7BA9"/>
    <w:rsid w:val="00BB04AF"/>
    <w:rsid w:val="00BB4576"/>
    <w:rsid w:val="00BB6EEC"/>
    <w:rsid w:val="00BC0DC5"/>
    <w:rsid w:val="00BC7F0A"/>
    <w:rsid w:val="00BD0B15"/>
    <w:rsid w:val="00BD52C9"/>
    <w:rsid w:val="00BD5DD6"/>
    <w:rsid w:val="00BD7E94"/>
    <w:rsid w:val="00BE6354"/>
    <w:rsid w:val="00BE66EF"/>
    <w:rsid w:val="00BE6AD4"/>
    <w:rsid w:val="00BF0C60"/>
    <w:rsid w:val="00BF2F65"/>
    <w:rsid w:val="00BF4E54"/>
    <w:rsid w:val="00BF6A9F"/>
    <w:rsid w:val="00C002C1"/>
    <w:rsid w:val="00C01DC2"/>
    <w:rsid w:val="00C024F4"/>
    <w:rsid w:val="00C1293E"/>
    <w:rsid w:val="00C138D1"/>
    <w:rsid w:val="00C14750"/>
    <w:rsid w:val="00C20A36"/>
    <w:rsid w:val="00C21486"/>
    <w:rsid w:val="00C2205E"/>
    <w:rsid w:val="00C23A97"/>
    <w:rsid w:val="00C30BDD"/>
    <w:rsid w:val="00C321FE"/>
    <w:rsid w:val="00C44AFF"/>
    <w:rsid w:val="00C46329"/>
    <w:rsid w:val="00C52EBE"/>
    <w:rsid w:val="00C558FD"/>
    <w:rsid w:val="00C5776D"/>
    <w:rsid w:val="00C6143A"/>
    <w:rsid w:val="00C61C9E"/>
    <w:rsid w:val="00C64855"/>
    <w:rsid w:val="00C65482"/>
    <w:rsid w:val="00C663B1"/>
    <w:rsid w:val="00C66762"/>
    <w:rsid w:val="00C70EA7"/>
    <w:rsid w:val="00C7433F"/>
    <w:rsid w:val="00C747AE"/>
    <w:rsid w:val="00C7516E"/>
    <w:rsid w:val="00C75770"/>
    <w:rsid w:val="00C80AA2"/>
    <w:rsid w:val="00C83F00"/>
    <w:rsid w:val="00C87319"/>
    <w:rsid w:val="00C93212"/>
    <w:rsid w:val="00C9394C"/>
    <w:rsid w:val="00C95ED2"/>
    <w:rsid w:val="00CA56BB"/>
    <w:rsid w:val="00CA6FB7"/>
    <w:rsid w:val="00CB0542"/>
    <w:rsid w:val="00CB0582"/>
    <w:rsid w:val="00CB2087"/>
    <w:rsid w:val="00CB2296"/>
    <w:rsid w:val="00CB39F6"/>
    <w:rsid w:val="00CB5429"/>
    <w:rsid w:val="00CB682D"/>
    <w:rsid w:val="00CC0DB5"/>
    <w:rsid w:val="00CC1529"/>
    <w:rsid w:val="00CC2F53"/>
    <w:rsid w:val="00CC39A4"/>
    <w:rsid w:val="00CC5CDD"/>
    <w:rsid w:val="00CC6E9C"/>
    <w:rsid w:val="00CC7DC1"/>
    <w:rsid w:val="00CD33D2"/>
    <w:rsid w:val="00CD6084"/>
    <w:rsid w:val="00CD7548"/>
    <w:rsid w:val="00CD7C16"/>
    <w:rsid w:val="00CE1417"/>
    <w:rsid w:val="00CE4AF9"/>
    <w:rsid w:val="00CF1DB5"/>
    <w:rsid w:val="00CF3F01"/>
    <w:rsid w:val="00CF740C"/>
    <w:rsid w:val="00D00B2B"/>
    <w:rsid w:val="00D030B6"/>
    <w:rsid w:val="00D03C2A"/>
    <w:rsid w:val="00D040C1"/>
    <w:rsid w:val="00D071CF"/>
    <w:rsid w:val="00D079BA"/>
    <w:rsid w:val="00D1033B"/>
    <w:rsid w:val="00D14EBF"/>
    <w:rsid w:val="00D16F21"/>
    <w:rsid w:val="00D1721C"/>
    <w:rsid w:val="00D20739"/>
    <w:rsid w:val="00D2257E"/>
    <w:rsid w:val="00D23964"/>
    <w:rsid w:val="00D24845"/>
    <w:rsid w:val="00D24877"/>
    <w:rsid w:val="00D24ABA"/>
    <w:rsid w:val="00D26F93"/>
    <w:rsid w:val="00D31B01"/>
    <w:rsid w:val="00D33896"/>
    <w:rsid w:val="00D35AF4"/>
    <w:rsid w:val="00D36F9A"/>
    <w:rsid w:val="00D461D8"/>
    <w:rsid w:val="00D4701D"/>
    <w:rsid w:val="00D5047E"/>
    <w:rsid w:val="00D52CA7"/>
    <w:rsid w:val="00D53711"/>
    <w:rsid w:val="00D53900"/>
    <w:rsid w:val="00D54C8C"/>
    <w:rsid w:val="00D54F3B"/>
    <w:rsid w:val="00D6118C"/>
    <w:rsid w:val="00D63318"/>
    <w:rsid w:val="00D63A17"/>
    <w:rsid w:val="00D65394"/>
    <w:rsid w:val="00D65D57"/>
    <w:rsid w:val="00D7105A"/>
    <w:rsid w:val="00D7681D"/>
    <w:rsid w:val="00D80CE1"/>
    <w:rsid w:val="00D80DB2"/>
    <w:rsid w:val="00D81F9B"/>
    <w:rsid w:val="00D8250F"/>
    <w:rsid w:val="00D833C3"/>
    <w:rsid w:val="00D86BB3"/>
    <w:rsid w:val="00D86DA9"/>
    <w:rsid w:val="00D871F2"/>
    <w:rsid w:val="00D907B0"/>
    <w:rsid w:val="00D915BF"/>
    <w:rsid w:val="00D919DB"/>
    <w:rsid w:val="00D93DC9"/>
    <w:rsid w:val="00D95C4C"/>
    <w:rsid w:val="00DA36ED"/>
    <w:rsid w:val="00DA6B41"/>
    <w:rsid w:val="00DB1F7D"/>
    <w:rsid w:val="00DC32A8"/>
    <w:rsid w:val="00DC3D5C"/>
    <w:rsid w:val="00DC3F21"/>
    <w:rsid w:val="00DC4AA7"/>
    <w:rsid w:val="00DC6FCE"/>
    <w:rsid w:val="00DD008E"/>
    <w:rsid w:val="00DD07CB"/>
    <w:rsid w:val="00DD284B"/>
    <w:rsid w:val="00DD3A38"/>
    <w:rsid w:val="00DD5535"/>
    <w:rsid w:val="00DE34F1"/>
    <w:rsid w:val="00DE5410"/>
    <w:rsid w:val="00DE6160"/>
    <w:rsid w:val="00DE7DAA"/>
    <w:rsid w:val="00DF0C85"/>
    <w:rsid w:val="00DF28DF"/>
    <w:rsid w:val="00DF438D"/>
    <w:rsid w:val="00DF4942"/>
    <w:rsid w:val="00DF4E41"/>
    <w:rsid w:val="00DF5D7C"/>
    <w:rsid w:val="00DF7B58"/>
    <w:rsid w:val="00E02EBC"/>
    <w:rsid w:val="00E03679"/>
    <w:rsid w:val="00E049B5"/>
    <w:rsid w:val="00E06B3B"/>
    <w:rsid w:val="00E11C17"/>
    <w:rsid w:val="00E20733"/>
    <w:rsid w:val="00E211EB"/>
    <w:rsid w:val="00E2125F"/>
    <w:rsid w:val="00E21CDF"/>
    <w:rsid w:val="00E221D9"/>
    <w:rsid w:val="00E23DCA"/>
    <w:rsid w:val="00E244E1"/>
    <w:rsid w:val="00E40F33"/>
    <w:rsid w:val="00E4150C"/>
    <w:rsid w:val="00E41D48"/>
    <w:rsid w:val="00E45687"/>
    <w:rsid w:val="00E456E0"/>
    <w:rsid w:val="00E4570D"/>
    <w:rsid w:val="00E47625"/>
    <w:rsid w:val="00E51970"/>
    <w:rsid w:val="00E5459D"/>
    <w:rsid w:val="00E606B4"/>
    <w:rsid w:val="00E627B1"/>
    <w:rsid w:val="00E62C7B"/>
    <w:rsid w:val="00E670E2"/>
    <w:rsid w:val="00E70169"/>
    <w:rsid w:val="00E717A9"/>
    <w:rsid w:val="00E71841"/>
    <w:rsid w:val="00E73664"/>
    <w:rsid w:val="00E73718"/>
    <w:rsid w:val="00E75095"/>
    <w:rsid w:val="00E75F24"/>
    <w:rsid w:val="00E84E07"/>
    <w:rsid w:val="00E873DE"/>
    <w:rsid w:val="00E9376C"/>
    <w:rsid w:val="00E95AE2"/>
    <w:rsid w:val="00E96786"/>
    <w:rsid w:val="00E97DCE"/>
    <w:rsid w:val="00EA1BAF"/>
    <w:rsid w:val="00EA27C3"/>
    <w:rsid w:val="00EA335E"/>
    <w:rsid w:val="00EA528C"/>
    <w:rsid w:val="00EA5729"/>
    <w:rsid w:val="00EA580C"/>
    <w:rsid w:val="00EB61DB"/>
    <w:rsid w:val="00EB6513"/>
    <w:rsid w:val="00EB7A58"/>
    <w:rsid w:val="00EC0A7E"/>
    <w:rsid w:val="00EC1AB1"/>
    <w:rsid w:val="00EC6F8D"/>
    <w:rsid w:val="00EC7FEA"/>
    <w:rsid w:val="00ED20FA"/>
    <w:rsid w:val="00ED39B2"/>
    <w:rsid w:val="00ED3F7E"/>
    <w:rsid w:val="00ED5C73"/>
    <w:rsid w:val="00ED6174"/>
    <w:rsid w:val="00ED7AA2"/>
    <w:rsid w:val="00EE1837"/>
    <w:rsid w:val="00EE49F4"/>
    <w:rsid w:val="00EE7E24"/>
    <w:rsid w:val="00EF06DE"/>
    <w:rsid w:val="00EF1C87"/>
    <w:rsid w:val="00EF34E2"/>
    <w:rsid w:val="00EF4E87"/>
    <w:rsid w:val="00EF608A"/>
    <w:rsid w:val="00EF7327"/>
    <w:rsid w:val="00F02932"/>
    <w:rsid w:val="00F05255"/>
    <w:rsid w:val="00F052E8"/>
    <w:rsid w:val="00F10E3D"/>
    <w:rsid w:val="00F1246B"/>
    <w:rsid w:val="00F125FC"/>
    <w:rsid w:val="00F15E62"/>
    <w:rsid w:val="00F173C8"/>
    <w:rsid w:val="00F17FBA"/>
    <w:rsid w:val="00F20402"/>
    <w:rsid w:val="00F30DC6"/>
    <w:rsid w:val="00F314C3"/>
    <w:rsid w:val="00F31F96"/>
    <w:rsid w:val="00F32C23"/>
    <w:rsid w:val="00F34336"/>
    <w:rsid w:val="00F359A7"/>
    <w:rsid w:val="00F42FFF"/>
    <w:rsid w:val="00F4561B"/>
    <w:rsid w:val="00F461A0"/>
    <w:rsid w:val="00F53DE9"/>
    <w:rsid w:val="00F5716B"/>
    <w:rsid w:val="00F576CB"/>
    <w:rsid w:val="00F61C7A"/>
    <w:rsid w:val="00F62D0A"/>
    <w:rsid w:val="00F65E98"/>
    <w:rsid w:val="00F6628B"/>
    <w:rsid w:val="00F67C22"/>
    <w:rsid w:val="00F7032A"/>
    <w:rsid w:val="00F7035D"/>
    <w:rsid w:val="00F70CC5"/>
    <w:rsid w:val="00F71A02"/>
    <w:rsid w:val="00F72B47"/>
    <w:rsid w:val="00F76AF1"/>
    <w:rsid w:val="00F803DA"/>
    <w:rsid w:val="00F81906"/>
    <w:rsid w:val="00F92876"/>
    <w:rsid w:val="00F96CA3"/>
    <w:rsid w:val="00FA073D"/>
    <w:rsid w:val="00FA0D63"/>
    <w:rsid w:val="00FA30A9"/>
    <w:rsid w:val="00FB292B"/>
    <w:rsid w:val="00FB379C"/>
    <w:rsid w:val="00FB487F"/>
    <w:rsid w:val="00FB70EC"/>
    <w:rsid w:val="00FB7F6A"/>
    <w:rsid w:val="00FC0C78"/>
    <w:rsid w:val="00FC140C"/>
    <w:rsid w:val="00FC1A8C"/>
    <w:rsid w:val="00FC5CC2"/>
    <w:rsid w:val="00FD1226"/>
    <w:rsid w:val="00FD3559"/>
    <w:rsid w:val="00FD44B5"/>
    <w:rsid w:val="00FD4BC8"/>
    <w:rsid w:val="00FD4FFD"/>
    <w:rsid w:val="00FD569E"/>
    <w:rsid w:val="00FE03A3"/>
    <w:rsid w:val="00FE584C"/>
    <w:rsid w:val="00FE72F8"/>
    <w:rsid w:val="00FF40BB"/>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3AA5"/>
    <w:rPr>
      <w:rFonts w:ascii="Times New Roman" w:eastAsia="Times New Roman" w:hAnsi="Times New Roman"/>
      <w:sz w:val="24"/>
      <w:szCs w:val="24"/>
    </w:rPr>
  </w:style>
  <w:style w:type="paragraph" w:styleId="Heading1">
    <w:name w:val="heading 1"/>
    <w:basedOn w:val="Normal"/>
    <w:next w:val="Normal"/>
    <w:link w:val="Heading1Char"/>
    <w:uiPriority w:val="9"/>
    <w:rsid w:val="000E40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CC5CDD"/>
    <w:rPr>
      <w:color w:val="0000FF"/>
      <w:u w:val="single"/>
    </w:rPr>
  </w:style>
  <w:style w:type="paragraph" w:customStyle="1" w:styleId="Para">
    <w:name w:val="Para"/>
    <w:basedOn w:val="Normal"/>
    <w:link w:val="ParaChar"/>
    <w:qFormat/>
    <w:rsid w:val="00990F1C"/>
    <w:pPr>
      <w:numPr>
        <w:numId w:val="28"/>
      </w:numPr>
      <w:spacing w:after="120" w:line="240" w:lineRule="exact"/>
      <w:jc w:val="both"/>
    </w:pPr>
    <w:rPr>
      <w:rFonts w:ascii="Arial" w:eastAsia="SimSun" w:hAnsi="Arial"/>
      <w:sz w:val="20"/>
      <w:szCs w:val="20"/>
    </w:rPr>
  </w:style>
  <w:style w:type="character" w:styleId="UnresolvedMention">
    <w:name w:val="Unresolved Mention"/>
    <w:basedOn w:val="DefaultParagraphFont"/>
    <w:uiPriority w:val="99"/>
    <w:semiHidden/>
    <w:unhideWhenUsed/>
    <w:rsid w:val="00C95ED2"/>
    <w:rPr>
      <w:color w:val="605E5C"/>
      <w:shd w:val="clear" w:color="auto" w:fill="E1DFDD"/>
    </w:rPr>
  </w:style>
  <w:style w:type="character" w:styleId="FollowedHyperlink">
    <w:name w:val="FollowedHyperlink"/>
    <w:basedOn w:val="DefaultParagraphFont"/>
    <w:uiPriority w:val="99"/>
    <w:semiHidden/>
    <w:unhideWhenUsed/>
    <w:rsid w:val="00242188"/>
    <w:rPr>
      <w:color w:val="800080" w:themeColor="followedHyperlink"/>
      <w:u w:val="single"/>
    </w:rPr>
  </w:style>
  <w:style w:type="character" w:styleId="CommentReference">
    <w:name w:val="annotation reference"/>
    <w:basedOn w:val="DefaultParagraphFont"/>
    <w:uiPriority w:val="99"/>
    <w:semiHidden/>
    <w:unhideWhenUsed/>
    <w:rsid w:val="00F173C8"/>
    <w:rPr>
      <w:sz w:val="16"/>
      <w:szCs w:val="16"/>
    </w:rPr>
  </w:style>
  <w:style w:type="paragraph" w:styleId="CommentText">
    <w:name w:val="annotation text"/>
    <w:basedOn w:val="Normal"/>
    <w:link w:val="CommentTextChar"/>
    <w:uiPriority w:val="99"/>
    <w:unhideWhenUsed/>
    <w:rsid w:val="00F173C8"/>
    <w:rPr>
      <w:sz w:val="20"/>
      <w:szCs w:val="20"/>
    </w:rPr>
  </w:style>
  <w:style w:type="character" w:customStyle="1" w:styleId="CommentTextChar">
    <w:name w:val="Comment Text Char"/>
    <w:basedOn w:val="DefaultParagraphFont"/>
    <w:link w:val="CommentText"/>
    <w:uiPriority w:val="99"/>
    <w:rsid w:val="00F173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173C8"/>
    <w:rPr>
      <w:b/>
      <w:bCs/>
    </w:rPr>
  </w:style>
  <w:style w:type="character" w:customStyle="1" w:styleId="CommentSubjectChar">
    <w:name w:val="Comment Subject Char"/>
    <w:basedOn w:val="CommentTextChar"/>
    <w:link w:val="CommentSubject"/>
    <w:uiPriority w:val="99"/>
    <w:semiHidden/>
    <w:rsid w:val="00F173C8"/>
    <w:rPr>
      <w:rFonts w:ascii="Times New Roman" w:eastAsia="Times New Roman" w:hAnsi="Times New Roman"/>
      <w:b/>
      <w:bCs/>
    </w:rPr>
  </w:style>
  <w:style w:type="character" w:customStyle="1" w:styleId="ParaChar">
    <w:name w:val="Para Char"/>
    <w:link w:val="Para"/>
    <w:locked/>
    <w:rsid w:val="00AF770A"/>
    <w:rPr>
      <w:rFonts w:ascii="Arial" w:hAnsi="Arial"/>
    </w:rPr>
  </w:style>
  <w:style w:type="paragraph" w:styleId="Revision">
    <w:name w:val="Revision"/>
    <w:hidden/>
    <w:uiPriority w:val="99"/>
    <w:semiHidden/>
    <w:rsid w:val="00B921D8"/>
    <w:rPr>
      <w:rFonts w:ascii="Times New Roman" w:eastAsia="Times New Roman" w:hAnsi="Times New Roman"/>
      <w:sz w:val="24"/>
      <w:szCs w:val="24"/>
    </w:rPr>
  </w:style>
  <w:style w:type="character" w:customStyle="1" w:styleId="MargeChar">
    <w:name w:val="Marge Char"/>
    <w:link w:val="Marge"/>
    <w:rsid w:val="00D80CE1"/>
    <w:rPr>
      <w:rFonts w:ascii="Arial" w:eastAsia="Times New Roman" w:hAnsi="Arial"/>
      <w:snapToGrid w:val="0"/>
      <w:sz w:val="22"/>
      <w:szCs w:val="24"/>
      <w:lang w:eastAsia="en-US"/>
    </w:rPr>
  </w:style>
  <w:style w:type="character" w:styleId="Strong">
    <w:name w:val="Strong"/>
    <w:basedOn w:val="DefaultParagraphFont"/>
    <w:uiPriority w:val="22"/>
    <w:qFormat/>
    <w:rsid w:val="00D80CE1"/>
    <w:rPr>
      <w:b/>
      <w:bCs/>
    </w:rPr>
  </w:style>
  <w:style w:type="character" w:styleId="Emphasis">
    <w:name w:val="Emphasis"/>
    <w:basedOn w:val="DefaultParagraphFont"/>
    <w:uiPriority w:val="20"/>
    <w:qFormat/>
    <w:rsid w:val="009345A8"/>
    <w:rPr>
      <w:i/>
      <w:iCs/>
    </w:rPr>
  </w:style>
  <w:style w:type="character" w:customStyle="1" w:styleId="Heading1Char">
    <w:name w:val="Heading 1 Char"/>
    <w:basedOn w:val="DefaultParagraphFont"/>
    <w:link w:val="Heading1"/>
    <w:uiPriority w:val="9"/>
    <w:rsid w:val="000E403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D071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88522">
      <w:bodyDiv w:val="1"/>
      <w:marLeft w:val="0"/>
      <w:marRight w:val="0"/>
      <w:marTop w:val="0"/>
      <w:marBottom w:val="0"/>
      <w:divBdr>
        <w:top w:val="none" w:sz="0" w:space="0" w:color="auto"/>
        <w:left w:val="none" w:sz="0" w:space="0" w:color="auto"/>
        <w:bottom w:val="none" w:sz="0" w:space="0" w:color="auto"/>
        <w:right w:val="none" w:sz="0" w:space="0" w:color="auto"/>
      </w:divBdr>
    </w:div>
    <w:div w:id="511800890">
      <w:bodyDiv w:val="1"/>
      <w:marLeft w:val="0"/>
      <w:marRight w:val="0"/>
      <w:marTop w:val="0"/>
      <w:marBottom w:val="0"/>
      <w:divBdr>
        <w:top w:val="none" w:sz="0" w:space="0" w:color="auto"/>
        <w:left w:val="none" w:sz="0" w:space="0" w:color="auto"/>
        <w:bottom w:val="none" w:sz="0" w:space="0" w:color="auto"/>
        <w:right w:val="none" w:sz="0" w:space="0" w:color="auto"/>
      </w:divBdr>
    </w:div>
    <w:div w:id="61375533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30297328">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51687737">
      <w:bodyDiv w:val="1"/>
      <w:marLeft w:val="0"/>
      <w:marRight w:val="0"/>
      <w:marTop w:val="0"/>
      <w:marBottom w:val="0"/>
      <w:divBdr>
        <w:top w:val="none" w:sz="0" w:space="0" w:color="auto"/>
        <w:left w:val="none" w:sz="0" w:space="0" w:color="auto"/>
        <w:bottom w:val="none" w:sz="0" w:space="0" w:color="auto"/>
        <w:right w:val="none" w:sz="0" w:space="0" w:color="auto"/>
      </w:divBdr>
    </w:div>
    <w:div w:id="1531644460">
      <w:bodyDiv w:val="1"/>
      <w:marLeft w:val="0"/>
      <w:marRight w:val="0"/>
      <w:marTop w:val="0"/>
      <w:marBottom w:val="0"/>
      <w:divBdr>
        <w:top w:val="none" w:sz="0" w:space="0" w:color="auto"/>
        <w:left w:val="none" w:sz="0" w:space="0" w:color="auto"/>
        <w:bottom w:val="none" w:sz="0" w:space="0" w:color="auto"/>
        <w:right w:val="none" w:sz="0" w:space="0" w:color="auto"/>
      </w:divBdr>
    </w:div>
    <w:div w:id="157373496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99100197">
      <w:bodyDiv w:val="1"/>
      <w:marLeft w:val="0"/>
      <w:marRight w:val="0"/>
      <w:marTop w:val="0"/>
      <w:marBottom w:val="0"/>
      <w:divBdr>
        <w:top w:val="none" w:sz="0" w:space="0" w:color="auto"/>
        <w:left w:val="none" w:sz="0" w:space="0" w:color="auto"/>
        <w:bottom w:val="none" w:sz="0" w:space="0" w:color="auto"/>
        <w:right w:val="none" w:sz="0" w:space="0" w:color="auto"/>
      </w:divBdr>
    </w:div>
    <w:div w:id="165452486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USL/bisalhaes-black-pottery-manufacturing-process-01199" TargetMode="External"/><Relationship Id="rId18" Type="http://schemas.openxmlformats.org/officeDocument/2006/relationships/hyperlink" Target="https://ich.unesco.org/fr/USL/rituals-and-practices-associated-with-kit-mikayi-shrine-01489" TargetMode="External"/><Relationship Id="rId26" Type="http://schemas.openxmlformats.org/officeDocument/2006/relationships/hyperlink" Target="https://ich.unesco.org/doc/download.php?versionID=84126" TargetMode="External"/><Relationship Id="rId39" Type="http://schemas.openxmlformats.org/officeDocument/2006/relationships/hyperlink" Target="https://ich.unesco.org/fr/assistances/chapei-dang-veng-international-assistance-01306" TargetMode="External"/><Relationship Id="rId21" Type="http://schemas.openxmlformats.org/officeDocument/2006/relationships/hyperlink" Target="https://ich.unesco.org/fr/USL/koogere-oral-tradition-of-the-basongora-banyabindi-and-batooro-peoples-00911" TargetMode="External"/><Relationship Id="rId34" Type="http://schemas.openxmlformats.org/officeDocument/2006/relationships/hyperlink" Target="https://ich.unesco.org/fr/decisions/18.COM/21" TargetMode="External"/><Relationship Id="rId42" Type="http://schemas.openxmlformats.org/officeDocument/2006/relationships/hyperlink" Target="https://ich.unesco.org/fr/decisions/16.COM/7.A.1" TargetMode="External"/><Relationship Id="rId47" Type="http://schemas.openxmlformats.org/officeDocument/2006/relationships/hyperlink" Target="https://ich.unesco.org/fr/decisions/15.COM/8.a.3" TargetMode="External"/><Relationship Id="rId50" Type="http://schemas.openxmlformats.org/officeDocument/2006/relationships/hyperlink" Target="https://ich.unesco.org/doc/download.php?versionID=63349" TargetMode="External"/><Relationship Id="rId55" Type="http://schemas.openxmlformats.org/officeDocument/2006/relationships/hyperlink" Target="https://ich.unesco.org/doc/download.php?versionID=63355" TargetMode="External"/><Relationship Id="rId63" Type="http://schemas.openxmlformats.org/officeDocument/2006/relationships/hyperlink" Target="https://ich.unesco.org/fr/decisions-bureau/11.COM%203.BUR/5.1" TargetMode="External"/><Relationship Id="rId68" Type="http://schemas.openxmlformats.org/officeDocument/2006/relationships/hyperlink" Target="https://ich.unesco.org/doc/download.php?versionID=84127"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download.php?versionID=63372" TargetMode="External"/><Relationship Id="rId2" Type="http://schemas.openxmlformats.org/officeDocument/2006/relationships/numbering" Target="numbering.xml"/><Relationship Id="rId16" Type="http://schemas.openxmlformats.org/officeDocument/2006/relationships/hyperlink" Target="https://ich.unesco.org/fr/USL/noken-multifunctional-knotted-or-woven-bag-handcraft-of-the-people-of-papua-00619" TargetMode="External"/><Relationship Id="rId29" Type="http://schemas.openxmlformats.org/officeDocument/2006/relationships/hyperlink" Target="https://ich.unesco.org/fr/decisions/15.COM/8.A.1" TargetMode="External"/><Relationship Id="rId11" Type="http://schemas.openxmlformats.org/officeDocument/2006/relationships/hyperlink" Target="https://ich.unesco.org/fr/USL/chapei-dang-veng-01165?USL=01165" TargetMode="External"/><Relationship Id="rId24" Type="http://schemas.openxmlformats.org/officeDocument/2006/relationships/hyperlink" Target="https://ich.unesco.org/fr/Resolutions/9.GA/9" TargetMode="External"/><Relationship Id="rId32" Type="http://schemas.openxmlformats.org/officeDocument/2006/relationships/hyperlink" Target="https://ich.unesco.org/fr/assistances/aixan-gana-obans-tsi-khasigu-ancestral-musical-sound-knowledge-and-skills-international-assistance-01639" TargetMode="External"/><Relationship Id="rId37" Type="http://schemas.openxmlformats.org/officeDocument/2006/relationships/hyperlink" Target="https://ich.unesco.org/fr/decisions/16.COM/7.A.1" TargetMode="External"/><Relationship Id="rId40" Type="http://schemas.openxmlformats.org/officeDocument/2006/relationships/hyperlink" Target="https://ich.unesco.org/fr/decisions/16.COM/7.A.1" TargetMode="External"/><Relationship Id="rId45" Type="http://schemas.openxmlformats.org/officeDocument/2006/relationships/hyperlink" Target="https://ich.unesco.org/doc/download.php?versionID=70403" TargetMode="External"/><Relationship Id="rId53" Type="http://schemas.openxmlformats.org/officeDocument/2006/relationships/hyperlink" Target="https://ich.unesco.org/fr/decisions/16.COM/7.A.4" TargetMode="External"/><Relationship Id="rId58" Type="http://schemas.openxmlformats.org/officeDocument/2006/relationships/hyperlink" Target="https://ich.unesco.org/doc/download.php?versionID=84125" TargetMode="External"/><Relationship Id="rId66" Type="http://schemas.openxmlformats.org/officeDocument/2006/relationships/hyperlink" Target="https://ich.unesco.org/fr/Decisions/12.COM/8.c.1" TargetMode="External"/><Relationship Id="rId74" Type="http://schemas.openxmlformats.org/officeDocument/2006/relationships/hyperlink" Target="https://ich.unesco.org/fr/Decisions/12.COM/8.c.1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ch.unesco.org/fr/decisions/12.COM/8.C.1" TargetMode="External"/><Relationship Id="rId10" Type="http://schemas.openxmlformats.org/officeDocument/2006/relationships/hyperlink" Target="https://ich.unesco.org/fr/USL/les-connaissances-et-techniques-traditionnelles-associees-au-vernis-de-pasto-mopa-mopa-de-putumayo-et-narino-01599" TargetMode="External"/><Relationship Id="rId19" Type="http://schemas.openxmlformats.org/officeDocument/2006/relationships/hyperlink" Target="https://ich.unesco.org/fr/USL/ala-kiyiz-and-shyrdak-art-of-kyrgyz-traditional-felt-carpets-00693" TargetMode="External"/><Relationship Id="rId31" Type="http://schemas.openxmlformats.org/officeDocument/2006/relationships/hyperlink" Target="https://ich.unesco.org/fr/decisions/15.COM/8.A.4" TargetMode="External"/><Relationship Id="rId44" Type="http://schemas.openxmlformats.org/officeDocument/2006/relationships/hyperlink" Target="https://ich.unesco.org/fr/decisions/15.COM/8.a.3" TargetMode="External"/><Relationship Id="rId52" Type="http://schemas.openxmlformats.org/officeDocument/2006/relationships/hyperlink" Target="https://ich.unesco.org/fr/Decisions/11.COM/10.a.3" TargetMode="External"/><Relationship Id="rId60" Type="http://schemas.openxmlformats.org/officeDocument/2006/relationships/hyperlink" Target="https://ich.unesco.org/doc/download.php?versionID=63357" TargetMode="External"/><Relationship Id="rId65" Type="http://schemas.openxmlformats.org/officeDocument/2006/relationships/hyperlink" Target="https://ich.unesco.org/fr/Decisions/7.COM/8.1" TargetMode="External"/><Relationship Id="rId73" Type="http://schemas.openxmlformats.org/officeDocument/2006/relationships/hyperlink" Target="https://ich.unesco.org/fr/decisions/7.COM/8.3" TargetMode="External"/><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fr/USL/les-connaissances-et-techniques-traditionnelles-associees-au-vernis-de-pasto-mopa-mopa-de-putumayo-et-narino-01599?USL=01599" TargetMode="External"/><Relationship Id="rId14" Type="http://schemas.openxmlformats.org/officeDocument/2006/relationships/hyperlink" Target="https://ich.unesco.org/fr/USL/cossack-s-songs-of-dnipropetrovsk-region-01194" TargetMode="External"/><Relationship Id="rId22" Type="http://schemas.openxmlformats.org/officeDocument/2006/relationships/hyperlink" Target="https://ich.unesco.org/fr/USL/ma-di-bowl-lyre-music-and-dance-01187" TargetMode="External"/><Relationship Id="rId27" Type="http://schemas.openxmlformats.org/officeDocument/2006/relationships/hyperlink" Target="https://ich.unesco.org/fr/decisions-bureau/17.COM%201.BUR/3" TargetMode="External"/><Relationship Id="rId30" Type="http://schemas.openxmlformats.org/officeDocument/2006/relationships/hyperlink" Target="https://ich.unesco.org/doc/download.php?versionID=84131" TargetMode="External"/><Relationship Id="rId35" Type="http://schemas.openxmlformats.org/officeDocument/2006/relationships/hyperlink" Target="https://ich.unesco.org/doc/download.php?versionID=84130" TargetMode="External"/><Relationship Id="rId43" Type="http://schemas.openxmlformats.org/officeDocument/2006/relationships/hyperlink" Target="https://ich.unesco.org/doc/download.php?versionID=84311" TargetMode="External"/><Relationship Id="rId48" Type="http://schemas.openxmlformats.org/officeDocument/2006/relationships/hyperlink" Target="https://ich.unesco.org/fr/decisions/18.COM/7.A.5" TargetMode="External"/><Relationship Id="rId56" Type="http://schemas.openxmlformats.org/officeDocument/2006/relationships/hyperlink" Target="https://ich.unesco.org/fr/decisions/11.COM/10.A.5" TargetMode="External"/><Relationship Id="rId64" Type="http://schemas.openxmlformats.org/officeDocument/2006/relationships/hyperlink" Target="https://ich.unesco.org/fr/assistances/promotion-of-earthen-ware-pottery-making-skills-in-kgatleng-district-01153" TargetMode="External"/><Relationship Id="rId69" Type="http://schemas.openxmlformats.org/officeDocument/2006/relationships/hyperlink" Target="https://ich.unesco.org/doc/download.php?versionID=43096" TargetMode="External"/><Relationship Id="rId77" Type="http://schemas.openxmlformats.org/officeDocument/2006/relationships/header" Target="header2.xml"/><Relationship Id="rId8" Type="http://schemas.openxmlformats.org/officeDocument/2006/relationships/hyperlink" Target="https://ich.unesco.org/fr/6a-rapports-periodiques-lsu-01409" TargetMode="External"/><Relationship Id="rId51" Type="http://schemas.openxmlformats.org/officeDocument/2006/relationships/hyperlink" Target="https://ich.unesco.org/fr/decisions/16.COM/7.A.4" TargetMode="External"/><Relationship Id="rId72" Type="http://schemas.openxmlformats.org/officeDocument/2006/relationships/hyperlink" Target="https://ich.unesco.org/fr/decisions/16.COM/7.A.15"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fr/USL/handmade-weaving-in-upper-egypt-sa-eed-01605" TargetMode="External"/><Relationship Id="rId17" Type="http://schemas.openxmlformats.org/officeDocument/2006/relationships/hyperlink" Target="https://ich.unesco.org/fr/USL/knowledge-and-skills-of-the-water-measurers-of-the-foggaras-or-water-bailiffs-of-touat-and-tidikelt-01274" TargetMode="External"/><Relationship Id="rId25" Type="http://schemas.openxmlformats.org/officeDocument/2006/relationships/hyperlink" Target="https://ich.unesco.org/fr/decisions/19.COM/6.C" TargetMode="External"/><Relationship Id="rId33" Type="http://schemas.openxmlformats.org/officeDocument/2006/relationships/hyperlink" Target="https://ich.unesco.org/fr/decisions/15.COM/8.A.4" TargetMode="External"/><Relationship Id="rId38" Type="http://schemas.openxmlformats.org/officeDocument/2006/relationships/hyperlink" Target="https://ich.unesco.org/fr/Decisions/11.COM/10.a.6" TargetMode="External"/><Relationship Id="rId46" Type="http://schemas.openxmlformats.org/officeDocument/2006/relationships/hyperlink" Target="https://ich.unesco.org/fr/decisions/18.COM/7.A.5" TargetMode="External"/><Relationship Id="rId59" Type="http://schemas.openxmlformats.org/officeDocument/2006/relationships/hyperlink" Target="https://ich.unesco.org/doc/download.php?versionID=44086" TargetMode="External"/><Relationship Id="rId67" Type="http://schemas.openxmlformats.org/officeDocument/2006/relationships/hyperlink" Target="https://ich.unesco.org/fr/decisions/16.COM/7.A.7" TargetMode="External"/><Relationship Id="rId20" Type="http://schemas.openxmlformats.org/officeDocument/2006/relationships/hyperlink" Target="https://ich.unesco.org/fr/USL/glasoechko-male-two-part-singing-in-dolni-polog-01104" TargetMode="External"/><Relationship Id="rId41" Type="http://schemas.openxmlformats.org/officeDocument/2006/relationships/hyperlink" Target="https://ich.unesco.org/fr/decisions/11.COM/10.A.6" TargetMode="External"/><Relationship Id="rId54" Type="http://schemas.openxmlformats.org/officeDocument/2006/relationships/hyperlink" Target="https://ich.unesco.org/doc/download.php?versionID=84133" TargetMode="External"/><Relationship Id="rId62" Type="http://schemas.openxmlformats.org/officeDocument/2006/relationships/hyperlink" Target="https://ich.unesco.org/fr/decisions/16.COM/7.A.7" TargetMode="External"/><Relationship Id="rId70" Type="http://schemas.openxmlformats.org/officeDocument/2006/relationships/hyperlink" Target="https://ich.unesco.org/fr/decisions/12.COM/8.C.10" TargetMode="External"/><Relationship Id="rId75" Type="http://schemas.openxmlformats.org/officeDocument/2006/relationships/hyperlink" Target="https://ich.unesco.org/fr/decisions/16.COM/7.A.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USL/earthenware-pottery-making-skills-in-botswana-s-kgatleng-district-00753" TargetMode="External"/><Relationship Id="rId23" Type="http://schemas.openxmlformats.org/officeDocument/2006/relationships/hyperlink" Target="https://ich.unesco.org/fr/USL/bigwala-gourd-trumpet-music-and-dance-of-the-busoga-kingdom-in-uganda-00749" TargetMode="External"/><Relationship Id="rId28" Type="http://schemas.openxmlformats.org/officeDocument/2006/relationships/hyperlink" Target="https://ich.unesco.org/fr/assistances/entre-l-amazonie-et-les-andes-sauvegarde-et-transmission-des-connaissances-et-techniques-traditionnelles-associees-au-vernis-de-pasto-mopa-mopa-des-departements-colombiens-de-putumayo-et-narino-01926" TargetMode="External"/><Relationship Id="rId36" Type="http://schemas.openxmlformats.org/officeDocument/2006/relationships/hyperlink" Target="https://ich.unesco.org/doc/download.php?versionID=63410" TargetMode="External"/><Relationship Id="rId49" Type="http://schemas.openxmlformats.org/officeDocument/2006/relationships/hyperlink" Target="https://ich.unesco.org/doc/download.php?versionID=84132" TargetMode="External"/><Relationship Id="rId57" Type="http://schemas.openxmlformats.org/officeDocument/2006/relationships/hyperlink" Target="https://ich.unesco.org/fr/decisions/16.COM/7.A.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fr/decisions/18.COM/7.A.5" TargetMode="External"/><Relationship Id="rId1" Type="http://schemas.openxmlformats.org/officeDocument/2006/relationships/hyperlink" Target="https://ich.unesco.org/fr/decisions/15.COM/8.a.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1118</TotalTime>
  <Pages>32</Pages>
  <Words>16660</Words>
  <Characters>91631</Characters>
  <Application>Microsoft Office Word</Application>
  <DocSecurity>0</DocSecurity>
  <Lines>763</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81</cp:revision>
  <cp:lastPrinted>2025-09-29T12:03:00Z</cp:lastPrinted>
  <dcterms:created xsi:type="dcterms:W3CDTF">2025-10-08T10:37:00Z</dcterms:created>
  <dcterms:modified xsi:type="dcterms:W3CDTF">2025-11-10T17:41:00Z</dcterms:modified>
</cp:coreProperties>
</file>