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CD21" w14:textId="77777777" w:rsidR="00264094" w:rsidRPr="00725581" w:rsidRDefault="00264094" w:rsidP="00264094">
      <w:pPr>
        <w:spacing w:before="1440"/>
        <w:jc w:val="center"/>
        <w:rPr>
          <w:rFonts w:ascii="Arial" w:hAnsi="Arial" w:cs="Arial"/>
          <w:b/>
          <w:sz w:val="22"/>
          <w:szCs w:val="22"/>
        </w:rPr>
      </w:pPr>
      <w:r w:rsidRPr="00725581">
        <w:rPr>
          <w:rFonts w:ascii="Arial" w:hAnsi="Arial"/>
          <w:b/>
          <w:sz w:val="22"/>
        </w:rPr>
        <w:t>CONVENTION POUR LA SAUVEGARDE DU</w:t>
      </w:r>
      <w:r w:rsidRPr="00725581">
        <w:rPr>
          <w:rFonts w:ascii="Arial" w:hAnsi="Arial"/>
          <w:b/>
          <w:sz w:val="22"/>
        </w:rPr>
        <w:br/>
        <w:t>PATRIMOINE CULTUREL IMMATÉRIEL</w:t>
      </w:r>
    </w:p>
    <w:p w14:paraId="342368F2" w14:textId="77777777" w:rsidR="00264094" w:rsidRPr="00725581" w:rsidRDefault="00264094" w:rsidP="00264094">
      <w:pPr>
        <w:spacing w:before="1200"/>
        <w:jc w:val="center"/>
        <w:rPr>
          <w:rFonts w:ascii="Arial" w:hAnsi="Arial" w:cs="Arial"/>
          <w:b/>
          <w:sz w:val="22"/>
          <w:szCs w:val="22"/>
        </w:rPr>
      </w:pPr>
      <w:r w:rsidRPr="00725581">
        <w:rPr>
          <w:rFonts w:ascii="Arial" w:hAnsi="Arial"/>
          <w:b/>
          <w:sz w:val="22"/>
        </w:rPr>
        <w:t>COMITÉ INTERGOUVERNEMENTAL DE SAUVEGARDE</w:t>
      </w:r>
      <w:r w:rsidRPr="00725581">
        <w:rPr>
          <w:rFonts w:ascii="Arial" w:hAnsi="Arial"/>
          <w:b/>
          <w:sz w:val="22"/>
        </w:rPr>
        <w:br/>
        <w:t>DU PATRIMOINE CULTUREL IMMATÉRIEL</w:t>
      </w:r>
    </w:p>
    <w:p w14:paraId="4D7DCC6D" w14:textId="77777777" w:rsidR="00264094" w:rsidRPr="00725581" w:rsidRDefault="00264094" w:rsidP="00264094">
      <w:pPr>
        <w:spacing w:before="840"/>
        <w:jc w:val="center"/>
        <w:rPr>
          <w:rFonts w:ascii="Arial" w:hAnsi="Arial" w:cs="Arial"/>
          <w:b/>
          <w:sz w:val="22"/>
          <w:szCs w:val="22"/>
        </w:rPr>
      </w:pPr>
      <w:r w:rsidRPr="00725581">
        <w:rPr>
          <w:rFonts w:ascii="Arial" w:hAnsi="Arial"/>
          <w:b/>
          <w:sz w:val="22"/>
        </w:rPr>
        <w:t>Vingtième session</w:t>
      </w:r>
    </w:p>
    <w:p w14:paraId="6E185A7F" w14:textId="1E5A8D8D" w:rsidR="00264094" w:rsidRPr="00725581" w:rsidRDefault="00264094" w:rsidP="00264094">
      <w:pPr>
        <w:jc w:val="center"/>
        <w:rPr>
          <w:rFonts w:ascii="Arial" w:hAnsi="Arial"/>
          <w:b/>
          <w:sz w:val="22"/>
        </w:rPr>
      </w:pPr>
      <w:r w:rsidRPr="00725581">
        <w:rPr>
          <w:rFonts w:ascii="Arial" w:hAnsi="Arial"/>
          <w:b/>
          <w:sz w:val="22"/>
        </w:rPr>
        <w:t>New Delhi, République de l</w:t>
      </w:r>
      <w:r w:rsidR="00A44FA1">
        <w:rPr>
          <w:rFonts w:ascii="Arial" w:hAnsi="Arial"/>
          <w:b/>
          <w:sz w:val="22"/>
        </w:rPr>
        <w:t>’</w:t>
      </w:r>
      <w:r w:rsidRPr="00725581">
        <w:rPr>
          <w:rFonts w:ascii="Arial" w:hAnsi="Arial"/>
          <w:b/>
          <w:sz w:val="22"/>
        </w:rPr>
        <w:t>Inde</w:t>
      </w:r>
    </w:p>
    <w:p w14:paraId="37549F5E" w14:textId="77777777" w:rsidR="00264094" w:rsidRPr="00725581" w:rsidRDefault="00264094" w:rsidP="00264094">
      <w:pPr>
        <w:jc w:val="center"/>
        <w:rPr>
          <w:rFonts w:ascii="Arial" w:hAnsi="Arial"/>
          <w:b/>
          <w:sz w:val="22"/>
        </w:rPr>
      </w:pPr>
      <w:r w:rsidRPr="00725581">
        <w:rPr>
          <w:rFonts w:ascii="Arial" w:hAnsi="Arial"/>
          <w:b/>
          <w:sz w:val="22"/>
        </w:rPr>
        <w:t>8 – 13 décembre 2025</w:t>
      </w:r>
    </w:p>
    <w:p w14:paraId="0365203A" w14:textId="12F5206F" w:rsidR="00EC6F8D" w:rsidRPr="00725581" w:rsidRDefault="00264094" w:rsidP="00EC6F8D">
      <w:pPr>
        <w:pStyle w:val="Sansinterligne2"/>
        <w:spacing w:before="1200"/>
        <w:jc w:val="center"/>
        <w:rPr>
          <w:rFonts w:ascii="Arial" w:hAnsi="Arial" w:cs="Arial"/>
          <w:b/>
          <w:sz w:val="22"/>
          <w:szCs w:val="22"/>
        </w:rPr>
      </w:pPr>
      <w:r w:rsidRPr="00725581">
        <w:rPr>
          <w:rFonts w:ascii="Arial" w:hAnsi="Arial"/>
          <w:b/>
          <w:sz w:val="22"/>
          <w:u w:val="single"/>
        </w:rPr>
        <w:t>Point 5 de l</w:t>
      </w:r>
      <w:r w:rsidR="00A44FA1">
        <w:rPr>
          <w:rFonts w:ascii="Arial" w:hAnsi="Arial"/>
          <w:b/>
          <w:sz w:val="22"/>
          <w:u w:val="single"/>
        </w:rPr>
        <w:t>’</w:t>
      </w:r>
      <w:r w:rsidRPr="00725581">
        <w:rPr>
          <w:rFonts w:ascii="Arial" w:hAnsi="Arial"/>
          <w:b/>
          <w:sz w:val="22"/>
          <w:u w:val="single"/>
        </w:rPr>
        <w:t>ordre du jour provisoire</w:t>
      </w:r>
      <w:r w:rsidRPr="00725581">
        <w:rPr>
          <w:rFonts w:ascii="Arial" w:hAnsi="Arial"/>
          <w:b/>
          <w:sz w:val="22"/>
        </w:rPr>
        <w:t> :</w:t>
      </w:r>
    </w:p>
    <w:p w14:paraId="59920478" w14:textId="1F8A397D" w:rsidR="004A2875" w:rsidRPr="00725581" w:rsidRDefault="008545A6" w:rsidP="004A2875">
      <w:pPr>
        <w:pStyle w:val="Sansinterligne2"/>
        <w:spacing w:after="960"/>
        <w:jc w:val="center"/>
        <w:rPr>
          <w:rFonts w:ascii="Arial" w:hAnsi="Arial" w:cs="Arial"/>
          <w:bCs/>
          <w:sz w:val="22"/>
          <w:szCs w:val="22"/>
        </w:rPr>
      </w:pPr>
      <w:r w:rsidRPr="00513A33">
        <w:rPr>
          <w:rFonts w:ascii="Arial" w:hAnsi="Arial"/>
          <w:b/>
          <w:sz w:val="22"/>
        </w:rPr>
        <w:t>Rapport du Secrétariat sur ses activités</w:t>
      </w:r>
      <w:r w:rsidRPr="00725581">
        <w:rPr>
          <w:rFonts w:ascii="Arial" w:hAnsi="Arial"/>
          <w:b/>
          <w:sz w:val="22"/>
        </w:rPr>
        <w:t xml:space="preserve"> (</w:t>
      </w:r>
      <w:r w:rsidR="009450F2">
        <w:rPr>
          <w:rFonts w:ascii="Arial" w:hAnsi="Arial"/>
          <w:b/>
          <w:sz w:val="22"/>
        </w:rPr>
        <w:t xml:space="preserve">de </w:t>
      </w:r>
      <w:r w:rsidRPr="00725581">
        <w:rPr>
          <w:rFonts w:ascii="Arial" w:hAnsi="Arial"/>
          <w:b/>
          <w:sz w:val="22"/>
        </w:rPr>
        <w:t>janvier 2024 à juin 2025)</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725581" w14:paraId="75AC6221" w14:textId="77777777" w:rsidTr="00EC6F8D">
        <w:trPr>
          <w:jc w:val="center"/>
        </w:trPr>
        <w:tc>
          <w:tcPr>
            <w:tcW w:w="5670" w:type="dxa"/>
            <w:vAlign w:val="center"/>
          </w:tcPr>
          <w:p w14:paraId="407CDD90" w14:textId="77777777" w:rsidR="00264094" w:rsidRPr="00725581" w:rsidRDefault="00264094" w:rsidP="00264094">
            <w:pPr>
              <w:pStyle w:val="Sansinterligne1"/>
              <w:spacing w:before="200" w:after="200"/>
              <w:jc w:val="center"/>
              <w:rPr>
                <w:rFonts w:ascii="Arial" w:hAnsi="Arial" w:cs="Arial"/>
                <w:b/>
                <w:sz w:val="22"/>
                <w:szCs w:val="22"/>
              </w:rPr>
            </w:pPr>
            <w:r w:rsidRPr="00725581">
              <w:rPr>
                <w:rFonts w:ascii="Arial" w:hAnsi="Arial"/>
                <w:b/>
                <w:sz w:val="22"/>
              </w:rPr>
              <w:t>Résumé</w:t>
            </w:r>
          </w:p>
          <w:p w14:paraId="612E5DE6" w14:textId="7772FE47" w:rsidR="00BB6EEC" w:rsidRPr="00725581" w:rsidRDefault="00CD1AA5" w:rsidP="00BB6EEC">
            <w:pPr>
              <w:pStyle w:val="Sansinterligne1"/>
              <w:jc w:val="both"/>
              <w:rPr>
                <w:rFonts w:ascii="Arial" w:hAnsi="Arial" w:cs="Arial"/>
                <w:bCs/>
                <w:sz w:val="22"/>
                <w:szCs w:val="22"/>
              </w:rPr>
            </w:pPr>
            <w:r w:rsidRPr="00725581">
              <w:rPr>
                <w:rFonts w:ascii="Arial" w:hAnsi="Arial"/>
                <w:sz w:val="22"/>
              </w:rPr>
              <w:t>Ce document donne un aperçu des activités entreprises par le Secrétariat de la Convention de 2003 du 1</w:t>
            </w:r>
            <w:r w:rsidR="009450F2" w:rsidRPr="00B828F1">
              <w:rPr>
                <w:rFonts w:ascii="Arial" w:hAnsi="Arial"/>
                <w:sz w:val="22"/>
                <w:vertAlign w:val="superscript"/>
              </w:rPr>
              <w:t>er</w:t>
            </w:r>
            <w:r w:rsidR="009450F2">
              <w:rPr>
                <w:rFonts w:ascii="Arial" w:hAnsi="Arial"/>
                <w:sz w:val="22"/>
              </w:rPr>
              <w:t> </w:t>
            </w:r>
            <w:r w:rsidRPr="00725581">
              <w:rPr>
                <w:rFonts w:ascii="Arial" w:hAnsi="Arial"/>
                <w:sz w:val="22"/>
              </w:rPr>
              <w:t>janvier 2024 au 30 juin 2025.</w:t>
            </w:r>
          </w:p>
          <w:p w14:paraId="290310E8" w14:textId="59D3E54D" w:rsidR="00EC6F8D" w:rsidRPr="00725581" w:rsidRDefault="00264094" w:rsidP="00CA56BB">
            <w:pPr>
              <w:pStyle w:val="Sansinterligne2"/>
              <w:spacing w:before="200" w:after="200"/>
              <w:jc w:val="both"/>
              <w:rPr>
                <w:rFonts w:ascii="Arial" w:hAnsi="Arial" w:cs="Arial"/>
                <w:b/>
                <w:sz w:val="22"/>
                <w:szCs w:val="22"/>
              </w:rPr>
            </w:pPr>
            <w:r w:rsidRPr="00725581">
              <w:rPr>
                <w:rFonts w:ascii="Arial" w:hAnsi="Arial"/>
                <w:b/>
                <w:sz w:val="22"/>
              </w:rPr>
              <w:t>Décision requise :</w:t>
            </w:r>
            <w:r w:rsidRPr="00725581">
              <w:rPr>
                <w:rFonts w:ascii="Arial" w:hAnsi="Arial"/>
                <w:b/>
                <w:sz w:val="22"/>
                <w:lang w:val="en-GB"/>
              </w:rPr>
              <w:t xml:space="preserve"> </w:t>
            </w:r>
            <w:r w:rsidRPr="00725581">
              <w:rPr>
                <w:rFonts w:ascii="Arial" w:hAnsi="Arial"/>
                <w:sz w:val="22"/>
              </w:rPr>
              <w:t>paragraphe </w:t>
            </w:r>
            <w:r w:rsidR="001F5AE7">
              <w:rPr>
                <w:rFonts w:ascii="Arial" w:hAnsi="Arial"/>
                <w:sz w:val="22"/>
                <w:lang w:val="en-GB"/>
              </w:rPr>
              <w:t>23</w:t>
            </w:r>
          </w:p>
        </w:tc>
      </w:tr>
    </w:tbl>
    <w:p w14:paraId="713D819F" w14:textId="77777777" w:rsidR="004A2875" w:rsidRPr="00BB6EEC"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br w:type="page"/>
      </w:r>
    </w:p>
    <w:p w14:paraId="6C62585F" w14:textId="087E07DE" w:rsidR="00F70CC5" w:rsidRPr="00BB6EEC" w:rsidRDefault="0056783D" w:rsidP="00F70CC5">
      <w:pPr>
        <w:pStyle w:val="COMPara"/>
        <w:numPr>
          <w:ilvl w:val="0"/>
          <w:numId w:val="0"/>
        </w:numPr>
        <w:spacing w:before="240"/>
        <w:jc w:val="both"/>
        <w:rPr>
          <w:b/>
          <w:bCs/>
        </w:rPr>
      </w:pPr>
      <w:bookmarkStart w:id="0" w:name="_Hlk124351255"/>
      <w:r>
        <w:rPr>
          <w:b/>
        </w:rPr>
        <w:lastRenderedPageBreak/>
        <w:t>Introduction</w:t>
      </w:r>
    </w:p>
    <w:bookmarkEnd w:id="0"/>
    <w:p w14:paraId="5FA2B7DB" w14:textId="24E4D08A" w:rsidR="0057439C" w:rsidRPr="0099167C" w:rsidRDefault="0056783D" w:rsidP="0056783D">
      <w:pPr>
        <w:pStyle w:val="COMPara"/>
        <w:ind w:left="567" w:hanging="567"/>
        <w:jc w:val="both"/>
      </w:pPr>
      <w:r w:rsidRPr="0099167C">
        <w:t>Le présent rapport donne un aperçu des activités du Secrétariat de la Convention de 2003 entre le 1</w:t>
      </w:r>
      <w:r w:rsidR="009079B2" w:rsidRPr="0099167C">
        <w:t>er</w:t>
      </w:r>
      <w:r w:rsidRPr="0099167C">
        <w:t xml:space="preserve"> janvier 2024 et le 30 juin 2025. La période de référence coïncide avec l</w:t>
      </w:r>
      <w:r w:rsidR="00A44FA1" w:rsidRPr="0099167C">
        <w:t>’</w:t>
      </w:r>
      <w:r w:rsidRPr="0099167C">
        <w:t xml:space="preserve">exercice biennal 2024-2025 du </w:t>
      </w:r>
      <w:hyperlink r:id="rId8" w:history="1">
        <w:r w:rsidRPr="0099167C">
          <w:rPr>
            <w:rStyle w:val="Hyperlink"/>
          </w:rPr>
          <w:t>Programme et budget approuvés pour la période 2022-2025 42 C/5</w:t>
        </w:r>
      </w:hyperlink>
      <w:r w:rsidRPr="0099167C">
        <w:t>. L</w:t>
      </w:r>
      <w:r w:rsidR="00A44FA1" w:rsidRPr="0099167C">
        <w:t>’</w:t>
      </w:r>
      <w:r w:rsidRPr="0099167C">
        <w:t xml:space="preserve">annexe atteste de la contribution du Secrétariat au cadre de résultats du 42 C/5 et, plus spécifiquement, aux indicateurs de performance du </w:t>
      </w:r>
      <w:r w:rsidR="00E63DD9" w:rsidRPr="0099167C">
        <w:t xml:space="preserve">Produit </w:t>
      </w:r>
      <w:r w:rsidR="007C5312" w:rsidRPr="0099167C">
        <w:t>5</w:t>
      </w:r>
      <w:r w:rsidRPr="0099167C">
        <w:t xml:space="preserve">.CLT 4 (« Renforcement des capacités des États membres et des communautés </w:t>
      </w:r>
      <w:r w:rsidR="00B80710" w:rsidRPr="00B828F1">
        <w:t>en matière d’identification</w:t>
      </w:r>
      <w:r w:rsidRPr="0099167C">
        <w:t>,</w:t>
      </w:r>
      <w:r w:rsidR="00B80710" w:rsidRPr="00B828F1">
        <w:t xml:space="preserve"> de</w:t>
      </w:r>
      <w:r w:rsidRPr="0099167C">
        <w:t xml:space="preserve"> sauvegarde et </w:t>
      </w:r>
      <w:r w:rsidR="00B80710" w:rsidRPr="00B828F1">
        <w:t>de promotion du</w:t>
      </w:r>
      <w:r w:rsidRPr="0099167C">
        <w:t xml:space="preserve"> patrimoine vivant ») du programme majeur IV.</w:t>
      </w:r>
    </w:p>
    <w:p w14:paraId="123B6521" w14:textId="6C237338" w:rsidR="00F70CC5" w:rsidRPr="00BB6EEC" w:rsidRDefault="009450F2" w:rsidP="00AC18C1">
      <w:pPr>
        <w:pStyle w:val="COMPara"/>
        <w:numPr>
          <w:ilvl w:val="0"/>
          <w:numId w:val="21"/>
        </w:numPr>
        <w:spacing w:before="240"/>
        <w:ind w:left="567" w:hanging="567"/>
        <w:jc w:val="both"/>
        <w:rPr>
          <w:b/>
          <w:bCs/>
        </w:rPr>
      </w:pPr>
      <w:r>
        <w:rPr>
          <w:b/>
        </w:rPr>
        <w:t>Mécanismes de c</w:t>
      </w:r>
      <w:r w:rsidR="000721EF">
        <w:rPr>
          <w:b/>
        </w:rPr>
        <w:t>oopération internationale et d</w:t>
      </w:r>
      <w:r w:rsidR="00A44FA1">
        <w:rPr>
          <w:b/>
        </w:rPr>
        <w:t>’</w:t>
      </w:r>
      <w:r w:rsidR="000721EF">
        <w:rPr>
          <w:b/>
        </w:rPr>
        <w:t>assistance de la Convention</w:t>
      </w:r>
    </w:p>
    <w:p w14:paraId="0C22BC48" w14:textId="7C483089" w:rsidR="0056783D" w:rsidRPr="0099167C" w:rsidRDefault="0056783D" w:rsidP="0056783D">
      <w:pPr>
        <w:pStyle w:val="COMPara"/>
        <w:ind w:left="567" w:hanging="567"/>
        <w:jc w:val="both"/>
      </w:pPr>
      <w:r w:rsidRPr="0099167C">
        <w:rPr>
          <w:b/>
        </w:rPr>
        <w:t>Soutien aux organes directeurs</w:t>
      </w:r>
      <w:r w:rsidRPr="0099167C">
        <w:t xml:space="preserve"> : 2</w:t>
      </w:r>
      <w:r w:rsidR="001F5AE7" w:rsidRPr="0099167C">
        <w:t>6</w:t>
      </w:r>
      <w:r w:rsidRPr="0099167C">
        <w:t xml:space="preserve"> réunions statutaires ou semi-statutaires ont été organisées pour soutenir la poursuite des travaux des organes directeurs de la Convention. Les principales étapes de la période considérée ont été la dixième session de l</w:t>
      </w:r>
      <w:r w:rsidR="00A44FA1" w:rsidRPr="0099167C">
        <w:t>’</w:t>
      </w:r>
      <w:r w:rsidRPr="0099167C">
        <w:t>Assemblée générale des États parties à la Convention, les 11 et 12 juin 2024 (siège de l</w:t>
      </w:r>
      <w:r w:rsidR="00A44FA1" w:rsidRPr="0099167C">
        <w:t>’</w:t>
      </w:r>
      <w:r w:rsidRPr="0099167C">
        <w:t xml:space="preserve">UNESCO), et la dix-neuvième session du Comité intergouvernemental, du 2 au 6 décembre 2024 (Asuncion, République du Paraguay). Huit réunions du Bureau ont été convoquées pour soutenir les travaux du Comité intergouvernemental (voir le </w:t>
      </w:r>
      <w:r w:rsidRPr="00B828F1">
        <w:t>document LHE/25/20.COM/20</w:t>
      </w:r>
      <w:r w:rsidRPr="0099167C">
        <w:t xml:space="preserve">). Un </w:t>
      </w:r>
      <w:hyperlink r:id="rId9" w:history="1">
        <w:r w:rsidRPr="0099167C">
          <w:rPr>
            <w:rStyle w:val="Hyperlink"/>
          </w:rPr>
          <w:t>calendrier des réunions statutaires</w:t>
        </w:r>
      </w:hyperlink>
      <w:r w:rsidRPr="0099167C">
        <w:t xml:space="preserve"> a été mis à disposition pour la quatrième et la cinquième année consécutive, et mis à jour régulièrement.</w:t>
      </w:r>
    </w:p>
    <w:p w14:paraId="61B2CDD9" w14:textId="4780F7AA" w:rsidR="00EC09B2" w:rsidRDefault="00EC09B2" w:rsidP="0056783D">
      <w:pPr>
        <w:pStyle w:val="COMPara"/>
        <w:ind w:left="567" w:hanging="567"/>
        <w:jc w:val="both"/>
      </w:pPr>
      <w:r>
        <w:rPr>
          <w:b/>
        </w:rPr>
        <w:t>Candidatures :</w:t>
      </w:r>
      <w:r>
        <w:rPr>
          <w:rFonts w:ascii="Times New Roman" w:hAnsi="Times New Roman"/>
          <w:snapToGrid/>
          <w:sz w:val="24"/>
        </w:rPr>
        <w:t xml:space="preserve"> </w:t>
      </w:r>
      <w:r>
        <w:t xml:space="preserve">Conformément à la décision </w:t>
      </w:r>
      <w:hyperlink r:id="rId10" w:history="1">
        <w:r>
          <w:rPr>
            <w:rStyle w:val="Hyperlink"/>
          </w:rPr>
          <w:t>17.COM 15</w:t>
        </w:r>
      </w:hyperlink>
      <w:r>
        <w:t>, qui a fixé le nombre total de dossiers à examiner pour les cycles 2024 et 2025 à un maximum de 120 (soixante en 2024 et soixante en 2025), le Secrétariat a soutenu l</w:t>
      </w:r>
      <w:r w:rsidR="00A44FA1">
        <w:t>’</w:t>
      </w:r>
      <w:r>
        <w:t>Organe d</w:t>
      </w:r>
      <w:r w:rsidR="00A44FA1">
        <w:t>’</w:t>
      </w:r>
      <w:r>
        <w:t>évaluation et le Comité dans leur évaluation et leur examen des dossiers de candidature. Cette assistance a notamment consisté en l</w:t>
      </w:r>
      <w:r w:rsidR="00A44FA1">
        <w:t>’</w:t>
      </w:r>
      <w:r>
        <w:t xml:space="preserve">administration de </w:t>
      </w:r>
      <w:r w:rsidR="009079B2">
        <w:t>soixante-et-onze</w:t>
      </w:r>
      <w:r>
        <w:t xml:space="preserve"> dossiers initialement inclus dans le </w:t>
      </w:r>
      <w:r w:rsidR="00414B37" w:rsidRPr="00B828F1">
        <w:t>cycle 2024</w:t>
      </w:r>
      <w:r>
        <w:t xml:space="preserve"> et </w:t>
      </w:r>
      <w:r w:rsidRPr="00B828F1">
        <w:t>soixante</w:t>
      </w:r>
      <w:r w:rsidR="00EE65CD">
        <w:t>-neuf</w:t>
      </w:r>
      <w:r w:rsidR="009E43AC">
        <w:t xml:space="preserve"> </w:t>
      </w:r>
      <w:r>
        <w:t>dossiers initialement inclus dans l</w:t>
      </w:r>
      <w:r w:rsidR="00A44FA1">
        <w:t>’</w:t>
      </w:r>
      <w:hyperlink r:id="rId11" w:history="1">
        <w:r>
          <w:rPr>
            <w:rStyle w:val="Hyperlink"/>
          </w:rPr>
          <w:t>actuel cycle 2025</w:t>
        </w:r>
      </w:hyperlink>
      <w:r>
        <w:t xml:space="preserve">. En outre, le Secrétariat a enregistré </w:t>
      </w:r>
      <w:r w:rsidRPr="00B828F1">
        <w:t>137</w:t>
      </w:r>
      <w:r w:rsidR="009E43AC">
        <w:t xml:space="preserve"> </w:t>
      </w:r>
      <w:r>
        <w:t>dossiers de candidature nouvellement soumis avant la date limite du 31 mars 2025, et a effectué une vérification technique de l</w:t>
      </w:r>
      <w:r w:rsidR="00A44FA1">
        <w:t>’</w:t>
      </w:r>
      <w:r>
        <w:t xml:space="preserve">exhaustivité de </w:t>
      </w:r>
      <w:r w:rsidR="001F5AE7">
        <w:t>soixante-et-onze</w:t>
      </w:r>
      <w:r>
        <w:t xml:space="preserve"> dossiers initialement inclus dans le </w:t>
      </w:r>
      <w:r w:rsidR="001F5AE7" w:rsidRPr="00414B37">
        <w:t>cycle 2026</w:t>
      </w:r>
      <w:r w:rsidR="001F5AE7" w:rsidRPr="00416ADD">
        <w:t xml:space="preserve"> à venir.</w:t>
      </w:r>
    </w:p>
    <w:p w14:paraId="19C0D7A4" w14:textId="26FF8286" w:rsidR="00326678" w:rsidRDefault="007949D5" w:rsidP="00A47892">
      <w:pPr>
        <w:pStyle w:val="COMPara"/>
        <w:numPr>
          <w:ilvl w:val="1"/>
          <w:numId w:val="9"/>
        </w:numPr>
        <w:ind w:left="900"/>
        <w:jc w:val="both"/>
      </w:pPr>
      <w:r>
        <w:t xml:space="preserve">Notamment, 2024 et 2025 ont également été les premières et deuxièmes années au cours desquelles les procédures nouvelles ou améliorées </w:t>
      </w:r>
      <w:r w:rsidR="00414B37">
        <w:t>–</w:t>
      </w:r>
      <w:r>
        <w:t xml:space="preserve"> établies</w:t>
      </w:r>
      <w:r w:rsidR="00414B37">
        <w:t xml:space="preserve"> </w:t>
      </w:r>
      <w:r>
        <w:t>par la réflexion globale sur les mécanismes d</w:t>
      </w:r>
      <w:r w:rsidR="00A44FA1">
        <w:t>’</w:t>
      </w:r>
      <w:r>
        <w:t xml:space="preserve">inscription </w:t>
      </w:r>
      <w:r w:rsidR="00414B37">
        <w:t xml:space="preserve">sur les listes </w:t>
      </w:r>
      <w:r>
        <w:t xml:space="preserve">de la Convention de 2003 </w:t>
      </w:r>
      <w:r w:rsidR="00414B37">
        <w:t>–</w:t>
      </w:r>
      <w:r>
        <w:t xml:space="preserve"> ont</w:t>
      </w:r>
      <w:r w:rsidR="00414B37">
        <w:t xml:space="preserve"> </w:t>
      </w:r>
      <w:r>
        <w:t>été appliquées, en utilisant les formulaires révisés et simplifiés élaborés par le Secrétariat. Ces procédures ont un objectif commun : rendre les listes et le registre de la Convention plus dynamiques et interconnectés, et mettre en avant les préoccupations et les aspirations des communautés. Un nombre significativement plus élevé de matériel audiovisuel a été soumis au cours des deux cycles, nécessitant un traitement spécialisé. Un autre exemple est l</w:t>
      </w:r>
      <w:r w:rsidR="00A44FA1">
        <w:t>’</w:t>
      </w:r>
      <w:r>
        <w:t>application de la procédure de transfert, pour laquelle le Secrétariat a aidé l</w:t>
      </w:r>
      <w:r w:rsidR="00A44FA1">
        <w:t>’</w:t>
      </w:r>
      <w:r>
        <w:t>Organe d</w:t>
      </w:r>
      <w:r w:rsidR="00A44FA1">
        <w:t>’</w:t>
      </w:r>
      <w:r>
        <w:t xml:space="preserve">évaluation à traiter </w:t>
      </w:r>
      <w:r w:rsidRPr="00B828F1">
        <w:t>5</w:t>
      </w:r>
      <w:r>
        <w:t xml:space="preserve"> demandes, y compris la possibilité d</w:t>
      </w:r>
      <w:r w:rsidR="00A44FA1">
        <w:t>’</w:t>
      </w:r>
      <w:r>
        <w:t xml:space="preserve">incorporer des expériences de sauvegarde pertinentes dans le Registre de bonnes pratiques de sauvegarde (voir les documents </w:t>
      </w:r>
      <w:hyperlink r:id="rId12" w:history="1">
        <w:r>
          <w:rPr>
            <w:rStyle w:val="Hyperlink"/>
          </w:rPr>
          <w:t>LHE/24/19.COM/7</w:t>
        </w:r>
      </w:hyperlink>
      <w:r>
        <w:t xml:space="preserve"> et </w:t>
      </w:r>
      <w:hyperlink r:id="rId13" w:history="1">
        <w:r>
          <w:rPr>
            <w:rStyle w:val="Hyperlink"/>
          </w:rPr>
          <w:t>LHE/25/20.COM/7</w:t>
        </w:r>
      </w:hyperlink>
      <w:r>
        <w:t>).</w:t>
      </w:r>
    </w:p>
    <w:p w14:paraId="191070FE" w14:textId="0AD359DC" w:rsidR="007949D5" w:rsidRPr="002421F1" w:rsidRDefault="00FB19D6" w:rsidP="00A47892">
      <w:pPr>
        <w:pStyle w:val="COMPara"/>
        <w:numPr>
          <w:ilvl w:val="1"/>
          <w:numId w:val="9"/>
        </w:numPr>
        <w:ind w:left="900"/>
        <w:jc w:val="both"/>
      </w:pPr>
      <w:r>
        <w:t>Si les procédures relatives aux mécanismes d</w:t>
      </w:r>
      <w:r w:rsidR="00A44FA1">
        <w:t>’</w:t>
      </w:r>
      <w:r>
        <w:t>inscription sur l</w:t>
      </w:r>
      <w:r w:rsidR="00414B37">
        <w:t>es</w:t>
      </w:r>
      <w:r>
        <w:t xml:space="preserve"> liste</w:t>
      </w:r>
      <w:r w:rsidR="00414B37">
        <w:t>s</w:t>
      </w:r>
      <w:r>
        <w:t xml:space="preserve"> ont été clarifiées et allégées pour les États soumissionnaires, la charge de travail de l</w:t>
      </w:r>
      <w:r w:rsidR="00A44FA1">
        <w:t>’</w:t>
      </w:r>
      <w:r>
        <w:t>Organe d</w:t>
      </w:r>
      <w:r w:rsidR="00A44FA1">
        <w:t>’</w:t>
      </w:r>
      <w:r>
        <w:t xml:space="preserve">évaluation (et par conséquent celle du </w:t>
      </w:r>
      <w:r w:rsidR="00B71984">
        <w:t>S</w:t>
      </w:r>
      <w:r>
        <w:t xml:space="preserve">ecrétariat) a considérablement augmenté. Cette augmentation est essentiellement due à un plus grand nombre de </w:t>
      </w:r>
      <w:r w:rsidR="00414B37">
        <w:t>candidatures</w:t>
      </w:r>
      <w:r>
        <w:t xml:space="preserve">, y compris de nombreuses </w:t>
      </w:r>
      <w:r w:rsidR="00414B37">
        <w:t>candidatures</w:t>
      </w:r>
      <w:r>
        <w:t xml:space="preserve"> multinationales ainsi qu</w:t>
      </w:r>
      <w:r w:rsidR="00A44FA1">
        <w:t>’</w:t>
      </w:r>
      <w:r>
        <w:t xml:space="preserve">un nombre conséquent </w:t>
      </w:r>
      <w:r w:rsidR="00B71984">
        <w:t xml:space="preserve">de </w:t>
      </w:r>
      <w:r w:rsidR="00B71984" w:rsidRPr="00B828F1">
        <w:t xml:space="preserve">demandes </w:t>
      </w:r>
      <w:r w:rsidRPr="00B71984">
        <w:t>d</w:t>
      </w:r>
      <w:r w:rsidR="00A44FA1" w:rsidRPr="00B71984">
        <w:t>’</w:t>
      </w:r>
      <w:r w:rsidRPr="00B71984">
        <w:t>extensions et de</w:t>
      </w:r>
      <w:r w:rsidR="00B71984" w:rsidRPr="00B828F1">
        <w:t xml:space="preserve"> </w:t>
      </w:r>
      <w:r w:rsidRPr="00B71984">
        <w:t>transfert</w:t>
      </w:r>
      <w:r>
        <w:t xml:space="preserve"> qui sont traitées en dehors du plafond annuel de candidatures de chaque cycle. L</w:t>
      </w:r>
      <w:r w:rsidR="00A44FA1">
        <w:t>’</w:t>
      </w:r>
      <w:r>
        <w:t>expérience de la mise en œuvre des résultats de la réflexion globale est donc portée à l</w:t>
      </w:r>
      <w:r w:rsidR="00A44FA1">
        <w:t>’</w:t>
      </w:r>
      <w:r>
        <w:t>attention du Comité à l</w:t>
      </w:r>
      <w:r w:rsidR="00A44FA1">
        <w:t>’</w:t>
      </w:r>
      <w:r>
        <w:t>occasion de la présente session, avec une proposition sur la manière d</w:t>
      </w:r>
      <w:r w:rsidR="00A44FA1">
        <w:t>’</w:t>
      </w:r>
      <w:r>
        <w:t>affiner les processus d</w:t>
      </w:r>
      <w:r w:rsidR="00A44FA1">
        <w:t>’</w:t>
      </w:r>
      <w:r>
        <w:t>évaluation et d</w:t>
      </w:r>
      <w:r w:rsidR="00A44FA1">
        <w:t>’</w:t>
      </w:r>
      <w:r>
        <w:t xml:space="preserve">examen pour les futures candidatures (voir le </w:t>
      </w:r>
      <w:r w:rsidRPr="00B828F1">
        <w:t xml:space="preserve">document </w:t>
      </w:r>
      <w:r w:rsidR="00B71984" w:rsidRPr="00B828F1">
        <w:t>LHE/25/20.COM/8</w:t>
      </w:r>
      <w:r>
        <w:t>).</w:t>
      </w:r>
    </w:p>
    <w:p w14:paraId="5D6923BC" w14:textId="59F9518B" w:rsidR="00D83932" w:rsidRPr="002421F1" w:rsidRDefault="00B97FF4" w:rsidP="007949D5">
      <w:pPr>
        <w:pStyle w:val="COMPara"/>
        <w:numPr>
          <w:ilvl w:val="1"/>
          <w:numId w:val="9"/>
        </w:numPr>
        <w:ind w:left="900"/>
        <w:jc w:val="both"/>
      </w:pPr>
      <w:r>
        <w:rPr>
          <w:rFonts w:asciiTheme="minorBidi" w:hAnsiTheme="minorBidi"/>
        </w:rPr>
        <w:t xml:space="preserve">Parallèlement, le Secrétariat a continué de fournir des informations techniques aux États parties qui cherchent à préparer des </w:t>
      </w:r>
      <w:r w:rsidR="00414B37">
        <w:rPr>
          <w:rFonts w:asciiTheme="minorBidi" w:hAnsiTheme="minorBidi"/>
        </w:rPr>
        <w:t>candidatures</w:t>
      </w:r>
      <w:r>
        <w:rPr>
          <w:rFonts w:asciiTheme="minorBidi" w:hAnsiTheme="minorBidi"/>
        </w:rPr>
        <w:t xml:space="preserve"> avant la date limite annuelle, tout en menant des interventions ciblées de renforcement des capacités à l</w:t>
      </w:r>
      <w:r w:rsidR="00A44FA1">
        <w:rPr>
          <w:rFonts w:asciiTheme="minorBidi" w:hAnsiTheme="minorBidi"/>
        </w:rPr>
        <w:t>’</w:t>
      </w:r>
      <w:r>
        <w:rPr>
          <w:rFonts w:asciiTheme="minorBidi" w:hAnsiTheme="minorBidi"/>
        </w:rPr>
        <w:t xml:space="preserve">échelle régionale. Les </w:t>
      </w:r>
      <w:r>
        <w:rPr>
          <w:rFonts w:asciiTheme="minorBidi" w:hAnsiTheme="minorBidi"/>
        </w:rPr>
        <w:lastRenderedPageBreak/>
        <w:t>activités de démarrage ont commencé pour un projet</w:t>
      </w:r>
      <w:r w:rsidR="009079B2">
        <w:rPr>
          <w:rFonts w:asciiTheme="minorBidi" w:hAnsiTheme="minorBidi"/>
        </w:rPr>
        <w:t>, avec le soutien du Japon,</w:t>
      </w:r>
      <w:r>
        <w:rPr>
          <w:rFonts w:asciiTheme="minorBidi" w:hAnsiTheme="minorBidi"/>
        </w:rPr>
        <w:t xml:space="preserve"> visant à renforcer les capacités de sauvegarde de neuf pays</w:t>
      </w:r>
      <w:r w:rsidR="00CC625A">
        <w:rPr>
          <w:rStyle w:val="FootnoteReference"/>
          <w:rFonts w:asciiTheme="minorBidi" w:hAnsiTheme="minorBidi" w:cstheme="minorBidi"/>
        </w:rPr>
        <w:footnoteReference w:id="1"/>
      </w:r>
      <w:r>
        <w:rPr>
          <w:rFonts w:asciiTheme="minorBidi" w:hAnsiTheme="minorBidi"/>
        </w:rPr>
        <w:t xml:space="preserve"> en Afrique </w:t>
      </w:r>
      <w:r w:rsidR="001F5AE7">
        <w:rPr>
          <w:rFonts w:asciiTheme="minorBidi" w:hAnsiTheme="minorBidi"/>
        </w:rPr>
        <w:t>qui n</w:t>
      </w:r>
      <w:r w:rsidR="00A44FA1">
        <w:rPr>
          <w:rFonts w:asciiTheme="minorBidi" w:hAnsiTheme="minorBidi"/>
        </w:rPr>
        <w:t>’</w:t>
      </w:r>
      <w:r w:rsidR="001F5AE7">
        <w:rPr>
          <w:rFonts w:asciiTheme="minorBidi" w:hAnsiTheme="minorBidi"/>
        </w:rPr>
        <w:t>avaient pas d</w:t>
      </w:r>
      <w:r w:rsidR="00A44FA1">
        <w:rPr>
          <w:rFonts w:asciiTheme="minorBidi" w:hAnsiTheme="minorBidi"/>
        </w:rPr>
        <w:t>’</w:t>
      </w:r>
      <w:r>
        <w:rPr>
          <w:rFonts w:asciiTheme="minorBidi" w:hAnsiTheme="minorBidi"/>
        </w:rPr>
        <w:t xml:space="preserve">élément inscrit au moment de la précédente session du Comité. </w:t>
      </w:r>
      <w:r w:rsidR="001F5AE7">
        <w:rPr>
          <w:rFonts w:asciiTheme="minorBidi" w:hAnsiTheme="minorBidi"/>
        </w:rPr>
        <w:t>Avec le soutien du Royaume des Pays-Bas</w:t>
      </w:r>
      <w:r>
        <w:rPr>
          <w:rFonts w:asciiTheme="minorBidi" w:hAnsiTheme="minorBidi"/>
        </w:rPr>
        <w:t>, 16 petits États insulaires en développement et territoires des Caraïbe</w:t>
      </w:r>
      <w:r w:rsidR="00376D0F">
        <w:rPr>
          <w:rFonts w:asciiTheme="minorBidi" w:hAnsiTheme="minorBidi"/>
        </w:rPr>
        <w:t>s</w:t>
      </w:r>
      <w:r w:rsidR="00A24539">
        <w:rPr>
          <w:rStyle w:val="FootnoteReference"/>
          <w:rFonts w:asciiTheme="minorBidi" w:hAnsiTheme="minorBidi" w:cstheme="minorBidi"/>
        </w:rPr>
        <w:footnoteReference w:id="2"/>
      </w:r>
      <w:r>
        <w:rPr>
          <w:rFonts w:asciiTheme="minorBidi" w:hAnsiTheme="minorBidi"/>
        </w:rPr>
        <w:t xml:space="preserve"> se sont réunis en ligne en juillet 2025 pour tirer des </w:t>
      </w:r>
      <w:r w:rsidR="00B71984">
        <w:rPr>
          <w:rFonts w:asciiTheme="minorBidi" w:hAnsiTheme="minorBidi"/>
        </w:rPr>
        <w:t xml:space="preserve">apprentissages entre pairs </w:t>
      </w:r>
      <w:r>
        <w:rPr>
          <w:rFonts w:asciiTheme="minorBidi" w:hAnsiTheme="minorBidi"/>
        </w:rPr>
        <w:t xml:space="preserve">des récentes nominations et approfondir la collaboration pour les </w:t>
      </w:r>
      <w:r w:rsidR="00D83C86">
        <w:rPr>
          <w:rFonts w:asciiTheme="minorBidi" w:hAnsiTheme="minorBidi"/>
        </w:rPr>
        <w:t xml:space="preserve">candidatures </w:t>
      </w:r>
      <w:r>
        <w:rPr>
          <w:rFonts w:asciiTheme="minorBidi" w:hAnsiTheme="minorBidi"/>
        </w:rPr>
        <w:t>multinationales en cours et à venir</w:t>
      </w:r>
      <w:r w:rsidR="00D83C86">
        <w:rPr>
          <w:rFonts w:asciiTheme="minorBidi" w:hAnsiTheme="minorBidi"/>
        </w:rPr>
        <w:t>, à la suite d</w:t>
      </w:r>
      <w:r w:rsidR="00A44FA1">
        <w:rPr>
          <w:rFonts w:asciiTheme="minorBidi" w:hAnsiTheme="minorBidi"/>
        </w:rPr>
        <w:t>’</w:t>
      </w:r>
      <w:r w:rsidR="00D83C86">
        <w:rPr>
          <w:rFonts w:asciiTheme="minorBidi" w:hAnsiTheme="minorBidi"/>
        </w:rPr>
        <w:t>une formation en ligne préalable sur la préparation des candidatures</w:t>
      </w:r>
      <w:r>
        <w:rPr>
          <w:rFonts w:asciiTheme="minorBidi" w:hAnsiTheme="minorBidi"/>
        </w:rPr>
        <w:t>.</w:t>
      </w:r>
    </w:p>
    <w:p w14:paraId="56A3EA83" w14:textId="365DD55A" w:rsidR="0056783D" w:rsidRDefault="00EC09B2" w:rsidP="00B5573F">
      <w:pPr>
        <w:pStyle w:val="COMPara"/>
        <w:ind w:left="567" w:hanging="567"/>
        <w:jc w:val="both"/>
      </w:pPr>
      <w:r>
        <w:rPr>
          <w:b/>
        </w:rPr>
        <w:t>Assistance internationale</w:t>
      </w:r>
      <w:r>
        <w:t xml:space="preserve"> : </w:t>
      </w:r>
      <w:r w:rsidR="00CE045E" w:rsidRPr="00CE045E">
        <w:t>Le Secrétariat a géré vingt et une nouvelles demandes d</w:t>
      </w:r>
      <w:r w:rsidR="00A44FA1">
        <w:t>’</w:t>
      </w:r>
      <w:r w:rsidR="00CE045E" w:rsidRPr="00CE045E">
        <w:t>assistance internationale approuvées par le Bureau du Comité (dont trois demandes d</w:t>
      </w:r>
      <w:r w:rsidR="00A44FA1">
        <w:t>’</w:t>
      </w:r>
      <w:r w:rsidR="00CE045E" w:rsidRPr="00CE045E">
        <w:t>assistance préparatoire pour la préparation d</w:t>
      </w:r>
      <w:r w:rsidR="00A44FA1">
        <w:rPr>
          <w:rFonts w:asciiTheme="minorBidi" w:hAnsiTheme="minorBidi"/>
        </w:rPr>
        <w:t>’</w:t>
      </w:r>
      <w:r w:rsidR="00CE045E" w:rsidRPr="00CE045E">
        <w:t xml:space="preserve">une </w:t>
      </w:r>
      <w:r w:rsidR="009079B2">
        <w:t>candidature</w:t>
      </w:r>
      <w:r w:rsidR="00CE045E" w:rsidRPr="00CE045E">
        <w:t xml:space="preserve"> éventuelle d</w:t>
      </w:r>
      <w:r w:rsidR="00A44FA1">
        <w:t>’</w:t>
      </w:r>
      <w:r w:rsidR="00CE045E" w:rsidRPr="00CE045E">
        <w:t xml:space="preserve">un élément </w:t>
      </w:r>
      <w:r w:rsidR="009079B2">
        <w:t>pour</w:t>
      </w:r>
      <w:r w:rsidR="009079B2" w:rsidRPr="00CE045E">
        <w:t xml:space="preserve"> </w:t>
      </w:r>
      <w:r w:rsidR="00CE045E" w:rsidRPr="00CE045E">
        <w:t>la Liste de sauvegarde urgente, et cinq pour la Liste représentative), tout en supervisant la mise en œuvre de quarante-neuf projets actifs dans vingt-trois pays au total à la date du 30</w:t>
      </w:r>
      <w:r w:rsidR="00376D0F">
        <w:t> </w:t>
      </w:r>
      <w:r w:rsidR="00CE045E" w:rsidRPr="00CE045E">
        <w:t>juin 2025. L</w:t>
      </w:r>
      <w:r w:rsidR="00A44FA1">
        <w:t>’</w:t>
      </w:r>
      <w:r w:rsidR="00CE045E" w:rsidRPr="00CE045E">
        <w:t xml:space="preserve">aperçu de la mise en œuvre de ce mécanisme est présenté pour examen à la présente session du Comité (voir </w:t>
      </w:r>
      <w:r w:rsidR="00C96E5B">
        <w:t xml:space="preserve">les </w:t>
      </w:r>
      <w:r w:rsidR="00CE045E" w:rsidRPr="00CE045E">
        <w:t>document</w:t>
      </w:r>
      <w:r w:rsidR="00C96E5B">
        <w:t xml:space="preserve">s </w:t>
      </w:r>
      <w:hyperlink r:id="rId14" w:history="1">
        <w:r w:rsidR="00C96E5B" w:rsidRPr="00833638">
          <w:rPr>
            <w:rStyle w:val="Hyperlink"/>
          </w:rPr>
          <w:t>LHE/24/19.COM/9</w:t>
        </w:r>
      </w:hyperlink>
      <w:r w:rsidR="00C96E5B">
        <w:t xml:space="preserve"> et</w:t>
      </w:r>
      <w:r w:rsidR="00CE045E">
        <w:t xml:space="preserve"> </w:t>
      </w:r>
      <w:hyperlink r:id="rId15" w:history="1">
        <w:r w:rsidRPr="006C7D7C">
          <w:rPr>
            <w:rStyle w:val="Hyperlink"/>
          </w:rPr>
          <w:t>LHE/25/20.COM/10</w:t>
        </w:r>
      </w:hyperlink>
      <w:r>
        <w:t>).</w:t>
      </w:r>
    </w:p>
    <w:p w14:paraId="3B22CCC7" w14:textId="39CE30DA" w:rsidR="00A53B00" w:rsidRDefault="00A53B00" w:rsidP="009766D7">
      <w:pPr>
        <w:pStyle w:val="COMPara"/>
        <w:ind w:left="567" w:hanging="567"/>
        <w:jc w:val="both"/>
      </w:pPr>
      <w:r>
        <w:rPr>
          <w:rFonts w:asciiTheme="minorBidi" w:hAnsiTheme="minorBidi"/>
          <w:b/>
        </w:rPr>
        <w:t>Rapports périodiques</w:t>
      </w:r>
      <w:r>
        <w:rPr>
          <w:rFonts w:asciiTheme="minorBidi" w:hAnsiTheme="minorBidi"/>
        </w:rPr>
        <w:t xml:space="preserve"> :</w:t>
      </w:r>
      <w:r>
        <w:t xml:space="preserve"> Un large éventail d</w:t>
      </w:r>
      <w:r w:rsidR="00A44FA1">
        <w:t>’</w:t>
      </w:r>
      <w:r>
        <w:t xml:space="preserve">interventions a été réalisé pour soutenir le </w:t>
      </w:r>
      <w:r w:rsidR="00134719">
        <w:t xml:space="preserve">système </w:t>
      </w:r>
      <w:r>
        <w:t xml:space="preserve">de soumission des rapports périodiques de la Convention. Le Secrétariat a entrepris une évaluation de </w:t>
      </w:r>
      <w:r w:rsidR="00134719">
        <w:t xml:space="preserve">vingt-six </w:t>
      </w:r>
      <w:r>
        <w:t>rapports soumis sur l</w:t>
      </w:r>
      <w:r w:rsidR="00A44FA1">
        <w:t>’</w:t>
      </w:r>
      <w:r>
        <w:t>état actuel des éléments inscrits sur la Liste de sauvegarde urgente</w:t>
      </w:r>
      <w:r w:rsidR="00134719">
        <w:t xml:space="preserve"> : dix-huit dans le cycle 2024 et huit dans le cycle 2025 </w:t>
      </w:r>
      <w:r>
        <w:t>(voir le</w:t>
      </w:r>
      <w:r w:rsidR="00134719">
        <w:t>s</w:t>
      </w:r>
      <w:r>
        <w:t xml:space="preserve"> document</w:t>
      </w:r>
      <w:r w:rsidR="00134719">
        <w:t xml:space="preserve">s </w:t>
      </w:r>
      <w:hyperlink r:id="rId16" w:history="1">
        <w:r w:rsidR="00134719" w:rsidRPr="00416ADD">
          <w:rPr>
            <w:rStyle w:val="Hyperlink"/>
          </w:rPr>
          <w:t>LHE/24/19.COM/6.a</w:t>
        </w:r>
      </w:hyperlink>
      <w:r w:rsidR="00134719">
        <w:t xml:space="preserve"> et</w:t>
      </w:r>
      <w:r>
        <w:t xml:space="preserve"> </w:t>
      </w:r>
      <w:hyperlink r:id="rId17" w:history="1">
        <w:r>
          <w:rPr>
            <w:rStyle w:val="Hyperlink"/>
          </w:rPr>
          <w:t>LHE/25/20.COM/6.a)</w:t>
        </w:r>
      </w:hyperlink>
      <w:r>
        <w:t xml:space="preserve">. </w:t>
      </w:r>
      <w:r w:rsidR="00134719" w:rsidRPr="00134719">
        <w:t xml:space="preserve">Une </w:t>
      </w:r>
      <w:r w:rsidR="00134719">
        <w:t>analyse</w:t>
      </w:r>
      <w:r w:rsidR="00134719" w:rsidRPr="00134719">
        <w:t xml:space="preserve"> a également été réalisée sur 44 rapports périodiques concernant la mise en œuvre de la Convention et l</w:t>
      </w:r>
      <w:r w:rsidR="00A44FA1">
        <w:t>’</w:t>
      </w:r>
      <w:r w:rsidR="00134719" w:rsidRPr="00134719">
        <w:t xml:space="preserve">état actuel des éléments inscrits sur la Liste représentative par les États parties en </w:t>
      </w:r>
      <w:r w:rsidR="00134719" w:rsidRPr="00416ADD">
        <w:rPr>
          <w:u w:val="single"/>
        </w:rPr>
        <w:t>Afrique</w:t>
      </w:r>
      <w:r w:rsidR="00134719" w:rsidRPr="00134719">
        <w:t xml:space="preserve">, ainsi que sur 38 rapports soumis par les États parties en </w:t>
      </w:r>
      <w:r w:rsidR="00134719" w:rsidRPr="00416ADD">
        <w:rPr>
          <w:u w:val="single"/>
        </w:rPr>
        <w:t>Asie et dans le Pacifique</w:t>
      </w:r>
      <w:r w:rsidR="00134719" w:rsidRPr="00134719">
        <w:t>. Pour ces derniers, un soutien au renforcement des capacités a été fourni aux points focaux chargés de l</w:t>
      </w:r>
      <w:r w:rsidR="00A44FA1">
        <w:t>’</w:t>
      </w:r>
      <w:r w:rsidR="00134719" w:rsidRPr="00134719">
        <w:t xml:space="preserve">établissement des rapports périodiques (voir le document </w:t>
      </w:r>
      <w:hyperlink r:id="rId18" w:history="1">
        <w:r w:rsidR="00134719" w:rsidRPr="00134719">
          <w:rPr>
            <w:rStyle w:val="Hyperlink"/>
          </w:rPr>
          <w:t>LHE/25/20.COM/6.b</w:t>
        </w:r>
      </w:hyperlink>
      <w:r w:rsidR="00134719" w:rsidRPr="00134719">
        <w:t xml:space="preserve">). Le Secrétariat a également préparé un rapport analytique des rapports reçus des États parties des </w:t>
      </w:r>
      <w:r w:rsidR="00134719" w:rsidRPr="00416ADD">
        <w:rPr>
          <w:u w:val="single"/>
        </w:rPr>
        <w:t>États arabes</w:t>
      </w:r>
      <w:r w:rsidR="00134719" w:rsidRPr="00134719">
        <w:t xml:space="preserve"> (voir le document </w:t>
      </w:r>
      <w:hyperlink r:id="rId19" w:history="1">
        <w:r w:rsidR="00134719" w:rsidRPr="00BD619D">
          <w:rPr>
            <w:rStyle w:val="Hyperlink"/>
          </w:rPr>
          <w:t>LHE/24/19.COM/INF.6.c</w:t>
        </w:r>
      </w:hyperlink>
      <w:r w:rsidR="00134719" w:rsidRPr="00134719">
        <w:t>) et d</w:t>
      </w:r>
      <w:r w:rsidR="00A44FA1">
        <w:t>’</w:t>
      </w:r>
      <w:r w:rsidR="00134719" w:rsidRPr="00416ADD">
        <w:rPr>
          <w:u w:val="single"/>
        </w:rPr>
        <w:t>Afrique</w:t>
      </w:r>
      <w:r w:rsidR="00134719" w:rsidRPr="00134719">
        <w:t xml:space="preserve"> (voir le document </w:t>
      </w:r>
      <w:hyperlink r:id="rId20" w:history="1">
        <w:r w:rsidR="00134719" w:rsidRPr="00B75F7B">
          <w:rPr>
            <w:rStyle w:val="Hyperlink"/>
          </w:rPr>
          <w:t>LHE/25/20.COM/INF.6.c</w:t>
        </w:r>
      </w:hyperlink>
      <w:r w:rsidR="00134719" w:rsidRPr="00134719">
        <w:t>). En outre, une série de réunions de consultation régionales ont été organisées en avril et mai 2025 en vue de préparer l</w:t>
      </w:r>
      <w:r w:rsidR="00A44FA1">
        <w:t>’</w:t>
      </w:r>
      <w:r w:rsidR="00134719" w:rsidRPr="00134719">
        <w:t>année de réflexion de 2026 et le passage à un système unique de soumission</w:t>
      </w:r>
      <w:r w:rsidR="00376D0F">
        <w:t xml:space="preserve"> à l’échelle mondiale</w:t>
      </w:r>
      <w:r w:rsidR="00134719" w:rsidRPr="00134719">
        <w:t xml:space="preserve"> des rapports (voir le document </w:t>
      </w:r>
      <w:hyperlink r:id="rId21" w:history="1">
        <w:r w:rsidR="00134719" w:rsidRPr="00B75F7B">
          <w:rPr>
            <w:rStyle w:val="Hyperlink"/>
          </w:rPr>
          <w:t>LHE/25/20.COM/6.c</w:t>
        </w:r>
      </w:hyperlink>
      <w:r w:rsidR="00134719" w:rsidRPr="00134719">
        <w:t>)</w:t>
      </w:r>
      <w:r>
        <w:t>.</w:t>
      </w:r>
    </w:p>
    <w:p w14:paraId="420E4B84" w14:textId="5C748C63" w:rsidR="00494FFA" w:rsidRPr="0099167C" w:rsidRDefault="00E00CA3" w:rsidP="009766D7">
      <w:pPr>
        <w:pStyle w:val="COMPara"/>
        <w:ind w:left="567" w:hanging="567"/>
        <w:jc w:val="both"/>
      </w:pPr>
      <w:r w:rsidRPr="0099167C">
        <w:rPr>
          <w:b/>
        </w:rPr>
        <w:t>Partage d</w:t>
      </w:r>
      <w:r w:rsidR="00A44FA1" w:rsidRPr="0099167C">
        <w:rPr>
          <w:b/>
        </w:rPr>
        <w:t>’</w:t>
      </w:r>
      <w:r w:rsidRPr="0099167C">
        <w:rPr>
          <w:b/>
        </w:rPr>
        <w:t xml:space="preserve">expériences en matière de sauvegarde : </w:t>
      </w:r>
      <w:r w:rsidRPr="0099167C">
        <w:t>En réponse à la demande des organes directeurs, le Secrétariat a poursuivi le travail de réflexion sur une mise en œuvre plus large de l</w:t>
      </w:r>
      <w:r w:rsidR="00A44FA1" w:rsidRPr="0099167C">
        <w:t>’</w:t>
      </w:r>
      <w:r w:rsidRPr="0099167C">
        <w:t>article 18 de la Convention, en préparant la mise en place d</w:t>
      </w:r>
      <w:r w:rsidR="00A44FA1" w:rsidRPr="0099167C">
        <w:t>’</w:t>
      </w:r>
      <w:r w:rsidRPr="0099167C">
        <w:t>une plateforme en ligne pour le partage des expériences de sauvegarde des communautés du monde entier. L</w:t>
      </w:r>
      <w:r w:rsidR="00A44FA1" w:rsidRPr="0099167C">
        <w:t>’</w:t>
      </w:r>
      <w:r w:rsidRPr="0099167C">
        <w:t>un des points forts a été le lancement de la « </w:t>
      </w:r>
      <w:hyperlink r:id="rId22" w:history="1">
        <w:r w:rsidRPr="0099167C">
          <w:rPr>
            <w:rStyle w:val="Hyperlink"/>
          </w:rPr>
          <w:t>version préliminaire</w:t>
        </w:r>
      </w:hyperlink>
      <w:r w:rsidRPr="0099167C">
        <w:t> » de la plateforme en mai 2025, présentant un groupe pilote d</w:t>
      </w:r>
      <w:r w:rsidR="00A44FA1" w:rsidRPr="0099167C">
        <w:t>’</w:t>
      </w:r>
      <w:r w:rsidRPr="0099167C">
        <w:t>expériences de sauvegarde mises en œuvre par le biais des mécanismes de coopération internationale de la Convention. Les progrès de cette entreprise ambitieuse, soutenue par le Royaume des Pays-Bas, la République de Corée et le Royaume d</w:t>
      </w:r>
      <w:r w:rsidR="00A44FA1" w:rsidRPr="0099167C">
        <w:t>’</w:t>
      </w:r>
      <w:r w:rsidRPr="0099167C">
        <w:t xml:space="preserve">Arabie </w:t>
      </w:r>
      <w:r w:rsidR="00376D0F">
        <w:t>s</w:t>
      </w:r>
      <w:r w:rsidRPr="0099167C">
        <w:t>aoudite, sont portés à l</w:t>
      </w:r>
      <w:r w:rsidR="00A44FA1" w:rsidRPr="0099167C">
        <w:t>’</w:t>
      </w:r>
      <w:r w:rsidRPr="0099167C">
        <w:t>attention de la présente session du Comité afin d</w:t>
      </w:r>
      <w:r w:rsidR="00A44FA1" w:rsidRPr="0099167C">
        <w:t>’</w:t>
      </w:r>
      <w:r w:rsidRPr="0099167C">
        <w:t xml:space="preserve">affiner les voies à suivre (voir le </w:t>
      </w:r>
      <w:r w:rsidRPr="00B828F1">
        <w:t xml:space="preserve">document </w:t>
      </w:r>
      <w:r w:rsidR="00C96E5B" w:rsidRPr="00B828F1">
        <w:t>LHE/25/20.COM/11</w:t>
      </w:r>
      <w:r w:rsidRPr="0099167C">
        <w:t>). En outre, cette « plateforme de l</w:t>
      </w:r>
      <w:r w:rsidR="00A44FA1" w:rsidRPr="0099167C">
        <w:t>’</w:t>
      </w:r>
      <w:r w:rsidRPr="0099167C">
        <w:t>article 18 » intégrera, en tant que domaine d</w:t>
      </w:r>
      <w:r w:rsidR="00A44FA1" w:rsidRPr="0099167C">
        <w:t>’</w:t>
      </w:r>
      <w:r w:rsidRPr="0099167C">
        <w:t>intérêt particulier, les expériences de sauvegarde d</w:t>
      </w:r>
      <w:r w:rsidR="00A3732D" w:rsidRPr="0099167C">
        <w:t>u</w:t>
      </w:r>
      <w:r w:rsidRPr="0099167C">
        <w:t xml:space="preserve"> </w:t>
      </w:r>
      <w:r w:rsidR="00A3732D" w:rsidRPr="0099167C">
        <w:rPr>
          <w:u w:val="single"/>
        </w:rPr>
        <w:t xml:space="preserve">patrimoine </w:t>
      </w:r>
      <w:r w:rsidRPr="0099167C">
        <w:rPr>
          <w:u w:val="single"/>
        </w:rPr>
        <w:t>alimentaire</w:t>
      </w:r>
      <w:r w:rsidRPr="0099167C">
        <w:t xml:space="preserve"> menées par les communautés, qui sont documentées </w:t>
      </w:r>
      <w:r w:rsidRPr="0099167C">
        <w:rPr>
          <w:rFonts w:asciiTheme="minorBidi" w:hAnsiTheme="minorBidi"/>
        </w:rPr>
        <w:t>par des actions de renforcement des capacités dans seize pays</w:t>
      </w:r>
      <w:r w:rsidR="00BC108A" w:rsidRPr="0099167C">
        <w:rPr>
          <w:rStyle w:val="FootnoteReference"/>
          <w:rFonts w:asciiTheme="minorBidi" w:hAnsiTheme="minorBidi" w:cstheme="minorBidi"/>
          <w:bCs/>
        </w:rPr>
        <w:footnoteReference w:id="3"/>
      </w:r>
      <w:r w:rsidRPr="0099167C">
        <w:rPr>
          <w:rFonts w:asciiTheme="minorBidi" w:hAnsiTheme="minorBidi"/>
        </w:rPr>
        <w:t xml:space="preserve"> avec le soutien du Royaume d</w:t>
      </w:r>
      <w:r w:rsidR="00A44FA1" w:rsidRPr="0099167C">
        <w:rPr>
          <w:rFonts w:asciiTheme="minorBidi" w:hAnsiTheme="minorBidi"/>
        </w:rPr>
        <w:t>’</w:t>
      </w:r>
      <w:r w:rsidRPr="0099167C">
        <w:rPr>
          <w:rFonts w:asciiTheme="minorBidi" w:hAnsiTheme="minorBidi"/>
        </w:rPr>
        <w:t>Arabie saoudite.</w:t>
      </w:r>
      <w:r w:rsidRPr="0099167C">
        <w:t xml:space="preserve"> Tout au long de la période couverte par le rapport, des explorations techniques de la plateforme numérique ont été menées avec les contributions de tous les donateurs afin de poser les bases de son développement.</w:t>
      </w:r>
    </w:p>
    <w:p w14:paraId="77321678" w14:textId="0C5E84B2" w:rsidR="00D63318" w:rsidRPr="00494FFA" w:rsidRDefault="000721EF" w:rsidP="009766D7">
      <w:pPr>
        <w:pStyle w:val="COMPara"/>
        <w:keepNext/>
        <w:numPr>
          <w:ilvl w:val="0"/>
          <w:numId w:val="21"/>
        </w:numPr>
        <w:ind w:left="567" w:hanging="567"/>
        <w:jc w:val="both"/>
        <w:rPr>
          <w:b/>
          <w:bCs/>
        </w:rPr>
      </w:pPr>
      <w:r>
        <w:rPr>
          <w:b/>
        </w:rPr>
        <w:lastRenderedPageBreak/>
        <w:t>Mise en œuvre des priorités de financement de la Convention</w:t>
      </w:r>
    </w:p>
    <w:p w14:paraId="46047D1B" w14:textId="2C9DD9D7" w:rsidR="00286406" w:rsidRDefault="00286406" w:rsidP="009766D7">
      <w:pPr>
        <w:pStyle w:val="COMPara"/>
        <w:keepNext/>
        <w:ind w:left="567" w:hanging="567"/>
        <w:jc w:val="both"/>
      </w:pPr>
      <w:r>
        <w:rPr>
          <w:b/>
        </w:rPr>
        <w:t>Renforcer les capacités de sauvegarde du patrimoine culturel immatériel</w:t>
      </w:r>
      <w:r>
        <w:t xml:space="preserve"> : Dans le cadre de la première priorité de financement </w:t>
      </w:r>
      <w:r w:rsidRPr="00E63DD9">
        <w:t>« </w:t>
      </w:r>
      <w:r w:rsidR="00E63DD9" w:rsidRPr="00B828F1">
        <w:t>Renforcement des capacités de sauvegarde du patrimoine culturel immatériel par le biais d’approches multimodales et de contribution au développement durable</w:t>
      </w:r>
      <w:r w:rsidRPr="00E63DD9">
        <w:t> »</w:t>
      </w:r>
      <w:r>
        <w:t xml:space="preserve"> (décision </w:t>
      </w:r>
      <w:hyperlink r:id="rId23" w:history="1">
        <w:r>
          <w:rPr>
            <w:rStyle w:val="Hyperlink"/>
          </w:rPr>
          <w:t>16.COM 12</w:t>
        </w:r>
      </w:hyperlink>
      <w:r>
        <w:t xml:space="preserve">), un soutien au renforcement des capacités a été fourni à </w:t>
      </w:r>
      <w:r w:rsidR="005C5E1D">
        <w:t>125</w:t>
      </w:r>
      <w:r w:rsidR="00986244">
        <w:t xml:space="preserve"> </w:t>
      </w:r>
      <w:r>
        <w:t xml:space="preserve">États membres, dont </w:t>
      </w:r>
      <w:r w:rsidR="005C5E1D">
        <w:t>44</w:t>
      </w:r>
      <w:r w:rsidR="00C96E5B">
        <w:t xml:space="preserve"> </w:t>
      </w:r>
      <w:r>
        <w:t xml:space="preserve">en Afrique et </w:t>
      </w:r>
      <w:r w:rsidR="005C5E1D">
        <w:t>33</w:t>
      </w:r>
      <w:r w:rsidR="00C96E5B">
        <w:t xml:space="preserve"> </w:t>
      </w:r>
      <w:r>
        <w:t>PEID, pour développer des politiques, stratégies et programmes nouveaux ou révisés pour sauvegarder le patrimoine vivant</w:t>
      </w:r>
      <w:r w:rsidR="005C5E1D">
        <w:t xml:space="preserve"> (par le biais de diverses modalités de financement)</w:t>
      </w:r>
      <w:r>
        <w:t xml:space="preserve">. Au cours de la période </w:t>
      </w:r>
      <w:r w:rsidR="00A3732D">
        <w:t>couverte par ce rapport</w:t>
      </w:r>
      <w:r>
        <w:t xml:space="preserve">, huit projets ont été mis en œuvre grâce à des contributions volontaires supplémentaires au Fonds du patrimoine culturel immatériel. Les expériences acquises font partie du rapport sur la </w:t>
      </w:r>
      <w:proofErr w:type="gramStart"/>
      <w:r>
        <w:t>première priorité</w:t>
      </w:r>
      <w:proofErr w:type="gramEnd"/>
      <w:r>
        <w:t xml:space="preserve"> de financement présenté à la présente session du Comité, alors que la période quadriennale de mise en œuvre touche à sa fin (document </w:t>
      </w:r>
      <w:r w:rsidRPr="00B828F1">
        <w:t>LHE/25/20.COM/INF.13.1</w:t>
      </w:r>
      <w:r>
        <w:t>).</w:t>
      </w:r>
      <w:r w:rsidR="00986244">
        <w:t xml:space="preserve"> </w:t>
      </w:r>
      <w:r w:rsidR="00986244" w:rsidRPr="00986244">
        <w:t xml:space="preserve">En outre, </w:t>
      </w:r>
      <w:r w:rsidR="00F7428A">
        <w:t>40</w:t>
      </w:r>
      <w:r w:rsidR="00F7428A" w:rsidRPr="00986244">
        <w:t xml:space="preserve"> </w:t>
      </w:r>
      <w:r w:rsidR="00986244" w:rsidRPr="00986244">
        <w:t>pays ont bénéficié d</w:t>
      </w:r>
      <w:r w:rsidR="00A44FA1">
        <w:t>’</w:t>
      </w:r>
      <w:r w:rsidR="00986244" w:rsidRPr="00986244">
        <w:t>activités de renforcement des capacités mises en œuvre dans le cadre de projets mondiaux et régionaux associant la sauvegarde du patrimoine culturel immatériel à divers domaines d</w:t>
      </w:r>
      <w:r w:rsidR="00A44FA1">
        <w:t>’</w:t>
      </w:r>
      <w:r w:rsidR="00986244" w:rsidRPr="00986244">
        <w:t>intérêt. Parmi ceux-ci figuraient 16 pays dans le domaine d</w:t>
      </w:r>
      <w:r w:rsidR="00A3732D">
        <w:t xml:space="preserve">u </w:t>
      </w:r>
      <w:r w:rsidR="00A3732D" w:rsidRPr="00E63DD9">
        <w:t xml:space="preserve">patrimoine </w:t>
      </w:r>
      <w:r w:rsidR="00986244" w:rsidRPr="00E63DD9">
        <w:t>alimentaire</w:t>
      </w:r>
      <w:r w:rsidR="00986244" w:rsidRPr="00986244">
        <w:t xml:space="preserve"> et 10 dans celui du développement urbain durable (tous deux soutenus par le Royaume d</w:t>
      </w:r>
      <w:r w:rsidR="00A44FA1">
        <w:t>’</w:t>
      </w:r>
      <w:r w:rsidR="00986244" w:rsidRPr="00986244">
        <w:t xml:space="preserve">Arabie saoudite), neuf dans le domaine des </w:t>
      </w:r>
      <w:r w:rsidR="00376D0F">
        <w:t>candidatures</w:t>
      </w:r>
      <w:r w:rsidR="00986244" w:rsidRPr="00986244">
        <w:t xml:space="preserve"> et cinq dans celui de la gestion des risques de catastrophe (tous deux soutenus par le Japon).</w:t>
      </w:r>
    </w:p>
    <w:p w14:paraId="438891C0" w14:textId="061A42BA" w:rsidR="001969FC" w:rsidRPr="00986244" w:rsidRDefault="001969FC" w:rsidP="001969FC">
      <w:pPr>
        <w:pStyle w:val="COMPara"/>
        <w:ind w:left="567" w:hanging="567"/>
        <w:jc w:val="both"/>
      </w:pPr>
      <w:r>
        <w:rPr>
          <w:b/>
        </w:rPr>
        <w:t>Sauvegarde</w:t>
      </w:r>
      <w:r w:rsidR="00986244" w:rsidRPr="00986244">
        <w:rPr>
          <w:b/>
        </w:rPr>
        <w:t xml:space="preserve"> du patrimoine culturel immatériel dans l</w:t>
      </w:r>
      <w:r w:rsidR="00A44FA1">
        <w:rPr>
          <w:b/>
        </w:rPr>
        <w:t>’</w:t>
      </w:r>
      <w:r w:rsidR="00986244" w:rsidRPr="00986244">
        <w:rPr>
          <w:b/>
        </w:rPr>
        <w:t>éducation</w:t>
      </w:r>
      <w:r w:rsidR="00986244" w:rsidRPr="00416ADD">
        <w:rPr>
          <w:bCs/>
        </w:rPr>
        <w:t xml:space="preserve"> : </w:t>
      </w:r>
      <w:r w:rsidR="00376D0F">
        <w:rPr>
          <w:bCs/>
        </w:rPr>
        <w:t>D</w:t>
      </w:r>
      <w:r w:rsidR="00986244" w:rsidRPr="00416ADD">
        <w:rPr>
          <w:bCs/>
        </w:rPr>
        <w:t>ans le cadre du programme intersectoriel plus large de l</w:t>
      </w:r>
      <w:r w:rsidR="00A44FA1">
        <w:rPr>
          <w:bCs/>
        </w:rPr>
        <w:t>’</w:t>
      </w:r>
      <w:r w:rsidR="00986244" w:rsidRPr="00416ADD">
        <w:rPr>
          <w:bCs/>
        </w:rPr>
        <w:t>UNESCO « Apprendre pour la diversité », les projets visant à intégrer le patrimoine vivant dans l</w:t>
      </w:r>
      <w:r w:rsidR="00A44FA1">
        <w:rPr>
          <w:bCs/>
        </w:rPr>
        <w:t>’</w:t>
      </w:r>
      <w:r w:rsidR="00986244" w:rsidRPr="00416ADD">
        <w:rPr>
          <w:bCs/>
        </w:rPr>
        <w:t>éducation au titre de la deuxième priorité de financement de la Convention « Sauvegarde du patrimoine culturel immatériel dans l</w:t>
      </w:r>
      <w:r w:rsidR="00A44FA1">
        <w:rPr>
          <w:bCs/>
        </w:rPr>
        <w:t>’</w:t>
      </w:r>
      <w:r w:rsidR="00986244" w:rsidRPr="00416ADD">
        <w:rPr>
          <w:bCs/>
        </w:rPr>
        <w:t>éducation formelle et non formelle » ont continué à se développer dans toutes les régions. Les efforts se sont concentrés sur l</w:t>
      </w:r>
      <w:r w:rsidR="00A44FA1">
        <w:rPr>
          <w:bCs/>
        </w:rPr>
        <w:t>’</w:t>
      </w:r>
      <w:r w:rsidR="00986244" w:rsidRPr="00416ADD">
        <w:rPr>
          <w:bCs/>
        </w:rPr>
        <w:t>ancrage de l</w:t>
      </w:r>
      <w:r w:rsidR="00A44FA1">
        <w:rPr>
          <w:bCs/>
        </w:rPr>
        <w:t>’</w:t>
      </w:r>
      <w:r w:rsidR="00986244" w:rsidRPr="00416ADD">
        <w:rPr>
          <w:bCs/>
        </w:rPr>
        <w:t xml:space="preserve">approche « patrimoine vivant et éducation » dans les politiques et les programmes grâce au renforcement des capacités, à des changements pédagogiques et à la collaboration interministérielle. </w:t>
      </w:r>
      <w:r w:rsidR="00986244" w:rsidRPr="00E63DD9">
        <w:rPr>
          <w:bCs/>
        </w:rPr>
        <w:t>En complément de ces activités en amont, les initiatives opérationnelles au niveau national ont notamment porté sur le projet du Fonds</w:t>
      </w:r>
      <w:r w:rsidR="00E63DD9" w:rsidRPr="00E63DD9">
        <w:rPr>
          <w:bCs/>
        </w:rPr>
        <w:t xml:space="preserve">-en-dépôt </w:t>
      </w:r>
      <w:r w:rsidR="00986244" w:rsidRPr="00E63DD9">
        <w:rPr>
          <w:bCs/>
        </w:rPr>
        <w:t>de Flandre en Namibie et au Zimbabwe, ainsi que sur l</w:t>
      </w:r>
      <w:r w:rsidR="00A44FA1" w:rsidRPr="00E63DD9">
        <w:rPr>
          <w:bCs/>
        </w:rPr>
        <w:t>’</w:t>
      </w:r>
      <w:r w:rsidR="00986244" w:rsidRPr="00E63DD9">
        <w:rPr>
          <w:bCs/>
        </w:rPr>
        <w:t>évaluation des besoins réalisée à AlUla avec le soutien du Royaume d</w:t>
      </w:r>
      <w:r w:rsidR="00A44FA1" w:rsidRPr="00E63DD9">
        <w:rPr>
          <w:bCs/>
        </w:rPr>
        <w:t>’</w:t>
      </w:r>
      <w:r w:rsidR="00986244" w:rsidRPr="00E63DD9">
        <w:rPr>
          <w:bCs/>
        </w:rPr>
        <w:t>Arabie saoudite concernant l</w:t>
      </w:r>
      <w:r w:rsidR="00A44FA1" w:rsidRPr="00E63DD9">
        <w:rPr>
          <w:bCs/>
        </w:rPr>
        <w:t>’</w:t>
      </w:r>
      <w:r w:rsidR="00986244" w:rsidRPr="00E63DD9">
        <w:rPr>
          <w:bCs/>
        </w:rPr>
        <w:t>intégration du patrimoine vivant dans l</w:t>
      </w:r>
      <w:r w:rsidR="00A44FA1" w:rsidRPr="00E63DD9">
        <w:rPr>
          <w:bCs/>
        </w:rPr>
        <w:t>’</w:t>
      </w:r>
      <w:r w:rsidR="00986244" w:rsidRPr="00E63DD9">
        <w:rPr>
          <w:bCs/>
        </w:rPr>
        <w:t>éducation formelle et non formelle</w:t>
      </w:r>
      <w:r w:rsidR="00986244" w:rsidRPr="00416ADD">
        <w:rPr>
          <w:bCs/>
        </w:rPr>
        <w:t>. En outre, trois projets ont été mis en œuvre grâce à des contributions volontaires supplémentaires au Fonds du patrimoine culturel immatériel, qui ont également contribué à renforcer ces efforts d</w:t>
      </w:r>
      <w:r w:rsidR="00A44FA1">
        <w:rPr>
          <w:bCs/>
        </w:rPr>
        <w:t>’</w:t>
      </w:r>
      <w:r w:rsidR="00986244" w:rsidRPr="00416ADD">
        <w:rPr>
          <w:bCs/>
        </w:rPr>
        <w:t>intégration. Les expériences acquises font partie du rapport sur la deuxième priorité de financement présenté à la présente session du Comité, alors que la période de mise en œuvre quadriennale touche à sa fin (document</w:t>
      </w:r>
      <w:r w:rsidRPr="00986244">
        <w:rPr>
          <w:bCs/>
        </w:rPr>
        <w:t xml:space="preserve"> </w:t>
      </w:r>
      <w:r w:rsidR="00E63DD9" w:rsidRPr="00B828F1">
        <w:t>LHE/25/20.COM/INF.13.1</w:t>
      </w:r>
      <w:r w:rsidRPr="00986244">
        <w:t>).</w:t>
      </w:r>
    </w:p>
    <w:p w14:paraId="354049DA" w14:textId="68BF64FF" w:rsidR="00286406" w:rsidRPr="00D870F2" w:rsidRDefault="00286406" w:rsidP="00286406">
      <w:pPr>
        <w:pStyle w:val="COMPara"/>
        <w:ind w:left="567" w:hanging="567"/>
        <w:jc w:val="both"/>
      </w:pPr>
      <w:r>
        <w:rPr>
          <w:b/>
        </w:rPr>
        <w:t>Réseau mondial de facilitateurs</w:t>
      </w:r>
      <w:r>
        <w:t xml:space="preserve"> : </w:t>
      </w:r>
      <w:r w:rsidR="00986244" w:rsidRPr="00986244">
        <w:t>S</w:t>
      </w:r>
      <w:r w:rsidR="00A44FA1">
        <w:t>’</w:t>
      </w:r>
      <w:r w:rsidR="00986244" w:rsidRPr="00986244">
        <w:t>appuyant sur les ateliers en présentiel destinés aux nouveaux membres du réseau mondial de facilitateurs, le programme de formation mondial 2025 a permis de renforcer encore les connaissances et les capacités de facilitation du réseau dans des domaines clés du programme. Ce programme comprenait un webinaire d</w:t>
      </w:r>
      <w:r w:rsidR="00A44FA1">
        <w:t>’</w:t>
      </w:r>
      <w:r w:rsidR="00986244" w:rsidRPr="00986244">
        <w:t xml:space="preserve">introduction et trois webinaires thématiques organisés entre février et juillet 2025, couvrant les thèmes suivants : patrimoine vivant et réduction des risques de catastrophe, préparation des candidatures, et patrimoine vivant et éducation. Ces sessions ont enregistré un taux de participation élevé, avec un nombre total </w:t>
      </w:r>
      <w:r w:rsidR="00376D0F">
        <w:t xml:space="preserve">cumulatif </w:t>
      </w:r>
      <w:r w:rsidR="00986244" w:rsidRPr="00986244">
        <w:t>de 478 participants.</w:t>
      </w:r>
    </w:p>
    <w:p w14:paraId="59A6161A" w14:textId="39BB59F4" w:rsidR="00212D8F" w:rsidRDefault="00286406" w:rsidP="00286406">
      <w:pPr>
        <w:pStyle w:val="COMPara"/>
        <w:ind w:left="567" w:hanging="567"/>
        <w:jc w:val="both"/>
      </w:pPr>
      <w:r>
        <w:rPr>
          <w:b/>
        </w:rPr>
        <w:t>Système de gestion de l</w:t>
      </w:r>
      <w:r w:rsidR="00A44FA1">
        <w:rPr>
          <w:b/>
        </w:rPr>
        <w:t>’</w:t>
      </w:r>
      <w:r>
        <w:rPr>
          <w:b/>
        </w:rPr>
        <w:t>apprentissage</w:t>
      </w:r>
      <w:r>
        <w:t xml:space="preserve"> : </w:t>
      </w:r>
      <w:r w:rsidR="00986244" w:rsidRPr="00986244">
        <w:t>Le Secrétariat a poursuivi ses travaux de conversion et de mise à jour des supports de renforcement des capacités en cours d</w:t>
      </w:r>
      <w:r w:rsidR="00A44FA1">
        <w:t>’</w:t>
      </w:r>
      <w:r w:rsidR="00986244" w:rsidRPr="00986244">
        <w:t>apprentissage en ligne et en formats multimodaux, via la plateforme d</w:t>
      </w:r>
      <w:r w:rsidR="00A44FA1">
        <w:t>’</w:t>
      </w:r>
      <w:r w:rsidR="00986244" w:rsidRPr="00986244">
        <w:t>apprentissage de l</w:t>
      </w:r>
      <w:r w:rsidR="00A44FA1">
        <w:t>’</w:t>
      </w:r>
      <w:r w:rsidR="00986244" w:rsidRPr="00986244">
        <w:t>UNESCO pour la sauvegarde du patrimoine vivant au service du développement durable. Ces travaux ont été menés dans le cadre d</w:t>
      </w:r>
      <w:r w:rsidR="00A44FA1">
        <w:t>’</w:t>
      </w:r>
      <w:r w:rsidR="00986244" w:rsidRPr="00986244">
        <w:t>un accord de partenariat conclu avec le Centre international de formation de l</w:t>
      </w:r>
      <w:r w:rsidR="00A44FA1">
        <w:t>’</w:t>
      </w:r>
      <w:r w:rsidR="00986244" w:rsidRPr="00986244">
        <w:t xml:space="preserve">Organisation internationale du travail (CIF-OIT), une société externe et des animateurs expérimentés. La plateforme a été lancée le 23 mai 2025 et est accessible au public depuis la </w:t>
      </w:r>
      <w:hyperlink r:id="rId24" w:history="1">
        <w:r w:rsidR="00986244">
          <w:rPr>
            <w:rStyle w:val="Hyperlink"/>
          </w:rPr>
          <w:t xml:space="preserve">page </w:t>
        </w:r>
        <w:r w:rsidR="00376D0F">
          <w:rPr>
            <w:rStyle w:val="Hyperlink"/>
          </w:rPr>
          <w:t>I</w:t>
        </w:r>
        <w:r w:rsidR="00A3732D">
          <w:rPr>
            <w:rStyle w:val="Hyperlink"/>
          </w:rPr>
          <w:t>nternet</w:t>
        </w:r>
        <w:r w:rsidR="00986244">
          <w:rPr>
            <w:rStyle w:val="Hyperlink"/>
          </w:rPr>
          <w:t xml:space="preserve"> dédiée</w:t>
        </w:r>
      </w:hyperlink>
      <w:r w:rsidR="00986244">
        <w:t xml:space="preserve"> </w:t>
      </w:r>
      <w:r w:rsidR="00986244" w:rsidRPr="00986244">
        <w:t>à la Convention</w:t>
      </w:r>
      <w:r>
        <w:t>, avec les modules suivants disponibles ou en cours de préparation :</w:t>
      </w:r>
    </w:p>
    <w:tbl>
      <w:tblPr>
        <w:tblStyle w:val="TableGrid"/>
        <w:tblW w:w="0" w:type="auto"/>
        <w:tblInd w:w="567" w:type="dxa"/>
        <w:tblLook w:val="04A0" w:firstRow="1" w:lastRow="0" w:firstColumn="1" w:lastColumn="0" w:noHBand="0" w:noVBand="1"/>
      </w:tblPr>
      <w:tblGrid>
        <w:gridCol w:w="5382"/>
        <w:gridCol w:w="3679"/>
      </w:tblGrid>
      <w:tr w:rsidR="009301EB" w14:paraId="2F9E94EC" w14:textId="77777777" w:rsidTr="009766D7">
        <w:tc>
          <w:tcPr>
            <w:tcW w:w="5382" w:type="dxa"/>
            <w:shd w:val="clear" w:color="auto" w:fill="DBE5F1" w:themeFill="accent1" w:themeFillTint="33"/>
          </w:tcPr>
          <w:p w14:paraId="31A07706" w14:textId="1DCBE2C4" w:rsidR="009301EB" w:rsidRPr="009766D7" w:rsidRDefault="009301EB" w:rsidP="00B828F1">
            <w:pPr>
              <w:pStyle w:val="COMPara"/>
              <w:keepNext/>
              <w:numPr>
                <w:ilvl w:val="0"/>
                <w:numId w:val="0"/>
              </w:numPr>
              <w:jc w:val="both"/>
              <w:rPr>
                <w:b/>
                <w:bCs/>
              </w:rPr>
            </w:pPr>
            <w:r>
              <w:rPr>
                <w:b/>
              </w:rPr>
              <w:t>Modules de formation</w:t>
            </w:r>
          </w:p>
        </w:tc>
        <w:tc>
          <w:tcPr>
            <w:tcW w:w="3679" w:type="dxa"/>
            <w:shd w:val="clear" w:color="auto" w:fill="DBE5F1" w:themeFill="accent1" w:themeFillTint="33"/>
          </w:tcPr>
          <w:p w14:paraId="7402EF2D" w14:textId="084756BB" w:rsidR="009301EB" w:rsidRPr="009766D7" w:rsidRDefault="009301EB" w:rsidP="00B828F1">
            <w:pPr>
              <w:pStyle w:val="COMPara"/>
              <w:keepNext/>
              <w:numPr>
                <w:ilvl w:val="0"/>
                <w:numId w:val="0"/>
              </w:numPr>
              <w:jc w:val="both"/>
              <w:rPr>
                <w:b/>
                <w:bCs/>
              </w:rPr>
            </w:pPr>
            <w:r>
              <w:rPr>
                <w:b/>
              </w:rPr>
              <w:t>Statut</w:t>
            </w:r>
          </w:p>
        </w:tc>
      </w:tr>
      <w:tr w:rsidR="009301EB" w:rsidRPr="00264094" w14:paraId="4D9D54A1" w14:textId="77777777" w:rsidTr="009766D7">
        <w:tc>
          <w:tcPr>
            <w:tcW w:w="5382" w:type="dxa"/>
          </w:tcPr>
          <w:p w14:paraId="71C3FA12" w14:textId="0A8137DD" w:rsidR="009301EB" w:rsidRPr="00E85BF2" w:rsidRDefault="009301EB" w:rsidP="00B828F1">
            <w:pPr>
              <w:pStyle w:val="COMPara"/>
              <w:numPr>
                <w:ilvl w:val="0"/>
                <w:numId w:val="28"/>
              </w:numPr>
              <w:ind w:left="320"/>
              <w:jc w:val="both"/>
            </w:pPr>
            <w:r w:rsidRPr="002C0AD6">
              <w:t xml:space="preserve">Le </w:t>
            </w:r>
            <w:r w:rsidR="002C0AD6" w:rsidRPr="00B828F1">
              <w:t>C</w:t>
            </w:r>
            <w:r w:rsidRPr="002C0AD6">
              <w:t xml:space="preserve">adre </w:t>
            </w:r>
            <w:r w:rsidR="002C0AD6" w:rsidRPr="00B828F1">
              <w:t>global</w:t>
            </w:r>
            <w:r w:rsidR="002C0AD6" w:rsidRPr="002C0AD6">
              <w:t xml:space="preserve"> </w:t>
            </w:r>
            <w:r w:rsidRPr="002C0AD6">
              <w:t xml:space="preserve">des résultats </w:t>
            </w:r>
            <w:r w:rsidR="002C0AD6" w:rsidRPr="00B828F1">
              <w:t>pour</w:t>
            </w:r>
            <w:r w:rsidR="002C0AD6" w:rsidRPr="002C0AD6">
              <w:t xml:space="preserve"> </w:t>
            </w:r>
            <w:r w:rsidRPr="002C0AD6">
              <w:t>la Convention de 2003 et son application à la conception, à la mise en œuvre ainsi qu</w:t>
            </w:r>
            <w:r w:rsidR="00A44FA1" w:rsidRPr="002C0AD6">
              <w:t>’</w:t>
            </w:r>
            <w:r w:rsidRPr="002C0AD6">
              <w:t>au suivi de projets axés sur les résultats</w:t>
            </w:r>
          </w:p>
        </w:tc>
        <w:tc>
          <w:tcPr>
            <w:tcW w:w="3679" w:type="dxa"/>
          </w:tcPr>
          <w:p w14:paraId="065D8AAA" w14:textId="3ED9981B" w:rsidR="009301EB" w:rsidRPr="00E85BF2" w:rsidRDefault="009301EB" w:rsidP="009301EB">
            <w:pPr>
              <w:pStyle w:val="COMPara"/>
              <w:numPr>
                <w:ilvl w:val="0"/>
                <w:numId w:val="0"/>
              </w:numPr>
              <w:jc w:val="both"/>
            </w:pPr>
            <w:r>
              <w:t>Disponible en anglais et en français</w:t>
            </w:r>
            <w:r w:rsidR="00884ED6">
              <w:t> </w:t>
            </w:r>
            <w:r>
              <w:t>; d</w:t>
            </w:r>
            <w:r w:rsidR="00A44FA1">
              <w:t>’</w:t>
            </w:r>
            <w:r>
              <w:t>autres versions linguistiques (arabe, chinois,</w:t>
            </w:r>
            <w:r w:rsidR="00884ED6">
              <w:t xml:space="preserve"> russe,</w:t>
            </w:r>
            <w:r>
              <w:t xml:space="preserve"> espagnol) seront lancées au cours de la session 20.COM</w:t>
            </w:r>
            <w:r w:rsidR="00884ED6">
              <w:t xml:space="preserve"> </w:t>
            </w:r>
            <w:r w:rsidR="00884ED6" w:rsidRPr="00B828F1">
              <w:t>[à confirmer]</w:t>
            </w:r>
          </w:p>
        </w:tc>
      </w:tr>
      <w:tr w:rsidR="009301EB" w:rsidRPr="00264094" w14:paraId="33679A05" w14:textId="77777777" w:rsidTr="009766D7">
        <w:tc>
          <w:tcPr>
            <w:tcW w:w="5382" w:type="dxa"/>
          </w:tcPr>
          <w:p w14:paraId="1B8B7FB2" w14:textId="4EDAD1B2" w:rsidR="009301EB" w:rsidRPr="00E85BF2" w:rsidRDefault="009301EB" w:rsidP="00B828F1">
            <w:pPr>
              <w:pStyle w:val="COMPara"/>
              <w:numPr>
                <w:ilvl w:val="0"/>
                <w:numId w:val="28"/>
              </w:numPr>
              <w:ind w:left="320"/>
              <w:jc w:val="both"/>
            </w:pPr>
            <w:r>
              <w:t>Mise en œuvre de la Convention de 2003</w:t>
            </w:r>
          </w:p>
        </w:tc>
        <w:tc>
          <w:tcPr>
            <w:tcW w:w="3679" w:type="dxa"/>
          </w:tcPr>
          <w:p w14:paraId="51AEA11C" w14:textId="16684F2C" w:rsidR="009301EB" w:rsidRPr="00E85BF2" w:rsidRDefault="009301EB" w:rsidP="009301EB">
            <w:pPr>
              <w:pStyle w:val="COMPara"/>
              <w:numPr>
                <w:ilvl w:val="0"/>
                <w:numId w:val="0"/>
              </w:numPr>
              <w:jc w:val="both"/>
            </w:pPr>
            <w:r w:rsidRPr="00B828F1">
              <w:t>Lancement au cours de la session 20.COM [à confirmer]</w:t>
            </w:r>
          </w:p>
        </w:tc>
      </w:tr>
      <w:tr w:rsidR="009301EB" w:rsidRPr="00264094" w14:paraId="4C11365F" w14:textId="77777777" w:rsidTr="009766D7">
        <w:tc>
          <w:tcPr>
            <w:tcW w:w="5382" w:type="dxa"/>
          </w:tcPr>
          <w:p w14:paraId="27C47929" w14:textId="3CAD151B" w:rsidR="009301EB" w:rsidRPr="00E85BF2" w:rsidRDefault="00F02FA9" w:rsidP="00B828F1">
            <w:pPr>
              <w:pStyle w:val="COMPara"/>
              <w:numPr>
                <w:ilvl w:val="0"/>
                <w:numId w:val="28"/>
              </w:numPr>
              <w:ind w:left="320"/>
              <w:jc w:val="both"/>
            </w:pPr>
            <w:r>
              <w:t>Transformer l</w:t>
            </w:r>
            <w:r w:rsidR="00A44FA1">
              <w:t>’</w:t>
            </w:r>
            <w:r>
              <w:t>apprentissage grâce au patrimoine vivant</w:t>
            </w:r>
          </w:p>
        </w:tc>
        <w:tc>
          <w:tcPr>
            <w:tcW w:w="3679" w:type="dxa"/>
          </w:tcPr>
          <w:p w14:paraId="3768D71D" w14:textId="74209F98" w:rsidR="009301EB" w:rsidRPr="00E85BF2" w:rsidRDefault="009301EB" w:rsidP="009301EB">
            <w:pPr>
              <w:pStyle w:val="COMPara"/>
              <w:numPr>
                <w:ilvl w:val="0"/>
                <w:numId w:val="0"/>
              </w:numPr>
              <w:jc w:val="both"/>
            </w:pPr>
            <w:r w:rsidRPr="00B828F1">
              <w:t>Lancement au cours de la session 20.COM [à confirmer]</w:t>
            </w:r>
          </w:p>
        </w:tc>
      </w:tr>
    </w:tbl>
    <w:p w14:paraId="77F47DE4" w14:textId="570F89B8" w:rsidR="006D4894" w:rsidRPr="006D4894" w:rsidRDefault="006D4894" w:rsidP="009766D7">
      <w:pPr>
        <w:pStyle w:val="COMPara"/>
        <w:numPr>
          <w:ilvl w:val="0"/>
          <w:numId w:val="21"/>
        </w:numPr>
        <w:spacing w:before="360"/>
        <w:ind w:left="567" w:hanging="567"/>
        <w:jc w:val="both"/>
        <w:rPr>
          <w:b/>
          <w:bCs/>
        </w:rPr>
      </w:pPr>
      <w:r>
        <w:rPr>
          <w:b/>
        </w:rPr>
        <w:t xml:space="preserve">Vers </w:t>
      </w:r>
      <w:r w:rsidRPr="002C0AD6">
        <w:rPr>
          <w:b/>
        </w:rPr>
        <w:t xml:space="preserve">un développement plus </w:t>
      </w:r>
      <w:r w:rsidR="00200377" w:rsidRPr="002C0AD6">
        <w:rPr>
          <w:b/>
        </w:rPr>
        <w:t>approfondi</w:t>
      </w:r>
      <w:r w:rsidR="00200377">
        <w:rPr>
          <w:b/>
        </w:rPr>
        <w:t xml:space="preserve"> </w:t>
      </w:r>
      <w:r>
        <w:rPr>
          <w:b/>
        </w:rPr>
        <w:t>de la Convention de 2003</w:t>
      </w:r>
    </w:p>
    <w:p w14:paraId="2D2CEF72" w14:textId="3C4ED4CA" w:rsidR="006D4894" w:rsidRPr="00D870F2" w:rsidRDefault="006D4894" w:rsidP="006D4894">
      <w:pPr>
        <w:pStyle w:val="COMPara"/>
        <w:ind w:left="567" w:hanging="567"/>
        <w:jc w:val="both"/>
      </w:pPr>
      <w:r>
        <w:rPr>
          <w:rFonts w:asciiTheme="minorBidi" w:hAnsiTheme="minorBidi"/>
          <w:b/>
        </w:rPr>
        <w:t>Initiatives thématiques</w:t>
      </w:r>
      <w:r>
        <w:rPr>
          <w:b/>
        </w:rPr>
        <w:t xml:space="preserve"> relatives au patrimoine vivant et au développement durable</w:t>
      </w:r>
      <w:r>
        <w:t xml:space="preserve"> Le Secrétariat a fait avancer les trois initiatives thématiques en cours (décisions </w:t>
      </w:r>
      <w:hyperlink r:id="rId25" w:history="1">
        <w:r>
          <w:rPr>
            <w:rStyle w:val="Hyperlink"/>
          </w:rPr>
          <w:t>16.COM 5.b</w:t>
        </w:r>
      </w:hyperlink>
      <w:r>
        <w:t xml:space="preserve"> et </w:t>
      </w:r>
      <w:hyperlink r:id="rId26" w:history="1">
        <w:r>
          <w:rPr>
            <w:rStyle w:val="Hyperlink"/>
          </w:rPr>
          <w:t>17.COM</w:t>
        </w:r>
        <w:r w:rsidR="00B21884">
          <w:rPr>
            <w:rStyle w:val="Hyperlink"/>
          </w:rPr>
          <w:t> </w:t>
        </w:r>
        <w:r>
          <w:rPr>
            <w:rStyle w:val="Hyperlink"/>
          </w:rPr>
          <w:t>13</w:t>
        </w:r>
      </w:hyperlink>
      <w:r w:rsidR="002C0AD6">
        <w:t xml:space="preserve">) </w:t>
      </w:r>
      <w:r>
        <w:t xml:space="preserve">liées au patrimoine vivant et au développement </w:t>
      </w:r>
      <w:r>
        <w:rPr>
          <w:rFonts w:asciiTheme="minorBidi" w:hAnsiTheme="minorBidi"/>
        </w:rPr>
        <w:t>durable</w:t>
      </w:r>
      <w:r>
        <w:t xml:space="preserve">. Un aperçu de ce travail est présenté pour examen par la présente session du Comité (document </w:t>
      </w:r>
      <w:hyperlink r:id="rId27" w:history="1">
        <w:r>
          <w:rPr>
            <w:rStyle w:val="Hyperlink"/>
          </w:rPr>
          <w:t>LHE/25/20.COM/12</w:t>
        </w:r>
      </w:hyperlink>
      <w:r>
        <w:t>)</w:t>
      </w:r>
      <w:r w:rsidR="009303A6">
        <w:t> :</w:t>
      </w:r>
    </w:p>
    <w:p w14:paraId="2FEAC208" w14:textId="2DB02CB8" w:rsidR="006D4894" w:rsidRPr="00D870F2" w:rsidRDefault="006D4894" w:rsidP="006D4894">
      <w:pPr>
        <w:pStyle w:val="COMPara"/>
        <w:numPr>
          <w:ilvl w:val="1"/>
          <w:numId w:val="9"/>
        </w:numPr>
        <w:ind w:left="900"/>
        <w:jc w:val="both"/>
        <w:rPr>
          <w:rFonts w:asciiTheme="minorBidi" w:hAnsiTheme="minorBidi" w:cstheme="minorBidi"/>
        </w:rPr>
      </w:pPr>
      <w:proofErr w:type="gramStart"/>
      <w:r>
        <w:rPr>
          <w:rFonts w:asciiTheme="minorBidi" w:hAnsiTheme="minorBidi"/>
        </w:rPr>
        <w:t>Suite à</w:t>
      </w:r>
      <w:proofErr w:type="gramEnd"/>
      <w:r>
        <w:rPr>
          <w:rFonts w:asciiTheme="minorBidi" w:hAnsiTheme="minorBidi"/>
        </w:rPr>
        <w:t xml:space="preserve"> l</w:t>
      </w:r>
      <w:r w:rsidR="00A44FA1">
        <w:rPr>
          <w:rFonts w:asciiTheme="minorBidi" w:hAnsiTheme="minorBidi"/>
        </w:rPr>
        <w:t>’</w:t>
      </w:r>
      <w:r>
        <w:rPr>
          <w:rFonts w:asciiTheme="minorBidi" w:hAnsiTheme="minorBidi"/>
        </w:rPr>
        <w:t xml:space="preserve">approbation par le Comité de la </w:t>
      </w:r>
      <w:hyperlink r:id="rId28" w:history="1">
        <w:r>
          <w:rPr>
            <w:rStyle w:val="Hyperlink"/>
            <w:rFonts w:asciiTheme="minorBidi" w:hAnsiTheme="minorBidi"/>
          </w:rPr>
          <w:t>note d</w:t>
        </w:r>
        <w:r w:rsidR="00A44FA1">
          <w:rPr>
            <w:rStyle w:val="Hyperlink"/>
            <w:rFonts w:asciiTheme="minorBidi" w:hAnsiTheme="minorBidi"/>
          </w:rPr>
          <w:t>’</w:t>
        </w:r>
        <w:r>
          <w:rPr>
            <w:rStyle w:val="Hyperlink"/>
            <w:rFonts w:asciiTheme="minorBidi" w:hAnsiTheme="minorBidi"/>
          </w:rPr>
          <w:t>orientation</w:t>
        </w:r>
      </w:hyperlink>
      <w:r>
        <w:rPr>
          <w:rFonts w:asciiTheme="minorBidi" w:hAnsiTheme="minorBidi"/>
        </w:rPr>
        <w:t xml:space="preserve"> sur les dimensions économiques de la sauvegarde du patrimoine culturel immatériel (décision </w:t>
      </w:r>
      <w:hyperlink r:id="rId29" w:history="1">
        <w:r>
          <w:rPr>
            <w:rStyle w:val="Hyperlink"/>
            <w:rFonts w:asciiTheme="minorBidi" w:hAnsiTheme="minorBidi"/>
          </w:rPr>
          <w:t>18.COM 12</w:t>
        </w:r>
      </w:hyperlink>
      <w:r>
        <w:rPr>
          <w:rFonts w:asciiTheme="minorBidi" w:hAnsiTheme="minorBidi"/>
        </w:rPr>
        <w:t>), le Secrétariat a entrepris des échanges techniques informels avec d</w:t>
      </w:r>
      <w:r w:rsidR="00A44FA1">
        <w:rPr>
          <w:rFonts w:asciiTheme="minorBidi" w:hAnsiTheme="minorBidi"/>
        </w:rPr>
        <w:t>’</w:t>
      </w:r>
      <w:r>
        <w:rPr>
          <w:rFonts w:asciiTheme="minorBidi" w:hAnsiTheme="minorBidi"/>
        </w:rPr>
        <w:t>autres institutions et agences des Nations unies. Le Secrétariat a également commencé à planifier un certain nombre de documents sectoriels de renforcement des capacités afin de fournir une assistance pratique sur la manière d</w:t>
      </w:r>
      <w:r w:rsidR="00A44FA1">
        <w:rPr>
          <w:rFonts w:asciiTheme="minorBidi" w:hAnsiTheme="minorBidi"/>
        </w:rPr>
        <w:t>’</w:t>
      </w:r>
      <w:r>
        <w:rPr>
          <w:rFonts w:asciiTheme="minorBidi" w:hAnsiTheme="minorBidi"/>
        </w:rPr>
        <w:t>appliquer les principes contenus dans la note d</w:t>
      </w:r>
      <w:r w:rsidR="00A44FA1">
        <w:rPr>
          <w:rFonts w:asciiTheme="minorBidi" w:hAnsiTheme="minorBidi"/>
        </w:rPr>
        <w:t>’</w:t>
      </w:r>
      <w:r>
        <w:rPr>
          <w:rFonts w:asciiTheme="minorBidi" w:hAnsiTheme="minorBidi"/>
        </w:rPr>
        <w:t>orientation.</w:t>
      </w:r>
    </w:p>
    <w:p w14:paraId="5C2269AC" w14:textId="003936A5" w:rsidR="006D4894" w:rsidRPr="00D870F2" w:rsidRDefault="006D4894" w:rsidP="006D4894">
      <w:pPr>
        <w:pStyle w:val="COMPara"/>
        <w:numPr>
          <w:ilvl w:val="1"/>
          <w:numId w:val="9"/>
        </w:numPr>
        <w:ind w:left="900"/>
        <w:jc w:val="both"/>
        <w:rPr>
          <w:rFonts w:asciiTheme="minorBidi" w:hAnsiTheme="minorBidi" w:cstheme="minorBidi"/>
        </w:rPr>
      </w:pPr>
      <w:r>
        <w:t>Après l</w:t>
      </w:r>
      <w:r w:rsidR="00A44FA1">
        <w:t>’</w:t>
      </w:r>
      <w:r>
        <w:t xml:space="preserve">approbation par le Comité de la </w:t>
      </w:r>
      <w:hyperlink r:id="rId30" w:history="1">
        <w:r>
          <w:rPr>
            <w:rStyle w:val="Hyperlink"/>
          </w:rPr>
          <w:t>note d</w:t>
        </w:r>
        <w:r w:rsidR="00A44FA1">
          <w:rPr>
            <w:rStyle w:val="Hyperlink"/>
          </w:rPr>
          <w:t>’</w:t>
        </w:r>
        <w:r>
          <w:rPr>
            <w:rStyle w:val="Hyperlink"/>
          </w:rPr>
          <w:t>orientation</w:t>
        </w:r>
      </w:hyperlink>
      <w:r>
        <w:t xml:space="preserve"> sur le patrimoine culturel immatériel et le changement climatique (décision </w:t>
      </w:r>
      <w:hyperlink r:id="rId31" w:history="1">
        <w:r>
          <w:rPr>
            <w:rStyle w:val="Hyperlink"/>
          </w:rPr>
          <w:t>19.COM 11</w:t>
        </w:r>
        <w:r w:rsidRPr="00B828F1">
          <w:rPr>
            <w:rStyle w:val="Hyperlink"/>
            <w:color w:val="auto"/>
            <w:u w:val="none"/>
          </w:rPr>
          <w:t>)</w:t>
        </w:r>
      </w:hyperlink>
      <w:r>
        <w:t>, le Secrétariat a concentré ses efforts sur l</w:t>
      </w:r>
      <w:r w:rsidR="00A44FA1">
        <w:t>’</w:t>
      </w:r>
      <w:r>
        <w:t>intégration de la sauvegarde du patrimoine vivant dans des initiatives plus larges du secteur de la culture visant à promouvoir le rôle de cette dernière dans l</w:t>
      </w:r>
      <w:r w:rsidR="00A44FA1">
        <w:t>’</w:t>
      </w:r>
      <w:r>
        <w:t xml:space="preserve">action climatique. Un exemple notable est la contribution au document thématique </w:t>
      </w:r>
      <w:hyperlink r:id="rId32" w:history="1">
        <w:r w:rsidRPr="00B21884">
          <w:rPr>
            <w:rStyle w:val="Hyperlink"/>
          </w:rPr>
          <w:t>« Culture and Climate Action :</w:t>
        </w:r>
      </w:hyperlink>
      <w:hyperlink r:id="rId33" w:history="1">
        <w:r w:rsidRPr="00B21884">
          <w:rPr>
            <w:rStyle w:val="Hyperlink"/>
          </w:rPr>
          <w:t xml:space="preserve"> From Margins to Mainstream</w:t>
        </w:r>
      </w:hyperlink>
      <w:r w:rsidRPr="00B21884">
        <w:t> » (« </w:t>
      </w:r>
      <w:r w:rsidRPr="00B21884">
        <w:rPr>
          <w:i/>
          <w:iCs/>
        </w:rPr>
        <w:t>Culture et action climatique : de la marginalité à la normalité</w:t>
      </w:r>
      <w:r w:rsidRPr="00B21884">
        <w:t> »),</w:t>
      </w:r>
      <w:r>
        <w:t xml:space="preserve"> présenté lors de la conférence </w:t>
      </w:r>
      <w:hyperlink r:id="rId34" w:history="1">
        <w:r>
          <w:rPr>
            <w:rStyle w:val="Hyperlink"/>
          </w:rPr>
          <w:t>MONDIACULT 2025</w:t>
        </w:r>
      </w:hyperlink>
      <w:r>
        <w:t>. Conformément à la note d</w:t>
      </w:r>
      <w:r w:rsidR="00A44FA1">
        <w:t>’</w:t>
      </w:r>
      <w:r>
        <w:t>orientation, le document souligne le potentiel important du patrimoine vivant pour soutenir les stratégies d</w:t>
      </w:r>
      <w:r w:rsidR="00A44FA1">
        <w:t>’</w:t>
      </w:r>
      <w:r>
        <w:t>atténuation et d</w:t>
      </w:r>
      <w:r w:rsidR="00A44FA1">
        <w:t>’</w:t>
      </w:r>
      <w:r>
        <w:t xml:space="preserve">adaptation, marquant ainsi une avancée importante dans le renforcement de la présence de la culture dans le discours international sur le climat. </w:t>
      </w:r>
    </w:p>
    <w:p w14:paraId="2F3CD13D" w14:textId="15B69376" w:rsidR="006D4894" w:rsidRPr="00416ADD" w:rsidRDefault="007638FF" w:rsidP="006D4894">
      <w:pPr>
        <w:pStyle w:val="COMPara"/>
        <w:numPr>
          <w:ilvl w:val="1"/>
          <w:numId w:val="9"/>
        </w:numPr>
        <w:ind w:left="900"/>
        <w:jc w:val="both"/>
        <w:rPr>
          <w:rFonts w:asciiTheme="minorBidi" w:hAnsiTheme="minorBidi" w:cstheme="minorBidi"/>
        </w:rPr>
      </w:pPr>
      <w:r w:rsidRPr="007638FF">
        <w:t>Des progrès importants ont été accomplis dans la compréhension du patrimoine culturel immatériel en milieu urbain, notamment grâce à l</w:t>
      </w:r>
      <w:r w:rsidR="00A44FA1">
        <w:t>’</w:t>
      </w:r>
      <w:r w:rsidRPr="007638FF">
        <w:t>organisation d</w:t>
      </w:r>
      <w:r w:rsidR="00A44FA1">
        <w:t>’</w:t>
      </w:r>
      <w:r w:rsidRPr="007638FF">
        <w:t xml:space="preserve">une </w:t>
      </w:r>
      <w:hyperlink r:id="rId35" w:history="1">
        <w:r w:rsidRPr="007638FF">
          <w:rPr>
            <w:rStyle w:val="Hyperlink"/>
          </w:rPr>
          <w:t>réunion d</w:t>
        </w:r>
        <w:r w:rsidR="00A44FA1">
          <w:rPr>
            <w:rStyle w:val="Hyperlink"/>
          </w:rPr>
          <w:t>’</w:t>
        </w:r>
        <w:r w:rsidRPr="007638FF">
          <w:rPr>
            <w:rStyle w:val="Hyperlink"/>
          </w:rPr>
          <w:t xml:space="preserve">experts de </w:t>
        </w:r>
        <w:r w:rsidR="00376D0F">
          <w:rPr>
            <w:rStyle w:val="Hyperlink"/>
          </w:rPr>
          <w:t>c</w:t>
        </w:r>
        <w:r w:rsidR="00376D0F" w:rsidRPr="007638FF">
          <w:rPr>
            <w:rStyle w:val="Hyperlink"/>
          </w:rPr>
          <w:t xml:space="preserve">atégorie </w:t>
        </w:r>
        <w:r w:rsidRPr="007638FF">
          <w:rPr>
            <w:rStyle w:val="Hyperlink"/>
          </w:rPr>
          <w:t>VI</w:t>
        </w:r>
      </w:hyperlink>
      <w:r w:rsidRPr="007638FF">
        <w:t>. Cette réunion a abouti à l</w:t>
      </w:r>
      <w:r w:rsidR="00A44FA1">
        <w:t>’</w:t>
      </w:r>
      <w:r w:rsidRPr="007638FF">
        <w:t>élaboration d</w:t>
      </w:r>
      <w:r w:rsidR="00A44FA1">
        <w:t>’</w:t>
      </w:r>
      <w:r w:rsidRPr="007638FF">
        <w:t>un projet de note d</w:t>
      </w:r>
      <w:r w:rsidR="00A44FA1">
        <w:t>’</w:t>
      </w:r>
      <w:r w:rsidRPr="007638FF">
        <w:t>orientation, qui est soumis à l</w:t>
      </w:r>
      <w:r w:rsidR="00A44FA1">
        <w:t>’</w:t>
      </w:r>
      <w:r w:rsidRPr="007638FF">
        <w:t xml:space="preserve">examen du Comité lors de la présente session (annexe du document </w:t>
      </w:r>
      <w:hyperlink r:id="rId36" w:history="1">
        <w:r>
          <w:rPr>
            <w:rStyle w:val="Hyperlink"/>
          </w:rPr>
          <w:t>LHE/25/20.COM/12</w:t>
        </w:r>
      </w:hyperlink>
      <w:r w:rsidRPr="007638FF">
        <w:t>). Parallèlement à l</w:t>
      </w:r>
      <w:r w:rsidR="00A44FA1">
        <w:t>’</w:t>
      </w:r>
      <w:r w:rsidRPr="007638FF">
        <w:t>élaboration de la note d</w:t>
      </w:r>
      <w:r w:rsidR="00A44FA1">
        <w:t>’</w:t>
      </w:r>
      <w:r w:rsidRPr="007638FF">
        <w:t>orientation, un projet de renforcement des capacités s</w:t>
      </w:r>
      <w:r w:rsidR="00A44FA1">
        <w:t>’</w:t>
      </w:r>
      <w:r w:rsidRPr="007638FF">
        <w:t>est poursuivi, avec le soutien du Royaume d</w:t>
      </w:r>
      <w:r w:rsidR="00A44FA1">
        <w:t>’</w:t>
      </w:r>
      <w:r w:rsidRPr="007638FF">
        <w:t>Arabie saoudite, qui comprenait l</w:t>
      </w:r>
      <w:r w:rsidR="00A44FA1">
        <w:t>’</w:t>
      </w:r>
      <w:r w:rsidRPr="007638FF">
        <w:t>élaboration d</w:t>
      </w:r>
      <w:r w:rsidR="00A44FA1">
        <w:t>’</w:t>
      </w:r>
      <w:r w:rsidRPr="007638FF">
        <w:t>un cours sur le patrimoine vivant et le développement urbain durable, mis en œuvre dans neuf pays</w:t>
      </w:r>
      <w:r>
        <w:rPr>
          <w:rStyle w:val="FootnoteReference"/>
          <w:rFonts w:asciiTheme="minorBidi" w:hAnsiTheme="minorBidi"/>
        </w:rPr>
        <w:footnoteReference w:id="4"/>
      </w:r>
      <w:r w:rsidRPr="007638FF">
        <w:t xml:space="preserve"> afin d</w:t>
      </w:r>
      <w:r w:rsidR="00A44FA1">
        <w:t>’</w:t>
      </w:r>
      <w:r w:rsidRPr="007638FF">
        <w:t>intégrer le patrimoine vivant dans les processus d</w:t>
      </w:r>
      <w:r w:rsidR="00A44FA1">
        <w:t>’</w:t>
      </w:r>
      <w:r w:rsidRPr="007638FF">
        <w:t>urbanisme.</w:t>
      </w:r>
    </w:p>
    <w:p w14:paraId="2927BAB4" w14:textId="19DFB22B" w:rsidR="007638FF" w:rsidRPr="009766D7" w:rsidRDefault="007638FF" w:rsidP="006D4894">
      <w:pPr>
        <w:pStyle w:val="COMPara"/>
        <w:numPr>
          <w:ilvl w:val="1"/>
          <w:numId w:val="9"/>
        </w:numPr>
        <w:ind w:left="900"/>
        <w:jc w:val="both"/>
        <w:rPr>
          <w:rFonts w:asciiTheme="minorBidi" w:hAnsiTheme="minorBidi" w:cstheme="minorBidi"/>
        </w:rPr>
      </w:pPr>
      <w:r w:rsidRPr="007638FF">
        <w:rPr>
          <w:rFonts w:asciiTheme="minorBidi" w:hAnsiTheme="minorBidi" w:cstheme="minorBidi"/>
        </w:rPr>
        <w:t>Parallèlement, le Secrétariat explore d</w:t>
      </w:r>
      <w:r w:rsidR="00A44FA1">
        <w:rPr>
          <w:rFonts w:asciiTheme="minorBidi" w:hAnsiTheme="minorBidi" w:cstheme="minorBidi"/>
        </w:rPr>
        <w:t>’</w:t>
      </w:r>
      <w:r w:rsidRPr="007638FF">
        <w:rPr>
          <w:rFonts w:asciiTheme="minorBidi" w:hAnsiTheme="minorBidi" w:cstheme="minorBidi"/>
        </w:rPr>
        <w:t xml:space="preserve">autres domaines thématiques, tels que le potentiel des technologies numériques pour les communautés du patrimoine vivant. Par exemple, un </w:t>
      </w:r>
      <w:hyperlink r:id="rId37" w:history="1">
        <w:r w:rsidRPr="009303A6">
          <w:rPr>
            <w:rStyle w:val="Hyperlink"/>
            <w:rFonts w:asciiTheme="minorBidi" w:hAnsiTheme="minorBidi" w:cstheme="minorBidi"/>
          </w:rPr>
          <w:t>webinaire</w:t>
        </w:r>
      </w:hyperlink>
      <w:r w:rsidRPr="007638FF">
        <w:rPr>
          <w:rFonts w:asciiTheme="minorBidi" w:hAnsiTheme="minorBidi" w:cstheme="minorBidi"/>
        </w:rPr>
        <w:t xml:space="preserve"> sur l</w:t>
      </w:r>
      <w:r w:rsidR="00A44FA1">
        <w:rPr>
          <w:rFonts w:asciiTheme="minorBidi" w:hAnsiTheme="minorBidi" w:cstheme="minorBidi"/>
        </w:rPr>
        <w:t>’</w:t>
      </w:r>
      <w:r w:rsidRPr="007638FF">
        <w:rPr>
          <w:rFonts w:asciiTheme="minorBidi" w:hAnsiTheme="minorBidi" w:cstheme="minorBidi"/>
        </w:rPr>
        <w:t>intelligence artificielle et le patrimoine culturel immatériel a été organisé en ligne le 17 octobre 2024 à l</w:t>
      </w:r>
      <w:r w:rsidR="00A44FA1">
        <w:rPr>
          <w:rFonts w:asciiTheme="minorBidi" w:hAnsiTheme="minorBidi" w:cstheme="minorBidi"/>
        </w:rPr>
        <w:t>’</w:t>
      </w:r>
      <w:r w:rsidRPr="007638FF">
        <w:rPr>
          <w:rFonts w:asciiTheme="minorBidi" w:hAnsiTheme="minorBidi" w:cstheme="minorBidi"/>
        </w:rPr>
        <w:t>occasion de la première édition de la Journée internationale du patrimoine culturel immatériel.</w:t>
      </w:r>
    </w:p>
    <w:p w14:paraId="09EEC65B" w14:textId="03A155EE" w:rsidR="00222EA5" w:rsidRPr="00356C42" w:rsidRDefault="00222EA5" w:rsidP="00222EA5">
      <w:pPr>
        <w:pStyle w:val="COMPara"/>
        <w:ind w:left="567" w:hanging="567"/>
        <w:jc w:val="both"/>
      </w:pPr>
      <w:r>
        <w:rPr>
          <w:b/>
        </w:rPr>
        <w:t>Sauvegarde du</w:t>
      </w:r>
      <w:r>
        <w:rPr>
          <w:rFonts w:asciiTheme="minorBidi" w:hAnsiTheme="minorBidi"/>
          <w:b/>
        </w:rPr>
        <w:t xml:space="preserve"> patrimoine vivant dans les situations d</w:t>
      </w:r>
      <w:r w:rsidR="00A44FA1">
        <w:rPr>
          <w:rFonts w:asciiTheme="minorBidi" w:hAnsiTheme="minorBidi"/>
          <w:b/>
        </w:rPr>
        <w:t>’</w:t>
      </w:r>
      <w:r>
        <w:rPr>
          <w:rFonts w:asciiTheme="minorBidi" w:hAnsiTheme="minorBidi"/>
          <w:b/>
        </w:rPr>
        <w:t>urgence</w:t>
      </w:r>
      <w:r>
        <w:rPr>
          <w:rFonts w:asciiTheme="minorBidi" w:hAnsiTheme="minorBidi"/>
        </w:rPr>
        <w:t xml:space="preserve">: </w:t>
      </w:r>
      <w:r w:rsidR="00CF3443">
        <w:rPr>
          <w:rFonts w:asciiTheme="minorBidi" w:hAnsiTheme="minorBidi"/>
        </w:rPr>
        <w:t>Le</w:t>
      </w:r>
      <w:r>
        <w:rPr>
          <w:rFonts w:asciiTheme="minorBidi" w:hAnsiTheme="minorBidi"/>
        </w:rPr>
        <w:t xml:space="preserve"> Secrétariat a continué à s</w:t>
      </w:r>
      <w:r w:rsidR="00A44FA1">
        <w:rPr>
          <w:rFonts w:asciiTheme="minorBidi" w:hAnsiTheme="minorBidi"/>
        </w:rPr>
        <w:t>’</w:t>
      </w:r>
      <w:r>
        <w:rPr>
          <w:rFonts w:asciiTheme="minorBidi" w:hAnsiTheme="minorBidi"/>
        </w:rPr>
        <w:t xml:space="preserve">appuyer sur les fondements des </w:t>
      </w:r>
      <w:hyperlink r:id="rId38" w:history="1">
        <w:r w:rsidRPr="004C5C50">
          <w:rPr>
            <w:rStyle w:val="Hyperlink"/>
            <w:rFonts w:asciiTheme="minorBidi" w:hAnsiTheme="minorBidi"/>
          </w:rPr>
          <w:t>Principes et modalités opérationnels pour la sauvegarde du patrimoine culturel immatériel dans les situations d</w:t>
        </w:r>
        <w:r w:rsidR="00A44FA1" w:rsidRPr="004C5C50">
          <w:rPr>
            <w:rStyle w:val="Hyperlink"/>
            <w:rFonts w:asciiTheme="minorBidi" w:hAnsiTheme="minorBidi"/>
          </w:rPr>
          <w:t>’</w:t>
        </w:r>
        <w:r w:rsidRPr="004C5C50">
          <w:rPr>
            <w:rStyle w:val="Hyperlink"/>
            <w:rFonts w:asciiTheme="minorBidi" w:hAnsiTheme="minorBidi"/>
          </w:rPr>
          <w:t>urgence</w:t>
        </w:r>
      </w:hyperlink>
      <w:r>
        <w:rPr>
          <w:rFonts w:asciiTheme="minorBidi" w:hAnsiTheme="minorBidi"/>
        </w:rPr>
        <w:t>, en renforçant les capacités, en mettant en œuvre des projets opérationnels et en favorisant les partenariats avec les acteurs intervenant dans le domaine des situations d</w:t>
      </w:r>
      <w:r w:rsidR="00A44FA1">
        <w:rPr>
          <w:rFonts w:asciiTheme="minorBidi" w:hAnsiTheme="minorBidi"/>
        </w:rPr>
        <w:t>’</w:t>
      </w:r>
      <w:r>
        <w:rPr>
          <w:rFonts w:asciiTheme="minorBidi" w:hAnsiTheme="minorBidi"/>
        </w:rPr>
        <w:t>urgence.</w:t>
      </w:r>
    </w:p>
    <w:p w14:paraId="283C400A" w14:textId="5F6A3306" w:rsidR="00222EA5" w:rsidRPr="00D870F2" w:rsidRDefault="00CF3443" w:rsidP="00222EA5">
      <w:pPr>
        <w:pStyle w:val="COMPara"/>
        <w:numPr>
          <w:ilvl w:val="1"/>
          <w:numId w:val="9"/>
        </w:numPr>
        <w:ind w:left="900"/>
        <w:jc w:val="both"/>
      </w:pPr>
      <w:r w:rsidRPr="00CF3443">
        <w:rPr>
          <w:rFonts w:asciiTheme="minorBidi" w:hAnsiTheme="minorBidi"/>
        </w:rPr>
        <w:t xml:space="preserve">Des progrès notables ont été réalisés grâce à une initiative pluriannuelle financée par le </w:t>
      </w:r>
      <w:r w:rsidRPr="00200377">
        <w:rPr>
          <w:rFonts w:asciiTheme="minorBidi" w:hAnsiTheme="minorBidi"/>
        </w:rPr>
        <w:t>Fonds-en-dépôt</w:t>
      </w:r>
      <w:r w:rsidRPr="00CF3443">
        <w:rPr>
          <w:rFonts w:asciiTheme="minorBidi" w:hAnsiTheme="minorBidi"/>
        </w:rPr>
        <w:t xml:space="preserve"> du Japon dans cinq petits États insulaires en développement</w:t>
      </w:r>
      <w:r w:rsidR="009303A6">
        <w:rPr>
          <w:rStyle w:val="FootnoteReference"/>
          <w:rFonts w:asciiTheme="minorBidi" w:hAnsiTheme="minorBidi" w:cstheme="minorBidi"/>
        </w:rPr>
        <w:footnoteReference w:id="5"/>
      </w:r>
      <w:r w:rsidRPr="00CF3443">
        <w:rPr>
          <w:rFonts w:asciiTheme="minorBidi" w:hAnsiTheme="minorBidi"/>
        </w:rPr>
        <w:t xml:space="preserve"> (PEID) du Pacifique et des Caraïbes, qui visait à intégrer le patrimoine vivant dans la gestion des risques de catastrophe. Ce projet a notamment facilité une coopération accrue entre les détenteurs du patrimoine vivant et les organismes de gestion des catastrophes, et a favorisé l</w:t>
      </w:r>
      <w:r w:rsidR="00A44FA1">
        <w:rPr>
          <w:rFonts w:asciiTheme="minorBidi" w:hAnsiTheme="minorBidi"/>
        </w:rPr>
        <w:t>’</w:t>
      </w:r>
      <w:r w:rsidRPr="00CF3443">
        <w:rPr>
          <w:rFonts w:asciiTheme="minorBidi" w:hAnsiTheme="minorBidi"/>
        </w:rPr>
        <w:t>intégration des perspectives liées aux risques de catastrophe dans les inventaires destinés à être utilisés dans les stratégies locales de préparation.</w:t>
      </w:r>
    </w:p>
    <w:p w14:paraId="2A719534" w14:textId="0834436D" w:rsidR="00222EA5" w:rsidRPr="00D870F2" w:rsidRDefault="00CF3443" w:rsidP="00222EA5">
      <w:pPr>
        <w:pStyle w:val="COMPara"/>
        <w:numPr>
          <w:ilvl w:val="1"/>
          <w:numId w:val="9"/>
        </w:numPr>
        <w:ind w:left="900"/>
        <w:jc w:val="both"/>
      </w:pPr>
      <w:r w:rsidRPr="00CF3443">
        <w:rPr>
          <w:rFonts w:asciiTheme="minorBidi" w:hAnsiTheme="minorBidi"/>
        </w:rPr>
        <w:t>Le Secrétariat a encore consolidé son approche, ses orientations et ses supports de formation pour la sauvegarde du patrimoine culturel immatériel dans les contextes de conflit et de déplacement, avec le soutien de l</w:t>
      </w:r>
      <w:r w:rsidR="00A44FA1">
        <w:rPr>
          <w:rFonts w:asciiTheme="minorBidi" w:hAnsiTheme="minorBidi"/>
        </w:rPr>
        <w:t>’</w:t>
      </w:r>
      <w:r w:rsidRPr="00CF3443">
        <w:rPr>
          <w:rFonts w:asciiTheme="minorBidi" w:hAnsiTheme="minorBidi"/>
        </w:rPr>
        <w:t xml:space="preserve">Azerbaïdjan. Le dernier résultat en date est un guide, testé à titre expérimental auprès des gestionnaires de camps de réfugiés en Grèce, destiné à sensibiliser les acteurs humanitaires. </w:t>
      </w:r>
    </w:p>
    <w:p w14:paraId="6275B000" w14:textId="787DCADE" w:rsidR="00222EA5" w:rsidRPr="005D5BF0" w:rsidRDefault="00222EA5" w:rsidP="00222EA5">
      <w:pPr>
        <w:pStyle w:val="COMPara"/>
        <w:numPr>
          <w:ilvl w:val="1"/>
          <w:numId w:val="9"/>
        </w:numPr>
        <w:ind w:left="900"/>
        <w:jc w:val="both"/>
      </w:pPr>
      <w:r>
        <w:t>Le Secrétariat a coordonné avec le gouvernement ukrainien le suivi des besoins en matière de sauvegarde, s</w:t>
      </w:r>
      <w:r w:rsidR="00A44FA1">
        <w:t>’</w:t>
      </w:r>
      <w:r>
        <w:t>appuyant sur le plan d</w:t>
      </w:r>
      <w:r w:rsidR="00A44FA1">
        <w:t>’</w:t>
      </w:r>
      <w:r>
        <w:t>action 2024. Avec le soutien du Fonds d</w:t>
      </w:r>
      <w:r w:rsidR="00A44FA1">
        <w:t>’</w:t>
      </w:r>
      <w:r>
        <w:t xml:space="preserve">urgence pour le patrimoine, un kit de ressources intitulé </w:t>
      </w:r>
      <w:r w:rsidRPr="004C5C50">
        <w:t>« Enseigner et apprendre avec le patrimoine vivant en Ukraine »</w:t>
      </w:r>
      <w:r>
        <w:t xml:space="preserve"> a été lancé en juillet 2024. Ce processus a permis de mobiliser les communautés scolaires, d</w:t>
      </w:r>
      <w:r w:rsidR="00A44FA1">
        <w:t>’</w:t>
      </w:r>
      <w:r>
        <w:t>améliorer le bien-être et de promouvoir l</w:t>
      </w:r>
      <w:r w:rsidR="00A44FA1">
        <w:t>’</w:t>
      </w:r>
      <w:r>
        <w:t>inclusion d</w:t>
      </w:r>
      <w:r w:rsidR="00A44FA1">
        <w:t>’</w:t>
      </w:r>
      <w:r>
        <w:t>enfants d</w:t>
      </w:r>
      <w:r w:rsidR="00A44FA1">
        <w:t>’</w:t>
      </w:r>
      <w:r>
        <w:t xml:space="preserve">origines diverses, y compris les minorités et les personnes handicapées. </w:t>
      </w:r>
      <w:r w:rsidR="00CF3443" w:rsidRPr="00CF3443">
        <w:t>La deuxième phase du projet est en cours et prévoit la formation de 100 formateurs d</w:t>
      </w:r>
      <w:r w:rsidR="00A44FA1">
        <w:t>’</w:t>
      </w:r>
      <w:r w:rsidR="00CF3443" w:rsidRPr="00CF3443">
        <w:t>enseignants et la mise en œuvre de 60 projets pilotes dans des salles de classe à travers l</w:t>
      </w:r>
      <w:r w:rsidR="00A44FA1">
        <w:t>’</w:t>
      </w:r>
      <w:r w:rsidR="00CF3443" w:rsidRPr="00CF3443">
        <w:t>Ukraine.</w:t>
      </w:r>
    </w:p>
    <w:p w14:paraId="487F6C35" w14:textId="3918A2A6" w:rsidR="00A756C6" w:rsidRPr="009766D7" w:rsidRDefault="000F4FE5" w:rsidP="009766D7">
      <w:pPr>
        <w:pStyle w:val="COMPara"/>
        <w:numPr>
          <w:ilvl w:val="1"/>
          <w:numId w:val="9"/>
        </w:numPr>
        <w:ind w:left="900"/>
        <w:jc w:val="both"/>
      </w:pPr>
      <w:r w:rsidRPr="000F4FE5">
        <w:t>En réponse à une demande du gouvernement de l</w:t>
      </w:r>
      <w:r w:rsidR="00A44FA1">
        <w:t>’</w:t>
      </w:r>
      <w:r w:rsidRPr="000F4FE5">
        <w:t>État de Palestine, le Secrétariat a fourni une assistance technique pour aider à la préparation d</w:t>
      </w:r>
      <w:r w:rsidR="00A44FA1">
        <w:t>’</w:t>
      </w:r>
      <w:r w:rsidRPr="000F4FE5">
        <w:t>une demande d</w:t>
      </w:r>
      <w:r w:rsidR="00A44FA1">
        <w:t>’</w:t>
      </w:r>
      <w:r w:rsidRPr="000F4FE5">
        <w:t>assistance internationale. En avril 2025, une demande d</w:t>
      </w:r>
      <w:r w:rsidR="00A44FA1">
        <w:t>’</w:t>
      </w:r>
      <w:r w:rsidRPr="000F4FE5">
        <w:t xml:space="preserve">urgence a été soumise afin de mettre en place un inventaire </w:t>
      </w:r>
      <w:r w:rsidR="002F1F0F">
        <w:t xml:space="preserve">sur la base des communautés </w:t>
      </w:r>
      <w:r w:rsidRPr="000F4FE5">
        <w:t>et de planifier des mesures de sauvegarde urgentes. Après avoir été approuvé en juin 2025 par le Bureau du Comité, le projet a été lancé.</w:t>
      </w:r>
    </w:p>
    <w:p w14:paraId="146F6436" w14:textId="0E53B650" w:rsidR="00581DC5" w:rsidRDefault="00B01494" w:rsidP="009766D7">
      <w:pPr>
        <w:pStyle w:val="COMPara"/>
        <w:ind w:left="567" w:hanging="567"/>
        <w:jc w:val="both"/>
      </w:pPr>
      <w:r>
        <w:rPr>
          <w:rFonts w:asciiTheme="minorBidi" w:hAnsiTheme="minorBidi"/>
          <w:b/>
        </w:rPr>
        <w:t>Renforcer les synergies</w:t>
      </w:r>
      <w:r>
        <w:rPr>
          <w:rFonts w:asciiTheme="minorBidi" w:hAnsiTheme="minorBidi"/>
        </w:rPr>
        <w:t xml:space="preserve"> : Deux réunions </w:t>
      </w:r>
      <w:r w:rsidR="002F1F0F">
        <w:rPr>
          <w:rFonts w:asciiTheme="minorBidi" w:hAnsiTheme="minorBidi"/>
        </w:rPr>
        <w:t xml:space="preserve">globales </w:t>
      </w:r>
      <w:r>
        <w:rPr>
          <w:rFonts w:asciiTheme="minorBidi" w:hAnsiTheme="minorBidi"/>
        </w:rPr>
        <w:t>importantes de l</w:t>
      </w:r>
      <w:r w:rsidR="00A44FA1">
        <w:rPr>
          <w:rFonts w:asciiTheme="minorBidi" w:hAnsiTheme="minorBidi"/>
        </w:rPr>
        <w:t>’</w:t>
      </w:r>
      <w:r>
        <w:rPr>
          <w:rFonts w:asciiTheme="minorBidi" w:hAnsiTheme="minorBidi"/>
        </w:rPr>
        <w:t>UNESCO ont ouvert la voie au perfectionnement de l</w:t>
      </w:r>
      <w:r w:rsidR="00A44FA1">
        <w:rPr>
          <w:rFonts w:asciiTheme="minorBidi" w:hAnsiTheme="minorBidi"/>
        </w:rPr>
        <w:t>’</w:t>
      </w:r>
      <w:r>
        <w:rPr>
          <w:rFonts w:asciiTheme="minorBidi" w:hAnsiTheme="minorBidi"/>
        </w:rPr>
        <w:t xml:space="preserve">approche holistique de la gestion du patrimoine, afin de consolider les liens entre le patrimoine matériel, immatériel et naturel. La </w:t>
      </w:r>
      <w:hyperlink r:id="rId39" w:history="1">
        <w:r w:rsidRPr="000F4FE5">
          <w:rPr>
            <w:rStyle w:val="Hyperlink"/>
            <w:rFonts w:asciiTheme="minorBidi" w:hAnsiTheme="minorBidi"/>
          </w:rPr>
          <w:t>deuxième édition de la Conférence de Naples sur le patrimoine culturel au 21</w:t>
        </w:r>
        <w:r w:rsidRPr="000F4FE5">
          <w:rPr>
            <w:rStyle w:val="Hyperlink"/>
            <w:rFonts w:asciiTheme="minorBidi" w:hAnsiTheme="minorBidi"/>
            <w:vertAlign w:val="superscript"/>
          </w:rPr>
          <w:t>e</w:t>
        </w:r>
        <w:r w:rsidRPr="000F4FE5">
          <w:rPr>
            <w:rStyle w:val="Hyperlink"/>
            <w:rFonts w:asciiTheme="minorBidi" w:hAnsiTheme="minorBidi"/>
          </w:rPr>
          <w:t xml:space="preserve"> siècle</w:t>
        </w:r>
      </w:hyperlink>
      <w:r>
        <w:rPr>
          <w:rFonts w:asciiTheme="minorBidi" w:hAnsiTheme="minorBidi"/>
        </w:rPr>
        <w:t xml:space="preserve">, accueillie par le gouvernement italien en juin 2025, </w:t>
      </w:r>
      <w:r w:rsidR="000F4FE5">
        <w:rPr>
          <w:rFonts w:asciiTheme="minorBidi" w:hAnsiTheme="minorBidi"/>
        </w:rPr>
        <w:t>a examiné</w:t>
      </w:r>
      <w:r>
        <w:rPr>
          <w:rFonts w:asciiTheme="minorBidi" w:hAnsiTheme="minorBidi"/>
        </w:rPr>
        <w:t xml:space="preserve"> la mise en œuvre de l</w:t>
      </w:r>
      <w:r w:rsidR="00A44FA1">
        <w:rPr>
          <w:rFonts w:asciiTheme="minorBidi" w:hAnsiTheme="minorBidi"/>
        </w:rPr>
        <w:t>’</w:t>
      </w:r>
      <w:r>
        <w:rPr>
          <w:rFonts w:asciiTheme="minorBidi" w:hAnsiTheme="minorBidi"/>
        </w:rPr>
        <w:t>appel à l</w:t>
      </w:r>
      <w:r w:rsidR="00A44FA1">
        <w:rPr>
          <w:rFonts w:asciiTheme="minorBidi" w:hAnsiTheme="minorBidi"/>
        </w:rPr>
        <w:t>’</w:t>
      </w:r>
      <w:r>
        <w:rPr>
          <w:rFonts w:asciiTheme="minorBidi" w:hAnsiTheme="minorBidi"/>
        </w:rPr>
        <w:t xml:space="preserve">action : </w:t>
      </w:r>
      <w:r w:rsidRPr="004C5C50">
        <w:rPr>
          <w:rFonts w:asciiTheme="minorBidi" w:hAnsiTheme="minorBidi"/>
        </w:rPr>
        <w:t>« </w:t>
      </w:r>
      <w:r w:rsidR="004C5C50" w:rsidRPr="00B828F1">
        <w:rPr>
          <w:rFonts w:asciiTheme="minorBidi" w:hAnsiTheme="minorBidi"/>
        </w:rPr>
        <w:t>L’</w:t>
      </w:r>
      <w:r w:rsidRPr="004C5C50">
        <w:rPr>
          <w:rFonts w:asciiTheme="minorBidi" w:hAnsiTheme="minorBidi"/>
        </w:rPr>
        <w:t>Esprit de Naples »</w:t>
      </w:r>
      <w:r>
        <w:rPr>
          <w:rFonts w:asciiTheme="minorBidi" w:hAnsiTheme="minorBidi"/>
        </w:rPr>
        <w:t>, adopté par sa première édition en octobre 2023. La conférence a abordé la nécessité d</w:t>
      </w:r>
      <w:r w:rsidR="00A44FA1">
        <w:rPr>
          <w:rFonts w:asciiTheme="minorBidi" w:hAnsiTheme="minorBidi"/>
        </w:rPr>
        <w:t>’</w:t>
      </w:r>
      <w:r>
        <w:rPr>
          <w:rFonts w:asciiTheme="minorBidi" w:hAnsiTheme="minorBidi"/>
        </w:rPr>
        <w:t>améliorer la représentativité et la diversité du patrimoine reconnu par les mécanismes d</w:t>
      </w:r>
      <w:r w:rsidR="00A44FA1">
        <w:rPr>
          <w:rFonts w:asciiTheme="minorBidi" w:hAnsiTheme="minorBidi"/>
        </w:rPr>
        <w:t>’</w:t>
      </w:r>
      <w:r>
        <w:rPr>
          <w:rFonts w:asciiTheme="minorBidi" w:hAnsiTheme="minorBidi"/>
        </w:rPr>
        <w:t>inscription de l</w:t>
      </w:r>
      <w:r w:rsidR="00A44FA1">
        <w:rPr>
          <w:rFonts w:asciiTheme="minorBidi" w:hAnsiTheme="minorBidi"/>
        </w:rPr>
        <w:t>’</w:t>
      </w:r>
      <w:r>
        <w:rPr>
          <w:rFonts w:asciiTheme="minorBidi" w:hAnsiTheme="minorBidi"/>
        </w:rPr>
        <w:t>UNESCO, tout en appelant à des approches fondées sur les droits pour prévenir la commercialisation excessive et la décontextualisation ; elle a en outre encouragé l</w:t>
      </w:r>
      <w:r w:rsidR="00A44FA1">
        <w:rPr>
          <w:rFonts w:asciiTheme="minorBidi" w:hAnsiTheme="minorBidi"/>
        </w:rPr>
        <w:t>’</w:t>
      </w:r>
      <w:r>
        <w:rPr>
          <w:rFonts w:asciiTheme="minorBidi" w:hAnsiTheme="minorBidi"/>
        </w:rPr>
        <w:t>utilisation responsable des technologies émergentes, telles que l</w:t>
      </w:r>
      <w:r w:rsidR="00A44FA1">
        <w:rPr>
          <w:rFonts w:asciiTheme="minorBidi" w:hAnsiTheme="minorBidi"/>
        </w:rPr>
        <w:t>’</w:t>
      </w:r>
      <w:r>
        <w:rPr>
          <w:rFonts w:asciiTheme="minorBidi" w:hAnsiTheme="minorBidi"/>
        </w:rPr>
        <w:t xml:space="preserve">intelligence artificielle, pour promouvoir un accès inclusif et éthique au patrimoine. </w:t>
      </w:r>
      <w:r w:rsidR="000F4FE5" w:rsidRPr="000F4FE5">
        <w:rPr>
          <w:rFonts w:asciiTheme="minorBidi" w:hAnsiTheme="minorBidi"/>
        </w:rPr>
        <w:t>Tout au long de l</w:t>
      </w:r>
      <w:r w:rsidR="00A44FA1">
        <w:rPr>
          <w:rFonts w:asciiTheme="minorBidi" w:hAnsiTheme="minorBidi"/>
        </w:rPr>
        <w:t>’</w:t>
      </w:r>
      <w:r w:rsidR="000F4FE5" w:rsidRPr="000F4FE5">
        <w:rPr>
          <w:rFonts w:asciiTheme="minorBidi" w:hAnsiTheme="minorBidi"/>
        </w:rPr>
        <w:t>année, le Secrétariat a contribué à la préparation de la Conférence mondiale de l</w:t>
      </w:r>
      <w:r w:rsidR="00A44FA1">
        <w:rPr>
          <w:rFonts w:asciiTheme="minorBidi" w:hAnsiTheme="minorBidi"/>
        </w:rPr>
        <w:t>’</w:t>
      </w:r>
      <w:r w:rsidR="000F4FE5" w:rsidRPr="000F4FE5">
        <w:rPr>
          <w:rFonts w:asciiTheme="minorBidi" w:hAnsiTheme="minorBidi"/>
        </w:rPr>
        <w:t>UNESCO sur les politiques culturelles et le développement durable (</w:t>
      </w:r>
      <w:hyperlink r:id="rId40" w:history="1">
        <w:r w:rsidR="000F4FE5" w:rsidRPr="000F4FE5">
          <w:rPr>
            <w:rStyle w:val="Hyperlink"/>
            <w:rFonts w:asciiTheme="minorBidi" w:hAnsiTheme="minorBidi"/>
          </w:rPr>
          <w:t>MONDIACULT 2025</w:t>
        </w:r>
      </w:hyperlink>
      <w:r w:rsidR="000F4FE5" w:rsidRPr="000F4FE5">
        <w:rPr>
          <w:rFonts w:asciiTheme="minorBidi" w:hAnsiTheme="minorBidi"/>
        </w:rPr>
        <w:t>), qui a réaffirmé l</w:t>
      </w:r>
      <w:r w:rsidR="00A44FA1">
        <w:rPr>
          <w:rFonts w:asciiTheme="minorBidi" w:hAnsiTheme="minorBidi"/>
        </w:rPr>
        <w:t>’</w:t>
      </w:r>
      <w:r w:rsidR="000F4FE5" w:rsidRPr="000F4FE5">
        <w:rPr>
          <w:rFonts w:asciiTheme="minorBidi" w:hAnsiTheme="minorBidi"/>
        </w:rPr>
        <w:t>engagement de la communauté internationale à intégrer la culture dans les politiques de développement et d</w:t>
      </w:r>
      <w:r w:rsidR="00A44FA1">
        <w:rPr>
          <w:rFonts w:asciiTheme="minorBidi" w:hAnsiTheme="minorBidi"/>
        </w:rPr>
        <w:t>’</w:t>
      </w:r>
      <w:r w:rsidR="000F4FE5" w:rsidRPr="000F4FE5">
        <w:rPr>
          <w:rFonts w:asciiTheme="minorBidi" w:hAnsiTheme="minorBidi"/>
        </w:rPr>
        <w:t>intervention d</w:t>
      </w:r>
      <w:r w:rsidR="00A44FA1">
        <w:rPr>
          <w:rFonts w:asciiTheme="minorBidi" w:hAnsiTheme="minorBidi"/>
        </w:rPr>
        <w:t>’</w:t>
      </w:r>
      <w:r w:rsidR="000F4FE5" w:rsidRPr="000F4FE5">
        <w:rPr>
          <w:rFonts w:asciiTheme="minorBidi" w:hAnsiTheme="minorBidi"/>
        </w:rPr>
        <w:t xml:space="preserve">urgence. Dans le cadre de ce processus, le Secrétariat a largement contribué au premier </w:t>
      </w:r>
      <w:hyperlink r:id="rId41" w:history="1">
        <w:r w:rsidR="000F4FE5" w:rsidRPr="000F4FE5">
          <w:rPr>
            <w:rStyle w:val="Hyperlink"/>
            <w:rFonts w:asciiTheme="minorBidi" w:hAnsiTheme="minorBidi"/>
          </w:rPr>
          <w:t>Rapport mondial de l</w:t>
        </w:r>
        <w:r w:rsidR="00A44FA1">
          <w:rPr>
            <w:rStyle w:val="Hyperlink"/>
            <w:rFonts w:asciiTheme="minorBidi" w:hAnsiTheme="minorBidi"/>
          </w:rPr>
          <w:t>’</w:t>
        </w:r>
        <w:r w:rsidR="000F4FE5" w:rsidRPr="000F4FE5">
          <w:rPr>
            <w:rStyle w:val="Hyperlink"/>
            <w:rFonts w:asciiTheme="minorBidi" w:hAnsiTheme="minorBidi"/>
          </w:rPr>
          <w:t>UNESCO sur les politiques culturelles</w:t>
        </w:r>
      </w:hyperlink>
      <w:r w:rsidR="000F4FE5" w:rsidRPr="000F4FE5">
        <w:rPr>
          <w:rFonts w:asciiTheme="minorBidi" w:hAnsiTheme="minorBidi"/>
        </w:rPr>
        <w:t xml:space="preserve"> dans la perspective de la Convention.</w:t>
      </w:r>
      <w:r w:rsidR="000F4FE5">
        <w:rPr>
          <w:rFonts w:asciiTheme="minorBidi" w:hAnsiTheme="minorBidi"/>
        </w:rPr>
        <w:t xml:space="preserve"> </w:t>
      </w:r>
    </w:p>
    <w:p w14:paraId="6C79050B" w14:textId="6025FDC5" w:rsidR="000721EF" w:rsidRPr="00BB6EEC" w:rsidRDefault="000721EF" w:rsidP="000721EF">
      <w:pPr>
        <w:pStyle w:val="COMPara"/>
        <w:numPr>
          <w:ilvl w:val="0"/>
          <w:numId w:val="21"/>
        </w:numPr>
        <w:spacing w:before="240"/>
        <w:ind w:left="567" w:hanging="567"/>
        <w:jc w:val="both"/>
        <w:rPr>
          <w:b/>
          <w:bCs/>
        </w:rPr>
      </w:pPr>
      <w:r>
        <w:rPr>
          <w:b/>
        </w:rPr>
        <w:t>Partenariats et sensibilisation</w:t>
      </w:r>
    </w:p>
    <w:p w14:paraId="359E4E9C" w14:textId="6A2A87A1" w:rsidR="00F33F7C" w:rsidRPr="00D870F2" w:rsidRDefault="00817588" w:rsidP="00817588">
      <w:pPr>
        <w:pStyle w:val="COMPara"/>
        <w:ind w:left="567" w:hanging="567"/>
        <w:jc w:val="both"/>
      </w:pPr>
      <w:r>
        <w:rPr>
          <w:b/>
        </w:rPr>
        <w:t>Organisations</w:t>
      </w:r>
      <w:r w:rsidR="00725581">
        <w:rPr>
          <w:b/>
        </w:rPr>
        <w:t xml:space="preserve"> </w:t>
      </w:r>
      <w:r>
        <w:rPr>
          <w:b/>
          <w:color w:val="212121"/>
          <w:shd w:val="clear" w:color="auto" w:fill="FFFFFF"/>
        </w:rPr>
        <w:t>non gouvernementales</w:t>
      </w:r>
      <w:r>
        <w:t xml:space="preserve"> : Le Secrétariat a traité </w:t>
      </w:r>
      <w:r w:rsidR="002F4812">
        <w:t xml:space="preserve">96 </w:t>
      </w:r>
      <w:r>
        <w:t>demandes d</w:t>
      </w:r>
      <w:r w:rsidR="00A44FA1">
        <w:t>’</w:t>
      </w:r>
      <w:r>
        <w:t>accréditation soumises par des ONG candidates pour le cycle d</w:t>
      </w:r>
      <w:r w:rsidR="00A44FA1">
        <w:t>’</w:t>
      </w:r>
      <w:r>
        <w:t xml:space="preserve">accréditation 2026, ainsi que traité le renouvellement quadriennal de </w:t>
      </w:r>
      <w:r w:rsidR="002F4812" w:rsidRPr="00416ADD">
        <w:t xml:space="preserve">89 </w:t>
      </w:r>
      <w:r>
        <w:t xml:space="preserve">ONG précédemment accréditées en </w:t>
      </w:r>
      <w:r w:rsidRPr="00416ADD">
        <w:t>2012, 2016 et 2020</w:t>
      </w:r>
      <w:r>
        <w:t xml:space="preserve"> et dont l</w:t>
      </w:r>
      <w:r w:rsidR="00A44FA1">
        <w:t>’</w:t>
      </w:r>
      <w:r>
        <w:t xml:space="preserve">accréditation doit être examinée par la présente session du Comité. Conformément à la résolution </w:t>
      </w:r>
      <w:hyperlink r:id="rId42" w:history="1">
        <w:r>
          <w:rPr>
            <w:rStyle w:val="Hyperlink"/>
          </w:rPr>
          <w:t>9.GA 7</w:t>
        </w:r>
      </w:hyperlink>
      <w:r>
        <w:t xml:space="preserve">, le Secrétariat a demandé aux </w:t>
      </w:r>
      <w:r w:rsidRPr="004C5386">
        <w:t xml:space="preserve">bureaux </w:t>
      </w:r>
      <w:r w:rsidR="004C5386">
        <w:t xml:space="preserve">hors-Siège </w:t>
      </w:r>
      <w:r>
        <w:t>de l</w:t>
      </w:r>
      <w:r w:rsidR="00A44FA1">
        <w:t>’</w:t>
      </w:r>
      <w:r>
        <w:t>UNESCO de contribuer à l</w:t>
      </w:r>
      <w:r w:rsidR="00A44FA1">
        <w:t>’</w:t>
      </w:r>
      <w:r>
        <w:t>évaluation des nouvelles demandes d</w:t>
      </w:r>
      <w:r w:rsidR="00A44FA1">
        <w:t>’</w:t>
      </w:r>
      <w:r>
        <w:t xml:space="preserve">accréditation et des rapports quadriennaux. Les recommandations qui en ont résulté sont présentées pour examen à la présente session du Comité (document </w:t>
      </w:r>
      <w:r w:rsidR="004C5386" w:rsidRPr="00B828F1">
        <w:t>LHE/25/20.COM/1</w:t>
      </w:r>
      <w:r w:rsidR="004C5386">
        <w:t>6</w:t>
      </w:r>
      <w:r>
        <w:t>). Suite à l</w:t>
      </w:r>
      <w:r w:rsidR="00A44FA1">
        <w:t>’</w:t>
      </w:r>
      <w:r>
        <w:t xml:space="preserve">achèvement de la première phase du projet de cartographie des domaines de compétences des ONG accréditées (décision </w:t>
      </w:r>
      <w:hyperlink r:id="rId43" w:tgtFrame="_blank" w:tooltip="https://ich.unesco.org/fr/decisions/14.com/15" w:history="1">
        <w:r>
          <w:rPr>
            <w:rStyle w:val="Hyperlink"/>
          </w:rPr>
          <w:t>14.COM</w:t>
        </w:r>
        <w:r w:rsidR="004C5C50">
          <w:rPr>
            <w:rStyle w:val="Hyperlink"/>
          </w:rPr>
          <w:t> </w:t>
        </w:r>
        <w:r>
          <w:rPr>
            <w:rStyle w:val="Hyperlink"/>
          </w:rPr>
          <w:t>15</w:t>
        </w:r>
      </w:hyperlink>
      <w:r>
        <w:t>), les 60 premiers profils d</w:t>
      </w:r>
      <w:r w:rsidR="00A44FA1">
        <w:t>’</w:t>
      </w:r>
      <w:r>
        <w:t xml:space="preserve">ONG sont désormais disponibles sur le </w:t>
      </w:r>
      <w:hyperlink r:id="rId44" w:tgtFrame="_blank" w:tooltip="https://ich.unesco.org/fr/accredited-ngos" w:history="1">
        <w:r>
          <w:rPr>
            <w:rStyle w:val="Hyperlink"/>
          </w:rPr>
          <w:t>site</w:t>
        </w:r>
        <w:r w:rsidR="004C5386">
          <w:rPr>
            <w:rStyle w:val="Hyperlink"/>
          </w:rPr>
          <w:t xml:space="preserve"> internet</w:t>
        </w:r>
        <w:r>
          <w:rPr>
            <w:rStyle w:val="Hyperlink"/>
          </w:rPr>
          <w:t xml:space="preserve"> de la Convention</w:t>
        </w:r>
      </w:hyperlink>
      <w:r>
        <w:t>, et la deuxième phase du projet, qui vise à produire 100</w:t>
      </w:r>
      <w:r w:rsidR="002F1F0F">
        <w:t> </w:t>
      </w:r>
      <w:r>
        <w:t xml:space="preserve">profils supplémentaires, est en cours depuis lors. La collaboration avec le </w:t>
      </w:r>
      <w:r w:rsidR="002F1F0F">
        <w:t>F</w:t>
      </w:r>
      <w:r>
        <w:t>orum des ONG du PCI a été renforcée par des réunions de coordination régulières, le partage d</w:t>
      </w:r>
      <w:r w:rsidR="00A44FA1">
        <w:t>’</w:t>
      </w:r>
      <w:r>
        <w:t>informations et l</w:t>
      </w:r>
      <w:r w:rsidR="00A44FA1">
        <w:t>’</w:t>
      </w:r>
      <w:r>
        <w:t>organisation d</w:t>
      </w:r>
      <w:r w:rsidR="00A44FA1">
        <w:t>’</w:t>
      </w:r>
      <w:r>
        <w:t xml:space="preserve">événements conjoints en marge des réunions du Comité. Enfin, conformément à la pratique établie par le Comité depuis 2020, un rapport autonome du Forum des ONG du PCI est présenté pour examen par la présente session du Comité (document </w:t>
      </w:r>
      <w:hyperlink r:id="rId45" w:history="1">
        <w:r>
          <w:rPr>
            <w:rStyle w:val="Hyperlink"/>
          </w:rPr>
          <w:t>LHE/25/20.COM/15</w:t>
        </w:r>
        <w:r w:rsidRPr="00B828F1">
          <w:rPr>
            <w:rStyle w:val="Hyperlink"/>
            <w:color w:val="auto"/>
            <w:u w:val="none"/>
          </w:rPr>
          <w:t>)</w:t>
        </w:r>
      </w:hyperlink>
      <w:r>
        <w:t xml:space="preserve">. </w:t>
      </w:r>
    </w:p>
    <w:p w14:paraId="6ED75B9D" w14:textId="5EB9F1EB" w:rsidR="00A756C6" w:rsidRPr="00D870F2" w:rsidRDefault="00A756C6" w:rsidP="00A756C6">
      <w:pPr>
        <w:pStyle w:val="COMPara"/>
        <w:ind w:left="567" w:hanging="567"/>
        <w:jc w:val="both"/>
      </w:pPr>
      <w:r>
        <w:rPr>
          <w:b/>
        </w:rPr>
        <w:t>Peuples autochtones</w:t>
      </w:r>
      <w:r>
        <w:t xml:space="preserve"> : Des efforts ont été déployés par le Secrétariat pour </w:t>
      </w:r>
      <w:r w:rsidR="00AD6898">
        <w:t>produire</w:t>
      </w:r>
      <w:r>
        <w:t xml:space="preserve"> la publication </w:t>
      </w:r>
      <w:r w:rsidRPr="00674548">
        <w:t>« </w:t>
      </w:r>
      <w:hyperlink r:id="rId46" w:tgtFrame="_blank" w:tooltip="https://unesdoc.unesco.org/ark:/48223/pf0000390088/pdf/390088eng.pdf.multi" w:history="1">
        <w:r w:rsidRPr="00674548">
          <w:rPr>
            <w:rStyle w:val="Hyperlink"/>
          </w:rPr>
          <w:t>Célébrer le patrimoine vivant des peuples autochtones</w:t>
        </w:r>
      </w:hyperlink>
      <w:r w:rsidRPr="00674548">
        <w:t> »</w:t>
      </w:r>
      <w:r>
        <w:t xml:space="preserve">, parue en juin 2024. Soutenue par le Brésil, cette publication comporte huit chapitres qui présentent les expériences de sauvegarde des peuples autochtones autour des éléments inscrits sur les listes de la Convention. En articulant ces expériences dans le contexte des principes énoncés dans la </w:t>
      </w:r>
      <w:r w:rsidRPr="00674548">
        <w:t>Déclaration des Nations unies sur les droits des peuples autochtones de 2007</w:t>
      </w:r>
      <w:r>
        <w:t>, la publication plaide en faveur d</w:t>
      </w:r>
      <w:r w:rsidR="00A44FA1">
        <w:t>’</w:t>
      </w:r>
      <w:r>
        <w:t>une approche holistique de la sauvegarde et met en évidence les domaines politiques clés pertinents pour la reconnaissance et le respect des droits des peuples autochtones.</w:t>
      </w:r>
      <w:r w:rsidR="00AD6898">
        <w:t xml:space="preserve"> </w:t>
      </w:r>
      <w:r w:rsidR="00AD6898" w:rsidRPr="00AD6898">
        <w:t>Le Secrétariat continue de donner la priorité aux besoins et aux droits des peuples autochtones dans la sauvegarde de leur patrimoine vivant en garantissant leur participation active aux consultations d</w:t>
      </w:r>
      <w:r w:rsidR="00A44FA1">
        <w:t>’</w:t>
      </w:r>
      <w:r w:rsidR="00AD6898" w:rsidRPr="00AD6898">
        <w:t>experts dans le cadre des initiatives thématiques de la Convention.</w:t>
      </w:r>
    </w:p>
    <w:p w14:paraId="153A984E" w14:textId="736D22D9" w:rsidR="00F33F7C" w:rsidRPr="00D870F2" w:rsidRDefault="00F33F7C" w:rsidP="00F33F7C">
      <w:pPr>
        <w:pStyle w:val="COMPara"/>
        <w:ind w:left="567" w:hanging="567"/>
        <w:jc w:val="both"/>
      </w:pPr>
      <w:r>
        <w:rPr>
          <w:b/>
        </w:rPr>
        <w:t>Centres de catégories 2</w:t>
      </w:r>
      <w:r>
        <w:t xml:space="preserve"> : Les douzième et treizième réunions annuelles de coordination des centres de catégorie</w:t>
      </w:r>
      <w:r w:rsidR="00891C2A">
        <w:t> </w:t>
      </w:r>
      <w:r>
        <w:t>2 actifs dans le domaine du patrimoine culturel immatériel se sont tenues en ligne respectivement le 13 juin 2024 et le 16 juillet 2025. En outre, le Secrétariat a conclu les processus d</w:t>
      </w:r>
      <w:r w:rsidR="00A44FA1">
        <w:t>’</w:t>
      </w:r>
      <w:r>
        <w:t xml:space="preserve">évaluation du renouvellement du </w:t>
      </w:r>
      <w:r w:rsidRPr="00674548">
        <w:t>Centre régional pour la sauvegarde du patrimoine culturel immatériel de l</w:t>
      </w:r>
      <w:r w:rsidR="00A44FA1" w:rsidRPr="00674548">
        <w:t>’</w:t>
      </w:r>
      <w:r w:rsidRPr="00674548">
        <w:t>Amérique latine (CRESPIAL)</w:t>
      </w:r>
      <w:r>
        <w:t xml:space="preserve"> en 2024, ainsi que du </w:t>
      </w:r>
      <w:r w:rsidRPr="00674548">
        <w:t>Centre international de formation pour le patrimoine culturel immatériel dans la région Asie-Pacifique (CRIHAP)</w:t>
      </w:r>
      <w:r>
        <w:t xml:space="preserve"> et du </w:t>
      </w:r>
      <w:r w:rsidRPr="00674548">
        <w:t>Centre international de recherche sur le patrimoine culturel immatériel dans la région Asie-Pacifique (IRCI)</w:t>
      </w:r>
      <w:r>
        <w:t xml:space="preserve"> en 2025 lors de la </w:t>
      </w:r>
      <w:r w:rsidRPr="002F1F0F">
        <w:t>22</w:t>
      </w:r>
      <w:r w:rsidR="002F1F0F" w:rsidRPr="00B828F1">
        <w:t>2e</w:t>
      </w:r>
      <w:r>
        <w:t xml:space="preserve"> session du Conseil exécutif de l</w:t>
      </w:r>
      <w:r w:rsidR="00A44FA1">
        <w:t>’</w:t>
      </w:r>
      <w:r>
        <w:t xml:space="preserve">UNESCO. Un processus </w:t>
      </w:r>
      <w:r w:rsidR="002F1F0F">
        <w:t>d</w:t>
      </w:r>
      <w:r w:rsidR="00A44FA1">
        <w:t>’</w:t>
      </w:r>
      <w:r>
        <w:t>évaluation</w:t>
      </w:r>
      <w:r w:rsidR="002F1F0F">
        <w:t xml:space="preserve"> pour renouvellement</w:t>
      </w:r>
      <w:r>
        <w:t xml:space="preserve"> est en cours, pour le </w:t>
      </w:r>
      <w:r w:rsidRPr="00674548">
        <w:t>Centre international d</w:t>
      </w:r>
      <w:r w:rsidR="00A44FA1" w:rsidRPr="00674548">
        <w:t>’</w:t>
      </w:r>
      <w:r w:rsidRPr="00674548">
        <w:t xml:space="preserve">information et de </w:t>
      </w:r>
      <w:r w:rsidR="00674548" w:rsidRPr="00B828F1">
        <w:t>travail</w:t>
      </w:r>
      <w:r w:rsidR="00674548" w:rsidRPr="00674548">
        <w:t xml:space="preserve"> </w:t>
      </w:r>
      <w:r w:rsidRPr="00674548">
        <w:t xml:space="preserve">en réseau </w:t>
      </w:r>
      <w:r w:rsidR="00674548" w:rsidRPr="00B828F1">
        <w:t>sur</w:t>
      </w:r>
      <w:r w:rsidR="00674548" w:rsidRPr="00674548">
        <w:t xml:space="preserve"> </w:t>
      </w:r>
      <w:r w:rsidRPr="00674548">
        <w:t>le patrimoine culturel immatériel dans la région Asie-Pacifique (ICHCAP).</w:t>
      </w:r>
    </w:p>
    <w:p w14:paraId="03F1B5D1" w14:textId="77487473" w:rsidR="00F33F7C" w:rsidRDefault="00F33F7C" w:rsidP="00F33F7C">
      <w:pPr>
        <w:pStyle w:val="COMPara"/>
        <w:ind w:left="567" w:hanging="567"/>
        <w:jc w:val="both"/>
      </w:pPr>
      <w:r>
        <w:rPr>
          <w:b/>
        </w:rPr>
        <w:t>Chaires UNESCO</w:t>
      </w:r>
      <w:r>
        <w:t xml:space="preserve"> : </w:t>
      </w:r>
      <w:r w:rsidR="00AD6898" w:rsidRPr="00AD6898">
        <w:t xml:space="preserve">Au cours de la période considérée, six propositions de création ou de renouvellement de chaires dans le domaine du patrimoine culturel immatériel ont été examinées et évaluées, notamment la création de la nouvelle chaire UNESCO sur le patrimoine culturel immatériel dans la gouvernance publique et mondiale (Université de Varsovie). Des échanges informels réguliers avec les </w:t>
      </w:r>
      <w:r w:rsidR="002F1F0F">
        <w:t>Chaires du réseau UNITWIN/UNESCO e</w:t>
      </w:r>
      <w:r w:rsidR="00AD6898" w:rsidRPr="00AD6898">
        <w:t>t les réseaux universitaires régionaux ont eu lieu tout au long de la période considérée, notamment une session d</w:t>
      </w:r>
      <w:r w:rsidR="00A44FA1">
        <w:t>’</w:t>
      </w:r>
      <w:r w:rsidR="00AD6898" w:rsidRPr="00AD6898">
        <w:t>échange en marge de la dix-neuvième session du Comité</w:t>
      </w:r>
      <w:r>
        <w:t>.</w:t>
      </w:r>
    </w:p>
    <w:p w14:paraId="64021436" w14:textId="23E14D13" w:rsidR="007F1F48" w:rsidRPr="009766D7" w:rsidRDefault="00F33F7C" w:rsidP="00D9015E">
      <w:pPr>
        <w:pStyle w:val="COMPara"/>
        <w:ind w:left="567" w:hanging="567"/>
        <w:jc w:val="both"/>
      </w:pPr>
      <w:r>
        <w:rPr>
          <w:b/>
        </w:rPr>
        <w:t>Communications</w:t>
      </w:r>
      <w:r>
        <w:t xml:space="preserve"> : Les campagnes mondiales menées à l</w:t>
      </w:r>
      <w:r w:rsidR="00A44FA1">
        <w:t>’</w:t>
      </w:r>
      <w:r>
        <w:t xml:space="preserve">occasion de la Journée internationale du patrimoine culturel immatériel </w:t>
      </w:r>
      <w:r w:rsidR="00AD6898">
        <w:t xml:space="preserve">(17 octobre) </w:t>
      </w:r>
      <w:r>
        <w:t>ont été accueillies avec enthousiasme par les parties prenantes qui ont organisé des activités pour soutenir la proclamation (100 activités en 2024 et 122 activités en 2025).</w:t>
      </w:r>
      <w:r>
        <w:rPr>
          <w:rFonts w:asciiTheme="minorBidi" w:hAnsiTheme="minorBidi"/>
        </w:rPr>
        <w:t xml:space="preserve"> </w:t>
      </w:r>
      <w:r>
        <w:t>Des actualités ont été publiées régulièrement sur le site web, mettant en avant les réalisations, les activités et les projets menés dans le cadre de la Convention. La période couverte par le rapport a également été caractérisée par un nombre accru de demandes de renseignements de la part des médias, ce qui témoigne d</w:t>
      </w:r>
      <w:r w:rsidR="00A44FA1">
        <w:t>’</w:t>
      </w:r>
      <w:r>
        <w:t>une meilleure connaissance de la Convention.</w:t>
      </w:r>
    </w:p>
    <w:p w14:paraId="5271FAB0" w14:textId="6C22804C" w:rsidR="00CB4B48" w:rsidRPr="009766D7" w:rsidRDefault="007F1F48" w:rsidP="00D9015E">
      <w:pPr>
        <w:pStyle w:val="COMPara"/>
        <w:ind w:left="567" w:hanging="567"/>
        <w:jc w:val="both"/>
      </w:pPr>
      <w:r>
        <w:rPr>
          <w:b/>
        </w:rPr>
        <w:t xml:space="preserve">Services de gestion des connaissances </w:t>
      </w:r>
      <w:r w:rsidRPr="00B828F1">
        <w:rPr>
          <w:bCs/>
        </w:rPr>
        <w:t>:</w:t>
      </w:r>
      <w:r w:rsidRPr="00B828F1">
        <w:rPr>
          <w:rFonts w:asciiTheme="minorBidi" w:hAnsiTheme="minorBidi"/>
          <w:bCs/>
        </w:rPr>
        <w:t xml:space="preserve"> </w:t>
      </w:r>
      <w:r>
        <w:rPr>
          <w:rFonts w:asciiTheme="minorBidi" w:hAnsiTheme="minorBidi"/>
        </w:rPr>
        <w:t>Le Secrétariat a continué à améliorer les performances et la fonctionnalité des outils numériques existants afin de soutenir la bonne gouvernance de la Convention, tout en renforçant la sécurité. Le développement de fonctionnalités liées aux résultats de la réflexion globale sur les mécanismes d</w:t>
      </w:r>
      <w:r w:rsidR="00A44FA1">
        <w:rPr>
          <w:rFonts w:asciiTheme="minorBidi" w:hAnsiTheme="minorBidi"/>
        </w:rPr>
        <w:t>’</w:t>
      </w:r>
      <w:r>
        <w:rPr>
          <w:rFonts w:asciiTheme="minorBidi" w:hAnsiTheme="minorBidi"/>
        </w:rPr>
        <w:t>inscription</w:t>
      </w:r>
      <w:r w:rsidR="002F1F0F">
        <w:rPr>
          <w:rFonts w:asciiTheme="minorBidi" w:hAnsiTheme="minorBidi"/>
        </w:rPr>
        <w:t xml:space="preserve"> sur les listes</w:t>
      </w:r>
      <w:r>
        <w:rPr>
          <w:rFonts w:asciiTheme="minorBidi" w:hAnsiTheme="minorBidi"/>
        </w:rPr>
        <w:t xml:space="preserve"> de la Convention et le bon fonctionnement de l</w:t>
      </w:r>
      <w:r w:rsidR="00A44FA1">
        <w:rPr>
          <w:rFonts w:asciiTheme="minorBidi" w:hAnsiTheme="minorBidi"/>
        </w:rPr>
        <w:t>’</w:t>
      </w:r>
      <w:r>
        <w:rPr>
          <w:rFonts w:asciiTheme="minorBidi" w:hAnsiTheme="minorBidi"/>
        </w:rPr>
        <w:t>interface de rapport périodique en ligne sont des exemples de points d</w:t>
      </w:r>
      <w:r w:rsidR="00A44FA1">
        <w:rPr>
          <w:rFonts w:asciiTheme="minorBidi" w:hAnsiTheme="minorBidi"/>
        </w:rPr>
        <w:t>’</w:t>
      </w:r>
      <w:r>
        <w:rPr>
          <w:rFonts w:asciiTheme="minorBidi" w:hAnsiTheme="minorBidi"/>
        </w:rPr>
        <w:t>intervention. Une nouvelle fonction d</w:t>
      </w:r>
      <w:r w:rsidR="00A44FA1">
        <w:rPr>
          <w:rFonts w:asciiTheme="minorBidi" w:hAnsiTheme="minorBidi"/>
        </w:rPr>
        <w:t>’</w:t>
      </w:r>
      <w:r>
        <w:rPr>
          <w:rFonts w:asciiTheme="minorBidi" w:hAnsiTheme="minorBidi"/>
        </w:rPr>
        <w:t>accessibilité a été introduite pour le contraste des couleurs et la mise à l</w:t>
      </w:r>
      <w:r w:rsidR="00A44FA1">
        <w:rPr>
          <w:rFonts w:asciiTheme="minorBidi" w:hAnsiTheme="minorBidi"/>
        </w:rPr>
        <w:t>’</w:t>
      </w:r>
      <w:r>
        <w:rPr>
          <w:rFonts w:asciiTheme="minorBidi" w:hAnsiTheme="minorBidi"/>
        </w:rPr>
        <w:t xml:space="preserve">échelle du texte afin de faciliter la </w:t>
      </w:r>
      <w:r w:rsidRPr="00674548">
        <w:rPr>
          <w:rFonts w:asciiTheme="minorBidi" w:hAnsiTheme="minorBidi"/>
        </w:rPr>
        <w:t>lisibilité</w:t>
      </w:r>
      <w:r>
        <w:rPr>
          <w:rFonts w:asciiTheme="minorBidi" w:hAnsiTheme="minorBidi"/>
        </w:rPr>
        <w:t xml:space="preserve"> des pages </w:t>
      </w:r>
      <w:r w:rsidR="00674548">
        <w:rPr>
          <w:rFonts w:asciiTheme="minorBidi" w:hAnsiTheme="minorBidi"/>
        </w:rPr>
        <w:t>internet</w:t>
      </w:r>
      <w:r>
        <w:rPr>
          <w:rFonts w:asciiTheme="minorBidi" w:hAnsiTheme="minorBidi"/>
        </w:rPr>
        <w:t>.</w:t>
      </w:r>
    </w:p>
    <w:p w14:paraId="679DA5A6" w14:textId="70AF7B8D" w:rsidR="000721EF" w:rsidRPr="00BB6EEC" w:rsidRDefault="00054974" w:rsidP="00356C42">
      <w:pPr>
        <w:pStyle w:val="COMPara"/>
        <w:keepNext/>
        <w:numPr>
          <w:ilvl w:val="0"/>
          <w:numId w:val="21"/>
        </w:numPr>
        <w:spacing w:before="240"/>
        <w:ind w:left="562" w:hanging="562"/>
        <w:jc w:val="both"/>
        <w:rPr>
          <w:b/>
          <w:bCs/>
        </w:rPr>
      </w:pPr>
      <w:r>
        <w:rPr>
          <w:b/>
        </w:rPr>
        <w:t>Vue d</w:t>
      </w:r>
      <w:r w:rsidR="00A44FA1">
        <w:rPr>
          <w:b/>
        </w:rPr>
        <w:t>’</w:t>
      </w:r>
      <w:r>
        <w:rPr>
          <w:b/>
        </w:rPr>
        <w:t>ensemble et pistes pour l</w:t>
      </w:r>
      <w:r w:rsidR="00A44FA1">
        <w:rPr>
          <w:b/>
        </w:rPr>
        <w:t>’</w:t>
      </w:r>
      <w:r>
        <w:rPr>
          <w:b/>
        </w:rPr>
        <w:t>avenir</w:t>
      </w:r>
    </w:p>
    <w:p w14:paraId="25AAB2D6" w14:textId="77F5377F" w:rsidR="00E47B1B" w:rsidRDefault="00E47B1B" w:rsidP="00951253">
      <w:pPr>
        <w:pStyle w:val="COMPara"/>
        <w:ind w:left="567" w:hanging="567"/>
        <w:jc w:val="both"/>
      </w:pPr>
      <w:r>
        <w:t>Les dix-huit mois de la période couverte par le rapport marquent un tournant dans la vie de la Convention et dans le</w:t>
      </w:r>
      <w:r w:rsidR="00AD6898">
        <w:t xml:space="preserve">s fonctionnements </w:t>
      </w:r>
      <w:r>
        <w:t>de son Secrétariat. Parmi les étapes importantes, on peut citer la première application des résultats de la réflexion globale sur les mécanismes d</w:t>
      </w:r>
      <w:r w:rsidR="00A44FA1">
        <w:t>’</w:t>
      </w:r>
      <w:r>
        <w:t>inscription</w:t>
      </w:r>
      <w:r w:rsidR="002F1F0F">
        <w:t xml:space="preserve"> sur les listes</w:t>
      </w:r>
      <w:r>
        <w:t>, le lancement des notes d</w:t>
      </w:r>
      <w:r w:rsidR="00A44FA1">
        <w:t>’</w:t>
      </w:r>
      <w:r>
        <w:t xml:space="preserve">orientation pour les trois initiatives thématiques, </w:t>
      </w:r>
      <w:r w:rsidR="00AD6898" w:rsidRPr="00AD6898">
        <w:t>des progrès constants réalisés dans la mise en place</w:t>
      </w:r>
      <w:r>
        <w:t xml:space="preserve"> de la plateforme de partage des bonnes expériences en matière de sauvegarde et la conclusion des deux priorités de financement (2022-2025)</w:t>
      </w:r>
      <w:r w:rsidR="00AD6898">
        <w:t>,</w:t>
      </w:r>
      <w:r w:rsidR="00AD6898" w:rsidRPr="00AD6898">
        <w:t xml:space="preserve"> dont les résultats serviront à élaborer la future stratégie de renforcement des capacités et à intégrer le patrimoine culturel immatériel dans l</w:t>
      </w:r>
      <w:r w:rsidR="00A44FA1">
        <w:t>’</w:t>
      </w:r>
      <w:r w:rsidR="00AD6898" w:rsidRPr="00AD6898">
        <w:t>éducation</w:t>
      </w:r>
      <w:r>
        <w:t>. En mettant en œuvre les décisions des organes directeurs de la Convention, le Secrétariat a démontré que sa méthodologie systématique et collaborative et son approche « par étape » ont consolidé les fondements de la Convention.</w:t>
      </w:r>
    </w:p>
    <w:p w14:paraId="327E5618" w14:textId="5526B683" w:rsidR="00E47B1B" w:rsidRDefault="00E57F93" w:rsidP="00951253">
      <w:pPr>
        <w:pStyle w:val="COMPara"/>
        <w:ind w:left="567" w:hanging="567"/>
        <w:jc w:val="both"/>
      </w:pPr>
      <w:r>
        <w:t xml:space="preserve">Il est évident que les différents mécanismes de coopération internationale gérés par le Secrétariat </w:t>
      </w:r>
      <w:r w:rsidR="00AD6898" w:rsidRPr="00AD6898">
        <w:t>fonctionnent de manière de plus en plus synergique</w:t>
      </w:r>
      <w:r>
        <w:t>. Par exemple, l</w:t>
      </w:r>
      <w:r w:rsidR="00A44FA1">
        <w:t>’</w:t>
      </w:r>
      <w:r>
        <w:t>assistance internationale est désormais utilisée pour soutenir la sauvegarde des éléments inscrits sur les listes, tandis que les rapports périodiques permettent d</w:t>
      </w:r>
      <w:r w:rsidR="00A44FA1">
        <w:t>’</w:t>
      </w:r>
      <w:r>
        <w:t>identifier les lacunes dans la sauvegarde au niveau national qui pourraient bénéficier d</w:t>
      </w:r>
      <w:r w:rsidR="00AD6898">
        <w:t>u soutien d</w:t>
      </w:r>
      <w:r>
        <w:t>e l</w:t>
      </w:r>
      <w:r w:rsidR="00A44FA1">
        <w:t>’</w:t>
      </w:r>
      <w:r>
        <w:t>assistance internationale. De même, le système de rapports périodiques a permis aux États d</w:t>
      </w:r>
      <w:r w:rsidR="00A44FA1">
        <w:t>’</w:t>
      </w:r>
      <w:r>
        <w:t xml:space="preserve">identifier les éléments qui peuvent être transférés de la </w:t>
      </w:r>
      <w:r w:rsidR="00972CA0">
        <w:t>L</w:t>
      </w:r>
      <w:r>
        <w:t xml:space="preserve">iste de sauvegarde urgente à la </w:t>
      </w:r>
      <w:r w:rsidR="00972CA0">
        <w:t>L</w:t>
      </w:r>
      <w:r>
        <w:t xml:space="preserve">iste représentative, ce qui permet à ces expériences de sauvegarde </w:t>
      </w:r>
      <w:r w:rsidR="00AD6898">
        <w:t xml:space="preserve">effectives </w:t>
      </w:r>
      <w:r>
        <w:t>d</w:t>
      </w:r>
      <w:r w:rsidR="00A44FA1">
        <w:t>’</w:t>
      </w:r>
      <w:r>
        <w:t xml:space="preserve">être </w:t>
      </w:r>
      <w:r w:rsidR="00AD6898">
        <w:t xml:space="preserve">sélectionnées pour le </w:t>
      </w:r>
      <w:r w:rsidR="00AD6898" w:rsidRPr="00674548">
        <w:t>R</w:t>
      </w:r>
      <w:r w:rsidRPr="00674548">
        <w:t xml:space="preserve">egistre de bonnes pratiques de </w:t>
      </w:r>
      <w:r w:rsidRPr="002F1F0F">
        <w:t>sauvegarde. Cette cohérence croissante est une évolution positive, qui témoigne du succès des activités programmatiques</w:t>
      </w:r>
      <w:r>
        <w:t xml:space="preserve"> de la Convention et de son approche en matière de renforcement des capacités.</w:t>
      </w:r>
    </w:p>
    <w:p w14:paraId="4EE06810" w14:textId="0EC0FCBB" w:rsidR="00FC6F14" w:rsidRDefault="000D087E" w:rsidP="00477E87">
      <w:pPr>
        <w:pStyle w:val="COMPara"/>
        <w:ind w:left="567" w:hanging="567"/>
        <w:jc w:val="both"/>
      </w:pPr>
      <w:r>
        <w:t>Le Secrétariat s</w:t>
      </w:r>
      <w:r w:rsidR="00A44FA1">
        <w:t>’</w:t>
      </w:r>
      <w:r>
        <w:t>est engagé à façonner le prochain chapitre de la Convention, notamment en affinant son approche globale de la sauvegarde dans le cadre et au-delà des initiatives thématiques et des domaines d</w:t>
      </w:r>
      <w:r w:rsidR="00A44FA1">
        <w:t>’</w:t>
      </w:r>
      <w:r>
        <w:t>intervention en cours. Dans la limite des ressources disponibles, l</w:t>
      </w:r>
      <w:r w:rsidR="00A44FA1">
        <w:t>’</w:t>
      </w:r>
      <w:r>
        <w:t>évolution future de la Convention pourrait porter sur des questions d</w:t>
      </w:r>
      <w:r w:rsidR="00A44FA1">
        <w:t>’</w:t>
      </w:r>
      <w:r>
        <w:t>actualité primordiales telles que l</w:t>
      </w:r>
      <w:r w:rsidR="00A44FA1">
        <w:t>’</w:t>
      </w:r>
      <w:r>
        <w:t>inclusion (par exemple, les personnes ayant des besoins particuliers), de nouvelles initiatives thématiques (par exemple, l</w:t>
      </w:r>
      <w:r w:rsidR="00A44FA1">
        <w:t>’</w:t>
      </w:r>
      <w:r>
        <w:t>intelligence artificielle pour la sauvegarde) et une réflexion potentielle sur l</w:t>
      </w:r>
      <w:r w:rsidR="00A44FA1">
        <w:t>’</w:t>
      </w:r>
      <w:r>
        <w:t>amélioration de la portée de la Convention. En particulier, le Secrétariat vise à renforcer ses liens avec les autres conventions culturelles dans le cadre normatif de l</w:t>
      </w:r>
      <w:r w:rsidR="00A44FA1">
        <w:t>’</w:t>
      </w:r>
      <w:r>
        <w:t>UNESCO, tout en affinant l</w:t>
      </w:r>
      <w:r w:rsidR="00A44FA1">
        <w:t>’</w:t>
      </w:r>
      <w:r>
        <w:t xml:space="preserve">approche de la Convention en matière de </w:t>
      </w:r>
      <w:r w:rsidR="00AD6898">
        <w:t xml:space="preserve">diversité biologique </w:t>
      </w:r>
      <w:r>
        <w:t>et de lien entre nature et culture. Ces relations sont un vecteur essentiel du développement durable, avec une pertinence particulière pour les communautés autochtones et l</w:t>
      </w:r>
      <w:r w:rsidR="00A44FA1">
        <w:t>’</w:t>
      </w:r>
      <w:r>
        <w:t>action climatique, et une préoccupation commune à de nombreux programmes de l</w:t>
      </w:r>
      <w:r w:rsidR="00A44FA1">
        <w:t>’</w:t>
      </w:r>
      <w:r>
        <w:t>UNESCO.</w:t>
      </w:r>
    </w:p>
    <w:p w14:paraId="50D3EAFF" w14:textId="5B425578" w:rsidR="00D95C4C" w:rsidRPr="00BB6EEC" w:rsidRDefault="000B1C8F" w:rsidP="00AC18C1">
      <w:pPr>
        <w:pStyle w:val="COMPara"/>
        <w:ind w:left="567" w:hanging="567"/>
      </w:pPr>
      <w:r>
        <w:t>Le Comité souhaitera peut-être adopter la décision suivante :</w:t>
      </w:r>
    </w:p>
    <w:p w14:paraId="6CEB1E9D" w14:textId="1E155B45" w:rsidR="00D95C4C" w:rsidRPr="00BB6EEC" w:rsidRDefault="004A34A0" w:rsidP="001D14FE">
      <w:pPr>
        <w:pStyle w:val="COMTitleDecision"/>
        <w:rPr>
          <w:rFonts w:eastAsia="SimSun"/>
        </w:rPr>
      </w:pPr>
      <w:r>
        <w:t>PROJET DE DÉCISION 20.COM 5</w:t>
      </w:r>
    </w:p>
    <w:p w14:paraId="13024F0B" w14:textId="77777777" w:rsidR="00D95C4C" w:rsidRPr="00BB6EEC" w:rsidRDefault="00285BB4" w:rsidP="00285BB4">
      <w:pPr>
        <w:pStyle w:val="COMPreambulaDecisions"/>
        <w:rPr>
          <w:rFonts w:eastAsia="SimSun"/>
        </w:rPr>
      </w:pPr>
      <w:r>
        <w:t>Le Comité</w:t>
      </w:r>
    </w:p>
    <w:p w14:paraId="5A9F22F3" w14:textId="1CAC566C" w:rsidR="0057439C" w:rsidRPr="00BB6EEC" w:rsidRDefault="00D95C4C" w:rsidP="004A2875">
      <w:pPr>
        <w:pStyle w:val="COMParaDecision"/>
      </w:pPr>
      <w:r>
        <w:t>Ayant examiné</w:t>
      </w:r>
      <w:r>
        <w:rPr>
          <w:u w:val="none"/>
        </w:rPr>
        <w:t xml:space="preserve"> le document LHE/25/20.COM/5 et son </w:t>
      </w:r>
      <w:r w:rsidR="00340F34">
        <w:rPr>
          <w:u w:val="none"/>
        </w:rPr>
        <w:t>annexe </w:t>
      </w:r>
      <w:r>
        <w:rPr>
          <w:u w:val="none"/>
        </w:rPr>
        <w:t>;</w:t>
      </w:r>
    </w:p>
    <w:p w14:paraId="06CE73B9" w14:textId="66241951" w:rsidR="009A6F83" w:rsidRPr="009766D7" w:rsidRDefault="009A6F83" w:rsidP="00965071">
      <w:pPr>
        <w:pStyle w:val="COMParaDecision"/>
      </w:pPr>
      <w:r>
        <w:t>Reconnaît</w:t>
      </w:r>
      <w:r>
        <w:rPr>
          <w:u w:val="none"/>
        </w:rPr>
        <w:t xml:space="preserve"> la gestion efficace des mécanismes de coopération internationale de la </w:t>
      </w:r>
      <w:r w:rsidR="00340F34">
        <w:rPr>
          <w:u w:val="none"/>
        </w:rPr>
        <w:t>C</w:t>
      </w:r>
      <w:r>
        <w:rPr>
          <w:u w:val="none"/>
        </w:rPr>
        <w:t xml:space="preserve">onvention, notamment le système </w:t>
      </w:r>
      <w:r w:rsidR="00340F34">
        <w:rPr>
          <w:u w:val="none"/>
        </w:rPr>
        <w:t>d</w:t>
      </w:r>
      <w:r w:rsidR="00A44FA1">
        <w:rPr>
          <w:u w:val="none"/>
        </w:rPr>
        <w:t>’</w:t>
      </w:r>
      <w:r w:rsidR="00340F34">
        <w:rPr>
          <w:u w:val="none"/>
        </w:rPr>
        <w:t>inscription sur les</w:t>
      </w:r>
      <w:r>
        <w:rPr>
          <w:u w:val="none"/>
        </w:rPr>
        <w:t xml:space="preserve"> listes, les rapports périodiques, l</w:t>
      </w:r>
      <w:r w:rsidR="00A44FA1">
        <w:rPr>
          <w:u w:val="none"/>
        </w:rPr>
        <w:t>’</w:t>
      </w:r>
      <w:r>
        <w:rPr>
          <w:u w:val="none"/>
        </w:rPr>
        <w:t>assistance internationale et l</w:t>
      </w:r>
      <w:r w:rsidR="00674548">
        <w:rPr>
          <w:u w:val="none"/>
        </w:rPr>
        <w:t>’a</w:t>
      </w:r>
      <w:r>
        <w:rPr>
          <w:u w:val="none"/>
        </w:rPr>
        <w:t xml:space="preserve">ccréditation des </w:t>
      </w:r>
      <w:r w:rsidR="00340F34">
        <w:rPr>
          <w:u w:val="none"/>
        </w:rPr>
        <w:t xml:space="preserve">organisations </w:t>
      </w:r>
      <w:r w:rsidR="00676DE9">
        <w:rPr>
          <w:u w:val="none"/>
        </w:rPr>
        <w:t>non gouvernementales</w:t>
      </w:r>
      <w:r>
        <w:rPr>
          <w:u w:val="none"/>
        </w:rPr>
        <w:t xml:space="preserve">, et </w:t>
      </w:r>
      <w:r>
        <w:t>note avec satisfaction</w:t>
      </w:r>
      <w:r>
        <w:rPr>
          <w:u w:val="none"/>
        </w:rPr>
        <w:t xml:space="preserve"> que ces mécanismes sont de plus en plus liés entre eux, favorisant un environnement cohérent et propice aux activités de sauvegarde à tous les niveaux ;</w:t>
      </w:r>
    </w:p>
    <w:p w14:paraId="69E52158" w14:textId="3CB83881" w:rsidR="00B76533" w:rsidRPr="009766D7" w:rsidRDefault="00327CAA" w:rsidP="00965071">
      <w:pPr>
        <w:pStyle w:val="COMParaDecision"/>
      </w:pPr>
      <w:r>
        <w:t>Salue</w:t>
      </w:r>
      <w:r>
        <w:rPr>
          <w:u w:val="none"/>
        </w:rPr>
        <w:t xml:space="preserve"> les efforts soutenus du Secrétariat pour poursuivre le développement de la Convention en réponse à des questions d</w:t>
      </w:r>
      <w:r w:rsidR="00A44FA1">
        <w:rPr>
          <w:u w:val="none"/>
        </w:rPr>
        <w:t>’</w:t>
      </w:r>
      <w:r>
        <w:rPr>
          <w:u w:val="none"/>
        </w:rPr>
        <w:t xml:space="preserve">importance mondiale, tout en restant attentif aux besoins et aux aspirations des communautés du monde entier, et </w:t>
      </w:r>
      <w:r>
        <w:t>reconnaît</w:t>
      </w:r>
      <w:r>
        <w:rPr>
          <w:u w:val="none"/>
        </w:rPr>
        <w:t xml:space="preserve"> les progrès continus dans l</w:t>
      </w:r>
      <w:r w:rsidR="00A44FA1">
        <w:rPr>
          <w:u w:val="none"/>
        </w:rPr>
        <w:t>’</w:t>
      </w:r>
      <w:r>
        <w:rPr>
          <w:u w:val="none"/>
        </w:rPr>
        <w:t>avancement des initiatives thématiques de la Convention et la réflexion sur une mise en œuvre plus large de l</w:t>
      </w:r>
      <w:r w:rsidR="00A44FA1">
        <w:rPr>
          <w:u w:val="none"/>
        </w:rPr>
        <w:t>’</w:t>
      </w:r>
      <w:r>
        <w:rPr>
          <w:u w:val="none"/>
        </w:rPr>
        <w:t>article 18 ;</w:t>
      </w:r>
    </w:p>
    <w:p w14:paraId="0A906E94" w14:textId="1191D8B1" w:rsidR="00A52985" w:rsidRPr="00586354" w:rsidRDefault="00A52985" w:rsidP="00A52985">
      <w:pPr>
        <w:pStyle w:val="COMParaDecision"/>
      </w:pPr>
      <w:r>
        <w:t>Encourage</w:t>
      </w:r>
      <w:r>
        <w:rPr>
          <w:u w:val="none"/>
        </w:rPr>
        <w:t xml:space="preserve"> le Secrétariat à élargir davantage le champ de ses interventions, dans les limites des ressources disponibles, afin de traiter les questions globales et émergentes et d</w:t>
      </w:r>
      <w:r w:rsidR="00A44FA1">
        <w:rPr>
          <w:u w:val="none"/>
        </w:rPr>
        <w:t>’</w:t>
      </w:r>
      <w:r>
        <w:rPr>
          <w:u w:val="none"/>
        </w:rPr>
        <w:t>explorer les synergies avec d</w:t>
      </w:r>
      <w:r w:rsidR="00A44FA1">
        <w:rPr>
          <w:u w:val="none"/>
        </w:rPr>
        <w:t>’</w:t>
      </w:r>
      <w:r>
        <w:rPr>
          <w:u w:val="none"/>
        </w:rPr>
        <w:t>autres conventions culturelles et les programmes de l</w:t>
      </w:r>
      <w:r w:rsidR="00A44FA1">
        <w:rPr>
          <w:u w:val="none"/>
        </w:rPr>
        <w:t>’</w:t>
      </w:r>
      <w:r>
        <w:rPr>
          <w:u w:val="none"/>
        </w:rPr>
        <w:t>UNESCO, en particulier en affinant l</w:t>
      </w:r>
      <w:r w:rsidR="00A44FA1">
        <w:rPr>
          <w:u w:val="none"/>
        </w:rPr>
        <w:t>’</w:t>
      </w:r>
      <w:r>
        <w:rPr>
          <w:u w:val="none"/>
        </w:rPr>
        <w:t xml:space="preserve">approche de la Convention </w:t>
      </w:r>
      <w:r w:rsidR="00340F34" w:rsidRPr="00340F34">
        <w:rPr>
          <w:u w:val="none"/>
        </w:rPr>
        <w:t>l</w:t>
      </w:r>
      <w:r w:rsidR="00A44FA1">
        <w:rPr>
          <w:u w:val="none"/>
        </w:rPr>
        <w:t>’</w:t>
      </w:r>
      <w:r w:rsidR="00340F34" w:rsidRPr="00340F34">
        <w:rPr>
          <w:u w:val="none"/>
        </w:rPr>
        <w:t>approche de la Convention en matière de diversité biologique et de liens entre nature et culture</w:t>
      </w:r>
      <w:r w:rsidR="00676DE9">
        <w:rPr>
          <w:u w:val="none"/>
        </w:rPr>
        <w:t> ;</w:t>
      </w:r>
    </w:p>
    <w:p w14:paraId="45F3371C" w14:textId="0A4C8381" w:rsidR="00397F6B" w:rsidRPr="00416ADD" w:rsidRDefault="00397F6B" w:rsidP="00397F6B">
      <w:pPr>
        <w:pStyle w:val="COMParaDecision"/>
      </w:pPr>
      <w:r>
        <w:t>Se félicite</w:t>
      </w:r>
      <w:r>
        <w:rPr>
          <w:u w:val="none"/>
        </w:rPr>
        <w:t xml:space="preserve"> de la mise en œuvre positive a) de la première priorité de financement, notamment le lancement de la plateforme d</w:t>
      </w:r>
      <w:r w:rsidR="00A44FA1">
        <w:rPr>
          <w:u w:val="none"/>
        </w:rPr>
        <w:t>’</w:t>
      </w:r>
      <w:r>
        <w:rPr>
          <w:u w:val="none"/>
        </w:rPr>
        <w:t>apprentissage pour la sauvegarde du patrimoine vivant, le soutien au réseau mondial de facilitateurs et les interventions de renforcement des capacités aux niveaux national et régional, et b) de la deuxième priorité de financement, en particulier l</w:t>
      </w:r>
      <w:r w:rsidR="00A44FA1">
        <w:rPr>
          <w:u w:val="none"/>
        </w:rPr>
        <w:t>’</w:t>
      </w:r>
      <w:r>
        <w:rPr>
          <w:u w:val="none"/>
        </w:rPr>
        <w:t>intégration de l</w:t>
      </w:r>
      <w:r w:rsidR="00A44FA1">
        <w:rPr>
          <w:u w:val="none"/>
        </w:rPr>
        <w:t>’</w:t>
      </w:r>
      <w:r>
        <w:rPr>
          <w:u w:val="none"/>
        </w:rPr>
        <w:t>approche du patrimoine vivant et de l</w:t>
      </w:r>
      <w:r w:rsidR="00A44FA1">
        <w:rPr>
          <w:u w:val="none"/>
        </w:rPr>
        <w:t>’</w:t>
      </w:r>
      <w:r>
        <w:rPr>
          <w:u w:val="none"/>
        </w:rPr>
        <w:t>éducation dans les politiques et les programmes grâce au renforcement des capacités, aux changements pédagogiques et à la collaboration interministérielle</w:t>
      </w:r>
      <w:r w:rsidR="00676DE9">
        <w:rPr>
          <w:u w:val="none"/>
        </w:rPr>
        <w:t> ;</w:t>
      </w:r>
    </w:p>
    <w:p w14:paraId="7F27D1AF" w14:textId="30080E40" w:rsidR="00676DE9" w:rsidRPr="00922996" w:rsidRDefault="00676DE9" w:rsidP="00397F6B">
      <w:pPr>
        <w:pStyle w:val="COMParaDecision"/>
      </w:pPr>
      <w:r w:rsidRPr="00676DE9">
        <w:t>Invite</w:t>
      </w:r>
      <w:r w:rsidRPr="00416ADD">
        <w:rPr>
          <w:u w:val="none"/>
        </w:rPr>
        <w:t xml:space="preserve"> le Secrétariat à s</w:t>
      </w:r>
      <w:r w:rsidR="00A44FA1">
        <w:rPr>
          <w:u w:val="none"/>
        </w:rPr>
        <w:t>’</w:t>
      </w:r>
      <w:r w:rsidRPr="00416ADD">
        <w:rPr>
          <w:u w:val="none"/>
        </w:rPr>
        <w:t>appuyer sur les résultats des première et deuxième priorités de financement, en particulier les progrès réalisés en matière de renforcement des capacités et d</w:t>
      </w:r>
      <w:r w:rsidR="00A44FA1">
        <w:rPr>
          <w:u w:val="none"/>
        </w:rPr>
        <w:t>’</w:t>
      </w:r>
      <w:r w:rsidRPr="00416ADD">
        <w:rPr>
          <w:u w:val="none"/>
        </w:rPr>
        <w:t>intégration du patrimoine vivant dans l</w:t>
      </w:r>
      <w:r w:rsidR="00A44FA1">
        <w:rPr>
          <w:u w:val="none"/>
        </w:rPr>
        <w:t>’</w:t>
      </w:r>
      <w:r w:rsidRPr="00416ADD">
        <w:rPr>
          <w:u w:val="none"/>
        </w:rPr>
        <w:t>éducation, et à continuer de consolider les fondements de la Convention grâce à son approche systématique, collaborative et progressive.</w:t>
      </w:r>
    </w:p>
    <w:p w14:paraId="6CCE5EE2" w14:textId="25A589DE" w:rsidR="00DE40D8" w:rsidRDefault="00DE40D8">
      <w:pPr>
        <w:pStyle w:val="COMParaDecision"/>
        <w:numPr>
          <w:ilvl w:val="0"/>
          <w:numId w:val="0"/>
        </w:numPr>
        <w:rPr>
          <w:u w:val="none"/>
        </w:rPr>
        <w:sectPr w:rsidR="00DE40D8" w:rsidSect="00655736">
          <w:headerReference w:type="even" r:id="rId47"/>
          <w:headerReference w:type="default" r:id="rId48"/>
          <w:headerReference w:type="first" r:id="rId49"/>
          <w:pgSz w:w="11906" w:h="16838" w:code="9"/>
          <w:pgMar w:top="1418" w:right="1134" w:bottom="1134" w:left="1134" w:header="397" w:footer="284" w:gutter="0"/>
          <w:cols w:space="708"/>
          <w:titlePg/>
          <w:docGrid w:linePitch="360"/>
        </w:sectPr>
      </w:pPr>
    </w:p>
    <w:p w14:paraId="00AD2E8F" w14:textId="40177961" w:rsidR="00DE40D8" w:rsidRPr="00356C42" w:rsidRDefault="00DE40D8" w:rsidP="00DE40D8">
      <w:pPr>
        <w:pStyle w:val="COMParaDecision"/>
        <w:widowControl w:val="0"/>
        <w:numPr>
          <w:ilvl w:val="0"/>
          <w:numId w:val="0"/>
        </w:numPr>
        <w:jc w:val="center"/>
        <w:rPr>
          <w:rFonts w:asciiTheme="minorBidi" w:hAnsiTheme="minorBidi" w:cstheme="minorBidi"/>
          <w:bCs/>
        </w:rPr>
      </w:pPr>
      <w:bookmarkStart w:id="1" w:name="_Hlk118638833"/>
      <w:r>
        <w:rPr>
          <w:rFonts w:asciiTheme="minorBidi" w:hAnsiTheme="minorBidi"/>
          <w:b/>
        </w:rPr>
        <w:t>Annexe</w:t>
      </w:r>
    </w:p>
    <w:p w14:paraId="0EDFDC86" w14:textId="77777777" w:rsidR="00DE40D8" w:rsidRPr="00D870F2" w:rsidRDefault="00DE40D8" w:rsidP="00DE40D8">
      <w:pPr>
        <w:pStyle w:val="COMParaDecision"/>
        <w:widowControl w:val="0"/>
        <w:numPr>
          <w:ilvl w:val="0"/>
          <w:numId w:val="0"/>
        </w:numPr>
        <w:spacing w:after="240"/>
        <w:jc w:val="center"/>
        <w:rPr>
          <w:rFonts w:asciiTheme="minorBidi" w:hAnsiTheme="minorBidi" w:cstheme="minorBidi"/>
          <w:b/>
          <w:u w:val="none"/>
        </w:rPr>
      </w:pPr>
      <w:bookmarkStart w:id="2" w:name="_Hlk114585904"/>
      <w:r>
        <w:rPr>
          <w:rFonts w:asciiTheme="minorBidi" w:hAnsiTheme="minorBidi"/>
          <w:b/>
          <w:u w:val="none"/>
        </w:rPr>
        <w:t>Évaluation par indicateur de performance</w:t>
      </w:r>
    </w:p>
    <w:tbl>
      <w:tblPr>
        <w:tblStyle w:val="TableGrid2"/>
        <w:tblW w:w="14572" w:type="dxa"/>
        <w:tblLook w:val="04A0" w:firstRow="1" w:lastRow="0" w:firstColumn="1" w:lastColumn="0" w:noHBand="0" w:noVBand="1"/>
      </w:tblPr>
      <w:tblGrid>
        <w:gridCol w:w="3652"/>
        <w:gridCol w:w="10920"/>
      </w:tblGrid>
      <w:tr w:rsidR="00DE40D8" w:rsidRPr="00264094" w14:paraId="0DAF22B5" w14:textId="77777777" w:rsidTr="00DF31E0">
        <w:trPr>
          <w:cantSplit/>
        </w:trPr>
        <w:tc>
          <w:tcPr>
            <w:tcW w:w="1253" w:type="pct"/>
            <w:shd w:val="clear" w:color="auto" w:fill="808080" w:themeFill="background1" w:themeFillShade="80"/>
            <w:vAlign w:val="center"/>
          </w:tcPr>
          <w:bookmarkEnd w:id="1"/>
          <w:bookmarkEnd w:id="2"/>
          <w:p w14:paraId="3D1BB97A" w14:textId="77777777" w:rsidR="00DE40D8" w:rsidRPr="00D870F2" w:rsidRDefault="00DE40D8" w:rsidP="00DF31E0">
            <w:pPr>
              <w:keepNext/>
              <w:widowControl w:val="0"/>
              <w:spacing w:before="120" w:after="120"/>
              <w:rPr>
                <w:rFonts w:asciiTheme="minorBidi" w:hAnsiTheme="minorBidi" w:cstheme="minorBidi"/>
                <w:b/>
                <w:bCs/>
                <w:color w:val="FFFFFF" w:themeColor="background1"/>
                <w:sz w:val="22"/>
                <w:szCs w:val="22"/>
              </w:rPr>
            </w:pPr>
            <w:r>
              <w:rPr>
                <w:rFonts w:asciiTheme="minorBidi" w:hAnsiTheme="minorBidi"/>
                <w:b/>
                <w:color w:val="FFFFFF" w:themeColor="background1"/>
                <w:sz w:val="22"/>
              </w:rPr>
              <w:t>Indicateur de performance 1 (42C/5)</w:t>
            </w:r>
          </w:p>
        </w:tc>
        <w:tc>
          <w:tcPr>
            <w:tcW w:w="3747" w:type="pct"/>
            <w:shd w:val="clear" w:color="auto" w:fill="808080" w:themeFill="background1" w:themeFillShade="80"/>
            <w:vAlign w:val="center"/>
          </w:tcPr>
          <w:p w14:paraId="6BA75685" w14:textId="1509E06B" w:rsidR="00DE40D8" w:rsidRPr="00D870F2" w:rsidRDefault="00DE40D8" w:rsidP="00DF31E0">
            <w:pPr>
              <w:keepNext/>
              <w:widowControl w:val="0"/>
              <w:spacing w:before="120" w:after="120"/>
              <w:rPr>
                <w:rFonts w:asciiTheme="minorBidi" w:hAnsiTheme="minorBidi" w:cstheme="minorBidi"/>
                <w:b/>
                <w:bCs/>
                <w:color w:val="FFFFFF" w:themeColor="background1"/>
                <w:sz w:val="22"/>
                <w:szCs w:val="22"/>
              </w:rPr>
            </w:pPr>
            <w:r>
              <w:rPr>
                <w:rFonts w:asciiTheme="minorBidi" w:hAnsiTheme="minorBidi"/>
                <w:b/>
                <w:color w:val="FFFFFF" w:themeColor="background1"/>
                <w:sz w:val="22"/>
              </w:rPr>
              <w:t>Nombre d</w:t>
            </w:r>
            <w:r w:rsidR="00A44FA1">
              <w:rPr>
                <w:rFonts w:asciiTheme="minorBidi" w:hAnsiTheme="minorBidi"/>
                <w:b/>
                <w:color w:val="FFFFFF" w:themeColor="background1"/>
                <w:sz w:val="22"/>
              </w:rPr>
              <w:t>’</w:t>
            </w:r>
            <w:r>
              <w:rPr>
                <w:rFonts w:asciiTheme="minorBidi" w:hAnsiTheme="minorBidi"/>
                <w:b/>
                <w:color w:val="FFFFFF" w:themeColor="background1"/>
                <w:sz w:val="22"/>
              </w:rPr>
              <w:t xml:space="preserve">États membres disposant de politiques, de stratégies et de programmes nouveaux ou révisés </w:t>
            </w:r>
            <w:r w:rsidR="009450F2">
              <w:rPr>
                <w:rFonts w:asciiTheme="minorBidi" w:hAnsiTheme="minorBidi"/>
                <w:b/>
                <w:color w:val="FFFFFF" w:themeColor="background1"/>
                <w:sz w:val="22"/>
              </w:rPr>
              <w:t>pour</w:t>
            </w:r>
            <w:r>
              <w:rPr>
                <w:rFonts w:asciiTheme="minorBidi" w:hAnsiTheme="minorBidi"/>
                <w:b/>
                <w:color w:val="FFFFFF" w:themeColor="background1"/>
                <w:sz w:val="22"/>
              </w:rPr>
              <w:t xml:space="preserve"> sauvegarder le patrimoine vivant, y compris dans les plans et cadres de développement durable, conformément à la Convention de 2003 pour la sauvegarde du patrimoine culturel immatériel</w:t>
            </w:r>
          </w:p>
        </w:tc>
      </w:tr>
    </w:tbl>
    <w:tbl>
      <w:tblPr>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7"/>
        <w:gridCol w:w="10918"/>
      </w:tblGrid>
      <w:tr w:rsidR="00DE40D8" w:rsidRPr="00D870F2" w14:paraId="2E12F4F1" w14:textId="77777777" w:rsidTr="00DF31E0">
        <w:trPr>
          <w:tblHeader/>
        </w:trPr>
        <w:tc>
          <w:tcPr>
            <w:tcW w:w="627" w:type="pct"/>
            <w:shd w:val="clear" w:color="auto" w:fill="D9D9D9" w:themeFill="background1" w:themeFillShade="D9"/>
            <w:vAlign w:val="center"/>
          </w:tcPr>
          <w:p w14:paraId="12D32CEF" w14:textId="36F32C88" w:rsidR="00DE40D8" w:rsidRPr="00D870F2" w:rsidRDefault="00DE40D8" w:rsidP="00DF31E0">
            <w:pPr>
              <w:widowControl w:val="0"/>
              <w:spacing w:before="60" w:after="60"/>
              <w:jc w:val="center"/>
              <w:rPr>
                <w:rFonts w:asciiTheme="minorBidi" w:eastAsia="Calibri" w:hAnsiTheme="minorBidi" w:cstheme="minorBidi"/>
                <w:b/>
                <w:sz w:val="22"/>
                <w:szCs w:val="22"/>
              </w:rPr>
            </w:pPr>
            <w:r>
              <w:rPr>
                <w:rFonts w:asciiTheme="minorBidi" w:hAnsiTheme="minorBidi"/>
                <w:b/>
                <w:sz w:val="22"/>
              </w:rPr>
              <w:t xml:space="preserve">Points de </w:t>
            </w:r>
            <w:r w:rsidR="009450F2">
              <w:rPr>
                <w:rFonts w:asciiTheme="minorBidi" w:hAnsiTheme="minorBidi"/>
                <w:b/>
                <w:sz w:val="22"/>
              </w:rPr>
              <w:t>repères</w:t>
            </w:r>
          </w:p>
        </w:tc>
        <w:tc>
          <w:tcPr>
            <w:tcW w:w="627" w:type="pct"/>
            <w:shd w:val="clear" w:color="auto" w:fill="D9D9D9" w:themeFill="background1" w:themeFillShade="D9"/>
            <w:vAlign w:val="center"/>
          </w:tcPr>
          <w:p w14:paraId="4A6F829F" w14:textId="22EF95EA" w:rsidR="00DE40D8" w:rsidRPr="00D870F2" w:rsidRDefault="00DE40D8" w:rsidP="00DF31E0">
            <w:pPr>
              <w:widowControl w:val="0"/>
              <w:spacing w:before="60" w:after="60"/>
              <w:jc w:val="center"/>
              <w:rPr>
                <w:rFonts w:asciiTheme="minorBidi" w:eastAsia="Calibri" w:hAnsiTheme="minorBidi" w:cstheme="minorBidi"/>
                <w:b/>
                <w:sz w:val="22"/>
                <w:szCs w:val="22"/>
              </w:rPr>
            </w:pPr>
            <w:r>
              <w:rPr>
                <w:rFonts w:asciiTheme="minorBidi" w:hAnsiTheme="minorBidi"/>
                <w:b/>
                <w:sz w:val="22"/>
              </w:rPr>
              <w:t xml:space="preserve">Cibles </w:t>
            </w:r>
            <w:r w:rsidR="00440786">
              <w:rPr>
                <w:rFonts w:asciiTheme="minorBidi" w:hAnsiTheme="minorBidi"/>
                <w:b/>
                <w:sz w:val="22"/>
              </w:rPr>
              <w:t xml:space="preserve">pour </w:t>
            </w:r>
            <w:r>
              <w:rPr>
                <w:rFonts w:asciiTheme="minorBidi" w:hAnsiTheme="minorBidi"/>
                <w:b/>
                <w:sz w:val="22"/>
              </w:rPr>
              <w:t>2025</w:t>
            </w:r>
          </w:p>
        </w:tc>
        <w:tc>
          <w:tcPr>
            <w:tcW w:w="3746" w:type="pct"/>
            <w:shd w:val="clear" w:color="auto" w:fill="D9D9D9" w:themeFill="background1" w:themeFillShade="D9"/>
            <w:vAlign w:val="center"/>
          </w:tcPr>
          <w:p w14:paraId="32F2F7A3" w14:textId="28D0FD23" w:rsidR="00DE40D8" w:rsidRPr="00D870F2" w:rsidRDefault="00DE40D8" w:rsidP="00DF31E0">
            <w:pPr>
              <w:widowControl w:val="0"/>
              <w:autoSpaceDE w:val="0"/>
              <w:autoSpaceDN w:val="0"/>
              <w:adjustRightInd w:val="0"/>
              <w:jc w:val="center"/>
              <w:rPr>
                <w:rFonts w:asciiTheme="minorBidi" w:eastAsia="Calibri" w:hAnsiTheme="minorBidi" w:cstheme="minorBidi"/>
                <w:b/>
                <w:color w:val="000000"/>
                <w:sz w:val="22"/>
                <w:szCs w:val="22"/>
              </w:rPr>
            </w:pPr>
            <w:r>
              <w:rPr>
                <w:rFonts w:asciiTheme="minorBidi" w:hAnsiTheme="minorBidi"/>
                <w:b/>
                <w:sz w:val="22"/>
              </w:rPr>
              <w:t xml:space="preserve">Évaluation </w:t>
            </w:r>
            <w:r w:rsidR="00440786">
              <w:rPr>
                <w:rFonts w:asciiTheme="minorBidi" w:hAnsiTheme="minorBidi"/>
                <w:b/>
                <w:sz w:val="22"/>
              </w:rPr>
              <w:t>de l</w:t>
            </w:r>
            <w:r w:rsidR="00A44FA1">
              <w:rPr>
                <w:rFonts w:asciiTheme="minorBidi" w:hAnsiTheme="minorBidi"/>
                <w:b/>
                <w:sz w:val="22"/>
              </w:rPr>
              <w:t>’</w:t>
            </w:r>
            <w:r w:rsidR="00440786">
              <w:rPr>
                <w:rFonts w:asciiTheme="minorBidi" w:hAnsiTheme="minorBidi"/>
                <w:b/>
                <w:sz w:val="22"/>
              </w:rPr>
              <w:t>état d</w:t>
            </w:r>
            <w:r w:rsidR="00A44FA1">
              <w:rPr>
                <w:rFonts w:asciiTheme="minorBidi" w:hAnsiTheme="minorBidi"/>
                <w:b/>
                <w:sz w:val="22"/>
              </w:rPr>
              <w:t>’</w:t>
            </w:r>
            <w:r w:rsidR="00440786">
              <w:rPr>
                <w:rFonts w:asciiTheme="minorBidi" w:hAnsiTheme="minorBidi"/>
                <w:b/>
                <w:sz w:val="22"/>
              </w:rPr>
              <w:t>avancement</w:t>
            </w:r>
            <w:r>
              <w:rPr>
                <w:rFonts w:asciiTheme="minorBidi" w:hAnsiTheme="minorBidi"/>
                <w:b/>
                <w:sz w:val="22"/>
              </w:rPr>
              <w:t xml:space="preserve"> :</w:t>
            </w:r>
            <w:r>
              <w:rPr>
                <w:rFonts w:asciiTheme="minorBidi" w:hAnsiTheme="minorBidi"/>
                <w:b/>
                <w:sz w:val="22"/>
              </w:rPr>
              <w:br/>
              <w:t>Du 01/01/2024 au 30/06/2025</w:t>
            </w:r>
          </w:p>
        </w:tc>
      </w:tr>
      <w:tr w:rsidR="00DE40D8" w:rsidRPr="00264094" w14:paraId="69248B42" w14:textId="77777777" w:rsidTr="00B828F1">
        <w:trPr>
          <w:trHeight w:val="5127"/>
        </w:trPr>
        <w:tc>
          <w:tcPr>
            <w:tcW w:w="627" w:type="pct"/>
            <w:tcBorders>
              <w:bottom w:val="single" w:sz="4" w:space="0" w:color="auto"/>
            </w:tcBorders>
          </w:tcPr>
          <w:p w14:paraId="284B9B64" w14:textId="77777777" w:rsidR="00DE40D8" w:rsidRPr="00D870F2" w:rsidRDefault="00DE40D8" w:rsidP="00DF31E0">
            <w:pPr>
              <w:widowControl w:val="0"/>
              <w:spacing w:before="120" w:after="120"/>
              <w:rPr>
                <w:rFonts w:asciiTheme="minorBidi" w:hAnsiTheme="minorBidi" w:cstheme="minorBidi"/>
                <w:sz w:val="22"/>
                <w:szCs w:val="22"/>
              </w:rPr>
            </w:pPr>
            <w:r>
              <w:rPr>
                <w:rFonts w:asciiTheme="minorBidi" w:hAnsiTheme="minorBidi"/>
                <w:sz w:val="22"/>
              </w:rPr>
              <w:t>128, dont 38 en Afrique et 11 PEID</w:t>
            </w:r>
          </w:p>
        </w:tc>
        <w:tc>
          <w:tcPr>
            <w:tcW w:w="627" w:type="pct"/>
            <w:tcBorders>
              <w:bottom w:val="single" w:sz="4" w:space="0" w:color="auto"/>
            </w:tcBorders>
          </w:tcPr>
          <w:p w14:paraId="77951CFF" w14:textId="77777777" w:rsidR="00DE40D8" w:rsidRPr="00D870F2" w:rsidRDefault="00DE40D8" w:rsidP="00DF31E0">
            <w:pPr>
              <w:widowControl w:val="0"/>
              <w:spacing w:before="120" w:after="120"/>
              <w:ind w:left="-28"/>
              <w:rPr>
                <w:rFonts w:asciiTheme="minorBidi" w:hAnsiTheme="minorBidi" w:cstheme="minorBidi"/>
                <w:sz w:val="22"/>
                <w:szCs w:val="22"/>
              </w:rPr>
            </w:pPr>
            <w:r>
              <w:rPr>
                <w:rFonts w:asciiTheme="minorBidi" w:hAnsiTheme="minorBidi"/>
                <w:sz w:val="22"/>
              </w:rPr>
              <w:t>100, dont 36 en Afrique et 20 PEID</w:t>
            </w:r>
          </w:p>
        </w:tc>
        <w:tc>
          <w:tcPr>
            <w:tcW w:w="3746" w:type="pct"/>
            <w:tcBorders>
              <w:bottom w:val="single" w:sz="4" w:space="0" w:color="auto"/>
            </w:tcBorders>
          </w:tcPr>
          <w:p w14:paraId="3CC263C7" w14:textId="6F482B39" w:rsidR="0084590A" w:rsidRPr="0084590A" w:rsidRDefault="003715F9" w:rsidP="0084590A">
            <w:pPr>
              <w:pStyle w:val="ListParagraph"/>
              <w:widowControl w:val="0"/>
              <w:numPr>
                <w:ilvl w:val="0"/>
                <w:numId w:val="22"/>
              </w:numPr>
              <w:spacing w:before="120" w:after="120"/>
              <w:ind w:left="425" w:hanging="425"/>
              <w:contextualSpacing w:val="0"/>
              <w:jc w:val="both"/>
              <w:rPr>
                <w:rFonts w:asciiTheme="minorBidi" w:hAnsiTheme="minorBidi" w:cstheme="minorBidi"/>
                <w:sz w:val="22"/>
                <w:szCs w:val="22"/>
              </w:rPr>
            </w:pPr>
            <w:r>
              <w:rPr>
                <w:rFonts w:asciiTheme="minorBidi" w:hAnsiTheme="minorBidi"/>
                <w:sz w:val="22"/>
              </w:rPr>
              <w:t>125</w:t>
            </w:r>
            <w:r w:rsidRPr="0084590A">
              <w:rPr>
                <w:rFonts w:asciiTheme="minorBidi" w:hAnsiTheme="minorBidi"/>
                <w:sz w:val="22"/>
              </w:rPr>
              <w:t xml:space="preserve"> </w:t>
            </w:r>
            <w:r w:rsidR="0084590A" w:rsidRPr="0084590A">
              <w:rPr>
                <w:rFonts w:asciiTheme="minorBidi" w:hAnsiTheme="minorBidi"/>
                <w:sz w:val="22"/>
              </w:rPr>
              <w:t>États membres ont bénéficié du programme de renforcement des capacités</w:t>
            </w:r>
            <w:r w:rsidRPr="00416ADD">
              <w:rPr>
                <w:rFonts w:asciiTheme="minorBidi" w:hAnsiTheme="minorBidi"/>
                <w:sz w:val="22"/>
              </w:rPr>
              <w:t xml:space="preserve"> pour élaborer ou réviser des politiques, stratégies et programmes visant à sauvegarder le patrimoine vivant</w:t>
            </w:r>
            <w:r w:rsidR="0084590A" w:rsidRPr="0084590A">
              <w:rPr>
                <w:rFonts w:asciiTheme="minorBidi" w:hAnsiTheme="minorBidi"/>
                <w:sz w:val="22"/>
              </w:rPr>
              <w:t xml:space="preserve"> (dont </w:t>
            </w:r>
            <w:r>
              <w:rPr>
                <w:rFonts w:asciiTheme="minorBidi" w:hAnsiTheme="minorBidi"/>
                <w:sz w:val="22"/>
              </w:rPr>
              <w:t>44</w:t>
            </w:r>
            <w:r w:rsidRPr="0084590A">
              <w:rPr>
                <w:rFonts w:asciiTheme="minorBidi" w:hAnsiTheme="minorBidi"/>
                <w:sz w:val="22"/>
              </w:rPr>
              <w:t xml:space="preserve"> </w:t>
            </w:r>
            <w:r w:rsidR="0084590A" w:rsidRPr="0084590A">
              <w:rPr>
                <w:rFonts w:asciiTheme="minorBidi" w:hAnsiTheme="minorBidi"/>
                <w:sz w:val="22"/>
              </w:rPr>
              <w:t xml:space="preserve">en Afrique et </w:t>
            </w:r>
            <w:r>
              <w:rPr>
                <w:rFonts w:asciiTheme="minorBidi" w:hAnsiTheme="minorBidi"/>
                <w:sz w:val="22"/>
              </w:rPr>
              <w:t>33 </w:t>
            </w:r>
            <w:r w:rsidR="00972CA0">
              <w:rPr>
                <w:rFonts w:asciiTheme="minorBidi" w:hAnsiTheme="minorBidi"/>
                <w:sz w:val="22"/>
              </w:rPr>
              <w:t>PEID</w:t>
            </w:r>
            <w:r w:rsidR="0084590A" w:rsidRPr="0084590A">
              <w:rPr>
                <w:rFonts w:asciiTheme="minorBidi" w:hAnsiTheme="minorBidi"/>
                <w:sz w:val="22"/>
              </w:rPr>
              <w:t>)</w:t>
            </w:r>
            <w:r w:rsidR="0084590A">
              <w:rPr>
                <w:rFonts w:asciiTheme="minorBidi" w:hAnsiTheme="minorBidi"/>
                <w:sz w:val="22"/>
              </w:rPr>
              <w:t> </w:t>
            </w:r>
          </w:p>
          <w:p w14:paraId="3E8F2A4B" w14:textId="1E6BF289" w:rsidR="0084590A" w:rsidRPr="0084590A" w:rsidRDefault="0084590A" w:rsidP="0084590A">
            <w:pPr>
              <w:pStyle w:val="ListParagraph"/>
              <w:widowControl w:val="0"/>
              <w:numPr>
                <w:ilvl w:val="0"/>
                <w:numId w:val="22"/>
              </w:numPr>
              <w:spacing w:before="120" w:after="120"/>
              <w:ind w:left="425" w:hanging="425"/>
              <w:contextualSpacing w:val="0"/>
              <w:jc w:val="both"/>
              <w:rPr>
                <w:rFonts w:asciiTheme="minorBidi" w:hAnsiTheme="minorBidi" w:cstheme="minorBidi"/>
                <w:sz w:val="22"/>
                <w:szCs w:val="22"/>
              </w:rPr>
            </w:pPr>
            <w:r w:rsidRPr="00416ADD">
              <w:rPr>
                <w:rFonts w:asciiTheme="minorBidi" w:hAnsiTheme="minorBidi"/>
                <w:sz w:val="22"/>
              </w:rPr>
              <w:t>42 pays ont bénéficié d</w:t>
            </w:r>
            <w:r w:rsidR="00A44FA1">
              <w:rPr>
                <w:rFonts w:asciiTheme="minorBidi" w:hAnsiTheme="minorBidi"/>
                <w:sz w:val="22"/>
              </w:rPr>
              <w:t>’</w:t>
            </w:r>
            <w:r w:rsidRPr="00416ADD">
              <w:rPr>
                <w:rFonts w:asciiTheme="minorBidi" w:hAnsiTheme="minorBidi"/>
                <w:sz w:val="22"/>
              </w:rPr>
              <w:t>un renforcement des capacités et d</w:t>
            </w:r>
            <w:r w:rsidR="00A44FA1">
              <w:rPr>
                <w:rFonts w:asciiTheme="minorBidi" w:hAnsiTheme="minorBidi"/>
                <w:sz w:val="22"/>
              </w:rPr>
              <w:t>’</w:t>
            </w:r>
            <w:r w:rsidRPr="00416ADD">
              <w:rPr>
                <w:rFonts w:asciiTheme="minorBidi" w:hAnsiTheme="minorBidi"/>
                <w:sz w:val="22"/>
              </w:rPr>
              <w:t>un soutien technique pour l</w:t>
            </w:r>
            <w:r w:rsidR="00A44FA1">
              <w:rPr>
                <w:rFonts w:asciiTheme="minorBidi" w:hAnsiTheme="minorBidi"/>
                <w:sz w:val="22"/>
              </w:rPr>
              <w:t>’</w:t>
            </w:r>
            <w:r w:rsidRPr="00416ADD">
              <w:rPr>
                <w:rFonts w:asciiTheme="minorBidi" w:hAnsiTheme="minorBidi"/>
                <w:sz w:val="22"/>
              </w:rPr>
              <w:t>exercice de</w:t>
            </w:r>
            <w:r w:rsidR="00792FE3">
              <w:rPr>
                <w:rFonts w:asciiTheme="minorBidi" w:hAnsiTheme="minorBidi"/>
                <w:sz w:val="22"/>
              </w:rPr>
              <w:t>s</w:t>
            </w:r>
            <w:r w:rsidRPr="00416ADD">
              <w:rPr>
                <w:rFonts w:asciiTheme="minorBidi" w:hAnsiTheme="minorBidi"/>
                <w:sz w:val="22"/>
              </w:rPr>
              <w:t xml:space="preserve"> rapport</w:t>
            </w:r>
            <w:r w:rsidR="00792FE3">
              <w:rPr>
                <w:rFonts w:asciiTheme="minorBidi" w:hAnsiTheme="minorBidi"/>
                <w:sz w:val="22"/>
              </w:rPr>
              <w:t>s</w:t>
            </w:r>
            <w:r w:rsidRPr="00416ADD">
              <w:rPr>
                <w:rFonts w:asciiTheme="minorBidi" w:hAnsiTheme="minorBidi"/>
                <w:sz w:val="22"/>
              </w:rPr>
              <w:t xml:space="preserve"> périodique</w:t>
            </w:r>
            <w:r w:rsidR="00792FE3">
              <w:rPr>
                <w:rFonts w:asciiTheme="minorBidi" w:hAnsiTheme="minorBidi"/>
                <w:sz w:val="22"/>
              </w:rPr>
              <w:t>s</w:t>
            </w:r>
            <w:r w:rsidRPr="00416ADD">
              <w:rPr>
                <w:rFonts w:asciiTheme="minorBidi" w:hAnsiTheme="minorBidi"/>
                <w:sz w:val="22"/>
              </w:rPr>
              <w:t xml:space="preserve"> en Asie et dans le Pacifique, et 38 ont soumis leurs rapports, qui </w:t>
            </w:r>
            <w:r w:rsidR="00792FE3">
              <w:rPr>
                <w:rFonts w:asciiTheme="minorBidi" w:hAnsiTheme="minorBidi"/>
                <w:sz w:val="22"/>
              </w:rPr>
              <w:t>constituent</w:t>
            </w:r>
            <w:r w:rsidR="00792FE3" w:rsidRPr="00416ADD">
              <w:rPr>
                <w:rFonts w:asciiTheme="minorBidi" w:hAnsiTheme="minorBidi"/>
                <w:sz w:val="22"/>
              </w:rPr>
              <w:t xml:space="preserve"> </w:t>
            </w:r>
            <w:r w:rsidRPr="00416ADD">
              <w:rPr>
                <w:rFonts w:asciiTheme="minorBidi" w:hAnsiTheme="minorBidi"/>
                <w:sz w:val="22"/>
              </w:rPr>
              <w:t>des feuilles de route utiles pour la conception de politiques et de programmes</w:t>
            </w:r>
            <w:r>
              <w:rPr>
                <w:rFonts w:asciiTheme="minorBidi" w:hAnsiTheme="minorBidi"/>
                <w:sz w:val="22"/>
              </w:rPr>
              <w:t> </w:t>
            </w:r>
          </w:p>
          <w:p w14:paraId="26C45604" w14:textId="44403259" w:rsidR="0084590A" w:rsidRPr="0084590A" w:rsidRDefault="0084590A" w:rsidP="0084590A">
            <w:pPr>
              <w:pStyle w:val="ListParagraph"/>
              <w:widowControl w:val="0"/>
              <w:numPr>
                <w:ilvl w:val="0"/>
                <w:numId w:val="22"/>
              </w:numPr>
              <w:spacing w:before="120" w:after="120"/>
              <w:ind w:left="425" w:hanging="425"/>
              <w:contextualSpacing w:val="0"/>
              <w:jc w:val="both"/>
              <w:rPr>
                <w:rFonts w:asciiTheme="minorBidi" w:hAnsiTheme="minorBidi" w:cstheme="minorBidi"/>
                <w:sz w:val="22"/>
                <w:szCs w:val="22"/>
              </w:rPr>
            </w:pPr>
            <w:r w:rsidRPr="00416ADD">
              <w:rPr>
                <w:rFonts w:asciiTheme="minorBidi" w:hAnsiTheme="minorBidi"/>
                <w:sz w:val="22"/>
              </w:rPr>
              <w:t>5 PEID des Caraïbes et du Pacifique ont bénéficié d</w:t>
            </w:r>
            <w:r w:rsidR="00A44FA1">
              <w:rPr>
                <w:rFonts w:asciiTheme="minorBidi" w:hAnsiTheme="minorBidi"/>
                <w:sz w:val="22"/>
              </w:rPr>
              <w:t>’</w:t>
            </w:r>
            <w:r w:rsidRPr="00416ADD">
              <w:rPr>
                <w:rFonts w:asciiTheme="minorBidi" w:hAnsiTheme="minorBidi"/>
                <w:sz w:val="22"/>
              </w:rPr>
              <w:t>un renforcement des capacités en matière de sauvegarde du patrimoine culturel immatériel et de gestion des risques de catastrophe</w:t>
            </w:r>
            <w:r>
              <w:rPr>
                <w:rFonts w:asciiTheme="minorBidi" w:hAnsiTheme="minorBidi"/>
                <w:sz w:val="22"/>
              </w:rPr>
              <w:t> </w:t>
            </w:r>
          </w:p>
          <w:p w14:paraId="201DC2CB" w14:textId="617902ED" w:rsidR="0084590A" w:rsidRPr="0084590A" w:rsidRDefault="0084590A" w:rsidP="0084590A">
            <w:pPr>
              <w:pStyle w:val="ListParagraph"/>
              <w:widowControl w:val="0"/>
              <w:numPr>
                <w:ilvl w:val="0"/>
                <w:numId w:val="22"/>
              </w:numPr>
              <w:spacing w:before="120" w:after="120"/>
              <w:ind w:left="425" w:hanging="425"/>
              <w:contextualSpacing w:val="0"/>
              <w:jc w:val="both"/>
              <w:rPr>
                <w:rFonts w:asciiTheme="minorBidi" w:hAnsiTheme="minorBidi" w:cstheme="minorBidi"/>
                <w:sz w:val="22"/>
                <w:szCs w:val="22"/>
              </w:rPr>
            </w:pPr>
            <w:r w:rsidRPr="00416ADD">
              <w:rPr>
                <w:rFonts w:asciiTheme="minorBidi" w:hAnsiTheme="minorBidi"/>
                <w:sz w:val="22"/>
              </w:rPr>
              <w:t>10 pays d</w:t>
            </w:r>
            <w:r w:rsidR="00A44FA1">
              <w:rPr>
                <w:rFonts w:asciiTheme="minorBidi" w:hAnsiTheme="minorBidi"/>
                <w:sz w:val="22"/>
              </w:rPr>
              <w:t>’</w:t>
            </w:r>
            <w:r w:rsidRPr="00416ADD">
              <w:rPr>
                <w:rFonts w:asciiTheme="minorBidi" w:hAnsiTheme="minorBidi"/>
                <w:sz w:val="22"/>
              </w:rPr>
              <w:t>Amérique centrale ont bénéficié d</w:t>
            </w:r>
            <w:r w:rsidR="00A44FA1">
              <w:rPr>
                <w:rFonts w:asciiTheme="minorBidi" w:hAnsiTheme="minorBidi"/>
                <w:sz w:val="22"/>
              </w:rPr>
              <w:t>’</w:t>
            </w:r>
            <w:r w:rsidRPr="00416ADD">
              <w:rPr>
                <w:rFonts w:asciiTheme="minorBidi" w:hAnsiTheme="minorBidi"/>
                <w:sz w:val="22"/>
              </w:rPr>
              <w:t>un renforcement des capacités en matière de sauvegarde du patrimoine culturel immatériel et de développement urbain durable</w:t>
            </w:r>
            <w:r>
              <w:rPr>
                <w:rFonts w:asciiTheme="minorBidi" w:hAnsiTheme="minorBidi"/>
                <w:sz w:val="22"/>
              </w:rPr>
              <w:t> </w:t>
            </w:r>
          </w:p>
          <w:p w14:paraId="732606C3" w14:textId="030AC4CF" w:rsidR="0084590A" w:rsidRPr="0084590A" w:rsidRDefault="0084590A" w:rsidP="0084590A">
            <w:pPr>
              <w:pStyle w:val="ListParagraph"/>
              <w:widowControl w:val="0"/>
              <w:numPr>
                <w:ilvl w:val="0"/>
                <w:numId w:val="22"/>
              </w:numPr>
              <w:spacing w:before="120" w:after="120"/>
              <w:ind w:left="425" w:hanging="425"/>
              <w:contextualSpacing w:val="0"/>
              <w:jc w:val="both"/>
              <w:rPr>
                <w:rFonts w:asciiTheme="minorBidi" w:hAnsiTheme="minorBidi" w:cstheme="minorBidi"/>
                <w:sz w:val="22"/>
                <w:szCs w:val="22"/>
              </w:rPr>
            </w:pPr>
            <w:r w:rsidRPr="00416ADD">
              <w:rPr>
                <w:rFonts w:asciiTheme="minorBidi" w:hAnsiTheme="minorBidi"/>
                <w:sz w:val="22"/>
              </w:rPr>
              <w:t xml:space="preserve">16 pays ont participé à la phase de lancement et au renforcement des capacités nationales pour le </w:t>
            </w:r>
            <w:r w:rsidRPr="00674548">
              <w:rPr>
                <w:rFonts w:asciiTheme="minorBidi" w:hAnsiTheme="minorBidi"/>
                <w:sz w:val="22"/>
              </w:rPr>
              <w:t>projet d</w:t>
            </w:r>
            <w:r w:rsidR="00A44FA1" w:rsidRPr="00674548">
              <w:rPr>
                <w:rFonts w:asciiTheme="minorBidi" w:hAnsiTheme="minorBidi"/>
                <w:sz w:val="22"/>
              </w:rPr>
              <w:t>’</w:t>
            </w:r>
            <w:r w:rsidR="00792FE3" w:rsidRPr="00674548">
              <w:rPr>
                <w:rFonts w:asciiTheme="minorBidi" w:hAnsiTheme="minorBidi"/>
                <w:sz w:val="22"/>
              </w:rPr>
              <w:t>Atlas international du patrimoine alimentaire et plateforme numérique</w:t>
            </w:r>
            <w:r>
              <w:rPr>
                <w:rFonts w:asciiTheme="minorBidi" w:hAnsiTheme="minorBidi"/>
                <w:sz w:val="22"/>
              </w:rPr>
              <w:t> </w:t>
            </w:r>
          </w:p>
          <w:p w14:paraId="2C87AEEB" w14:textId="076CB273" w:rsidR="0084590A" w:rsidRPr="0084590A" w:rsidRDefault="0084590A" w:rsidP="0084590A">
            <w:pPr>
              <w:pStyle w:val="ListParagraph"/>
              <w:widowControl w:val="0"/>
              <w:numPr>
                <w:ilvl w:val="0"/>
                <w:numId w:val="22"/>
              </w:numPr>
              <w:spacing w:before="120" w:after="120"/>
              <w:ind w:left="425" w:hanging="425"/>
              <w:contextualSpacing w:val="0"/>
              <w:jc w:val="both"/>
              <w:rPr>
                <w:rFonts w:asciiTheme="minorBidi" w:hAnsiTheme="minorBidi" w:cstheme="minorBidi"/>
                <w:sz w:val="22"/>
                <w:szCs w:val="22"/>
              </w:rPr>
            </w:pPr>
            <w:r w:rsidRPr="00416ADD">
              <w:rPr>
                <w:rFonts w:asciiTheme="minorBidi" w:hAnsiTheme="minorBidi"/>
                <w:sz w:val="22"/>
              </w:rPr>
              <w:t>9 pays ont participé au renforcement des capacités pour la préparation de dossiers de candidature en Afrique</w:t>
            </w:r>
            <w:r>
              <w:rPr>
                <w:rFonts w:asciiTheme="minorBidi" w:hAnsiTheme="minorBidi"/>
                <w:sz w:val="22"/>
              </w:rPr>
              <w:t> </w:t>
            </w:r>
          </w:p>
          <w:p w14:paraId="39BB7FD9" w14:textId="4AD885C4" w:rsidR="00DE40D8" w:rsidRPr="00B828F1" w:rsidRDefault="0084590A" w:rsidP="00B828F1">
            <w:pPr>
              <w:pStyle w:val="ListParagraph"/>
              <w:widowControl w:val="0"/>
              <w:numPr>
                <w:ilvl w:val="0"/>
                <w:numId w:val="22"/>
              </w:numPr>
              <w:spacing w:before="120"/>
              <w:ind w:left="425" w:hanging="425"/>
              <w:contextualSpacing w:val="0"/>
              <w:jc w:val="both"/>
              <w:rPr>
                <w:rFonts w:cstheme="minorBidi"/>
                <w:szCs w:val="22"/>
              </w:rPr>
            </w:pPr>
            <w:r w:rsidRPr="0084590A">
              <w:rPr>
                <w:rFonts w:asciiTheme="minorBidi" w:hAnsiTheme="minorBidi"/>
                <w:sz w:val="22"/>
              </w:rPr>
              <w:t>6 propositions ont été traitées pour la création ou le renouvellement de chaires UNESCO dans le domaine du patrimoine culturel immatériel</w:t>
            </w:r>
          </w:p>
        </w:tc>
      </w:tr>
    </w:tbl>
    <w:p w14:paraId="39FF649A" w14:textId="77777777" w:rsidR="00DE40D8" w:rsidRPr="00D870F2" w:rsidRDefault="00DE40D8" w:rsidP="00DE40D8">
      <w:r>
        <w:br w:type="page"/>
      </w:r>
    </w:p>
    <w:tbl>
      <w:tblPr>
        <w:tblStyle w:val="TableGrid2"/>
        <w:tblW w:w="14572" w:type="dxa"/>
        <w:tblLook w:val="04A0" w:firstRow="1" w:lastRow="0" w:firstColumn="1" w:lastColumn="0" w:noHBand="0" w:noVBand="1"/>
      </w:tblPr>
      <w:tblGrid>
        <w:gridCol w:w="3509"/>
        <w:gridCol w:w="11063"/>
      </w:tblGrid>
      <w:tr w:rsidR="00DE40D8" w:rsidRPr="00264094" w14:paraId="7ED02B52" w14:textId="77777777" w:rsidTr="00DF31E0">
        <w:trPr>
          <w:cantSplit/>
        </w:trPr>
        <w:tc>
          <w:tcPr>
            <w:tcW w:w="1204" w:type="pct"/>
            <w:shd w:val="clear" w:color="auto" w:fill="808080" w:themeFill="background1" w:themeFillShade="80"/>
            <w:vAlign w:val="center"/>
          </w:tcPr>
          <w:p w14:paraId="412D3D46" w14:textId="77777777" w:rsidR="00DE40D8" w:rsidRPr="00D870F2" w:rsidRDefault="00DE40D8" w:rsidP="00DF31E0">
            <w:pPr>
              <w:keepNext/>
              <w:widowControl w:val="0"/>
              <w:spacing w:before="120" w:after="120"/>
              <w:rPr>
                <w:rFonts w:asciiTheme="minorBidi" w:hAnsiTheme="minorBidi" w:cstheme="minorBidi"/>
                <w:b/>
                <w:bCs/>
                <w:color w:val="FFFFFF" w:themeColor="background1"/>
                <w:sz w:val="22"/>
                <w:szCs w:val="22"/>
              </w:rPr>
            </w:pPr>
            <w:r>
              <w:rPr>
                <w:rFonts w:asciiTheme="minorBidi" w:hAnsiTheme="minorBidi"/>
                <w:b/>
                <w:color w:val="FFFFFF" w:themeColor="background1"/>
                <w:sz w:val="22"/>
              </w:rPr>
              <w:t>Indicateur de performance 2 (42C/5)</w:t>
            </w:r>
          </w:p>
        </w:tc>
        <w:tc>
          <w:tcPr>
            <w:tcW w:w="3796" w:type="pct"/>
            <w:shd w:val="clear" w:color="auto" w:fill="808080" w:themeFill="background1" w:themeFillShade="80"/>
            <w:vAlign w:val="center"/>
          </w:tcPr>
          <w:p w14:paraId="7F947EC4" w14:textId="671E5ECE" w:rsidR="00DE40D8" w:rsidRPr="00D870F2" w:rsidRDefault="00DE40D8" w:rsidP="00DF31E0">
            <w:pPr>
              <w:keepNext/>
              <w:widowControl w:val="0"/>
              <w:spacing w:before="120" w:after="120"/>
              <w:rPr>
                <w:rFonts w:asciiTheme="minorBidi" w:hAnsiTheme="minorBidi" w:cstheme="minorBidi"/>
                <w:b/>
                <w:bCs/>
                <w:color w:val="FFFFFF" w:themeColor="background1"/>
                <w:sz w:val="22"/>
                <w:szCs w:val="22"/>
              </w:rPr>
            </w:pPr>
            <w:r>
              <w:rPr>
                <w:rFonts w:asciiTheme="minorBidi" w:hAnsiTheme="minorBidi"/>
                <w:b/>
                <w:color w:val="FFFFFF" w:themeColor="background1"/>
                <w:sz w:val="22"/>
              </w:rPr>
              <w:t>Nombre d</w:t>
            </w:r>
            <w:r w:rsidR="00A44FA1">
              <w:rPr>
                <w:rFonts w:asciiTheme="minorBidi" w:hAnsiTheme="minorBidi"/>
                <w:b/>
                <w:color w:val="FFFFFF" w:themeColor="background1"/>
                <w:sz w:val="22"/>
              </w:rPr>
              <w:t>’</w:t>
            </w:r>
            <w:r>
              <w:rPr>
                <w:rFonts w:asciiTheme="minorBidi" w:hAnsiTheme="minorBidi"/>
                <w:b/>
                <w:color w:val="FFFFFF" w:themeColor="background1"/>
                <w:sz w:val="22"/>
              </w:rPr>
              <w:t xml:space="preserve">États membres </w:t>
            </w:r>
            <w:r w:rsidR="00440786">
              <w:rPr>
                <w:rFonts w:asciiTheme="minorBidi" w:hAnsiTheme="minorBidi"/>
                <w:b/>
                <w:color w:val="FFFFFF" w:themeColor="background1"/>
                <w:sz w:val="22"/>
              </w:rPr>
              <w:t>sauvegardant</w:t>
            </w:r>
            <w:r>
              <w:rPr>
                <w:rFonts w:asciiTheme="minorBidi" w:hAnsiTheme="minorBidi"/>
                <w:b/>
                <w:color w:val="FFFFFF" w:themeColor="background1"/>
                <w:sz w:val="22"/>
              </w:rPr>
              <w:t xml:space="preserve"> durable</w:t>
            </w:r>
            <w:r w:rsidR="00440786">
              <w:rPr>
                <w:rFonts w:asciiTheme="minorBidi" w:hAnsiTheme="minorBidi"/>
                <w:b/>
                <w:color w:val="FFFFFF" w:themeColor="background1"/>
                <w:sz w:val="22"/>
              </w:rPr>
              <w:t>ment</w:t>
            </w:r>
            <w:r>
              <w:rPr>
                <w:rFonts w:asciiTheme="minorBidi" w:hAnsiTheme="minorBidi"/>
                <w:b/>
                <w:color w:val="FFFFFF" w:themeColor="background1"/>
                <w:sz w:val="22"/>
              </w:rPr>
              <w:t xml:space="preserve"> </w:t>
            </w:r>
            <w:r w:rsidR="00440786">
              <w:rPr>
                <w:rFonts w:asciiTheme="minorBidi" w:hAnsiTheme="minorBidi"/>
                <w:b/>
                <w:color w:val="FFFFFF" w:themeColor="background1"/>
                <w:sz w:val="22"/>
              </w:rPr>
              <w:t>le</w:t>
            </w:r>
            <w:r>
              <w:rPr>
                <w:rFonts w:asciiTheme="minorBidi" w:hAnsiTheme="minorBidi"/>
                <w:b/>
                <w:color w:val="FFFFFF" w:themeColor="background1"/>
                <w:sz w:val="22"/>
              </w:rPr>
              <w:t xml:space="preserve"> patrimoine vivant grâce à une coopération internationale renforcée et aux mécanismes d</w:t>
            </w:r>
            <w:r w:rsidR="00A44FA1">
              <w:rPr>
                <w:rFonts w:asciiTheme="minorBidi" w:hAnsiTheme="minorBidi"/>
                <w:b/>
                <w:color w:val="FFFFFF" w:themeColor="background1"/>
                <w:sz w:val="22"/>
              </w:rPr>
              <w:t>’</w:t>
            </w:r>
            <w:r>
              <w:rPr>
                <w:rFonts w:asciiTheme="minorBidi" w:hAnsiTheme="minorBidi"/>
                <w:b/>
                <w:color w:val="FFFFFF" w:themeColor="background1"/>
                <w:sz w:val="22"/>
              </w:rPr>
              <w:t>assistance de la Convention de 2003 pour la sauvegarde du patrimoine culturel immatériel</w:t>
            </w:r>
          </w:p>
        </w:tc>
      </w:tr>
    </w:tbl>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4"/>
        <w:gridCol w:w="11063"/>
      </w:tblGrid>
      <w:tr w:rsidR="00DE40D8" w:rsidRPr="00D870F2" w14:paraId="08D1310E" w14:textId="77777777" w:rsidTr="00DF31E0">
        <w:trPr>
          <w:tblHeader/>
        </w:trPr>
        <w:tc>
          <w:tcPr>
            <w:tcW w:w="602" w:type="pct"/>
            <w:shd w:val="clear" w:color="auto" w:fill="D9D9D9" w:themeFill="background1" w:themeFillShade="D9"/>
            <w:vAlign w:val="center"/>
          </w:tcPr>
          <w:p w14:paraId="131AEE64" w14:textId="361E0E20" w:rsidR="00DE40D8" w:rsidRPr="00D870F2" w:rsidRDefault="00DE40D8" w:rsidP="00DF31E0">
            <w:pPr>
              <w:widowControl w:val="0"/>
              <w:spacing w:before="60" w:after="60"/>
              <w:jc w:val="center"/>
              <w:rPr>
                <w:rFonts w:asciiTheme="minorBidi" w:eastAsia="Calibri" w:hAnsiTheme="minorBidi" w:cstheme="minorBidi"/>
                <w:b/>
                <w:sz w:val="22"/>
                <w:szCs w:val="22"/>
              </w:rPr>
            </w:pPr>
            <w:r>
              <w:rPr>
                <w:rFonts w:asciiTheme="minorBidi" w:hAnsiTheme="minorBidi"/>
                <w:b/>
                <w:sz w:val="22"/>
              </w:rPr>
              <w:t xml:space="preserve">Points de </w:t>
            </w:r>
            <w:r w:rsidR="00725581">
              <w:rPr>
                <w:rFonts w:asciiTheme="minorBidi" w:hAnsiTheme="minorBidi"/>
                <w:b/>
                <w:sz w:val="22"/>
              </w:rPr>
              <w:t>référence</w:t>
            </w:r>
          </w:p>
        </w:tc>
        <w:tc>
          <w:tcPr>
            <w:tcW w:w="602" w:type="pct"/>
            <w:shd w:val="clear" w:color="auto" w:fill="D9D9D9" w:themeFill="background1" w:themeFillShade="D9"/>
            <w:vAlign w:val="center"/>
          </w:tcPr>
          <w:p w14:paraId="0B3820B6" w14:textId="7D8D8D85" w:rsidR="00DE40D8" w:rsidRPr="00D870F2" w:rsidRDefault="00DE40D8" w:rsidP="00DF31E0">
            <w:pPr>
              <w:widowControl w:val="0"/>
              <w:spacing w:before="60" w:after="60"/>
              <w:jc w:val="center"/>
              <w:rPr>
                <w:rFonts w:asciiTheme="minorBidi" w:eastAsia="Calibri" w:hAnsiTheme="minorBidi" w:cstheme="minorBidi"/>
                <w:b/>
                <w:sz w:val="22"/>
                <w:szCs w:val="22"/>
              </w:rPr>
            </w:pPr>
            <w:r>
              <w:rPr>
                <w:rFonts w:asciiTheme="minorBidi" w:hAnsiTheme="minorBidi"/>
                <w:b/>
                <w:sz w:val="22"/>
              </w:rPr>
              <w:t xml:space="preserve">Cibles </w:t>
            </w:r>
            <w:r w:rsidR="00440786">
              <w:rPr>
                <w:rFonts w:asciiTheme="minorBidi" w:hAnsiTheme="minorBidi"/>
                <w:b/>
                <w:sz w:val="22"/>
              </w:rPr>
              <w:t xml:space="preserve">pour </w:t>
            </w:r>
            <w:r>
              <w:rPr>
                <w:rFonts w:asciiTheme="minorBidi" w:hAnsiTheme="minorBidi"/>
                <w:b/>
                <w:sz w:val="22"/>
              </w:rPr>
              <w:t>2025</w:t>
            </w:r>
          </w:p>
        </w:tc>
        <w:tc>
          <w:tcPr>
            <w:tcW w:w="3796" w:type="pct"/>
            <w:shd w:val="clear" w:color="auto" w:fill="D9D9D9" w:themeFill="background1" w:themeFillShade="D9"/>
            <w:vAlign w:val="center"/>
          </w:tcPr>
          <w:p w14:paraId="034BAA4E" w14:textId="52A232DA" w:rsidR="00DE40D8" w:rsidRPr="00D870F2" w:rsidRDefault="00DE40D8" w:rsidP="00DF31E0">
            <w:pPr>
              <w:widowControl w:val="0"/>
              <w:autoSpaceDE w:val="0"/>
              <w:autoSpaceDN w:val="0"/>
              <w:adjustRightInd w:val="0"/>
              <w:jc w:val="center"/>
              <w:rPr>
                <w:rFonts w:asciiTheme="minorBidi" w:eastAsia="Calibri" w:hAnsiTheme="minorBidi" w:cstheme="minorBidi"/>
                <w:b/>
                <w:color w:val="000000"/>
                <w:sz w:val="22"/>
                <w:szCs w:val="22"/>
              </w:rPr>
            </w:pPr>
            <w:r>
              <w:rPr>
                <w:rFonts w:asciiTheme="minorBidi" w:hAnsiTheme="minorBidi"/>
                <w:b/>
                <w:sz w:val="22"/>
              </w:rPr>
              <w:t xml:space="preserve">Évaluation </w:t>
            </w:r>
            <w:r w:rsidR="00440786">
              <w:rPr>
                <w:rFonts w:asciiTheme="minorBidi" w:hAnsiTheme="minorBidi"/>
                <w:b/>
                <w:sz w:val="22"/>
              </w:rPr>
              <w:t>de l</w:t>
            </w:r>
            <w:r w:rsidR="00A44FA1">
              <w:rPr>
                <w:rFonts w:asciiTheme="minorBidi" w:hAnsiTheme="minorBidi"/>
                <w:b/>
                <w:sz w:val="22"/>
              </w:rPr>
              <w:t>’</w:t>
            </w:r>
            <w:r w:rsidR="00440786">
              <w:rPr>
                <w:rFonts w:asciiTheme="minorBidi" w:hAnsiTheme="minorBidi"/>
                <w:b/>
                <w:sz w:val="22"/>
              </w:rPr>
              <w:t>état d</w:t>
            </w:r>
            <w:r w:rsidR="00A44FA1">
              <w:rPr>
                <w:rFonts w:asciiTheme="minorBidi" w:hAnsiTheme="minorBidi"/>
                <w:b/>
                <w:sz w:val="22"/>
              </w:rPr>
              <w:t>’</w:t>
            </w:r>
            <w:r w:rsidR="00440786">
              <w:rPr>
                <w:rFonts w:asciiTheme="minorBidi" w:hAnsiTheme="minorBidi"/>
                <w:b/>
                <w:sz w:val="22"/>
              </w:rPr>
              <w:t>avancement</w:t>
            </w:r>
            <w:r>
              <w:rPr>
                <w:rFonts w:asciiTheme="minorBidi" w:hAnsiTheme="minorBidi"/>
                <w:b/>
                <w:sz w:val="22"/>
              </w:rPr>
              <w:t xml:space="preserve"> :</w:t>
            </w:r>
            <w:r>
              <w:rPr>
                <w:rFonts w:asciiTheme="minorBidi" w:hAnsiTheme="minorBidi"/>
                <w:b/>
                <w:sz w:val="22"/>
              </w:rPr>
              <w:br/>
              <w:t>Du 01/01/2024 au 30/06/2025</w:t>
            </w:r>
          </w:p>
        </w:tc>
      </w:tr>
      <w:tr w:rsidR="00DE40D8" w:rsidRPr="00D870F2" w14:paraId="7091C638" w14:textId="77777777" w:rsidTr="00DF31E0">
        <w:trPr>
          <w:trHeight w:val="4361"/>
          <w:tblHeader/>
        </w:trPr>
        <w:tc>
          <w:tcPr>
            <w:tcW w:w="602" w:type="pct"/>
          </w:tcPr>
          <w:p w14:paraId="5C539AD6" w14:textId="77777777" w:rsidR="00DE40D8" w:rsidRPr="00D870F2" w:rsidRDefault="00DE40D8" w:rsidP="00DF31E0">
            <w:pPr>
              <w:widowControl w:val="0"/>
              <w:spacing w:before="60" w:after="60"/>
              <w:rPr>
                <w:rFonts w:asciiTheme="minorBidi" w:hAnsiTheme="minorBidi" w:cstheme="minorBidi"/>
                <w:b/>
                <w:bCs/>
                <w:sz w:val="22"/>
                <w:szCs w:val="22"/>
              </w:rPr>
            </w:pPr>
            <w:r>
              <w:rPr>
                <w:rFonts w:asciiTheme="minorBidi" w:hAnsiTheme="minorBidi"/>
                <w:sz w:val="22"/>
              </w:rPr>
              <w:t>123, dont 10 en Afrique et 10 PEID</w:t>
            </w:r>
          </w:p>
        </w:tc>
        <w:tc>
          <w:tcPr>
            <w:tcW w:w="602" w:type="pct"/>
          </w:tcPr>
          <w:p w14:paraId="0E67EFC8" w14:textId="77777777" w:rsidR="00DE40D8" w:rsidRPr="00D870F2" w:rsidRDefault="00DE40D8" w:rsidP="00DF31E0">
            <w:pPr>
              <w:widowControl w:val="0"/>
              <w:spacing w:before="60" w:after="60"/>
              <w:rPr>
                <w:rFonts w:asciiTheme="minorBidi" w:eastAsia="Calibri" w:hAnsiTheme="minorBidi" w:cstheme="minorBidi"/>
                <w:b/>
                <w:sz w:val="22"/>
                <w:szCs w:val="22"/>
              </w:rPr>
            </w:pPr>
            <w:r>
              <w:rPr>
                <w:rFonts w:asciiTheme="minorBidi" w:hAnsiTheme="minorBidi"/>
                <w:sz w:val="22"/>
              </w:rPr>
              <w:t>100, dont 44 en Afrique et 10 PEID</w:t>
            </w:r>
          </w:p>
        </w:tc>
        <w:tc>
          <w:tcPr>
            <w:tcW w:w="3796" w:type="pct"/>
          </w:tcPr>
          <w:p w14:paraId="3BB8472F" w14:textId="3385A66B" w:rsidR="00792FE3" w:rsidRPr="00884ED6" w:rsidRDefault="0084590A" w:rsidP="0084590A">
            <w:pPr>
              <w:pStyle w:val="ListParagraph"/>
              <w:keepNext/>
              <w:keepLines/>
              <w:widowControl w:val="0"/>
              <w:numPr>
                <w:ilvl w:val="0"/>
                <w:numId w:val="23"/>
              </w:numPr>
              <w:spacing w:before="120" w:after="120"/>
              <w:ind w:left="323"/>
              <w:contextualSpacing w:val="0"/>
              <w:jc w:val="both"/>
              <w:rPr>
                <w:rFonts w:asciiTheme="minorBidi" w:hAnsiTheme="minorBidi" w:cstheme="minorBidi"/>
                <w:sz w:val="22"/>
                <w:szCs w:val="22"/>
              </w:rPr>
            </w:pPr>
            <w:r w:rsidRPr="0084590A">
              <w:rPr>
                <w:rFonts w:asciiTheme="minorBidi" w:hAnsiTheme="minorBidi"/>
                <w:sz w:val="22"/>
              </w:rPr>
              <w:t>26 réunions statutaires et semi-statutaires organisées</w:t>
            </w:r>
          </w:p>
          <w:p w14:paraId="356C0382" w14:textId="7C946F70" w:rsidR="0084590A" w:rsidRPr="00D870F2" w:rsidRDefault="00200377" w:rsidP="0084590A">
            <w:pPr>
              <w:pStyle w:val="ListParagraph"/>
              <w:keepNext/>
              <w:keepLines/>
              <w:widowControl w:val="0"/>
              <w:numPr>
                <w:ilvl w:val="0"/>
                <w:numId w:val="23"/>
              </w:numPr>
              <w:spacing w:before="120" w:after="120"/>
              <w:ind w:left="323"/>
              <w:contextualSpacing w:val="0"/>
              <w:jc w:val="both"/>
              <w:rPr>
                <w:rFonts w:asciiTheme="minorBidi" w:hAnsiTheme="minorBidi" w:cstheme="minorBidi"/>
                <w:sz w:val="22"/>
                <w:szCs w:val="22"/>
              </w:rPr>
            </w:pPr>
            <w:r>
              <w:rPr>
                <w:rFonts w:asciiTheme="minorBidi" w:hAnsiTheme="minorBidi"/>
                <w:sz w:val="22"/>
              </w:rPr>
              <w:t>La r</w:t>
            </w:r>
            <w:r w:rsidR="0084590A" w:rsidRPr="0084590A">
              <w:rPr>
                <w:rFonts w:asciiTheme="minorBidi" w:hAnsiTheme="minorBidi"/>
                <w:sz w:val="22"/>
              </w:rPr>
              <w:t>éflexion sur une mise en œuvre plus large de l</w:t>
            </w:r>
            <w:r w:rsidR="00A44FA1">
              <w:rPr>
                <w:rFonts w:asciiTheme="minorBidi" w:hAnsiTheme="minorBidi"/>
                <w:sz w:val="22"/>
              </w:rPr>
              <w:t>’</w:t>
            </w:r>
            <w:r w:rsidR="0084590A" w:rsidRPr="0084590A">
              <w:rPr>
                <w:rFonts w:asciiTheme="minorBidi" w:hAnsiTheme="minorBidi"/>
                <w:sz w:val="22"/>
              </w:rPr>
              <w:t>article 18 de la Convention s</w:t>
            </w:r>
            <w:r w:rsidR="00A44FA1">
              <w:rPr>
                <w:rFonts w:asciiTheme="minorBidi" w:hAnsiTheme="minorBidi"/>
                <w:sz w:val="22"/>
              </w:rPr>
              <w:t>’</w:t>
            </w:r>
            <w:r w:rsidR="0084590A" w:rsidRPr="0084590A">
              <w:rPr>
                <w:rFonts w:asciiTheme="minorBidi" w:hAnsiTheme="minorBidi"/>
                <w:sz w:val="22"/>
              </w:rPr>
              <w:t>est poursuivie</w:t>
            </w:r>
          </w:p>
          <w:p w14:paraId="4013823D" w14:textId="158E29D7" w:rsidR="0084590A" w:rsidRPr="00D870F2" w:rsidRDefault="0084590A" w:rsidP="00416ADD">
            <w:pPr>
              <w:pStyle w:val="ListParagraph"/>
              <w:keepNext/>
              <w:keepLines/>
              <w:widowControl w:val="0"/>
              <w:numPr>
                <w:ilvl w:val="0"/>
                <w:numId w:val="23"/>
              </w:numPr>
              <w:spacing w:before="120" w:after="120"/>
              <w:ind w:left="323"/>
              <w:contextualSpacing w:val="0"/>
              <w:jc w:val="both"/>
              <w:rPr>
                <w:rFonts w:asciiTheme="minorBidi" w:hAnsiTheme="minorBidi" w:cstheme="minorBidi"/>
                <w:sz w:val="22"/>
                <w:szCs w:val="22"/>
              </w:rPr>
            </w:pPr>
            <w:r w:rsidRPr="0084590A">
              <w:rPr>
                <w:rFonts w:asciiTheme="minorBidi" w:hAnsiTheme="minorBidi"/>
                <w:sz w:val="22"/>
              </w:rPr>
              <w:t>71 dossiers de candidature traités pour le cycle 2024 et 69 dossiers de candidature traités pour le cycle 2025</w:t>
            </w:r>
          </w:p>
          <w:p w14:paraId="6F62E156" w14:textId="47256321" w:rsidR="0084590A" w:rsidRPr="00D870F2" w:rsidRDefault="0084590A" w:rsidP="00416ADD">
            <w:pPr>
              <w:pStyle w:val="ListParagraph"/>
              <w:keepNext/>
              <w:keepLines/>
              <w:widowControl w:val="0"/>
              <w:numPr>
                <w:ilvl w:val="0"/>
                <w:numId w:val="23"/>
              </w:numPr>
              <w:spacing w:before="120" w:after="120"/>
              <w:ind w:left="323"/>
              <w:contextualSpacing w:val="0"/>
              <w:jc w:val="both"/>
              <w:rPr>
                <w:rFonts w:asciiTheme="minorBidi" w:hAnsiTheme="minorBidi" w:cstheme="minorBidi"/>
                <w:sz w:val="22"/>
                <w:szCs w:val="22"/>
              </w:rPr>
            </w:pPr>
            <w:r w:rsidRPr="0084590A">
              <w:rPr>
                <w:rFonts w:asciiTheme="minorBidi" w:hAnsiTheme="minorBidi"/>
                <w:sz w:val="22"/>
              </w:rPr>
              <w:t>142 dossiers de candidature (dont 120 dossiers</w:t>
            </w:r>
            <w:r w:rsidR="00792FE3">
              <w:rPr>
                <w:rFonts w:asciiTheme="minorBidi" w:hAnsiTheme="minorBidi"/>
                <w:sz w:val="22"/>
              </w:rPr>
              <w:t xml:space="preserve"> nouvellement soumis</w:t>
            </w:r>
            <w:r w:rsidRPr="0084590A">
              <w:rPr>
                <w:rFonts w:asciiTheme="minorBidi" w:hAnsiTheme="minorBidi"/>
                <w:sz w:val="22"/>
              </w:rPr>
              <w:t xml:space="preserve"> et 22 dossiers en attente </w:t>
            </w:r>
            <w:r w:rsidR="00792FE3">
              <w:rPr>
                <w:rFonts w:asciiTheme="minorBidi" w:hAnsiTheme="minorBidi"/>
                <w:sz w:val="22"/>
              </w:rPr>
              <w:t>de traitement pour la priorité</w:t>
            </w:r>
            <w:r w:rsidRPr="0084590A">
              <w:rPr>
                <w:rFonts w:asciiTheme="minorBidi" w:hAnsiTheme="minorBidi"/>
                <w:sz w:val="22"/>
              </w:rPr>
              <w:t xml:space="preserve"> « 0 ») enregistrés pour le cycle 2025</w:t>
            </w:r>
          </w:p>
          <w:p w14:paraId="16190C8B" w14:textId="699BBE28" w:rsidR="0084590A" w:rsidRPr="00D870F2" w:rsidRDefault="0084590A" w:rsidP="00416ADD">
            <w:pPr>
              <w:pStyle w:val="ListParagraph"/>
              <w:keepNext/>
              <w:keepLines/>
              <w:widowControl w:val="0"/>
              <w:numPr>
                <w:ilvl w:val="0"/>
                <w:numId w:val="23"/>
              </w:numPr>
              <w:spacing w:before="120" w:after="120"/>
              <w:ind w:left="323"/>
              <w:contextualSpacing w:val="0"/>
              <w:jc w:val="both"/>
              <w:rPr>
                <w:rFonts w:asciiTheme="minorBidi" w:hAnsiTheme="minorBidi" w:cstheme="minorBidi"/>
                <w:sz w:val="22"/>
                <w:szCs w:val="22"/>
              </w:rPr>
            </w:pPr>
            <w:r w:rsidRPr="0084590A">
              <w:rPr>
                <w:rFonts w:asciiTheme="minorBidi" w:hAnsiTheme="minorBidi"/>
                <w:sz w:val="22"/>
              </w:rPr>
              <w:t>21 demandes d</w:t>
            </w:r>
            <w:r w:rsidR="00A44FA1">
              <w:rPr>
                <w:rFonts w:asciiTheme="minorBidi" w:hAnsiTheme="minorBidi"/>
                <w:sz w:val="22"/>
              </w:rPr>
              <w:t>’</w:t>
            </w:r>
            <w:r w:rsidRPr="0084590A">
              <w:rPr>
                <w:rFonts w:asciiTheme="minorBidi" w:hAnsiTheme="minorBidi"/>
                <w:sz w:val="22"/>
              </w:rPr>
              <w:t>assistance internationale traitées et accordées par le Bureau, au bénéfice de 9 États parties d</w:t>
            </w:r>
            <w:r w:rsidR="00A44FA1">
              <w:rPr>
                <w:rFonts w:asciiTheme="minorBidi" w:hAnsiTheme="minorBidi"/>
                <w:sz w:val="22"/>
              </w:rPr>
              <w:t>’</w:t>
            </w:r>
            <w:r w:rsidRPr="0084590A">
              <w:rPr>
                <w:rFonts w:asciiTheme="minorBidi" w:hAnsiTheme="minorBidi"/>
                <w:sz w:val="22"/>
              </w:rPr>
              <w:t>Afrique (EG Va) et</w:t>
            </w:r>
            <w:r w:rsidR="00792FE3">
              <w:rPr>
                <w:rFonts w:asciiTheme="minorBidi" w:hAnsiTheme="minorBidi"/>
                <w:sz w:val="22"/>
              </w:rPr>
              <w:t xml:space="preserve"> de</w:t>
            </w:r>
            <w:r w:rsidRPr="0084590A">
              <w:rPr>
                <w:rFonts w:asciiTheme="minorBidi" w:hAnsiTheme="minorBidi"/>
                <w:sz w:val="22"/>
              </w:rPr>
              <w:t xml:space="preserve"> 7 </w:t>
            </w:r>
            <w:r>
              <w:rPr>
                <w:rFonts w:asciiTheme="minorBidi" w:hAnsiTheme="minorBidi"/>
                <w:sz w:val="22"/>
              </w:rPr>
              <w:t>P</w:t>
            </w:r>
            <w:r w:rsidR="00792FE3">
              <w:rPr>
                <w:rFonts w:asciiTheme="minorBidi" w:hAnsiTheme="minorBidi"/>
                <w:sz w:val="22"/>
              </w:rPr>
              <w:t>E</w:t>
            </w:r>
            <w:r>
              <w:rPr>
                <w:rFonts w:asciiTheme="minorBidi" w:hAnsiTheme="minorBidi"/>
                <w:sz w:val="22"/>
              </w:rPr>
              <w:t>ID</w:t>
            </w:r>
          </w:p>
          <w:p w14:paraId="36AFC1AD" w14:textId="3F18DEEC" w:rsidR="0084590A" w:rsidRPr="0084590A" w:rsidRDefault="0084590A" w:rsidP="0084590A">
            <w:pPr>
              <w:pStyle w:val="ListParagraph"/>
              <w:keepNext/>
              <w:keepLines/>
              <w:widowControl w:val="0"/>
              <w:numPr>
                <w:ilvl w:val="0"/>
                <w:numId w:val="23"/>
              </w:numPr>
              <w:spacing w:before="120" w:after="120"/>
              <w:ind w:left="323"/>
              <w:contextualSpacing w:val="0"/>
              <w:jc w:val="both"/>
              <w:rPr>
                <w:rFonts w:asciiTheme="minorBidi" w:hAnsiTheme="minorBidi" w:cstheme="minorBidi"/>
                <w:sz w:val="22"/>
                <w:szCs w:val="22"/>
              </w:rPr>
            </w:pPr>
            <w:r w:rsidRPr="0084590A">
              <w:rPr>
                <w:rFonts w:asciiTheme="minorBidi" w:hAnsiTheme="minorBidi"/>
                <w:sz w:val="22"/>
              </w:rPr>
              <w:t>26 rapports sur l</w:t>
            </w:r>
            <w:r w:rsidR="00A44FA1">
              <w:rPr>
                <w:rFonts w:asciiTheme="minorBidi" w:hAnsiTheme="minorBidi"/>
                <w:sz w:val="22"/>
              </w:rPr>
              <w:t>’</w:t>
            </w:r>
            <w:r w:rsidRPr="0084590A">
              <w:rPr>
                <w:rFonts w:asciiTheme="minorBidi" w:hAnsiTheme="minorBidi"/>
                <w:sz w:val="22"/>
              </w:rPr>
              <w:t>état des éléments inscrits sur la Liste de sauvegarde urgente analysés</w:t>
            </w:r>
          </w:p>
          <w:p w14:paraId="2ECE386C" w14:textId="6C2DF2C2" w:rsidR="0084590A" w:rsidRPr="0084590A" w:rsidRDefault="0084590A" w:rsidP="0084590A">
            <w:pPr>
              <w:pStyle w:val="ListParagraph"/>
              <w:keepNext/>
              <w:keepLines/>
              <w:widowControl w:val="0"/>
              <w:numPr>
                <w:ilvl w:val="0"/>
                <w:numId w:val="23"/>
              </w:numPr>
              <w:spacing w:before="120" w:after="120"/>
              <w:ind w:left="323"/>
              <w:contextualSpacing w:val="0"/>
              <w:jc w:val="both"/>
              <w:rPr>
                <w:rFonts w:asciiTheme="minorBidi" w:hAnsiTheme="minorBidi" w:cstheme="minorBidi"/>
                <w:sz w:val="22"/>
                <w:szCs w:val="22"/>
              </w:rPr>
            </w:pPr>
            <w:r w:rsidRPr="00416ADD">
              <w:rPr>
                <w:rFonts w:asciiTheme="minorBidi" w:hAnsiTheme="minorBidi"/>
                <w:sz w:val="22"/>
              </w:rPr>
              <w:t>18 rapports sur la mise en œuvre de la Convention et sur l</w:t>
            </w:r>
            <w:r w:rsidR="00A44FA1">
              <w:rPr>
                <w:rFonts w:asciiTheme="minorBidi" w:hAnsiTheme="minorBidi"/>
                <w:sz w:val="22"/>
              </w:rPr>
              <w:t>’</w:t>
            </w:r>
            <w:r w:rsidRPr="00416ADD">
              <w:rPr>
                <w:rFonts w:asciiTheme="minorBidi" w:hAnsiTheme="minorBidi"/>
                <w:sz w:val="22"/>
              </w:rPr>
              <w:t>état actuel des éléments inscrits sur la Liste représentative par les États parties des États arabes analysés</w:t>
            </w:r>
          </w:p>
          <w:p w14:paraId="2FF09B98" w14:textId="77F1DF38" w:rsidR="0084590A" w:rsidRPr="0084590A" w:rsidRDefault="0084590A" w:rsidP="0084590A">
            <w:pPr>
              <w:pStyle w:val="ListParagraph"/>
              <w:keepNext/>
              <w:keepLines/>
              <w:widowControl w:val="0"/>
              <w:numPr>
                <w:ilvl w:val="0"/>
                <w:numId w:val="23"/>
              </w:numPr>
              <w:spacing w:before="120" w:after="120"/>
              <w:ind w:left="323"/>
              <w:contextualSpacing w:val="0"/>
              <w:jc w:val="both"/>
              <w:rPr>
                <w:rFonts w:asciiTheme="minorBidi" w:hAnsiTheme="minorBidi" w:cstheme="minorBidi"/>
                <w:sz w:val="22"/>
                <w:szCs w:val="22"/>
              </w:rPr>
            </w:pPr>
            <w:r w:rsidRPr="00416ADD">
              <w:rPr>
                <w:rFonts w:asciiTheme="minorBidi" w:hAnsiTheme="minorBidi"/>
                <w:sz w:val="22"/>
              </w:rPr>
              <w:t>44 rapports sur la mise en œuvre de la Convention et sur l</w:t>
            </w:r>
            <w:r w:rsidR="00A44FA1">
              <w:rPr>
                <w:rFonts w:asciiTheme="minorBidi" w:hAnsiTheme="minorBidi"/>
                <w:sz w:val="22"/>
              </w:rPr>
              <w:t>’</w:t>
            </w:r>
            <w:r w:rsidRPr="00416ADD">
              <w:rPr>
                <w:rFonts w:asciiTheme="minorBidi" w:hAnsiTheme="minorBidi"/>
                <w:sz w:val="22"/>
              </w:rPr>
              <w:t>état actuel des éléments inscrits sur la Liste représentative par les États parties d</w:t>
            </w:r>
            <w:r w:rsidR="00A44FA1">
              <w:rPr>
                <w:rFonts w:asciiTheme="minorBidi" w:hAnsiTheme="minorBidi"/>
                <w:sz w:val="22"/>
              </w:rPr>
              <w:t>’</w:t>
            </w:r>
            <w:r w:rsidRPr="00416ADD">
              <w:rPr>
                <w:rFonts w:asciiTheme="minorBidi" w:hAnsiTheme="minorBidi"/>
                <w:sz w:val="22"/>
              </w:rPr>
              <w:t>Afrique analysés</w:t>
            </w:r>
          </w:p>
          <w:p w14:paraId="57B3A89A" w14:textId="5040B848" w:rsidR="0084590A" w:rsidRPr="0084590A" w:rsidRDefault="0084590A" w:rsidP="0084590A">
            <w:pPr>
              <w:pStyle w:val="ListParagraph"/>
              <w:keepNext/>
              <w:keepLines/>
              <w:widowControl w:val="0"/>
              <w:numPr>
                <w:ilvl w:val="0"/>
                <w:numId w:val="23"/>
              </w:numPr>
              <w:spacing w:before="120" w:after="120"/>
              <w:ind w:left="323"/>
              <w:contextualSpacing w:val="0"/>
              <w:jc w:val="both"/>
              <w:rPr>
                <w:rFonts w:asciiTheme="minorBidi" w:hAnsiTheme="minorBidi" w:cstheme="minorBidi"/>
                <w:sz w:val="22"/>
                <w:szCs w:val="22"/>
              </w:rPr>
            </w:pPr>
            <w:r w:rsidRPr="00416ADD">
              <w:rPr>
                <w:rFonts w:asciiTheme="minorBidi" w:hAnsiTheme="minorBidi"/>
                <w:sz w:val="22"/>
              </w:rPr>
              <w:t>38 rapports sur la mise en œuvre de la Convention et sur l</w:t>
            </w:r>
            <w:r w:rsidR="00A44FA1">
              <w:rPr>
                <w:rFonts w:asciiTheme="minorBidi" w:hAnsiTheme="minorBidi"/>
                <w:sz w:val="22"/>
              </w:rPr>
              <w:t>’</w:t>
            </w:r>
            <w:r w:rsidRPr="00416ADD">
              <w:rPr>
                <w:rFonts w:asciiTheme="minorBidi" w:hAnsiTheme="minorBidi"/>
                <w:sz w:val="22"/>
              </w:rPr>
              <w:t>état actuel des éléments inscrits sur la Liste représentative par les États parties en Asie et dans le Pacifique analysés</w:t>
            </w:r>
          </w:p>
          <w:p w14:paraId="451C7A6F" w14:textId="09275358" w:rsidR="00DE40D8" w:rsidRPr="00B828F1" w:rsidRDefault="0084590A" w:rsidP="00B828F1">
            <w:pPr>
              <w:pStyle w:val="ListParagraph"/>
              <w:keepNext/>
              <w:keepLines/>
              <w:widowControl w:val="0"/>
              <w:numPr>
                <w:ilvl w:val="0"/>
                <w:numId w:val="23"/>
              </w:numPr>
              <w:spacing w:before="120" w:after="120"/>
              <w:ind w:left="323"/>
              <w:contextualSpacing w:val="0"/>
              <w:jc w:val="both"/>
              <w:rPr>
                <w:rFonts w:cstheme="minorBidi"/>
                <w:szCs w:val="22"/>
              </w:rPr>
            </w:pPr>
            <w:r w:rsidRPr="000F38E5">
              <w:rPr>
                <w:rFonts w:asciiTheme="minorBidi" w:hAnsiTheme="minorBidi"/>
                <w:sz w:val="22"/>
              </w:rPr>
              <w:t>96 demandes d</w:t>
            </w:r>
            <w:r w:rsidR="00A44FA1">
              <w:rPr>
                <w:rFonts w:asciiTheme="minorBidi" w:hAnsiTheme="minorBidi"/>
                <w:sz w:val="22"/>
              </w:rPr>
              <w:t>’</w:t>
            </w:r>
            <w:r w:rsidRPr="000F38E5">
              <w:rPr>
                <w:rFonts w:asciiTheme="minorBidi" w:hAnsiTheme="minorBidi"/>
                <w:sz w:val="22"/>
              </w:rPr>
              <w:t>accréditation d</w:t>
            </w:r>
            <w:r w:rsidR="00A44FA1">
              <w:rPr>
                <w:rFonts w:asciiTheme="minorBidi" w:hAnsiTheme="minorBidi"/>
                <w:sz w:val="22"/>
              </w:rPr>
              <w:t>’</w:t>
            </w:r>
            <w:r w:rsidRPr="000F38E5">
              <w:rPr>
                <w:rFonts w:asciiTheme="minorBidi" w:hAnsiTheme="minorBidi"/>
                <w:sz w:val="22"/>
              </w:rPr>
              <w:t>ONG ont été traitées, ainsi que 89 rapports quadriennaux pour le renouvellement des ONG accréditées ; 60 profils d</w:t>
            </w:r>
            <w:r w:rsidR="00A44FA1">
              <w:rPr>
                <w:rFonts w:asciiTheme="minorBidi" w:hAnsiTheme="minorBidi"/>
                <w:sz w:val="22"/>
              </w:rPr>
              <w:t>’</w:t>
            </w:r>
            <w:r w:rsidRPr="000F38E5">
              <w:rPr>
                <w:rFonts w:asciiTheme="minorBidi" w:hAnsiTheme="minorBidi"/>
                <w:sz w:val="22"/>
              </w:rPr>
              <w:t xml:space="preserve">ONG ont été mis à disposition sur le site </w:t>
            </w:r>
            <w:r w:rsidR="00792FE3">
              <w:rPr>
                <w:rFonts w:asciiTheme="minorBidi" w:hAnsiTheme="minorBidi"/>
                <w:sz w:val="22"/>
              </w:rPr>
              <w:t>Internet</w:t>
            </w:r>
            <w:r w:rsidR="00792FE3" w:rsidRPr="000F38E5">
              <w:rPr>
                <w:rFonts w:asciiTheme="minorBidi" w:hAnsiTheme="minorBidi"/>
                <w:sz w:val="22"/>
              </w:rPr>
              <w:t xml:space="preserve"> </w:t>
            </w:r>
            <w:r w:rsidRPr="000F38E5">
              <w:rPr>
                <w:rFonts w:asciiTheme="minorBidi" w:hAnsiTheme="minorBidi"/>
                <w:sz w:val="22"/>
              </w:rPr>
              <w:t>de la Convention grâce à l</w:t>
            </w:r>
            <w:r w:rsidR="00A44FA1">
              <w:rPr>
                <w:rFonts w:asciiTheme="minorBidi" w:hAnsiTheme="minorBidi"/>
                <w:sz w:val="22"/>
              </w:rPr>
              <w:t>’</w:t>
            </w:r>
            <w:r w:rsidRPr="000F38E5">
              <w:rPr>
                <w:rFonts w:asciiTheme="minorBidi" w:hAnsiTheme="minorBidi"/>
                <w:sz w:val="22"/>
              </w:rPr>
              <w:t>exercice de cartographie</w:t>
            </w:r>
          </w:p>
        </w:tc>
      </w:tr>
    </w:tbl>
    <w:p w14:paraId="1B08DF9D" w14:textId="11E15513" w:rsidR="00190205" w:rsidRPr="00725581" w:rsidRDefault="00190205" w:rsidP="00DE40D8">
      <w:pPr>
        <w:pStyle w:val="COMParaDecision"/>
        <w:numPr>
          <w:ilvl w:val="0"/>
          <w:numId w:val="0"/>
        </w:numPr>
      </w:pPr>
    </w:p>
    <w:sectPr w:rsidR="00190205" w:rsidRPr="00725581" w:rsidSect="00DE40D8">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 w:id="1">
    <w:p w14:paraId="422F7797" w14:textId="44B509D8" w:rsidR="00CC625A" w:rsidRPr="00961A6C" w:rsidRDefault="00CC625A" w:rsidP="0004795E">
      <w:pPr>
        <w:pStyle w:val="FootnoteText"/>
        <w:jc w:val="both"/>
      </w:pPr>
      <w:r>
        <w:rPr>
          <w:rStyle w:val="FootnoteReference"/>
          <w:rFonts w:ascii="Arial" w:hAnsi="Arial" w:cs="Arial"/>
        </w:rPr>
        <w:footnoteRef/>
      </w:r>
      <w:r>
        <w:t xml:space="preserve"> </w:t>
      </w:r>
      <w:r>
        <w:rPr>
          <w:rFonts w:ascii="Arial" w:hAnsi="Arial"/>
          <w:sz w:val="18"/>
        </w:rPr>
        <w:t>Comores, Guinée équatoriale, Érythrée, Eswatini, Gabon, Guinée-Bissau, Lesotho, Sao Tomé-et-Principe et Soudan</w:t>
      </w:r>
      <w:r w:rsidR="00C96E5B">
        <w:rPr>
          <w:rFonts w:ascii="Arial" w:hAnsi="Arial"/>
          <w:sz w:val="18"/>
        </w:rPr>
        <w:t xml:space="preserve"> du Sud</w:t>
      </w:r>
      <w:r>
        <w:rPr>
          <w:rFonts w:ascii="Arial" w:hAnsi="Arial"/>
          <w:sz w:val="18"/>
        </w:rPr>
        <w:t>.</w:t>
      </w:r>
    </w:p>
  </w:footnote>
  <w:footnote w:id="2">
    <w:p w14:paraId="60A8B620" w14:textId="4FBE0A24" w:rsidR="00A24539" w:rsidRPr="00961A6C" w:rsidRDefault="00A24539" w:rsidP="0004795E">
      <w:pPr>
        <w:pStyle w:val="FootnoteText"/>
        <w:jc w:val="both"/>
      </w:pPr>
      <w:r>
        <w:rPr>
          <w:rStyle w:val="FootnoteReference"/>
          <w:rFonts w:asciiTheme="minorHAnsi" w:hAnsiTheme="minorHAnsi" w:cstheme="minorHAnsi"/>
        </w:rPr>
        <w:footnoteRef/>
      </w:r>
      <w:r>
        <w:t xml:space="preserve"> </w:t>
      </w:r>
      <w:r>
        <w:rPr>
          <w:rFonts w:ascii="Arial" w:hAnsi="Arial"/>
          <w:sz w:val="18"/>
        </w:rPr>
        <w:t>Antigua-et-Barbuda, Bahamas, Barbade, Belize, Cuba, Dominique, République dominicaine, Grenade, Guyana, Haïti, Jamaïque, Saint-Kitts-et-Nevis, Sainte-Lucie, Saint-Vincent-et-les-Grenadines, Suriname, Trinidad-et-Tobago, ainsi qu'Aruba, Curaçao, Saint-Martin (Royaume des Pays-Bas), les îles Vierges britanniques, Montserrat, Anguilla et les îles Caïmans (Royaume-Uni de Grande-Bretagne et d'Irlande du Nord</w:t>
      </w:r>
      <w:r>
        <w:rPr>
          <w:rFonts w:ascii="Arial" w:hAnsi="Arial"/>
        </w:rPr>
        <w:t>).</w:t>
      </w:r>
    </w:p>
  </w:footnote>
  <w:footnote w:id="3">
    <w:p w14:paraId="3CFAA4C6" w14:textId="038A9B43" w:rsidR="00BC108A" w:rsidRPr="00416ADD" w:rsidRDefault="00BC108A" w:rsidP="00BC108A">
      <w:pPr>
        <w:pStyle w:val="FootnoteText"/>
        <w:rPr>
          <w:rFonts w:ascii="Arial" w:hAnsi="Arial" w:cs="Arial"/>
          <w:sz w:val="18"/>
          <w:szCs w:val="18"/>
        </w:rPr>
      </w:pPr>
      <w:r w:rsidRPr="009F2B70">
        <w:rPr>
          <w:rStyle w:val="FootnoteReference"/>
          <w:rFonts w:ascii="Arial" w:hAnsi="Arial" w:cs="Arial"/>
          <w:sz w:val="18"/>
          <w:szCs w:val="18"/>
        </w:rPr>
        <w:footnoteRef/>
      </w:r>
      <w:r w:rsidRPr="00416ADD">
        <w:rPr>
          <w:rFonts w:ascii="Arial" w:hAnsi="Arial" w:cs="Arial"/>
          <w:sz w:val="18"/>
          <w:szCs w:val="18"/>
        </w:rPr>
        <w:t xml:space="preserve"> </w:t>
      </w:r>
      <w:r w:rsidRPr="00BC108A">
        <w:rPr>
          <w:rFonts w:ascii="Arial" w:hAnsi="Arial" w:cs="Arial"/>
          <w:sz w:val="18"/>
          <w:szCs w:val="18"/>
        </w:rPr>
        <w:t xml:space="preserve">Argentine, Bolivie (État plurinational de), Cameroun, Côte d'Ivoire, Inde, Indonésie, Koweït, République démocratique populaire lao, Mongolie, Maroc, Pérou, </w:t>
      </w:r>
      <w:r w:rsidR="00C96E5B">
        <w:rPr>
          <w:rFonts w:ascii="Arial" w:hAnsi="Arial" w:cs="Arial"/>
          <w:sz w:val="18"/>
          <w:szCs w:val="18"/>
        </w:rPr>
        <w:t xml:space="preserve">République de </w:t>
      </w:r>
      <w:r w:rsidR="00C96E5B" w:rsidRPr="00BC108A">
        <w:rPr>
          <w:rFonts w:ascii="Arial" w:hAnsi="Arial" w:cs="Arial"/>
          <w:sz w:val="18"/>
          <w:szCs w:val="18"/>
        </w:rPr>
        <w:t>Mold</w:t>
      </w:r>
      <w:r w:rsidR="0099167C">
        <w:rPr>
          <w:rFonts w:ascii="Arial" w:hAnsi="Arial" w:cs="Arial"/>
          <w:sz w:val="18"/>
          <w:szCs w:val="18"/>
        </w:rPr>
        <w:t>ova</w:t>
      </w:r>
      <w:r w:rsidR="00C96E5B">
        <w:rPr>
          <w:rFonts w:ascii="Arial" w:hAnsi="Arial" w:cs="Arial"/>
          <w:sz w:val="18"/>
          <w:szCs w:val="18"/>
        </w:rPr>
        <w:t xml:space="preserve">, </w:t>
      </w:r>
      <w:r w:rsidRPr="00BC108A">
        <w:rPr>
          <w:rFonts w:ascii="Arial" w:hAnsi="Arial" w:cs="Arial"/>
          <w:sz w:val="18"/>
          <w:szCs w:val="18"/>
        </w:rPr>
        <w:t>Sénégal, Tunisie, Zambie, Zimbabwe.</w:t>
      </w:r>
    </w:p>
  </w:footnote>
  <w:footnote w:id="4">
    <w:p w14:paraId="08B83303" w14:textId="7DB378AF" w:rsidR="007638FF" w:rsidRPr="002550B1" w:rsidRDefault="007638FF" w:rsidP="00B828F1">
      <w:pPr>
        <w:pStyle w:val="FootnoteText"/>
        <w:ind w:left="142" w:hanging="142"/>
        <w:jc w:val="both"/>
        <w:rPr>
          <w:rFonts w:asciiTheme="minorBidi" w:hAnsiTheme="minorBidi"/>
          <w:lang w:val="es-ES"/>
        </w:rPr>
      </w:pPr>
      <w:r w:rsidRPr="002550B1">
        <w:rPr>
          <w:rStyle w:val="FootnoteReference"/>
          <w:rFonts w:asciiTheme="minorBidi" w:hAnsiTheme="minorBidi"/>
        </w:rPr>
        <w:footnoteRef/>
      </w:r>
      <w:r w:rsidRPr="002550B1">
        <w:rPr>
          <w:rFonts w:asciiTheme="minorBidi" w:hAnsiTheme="minorBidi"/>
          <w:lang w:val="es-ES"/>
        </w:rPr>
        <w:t xml:space="preserve"> </w:t>
      </w:r>
      <w:r w:rsidRPr="007638FF">
        <w:rPr>
          <w:rFonts w:asciiTheme="minorBidi" w:hAnsiTheme="minorBidi"/>
          <w:lang w:val="es-ES"/>
        </w:rPr>
        <w:t>Belize, Costa Rica, Cuba, République dominicaine, El Salvador, Guatemala, Honduras, Mexique et Panama.</w:t>
      </w:r>
    </w:p>
  </w:footnote>
  <w:footnote w:id="5">
    <w:p w14:paraId="2D479504" w14:textId="5A1A7F4B" w:rsidR="009303A6" w:rsidRPr="00B828F1" w:rsidRDefault="009303A6" w:rsidP="009303A6">
      <w:pPr>
        <w:pStyle w:val="FootnoteText"/>
        <w:rPr>
          <w:lang w:val="es-CO"/>
        </w:rPr>
      </w:pPr>
      <w:r w:rsidRPr="00702681">
        <w:rPr>
          <w:rStyle w:val="FootnoteReference"/>
          <w:rFonts w:ascii="Arial" w:hAnsi="Arial" w:cs="Arial"/>
          <w:sz w:val="18"/>
          <w:szCs w:val="18"/>
        </w:rPr>
        <w:footnoteRef/>
      </w:r>
      <w:r w:rsidRPr="00B828F1">
        <w:rPr>
          <w:rFonts w:ascii="Arial" w:hAnsi="Arial" w:cs="Arial"/>
          <w:sz w:val="18"/>
          <w:szCs w:val="18"/>
          <w:lang w:val="es-CO"/>
        </w:rPr>
        <w:t xml:space="preserve"> Belize, Bahamas, Fidji, Tonga et Vanuatu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67DE4138" w:rsidR="00D95C4C" w:rsidRPr="00C23A97" w:rsidRDefault="00C5776D" w:rsidP="00C5776D">
    <w:pPr>
      <w:pStyle w:val="Header"/>
      <w:rPr>
        <w:rFonts w:ascii="Arial" w:hAnsi="Arial" w:cs="Arial"/>
      </w:rPr>
    </w:pPr>
    <w:r>
      <w:rPr>
        <w:rFonts w:ascii="Arial" w:hAnsi="Arial"/>
        <w:sz w:val="20"/>
      </w:rPr>
      <w:t xml:space="preserve">LHE/25/20.COM/5 – page </w:t>
    </w:r>
    <w:r w:rsidR="00D95C4C" w:rsidRPr="00C23A97">
      <w:rPr>
        <w:rStyle w:val="PageNumber"/>
        <w:rFonts w:ascii="Arial" w:hAnsi="Arial" w:cs="Arial"/>
        <w:sz w:val="20"/>
      </w:rPr>
      <w:fldChar w:fldCharType="begin"/>
    </w:r>
    <w:r w:rsidR="00D95C4C" w:rsidRPr="00C23A97">
      <w:rPr>
        <w:rStyle w:val="PageNumber"/>
        <w:rFonts w:ascii="Arial" w:hAnsi="Arial" w:cs="Arial"/>
        <w:sz w:val="20"/>
      </w:rPr>
      <w:instrText xml:space="preserve"> PAGE </w:instrText>
    </w:r>
    <w:r w:rsidR="00D95C4C" w:rsidRPr="00C23A97">
      <w:rPr>
        <w:rStyle w:val="PageNumber"/>
        <w:rFonts w:ascii="Arial" w:hAnsi="Arial" w:cs="Arial"/>
        <w:sz w:val="20"/>
      </w:rPr>
      <w:fldChar w:fldCharType="separate"/>
    </w:r>
    <w:r w:rsidR="006E75EB">
      <w:rPr>
        <w:rStyle w:val="PageNumber"/>
        <w:rFonts w:ascii="Arial" w:hAnsi="Arial" w:cs="Arial"/>
        <w:sz w:val="20"/>
      </w:rPr>
      <w:t>2</w:t>
    </w:r>
    <w:r w:rsidR="00D95C4C" w:rsidRPr="00C23A97">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6994C4D9" w:rsidR="00D95C4C" w:rsidRPr="0063300C" w:rsidRDefault="00C5776D" w:rsidP="00C5776D">
    <w:pPr>
      <w:pStyle w:val="Header"/>
      <w:jc w:val="right"/>
      <w:rPr>
        <w:rFonts w:ascii="Arial" w:hAnsi="Arial" w:cs="Arial"/>
      </w:rPr>
    </w:pPr>
    <w:r>
      <w:rPr>
        <w:rFonts w:ascii="Arial" w:hAnsi="Arial"/>
        <w:sz w:val="20"/>
      </w:rPr>
      <w:t xml:space="preserve">LHE/25/20.COM/5 – page </w:t>
    </w:r>
    <w:r w:rsidR="004A34A0" w:rsidRPr="0063300C">
      <w:rPr>
        <w:rStyle w:val="PageNumber"/>
        <w:rFonts w:ascii="Arial" w:hAnsi="Arial" w:cs="Arial"/>
        <w:sz w:val="20"/>
      </w:rPr>
      <w:fldChar w:fldCharType="begin"/>
    </w:r>
    <w:r w:rsidR="004A34A0" w:rsidRPr="0063300C">
      <w:rPr>
        <w:rStyle w:val="PageNumber"/>
        <w:rFonts w:ascii="Arial" w:hAnsi="Arial" w:cs="Arial"/>
        <w:sz w:val="20"/>
      </w:rPr>
      <w:instrText xml:space="preserve"> PAGE </w:instrText>
    </w:r>
    <w:r w:rsidR="004A34A0" w:rsidRPr="0063300C">
      <w:rPr>
        <w:rStyle w:val="PageNumber"/>
        <w:rFonts w:ascii="Arial" w:hAnsi="Arial" w:cs="Arial"/>
        <w:sz w:val="20"/>
      </w:rPr>
      <w:fldChar w:fldCharType="separate"/>
    </w:r>
    <w:r w:rsidR="00190205">
      <w:rPr>
        <w:rStyle w:val="PageNumber"/>
        <w:rFonts w:ascii="Arial" w:hAnsi="Arial" w:cs="Arial"/>
        <w:sz w:val="20"/>
      </w:rPr>
      <w:t>3</w:t>
    </w:r>
    <w:r w:rsidR="004A34A0" w:rsidRPr="0063300C">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5F3CA892" w:rsidR="00D95C4C" w:rsidRPr="00E95AE2" w:rsidRDefault="00264094">
    <w:pPr>
      <w:pStyle w:val="Header"/>
      <w:rPr>
        <w:sz w:val="22"/>
        <w:szCs w:val="22"/>
      </w:rPr>
    </w:pPr>
    <w:r>
      <w:rPr>
        <w:rFonts w:ascii="Arial" w:hAnsi="Arial"/>
        <w:b/>
        <w:noProof/>
        <w:sz w:val="44"/>
      </w:rPr>
      <w:drawing>
        <wp:anchor distT="0" distB="0" distL="114300" distR="114300" simplePos="0" relativeHeight="251659264" behindDoc="0" locked="0" layoutInCell="1" allowOverlap="1" wp14:anchorId="351BC008" wp14:editId="7E72917A">
          <wp:simplePos x="0" y="0"/>
          <wp:positionH relativeFrom="margin">
            <wp:posOffset>0</wp:posOffset>
          </wp:positionH>
          <wp:positionV relativeFrom="paragraph">
            <wp:posOffset>15240</wp:posOffset>
          </wp:positionV>
          <wp:extent cx="1710000" cy="1436138"/>
          <wp:effectExtent l="0" t="0" r="5080" b="0"/>
          <wp:wrapSquare wrapText="bothSides"/>
          <wp:docPr id="1" name="Imag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8A09B" w14:textId="77777777" w:rsidR="00264094" w:rsidRPr="00725581" w:rsidRDefault="00264094" w:rsidP="00264094">
    <w:pPr>
      <w:pStyle w:val="Header"/>
      <w:spacing w:after="520"/>
      <w:jc w:val="right"/>
      <w:rPr>
        <w:rFonts w:ascii="Arial" w:hAnsi="Arial" w:cs="Arial"/>
        <w:b/>
        <w:sz w:val="44"/>
        <w:szCs w:val="44"/>
        <w:lang w:val="pt-PT"/>
      </w:rPr>
    </w:pPr>
    <w:r w:rsidRPr="00725581">
      <w:rPr>
        <w:rFonts w:ascii="Arial" w:hAnsi="Arial"/>
        <w:b/>
        <w:sz w:val="44"/>
        <w:lang w:val="pt-PT"/>
      </w:rPr>
      <w:t>20 COM</w:t>
    </w:r>
  </w:p>
  <w:p w14:paraId="3C8627DC" w14:textId="08794328" w:rsidR="00264094" w:rsidRPr="00725581" w:rsidRDefault="00264094" w:rsidP="00264094">
    <w:pPr>
      <w:jc w:val="right"/>
      <w:rPr>
        <w:rFonts w:ascii="Arial" w:hAnsi="Arial" w:cs="Arial"/>
        <w:b/>
        <w:sz w:val="22"/>
        <w:szCs w:val="22"/>
        <w:lang w:val="pt-PT"/>
      </w:rPr>
    </w:pPr>
    <w:r w:rsidRPr="00725581">
      <w:rPr>
        <w:rFonts w:ascii="Arial" w:hAnsi="Arial"/>
        <w:b/>
        <w:sz w:val="22"/>
        <w:lang w:val="pt-PT"/>
      </w:rPr>
      <w:t>LHE/25/20.COM/</w:t>
    </w:r>
    <w:r w:rsidR="006C7D7C">
      <w:rPr>
        <w:rFonts w:ascii="Arial" w:hAnsi="Arial"/>
        <w:b/>
        <w:sz w:val="22"/>
        <w:lang w:val="pt-PT"/>
      </w:rPr>
      <w:t>5</w:t>
    </w:r>
  </w:p>
  <w:p w14:paraId="01B3FCB1" w14:textId="2F11FE4B" w:rsidR="00264094" w:rsidRPr="00725581" w:rsidRDefault="00264094" w:rsidP="00264094">
    <w:pPr>
      <w:jc w:val="right"/>
      <w:rPr>
        <w:rFonts w:ascii="Arial" w:eastAsiaTheme="minorEastAsia" w:hAnsi="Arial" w:cs="Arial"/>
        <w:b/>
        <w:sz w:val="22"/>
        <w:szCs w:val="22"/>
        <w:lang w:val="pt-PT"/>
      </w:rPr>
    </w:pPr>
    <w:r w:rsidRPr="00725581">
      <w:rPr>
        <w:rFonts w:ascii="Arial" w:hAnsi="Arial"/>
        <w:b/>
        <w:sz w:val="22"/>
        <w:lang w:val="pt-PT"/>
      </w:rPr>
      <w:t xml:space="preserve">Paris, le </w:t>
    </w:r>
    <w:r w:rsidR="006C7D7C">
      <w:rPr>
        <w:rFonts w:ascii="Arial" w:hAnsi="Arial"/>
        <w:b/>
        <w:sz w:val="22"/>
        <w:lang w:val="pt-PT"/>
      </w:rPr>
      <w:t>10 Novembre</w:t>
    </w:r>
    <w:r w:rsidRPr="00725581">
      <w:rPr>
        <w:rFonts w:ascii="Arial" w:hAnsi="Arial"/>
        <w:b/>
        <w:sz w:val="22"/>
        <w:lang w:val="pt-PT"/>
      </w:rPr>
      <w:t xml:space="preserve"> 2025</w:t>
    </w:r>
  </w:p>
  <w:p w14:paraId="255B57FF" w14:textId="0AC4B7EC" w:rsidR="00D95C4C" w:rsidRPr="00725581" w:rsidRDefault="00264094" w:rsidP="00264094">
    <w:pPr>
      <w:spacing w:after="240"/>
      <w:jc w:val="right"/>
      <w:rPr>
        <w:rFonts w:ascii="Arial" w:hAnsi="Arial" w:cs="Arial"/>
        <w:b/>
        <w:sz w:val="22"/>
        <w:szCs w:val="22"/>
      </w:rPr>
    </w:pPr>
    <w:r w:rsidRPr="00725581">
      <w:rPr>
        <w:rFonts w:ascii="Arial" w:hAnsi="Arial"/>
        <w:b/>
        <w:sz w:val="22"/>
      </w:rPr>
      <w:t>Original : anglais</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7A8"/>
    <w:multiLevelType w:val="hybridMultilevel"/>
    <w:tmpl w:val="FF62F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35B0026"/>
    <w:multiLevelType w:val="hybridMultilevel"/>
    <w:tmpl w:val="D21E4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6C5391B"/>
    <w:multiLevelType w:val="hybridMultilevel"/>
    <w:tmpl w:val="D9F8A3A2"/>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296574710">
    <w:abstractNumId w:val="13"/>
  </w:num>
  <w:num w:numId="2" w16cid:durableId="1316571383">
    <w:abstractNumId w:val="7"/>
  </w:num>
  <w:num w:numId="3" w16cid:durableId="1565026765">
    <w:abstractNumId w:val="3"/>
  </w:num>
  <w:num w:numId="4" w16cid:durableId="986864827">
    <w:abstractNumId w:val="16"/>
  </w:num>
  <w:num w:numId="5" w16cid:durableId="824470997">
    <w:abstractNumId w:val="14"/>
  </w:num>
  <w:num w:numId="6" w16cid:durableId="2119716772">
    <w:abstractNumId w:val="1"/>
  </w:num>
  <w:num w:numId="7" w16cid:durableId="878587971">
    <w:abstractNumId w:val="4"/>
  </w:num>
  <w:num w:numId="8" w16cid:durableId="454829359">
    <w:abstractNumId w:val="11"/>
  </w:num>
  <w:num w:numId="9" w16cid:durableId="1383089948">
    <w:abstractNumId w:val="6"/>
  </w:num>
  <w:num w:numId="10" w16cid:durableId="1272324320">
    <w:abstractNumId w:val="8"/>
  </w:num>
  <w:num w:numId="11" w16cid:durableId="1359548240">
    <w:abstractNumId w:val="10"/>
  </w:num>
  <w:num w:numId="12" w16cid:durableId="193202981">
    <w:abstractNumId w:val="9"/>
  </w:num>
  <w:num w:numId="13" w16cid:durableId="1505632517">
    <w:abstractNumId w:val="17"/>
  </w:num>
  <w:num w:numId="14" w16cid:durableId="1507788171">
    <w:abstractNumId w:val="5"/>
  </w:num>
  <w:num w:numId="15" w16cid:durableId="45186619">
    <w:abstractNumId w:val="6"/>
  </w:num>
  <w:num w:numId="16" w16cid:durableId="287708158">
    <w:abstractNumId w:val="6"/>
  </w:num>
  <w:num w:numId="17" w16cid:durableId="1055930536">
    <w:abstractNumId w:val="6"/>
  </w:num>
  <w:num w:numId="18" w16cid:durableId="73557355">
    <w:abstractNumId w:val="6"/>
  </w:num>
  <w:num w:numId="19" w16cid:durableId="849181615">
    <w:abstractNumId w:val="6"/>
  </w:num>
  <w:num w:numId="20" w16cid:durableId="1566798787">
    <w:abstractNumId w:val="6"/>
  </w:num>
  <w:num w:numId="21" w16cid:durableId="1830831232">
    <w:abstractNumId w:val="2"/>
  </w:num>
  <w:num w:numId="22" w16cid:durableId="1293243272">
    <w:abstractNumId w:val="15"/>
  </w:num>
  <w:num w:numId="23" w16cid:durableId="2077506205">
    <w:abstractNumId w:val="12"/>
  </w:num>
  <w:num w:numId="24" w16cid:durableId="512112437">
    <w:abstractNumId w:val="6"/>
  </w:num>
  <w:num w:numId="25" w16cid:durableId="1603344967">
    <w:abstractNumId w:val="6"/>
  </w:num>
  <w:num w:numId="26" w16cid:durableId="1747259744">
    <w:abstractNumId w:val="6"/>
  </w:num>
  <w:num w:numId="27" w16cid:durableId="1874415111">
    <w:abstractNumId w:val="6"/>
  </w:num>
  <w:num w:numId="28" w16cid:durableId="686954814">
    <w:abstractNumId w:val="0"/>
  </w:num>
  <w:num w:numId="29" w16cid:durableId="1362436112">
    <w:abstractNumId w:val="6"/>
  </w:num>
  <w:num w:numId="30" w16cid:durableId="652762400">
    <w:abstractNumId w:val="6"/>
  </w:num>
  <w:num w:numId="31" w16cid:durableId="1734691926">
    <w:abstractNumId w:val="6"/>
  </w:num>
  <w:num w:numId="32" w16cid:durableId="1877810212">
    <w:abstractNumId w:val="6"/>
  </w:num>
  <w:num w:numId="33" w16cid:durableId="515966397">
    <w:abstractNumId w:val="6"/>
  </w:num>
  <w:num w:numId="34" w16cid:durableId="1271399828">
    <w:abstractNumId w:val="6"/>
  </w:num>
  <w:num w:numId="35" w16cid:durableId="1978804360">
    <w:abstractNumId w:val="6"/>
  </w:num>
  <w:num w:numId="36" w16cid:durableId="1438787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74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10 COM_WORKING DOCUMENT_EN"/>
  </w:docVars>
  <w:rsids>
    <w:rsidRoot w:val="00CB0542"/>
    <w:rsid w:val="00001892"/>
    <w:rsid w:val="00001E56"/>
    <w:rsid w:val="000048ED"/>
    <w:rsid w:val="0001067C"/>
    <w:rsid w:val="00010F5D"/>
    <w:rsid w:val="00014915"/>
    <w:rsid w:val="000150F5"/>
    <w:rsid w:val="0001639A"/>
    <w:rsid w:val="00020E87"/>
    <w:rsid w:val="000265EA"/>
    <w:rsid w:val="00026A0A"/>
    <w:rsid w:val="00032AD4"/>
    <w:rsid w:val="00037709"/>
    <w:rsid w:val="00040BD6"/>
    <w:rsid w:val="000414F1"/>
    <w:rsid w:val="00041A66"/>
    <w:rsid w:val="00042D88"/>
    <w:rsid w:val="000474A6"/>
    <w:rsid w:val="0004795E"/>
    <w:rsid w:val="000509F7"/>
    <w:rsid w:val="0005176E"/>
    <w:rsid w:val="00054974"/>
    <w:rsid w:val="0006103B"/>
    <w:rsid w:val="000648D7"/>
    <w:rsid w:val="00065E70"/>
    <w:rsid w:val="000721EF"/>
    <w:rsid w:val="000765F7"/>
    <w:rsid w:val="0007725F"/>
    <w:rsid w:val="00077AB7"/>
    <w:rsid w:val="00081CD8"/>
    <w:rsid w:val="00087598"/>
    <w:rsid w:val="0009349D"/>
    <w:rsid w:val="000A05DB"/>
    <w:rsid w:val="000A1F12"/>
    <w:rsid w:val="000A5859"/>
    <w:rsid w:val="000A7F0E"/>
    <w:rsid w:val="000B1AA6"/>
    <w:rsid w:val="000B1ACC"/>
    <w:rsid w:val="000B1C8F"/>
    <w:rsid w:val="000B445B"/>
    <w:rsid w:val="000C0D61"/>
    <w:rsid w:val="000C3243"/>
    <w:rsid w:val="000C3904"/>
    <w:rsid w:val="000C617B"/>
    <w:rsid w:val="000D06C2"/>
    <w:rsid w:val="000D087E"/>
    <w:rsid w:val="000D64F7"/>
    <w:rsid w:val="000D680A"/>
    <w:rsid w:val="000E426B"/>
    <w:rsid w:val="000F3A3F"/>
    <w:rsid w:val="000F4FE5"/>
    <w:rsid w:val="001003F7"/>
    <w:rsid w:val="00102557"/>
    <w:rsid w:val="00115558"/>
    <w:rsid w:val="00127AAB"/>
    <w:rsid w:val="00134719"/>
    <w:rsid w:val="0014584B"/>
    <w:rsid w:val="00147A38"/>
    <w:rsid w:val="0016166A"/>
    <w:rsid w:val="00164D56"/>
    <w:rsid w:val="00165417"/>
    <w:rsid w:val="00167B10"/>
    <w:rsid w:val="0017035A"/>
    <w:rsid w:val="0017402F"/>
    <w:rsid w:val="00180A0D"/>
    <w:rsid w:val="00180FEC"/>
    <w:rsid w:val="00186F92"/>
    <w:rsid w:val="00190205"/>
    <w:rsid w:val="001965D2"/>
    <w:rsid w:val="001969FC"/>
    <w:rsid w:val="00196C1B"/>
    <w:rsid w:val="001A5F58"/>
    <w:rsid w:val="001B0F73"/>
    <w:rsid w:val="001B40F2"/>
    <w:rsid w:val="001C00AC"/>
    <w:rsid w:val="001C0DA6"/>
    <w:rsid w:val="001C1AE1"/>
    <w:rsid w:val="001C2DB7"/>
    <w:rsid w:val="001D14FE"/>
    <w:rsid w:val="001D2F4D"/>
    <w:rsid w:val="001D5C04"/>
    <w:rsid w:val="001D7D08"/>
    <w:rsid w:val="001E5691"/>
    <w:rsid w:val="001F26CF"/>
    <w:rsid w:val="001F4069"/>
    <w:rsid w:val="001F5AE7"/>
    <w:rsid w:val="001F5CD2"/>
    <w:rsid w:val="00200377"/>
    <w:rsid w:val="00206CF2"/>
    <w:rsid w:val="00212D8F"/>
    <w:rsid w:val="00222A2D"/>
    <w:rsid w:val="00222EA5"/>
    <w:rsid w:val="00223029"/>
    <w:rsid w:val="00223BD4"/>
    <w:rsid w:val="00234745"/>
    <w:rsid w:val="002351A6"/>
    <w:rsid w:val="00237CAB"/>
    <w:rsid w:val="002400E4"/>
    <w:rsid w:val="002407AF"/>
    <w:rsid w:val="002421F1"/>
    <w:rsid w:val="00245501"/>
    <w:rsid w:val="002519FC"/>
    <w:rsid w:val="00254B26"/>
    <w:rsid w:val="0026221A"/>
    <w:rsid w:val="00264094"/>
    <w:rsid w:val="00266322"/>
    <w:rsid w:val="00266361"/>
    <w:rsid w:val="0027027D"/>
    <w:rsid w:val="002708D6"/>
    <w:rsid w:val="00270E34"/>
    <w:rsid w:val="00271114"/>
    <w:rsid w:val="0027466B"/>
    <w:rsid w:val="002814F6"/>
    <w:rsid w:val="0028179B"/>
    <w:rsid w:val="002838A5"/>
    <w:rsid w:val="0028572B"/>
    <w:rsid w:val="00285BB4"/>
    <w:rsid w:val="00286406"/>
    <w:rsid w:val="002872DB"/>
    <w:rsid w:val="00292826"/>
    <w:rsid w:val="00296C09"/>
    <w:rsid w:val="002A7673"/>
    <w:rsid w:val="002B49CA"/>
    <w:rsid w:val="002C09E3"/>
    <w:rsid w:val="002C0AD6"/>
    <w:rsid w:val="002C2425"/>
    <w:rsid w:val="002C6A2C"/>
    <w:rsid w:val="002D1244"/>
    <w:rsid w:val="002D31E6"/>
    <w:rsid w:val="002F0844"/>
    <w:rsid w:val="002F1F0F"/>
    <w:rsid w:val="002F4812"/>
    <w:rsid w:val="002F54D0"/>
    <w:rsid w:val="002F55D8"/>
    <w:rsid w:val="002F67F4"/>
    <w:rsid w:val="0030677E"/>
    <w:rsid w:val="00314231"/>
    <w:rsid w:val="003201DB"/>
    <w:rsid w:val="00326678"/>
    <w:rsid w:val="00326AD0"/>
    <w:rsid w:val="00327CAA"/>
    <w:rsid w:val="00330298"/>
    <w:rsid w:val="00337CEB"/>
    <w:rsid w:val="00340F34"/>
    <w:rsid w:val="00344B58"/>
    <w:rsid w:val="0034539A"/>
    <w:rsid w:val="0034566C"/>
    <w:rsid w:val="00345CB4"/>
    <w:rsid w:val="00353ECB"/>
    <w:rsid w:val="00356C42"/>
    <w:rsid w:val="003577A6"/>
    <w:rsid w:val="00363E34"/>
    <w:rsid w:val="003715F9"/>
    <w:rsid w:val="00375D42"/>
    <w:rsid w:val="00376848"/>
    <w:rsid w:val="00376D0F"/>
    <w:rsid w:val="00387856"/>
    <w:rsid w:val="00392E08"/>
    <w:rsid w:val="00393526"/>
    <w:rsid w:val="00397F6B"/>
    <w:rsid w:val="003A749D"/>
    <w:rsid w:val="003B0B8B"/>
    <w:rsid w:val="003B60BA"/>
    <w:rsid w:val="003B694C"/>
    <w:rsid w:val="003C1C59"/>
    <w:rsid w:val="003D069C"/>
    <w:rsid w:val="003D2551"/>
    <w:rsid w:val="003D416C"/>
    <w:rsid w:val="003D7646"/>
    <w:rsid w:val="003E6192"/>
    <w:rsid w:val="003F113A"/>
    <w:rsid w:val="003F3E63"/>
    <w:rsid w:val="00402C4C"/>
    <w:rsid w:val="00407480"/>
    <w:rsid w:val="0041356C"/>
    <w:rsid w:val="00413836"/>
    <w:rsid w:val="00414643"/>
    <w:rsid w:val="00414B37"/>
    <w:rsid w:val="00416ADD"/>
    <w:rsid w:val="004313C4"/>
    <w:rsid w:val="00433201"/>
    <w:rsid w:val="00433C5E"/>
    <w:rsid w:val="004375C3"/>
    <w:rsid w:val="00437E15"/>
    <w:rsid w:val="00440786"/>
    <w:rsid w:val="004421E5"/>
    <w:rsid w:val="004439EA"/>
    <w:rsid w:val="00452284"/>
    <w:rsid w:val="00457C8E"/>
    <w:rsid w:val="00462E69"/>
    <w:rsid w:val="00477E87"/>
    <w:rsid w:val="00480175"/>
    <w:rsid w:val="00481688"/>
    <w:rsid w:val="004856CA"/>
    <w:rsid w:val="00487E67"/>
    <w:rsid w:val="004906B7"/>
    <w:rsid w:val="00494083"/>
    <w:rsid w:val="00494FFA"/>
    <w:rsid w:val="0049705E"/>
    <w:rsid w:val="004A2875"/>
    <w:rsid w:val="004A34A0"/>
    <w:rsid w:val="004A6BFD"/>
    <w:rsid w:val="004C5386"/>
    <w:rsid w:val="004C5C50"/>
    <w:rsid w:val="004C7C82"/>
    <w:rsid w:val="004F6201"/>
    <w:rsid w:val="005008A8"/>
    <w:rsid w:val="00510BFE"/>
    <w:rsid w:val="00513A33"/>
    <w:rsid w:val="0051573E"/>
    <w:rsid w:val="00517FD8"/>
    <w:rsid w:val="00526B7B"/>
    <w:rsid w:val="005274D2"/>
    <w:rsid w:val="005308CE"/>
    <w:rsid w:val="0053318C"/>
    <w:rsid w:val="00555FBB"/>
    <w:rsid w:val="00557091"/>
    <w:rsid w:val="00562228"/>
    <w:rsid w:val="0056783D"/>
    <w:rsid w:val="00572005"/>
    <w:rsid w:val="0057439C"/>
    <w:rsid w:val="005744B2"/>
    <w:rsid w:val="0058122A"/>
    <w:rsid w:val="00581DC5"/>
    <w:rsid w:val="00585E65"/>
    <w:rsid w:val="00586354"/>
    <w:rsid w:val="005960FA"/>
    <w:rsid w:val="005B0127"/>
    <w:rsid w:val="005B7A35"/>
    <w:rsid w:val="005C4B73"/>
    <w:rsid w:val="005C5E1D"/>
    <w:rsid w:val="005D5BF0"/>
    <w:rsid w:val="005E1D2B"/>
    <w:rsid w:val="005E7074"/>
    <w:rsid w:val="005F2BAF"/>
    <w:rsid w:val="005F7789"/>
    <w:rsid w:val="005F7B53"/>
    <w:rsid w:val="00600D93"/>
    <w:rsid w:val="00607249"/>
    <w:rsid w:val="00626BEA"/>
    <w:rsid w:val="0063300C"/>
    <w:rsid w:val="00642DD4"/>
    <w:rsid w:val="00643F6E"/>
    <w:rsid w:val="006478DA"/>
    <w:rsid w:val="00651A5B"/>
    <w:rsid w:val="00653327"/>
    <w:rsid w:val="00655736"/>
    <w:rsid w:val="00662A60"/>
    <w:rsid w:val="00663B8D"/>
    <w:rsid w:val="00663E7B"/>
    <w:rsid w:val="00674548"/>
    <w:rsid w:val="00676DE9"/>
    <w:rsid w:val="00695A79"/>
    <w:rsid w:val="00696C8D"/>
    <w:rsid w:val="006A2AC2"/>
    <w:rsid w:val="006A3617"/>
    <w:rsid w:val="006A4A7E"/>
    <w:rsid w:val="006B4452"/>
    <w:rsid w:val="006B796B"/>
    <w:rsid w:val="006C7D7C"/>
    <w:rsid w:val="006D17B8"/>
    <w:rsid w:val="006D4894"/>
    <w:rsid w:val="006D6BBA"/>
    <w:rsid w:val="006E1E23"/>
    <w:rsid w:val="006E31CA"/>
    <w:rsid w:val="006E46E4"/>
    <w:rsid w:val="006E75EB"/>
    <w:rsid w:val="00702A63"/>
    <w:rsid w:val="00703269"/>
    <w:rsid w:val="007051DB"/>
    <w:rsid w:val="00707E0E"/>
    <w:rsid w:val="00717DA5"/>
    <w:rsid w:val="00724692"/>
    <w:rsid w:val="00725581"/>
    <w:rsid w:val="00725A59"/>
    <w:rsid w:val="00730CA8"/>
    <w:rsid w:val="007332FA"/>
    <w:rsid w:val="007333D0"/>
    <w:rsid w:val="00744484"/>
    <w:rsid w:val="00747566"/>
    <w:rsid w:val="00753E0E"/>
    <w:rsid w:val="00755605"/>
    <w:rsid w:val="007638FF"/>
    <w:rsid w:val="00773188"/>
    <w:rsid w:val="00783782"/>
    <w:rsid w:val="00784B8C"/>
    <w:rsid w:val="007879E1"/>
    <w:rsid w:val="00792FE3"/>
    <w:rsid w:val="0079394C"/>
    <w:rsid w:val="007949D5"/>
    <w:rsid w:val="007A2805"/>
    <w:rsid w:val="007A3FB5"/>
    <w:rsid w:val="007A4364"/>
    <w:rsid w:val="007A6E16"/>
    <w:rsid w:val="007C1E78"/>
    <w:rsid w:val="007C5312"/>
    <w:rsid w:val="007C7B47"/>
    <w:rsid w:val="007D1A8F"/>
    <w:rsid w:val="007D1DC6"/>
    <w:rsid w:val="007E57AA"/>
    <w:rsid w:val="007F0262"/>
    <w:rsid w:val="007F1F48"/>
    <w:rsid w:val="007F26DB"/>
    <w:rsid w:val="00802A54"/>
    <w:rsid w:val="008140F1"/>
    <w:rsid w:val="00814E8C"/>
    <w:rsid w:val="00817588"/>
    <w:rsid w:val="00823A11"/>
    <w:rsid w:val="0084590A"/>
    <w:rsid w:val="0085405E"/>
    <w:rsid w:val="0085414A"/>
    <w:rsid w:val="008545A6"/>
    <w:rsid w:val="00857EB9"/>
    <w:rsid w:val="0086269D"/>
    <w:rsid w:val="0086543A"/>
    <w:rsid w:val="008724E5"/>
    <w:rsid w:val="00872A14"/>
    <w:rsid w:val="008765C9"/>
    <w:rsid w:val="00877558"/>
    <w:rsid w:val="00884A9D"/>
    <w:rsid w:val="00884ED6"/>
    <w:rsid w:val="0088512B"/>
    <w:rsid w:val="0088654D"/>
    <w:rsid w:val="00891C2A"/>
    <w:rsid w:val="00893B32"/>
    <w:rsid w:val="008A2B2D"/>
    <w:rsid w:val="008A4E1E"/>
    <w:rsid w:val="008A6458"/>
    <w:rsid w:val="008C296C"/>
    <w:rsid w:val="008D4305"/>
    <w:rsid w:val="008E1A85"/>
    <w:rsid w:val="008E344F"/>
    <w:rsid w:val="008E3A33"/>
    <w:rsid w:val="008F68CF"/>
    <w:rsid w:val="009079B2"/>
    <w:rsid w:val="00913AC0"/>
    <w:rsid w:val="00915C38"/>
    <w:rsid w:val="009163A7"/>
    <w:rsid w:val="00922E6D"/>
    <w:rsid w:val="009301EB"/>
    <w:rsid w:val="009303A6"/>
    <w:rsid w:val="00937D53"/>
    <w:rsid w:val="009450F2"/>
    <w:rsid w:val="00946D0B"/>
    <w:rsid w:val="00950C7B"/>
    <w:rsid w:val="00951253"/>
    <w:rsid w:val="00955877"/>
    <w:rsid w:val="00960015"/>
    <w:rsid w:val="00961A6C"/>
    <w:rsid w:val="00962034"/>
    <w:rsid w:val="00972CA0"/>
    <w:rsid w:val="009739C3"/>
    <w:rsid w:val="009766D7"/>
    <w:rsid w:val="00981B5E"/>
    <w:rsid w:val="00984A01"/>
    <w:rsid w:val="00986244"/>
    <w:rsid w:val="009870E8"/>
    <w:rsid w:val="0099167C"/>
    <w:rsid w:val="00995E34"/>
    <w:rsid w:val="00996F54"/>
    <w:rsid w:val="009A18CD"/>
    <w:rsid w:val="009A47AF"/>
    <w:rsid w:val="009A60B4"/>
    <w:rsid w:val="009A6F83"/>
    <w:rsid w:val="009B5A8C"/>
    <w:rsid w:val="009B731D"/>
    <w:rsid w:val="009C0EF1"/>
    <w:rsid w:val="009C27FE"/>
    <w:rsid w:val="009C2D44"/>
    <w:rsid w:val="009C4471"/>
    <w:rsid w:val="009D5428"/>
    <w:rsid w:val="009E0693"/>
    <w:rsid w:val="009E117E"/>
    <w:rsid w:val="009E3642"/>
    <w:rsid w:val="009E38E1"/>
    <w:rsid w:val="009E43AC"/>
    <w:rsid w:val="009E454F"/>
    <w:rsid w:val="009E6E4B"/>
    <w:rsid w:val="00A026C8"/>
    <w:rsid w:val="00A12558"/>
    <w:rsid w:val="00A13903"/>
    <w:rsid w:val="00A16FEB"/>
    <w:rsid w:val="00A22D9F"/>
    <w:rsid w:val="00A2355E"/>
    <w:rsid w:val="00A24539"/>
    <w:rsid w:val="00A34C01"/>
    <w:rsid w:val="00A34ED5"/>
    <w:rsid w:val="00A3525E"/>
    <w:rsid w:val="00A3732D"/>
    <w:rsid w:val="00A37763"/>
    <w:rsid w:val="00A378B3"/>
    <w:rsid w:val="00A42665"/>
    <w:rsid w:val="00A4271E"/>
    <w:rsid w:val="00A42D2E"/>
    <w:rsid w:val="00A44FA1"/>
    <w:rsid w:val="00A45DBF"/>
    <w:rsid w:val="00A47892"/>
    <w:rsid w:val="00A52985"/>
    <w:rsid w:val="00A53B00"/>
    <w:rsid w:val="00A638A2"/>
    <w:rsid w:val="00A725CF"/>
    <w:rsid w:val="00A755A2"/>
    <w:rsid w:val="00A756C6"/>
    <w:rsid w:val="00A823FA"/>
    <w:rsid w:val="00A83D41"/>
    <w:rsid w:val="00A91430"/>
    <w:rsid w:val="00AA590D"/>
    <w:rsid w:val="00AA6660"/>
    <w:rsid w:val="00AB2C36"/>
    <w:rsid w:val="00AB3095"/>
    <w:rsid w:val="00AB44FC"/>
    <w:rsid w:val="00AB6DDE"/>
    <w:rsid w:val="00AB70B6"/>
    <w:rsid w:val="00AC18C1"/>
    <w:rsid w:val="00AD1A86"/>
    <w:rsid w:val="00AD5C46"/>
    <w:rsid w:val="00AD6898"/>
    <w:rsid w:val="00AE103E"/>
    <w:rsid w:val="00AE5C95"/>
    <w:rsid w:val="00AF0A07"/>
    <w:rsid w:val="00AF3CE5"/>
    <w:rsid w:val="00AF4AEC"/>
    <w:rsid w:val="00AF625E"/>
    <w:rsid w:val="00B01494"/>
    <w:rsid w:val="00B026B3"/>
    <w:rsid w:val="00B07E06"/>
    <w:rsid w:val="00B139BE"/>
    <w:rsid w:val="00B2172B"/>
    <w:rsid w:val="00B21884"/>
    <w:rsid w:val="00B24545"/>
    <w:rsid w:val="00B30765"/>
    <w:rsid w:val="00B34428"/>
    <w:rsid w:val="00B34616"/>
    <w:rsid w:val="00B40565"/>
    <w:rsid w:val="00B51653"/>
    <w:rsid w:val="00B5573F"/>
    <w:rsid w:val="00B61CE1"/>
    <w:rsid w:val="00B62151"/>
    <w:rsid w:val="00B646B2"/>
    <w:rsid w:val="00B71984"/>
    <w:rsid w:val="00B729DA"/>
    <w:rsid w:val="00B74344"/>
    <w:rsid w:val="00B75F7B"/>
    <w:rsid w:val="00B76533"/>
    <w:rsid w:val="00B80710"/>
    <w:rsid w:val="00B828F1"/>
    <w:rsid w:val="00B917D2"/>
    <w:rsid w:val="00B92F64"/>
    <w:rsid w:val="00B94D3A"/>
    <w:rsid w:val="00B96742"/>
    <w:rsid w:val="00B97EB3"/>
    <w:rsid w:val="00B97FF4"/>
    <w:rsid w:val="00BA241A"/>
    <w:rsid w:val="00BA761D"/>
    <w:rsid w:val="00BB04AF"/>
    <w:rsid w:val="00BB6EEC"/>
    <w:rsid w:val="00BC108A"/>
    <w:rsid w:val="00BC5445"/>
    <w:rsid w:val="00BD2F6C"/>
    <w:rsid w:val="00BD51AC"/>
    <w:rsid w:val="00BD52C9"/>
    <w:rsid w:val="00BD619D"/>
    <w:rsid w:val="00BD6785"/>
    <w:rsid w:val="00BE2953"/>
    <w:rsid w:val="00BE6354"/>
    <w:rsid w:val="00BE75F3"/>
    <w:rsid w:val="00BF115D"/>
    <w:rsid w:val="00BF14DB"/>
    <w:rsid w:val="00BF37FE"/>
    <w:rsid w:val="00BF65F3"/>
    <w:rsid w:val="00BF78FE"/>
    <w:rsid w:val="00C10F9E"/>
    <w:rsid w:val="00C138D1"/>
    <w:rsid w:val="00C23A97"/>
    <w:rsid w:val="00C40A15"/>
    <w:rsid w:val="00C460A2"/>
    <w:rsid w:val="00C5245B"/>
    <w:rsid w:val="00C52EBE"/>
    <w:rsid w:val="00C5776D"/>
    <w:rsid w:val="00C603E0"/>
    <w:rsid w:val="00C64855"/>
    <w:rsid w:val="00C70EA7"/>
    <w:rsid w:val="00C7433F"/>
    <w:rsid w:val="00C7516E"/>
    <w:rsid w:val="00C75770"/>
    <w:rsid w:val="00C77FA4"/>
    <w:rsid w:val="00C810EB"/>
    <w:rsid w:val="00C848B8"/>
    <w:rsid w:val="00C86A87"/>
    <w:rsid w:val="00C92201"/>
    <w:rsid w:val="00C96E5B"/>
    <w:rsid w:val="00CA3985"/>
    <w:rsid w:val="00CA407F"/>
    <w:rsid w:val="00CA56BB"/>
    <w:rsid w:val="00CB0542"/>
    <w:rsid w:val="00CB09B7"/>
    <w:rsid w:val="00CB4B48"/>
    <w:rsid w:val="00CC6182"/>
    <w:rsid w:val="00CC625A"/>
    <w:rsid w:val="00CC7DC1"/>
    <w:rsid w:val="00CD1AA5"/>
    <w:rsid w:val="00CD7548"/>
    <w:rsid w:val="00CE045E"/>
    <w:rsid w:val="00CF0DD4"/>
    <w:rsid w:val="00CF3443"/>
    <w:rsid w:val="00D00B2B"/>
    <w:rsid w:val="00D03C2A"/>
    <w:rsid w:val="00D048FA"/>
    <w:rsid w:val="00D05504"/>
    <w:rsid w:val="00D10046"/>
    <w:rsid w:val="00D1721C"/>
    <w:rsid w:val="00D20CA7"/>
    <w:rsid w:val="00D213B9"/>
    <w:rsid w:val="00D24877"/>
    <w:rsid w:val="00D25583"/>
    <w:rsid w:val="00D27D0D"/>
    <w:rsid w:val="00D4032C"/>
    <w:rsid w:val="00D44888"/>
    <w:rsid w:val="00D54B8B"/>
    <w:rsid w:val="00D63318"/>
    <w:rsid w:val="00D63A17"/>
    <w:rsid w:val="00D7105A"/>
    <w:rsid w:val="00D8250F"/>
    <w:rsid w:val="00D83932"/>
    <w:rsid w:val="00D83C86"/>
    <w:rsid w:val="00D86BB3"/>
    <w:rsid w:val="00D9015E"/>
    <w:rsid w:val="00D9426A"/>
    <w:rsid w:val="00D95C4C"/>
    <w:rsid w:val="00DA36ED"/>
    <w:rsid w:val="00DC429E"/>
    <w:rsid w:val="00DC60F5"/>
    <w:rsid w:val="00DD7C17"/>
    <w:rsid w:val="00DE3033"/>
    <w:rsid w:val="00DE34F1"/>
    <w:rsid w:val="00DE40D8"/>
    <w:rsid w:val="00DE6160"/>
    <w:rsid w:val="00DF4942"/>
    <w:rsid w:val="00DF7CA6"/>
    <w:rsid w:val="00E00CA3"/>
    <w:rsid w:val="00E02552"/>
    <w:rsid w:val="00E0281C"/>
    <w:rsid w:val="00E122CE"/>
    <w:rsid w:val="00E14BCD"/>
    <w:rsid w:val="00E16751"/>
    <w:rsid w:val="00E16F2E"/>
    <w:rsid w:val="00E20914"/>
    <w:rsid w:val="00E2125F"/>
    <w:rsid w:val="00E2199D"/>
    <w:rsid w:val="00E21CDF"/>
    <w:rsid w:val="00E244E1"/>
    <w:rsid w:val="00E27131"/>
    <w:rsid w:val="00E35F0D"/>
    <w:rsid w:val="00E4150C"/>
    <w:rsid w:val="00E47B1B"/>
    <w:rsid w:val="00E54903"/>
    <w:rsid w:val="00E54D02"/>
    <w:rsid w:val="00E57E81"/>
    <w:rsid w:val="00E57F93"/>
    <w:rsid w:val="00E627B1"/>
    <w:rsid w:val="00E63DD9"/>
    <w:rsid w:val="00E64998"/>
    <w:rsid w:val="00E66233"/>
    <w:rsid w:val="00E70169"/>
    <w:rsid w:val="00E85BF2"/>
    <w:rsid w:val="00E866A1"/>
    <w:rsid w:val="00E917BA"/>
    <w:rsid w:val="00E9376C"/>
    <w:rsid w:val="00E9582F"/>
    <w:rsid w:val="00E95AE2"/>
    <w:rsid w:val="00E97F63"/>
    <w:rsid w:val="00EA200D"/>
    <w:rsid w:val="00EA335E"/>
    <w:rsid w:val="00EA4FDD"/>
    <w:rsid w:val="00EA528C"/>
    <w:rsid w:val="00EA580C"/>
    <w:rsid w:val="00EB160F"/>
    <w:rsid w:val="00EB347E"/>
    <w:rsid w:val="00EB40EF"/>
    <w:rsid w:val="00EB4584"/>
    <w:rsid w:val="00EC09B2"/>
    <w:rsid w:val="00EC35D5"/>
    <w:rsid w:val="00EC6F8D"/>
    <w:rsid w:val="00ED39B2"/>
    <w:rsid w:val="00ED4FCE"/>
    <w:rsid w:val="00EE3FFE"/>
    <w:rsid w:val="00EE49F4"/>
    <w:rsid w:val="00EE4D2F"/>
    <w:rsid w:val="00EE65CD"/>
    <w:rsid w:val="00EF34E2"/>
    <w:rsid w:val="00F01BA0"/>
    <w:rsid w:val="00F022C7"/>
    <w:rsid w:val="00F02FA9"/>
    <w:rsid w:val="00F1436C"/>
    <w:rsid w:val="00F22163"/>
    <w:rsid w:val="00F30DC6"/>
    <w:rsid w:val="00F31F96"/>
    <w:rsid w:val="00F32C23"/>
    <w:rsid w:val="00F33F7C"/>
    <w:rsid w:val="00F43F63"/>
    <w:rsid w:val="00F50A87"/>
    <w:rsid w:val="00F5202B"/>
    <w:rsid w:val="00F53DE9"/>
    <w:rsid w:val="00F576CB"/>
    <w:rsid w:val="00F636AE"/>
    <w:rsid w:val="00F7035D"/>
    <w:rsid w:val="00F70CC5"/>
    <w:rsid w:val="00F71748"/>
    <w:rsid w:val="00F71A02"/>
    <w:rsid w:val="00F7365E"/>
    <w:rsid w:val="00F7428A"/>
    <w:rsid w:val="00F82CE2"/>
    <w:rsid w:val="00FA0D63"/>
    <w:rsid w:val="00FA36CA"/>
    <w:rsid w:val="00FB0164"/>
    <w:rsid w:val="00FB047B"/>
    <w:rsid w:val="00FB1058"/>
    <w:rsid w:val="00FB19D6"/>
    <w:rsid w:val="00FB4996"/>
    <w:rsid w:val="00FC0F3F"/>
    <w:rsid w:val="00FC6F14"/>
    <w:rsid w:val="00FD1226"/>
    <w:rsid w:val="00FD4BC8"/>
    <w:rsid w:val="00FD599F"/>
    <w:rsid w:val="00FE0F82"/>
    <w:rsid w:val="00FE1237"/>
    <w:rsid w:val="00FE14AA"/>
    <w:rsid w:val="00FE6E7B"/>
    <w:rsid w:val="00FF376E"/>
    <w:rsid w:val="00FF4830"/>
    <w:rsid w:val="00FF4F1A"/>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uiPriority w:val="99"/>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Normal bullet 2"/>
    <w:basedOn w:val="Normal"/>
    <w:link w:val="ListParagraphChar"/>
    <w:uiPriority w:val="34"/>
    <w:qFormat/>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table" w:customStyle="1" w:styleId="TableGrid2">
    <w:name w:val="Table Grid2"/>
    <w:basedOn w:val="TableNormal"/>
    <w:next w:val="TableGrid"/>
    <w:uiPriority w:val="59"/>
    <w:rsid w:val="00DE40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basedOn w:val="DefaultParagraphFont"/>
    <w:link w:val="ListParagraph"/>
    <w:uiPriority w:val="34"/>
    <w:qFormat/>
    <w:locked/>
    <w:rsid w:val="00DE40D8"/>
    <w:rPr>
      <w:rFonts w:ascii="Times New Roman" w:eastAsia="Times New Roman" w:hAnsi="Times New Roman"/>
      <w:sz w:val="24"/>
      <w:szCs w:val="24"/>
    </w:rPr>
  </w:style>
  <w:style w:type="character" w:styleId="Hyperlink">
    <w:name w:val="Hyperlink"/>
    <w:basedOn w:val="DefaultParagraphFont"/>
    <w:uiPriority w:val="99"/>
    <w:unhideWhenUsed/>
    <w:rsid w:val="0056783D"/>
    <w:rPr>
      <w:color w:val="0000FF" w:themeColor="hyperlink"/>
      <w:u w:val="single"/>
    </w:rPr>
  </w:style>
  <w:style w:type="character" w:styleId="UnresolvedMention">
    <w:name w:val="Unresolved Mention"/>
    <w:basedOn w:val="DefaultParagraphFont"/>
    <w:uiPriority w:val="99"/>
    <w:semiHidden/>
    <w:unhideWhenUsed/>
    <w:rsid w:val="0056783D"/>
    <w:rPr>
      <w:color w:val="605E5C"/>
      <w:shd w:val="clear" w:color="auto" w:fill="E1DFDD"/>
    </w:rPr>
  </w:style>
  <w:style w:type="character" w:styleId="FollowedHyperlink">
    <w:name w:val="FollowedHyperlink"/>
    <w:basedOn w:val="DefaultParagraphFont"/>
    <w:uiPriority w:val="99"/>
    <w:semiHidden/>
    <w:unhideWhenUsed/>
    <w:rsid w:val="0028179B"/>
    <w:rPr>
      <w:color w:val="800080" w:themeColor="followedHyperlink"/>
      <w:u w:val="single"/>
    </w:rPr>
  </w:style>
  <w:style w:type="paragraph" w:styleId="Revision">
    <w:name w:val="Revision"/>
    <w:hidden/>
    <w:uiPriority w:val="99"/>
    <w:semiHidden/>
    <w:rsid w:val="00B3461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42665"/>
    <w:rPr>
      <w:sz w:val="16"/>
      <w:szCs w:val="16"/>
    </w:rPr>
  </w:style>
  <w:style w:type="paragraph" w:styleId="CommentText">
    <w:name w:val="annotation text"/>
    <w:basedOn w:val="Normal"/>
    <w:link w:val="CommentTextChar"/>
    <w:uiPriority w:val="99"/>
    <w:unhideWhenUsed/>
    <w:rsid w:val="00A42665"/>
    <w:rPr>
      <w:sz w:val="20"/>
      <w:szCs w:val="20"/>
    </w:rPr>
  </w:style>
  <w:style w:type="character" w:customStyle="1" w:styleId="CommentTextChar">
    <w:name w:val="Comment Text Char"/>
    <w:basedOn w:val="DefaultParagraphFont"/>
    <w:link w:val="CommentText"/>
    <w:uiPriority w:val="99"/>
    <w:rsid w:val="00A4266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5-20.COM-7_FR.docx" TargetMode="External"/><Relationship Id="rId18" Type="http://schemas.openxmlformats.org/officeDocument/2006/relationships/hyperlink" Target="https://ich.unesco.org/doc/src/LHE/25/20.COM/6.b_FR.docx" TargetMode="External"/><Relationship Id="rId26" Type="http://schemas.openxmlformats.org/officeDocument/2006/relationships/hyperlink" Target="https://ich.unesco.org/fr/Decisions/17.COM/13" TargetMode="External"/><Relationship Id="rId39" Type="http://schemas.openxmlformats.org/officeDocument/2006/relationships/hyperlink" Target="https://www.unesco.org/fr/culture/naples-conference" TargetMode="External"/><Relationship Id="rId3" Type="http://schemas.openxmlformats.org/officeDocument/2006/relationships/styles" Target="styles.xml"/><Relationship Id="rId21" Type="http://schemas.openxmlformats.org/officeDocument/2006/relationships/hyperlink" Target="https://ich.unesco.org/doc/src/LHE-25-20.COM-6.c_FR.docx" TargetMode="External"/><Relationship Id="rId34" Type="http://schemas.openxmlformats.org/officeDocument/2006/relationships/hyperlink" Target="https://www.unesco.org/fr/mondiacult" TargetMode="External"/><Relationship Id="rId42" Type="http://schemas.openxmlformats.org/officeDocument/2006/relationships/hyperlink" Target="https://ich.unesco.org/fr/Decisions/9.GA/7"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doc/src/LHE-24-19.COM-7_FR.docx" TargetMode="External"/><Relationship Id="rId17" Type="http://schemas.openxmlformats.org/officeDocument/2006/relationships/hyperlink" Target="https://ich.unesco.org/doc/src/LHE/25/20.COM/6.a_FR.docx" TargetMode="External"/><Relationship Id="rId25" Type="http://schemas.openxmlformats.org/officeDocument/2006/relationships/hyperlink" Target="https://ich.unesco.org/fr/d&#233;cisions/16.COM/5.B" TargetMode="External"/><Relationship Id="rId33" Type="http://schemas.openxmlformats.org/officeDocument/2006/relationships/hyperlink" Target="https://unesdoc.unesco.org/ark:/48223/pf0000395681" TargetMode="External"/><Relationship Id="rId38" Type="http://schemas.openxmlformats.org/officeDocument/2006/relationships/hyperlink" Target="https://ich.unesco.org/doc/src/Operational_Principles_and_Modalities_for_Safeguarding_ICH_in_Emergencies_FR.pdf" TargetMode="External"/><Relationship Id="rId46" Type="http://schemas.openxmlformats.org/officeDocument/2006/relationships/hyperlink" Target="https://unesdoc.unesco.org/ark:/48223/pf0000391860/PDF/391860fre.pdf.multi" TargetMode="External"/><Relationship Id="rId2" Type="http://schemas.openxmlformats.org/officeDocument/2006/relationships/numbering" Target="numbering.xml"/><Relationship Id="rId16" Type="http://schemas.openxmlformats.org/officeDocument/2006/relationships/hyperlink" Target="https://ich.unesco.org/doc/src/LHE-24-19.COM-6.a_FR.docx" TargetMode="External"/><Relationship Id="rId20" Type="http://schemas.openxmlformats.org/officeDocument/2006/relationships/hyperlink" Target="https://ich.unesco.org/doc/src/LHE/25/20.COM/INF.6.c_FR.docx" TargetMode="External"/><Relationship Id="rId29" Type="http://schemas.openxmlformats.org/officeDocument/2006/relationships/hyperlink" Target="https://ich.unesco.org/fr/decisions/18.COM/12" TargetMode="External"/><Relationship Id="rId41" Type="http://schemas.openxmlformats.org/officeDocument/2006/relationships/hyperlink" Target="https://unesdoc.unesco.org/ark:/48223/pf0000395708/PDF/395708fre.pdf.multi.page=1&amp;zoom=auto,-16,8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files-2025-under-process-01347" TargetMode="External"/><Relationship Id="rId24" Type="http://schemas.openxmlformats.org/officeDocument/2006/relationships/hyperlink" Target="https://capacity-building.ich.unesco.org/login/index.php" TargetMode="External"/><Relationship Id="rId32" Type="http://schemas.openxmlformats.org/officeDocument/2006/relationships/hyperlink" Target="https://unesdoc.unesco.org/ark:/48223/pf0000395681" TargetMode="External"/><Relationship Id="rId37" Type="http://schemas.openxmlformats.org/officeDocument/2006/relationships/hyperlink" Target="https://ich.unesco.org/fr/global-event-2024-01402" TargetMode="External"/><Relationship Id="rId40" Type="http://schemas.openxmlformats.org/officeDocument/2006/relationships/hyperlink" Target="https://www.unesco.org/fr/mondiacult" TargetMode="External"/><Relationship Id="rId45" Type="http://schemas.openxmlformats.org/officeDocument/2006/relationships/hyperlink" Target="https://ich.unesco.org/doc/src/LHE-25-20.COM-15_FR.docx" TargetMode="External"/><Relationship Id="rId5" Type="http://schemas.openxmlformats.org/officeDocument/2006/relationships/webSettings" Target="webSettings.xml"/><Relationship Id="rId15" Type="http://schemas.openxmlformats.org/officeDocument/2006/relationships/hyperlink" Target="https://ich.unesco.org/doc/src/LHE-25-20.COM-10_FR.docx" TargetMode="External"/><Relationship Id="rId23" Type="http://schemas.openxmlformats.org/officeDocument/2006/relationships/hyperlink" Target="https://ich.unesco.org/fr/decisions/16.COM/12" TargetMode="External"/><Relationship Id="rId28" Type="http://schemas.openxmlformats.org/officeDocument/2006/relationships/hyperlink" Target="https://ich.unesco.org/doc/src/68297-FR.pdf" TargetMode="External"/><Relationship Id="rId36" Type="http://schemas.openxmlformats.org/officeDocument/2006/relationships/hyperlink" Target="https://ich.unesco.org/doc/src/LHE-25-20.COM-12_EN.docx" TargetMode="External"/><Relationship Id="rId49" Type="http://schemas.openxmlformats.org/officeDocument/2006/relationships/header" Target="header3.xml"/><Relationship Id="rId10" Type="http://schemas.openxmlformats.org/officeDocument/2006/relationships/hyperlink" Target="https://ich.unesco.org/fr/decisions/17.COM/15" TargetMode="External"/><Relationship Id="rId19" Type="http://schemas.openxmlformats.org/officeDocument/2006/relationships/hyperlink" Target="https://ich.unesco.org/doc/src/LHE-24-19.COM-INF.6.c_FR.docx" TargetMode="External"/><Relationship Id="rId31" Type="http://schemas.openxmlformats.org/officeDocument/2006/relationships/hyperlink" Target="https://ich.unesco.org/fr/decisions/19.COM/11" TargetMode="External"/><Relationship Id="rId44" Type="http://schemas.openxmlformats.org/officeDocument/2006/relationships/hyperlink" Target="https://ich.unesco.org/fr/ong-accreditees" TargetMode="External"/><Relationship Id="rId4" Type="http://schemas.openxmlformats.org/officeDocument/2006/relationships/settings" Target="settings.xml"/><Relationship Id="rId9" Type="http://schemas.openxmlformats.org/officeDocument/2006/relationships/hyperlink" Target="https://ich.unesco.org/fr/schedule-of-statutory-meetings-in-2025-01381" TargetMode="External"/><Relationship Id="rId14" Type="http://schemas.openxmlformats.org/officeDocument/2006/relationships/hyperlink" Target="https://ich.unesco.org/doc/src/LHE-24-19.COM-9_FR.docx" TargetMode="External"/><Relationship Id="rId22" Type="http://schemas.openxmlformats.org/officeDocument/2006/relationships/hyperlink" Target="https://ich.unesco.org/fr/towards-a-platform-for-sharing-good-safeguarding-experiences-01376" TargetMode="External"/><Relationship Id="rId27" Type="http://schemas.openxmlformats.org/officeDocument/2006/relationships/hyperlink" Target="https://ich.unesco.org/doc/src/LHE-25-20.COM-12_FR.docx" TargetMode="External"/><Relationship Id="rId30" Type="http://schemas.openxmlformats.org/officeDocument/2006/relationships/hyperlink" Target="https://ich.unesco.org/doc/src/68292-EN.pdf" TargetMode="External"/><Relationship Id="rId35" Type="http://schemas.openxmlformats.org/officeDocument/2006/relationships/hyperlink" Target="https://ich.unesco.org/fr/reunion-d-experts-sur-les-milieux-urbains-01405" TargetMode="External"/><Relationship Id="rId43" Type="http://schemas.openxmlformats.org/officeDocument/2006/relationships/hyperlink" Target="https://ich.unesco.org/fr/Decisions/14.COM/15" TargetMode="External"/><Relationship Id="rId48" Type="http://schemas.openxmlformats.org/officeDocument/2006/relationships/header" Target="header2.xml"/><Relationship Id="rId8" Type="http://schemas.openxmlformats.org/officeDocument/2006/relationships/hyperlink" Target="https://unesdoc.unesco.org/ark:/48223/pf0000389188_fre/PDF/389188fre.pdf.multi" TargetMode="External"/><Relationship Id="rId51"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349</TotalTime>
  <Pages>11</Pages>
  <Words>5916</Words>
  <Characters>32541</Characters>
  <Application>Microsoft Office Word</Application>
  <DocSecurity>0</DocSecurity>
  <Lines>271</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30</cp:revision>
  <cp:lastPrinted>2011-08-06T10:22:00Z</cp:lastPrinted>
  <dcterms:created xsi:type="dcterms:W3CDTF">2025-11-06T11:27:00Z</dcterms:created>
  <dcterms:modified xsi:type="dcterms:W3CDTF">2025-11-10T21:03:00Z</dcterms:modified>
</cp:coreProperties>
</file>