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1D025" w14:textId="77777777" w:rsidR="00BC3420" w:rsidRPr="00A61C6E" w:rsidRDefault="00BC3420" w:rsidP="00BC3420">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2F1AD104" w14:textId="77777777" w:rsidR="00BC3420" w:rsidRPr="00A61C6E" w:rsidRDefault="00BC3420" w:rsidP="00BC3420">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040EDB3A" w14:textId="77777777" w:rsidR="00AC4027" w:rsidRPr="00C4434C" w:rsidRDefault="00AC4027" w:rsidP="00AC4027">
      <w:pPr>
        <w:spacing w:before="840" w:after="840"/>
        <w:jc w:val="center"/>
        <w:rPr>
          <w:rFonts w:ascii="Arial" w:hAnsi="Arial" w:cs="Arial"/>
          <w:b/>
          <w:sz w:val="22"/>
          <w:szCs w:val="22"/>
        </w:rPr>
      </w:pPr>
      <w:r w:rsidRPr="00C4434C">
        <w:rPr>
          <w:rFonts w:ascii="Arial" w:hAnsi="Arial" w:cs="Arial"/>
          <w:b/>
          <w:sz w:val="22"/>
          <w:szCs w:val="22"/>
        </w:rPr>
        <w:t>Réunion du Bureau</w:t>
      </w:r>
    </w:p>
    <w:p w14:paraId="342A8D74" w14:textId="6D93BF3B" w:rsidR="00AC4027" w:rsidRPr="00C4434C" w:rsidRDefault="00AC4027" w:rsidP="00AC4027">
      <w:pPr>
        <w:jc w:val="center"/>
        <w:rPr>
          <w:rFonts w:ascii="Arial" w:hAnsi="Arial"/>
          <w:b/>
          <w:sz w:val="22"/>
        </w:rPr>
      </w:pPr>
      <w:r w:rsidRPr="00C4434C">
        <w:rPr>
          <w:rFonts w:ascii="Arial" w:hAnsi="Arial"/>
          <w:b/>
          <w:sz w:val="22"/>
        </w:rPr>
        <w:t xml:space="preserve">Siège de l’UNESCO, </w:t>
      </w:r>
      <w:r w:rsidR="00130D3D" w:rsidRPr="00C4434C">
        <w:rPr>
          <w:rFonts w:ascii="Arial" w:hAnsi="Arial"/>
          <w:b/>
          <w:sz w:val="22"/>
        </w:rPr>
        <w:t xml:space="preserve">Salle </w:t>
      </w:r>
      <w:r w:rsidR="00130D3D" w:rsidRPr="00034D0C">
        <w:rPr>
          <w:rFonts w:ascii="Arial" w:hAnsi="Arial"/>
          <w:b/>
          <w:sz w:val="22"/>
        </w:rPr>
        <w:t>V</w:t>
      </w:r>
      <w:r w:rsidR="00034D0C" w:rsidRPr="00034D0C">
        <w:rPr>
          <w:rFonts w:ascii="Arial" w:hAnsi="Arial"/>
          <w:b/>
          <w:sz w:val="22"/>
        </w:rPr>
        <w:t>I</w:t>
      </w:r>
      <w:r w:rsidR="00D456EB">
        <w:rPr>
          <w:rFonts w:ascii="Arial" w:hAnsi="Arial"/>
          <w:b/>
          <w:sz w:val="22"/>
        </w:rPr>
        <w:t>II</w:t>
      </w:r>
    </w:p>
    <w:p w14:paraId="5F817A00" w14:textId="445D2EC0" w:rsidR="00AC4027" w:rsidRPr="00C4434C" w:rsidRDefault="00C56FC2" w:rsidP="00AC4027">
      <w:pPr>
        <w:jc w:val="center"/>
        <w:rPr>
          <w:rFonts w:ascii="Arial" w:hAnsi="Arial"/>
          <w:b/>
          <w:sz w:val="22"/>
        </w:rPr>
      </w:pPr>
      <w:r>
        <w:rPr>
          <w:rFonts w:ascii="Arial" w:hAnsi="Arial"/>
          <w:b/>
          <w:sz w:val="22"/>
        </w:rPr>
        <w:t xml:space="preserve">23 octobre </w:t>
      </w:r>
      <w:r w:rsidR="00AC4027" w:rsidRPr="00C4434C">
        <w:rPr>
          <w:rFonts w:ascii="Arial" w:hAnsi="Arial"/>
          <w:b/>
          <w:sz w:val="22"/>
        </w:rPr>
        <w:t>202</w:t>
      </w:r>
      <w:r w:rsidR="00AE0806">
        <w:rPr>
          <w:rFonts w:ascii="Arial" w:hAnsi="Arial"/>
          <w:b/>
          <w:sz w:val="22"/>
        </w:rPr>
        <w:t>5</w:t>
      </w:r>
    </w:p>
    <w:p w14:paraId="05322A32" w14:textId="40221230" w:rsidR="00AC4027" w:rsidRPr="008E67D8" w:rsidRDefault="00130D3D" w:rsidP="00AC4027">
      <w:pPr>
        <w:jc w:val="center"/>
        <w:rPr>
          <w:rFonts w:ascii="Arial" w:hAnsi="Arial"/>
          <w:b/>
          <w:sz w:val="22"/>
        </w:rPr>
      </w:pPr>
      <w:r w:rsidRPr="00C4434C">
        <w:rPr>
          <w:rFonts w:ascii="Arial" w:hAnsi="Arial"/>
          <w:b/>
          <w:sz w:val="22"/>
        </w:rPr>
        <w:t>1</w:t>
      </w:r>
      <w:r w:rsidR="00D456EB">
        <w:rPr>
          <w:rFonts w:ascii="Arial" w:hAnsi="Arial"/>
          <w:b/>
          <w:sz w:val="22"/>
        </w:rPr>
        <w:t>0</w:t>
      </w:r>
      <w:r w:rsidR="00AC4027" w:rsidRPr="00C4434C">
        <w:rPr>
          <w:rFonts w:ascii="Arial" w:hAnsi="Arial"/>
          <w:b/>
          <w:sz w:val="22"/>
        </w:rPr>
        <w:t xml:space="preserve">h00 – </w:t>
      </w:r>
      <w:r w:rsidRPr="00C4434C">
        <w:rPr>
          <w:rFonts w:ascii="Arial" w:hAnsi="Arial"/>
          <w:b/>
          <w:sz w:val="22"/>
        </w:rPr>
        <w:t>1</w:t>
      </w:r>
      <w:r w:rsidR="00D456EB">
        <w:rPr>
          <w:rFonts w:ascii="Arial" w:hAnsi="Arial"/>
          <w:b/>
          <w:sz w:val="22"/>
        </w:rPr>
        <w:t>3</w:t>
      </w:r>
      <w:r w:rsidR="00AC4027" w:rsidRPr="00C4434C">
        <w:rPr>
          <w:rFonts w:ascii="Arial" w:hAnsi="Arial"/>
          <w:b/>
          <w:sz w:val="22"/>
        </w:rPr>
        <w:t>h00</w:t>
      </w:r>
      <w:r w:rsidR="00AC4027" w:rsidRPr="008E67D8">
        <w:rPr>
          <w:rFonts w:ascii="Arial" w:hAnsi="Arial"/>
          <w:b/>
          <w:sz w:val="22"/>
        </w:rPr>
        <w:t xml:space="preserve"> </w:t>
      </w:r>
    </w:p>
    <w:p w14:paraId="630B69F1" w14:textId="48265836" w:rsidR="008F09EC" w:rsidRPr="00B43974" w:rsidRDefault="008554DF" w:rsidP="008554DF">
      <w:pPr>
        <w:pStyle w:val="Sansinterligne2"/>
        <w:spacing w:before="1200"/>
        <w:jc w:val="center"/>
        <w:rPr>
          <w:rFonts w:ascii="Arial" w:hAnsi="Arial" w:cs="Arial"/>
          <w:b/>
          <w:sz w:val="22"/>
          <w:szCs w:val="22"/>
        </w:rPr>
      </w:pPr>
      <w:r>
        <w:rPr>
          <w:rFonts w:ascii="Arial" w:hAnsi="Arial" w:cs="Arial"/>
          <w:b/>
          <w:sz w:val="22"/>
          <w:szCs w:val="22"/>
          <w:u w:val="single"/>
        </w:rPr>
        <w:t>DÉCISIONS</w:t>
      </w:r>
    </w:p>
    <w:p w14:paraId="1B3AF12D" w14:textId="02613AF3" w:rsidR="008554DF" w:rsidRPr="008554DF" w:rsidRDefault="00BC3420" w:rsidP="008554DF">
      <w:pPr>
        <w:pStyle w:val="GATitleResolution"/>
        <w:ind w:left="0"/>
      </w:pPr>
      <w:r w:rsidRPr="00022428">
        <w:br w:type="page"/>
      </w:r>
      <w:r w:rsidR="008554DF" w:rsidRPr="008554DF">
        <w:lastRenderedPageBreak/>
        <w:t>DÉCISION 20.COM 4.BUR 2</w:t>
      </w:r>
    </w:p>
    <w:p w14:paraId="3F431707" w14:textId="77777777" w:rsidR="008554DF" w:rsidRPr="008554DF" w:rsidRDefault="008554DF" w:rsidP="008554DF">
      <w:pPr>
        <w:keepNext/>
        <w:tabs>
          <w:tab w:val="left" w:pos="567"/>
        </w:tabs>
        <w:snapToGrid w:val="0"/>
        <w:spacing w:after="120"/>
        <w:jc w:val="both"/>
        <w:rPr>
          <w:rFonts w:ascii="Arial" w:eastAsia="SimSun" w:hAnsi="Arial" w:cs="Arial"/>
          <w:snapToGrid w:val="0"/>
          <w:sz w:val="22"/>
          <w:szCs w:val="22"/>
          <w:lang w:eastAsia="en-US"/>
        </w:rPr>
      </w:pPr>
      <w:r w:rsidRPr="008554DF">
        <w:rPr>
          <w:rFonts w:ascii="Arial" w:eastAsia="SimSun" w:hAnsi="Arial" w:cs="Arial"/>
          <w:snapToGrid w:val="0"/>
          <w:sz w:val="22"/>
          <w:szCs w:val="22"/>
          <w:lang w:eastAsia="en-US"/>
        </w:rPr>
        <w:t>Le Bureau,</w:t>
      </w:r>
    </w:p>
    <w:p w14:paraId="0BD72C8E" w14:textId="77777777" w:rsidR="008554DF" w:rsidRPr="008554DF" w:rsidRDefault="008554DF" w:rsidP="008554DF">
      <w:pPr>
        <w:numPr>
          <w:ilvl w:val="0"/>
          <w:numId w:val="20"/>
        </w:numPr>
        <w:autoSpaceDE w:val="0"/>
        <w:autoSpaceDN w:val="0"/>
        <w:adjustRightInd w:val="0"/>
        <w:spacing w:after="120"/>
        <w:ind w:left="567" w:hanging="567"/>
        <w:jc w:val="both"/>
        <w:rPr>
          <w:rFonts w:ascii="Arial" w:hAnsi="Arial" w:cs="Arial"/>
          <w:sz w:val="22"/>
          <w:szCs w:val="22"/>
          <w:u w:val="single"/>
        </w:rPr>
      </w:pPr>
      <w:r w:rsidRPr="008554DF">
        <w:rPr>
          <w:rFonts w:ascii="Arial" w:hAnsi="Arial" w:cs="Arial"/>
          <w:sz w:val="22"/>
          <w:szCs w:val="22"/>
          <w:u w:val="single"/>
        </w:rPr>
        <w:t>Ayant examiné</w:t>
      </w:r>
      <w:r w:rsidRPr="008554DF">
        <w:rPr>
          <w:rFonts w:ascii="Arial" w:hAnsi="Arial" w:cs="Arial"/>
          <w:sz w:val="22"/>
          <w:szCs w:val="22"/>
        </w:rPr>
        <w:t xml:space="preserve"> le document LHE/25/20.COM 4.BUR/2 et son annexe,</w:t>
      </w:r>
    </w:p>
    <w:p w14:paraId="58D5023A" w14:textId="77777777" w:rsidR="008554DF" w:rsidRPr="008554DF" w:rsidRDefault="008554DF" w:rsidP="008554DF">
      <w:pPr>
        <w:numPr>
          <w:ilvl w:val="0"/>
          <w:numId w:val="20"/>
        </w:numPr>
        <w:autoSpaceDE w:val="0"/>
        <w:autoSpaceDN w:val="0"/>
        <w:adjustRightInd w:val="0"/>
        <w:spacing w:after="120"/>
        <w:ind w:left="567" w:hanging="567"/>
        <w:jc w:val="both"/>
        <w:rPr>
          <w:rFonts w:ascii="Arial" w:hAnsi="Arial" w:cs="Arial"/>
          <w:sz w:val="22"/>
          <w:szCs w:val="22"/>
          <w:u w:val="single"/>
        </w:rPr>
      </w:pPr>
      <w:r w:rsidRPr="008554DF">
        <w:rPr>
          <w:rFonts w:ascii="Arial" w:hAnsi="Arial" w:cs="Arial"/>
          <w:sz w:val="22"/>
          <w:szCs w:val="22"/>
          <w:u w:val="single"/>
        </w:rPr>
        <w:t>Adopte</w:t>
      </w:r>
      <w:r w:rsidRPr="008554DF">
        <w:rPr>
          <w:rFonts w:ascii="Arial" w:hAnsi="Arial" w:cs="Arial"/>
          <w:sz w:val="22"/>
          <w:szCs w:val="22"/>
        </w:rPr>
        <w:t xml:space="preserve"> l’ordre du jour de sa quatrième réunion tel qu’indiqué en annexe de cette décision. </w:t>
      </w:r>
    </w:p>
    <w:p w14:paraId="7EC33F36" w14:textId="77777777" w:rsidR="008554DF" w:rsidRPr="008554DF" w:rsidRDefault="008554DF" w:rsidP="008554DF">
      <w:pPr>
        <w:autoSpaceDE w:val="0"/>
        <w:autoSpaceDN w:val="0"/>
        <w:adjustRightInd w:val="0"/>
        <w:spacing w:before="480" w:after="120"/>
        <w:jc w:val="center"/>
        <w:rPr>
          <w:rFonts w:ascii="Arial" w:hAnsi="Arial" w:cs="Arial"/>
          <w:b/>
          <w:bCs/>
          <w:sz w:val="22"/>
          <w:szCs w:val="22"/>
          <w:u w:val="single"/>
        </w:rPr>
      </w:pPr>
      <w:r w:rsidRPr="008554DF">
        <w:rPr>
          <w:rFonts w:ascii="Arial" w:hAnsi="Arial" w:cs="Arial"/>
          <w:b/>
          <w:bCs/>
          <w:sz w:val="22"/>
          <w:szCs w:val="22"/>
          <w:u w:val="single"/>
        </w:rPr>
        <w:t>ANNEXE</w:t>
      </w:r>
    </w:p>
    <w:p w14:paraId="235CFA26" w14:textId="2BBA6CEB" w:rsidR="008554DF" w:rsidRPr="008554DF" w:rsidRDefault="008554DF" w:rsidP="008554DF">
      <w:pPr>
        <w:autoSpaceDE w:val="0"/>
        <w:autoSpaceDN w:val="0"/>
        <w:adjustRightInd w:val="0"/>
        <w:spacing w:before="360" w:after="240"/>
        <w:jc w:val="center"/>
        <w:rPr>
          <w:rFonts w:ascii="Arial" w:hAnsi="Arial" w:cs="Arial"/>
          <w:sz w:val="22"/>
          <w:szCs w:val="22"/>
          <w:u w:val="single"/>
        </w:rPr>
      </w:pPr>
      <w:r w:rsidRPr="008554DF">
        <w:rPr>
          <w:rFonts w:ascii="Arial" w:hAnsi="Arial" w:cs="Arial"/>
          <w:b/>
          <w:bCs/>
          <w:sz w:val="22"/>
          <w:szCs w:val="22"/>
        </w:rPr>
        <w:t>Ordre du jour de la quatrième réunion du Bureau du 20.COM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2835"/>
      </w:tblGrid>
      <w:tr w:rsidR="008554DF" w:rsidRPr="008554DF" w14:paraId="7CE633A8" w14:textId="77777777" w:rsidTr="00A20643">
        <w:trPr>
          <w:jc w:val="center"/>
        </w:trPr>
        <w:tc>
          <w:tcPr>
            <w:tcW w:w="5240" w:type="dxa"/>
          </w:tcPr>
          <w:p w14:paraId="40F53D46" w14:textId="77777777" w:rsidR="008554DF" w:rsidRPr="008554DF" w:rsidRDefault="008554DF" w:rsidP="008554DF">
            <w:pPr>
              <w:autoSpaceDE w:val="0"/>
              <w:autoSpaceDN w:val="0"/>
              <w:adjustRightInd w:val="0"/>
              <w:spacing w:before="120" w:after="120"/>
              <w:rPr>
                <w:rFonts w:ascii="Arial" w:hAnsi="Arial" w:cs="Arial"/>
                <w:sz w:val="22"/>
                <w:szCs w:val="22"/>
                <w:u w:val="single"/>
              </w:rPr>
            </w:pPr>
            <w:r w:rsidRPr="008554DF">
              <w:rPr>
                <w:rFonts w:ascii="Arial" w:hAnsi="Arial" w:cs="Arial"/>
                <w:sz w:val="22"/>
                <w:szCs w:val="22"/>
                <w:u w:val="single"/>
              </w:rPr>
              <w:t>Point de l’ordre du jour</w:t>
            </w:r>
          </w:p>
        </w:tc>
        <w:tc>
          <w:tcPr>
            <w:tcW w:w="2835" w:type="dxa"/>
          </w:tcPr>
          <w:p w14:paraId="1B3C8C7C" w14:textId="77777777" w:rsidR="008554DF" w:rsidRPr="008554DF" w:rsidRDefault="008554DF" w:rsidP="008554DF">
            <w:pPr>
              <w:autoSpaceDE w:val="0"/>
              <w:autoSpaceDN w:val="0"/>
              <w:adjustRightInd w:val="0"/>
              <w:spacing w:before="120" w:after="120"/>
              <w:rPr>
                <w:rFonts w:ascii="Arial" w:hAnsi="Arial" w:cs="Arial"/>
                <w:sz w:val="22"/>
                <w:szCs w:val="22"/>
                <w:u w:val="single"/>
              </w:rPr>
            </w:pPr>
            <w:r w:rsidRPr="008554DF">
              <w:rPr>
                <w:rFonts w:ascii="Arial" w:hAnsi="Arial" w:cs="Arial"/>
                <w:sz w:val="22"/>
                <w:szCs w:val="22"/>
                <w:u w:val="single"/>
              </w:rPr>
              <w:t xml:space="preserve">Document </w:t>
            </w:r>
          </w:p>
        </w:tc>
      </w:tr>
      <w:tr w:rsidR="008554DF" w:rsidRPr="008554DF" w14:paraId="0FDDEB2E" w14:textId="77777777" w:rsidTr="00A20643">
        <w:trPr>
          <w:jc w:val="center"/>
        </w:trPr>
        <w:tc>
          <w:tcPr>
            <w:tcW w:w="5240" w:type="dxa"/>
          </w:tcPr>
          <w:p w14:paraId="2658A03B" w14:textId="77777777" w:rsidR="008554DF" w:rsidRPr="008554DF" w:rsidRDefault="008554DF" w:rsidP="008554DF">
            <w:pPr>
              <w:numPr>
                <w:ilvl w:val="0"/>
                <w:numId w:val="18"/>
              </w:numPr>
              <w:autoSpaceDE w:val="0"/>
              <w:autoSpaceDN w:val="0"/>
              <w:adjustRightInd w:val="0"/>
              <w:spacing w:before="120" w:after="120"/>
              <w:rPr>
                <w:rFonts w:ascii="Arial" w:hAnsi="Arial" w:cs="Arial"/>
                <w:sz w:val="22"/>
                <w:szCs w:val="22"/>
              </w:rPr>
            </w:pPr>
            <w:r w:rsidRPr="008554DF">
              <w:rPr>
                <w:rFonts w:ascii="Arial" w:hAnsi="Arial" w:cs="Arial"/>
                <w:sz w:val="22"/>
                <w:szCs w:val="22"/>
              </w:rPr>
              <w:t>Ouverture</w:t>
            </w:r>
          </w:p>
        </w:tc>
        <w:tc>
          <w:tcPr>
            <w:tcW w:w="2835" w:type="dxa"/>
          </w:tcPr>
          <w:p w14:paraId="3107B600" w14:textId="77777777" w:rsidR="008554DF" w:rsidRPr="008554DF" w:rsidRDefault="008554DF" w:rsidP="008554DF">
            <w:pPr>
              <w:autoSpaceDE w:val="0"/>
              <w:autoSpaceDN w:val="0"/>
              <w:adjustRightInd w:val="0"/>
              <w:spacing w:before="120" w:after="120"/>
              <w:rPr>
                <w:rFonts w:ascii="Arial" w:hAnsi="Arial" w:cs="Arial"/>
                <w:sz w:val="22"/>
                <w:szCs w:val="22"/>
              </w:rPr>
            </w:pPr>
          </w:p>
        </w:tc>
      </w:tr>
      <w:tr w:rsidR="008554DF" w:rsidRPr="008554DF" w14:paraId="3BF71888" w14:textId="77777777" w:rsidTr="00A20643">
        <w:trPr>
          <w:jc w:val="center"/>
        </w:trPr>
        <w:tc>
          <w:tcPr>
            <w:tcW w:w="5240" w:type="dxa"/>
          </w:tcPr>
          <w:p w14:paraId="4F93FAA2" w14:textId="77777777" w:rsidR="008554DF" w:rsidRPr="008554DF" w:rsidRDefault="008554DF" w:rsidP="008554DF">
            <w:pPr>
              <w:numPr>
                <w:ilvl w:val="0"/>
                <w:numId w:val="18"/>
              </w:numPr>
              <w:autoSpaceDE w:val="0"/>
              <w:autoSpaceDN w:val="0"/>
              <w:adjustRightInd w:val="0"/>
              <w:spacing w:before="120" w:after="120"/>
              <w:rPr>
                <w:rFonts w:ascii="Arial" w:hAnsi="Arial" w:cs="Arial"/>
                <w:sz w:val="22"/>
                <w:szCs w:val="22"/>
              </w:rPr>
            </w:pPr>
            <w:r w:rsidRPr="008554DF">
              <w:rPr>
                <w:rFonts w:ascii="Arial" w:hAnsi="Arial" w:cs="Arial"/>
                <w:sz w:val="22"/>
                <w:szCs w:val="22"/>
              </w:rPr>
              <w:t>Adoption de l’ordre du jour</w:t>
            </w:r>
          </w:p>
        </w:tc>
        <w:tc>
          <w:tcPr>
            <w:tcW w:w="2835" w:type="dxa"/>
          </w:tcPr>
          <w:p w14:paraId="7B02F828" w14:textId="77777777" w:rsidR="008554DF" w:rsidRPr="008554DF" w:rsidRDefault="008554DF" w:rsidP="008554DF">
            <w:pPr>
              <w:autoSpaceDE w:val="0"/>
              <w:autoSpaceDN w:val="0"/>
              <w:adjustRightInd w:val="0"/>
              <w:spacing w:before="120" w:after="120"/>
              <w:rPr>
                <w:rFonts w:ascii="Arial" w:hAnsi="Arial" w:cs="Arial"/>
                <w:sz w:val="22"/>
                <w:szCs w:val="22"/>
              </w:rPr>
            </w:pPr>
            <w:r w:rsidRPr="008554DF">
              <w:rPr>
                <w:rFonts w:ascii="Arial" w:hAnsi="Arial" w:cs="Arial"/>
                <w:sz w:val="22"/>
                <w:szCs w:val="22"/>
              </w:rPr>
              <w:t>LHE/25/20.COM 4.BUR/2</w:t>
            </w:r>
          </w:p>
        </w:tc>
      </w:tr>
      <w:tr w:rsidR="008554DF" w:rsidRPr="008554DF" w14:paraId="56257C07" w14:textId="77777777" w:rsidTr="00A20643">
        <w:trPr>
          <w:jc w:val="center"/>
        </w:trPr>
        <w:tc>
          <w:tcPr>
            <w:tcW w:w="5240" w:type="dxa"/>
          </w:tcPr>
          <w:p w14:paraId="1174F8F1" w14:textId="77777777" w:rsidR="008554DF" w:rsidRPr="008554DF" w:rsidRDefault="008554DF" w:rsidP="008554DF">
            <w:pPr>
              <w:numPr>
                <w:ilvl w:val="0"/>
                <w:numId w:val="18"/>
              </w:numPr>
              <w:autoSpaceDE w:val="0"/>
              <w:autoSpaceDN w:val="0"/>
              <w:adjustRightInd w:val="0"/>
              <w:spacing w:before="120" w:after="120"/>
              <w:rPr>
                <w:rFonts w:ascii="Arial" w:hAnsi="Arial" w:cs="Arial"/>
                <w:sz w:val="22"/>
                <w:szCs w:val="22"/>
              </w:rPr>
            </w:pPr>
            <w:r w:rsidRPr="008554DF">
              <w:rPr>
                <w:rFonts w:ascii="Arial" w:hAnsi="Arial" w:cs="Arial"/>
                <w:sz w:val="22"/>
                <w:szCs w:val="22"/>
              </w:rPr>
              <w:t>Examen des demandes d’assistance internationale jusqu’à 100 000 dollars des États-Unis</w:t>
            </w:r>
          </w:p>
        </w:tc>
        <w:tc>
          <w:tcPr>
            <w:tcW w:w="2835" w:type="dxa"/>
          </w:tcPr>
          <w:p w14:paraId="4F7EFFBB" w14:textId="77777777" w:rsidR="008554DF" w:rsidRPr="008554DF" w:rsidRDefault="008554DF" w:rsidP="008554DF">
            <w:pPr>
              <w:autoSpaceDE w:val="0"/>
              <w:autoSpaceDN w:val="0"/>
              <w:adjustRightInd w:val="0"/>
              <w:spacing w:before="120" w:after="120"/>
              <w:rPr>
                <w:rFonts w:ascii="Arial" w:hAnsi="Arial" w:cs="Arial"/>
                <w:sz w:val="22"/>
                <w:szCs w:val="22"/>
              </w:rPr>
            </w:pPr>
            <w:r w:rsidRPr="008554DF">
              <w:rPr>
                <w:rFonts w:ascii="Arial" w:hAnsi="Arial" w:cs="Arial"/>
                <w:sz w:val="22"/>
                <w:szCs w:val="22"/>
              </w:rPr>
              <w:t>LHE/25/20.COM 4.BUR/3</w:t>
            </w:r>
          </w:p>
        </w:tc>
      </w:tr>
      <w:tr w:rsidR="008554DF" w:rsidRPr="008554DF" w14:paraId="3B71474B" w14:textId="77777777" w:rsidTr="00A20643">
        <w:trPr>
          <w:jc w:val="center"/>
        </w:trPr>
        <w:tc>
          <w:tcPr>
            <w:tcW w:w="5240" w:type="dxa"/>
          </w:tcPr>
          <w:p w14:paraId="7714033D" w14:textId="77777777" w:rsidR="008554DF" w:rsidRPr="008554DF" w:rsidRDefault="008554DF" w:rsidP="008554DF">
            <w:pPr>
              <w:numPr>
                <w:ilvl w:val="0"/>
                <w:numId w:val="18"/>
              </w:numPr>
              <w:autoSpaceDE w:val="0"/>
              <w:autoSpaceDN w:val="0"/>
              <w:adjustRightInd w:val="0"/>
              <w:spacing w:before="120" w:after="120"/>
              <w:rPr>
                <w:rFonts w:ascii="Arial" w:hAnsi="Arial" w:cs="Arial"/>
                <w:sz w:val="22"/>
                <w:szCs w:val="22"/>
              </w:rPr>
            </w:pPr>
            <w:r w:rsidRPr="008554DF">
              <w:rPr>
                <w:rFonts w:ascii="Arial" w:hAnsi="Arial" w:cs="Arial"/>
                <w:sz w:val="22"/>
                <w:szCs w:val="22"/>
              </w:rPr>
              <w:t>Adoption du calendrier provisoire de la vingtième session du Comité</w:t>
            </w:r>
          </w:p>
        </w:tc>
        <w:tc>
          <w:tcPr>
            <w:tcW w:w="2835" w:type="dxa"/>
          </w:tcPr>
          <w:p w14:paraId="55CD2E2D" w14:textId="77777777" w:rsidR="008554DF" w:rsidRPr="008554DF" w:rsidRDefault="008554DF" w:rsidP="008554DF">
            <w:pPr>
              <w:autoSpaceDE w:val="0"/>
              <w:autoSpaceDN w:val="0"/>
              <w:adjustRightInd w:val="0"/>
              <w:spacing w:before="120" w:after="120"/>
              <w:rPr>
                <w:rFonts w:ascii="Arial" w:hAnsi="Arial" w:cs="Arial"/>
                <w:sz w:val="22"/>
                <w:szCs w:val="22"/>
              </w:rPr>
            </w:pPr>
            <w:r w:rsidRPr="008554DF">
              <w:rPr>
                <w:rFonts w:ascii="Arial" w:hAnsi="Arial" w:cs="Arial"/>
                <w:sz w:val="22"/>
                <w:szCs w:val="22"/>
              </w:rPr>
              <w:t>LHE/25/20.COM 4.BUR/4</w:t>
            </w:r>
          </w:p>
        </w:tc>
      </w:tr>
      <w:tr w:rsidR="008554DF" w:rsidRPr="008554DF" w14:paraId="47F08673" w14:textId="77777777" w:rsidTr="00A20643">
        <w:trPr>
          <w:jc w:val="center"/>
        </w:trPr>
        <w:tc>
          <w:tcPr>
            <w:tcW w:w="5240" w:type="dxa"/>
          </w:tcPr>
          <w:p w14:paraId="03C8E503" w14:textId="77777777" w:rsidR="008554DF" w:rsidRPr="008554DF" w:rsidRDefault="008554DF" w:rsidP="008554DF">
            <w:pPr>
              <w:numPr>
                <w:ilvl w:val="0"/>
                <w:numId w:val="18"/>
              </w:numPr>
              <w:autoSpaceDE w:val="0"/>
              <w:autoSpaceDN w:val="0"/>
              <w:adjustRightInd w:val="0"/>
              <w:spacing w:before="120" w:after="120"/>
              <w:rPr>
                <w:rFonts w:ascii="Arial" w:hAnsi="Arial" w:cs="Arial"/>
                <w:sz w:val="22"/>
                <w:szCs w:val="22"/>
              </w:rPr>
            </w:pPr>
            <w:r w:rsidRPr="008554DF">
              <w:rPr>
                <w:rFonts w:ascii="Arial" w:hAnsi="Arial" w:cs="Arial"/>
                <w:sz w:val="22"/>
                <w:szCs w:val="22"/>
              </w:rPr>
              <w:t>Questions diverses</w:t>
            </w:r>
          </w:p>
          <w:p w14:paraId="4D06529F" w14:textId="77777777" w:rsidR="008554DF" w:rsidRPr="008554DF" w:rsidRDefault="008554DF" w:rsidP="008554DF">
            <w:pPr>
              <w:numPr>
                <w:ilvl w:val="0"/>
                <w:numId w:val="19"/>
              </w:numPr>
              <w:autoSpaceDE w:val="0"/>
              <w:autoSpaceDN w:val="0"/>
              <w:adjustRightInd w:val="0"/>
              <w:spacing w:before="120" w:after="120"/>
              <w:ind w:left="1440"/>
              <w:rPr>
                <w:rFonts w:ascii="Arial" w:eastAsia="SimSun" w:hAnsi="Arial" w:cs="Arial"/>
                <w:sz w:val="22"/>
                <w:szCs w:val="22"/>
              </w:rPr>
            </w:pPr>
            <w:r w:rsidRPr="008554DF">
              <w:rPr>
                <w:rFonts w:ascii="Arial" w:eastAsia="SimSun" w:hAnsi="Arial" w:cs="Arial"/>
                <w:sz w:val="22"/>
                <w:szCs w:val="22"/>
              </w:rPr>
              <w:t>Dates des réunions statutaires en 2025</w:t>
            </w:r>
          </w:p>
          <w:p w14:paraId="069C6FE3" w14:textId="77777777" w:rsidR="008554DF" w:rsidRPr="008554DF" w:rsidRDefault="008554DF" w:rsidP="008554DF">
            <w:pPr>
              <w:numPr>
                <w:ilvl w:val="0"/>
                <w:numId w:val="19"/>
              </w:numPr>
              <w:autoSpaceDE w:val="0"/>
              <w:autoSpaceDN w:val="0"/>
              <w:adjustRightInd w:val="0"/>
              <w:spacing w:before="120" w:after="120"/>
              <w:ind w:left="1440"/>
              <w:rPr>
                <w:rFonts w:ascii="Arial" w:eastAsia="SimSun" w:hAnsi="Arial" w:cs="Arial"/>
                <w:sz w:val="22"/>
                <w:szCs w:val="22"/>
              </w:rPr>
            </w:pPr>
            <w:r w:rsidRPr="008554DF">
              <w:rPr>
                <w:rFonts w:ascii="Arial" w:eastAsia="SimSun" w:hAnsi="Arial" w:cs="Arial"/>
                <w:sz w:val="22"/>
                <w:szCs w:val="22"/>
              </w:rPr>
              <w:t>Méthodes de travail de la vingtième session du Comité</w:t>
            </w:r>
          </w:p>
          <w:p w14:paraId="3A7D0DF0" w14:textId="77777777" w:rsidR="008554DF" w:rsidRPr="008554DF" w:rsidRDefault="008554DF" w:rsidP="008554DF">
            <w:pPr>
              <w:numPr>
                <w:ilvl w:val="0"/>
                <w:numId w:val="19"/>
              </w:numPr>
              <w:autoSpaceDE w:val="0"/>
              <w:autoSpaceDN w:val="0"/>
              <w:adjustRightInd w:val="0"/>
              <w:spacing w:before="120" w:after="120"/>
              <w:ind w:left="1440"/>
              <w:rPr>
                <w:rFonts w:ascii="Arial" w:eastAsia="SimSun" w:hAnsi="Arial" w:cs="Arial"/>
                <w:sz w:val="22"/>
                <w:szCs w:val="22"/>
                <w:lang w:val="en-GB"/>
              </w:rPr>
            </w:pPr>
            <w:r w:rsidRPr="008554DF">
              <w:rPr>
                <w:rFonts w:ascii="Arial" w:eastAsia="SimSun" w:hAnsi="Arial" w:cs="Arial"/>
                <w:sz w:val="22"/>
                <w:szCs w:val="22"/>
                <w:lang w:val="en-GB"/>
              </w:rPr>
              <w:t>Candidatures du cycle 2025</w:t>
            </w:r>
          </w:p>
          <w:p w14:paraId="6A8C8C0C" w14:textId="77777777" w:rsidR="008554DF" w:rsidRPr="008554DF" w:rsidRDefault="008554DF" w:rsidP="008554DF">
            <w:pPr>
              <w:numPr>
                <w:ilvl w:val="0"/>
                <w:numId w:val="19"/>
              </w:numPr>
              <w:autoSpaceDE w:val="0"/>
              <w:autoSpaceDN w:val="0"/>
              <w:adjustRightInd w:val="0"/>
              <w:spacing w:before="120" w:after="120"/>
              <w:ind w:left="1440"/>
              <w:rPr>
                <w:rFonts w:ascii="Arial" w:eastAsia="SimSun" w:hAnsi="Arial" w:cs="Arial"/>
                <w:sz w:val="22"/>
                <w:szCs w:val="22"/>
              </w:rPr>
            </w:pPr>
            <w:r w:rsidRPr="008554DF">
              <w:rPr>
                <w:rFonts w:ascii="Arial" w:eastAsia="SimSun" w:hAnsi="Arial" w:cs="Arial"/>
                <w:sz w:val="22"/>
                <w:szCs w:val="22"/>
              </w:rPr>
              <w:t xml:space="preserve">Suivi des éléments inscrits sur les listes de la Convention </w:t>
            </w:r>
          </w:p>
          <w:p w14:paraId="2CE59CB9" w14:textId="77777777" w:rsidR="008554DF" w:rsidRPr="008554DF" w:rsidRDefault="008554DF" w:rsidP="008554DF">
            <w:pPr>
              <w:numPr>
                <w:ilvl w:val="0"/>
                <w:numId w:val="19"/>
              </w:numPr>
              <w:autoSpaceDE w:val="0"/>
              <w:autoSpaceDN w:val="0"/>
              <w:adjustRightInd w:val="0"/>
              <w:spacing w:before="120" w:after="120"/>
              <w:ind w:left="1440"/>
              <w:rPr>
                <w:rFonts w:ascii="Arial" w:hAnsi="Arial" w:cs="Arial"/>
                <w:sz w:val="22"/>
                <w:szCs w:val="22"/>
              </w:rPr>
            </w:pPr>
            <w:proofErr w:type="spellStart"/>
            <w:r w:rsidRPr="008554DF">
              <w:rPr>
                <w:rFonts w:ascii="Arial" w:eastAsia="SimSun" w:hAnsi="Arial" w:cs="Arial"/>
                <w:sz w:val="22"/>
                <w:szCs w:val="22"/>
                <w:lang w:val="en-GB"/>
              </w:rPr>
              <w:t>Autres</w:t>
            </w:r>
            <w:proofErr w:type="spellEnd"/>
            <w:r w:rsidRPr="008554DF">
              <w:rPr>
                <w:rFonts w:ascii="Arial" w:eastAsia="SimSun" w:hAnsi="Arial" w:cs="Arial"/>
                <w:sz w:val="22"/>
                <w:szCs w:val="22"/>
                <w:lang w:val="en-GB"/>
              </w:rPr>
              <w:t xml:space="preserve"> questions</w:t>
            </w:r>
          </w:p>
        </w:tc>
        <w:tc>
          <w:tcPr>
            <w:tcW w:w="2835" w:type="dxa"/>
          </w:tcPr>
          <w:p w14:paraId="7FBA426A" w14:textId="77777777" w:rsidR="008554DF" w:rsidRPr="008554DF" w:rsidRDefault="008554DF" w:rsidP="008554DF">
            <w:pPr>
              <w:autoSpaceDE w:val="0"/>
              <w:autoSpaceDN w:val="0"/>
              <w:adjustRightInd w:val="0"/>
              <w:spacing w:before="120" w:after="120"/>
              <w:rPr>
                <w:rFonts w:ascii="Arial" w:hAnsi="Arial" w:cs="Arial"/>
                <w:sz w:val="22"/>
                <w:szCs w:val="22"/>
              </w:rPr>
            </w:pPr>
          </w:p>
          <w:p w14:paraId="2792DB37" w14:textId="77777777" w:rsidR="008554DF" w:rsidRPr="008554DF" w:rsidRDefault="008554DF" w:rsidP="008554DF">
            <w:pPr>
              <w:autoSpaceDE w:val="0"/>
              <w:autoSpaceDN w:val="0"/>
              <w:adjustRightInd w:val="0"/>
              <w:spacing w:before="120" w:after="120"/>
              <w:rPr>
                <w:rFonts w:ascii="Arial" w:hAnsi="Arial" w:cs="Arial"/>
                <w:sz w:val="22"/>
                <w:szCs w:val="22"/>
              </w:rPr>
            </w:pPr>
            <w:r w:rsidRPr="008554DF">
              <w:rPr>
                <w:rFonts w:ascii="Arial" w:hAnsi="Arial" w:cs="Arial"/>
                <w:sz w:val="22"/>
                <w:szCs w:val="22"/>
              </w:rPr>
              <w:t>LHE/25/Schedule Rev.3</w:t>
            </w:r>
          </w:p>
        </w:tc>
      </w:tr>
      <w:tr w:rsidR="008554DF" w:rsidRPr="008554DF" w14:paraId="0683362F" w14:textId="77777777" w:rsidTr="00A20643">
        <w:trPr>
          <w:jc w:val="center"/>
        </w:trPr>
        <w:tc>
          <w:tcPr>
            <w:tcW w:w="5240" w:type="dxa"/>
          </w:tcPr>
          <w:p w14:paraId="7162CFD4" w14:textId="77777777" w:rsidR="008554DF" w:rsidRPr="008554DF" w:rsidRDefault="008554DF" w:rsidP="008554DF">
            <w:pPr>
              <w:numPr>
                <w:ilvl w:val="0"/>
                <w:numId w:val="18"/>
              </w:numPr>
              <w:autoSpaceDE w:val="0"/>
              <w:autoSpaceDN w:val="0"/>
              <w:adjustRightInd w:val="0"/>
              <w:spacing w:before="120" w:after="120"/>
              <w:rPr>
                <w:rFonts w:ascii="Arial" w:hAnsi="Arial" w:cs="Arial"/>
                <w:sz w:val="22"/>
                <w:szCs w:val="22"/>
              </w:rPr>
            </w:pPr>
            <w:r w:rsidRPr="008554DF">
              <w:rPr>
                <w:rFonts w:ascii="Arial" w:hAnsi="Arial" w:cs="Arial"/>
                <w:sz w:val="22"/>
                <w:szCs w:val="22"/>
              </w:rPr>
              <w:t xml:space="preserve">Clôture </w:t>
            </w:r>
          </w:p>
        </w:tc>
        <w:tc>
          <w:tcPr>
            <w:tcW w:w="2835" w:type="dxa"/>
          </w:tcPr>
          <w:p w14:paraId="76CBE0FD" w14:textId="77777777" w:rsidR="008554DF" w:rsidRPr="008554DF" w:rsidRDefault="008554DF" w:rsidP="008554DF">
            <w:pPr>
              <w:autoSpaceDE w:val="0"/>
              <w:autoSpaceDN w:val="0"/>
              <w:adjustRightInd w:val="0"/>
              <w:spacing w:before="120" w:after="120"/>
              <w:rPr>
                <w:rFonts w:ascii="Arial" w:hAnsi="Arial" w:cs="Arial"/>
                <w:sz w:val="22"/>
                <w:szCs w:val="22"/>
              </w:rPr>
            </w:pPr>
          </w:p>
        </w:tc>
      </w:tr>
    </w:tbl>
    <w:p w14:paraId="5935E716" w14:textId="1662A8B4" w:rsidR="00024F52" w:rsidRDefault="00024F52" w:rsidP="008554DF">
      <w:pPr>
        <w:pStyle w:val="COMTitleDecision"/>
        <w:spacing w:before="360" w:after="240"/>
        <w:ind w:left="0"/>
      </w:pPr>
    </w:p>
    <w:p w14:paraId="61EEB1DE" w14:textId="77777777" w:rsidR="00024F52" w:rsidRDefault="00024F52">
      <w:pPr>
        <w:rPr>
          <w:rFonts w:ascii="Arial" w:hAnsi="Arial" w:cs="Arial"/>
          <w:b/>
          <w:sz w:val="22"/>
          <w:szCs w:val="22"/>
        </w:rPr>
      </w:pPr>
      <w:r>
        <w:br w:type="page"/>
      </w:r>
    </w:p>
    <w:p w14:paraId="0E60A792" w14:textId="1568658C" w:rsidR="00024F52" w:rsidRPr="00024F52" w:rsidRDefault="00024F52" w:rsidP="00024F52">
      <w:pPr>
        <w:keepNext/>
        <w:spacing w:before="240" w:after="120"/>
        <w:jc w:val="both"/>
        <w:rPr>
          <w:rFonts w:ascii="Arial" w:hAnsi="Arial" w:cs="Arial"/>
          <w:b/>
          <w:sz w:val="22"/>
          <w:szCs w:val="22"/>
        </w:rPr>
      </w:pPr>
      <w:bookmarkStart w:id="0" w:name="_Hlk208907423"/>
      <w:r w:rsidRPr="00024F52">
        <w:rPr>
          <w:rFonts w:ascii="Arial" w:hAnsi="Arial" w:cs="Arial"/>
          <w:b/>
          <w:sz w:val="22"/>
          <w:szCs w:val="22"/>
        </w:rPr>
        <w:lastRenderedPageBreak/>
        <w:t>DÉCISION 20.COM 4.BUR 3.1</w:t>
      </w:r>
    </w:p>
    <w:p w14:paraId="2D0935ED" w14:textId="77777777" w:rsidR="00024F52" w:rsidRPr="00024F52" w:rsidRDefault="00024F52" w:rsidP="00024F52">
      <w:pPr>
        <w:keepNext/>
        <w:spacing w:before="120" w:after="120"/>
        <w:jc w:val="both"/>
        <w:rPr>
          <w:rFonts w:asciiTheme="minorBidi" w:hAnsiTheme="minorBidi" w:cstheme="minorBidi"/>
          <w:sz w:val="22"/>
          <w:szCs w:val="22"/>
        </w:rPr>
      </w:pPr>
      <w:r w:rsidRPr="00024F52">
        <w:rPr>
          <w:rFonts w:asciiTheme="minorBidi" w:hAnsiTheme="minorBidi"/>
          <w:sz w:val="22"/>
        </w:rPr>
        <w:t>Le Bureau,</w:t>
      </w:r>
    </w:p>
    <w:p w14:paraId="55668D2D" w14:textId="77777777"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Rappelant</w:t>
      </w:r>
      <w:r w:rsidRPr="00024F52">
        <w:rPr>
          <w:rFonts w:asciiTheme="minorBidi" w:hAnsiTheme="minorBidi"/>
          <w:sz w:val="22"/>
        </w:rPr>
        <w:t xml:space="preserve"> le chapitre V de la Convention ainsi que le chapitre I.4 des Directives opérationnelles relatifs à l’admissibilité et aux critères de sélection des demandes d’assistance internationale,</w:t>
      </w:r>
    </w:p>
    <w:p w14:paraId="5A42ED82" w14:textId="77777777"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Ayant examiné</w:t>
      </w:r>
      <w:r w:rsidRPr="00024F52">
        <w:rPr>
          <w:rFonts w:asciiTheme="minorBidi" w:hAnsiTheme="minorBidi"/>
          <w:sz w:val="22"/>
        </w:rPr>
        <w:t xml:space="preserve"> le document LHE/25/20.COM 4.BUR/3 ainsi que la demande d’assistance internationale n°02460 soumise par l’Égypte,</w:t>
      </w:r>
    </w:p>
    <w:p w14:paraId="549E7F39" w14:textId="7D80F2BF"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Prend note</w:t>
      </w:r>
      <w:r w:rsidRPr="00024F52">
        <w:rPr>
          <w:rFonts w:asciiTheme="minorBidi" w:hAnsiTheme="minorBidi"/>
          <w:sz w:val="22"/>
        </w:rPr>
        <w:t xml:space="preserve"> que l’Égypte a demandé une assistance internationale pour le projet intitulé </w:t>
      </w:r>
      <w:r w:rsidRPr="00024F52">
        <w:rPr>
          <w:rFonts w:asciiTheme="minorBidi" w:hAnsiTheme="minorBidi"/>
          <w:b/>
          <w:sz w:val="22"/>
        </w:rPr>
        <w:t>Sauvegarde et renforcement des capacités pour le patrimoine culturel immatériel des marionnettes à gaine traditionnelles Al-</w:t>
      </w:r>
      <w:proofErr w:type="spellStart"/>
      <w:r w:rsidRPr="00024F52">
        <w:rPr>
          <w:rFonts w:asciiTheme="minorBidi" w:hAnsiTheme="minorBidi"/>
          <w:b/>
          <w:sz w:val="22"/>
        </w:rPr>
        <w:t>Aragoz</w:t>
      </w:r>
      <w:proofErr w:type="spellEnd"/>
      <w:r w:rsidRPr="00024F52">
        <w:rPr>
          <w:rFonts w:asciiTheme="minorBidi" w:hAnsiTheme="minorBidi"/>
          <w:b/>
          <w:sz w:val="22"/>
        </w:rPr>
        <w:t xml:space="preserve"> en Égypte</w:t>
      </w:r>
      <w:r w:rsidR="008724B0">
        <w:rPr>
          <w:rFonts w:asciiTheme="minorBidi" w:hAnsiTheme="minorBidi"/>
          <w:b/>
          <w:sz w:val="22"/>
        </w:rPr>
        <w:t xml:space="preserve"> </w:t>
      </w:r>
      <w:r w:rsidRPr="00024F52">
        <w:rPr>
          <w:rFonts w:asciiTheme="minorBidi" w:hAnsiTheme="minorBidi"/>
          <w:sz w:val="22"/>
        </w:rPr>
        <w:t>:</w:t>
      </w:r>
    </w:p>
    <w:p w14:paraId="5F83963B" w14:textId="77777777" w:rsidR="00024F52" w:rsidRPr="00024F52" w:rsidRDefault="00024F52" w:rsidP="00024F52">
      <w:pPr>
        <w:ind w:left="567"/>
        <w:jc w:val="both"/>
        <w:rPr>
          <w:rFonts w:asciiTheme="minorBidi" w:hAnsiTheme="minorBidi" w:cstheme="minorBidi"/>
          <w:sz w:val="22"/>
          <w:szCs w:val="22"/>
        </w:rPr>
      </w:pPr>
      <w:r w:rsidRPr="00024F52">
        <w:rPr>
          <w:rFonts w:asciiTheme="minorBidi" w:hAnsiTheme="minorBidi"/>
          <w:sz w:val="22"/>
        </w:rPr>
        <w:t>Mis en œuvre par le Fonds de développement culturel, ce projet de vingt-quatre mois vise à revitaliser et à sauvegarder les marionnettes à gaine traditionnelles d’Al-</w:t>
      </w:r>
      <w:proofErr w:type="spellStart"/>
      <w:r w:rsidRPr="00024F52">
        <w:rPr>
          <w:rFonts w:asciiTheme="minorBidi" w:hAnsiTheme="minorBidi"/>
          <w:sz w:val="22"/>
        </w:rPr>
        <w:t>Aragoz</w:t>
      </w:r>
      <w:proofErr w:type="spellEnd"/>
      <w:r w:rsidRPr="00024F52">
        <w:rPr>
          <w:rFonts w:asciiTheme="minorBidi" w:hAnsiTheme="minorBidi"/>
          <w:sz w:val="22"/>
        </w:rPr>
        <w:t xml:space="preserve"> grâce à la documentation, à la formation et au renforcement des capacités. Le projet vise à mettre en œuvre le plan de sauvegarde actualisé décrit dans le dernier </w:t>
      </w:r>
      <w:hyperlink r:id="rId8" w:history="1">
        <w:r w:rsidRPr="00024F52">
          <w:rPr>
            <w:rFonts w:asciiTheme="minorBidi" w:hAnsiTheme="minorBidi"/>
            <w:color w:val="0000FF"/>
            <w:sz w:val="22"/>
            <w:u w:val="single"/>
            <w:lang w:eastAsia="en-GB"/>
          </w:rPr>
          <w:t>rapport périodique</w:t>
        </w:r>
      </w:hyperlink>
      <w:r w:rsidRPr="00024F52">
        <w:rPr>
          <w:rFonts w:asciiTheme="minorBidi" w:hAnsiTheme="minorBidi"/>
          <w:sz w:val="22"/>
        </w:rPr>
        <w:t xml:space="preserve"> soumis par l’Égypte sur l’élément « Marionnettes à gaine traditionnelles » inscrit en 2018 sur la Liste du patrimoine culturel immatériel nécessitant une sauvegarde urgente. Historiquement joués par des artistes itinérants, les spectacles d’Al-</w:t>
      </w:r>
      <w:proofErr w:type="spellStart"/>
      <w:r w:rsidRPr="00024F52">
        <w:rPr>
          <w:rFonts w:asciiTheme="minorBidi" w:hAnsiTheme="minorBidi"/>
          <w:sz w:val="22"/>
        </w:rPr>
        <w:t>Aragoz</w:t>
      </w:r>
      <w:proofErr w:type="spellEnd"/>
      <w:r w:rsidRPr="00024F52">
        <w:rPr>
          <w:rFonts w:asciiTheme="minorBidi" w:hAnsiTheme="minorBidi"/>
          <w:sz w:val="22"/>
        </w:rPr>
        <w:t xml:space="preserve"> étaient un élément essentiel des célébrations religieuses et des rassemblements publics, divertissant et éduquant principalement les enfants. Aujourd’hui, le nombre de praticiens d’Al-</w:t>
      </w:r>
      <w:proofErr w:type="spellStart"/>
      <w:r w:rsidRPr="00024F52">
        <w:rPr>
          <w:rFonts w:asciiTheme="minorBidi" w:hAnsiTheme="minorBidi"/>
          <w:sz w:val="22"/>
        </w:rPr>
        <w:t>Aragoz</w:t>
      </w:r>
      <w:proofErr w:type="spellEnd"/>
      <w:r w:rsidRPr="00024F52">
        <w:rPr>
          <w:rFonts w:asciiTheme="minorBidi" w:hAnsiTheme="minorBidi"/>
          <w:sz w:val="22"/>
        </w:rPr>
        <w:t xml:space="preserve"> a considérablement diminué en raison de multiples facteurs, notamment le vieillissement et la disparition des maîtres interprètes, en particulier pendant la pandémie de COVID-19, ainsi qu’en l’absence de transmission des compétences aux jeunes générations. Les activités du projet comprennent l’organisation d’ateliers pour les nouveaux artistes, la formation d’artisans à la fabrication de marionnettes, la documentation des connaissances traditionnelles et le renforcement des fonctions éducatives et sociales d’Al-</w:t>
      </w:r>
      <w:proofErr w:type="spellStart"/>
      <w:r w:rsidRPr="00024F52">
        <w:rPr>
          <w:rFonts w:asciiTheme="minorBidi" w:hAnsiTheme="minorBidi"/>
          <w:sz w:val="22"/>
        </w:rPr>
        <w:t>Aragoz</w:t>
      </w:r>
      <w:proofErr w:type="spellEnd"/>
      <w:r w:rsidRPr="00024F52">
        <w:rPr>
          <w:rFonts w:asciiTheme="minorBidi" w:hAnsiTheme="minorBidi"/>
          <w:sz w:val="22"/>
        </w:rPr>
        <w:t>, par exemple en établissant un partenariat avec le Ministère de l’éducation afin d’intégrer les spectacles dans les programmes des écoles primaires. Le projet prévoit en outre la création d’une salle d’exposition permanente pour les marionnettes traditionnelles et l’organisation d’une conférence internationale sur le thème des marionnettes traditionnelles afin d’échanger des expériences entre les chercheurs, les universitaires, les praticiens et les fabricants de marionnettes. La demande fait également état de supports de communication et de sensibilisation, notamment un site web dédié, des brochures et des catalogues, ainsi qu’un court documentaire sous-titré en arabe et en anglais. Outre la reconnaissance de l’importance d’Al-</w:t>
      </w:r>
      <w:proofErr w:type="spellStart"/>
      <w:r w:rsidRPr="00024F52">
        <w:rPr>
          <w:rFonts w:asciiTheme="minorBidi" w:hAnsiTheme="minorBidi"/>
          <w:sz w:val="22"/>
        </w:rPr>
        <w:t>Aragoz</w:t>
      </w:r>
      <w:proofErr w:type="spellEnd"/>
      <w:r w:rsidRPr="00024F52">
        <w:rPr>
          <w:rFonts w:asciiTheme="minorBidi" w:hAnsiTheme="minorBidi"/>
          <w:sz w:val="22"/>
        </w:rPr>
        <w:t>, ce projet devrait illustrer la manière dont les arts traditionnels peuvent être revitalisés, modernisés et soutenus financièrement, encourageant ainsi les organisations gouvernementales, du secteur privé et de la société civile à investir dans des initiatives similaires pour d’autres pratiques culturelles menacées.</w:t>
      </w:r>
    </w:p>
    <w:p w14:paraId="56273E2F" w14:textId="77777777" w:rsidR="00024F52" w:rsidRPr="00024F52" w:rsidRDefault="00024F52" w:rsidP="00024F52">
      <w:pPr>
        <w:numPr>
          <w:ilvl w:val="0"/>
          <w:numId w:val="21"/>
        </w:numPr>
        <w:spacing w:before="120"/>
        <w:ind w:left="567" w:hanging="567"/>
        <w:jc w:val="both"/>
        <w:rPr>
          <w:rFonts w:asciiTheme="minorBidi" w:hAnsiTheme="minorBidi" w:cstheme="minorBidi"/>
          <w:sz w:val="22"/>
          <w:szCs w:val="22"/>
        </w:rPr>
      </w:pPr>
      <w:r w:rsidRPr="00024F52">
        <w:rPr>
          <w:rFonts w:asciiTheme="minorBidi" w:hAnsiTheme="minorBidi"/>
          <w:sz w:val="22"/>
          <w:u w:val="single"/>
        </w:rPr>
        <w:t>Prend note en outre</w:t>
      </w:r>
      <w:r w:rsidRPr="00024F52">
        <w:rPr>
          <w:rFonts w:asciiTheme="minorBidi" w:hAnsiTheme="minorBidi"/>
          <w:sz w:val="22"/>
        </w:rPr>
        <w:t xml:space="preserve"> que cette assistance vise à soutenir un projet mis en œuvre au niveau national, conformément à l’article 20 (c) de la Convention, et qu’elle prend la forme </w:t>
      </w:r>
      <w:r w:rsidRPr="00024F52">
        <w:rPr>
          <w:rFonts w:asciiTheme="minorBidi" w:hAnsiTheme="minorBidi"/>
          <w:b/>
          <w:bCs/>
          <w:sz w:val="22"/>
        </w:rPr>
        <w:t>d’octroi d’un don</w:t>
      </w:r>
      <w:r w:rsidRPr="00024F52">
        <w:rPr>
          <w:rFonts w:asciiTheme="minorBidi" w:hAnsiTheme="minorBidi"/>
          <w:sz w:val="22"/>
        </w:rPr>
        <w:t>, conformément à l’article 21 (g) de la Convention ;</w:t>
      </w:r>
    </w:p>
    <w:p w14:paraId="3A89685E" w14:textId="77777777" w:rsidR="00024F52" w:rsidRPr="00024F52" w:rsidRDefault="00024F52" w:rsidP="00024F52">
      <w:pPr>
        <w:keepNext/>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Prend également note</w:t>
      </w:r>
      <w:r w:rsidRPr="00024F52">
        <w:rPr>
          <w:rFonts w:asciiTheme="minorBidi" w:hAnsiTheme="minorBidi"/>
          <w:sz w:val="22"/>
        </w:rPr>
        <w:t xml:space="preserve"> que l’Egypte a demandé une allocation de 99 840</w:t>
      </w:r>
      <w:r w:rsidRPr="00024F52">
        <w:rPr>
          <w:rFonts w:asciiTheme="minorBidi" w:hAnsiTheme="minorBidi" w:cstheme="minorBidi"/>
          <w:sz w:val="22"/>
          <w:szCs w:val="22"/>
          <w:lang w:val="fr"/>
        </w:rPr>
        <w:t xml:space="preserve"> dollars des États-Unis </w:t>
      </w:r>
      <w:r w:rsidRPr="00024F52">
        <w:rPr>
          <w:rFonts w:asciiTheme="minorBidi" w:hAnsiTheme="minorBidi"/>
          <w:sz w:val="22"/>
        </w:rPr>
        <w:t>du Fonds du patrimoine culturel immatériel pour la mise en œuvre du projet ;</w:t>
      </w:r>
    </w:p>
    <w:p w14:paraId="4475A914" w14:textId="77777777"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Décide</w:t>
      </w:r>
      <w:r w:rsidRPr="00024F52">
        <w:rPr>
          <w:rFonts w:asciiTheme="minorBidi" w:hAnsiTheme="minorBidi"/>
          <w:sz w:val="22"/>
        </w:rPr>
        <w:t xml:space="preserve"> que, d’après les informations fournies dans le dossier n°02460, la demande satisfait aux critères d’octroi de l’assistance internationale énoncés aux paragraphes 10 et 12 des Directives opérationnelles comme suit :</w:t>
      </w:r>
    </w:p>
    <w:p w14:paraId="70E43051" w14:textId="6C11AF5A"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A.1</w:t>
      </w:r>
      <w:r w:rsidR="008724B0">
        <w:rPr>
          <w:rFonts w:asciiTheme="minorBidi" w:hAnsiTheme="minorBidi"/>
          <w:b/>
          <w:sz w:val="22"/>
        </w:rPr>
        <w:t xml:space="preserve"> </w:t>
      </w:r>
      <w:r w:rsidRPr="00024F52">
        <w:rPr>
          <w:rFonts w:asciiTheme="minorBidi" w:hAnsiTheme="minorBidi"/>
          <w:b/>
          <w:sz w:val="22"/>
        </w:rPr>
        <w:t xml:space="preserve">: </w:t>
      </w:r>
      <w:r w:rsidRPr="00024F52">
        <w:rPr>
          <w:rFonts w:asciiTheme="minorBidi" w:hAnsiTheme="minorBidi"/>
          <w:sz w:val="22"/>
        </w:rPr>
        <w:t xml:space="preserve">Les communautés concernées, y compris les maîtres marionnettistes et les artisans, ont participé à l’élaboration de la demande. Leurs contributions ont été déterminantes dans l’identification des besoins et des priorités de la communauté en matière de sauvegarde, contribuant ainsi à définir les activités proposées. Au cours de la mise en œuvre du projet, les praticiens et les détenteurs contribueront à la conception des modules de formation, dirigeront les activités de formation et participeront aux représentations publiques. Historiquement, cette pratique a été menée par des hommes, aucune femme n’étant actuellement reconnue comme détentrices ou praticiennes. Compte tenu de l’évolution des contextes sociaux et de la </w:t>
      </w:r>
      <w:r w:rsidRPr="00024F52">
        <w:rPr>
          <w:rFonts w:asciiTheme="minorBidi" w:hAnsiTheme="minorBidi"/>
          <w:sz w:val="22"/>
        </w:rPr>
        <w:lastRenderedPageBreak/>
        <w:t>disposition des communautés concernées, le projet adoptera une approche inclusive et basée sur l’égalité de genre, les femmes représentant au moins 50 % des apprentis dans tous les domaines de formation. Cette mesure vise à faire en sorte que les femmes soient habilitées à devenir les futures détentrices de cette pratique. La demande indique également la participation d’organisations non gouvernementales ayant une expérience dans la sauvegarde d’Al-</w:t>
      </w:r>
      <w:proofErr w:type="spellStart"/>
      <w:r w:rsidRPr="00024F52">
        <w:rPr>
          <w:rFonts w:asciiTheme="minorBidi" w:hAnsiTheme="minorBidi"/>
          <w:sz w:val="22"/>
        </w:rPr>
        <w:t>Aragoz</w:t>
      </w:r>
      <w:proofErr w:type="spellEnd"/>
      <w:r w:rsidRPr="00024F52">
        <w:rPr>
          <w:rFonts w:asciiTheme="minorBidi" w:hAnsiTheme="minorBidi"/>
          <w:sz w:val="22"/>
        </w:rPr>
        <w:t xml:space="preserve"> dans les composantes de formation et de sensibilisation de la communauté.</w:t>
      </w:r>
    </w:p>
    <w:p w14:paraId="7D1E7B46" w14:textId="6AD98031" w:rsidR="00024F52" w:rsidRPr="00024F52" w:rsidRDefault="00024F52" w:rsidP="00024F52">
      <w:pPr>
        <w:spacing w:before="120" w:after="120"/>
        <w:ind w:left="567"/>
        <w:jc w:val="both"/>
        <w:rPr>
          <w:rFonts w:asciiTheme="minorBidi" w:hAnsiTheme="minorBidi" w:cstheme="minorBidi"/>
          <w:bCs/>
          <w:sz w:val="22"/>
          <w:szCs w:val="22"/>
        </w:rPr>
      </w:pPr>
      <w:r w:rsidRPr="00024F52">
        <w:rPr>
          <w:rFonts w:asciiTheme="minorBidi" w:hAnsiTheme="minorBidi"/>
          <w:b/>
          <w:sz w:val="22"/>
        </w:rPr>
        <w:t>Critère A.2</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La ventilation du budget et le calendrier proposé sont bien structurés et conformes aux activités décrites dans la demande. Le montant de l’assistance demandée est considéré comme étant approprié par rapport à la portée et à la durée du projet.</w:t>
      </w:r>
    </w:p>
    <w:p w14:paraId="156C2358" w14:textId="3517C5F2"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A.3</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Les activités proposées sont cohérentes et alignées sur les objectifs et les résultats attendus du projet. Les activités prévoient des réunions avec les parties prenantes, de la documentation, du renforcement des capacités, des représentations publiques, la création d’une salle d’exposition pour Al-</w:t>
      </w:r>
      <w:proofErr w:type="spellStart"/>
      <w:r w:rsidRPr="00024F52">
        <w:rPr>
          <w:rFonts w:asciiTheme="minorBidi" w:hAnsiTheme="minorBidi"/>
          <w:sz w:val="22"/>
        </w:rPr>
        <w:t>Aragoz</w:t>
      </w:r>
      <w:proofErr w:type="spellEnd"/>
      <w:r w:rsidRPr="00024F52">
        <w:rPr>
          <w:rFonts w:asciiTheme="minorBidi" w:hAnsiTheme="minorBidi"/>
          <w:sz w:val="22"/>
        </w:rPr>
        <w:t xml:space="preserve">, une campagne de sensibilisation, une conférence internationale et le suivi du projet. </w:t>
      </w:r>
    </w:p>
    <w:p w14:paraId="7094A4A2" w14:textId="1FD288DE"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A.4</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Globalement, le projet vise à faciliter la mise en œuvre de certaines des mesures de sauvegarde identifiées dans le dernier </w:t>
      </w:r>
      <w:hyperlink r:id="rId9" w:history="1">
        <w:r w:rsidRPr="00024F52">
          <w:rPr>
            <w:rFonts w:asciiTheme="minorBidi" w:hAnsiTheme="minorBidi"/>
            <w:color w:val="0000FF"/>
            <w:sz w:val="22"/>
            <w:u w:val="single"/>
            <w:lang w:eastAsia="en-GB"/>
          </w:rPr>
          <w:t>rapport périodique</w:t>
        </w:r>
      </w:hyperlink>
      <w:r w:rsidRPr="00024F52">
        <w:rPr>
          <w:rFonts w:asciiTheme="minorBidi" w:hAnsiTheme="minorBidi"/>
          <w:sz w:val="22"/>
        </w:rPr>
        <w:t xml:space="preserve"> sur le statut de </w:t>
      </w:r>
      <w:hyperlink r:id="rId10" w:history="1">
        <w:r w:rsidRPr="00024F52">
          <w:rPr>
            <w:rFonts w:asciiTheme="minorBidi" w:hAnsiTheme="minorBidi"/>
            <w:color w:val="0000FF"/>
            <w:sz w:val="22"/>
            <w:u w:val="single"/>
            <w:lang w:eastAsia="en-GB"/>
          </w:rPr>
          <w:t>l’élément</w:t>
        </w:r>
      </w:hyperlink>
      <w:r w:rsidRPr="00024F52">
        <w:rPr>
          <w:rFonts w:asciiTheme="minorBidi" w:hAnsiTheme="minorBidi"/>
          <w:sz w:val="22"/>
        </w:rPr>
        <w:t xml:space="preserve"> </w:t>
      </w:r>
      <w:r w:rsidRPr="00024F52">
        <w:t>inscrit</w:t>
      </w:r>
      <w:r w:rsidRPr="00024F52">
        <w:rPr>
          <w:rFonts w:asciiTheme="minorBidi" w:hAnsiTheme="minorBidi"/>
          <w:sz w:val="22"/>
        </w:rPr>
        <w:t xml:space="preserve"> soumis en 2022. Les activités sont conçues pour répondre aux menaces qui pèsent sur l’élément, telles que la diminution du nombre de détenteurs et de praticiens, la perte des chaînes de transmission et le manque de documentation et de recherche. La campagne de sensibilisation et la salle d’exposition contribueront à accroître la reconnaissance d’Al-</w:t>
      </w:r>
      <w:proofErr w:type="spellStart"/>
      <w:r w:rsidRPr="00024F52">
        <w:rPr>
          <w:rFonts w:asciiTheme="minorBidi" w:hAnsiTheme="minorBidi"/>
          <w:sz w:val="22"/>
        </w:rPr>
        <w:t>Aragoz</w:t>
      </w:r>
      <w:proofErr w:type="spellEnd"/>
      <w:r w:rsidRPr="00024F52">
        <w:rPr>
          <w:rFonts w:asciiTheme="minorBidi" w:hAnsiTheme="minorBidi"/>
          <w:sz w:val="22"/>
        </w:rPr>
        <w:t xml:space="preserve"> aux niveaux institutionnel et national. En outre, le projet prévoit l’organisation d’une cinquantaine de représentations publiques dans des écoles et des centres culturels du Caire, d’Alexandrie et de la Haute-Égypte. Ces spectacles rassembleront plus de 15 000 personnes, afin de les sensibiliser à l’élément tout en offrant au public, y compris les familles et les enfants, l’occasion de l’apprécier. Grâce à une gamme variée d’activités, le projet vise à assurer la viabilité et la visibilité de l’élément, tout en améliorant ses fonctions sociales dans le contexte actuel. En outre, les apprenties seront </w:t>
      </w:r>
      <w:proofErr w:type="gramStart"/>
      <w:r w:rsidRPr="00024F52">
        <w:rPr>
          <w:rFonts w:asciiTheme="minorBidi" w:hAnsiTheme="minorBidi"/>
          <w:sz w:val="22"/>
        </w:rPr>
        <w:t>dotés</w:t>
      </w:r>
      <w:proofErr w:type="gramEnd"/>
      <w:r w:rsidRPr="00024F52">
        <w:rPr>
          <w:rFonts w:asciiTheme="minorBidi" w:hAnsiTheme="minorBidi"/>
          <w:sz w:val="22"/>
        </w:rPr>
        <w:t xml:space="preserve"> de compétences entrepreneuriales qui leur permettront de lancer leurs propres entreprises liées à la tradition de l’Al-</w:t>
      </w:r>
      <w:proofErr w:type="spellStart"/>
      <w:r w:rsidRPr="00024F52">
        <w:rPr>
          <w:rFonts w:asciiTheme="minorBidi" w:hAnsiTheme="minorBidi"/>
          <w:sz w:val="22"/>
        </w:rPr>
        <w:t>Aragoz</w:t>
      </w:r>
      <w:proofErr w:type="spellEnd"/>
      <w:r w:rsidRPr="00024F52">
        <w:rPr>
          <w:rFonts w:asciiTheme="minorBidi" w:hAnsiTheme="minorBidi"/>
          <w:sz w:val="22"/>
        </w:rPr>
        <w:t>.</w:t>
      </w:r>
    </w:p>
    <w:p w14:paraId="117CC780" w14:textId="7C35322B" w:rsidR="00024F52" w:rsidRPr="00024F52" w:rsidRDefault="00024F52" w:rsidP="00024F52">
      <w:pPr>
        <w:spacing w:before="120" w:after="120"/>
        <w:ind w:left="567"/>
        <w:jc w:val="both"/>
        <w:rPr>
          <w:rFonts w:asciiTheme="minorBidi" w:hAnsiTheme="minorBidi"/>
          <w:sz w:val="22"/>
        </w:rPr>
      </w:pPr>
      <w:r w:rsidRPr="00024F52">
        <w:rPr>
          <w:rFonts w:asciiTheme="minorBidi" w:hAnsiTheme="minorBidi"/>
          <w:b/>
          <w:sz w:val="22"/>
        </w:rPr>
        <w:t>Critère A.5</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L’État partie demandeur contribuera à hauteur de 25 pour cent (33 690 </w:t>
      </w:r>
      <w:r w:rsidRPr="00024F52">
        <w:rPr>
          <w:rFonts w:asciiTheme="minorBidi" w:hAnsiTheme="minorBidi" w:cstheme="minorBidi"/>
          <w:sz w:val="22"/>
          <w:szCs w:val="22"/>
          <w:lang w:val="fr"/>
        </w:rPr>
        <w:t>dollars des États-Unis</w:t>
      </w:r>
      <w:r w:rsidRPr="00024F52">
        <w:rPr>
          <w:rFonts w:asciiTheme="minorBidi" w:hAnsiTheme="minorBidi"/>
          <w:sz w:val="22"/>
        </w:rPr>
        <w:t xml:space="preserve">) du montant total du budget du projet (133 530 </w:t>
      </w:r>
      <w:r w:rsidRPr="00024F52">
        <w:rPr>
          <w:rFonts w:asciiTheme="minorBidi" w:hAnsiTheme="minorBidi" w:cstheme="minorBidi"/>
          <w:sz w:val="22"/>
          <w:szCs w:val="22"/>
          <w:lang w:val="fr"/>
        </w:rPr>
        <w:t>dollars des États-Unis</w:t>
      </w:r>
      <w:r w:rsidRPr="00024F52">
        <w:rPr>
          <w:rFonts w:asciiTheme="minorBidi" w:hAnsiTheme="minorBidi"/>
          <w:sz w:val="22"/>
        </w:rPr>
        <w:t>). Par conséquent, une assistance internationale est demandée au Fonds du patrimoine culturel immatériel pour les 75 pour cent restants du montant total du projet.</w:t>
      </w:r>
    </w:p>
    <w:p w14:paraId="7AFE3BA9" w14:textId="39FB63EC"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A.6</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Le projet vise à renforcer les capacités des communautés afin d’assurer la transmission des compétences et des connaissances associées à l’Al-</w:t>
      </w:r>
      <w:proofErr w:type="spellStart"/>
      <w:r w:rsidRPr="00024F52">
        <w:rPr>
          <w:rFonts w:asciiTheme="minorBidi" w:hAnsiTheme="minorBidi"/>
          <w:sz w:val="22"/>
        </w:rPr>
        <w:t>Aragoz</w:t>
      </w:r>
      <w:proofErr w:type="spellEnd"/>
      <w:r w:rsidRPr="00024F52">
        <w:rPr>
          <w:rFonts w:asciiTheme="minorBidi" w:hAnsiTheme="minorBidi"/>
          <w:sz w:val="22"/>
        </w:rPr>
        <w:t xml:space="preserve"> aux générations futures. Au cours du programme de renforcement des capacités, soixante personnes recevront une formation dans divers domaines liés à cet élément, de la manipulation des marionnettes à la modulation de la voix (« Al-Amana »), en passant par l’improvisation, la narration d’histoires et l’entrepreneuriat culturel. Les artisans acquerront également des compétences en matière de fabrication de marionnettes et d’appareils vocaux. En tant que futurs praticiens, les apprentis seront sélectionnés par le biais d’appels à candidatures ouverts dans les universités, les organisations non gouvernementales et les centres culturels. La demande précise également que les capacités des maîtres praticiens seront encore renforcées en les engageant comme formateurs et mentors. Cela permettra non seulement de renforcer leur propre reconnaissance, mais aussi de garantir que leur expertise est transmise aux jeunes générations de manière structurée. Les capacités institutionnelles seront renforcées au sein du Fonds de développement culturel, qui coordonnera la mise en œuvre du projet. La création d’une salle d’exposition permanente servira également de plate-forme éducative à long terme, élargissant ainsi le rôle de l’institution dans la sauvegarde de cette pratique.</w:t>
      </w:r>
    </w:p>
    <w:p w14:paraId="0643AB26" w14:textId="43AC09A9" w:rsidR="00024F52" w:rsidRPr="00024F52" w:rsidRDefault="00024F52" w:rsidP="00024F52">
      <w:pPr>
        <w:spacing w:after="120"/>
        <w:ind w:left="567"/>
        <w:jc w:val="both"/>
        <w:rPr>
          <w:rFonts w:asciiTheme="minorBidi" w:hAnsiTheme="minorBidi"/>
          <w:snapToGrid w:val="0"/>
          <w:sz w:val="22"/>
          <w:szCs w:val="22"/>
          <w:shd w:val="clear" w:color="auto" w:fill="FFFFFF"/>
        </w:rPr>
      </w:pPr>
      <w:r w:rsidRPr="00024F52">
        <w:rPr>
          <w:rFonts w:asciiTheme="minorBidi" w:hAnsiTheme="minorBidi"/>
          <w:b/>
          <w:snapToGrid w:val="0"/>
          <w:sz w:val="22"/>
        </w:rPr>
        <w:t>Critère A.7</w:t>
      </w:r>
      <w:r w:rsidR="008724B0">
        <w:rPr>
          <w:rFonts w:asciiTheme="minorBidi" w:hAnsiTheme="minorBidi"/>
          <w:b/>
          <w:snapToGrid w:val="0"/>
          <w:sz w:val="22"/>
        </w:rPr>
        <w:t xml:space="preserve"> </w:t>
      </w:r>
      <w:r w:rsidRPr="00024F52">
        <w:rPr>
          <w:rFonts w:asciiTheme="minorBidi" w:hAnsiTheme="minorBidi"/>
          <w:b/>
          <w:snapToGrid w:val="0"/>
          <w:sz w:val="22"/>
          <w:shd w:val="clear" w:color="auto" w:fill="FFFFFF"/>
        </w:rPr>
        <w:t xml:space="preserve">: </w:t>
      </w:r>
      <w:r w:rsidRPr="00024F52">
        <w:rPr>
          <w:rFonts w:asciiTheme="minorBidi" w:hAnsiTheme="minorBidi"/>
          <w:snapToGrid w:val="0"/>
          <w:sz w:val="22"/>
          <w:shd w:val="clear" w:color="auto" w:fill="FFFFFF"/>
        </w:rPr>
        <w:t>L’Égypte a bénéficié d’une assistance internationale du Fonds du patrimoine culturel immatériel pour un projet achevé</w:t>
      </w:r>
      <w:r w:rsidRPr="00024F52">
        <w:rPr>
          <w:rFonts w:asciiTheme="minorBidi" w:hAnsiTheme="minorBidi"/>
          <w:snapToGrid w:val="0"/>
          <w:sz w:val="22"/>
          <w:szCs w:val="22"/>
          <w:shd w:val="clear" w:color="auto" w:fill="FFFFFF"/>
          <w:vertAlign w:val="superscript"/>
          <w:lang w:eastAsia="en-US"/>
        </w:rPr>
        <w:footnoteReference w:id="2"/>
      </w:r>
      <w:r w:rsidRPr="00024F52">
        <w:rPr>
          <w:rFonts w:asciiTheme="minorBidi" w:hAnsiTheme="minorBidi"/>
          <w:snapToGrid w:val="0"/>
          <w:sz w:val="22"/>
          <w:shd w:val="clear" w:color="auto" w:fill="FFFFFF"/>
        </w:rPr>
        <w:t xml:space="preserve">. Les activités prévues dans le contrat relatif à ce projet ont été réalisées conformément aux règles de l’UNESCO. </w:t>
      </w:r>
    </w:p>
    <w:p w14:paraId="6D0981E1" w14:textId="77777777" w:rsidR="00024F52" w:rsidRPr="00024F52" w:rsidRDefault="00024F52" w:rsidP="00024F52">
      <w:pPr>
        <w:ind w:left="567"/>
        <w:contextualSpacing/>
        <w:jc w:val="both"/>
        <w:rPr>
          <w:rFonts w:asciiTheme="minorBidi" w:hAnsiTheme="minorBidi" w:cstheme="minorBidi"/>
          <w:bCs/>
          <w:sz w:val="22"/>
          <w:szCs w:val="22"/>
        </w:rPr>
      </w:pPr>
      <w:r w:rsidRPr="00024F52">
        <w:rPr>
          <w:rFonts w:asciiTheme="minorBidi" w:hAnsiTheme="minorBidi"/>
          <w:b/>
          <w:sz w:val="22"/>
        </w:rPr>
        <w:t>Paragraphe 10(a):</w:t>
      </w:r>
      <w:r w:rsidRPr="00024F52">
        <w:rPr>
          <w:rFonts w:asciiTheme="minorBidi" w:hAnsiTheme="minorBidi"/>
          <w:sz w:val="22"/>
        </w:rPr>
        <w:t xml:space="preserve"> Le projet est d’envergure nationale et impliquera les ministères de la Culture, de l’Enseignement supérieur, de la Jeunesse et du Tourisme, ainsi que le Conseil suprême de la Culture. Des universitaires et des organisations artistiques non gouvernementales - notamment la troupe </w:t>
      </w:r>
      <w:proofErr w:type="spellStart"/>
      <w:r w:rsidRPr="00024F52">
        <w:rPr>
          <w:rFonts w:asciiTheme="minorBidi" w:hAnsiTheme="minorBidi"/>
          <w:sz w:val="22"/>
        </w:rPr>
        <w:t>Wamda</w:t>
      </w:r>
      <w:proofErr w:type="spellEnd"/>
      <w:r w:rsidRPr="00024F52">
        <w:rPr>
          <w:rFonts w:asciiTheme="minorBidi" w:hAnsiTheme="minorBidi"/>
          <w:sz w:val="22"/>
        </w:rPr>
        <w:t xml:space="preserve"> pour </w:t>
      </w:r>
      <w:proofErr w:type="spellStart"/>
      <w:r w:rsidRPr="00024F52">
        <w:rPr>
          <w:rFonts w:asciiTheme="minorBidi" w:hAnsiTheme="minorBidi"/>
          <w:sz w:val="22"/>
        </w:rPr>
        <w:t>Aragoz</w:t>
      </w:r>
      <w:proofErr w:type="spellEnd"/>
      <w:r w:rsidRPr="00024F52">
        <w:rPr>
          <w:rFonts w:asciiTheme="minorBidi" w:hAnsiTheme="minorBidi"/>
          <w:sz w:val="22"/>
        </w:rPr>
        <w:t xml:space="preserve"> et Shadow Shows - participeront également au projet. </w:t>
      </w:r>
    </w:p>
    <w:p w14:paraId="20C893F8" w14:textId="26C3E16E"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napToGrid w:val="0"/>
          <w:sz w:val="22"/>
        </w:rPr>
        <w:t>Paragraphe 10(b)</w:t>
      </w:r>
      <w:r w:rsidR="008724B0">
        <w:rPr>
          <w:rFonts w:asciiTheme="minorBidi" w:hAnsiTheme="minorBidi"/>
          <w:b/>
          <w:snapToGrid w:val="0"/>
          <w:sz w:val="22"/>
        </w:rPr>
        <w:t xml:space="preserve"> </w:t>
      </w:r>
      <w:r w:rsidRPr="00024F52">
        <w:rPr>
          <w:rFonts w:asciiTheme="minorBidi" w:hAnsiTheme="minorBidi"/>
          <w:b/>
          <w:snapToGrid w:val="0"/>
          <w:sz w:val="22"/>
        </w:rPr>
        <w:t xml:space="preserve">: </w:t>
      </w:r>
      <w:r w:rsidRPr="00024F52">
        <w:rPr>
          <w:rFonts w:asciiTheme="minorBidi" w:hAnsiTheme="minorBidi"/>
          <w:sz w:val="22"/>
        </w:rPr>
        <w:t xml:space="preserve">Le projet devrait revitaliser cette expression artistique populaire au niveau national. Il vise en outre à </w:t>
      </w:r>
      <w:r w:rsidRPr="00024F52">
        <w:rPr>
          <w:rFonts w:asciiTheme="minorBidi" w:hAnsiTheme="minorBidi"/>
          <w:snapToGrid w:val="0"/>
          <w:sz w:val="22"/>
        </w:rPr>
        <w:t xml:space="preserve">établir des partenariats entre les institutions gouvernementales, les entités du secteur privé et les organisations de la société civile, dans le but de faciliter la mobilisation des ressources financières et techniques pour la sauvegarde de l’élément. </w:t>
      </w:r>
    </w:p>
    <w:p w14:paraId="49E1550E" w14:textId="77777777"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Approuve</w:t>
      </w:r>
      <w:r w:rsidRPr="00024F52">
        <w:rPr>
          <w:rFonts w:asciiTheme="minorBidi" w:hAnsiTheme="minorBidi"/>
          <w:sz w:val="22"/>
        </w:rPr>
        <w:t xml:space="preserve"> la demande d’assistance internationale de l’Egypte pour le projet </w:t>
      </w:r>
      <w:r w:rsidRPr="00024F52">
        <w:rPr>
          <w:rFonts w:asciiTheme="minorBidi" w:hAnsiTheme="minorBidi"/>
          <w:b/>
          <w:sz w:val="22"/>
        </w:rPr>
        <w:t>Sauvegarde et renforcement des capacités pour le patrimoine culturel immatériel des marionnettes à gaine traditionnelles Al-</w:t>
      </w:r>
      <w:proofErr w:type="spellStart"/>
      <w:r w:rsidRPr="00024F52">
        <w:rPr>
          <w:rFonts w:asciiTheme="minorBidi" w:hAnsiTheme="minorBidi"/>
          <w:b/>
          <w:sz w:val="22"/>
        </w:rPr>
        <w:t>Aragoz</w:t>
      </w:r>
      <w:proofErr w:type="spellEnd"/>
      <w:r w:rsidRPr="00024F52">
        <w:rPr>
          <w:rFonts w:asciiTheme="minorBidi" w:hAnsiTheme="minorBidi"/>
          <w:b/>
          <w:sz w:val="22"/>
        </w:rPr>
        <w:t xml:space="preserve"> en Egypte</w:t>
      </w:r>
      <w:r w:rsidRPr="00024F52">
        <w:rPr>
          <w:rFonts w:asciiTheme="minorBidi" w:hAnsiTheme="minorBidi"/>
          <w:sz w:val="22"/>
        </w:rPr>
        <w:t>,</w:t>
      </w:r>
      <w:r w:rsidRPr="00024F52">
        <w:rPr>
          <w:rFonts w:asciiTheme="minorBidi" w:hAnsiTheme="minorBidi"/>
          <w:b/>
          <w:sz w:val="22"/>
        </w:rPr>
        <w:t xml:space="preserve"> </w:t>
      </w:r>
      <w:r w:rsidRPr="00024F52">
        <w:rPr>
          <w:rFonts w:asciiTheme="minorBidi" w:hAnsiTheme="minorBidi"/>
          <w:sz w:val="22"/>
        </w:rPr>
        <w:t xml:space="preserve">et </w:t>
      </w:r>
      <w:r w:rsidRPr="00024F52">
        <w:rPr>
          <w:rFonts w:asciiTheme="minorBidi" w:hAnsiTheme="minorBidi"/>
          <w:sz w:val="22"/>
          <w:u w:val="single"/>
        </w:rPr>
        <w:t>accorde</w:t>
      </w:r>
      <w:r w:rsidRPr="00024F52">
        <w:rPr>
          <w:rFonts w:asciiTheme="minorBidi" w:hAnsiTheme="minorBidi"/>
          <w:sz w:val="22"/>
        </w:rPr>
        <w:t xml:space="preserve"> un montant de 99 840 </w:t>
      </w:r>
      <w:r w:rsidRPr="00024F52">
        <w:rPr>
          <w:rFonts w:asciiTheme="minorBidi" w:hAnsiTheme="minorBidi" w:cstheme="minorBidi"/>
          <w:sz w:val="22"/>
          <w:szCs w:val="22"/>
          <w:lang w:val="fr"/>
        </w:rPr>
        <w:t>dollars des États-Unis</w:t>
      </w:r>
      <w:r w:rsidRPr="00024F52">
        <w:rPr>
          <w:rFonts w:asciiTheme="minorBidi" w:hAnsiTheme="minorBidi"/>
          <w:sz w:val="22"/>
        </w:rPr>
        <w:t xml:space="preserve"> pour la mise en œuvre de ce projet ;</w:t>
      </w:r>
    </w:p>
    <w:p w14:paraId="6488CA42" w14:textId="77777777"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bookmarkStart w:id="1" w:name="_Hlk210147202"/>
      <w:r w:rsidRPr="00024F52">
        <w:rPr>
          <w:rFonts w:asciiTheme="minorBidi" w:hAnsiTheme="minorBidi"/>
          <w:sz w:val="22"/>
          <w:u w:val="single"/>
        </w:rPr>
        <w:t>Félicite</w:t>
      </w:r>
      <w:r w:rsidRPr="00024F52">
        <w:rPr>
          <w:rFonts w:asciiTheme="minorBidi" w:hAnsiTheme="minorBidi"/>
          <w:sz w:val="22"/>
        </w:rPr>
        <w:t xml:space="preserve"> l’État partie pour la soumission d’une demande d’assistance internationale afin de mettre en œuvre les mesures de sauvegarde actualisées décrites dans son dernier rapport périodique (soumis en décembre 2022) sur le statut de l’élément « Marionnettes à gaine traditionnelles », qui démontre l’utilisation efficace, de manière interdépendante, des mécanismes de coopération internationale de la Convention ;</w:t>
      </w:r>
    </w:p>
    <w:bookmarkEnd w:id="1"/>
    <w:p w14:paraId="6EC42D73" w14:textId="56ED8EAF"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Note avec intérêt</w:t>
      </w:r>
      <w:r w:rsidRPr="00024F52">
        <w:rPr>
          <w:rFonts w:asciiTheme="minorBidi" w:hAnsiTheme="minorBidi"/>
          <w:sz w:val="22"/>
        </w:rPr>
        <w:t xml:space="preserve"> l’approche basée sur l’égalité des genres développée dans ce projet et </w:t>
      </w:r>
      <w:r w:rsidRPr="00024F52">
        <w:rPr>
          <w:rFonts w:asciiTheme="minorBidi" w:hAnsiTheme="minorBidi"/>
          <w:sz w:val="22"/>
          <w:u w:val="single"/>
        </w:rPr>
        <w:t>encourage</w:t>
      </w:r>
      <w:r w:rsidRPr="00024F52">
        <w:rPr>
          <w:rFonts w:asciiTheme="minorBidi" w:hAnsiTheme="minorBidi"/>
          <w:sz w:val="22"/>
        </w:rPr>
        <w:t xml:space="preserve"> l’État partie à partager l’expérience acquise dans ce cadre sur les pratiques inclusives de sauvegarde</w:t>
      </w:r>
      <w:r w:rsidR="008724B0">
        <w:rPr>
          <w:rFonts w:asciiTheme="minorBidi" w:hAnsiTheme="minorBidi"/>
          <w:sz w:val="22"/>
        </w:rPr>
        <w:t xml:space="preserve"> </w:t>
      </w:r>
      <w:r w:rsidRPr="00024F52">
        <w:rPr>
          <w:rFonts w:asciiTheme="minorBidi" w:hAnsiTheme="minorBidi"/>
          <w:sz w:val="22"/>
        </w:rPr>
        <w:t>;</w:t>
      </w:r>
    </w:p>
    <w:p w14:paraId="77108F0F" w14:textId="77777777"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u w:val="single"/>
        </w:rPr>
      </w:pPr>
      <w:r w:rsidRPr="00024F52">
        <w:rPr>
          <w:rFonts w:asciiTheme="minorBidi" w:hAnsiTheme="minorBidi"/>
          <w:sz w:val="22"/>
          <w:u w:val="single"/>
        </w:rPr>
        <w:t>Demande</w:t>
      </w:r>
      <w:r w:rsidRPr="00024F52">
        <w:rPr>
          <w:rFonts w:asciiTheme="minorBidi" w:hAnsiTheme="minorBidi"/>
          <w:sz w:val="22"/>
        </w:rPr>
        <w:t xml:space="preserve"> </w:t>
      </w:r>
      <w:r w:rsidRPr="00024F52">
        <w:rPr>
          <w:rFonts w:asciiTheme="minorBidi" w:hAnsiTheme="minorBidi" w:cstheme="minorBidi"/>
          <w:sz w:val="22"/>
          <w:szCs w:val="22"/>
          <w:lang w:val="fr"/>
        </w:rPr>
        <w:t>au Secrétariat de se mettre d’accord avec l’État partie demandeur sur les détails techniques de l’assistance, en accordant une attention particulière à ce que le budget et le plan de travail des activités à couvrir par le Fonds du patrimoine culturel immatériel soient suffisamment détaillés et précis pour justifier toutes les dépenses ;</w:t>
      </w:r>
    </w:p>
    <w:p w14:paraId="514D1D12" w14:textId="77777777" w:rsidR="00024F52" w:rsidRPr="00024F52" w:rsidRDefault="00024F52" w:rsidP="00024F52">
      <w:pPr>
        <w:numPr>
          <w:ilvl w:val="0"/>
          <w:numId w:val="21"/>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Invite</w:t>
      </w:r>
      <w:r w:rsidRPr="00024F52">
        <w:rPr>
          <w:rFonts w:asciiTheme="minorBidi" w:hAnsiTheme="minorBidi"/>
          <w:sz w:val="22"/>
        </w:rPr>
        <w:t xml:space="preserve"> l’État partie demandeur à utiliser le formulaire ICH-04-Rapport afin de rendre compte de l’utilisation de l’assistance octroyée.</w:t>
      </w:r>
    </w:p>
    <w:bookmarkEnd w:id="0"/>
    <w:p w14:paraId="166127AA" w14:textId="1128D061" w:rsidR="00024F52" w:rsidRPr="00024F52" w:rsidRDefault="00024F52" w:rsidP="00024F52">
      <w:pPr>
        <w:keepNext/>
        <w:spacing w:before="240" w:after="120"/>
        <w:jc w:val="both"/>
        <w:rPr>
          <w:rFonts w:ascii="Arial" w:hAnsi="Arial" w:cs="Arial"/>
          <w:b/>
          <w:sz w:val="22"/>
          <w:szCs w:val="22"/>
        </w:rPr>
      </w:pPr>
      <w:r w:rsidRPr="00024F52">
        <w:rPr>
          <w:rFonts w:ascii="Arial" w:hAnsi="Arial" w:cs="Arial"/>
          <w:b/>
          <w:sz w:val="22"/>
          <w:szCs w:val="22"/>
        </w:rPr>
        <w:t>DÉCISION 20.COM 4.BUR 3.2</w:t>
      </w:r>
    </w:p>
    <w:p w14:paraId="283B5C5B" w14:textId="77777777" w:rsidR="00024F52" w:rsidRPr="00024F52" w:rsidRDefault="00024F52" w:rsidP="00024F52">
      <w:pPr>
        <w:keepNext/>
        <w:spacing w:before="120" w:after="120"/>
        <w:jc w:val="both"/>
        <w:rPr>
          <w:rFonts w:asciiTheme="minorBidi" w:hAnsiTheme="minorBidi" w:cstheme="minorBidi"/>
          <w:sz w:val="22"/>
          <w:szCs w:val="22"/>
        </w:rPr>
      </w:pPr>
      <w:r w:rsidRPr="00024F52">
        <w:rPr>
          <w:rFonts w:asciiTheme="minorBidi" w:hAnsiTheme="minorBidi"/>
          <w:sz w:val="22"/>
        </w:rPr>
        <w:t>Le Bureau,</w:t>
      </w:r>
    </w:p>
    <w:p w14:paraId="0852E05C"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Rappelant</w:t>
      </w:r>
      <w:r w:rsidRPr="00024F52">
        <w:rPr>
          <w:rFonts w:asciiTheme="minorBidi" w:hAnsiTheme="minorBidi"/>
          <w:sz w:val="22"/>
        </w:rPr>
        <w:t xml:space="preserve"> le chapitre V de la Convention ainsi que le chapitre I.4 des Directives opérationnelles relatifs à l’admissibilité et aux critères de sélection des demandes d’assistance internationale,</w:t>
      </w:r>
    </w:p>
    <w:p w14:paraId="6E75DFF8"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Ayant examiné</w:t>
      </w:r>
      <w:r w:rsidRPr="00024F52">
        <w:rPr>
          <w:rFonts w:asciiTheme="minorBidi" w:hAnsiTheme="minorBidi"/>
          <w:sz w:val="22"/>
        </w:rPr>
        <w:t xml:space="preserve"> le document 20.COM 4.BUR 3 ainsi que la demande d’assistance internationale n°02462 soumise par le Népal,</w:t>
      </w:r>
    </w:p>
    <w:p w14:paraId="3B1E0FED"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Prend note</w:t>
      </w:r>
      <w:r w:rsidRPr="00024F52">
        <w:rPr>
          <w:rFonts w:asciiTheme="minorBidi" w:hAnsiTheme="minorBidi"/>
          <w:sz w:val="22"/>
        </w:rPr>
        <w:t xml:space="preserve"> que le Népal a demandé une assistance internationale pour le projet intitulé </w:t>
      </w:r>
      <w:r w:rsidRPr="00024F52">
        <w:rPr>
          <w:rFonts w:asciiTheme="minorBidi" w:hAnsiTheme="minorBidi"/>
          <w:b/>
          <w:sz w:val="22"/>
        </w:rPr>
        <w:t>Élaboration d’inventaires du patrimoine culturel immatériel couvrant les sept provinces du Népal</w:t>
      </w:r>
      <w:r w:rsidRPr="00024F52">
        <w:rPr>
          <w:rFonts w:asciiTheme="minorBidi" w:hAnsiTheme="minorBidi"/>
          <w:sz w:val="22"/>
        </w:rPr>
        <w:t xml:space="preserve"> :</w:t>
      </w:r>
    </w:p>
    <w:p w14:paraId="0B55C10E" w14:textId="77777777" w:rsidR="00024F52" w:rsidRPr="00024F52" w:rsidRDefault="00024F52" w:rsidP="00024F52">
      <w:pPr>
        <w:ind w:left="567"/>
        <w:jc w:val="both"/>
        <w:rPr>
          <w:rFonts w:asciiTheme="minorBidi" w:hAnsiTheme="minorBidi" w:cstheme="minorBidi"/>
          <w:sz w:val="22"/>
          <w:szCs w:val="22"/>
        </w:rPr>
      </w:pPr>
      <w:r w:rsidRPr="00024F52">
        <w:rPr>
          <w:rFonts w:asciiTheme="minorBidi" w:hAnsiTheme="minorBidi"/>
          <w:sz w:val="22"/>
        </w:rPr>
        <w:t>Mis en œuvre par le Bureau de l’UNESCO à Katmandou, en étroite collaboration avec le ministère de la Culture, du Tourisme et de l’Aviation civile du Népal (</w:t>
      </w:r>
      <w:proofErr w:type="spellStart"/>
      <w:r w:rsidRPr="00024F52">
        <w:rPr>
          <w:rFonts w:asciiTheme="minorBidi" w:hAnsiTheme="minorBidi"/>
          <w:sz w:val="22"/>
        </w:rPr>
        <w:t>MoCTCA</w:t>
      </w:r>
      <w:proofErr w:type="spellEnd"/>
      <w:r w:rsidRPr="00024F52">
        <w:rPr>
          <w:rFonts w:asciiTheme="minorBidi" w:hAnsiTheme="minorBidi"/>
          <w:sz w:val="22"/>
        </w:rPr>
        <w:t>), ce projet de vingt-quatre mois vise à sauvegarder le patrimoine culturel immatériel du Népal. Le projet consiste à sensibiliser à la Convention de 2003 et à promouvoir sa mise en œuvre, à renforcer les capacités d’inventaire basé sur les communautés et à dresser un inventaire d’au moins vingt éléments du patrimoine culturel immatériel. Les activités comprennent l’organisation d’ateliers d’inventaire à l’intention des communautés autochtones, l’amélioration de la visibilité et de la sensibilisation au patrimoine vivant grâce à l’inventaire et à la documentation. Le projet accorde une attention particulière à la participation des détenteurs et des praticiens, y compris des représentants des communautés autochtones. Outre le renforcement global des capacité du Népal à sauvegarder son patrimoine culturel immatériel, l’approche participative du projet permettra aux communautés de jouer un rôle actif dans l’identification et la mise en œuvre des mesures de sauvegarde. Il permettra également aux membres des communautés - en particulier les jeunes - d’acquérir les compétences nécessaires pour organiser des ateliers et des séances de formation dans leur propre communauté et dans d’autres communautés intéressées, ce qui renforcera encore les compétences en matière de sensibilisation et d’inventaire. La visibilité accrue du patrimoine vivant devrait également attirer le soutien financier des autorités locales, des organisations privées et des donateurs internationaux, permettant ainsi des activités supplémentaires de sauvegarde et de promotion.</w:t>
      </w:r>
    </w:p>
    <w:p w14:paraId="73DBF446" w14:textId="6C237171" w:rsidR="00024F52" w:rsidRPr="00024F52" w:rsidRDefault="00024F52" w:rsidP="00024F52">
      <w:pPr>
        <w:numPr>
          <w:ilvl w:val="0"/>
          <w:numId w:val="22"/>
        </w:numPr>
        <w:spacing w:before="120"/>
        <w:ind w:left="567" w:hanging="567"/>
        <w:jc w:val="both"/>
        <w:rPr>
          <w:rFonts w:asciiTheme="minorBidi" w:hAnsiTheme="minorBidi" w:cstheme="minorBidi"/>
          <w:sz w:val="22"/>
          <w:szCs w:val="22"/>
        </w:rPr>
      </w:pPr>
      <w:r w:rsidRPr="00024F52">
        <w:rPr>
          <w:rFonts w:asciiTheme="minorBidi" w:hAnsiTheme="minorBidi"/>
          <w:sz w:val="22"/>
          <w:u w:val="single"/>
        </w:rPr>
        <w:t>Prend note en outre</w:t>
      </w:r>
      <w:r w:rsidRPr="00024F52">
        <w:rPr>
          <w:rFonts w:asciiTheme="minorBidi" w:hAnsiTheme="minorBidi"/>
          <w:sz w:val="22"/>
        </w:rPr>
        <w:t xml:space="preserve"> que</w:t>
      </w:r>
      <w:r w:rsidR="008724B0">
        <w:rPr>
          <w:rFonts w:asciiTheme="minorBidi" w:hAnsiTheme="minorBidi"/>
          <w:sz w:val="22"/>
        </w:rPr>
        <w:t xml:space="preserve"> </w:t>
      </w:r>
      <w:r w:rsidRPr="00024F52">
        <w:rPr>
          <w:rFonts w:asciiTheme="minorBidi" w:hAnsiTheme="minorBidi"/>
          <w:sz w:val="22"/>
        </w:rPr>
        <w:t xml:space="preserve">: </w:t>
      </w:r>
    </w:p>
    <w:p w14:paraId="5837187D" w14:textId="77777777" w:rsidR="00024F52" w:rsidRPr="00024F52" w:rsidRDefault="00024F52" w:rsidP="00024F52">
      <w:pPr>
        <w:numPr>
          <w:ilvl w:val="1"/>
          <w:numId w:val="24"/>
        </w:numPr>
        <w:spacing w:before="120" w:after="120"/>
        <w:ind w:left="1135" w:hanging="284"/>
        <w:jc w:val="both"/>
        <w:rPr>
          <w:rFonts w:asciiTheme="minorBidi" w:hAnsiTheme="minorBidi" w:cstheme="minorBidi"/>
          <w:sz w:val="22"/>
          <w:szCs w:val="22"/>
        </w:rPr>
      </w:pPr>
      <w:r w:rsidRPr="00024F52">
        <w:rPr>
          <w:rFonts w:asciiTheme="minorBidi" w:hAnsiTheme="minorBidi"/>
          <w:sz w:val="22"/>
        </w:rPr>
        <w:t>Cette assistance concerne l’appui à un projet mis en œuvre au niveau national, conformément à l’article 20 (c) de la Convention ;</w:t>
      </w:r>
    </w:p>
    <w:p w14:paraId="54B36560" w14:textId="77777777" w:rsidR="00024F52" w:rsidRPr="00024F52" w:rsidRDefault="00024F52" w:rsidP="00024F52">
      <w:pPr>
        <w:numPr>
          <w:ilvl w:val="1"/>
          <w:numId w:val="24"/>
        </w:numPr>
        <w:spacing w:before="120" w:after="120"/>
        <w:ind w:left="1135" w:hanging="284"/>
        <w:jc w:val="both"/>
        <w:rPr>
          <w:rFonts w:asciiTheme="minorBidi" w:hAnsiTheme="minorBidi" w:cstheme="minorBidi"/>
          <w:sz w:val="22"/>
          <w:szCs w:val="22"/>
        </w:rPr>
      </w:pPr>
      <w:r w:rsidRPr="00024F52">
        <w:rPr>
          <w:rFonts w:asciiTheme="minorBidi" w:hAnsiTheme="minorBidi"/>
          <w:sz w:val="22"/>
        </w:rPr>
        <w:t>L’État partie a sollicité une assistance internationale qui prendra la forme de services fournis par l’UNESCO à l’État ; et</w:t>
      </w:r>
    </w:p>
    <w:p w14:paraId="0144F848" w14:textId="77777777" w:rsidR="00024F52" w:rsidRPr="00024F52" w:rsidRDefault="00024F52" w:rsidP="00024F52">
      <w:pPr>
        <w:numPr>
          <w:ilvl w:val="1"/>
          <w:numId w:val="24"/>
        </w:numPr>
        <w:spacing w:before="120" w:after="120"/>
        <w:ind w:left="1135" w:hanging="284"/>
        <w:jc w:val="both"/>
        <w:rPr>
          <w:rFonts w:asciiTheme="minorBidi" w:hAnsiTheme="minorBidi" w:cstheme="minorBidi"/>
          <w:sz w:val="22"/>
          <w:szCs w:val="22"/>
        </w:rPr>
      </w:pPr>
      <w:r w:rsidRPr="00024F52">
        <w:rPr>
          <w:rFonts w:asciiTheme="minorBidi" w:hAnsiTheme="minorBidi"/>
          <w:sz w:val="22"/>
        </w:rPr>
        <w:t xml:space="preserve">L’assistance prendra donc la forme </w:t>
      </w:r>
      <w:r w:rsidRPr="00024F52">
        <w:rPr>
          <w:rFonts w:asciiTheme="minorBidi" w:hAnsiTheme="minorBidi"/>
          <w:b/>
          <w:bCs/>
          <w:sz w:val="22"/>
        </w:rPr>
        <w:t>de</w:t>
      </w:r>
      <w:r w:rsidRPr="00024F52">
        <w:rPr>
          <w:rFonts w:asciiTheme="minorBidi" w:hAnsiTheme="minorBidi"/>
          <w:b/>
          <w:sz w:val="22"/>
        </w:rPr>
        <w:t xml:space="preserve"> services fournis </w:t>
      </w:r>
      <w:r w:rsidRPr="00024F52">
        <w:rPr>
          <w:rFonts w:asciiTheme="minorBidi" w:hAnsiTheme="minorBidi"/>
          <w:bCs/>
          <w:sz w:val="22"/>
        </w:rPr>
        <w:t>par</w:t>
      </w:r>
      <w:r w:rsidRPr="00024F52">
        <w:rPr>
          <w:rFonts w:asciiTheme="minorBidi" w:hAnsiTheme="minorBidi"/>
          <w:b/>
          <w:sz w:val="22"/>
        </w:rPr>
        <w:t xml:space="preserve"> </w:t>
      </w:r>
      <w:r w:rsidRPr="00024F52">
        <w:rPr>
          <w:rFonts w:asciiTheme="minorBidi" w:hAnsiTheme="minorBidi"/>
          <w:sz w:val="22"/>
        </w:rPr>
        <w:t>l’UNESCO (100 pour cent des transactions financières doivent être gérées par l’UNESCO), conformément à l’article 21 (b) et (g) de la Convention ;</w:t>
      </w:r>
    </w:p>
    <w:p w14:paraId="4DF5A4EB" w14:textId="77777777" w:rsidR="00024F52" w:rsidRPr="00024F52" w:rsidRDefault="00024F52" w:rsidP="00024F52">
      <w:pPr>
        <w:keepNext/>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Prend également note</w:t>
      </w:r>
      <w:r w:rsidRPr="00024F52">
        <w:rPr>
          <w:rFonts w:asciiTheme="minorBidi" w:hAnsiTheme="minorBidi"/>
          <w:sz w:val="22"/>
        </w:rPr>
        <w:t xml:space="preserve"> que la demande concerne une assistance internationale d’un montant de 99 033 dollars des États-Unis</w:t>
      </w:r>
      <w:r w:rsidRPr="00024F52">
        <w:rPr>
          <w:rFonts w:asciiTheme="minorBidi" w:hAnsiTheme="minorBidi"/>
          <w:sz w:val="22"/>
          <w:lang w:val="fr"/>
        </w:rPr>
        <w:t xml:space="preserve"> </w:t>
      </w:r>
      <w:r w:rsidRPr="00024F52">
        <w:rPr>
          <w:rFonts w:asciiTheme="minorBidi" w:hAnsiTheme="minorBidi"/>
          <w:sz w:val="22"/>
        </w:rPr>
        <w:t xml:space="preserve">du Fonds du patrimoine culturel immatériel pour ce projet, qui sera mis en œuvre par le Bureau de l’UNESCO à Katmandou, en collaboration avec le ministère de la Culture, du Tourisme et de l’Aviation civile du Népal ; </w:t>
      </w:r>
    </w:p>
    <w:p w14:paraId="63C49F24" w14:textId="77777777" w:rsidR="00024F52" w:rsidRPr="00024F52" w:rsidRDefault="00024F52" w:rsidP="00024F52">
      <w:pPr>
        <w:keepNext/>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Comprend</w:t>
      </w:r>
      <w:r w:rsidRPr="00024F52">
        <w:rPr>
          <w:rFonts w:asciiTheme="minorBidi" w:hAnsiTheme="minorBidi"/>
          <w:sz w:val="22"/>
        </w:rPr>
        <w:t xml:space="preserve"> que le Bureau de l’UNESCO à Katmandou sera responsable de la gestion du montant total demandé au Fonds du patrimoine culturel immatériel, tandis que l’État demandeur sera responsable de la cogestion du projet et devra: (a) organiser les formations, les ateliers et les réunions ; (b) faciliter la sélection des apprentis et des participants ; (c) faciliter l’accès aux informations et aux données sur le patrimoine vivant ; et (d) apporter un soutien à la mise en œuvre des activités du projet.</w:t>
      </w:r>
    </w:p>
    <w:p w14:paraId="091A103B"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Décide</w:t>
      </w:r>
      <w:r w:rsidRPr="00024F52">
        <w:rPr>
          <w:rFonts w:asciiTheme="minorBidi" w:hAnsiTheme="minorBidi"/>
          <w:sz w:val="22"/>
        </w:rPr>
        <w:t xml:space="preserve"> que, d’après les informations fournies dans le dossier n°02462, la demande satisfait aux critères d’octroi de l’assistance internationale énoncés aux paragraphes 10 et 12 des Directives opérationnelles comme suit :</w:t>
      </w:r>
    </w:p>
    <w:p w14:paraId="47ED6D57" w14:textId="67EF8DE5"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A.1</w:t>
      </w:r>
      <w:r w:rsidR="008724B0">
        <w:rPr>
          <w:rFonts w:asciiTheme="minorBidi" w:hAnsiTheme="minorBidi"/>
          <w:b/>
          <w:sz w:val="22"/>
        </w:rPr>
        <w:t xml:space="preserve"> </w:t>
      </w:r>
      <w:r w:rsidRPr="00024F52">
        <w:rPr>
          <w:rFonts w:asciiTheme="minorBidi" w:hAnsiTheme="minorBidi"/>
          <w:b/>
          <w:sz w:val="22"/>
        </w:rPr>
        <w:t xml:space="preserve">: </w:t>
      </w:r>
      <w:r w:rsidRPr="00024F52">
        <w:rPr>
          <w:rFonts w:asciiTheme="minorBidi" w:hAnsiTheme="minorBidi"/>
          <w:sz w:val="22"/>
        </w:rPr>
        <w:t>La nécessité de renforcer les capacités d’inventaire basé sur les communautés du patrimoine culturel immatériel, en particulier parmi les communautés autochtones, a été identifiée dans le cadre de l’exercice de rapport périodique</w:t>
      </w:r>
      <w:r w:rsidRPr="00024F52">
        <w:rPr>
          <w:rFonts w:asciiTheme="minorBidi" w:hAnsiTheme="minorBidi" w:cstheme="minorBidi"/>
          <w:sz w:val="22"/>
          <w:szCs w:val="22"/>
          <w:vertAlign w:val="superscript"/>
        </w:rPr>
        <w:footnoteReference w:id="3"/>
      </w:r>
      <w:r w:rsidRPr="00024F52">
        <w:rPr>
          <w:rFonts w:asciiTheme="minorBidi" w:hAnsiTheme="minorBidi"/>
          <w:sz w:val="22"/>
        </w:rPr>
        <w:t xml:space="preserve"> entrepris par le Népal en 2024. Des représentants de dix-sept communautés se sont réunis en juillet 2025 et ont exprimé leur souhait de bénéficier d’une formation au renforcement des capacités, qui serait suivie d’exercices d’inventaire basés sur les communautés dans tout le pays. Bien que la proposition ait été initiée par le ministère de la Culture, du Tourisme et de l’Aviation civile, trois organisations autochtones ont également participé à la préparation de la demande d’assistance internationale. Elle démontre clairement la participation des communautés à toutes les activités prévues dans le projet. Celles-ci feront également partie du comité national de coordination qui supervisera la mise en œuvre du projet.</w:t>
      </w:r>
    </w:p>
    <w:p w14:paraId="7A888E80" w14:textId="23E37440" w:rsidR="00024F52" w:rsidRPr="00024F52" w:rsidRDefault="00024F52" w:rsidP="00024F52">
      <w:pPr>
        <w:spacing w:before="120" w:after="120"/>
        <w:ind w:left="567"/>
        <w:jc w:val="both"/>
        <w:rPr>
          <w:rFonts w:asciiTheme="minorBidi" w:hAnsiTheme="minorBidi" w:cstheme="minorBidi"/>
          <w:bCs/>
          <w:sz w:val="22"/>
          <w:szCs w:val="22"/>
        </w:rPr>
      </w:pPr>
      <w:r w:rsidRPr="00024F52">
        <w:rPr>
          <w:rFonts w:asciiTheme="minorBidi" w:hAnsiTheme="minorBidi"/>
          <w:b/>
          <w:sz w:val="22"/>
        </w:rPr>
        <w:t>Critère A.2</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La ventilation du budget et le calendrier proposé sont bien structurés et conformes aux activités décrites dans la demande. Le montant de l’assistance demandée est considéré comme étant approprié.</w:t>
      </w:r>
    </w:p>
    <w:p w14:paraId="63CFB3EB" w14:textId="2D72B055" w:rsidR="00024F52" w:rsidRPr="00024F52" w:rsidRDefault="00024F52" w:rsidP="00024F52">
      <w:pPr>
        <w:spacing w:before="120" w:after="120"/>
        <w:ind w:left="567"/>
        <w:jc w:val="both"/>
        <w:rPr>
          <w:rFonts w:asciiTheme="minorBidi" w:hAnsiTheme="minorBidi" w:cstheme="minorBidi"/>
          <w:bCs/>
          <w:sz w:val="22"/>
          <w:szCs w:val="22"/>
        </w:rPr>
      </w:pPr>
      <w:r w:rsidRPr="00024F52">
        <w:rPr>
          <w:rFonts w:asciiTheme="minorBidi" w:hAnsiTheme="minorBidi"/>
          <w:b/>
          <w:sz w:val="22"/>
        </w:rPr>
        <w:t>Critère A.3</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La demande est composée de dix activités présentées dans une séquence logique qui se rapportent entre autres: à l’établissement de la structure du projet, à la coordination d’un atelier national de sensibilisation, à l’organisation des formations au renforcement des capacités et des inventaires basés sur les communautés, à la production de supports de communication sur les éléments inventoriés et à la conduite du suivi et de l’évaluation. Les activités sont clairement décrites et correspondent aux objectifs et aux résultats escomptés décrits dans la demande.</w:t>
      </w:r>
    </w:p>
    <w:p w14:paraId="32361C1C" w14:textId="0158243C"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A.4</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Le projet devrait produire des résultats durables en renforçant les capacités d’un nombre important de personnes grâce au développement d’une expertise et de connaissances sur les principes clés de la Convention de 2003. Les supports de communication, y compris ceux diffusés via les réseaux sociaux, amélioreront la visibilité des résultats du projet parmi la société civile, les jeunes et les autres parties prenantes. Les organisations éducatives et culturelles pourront utiliser ces supports pour développer des outils pédagogiques, tels que des livres pour enfants, des jeux et des vidéos qui mettent en valeur le patrimoine vivant et contribuent à sa visibilité. Enfin, les résultats des inventaires au niveau provincial seront intégrés dans l’inventaire national de l’État demandeur. Les partenariats établis entre l’UNESCO, les autorités nationales et les communautés concernées devraient également servir de base à de futures initiatives de sauvegarde, contribuant ainsi à une meilleure appréciation du patrimoine culturel immatériel du Népal. </w:t>
      </w:r>
    </w:p>
    <w:p w14:paraId="60E11A90" w14:textId="3215973F"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A.5</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w:t>
      </w:r>
      <w:bookmarkStart w:id="2" w:name="_Hlk209012729"/>
      <w:r w:rsidRPr="00024F52">
        <w:rPr>
          <w:rFonts w:asciiTheme="minorBidi" w:hAnsiTheme="minorBidi"/>
          <w:sz w:val="22"/>
        </w:rPr>
        <w:t>L’Etat partie demandeur contribuera à hauteur de 4 pour cent (4 875 dollars des États-Unis) et le Bureau de l’UNESCO à Katmandou à hauteur de 11 pour cent (contribution en nature de 12 836 dollars des États-Unis) du montant total du budget du projet (116 744 dollars des États-Unis). Par conséquent, une assistance internationale est demandée au Fonds du patrimoine culturel immatériel pour les 85 pour cent restants du montant total du projet.</w:t>
      </w:r>
    </w:p>
    <w:bookmarkEnd w:id="2"/>
    <w:p w14:paraId="36C4EF96" w14:textId="00DCCF9E"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A.6</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La demande met clairement l’accent sur le renforcement des capacités pour la sauvegarde du patrimoine culturel immatériel aux niveaux communautaire et institutionnel, conformément aux objectifs de la Convention de 2003. A travers trois ateliers de renforcement des capacités d’une durée de sept jours, un minimum de quatre-vingt-cinq personnes seront formées à la réalisation d’inventaires basés sur les communautés. Parmi les participants figurent cinquante membres des communautés autochtones, vingt représentants des autorités locales, dix fonctionnaires du </w:t>
      </w:r>
      <w:proofErr w:type="spellStart"/>
      <w:r w:rsidRPr="00024F52">
        <w:rPr>
          <w:rFonts w:asciiTheme="minorBidi" w:hAnsiTheme="minorBidi"/>
          <w:sz w:val="22"/>
        </w:rPr>
        <w:t>MoCTCA</w:t>
      </w:r>
      <w:proofErr w:type="spellEnd"/>
      <w:r w:rsidRPr="00024F52">
        <w:rPr>
          <w:rFonts w:asciiTheme="minorBidi" w:hAnsiTheme="minorBidi"/>
          <w:sz w:val="22"/>
        </w:rPr>
        <w:t xml:space="preserve"> et cinq étudiants. La formation sera dispensée par des facilitateurs nationaux utilisant des méthodologies participatives et sera suivie d’exercices sur le terrain visant à identifier, documenter et inventorier les éléments du patrimoine culturel immatériel dans tout le pays. Le volet formation mettra l’accent sur l’égalité des genres et la transmission intergénérationnelle, accordant une attention particulière à l’autonomisation des jeunes et des femmes en tant que futures personnes ressources. Le projet diffusera des connaissances aux membres des communautés dans sept provinces du Népal et soutiendra l’élaboration de futurs inventaires aux niveaux local et national, contribuant ainsi aux efforts de sauvegarde à long terme.</w:t>
      </w:r>
    </w:p>
    <w:p w14:paraId="3C282F33" w14:textId="53731440" w:rsidR="00024F52" w:rsidRPr="00024F52" w:rsidRDefault="00024F52" w:rsidP="00024F52">
      <w:pPr>
        <w:spacing w:after="120"/>
        <w:ind w:left="567"/>
        <w:jc w:val="both"/>
        <w:rPr>
          <w:rFonts w:asciiTheme="minorBidi" w:hAnsiTheme="minorBidi"/>
          <w:snapToGrid w:val="0"/>
          <w:sz w:val="22"/>
          <w:shd w:val="clear" w:color="auto" w:fill="FFFFFF"/>
        </w:rPr>
      </w:pPr>
      <w:r w:rsidRPr="00024F52">
        <w:rPr>
          <w:rFonts w:asciiTheme="minorBidi" w:hAnsiTheme="minorBidi"/>
          <w:b/>
          <w:snapToGrid w:val="0"/>
          <w:sz w:val="22"/>
        </w:rPr>
        <w:t>Critère A.7</w:t>
      </w:r>
      <w:r w:rsidR="008724B0">
        <w:rPr>
          <w:rFonts w:asciiTheme="minorBidi" w:hAnsiTheme="minorBidi"/>
          <w:b/>
          <w:snapToGrid w:val="0"/>
          <w:sz w:val="22"/>
        </w:rPr>
        <w:t xml:space="preserve"> </w:t>
      </w:r>
      <w:r w:rsidRPr="00024F52">
        <w:rPr>
          <w:rFonts w:asciiTheme="minorBidi" w:hAnsiTheme="minorBidi"/>
          <w:b/>
          <w:snapToGrid w:val="0"/>
          <w:sz w:val="22"/>
          <w:shd w:val="clear" w:color="auto" w:fill="FFFFFF"/>
        </w:rPr>
        <w:t xml:space="preserve">: </w:t>
      </w:r>
      <w:r w:rsidRPr="00024F52">
        <w:rPr>
          <w:rFonts w:asciiTheme="minorBidi" w:hAnsiTheme="minorBidi"/>
          <w:snapToGrid w:val="0"/>
          <w:sz w:val="22"/>
          <w:shd w:val="clear" w:color="auto" w:fill="FFFFFF"/>
        </w:rPr>
        <w:t>L’État partie demandeur n’a, à ce jour, bénéficié d’aucune assistance financière du Fonds du patrimoine culturel immatériel de la Convention de 2003 pour la mise en œuvre d’activités dans le domaine du patrimoine culturel immatériel.</w:t>
      </w:r>
    </w:p>
    <w:p w14:paraId="6CA78BF8" w14:textId="34664BB4" w:rsidR="00024F52" w:rsidRPr="00024F52" w:rsidRDefault="00024F52" w:rsidP="00024F52">
      <w:pPr>
        <w:spacing w:after="120"/>
        <w:ind w:left="567"/>
        <w:jc w:val="both"/>
        <w:rPr>
          <w:rFonts w:asciiTheme="minorBidi" w:hAnsiTheme="minorBidi" w:cstheme="minorBidi"/>
          <w:bCs/>
          <w:sz w:val="22"/>
          <w:szCs w:val="22"/>
        </w:rPr>
      </w:pPr>
      <w:r w:rsidRPr="00024F52">
        <w:rPr>
          <w:rFonts w:asciiTheme="minorBidi" w:hAnsiTheme="minorBidi"/>
          <w:b/>
          <w:sz w:val="22"/>
        </w:rPr>
        <w:t>Paragraphe 10(a)</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Le projet est d’envergure nationale et implique le ministère de la Culture, du Tourisme et de l’Aviation civile, ainsi que les autorités locales, les universitaires et les organisations communautaires telles que la Fondation nationale pour le développement des nationalités autochtones (NFDIN), la Commission des nationalités autochtones (INC) et la Fédération népalaise des nationalités autochtones (NEFIN).</w:t>
      </w:r>
    </w:p>
    <w:p w14:paraId="72B19E21" w14:textId="626AC076" w:rsidR="00024F52" w:rsidRPr="00024F52" w:rsidRDefault="00024F52" w:rsidP="00024F52">
      <w:pPr>
        <w:spacing w:before="120" w:after="120"/>
        <w:ind w:left="567"/>
        <w:jc w:val="both"/>
        <w:rPr>
          <w:rFonts w:asciiTheme="minorBidi" w:hAnsiTheme="minorBidi" w:cstheme="minorBidi"/>
          <w:bCs/>
          <w:snapToGrid w:val="0"/>
          <w:sz w:val="22"/>
          <w:szCs w:val="22"/>
        </w:rPr>
      </w:pPr>
      <w:r w:rsidRPr="00024F52">
        <w:rPr>
          <w:rFonts w:asciiTheme="minorBidi" w:hAnsiTheme="minorBidi"/>
          <w:b/>
          <w:snapToGrid w:val="0"/>
          <w:sz w:val="22"/>
        </w:rPr>
        <w:t>Paragraphe 10(b)</w:t>
      </w:r>
      <w:r w:rsidR="008724B0">
        <w:rPr>
          <w:rFonts w:asciiTheme="minorBidi" w:hAnsiTheme="minorBidi"/>
          <w:b/>
          <w:snapToGrid w:val="0"/>
          <w:sz w:val="22"/>
        </w:rPr>
        <w:t xml:space="preserve"> </w:t>
      </w:r>
      <w:r w:rsidRPr="00024F52">
        <w:rPr>
          <w:rFonts w:asciiTheme="minorBidi" w:hAnsiTheme="minorBidi"/>
          <w:b/>
          <w:snapToGrid w:val="0"/>
          <w:sz w:val="22"/>
        </w:rPr>
        <w:t xml:space="preserve">: </w:t>
      </w:r>
      <w:r w:rsidRPr="00024F52">
        <w:rPr>
          <w:rFonts w:asciiTheme="minorBidi" w:hAnsiTheme="minorBidi"/>
          <w:sz w:val="22"/>
        </w:rPr>
        <w:t xml:space="preserve">Les inventaires et les supports de communication qui seront élaborés dans le cadre du projet contribueront à sensibiliser les communautés à l’importance de la sauvegarde de leur patrimoine vivant. </w:t>
      </w:r>
      <w:r w:rsidRPr="00024F52">
        <w:rPr>
          <w:rFonts w:asciiTheme="minorBidi" w:hAnsiTheme="minorBidi"/>
          <w:snapToGrid w:val="0"/>
          <w:sz w:val="22"/>
        </w:rPr>
        <w:t>Le projet pourra également encourager des initiatives similaires pour inventorier le patrimoine culturel immatériel au Népal.</w:t>
      </w:r>
    </w:p>
    <w:p w14:paraId="230C4DB4"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Approuve</w:t>
      </w:r>
      <w:r w:rsidRPr="00024F52">
        <w:rPr>
          <w:rFonts w:asciiTheme="minorBidi" w:hAnsiTheme="minorBidi"/>
          <w:sz w:val="22"/>
        </w:rPr>
        <w:t xml:space="preserve"> la demande d’assistance internationale du Népal pour le projet intitulé </w:t>
      </w:r>
      <w:r w:rsidRPr="00024F52">
        <w:rPr>
          <w:rFonts w:asciiTheme="minorBidi" w:hAnsiTheme="minorBidi"/>
          <w:b/>
          <w:sz w:val="22"/>
        </w:rPr>
        <w:t>Élaboration d’inventaires du patrimoine culturel immatériel couvrant les sept provinces du Népal</w:t>
      </w:r>
      <w:r w:rsidRPr="00024F52">
        <w:rPr>
          <w:rFonts w:asciiTheme="minorBidi" w:hAnsiTheme="minorBidi"/>
          <w:sz w:val="22"/>
        </w:rPr>
        <w:t>,</w:t>
      </w:r>
      <w:r w:rsidRPr="00024F52">
        <w:rPr>
          <w:rFonts w:asciiTheme="minorBidi" w:hAnsiTheme="minorBidi"/>
          <w:b/>
          <w:sz w:val="22"/>
        </w:rPr>
        <w:t xml:space="preserve"> </w:t>
      </w:r>
      <w:r w:rsidRPr="00024F52">
        <w:rPr>
          <w:rFonts w:asciiTheme="minorBidi" w:hAnsiTheme="minorBidi"/>
          <w:sz w:val="22"/>
        </w:rPr>
        <w:t xml:space="preserve">et </w:t>
      </w:r>
      <w:r w:rsidRPr="00024F52">
        <w:rPr>
          <w:rFonts w:asciiTheme="minorBidi" w:hAnsiTheme="minorBidi"/>
          <w:sz w:val="22"/>
          <w:u w:val="single"/>
        </w:rPr>
        <w:t>accorde</w:t>
      </w:r>
      <w:r w:rsidRPr="00024F52">
        <w:rPr>
          <w:rFonts w:asciiTheme="minorBidi" w:hAnsiTheme="minorBidi"/>
          <w:sz w:val="22"/>
        </w:rPr>
        <w:t xml:space="preserve"> le montant de 99 033 dollars des États-Unis pour la mise en œuvre de ce projet selon les modalités décrites aux paragraphes 5 et 6 ;</w:t>
      </w:r>
    </w:p>
    <w:p w14:paraId="2A0DB3A8"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Félicite</w:t>
      </w:r>
      <w:r w:rsidRPr="00024F52">
        <w:rPr>
          <w:rFonts w:asciiTheme="minorBidi" w:hAnsiTheme="minorBidi"/>
          <w:sz w:val="22"/>
        </w:rPr>
        <w:t xml:space="preserve"> l’État partie pour la soumission d’une demande d’assistance internationale faisant directement suite à son dernier rapport périodique sur la mise en œuvre de la Convention (soumis en 2024), démontrant l’utilisation efficace, de manière interdépendante, des mécanismes de coopération internationale de la Convention ;</w:t>
      </w:r>
    </w:p>
    <w:p w14:paraId="6AB1EF86"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Encourage</w:t>
      </w:r>
      <w:r w:rsidRPr="00024F52">
        <w:rPr>
          <w:rFonts w:asciiTheme="minorBidi" w:hAnsiTheme="minorBidi"/>
          <w:sz w:val="22"/>
        </w:rPr>
        <w:t xml:space="preserve"> l’État partie demandeur à consulter la </w:t>
      </w:r>
      <w:hyperlink r:id="rId11" w:history="1">
        <w:r w:rsidRPr="00024F52">
          <w:rPr>
            <w:rFonts w:asciiTheme="minorBidi" w:hAnsiTheme="minorBidi"/>
            <w:color w:val="0000FF"/>
            <w:sz w:val="22"/>
            <w:u w:val="single"/>
            <w:lang w:eastAsia="en-GB"/>
          </w:rPr>
          <w:t>Note d’orientation</w:t>
        </w:r>
      </w:hyperlink>
      <w:r w:rsidRPr="00024F52">
        <w:rPr>
          <w:rFonts w:asciiTheme="minorBidi" w:hAnsiTheme="minorBidi"/>
          <w:sz w:val="22"/>
        </w:rPr>
        <w:t xml:space="preserve"> (2021) sur le processus d’inventaire du patrimoine culturel immatériel, qui fournit une liste de questions à prendre en compte avant et pendant le processus d’inventaire, ainsi que le </w:t>
      </w:r>
      <w:hyperlink r:id="rId12" w:history="1">
        <w:r w:rsidRPr="00024F52">
          <w:rPr>
            <w:rFonts w:asciiTheme="minorBidi" w:hAnsiTheme="minorBidi"/>
            <w:color w:val="0000FF"/>
            <w:sz w:val="22"/>
            <w:u w:val="single"/>
            <w:lang w:eastAsia="en-GB"/>
          </w:rPr>
          <w:t>matériel de renforcement des capacités</w:t>
        </w:r>
      </w:hyperlink>
      <w:r w:rsidRPr="00024F52">
        <w:rPr>
          <w:rFonts w:asciiTheme="minorBidi" w:hAnsiTheme="minorBidi"/>
          <w:sz w:val="22"/>
        </w:rPr>
        <w:t xml:space="preserve"> de la Convention en matière d’inventaire, qui peuvent également fournir des informations supplémentaires ;</w:t>
      </w:r>
    </w:p>
    <w:p w14:paraId="473ECA0F"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u w:val="single"/>
        </w:rPr>
      </w:pPr>
      <w:r w:rsidRPr="00024F52">
        <w:rPr>
          <w:rFonts w:asciiTheme="minorBidi" w:hAnsiTheme="minorBidi"/>
          <w:sz w:val="22"/>
          <w:u w:val="single"/>
        </w:rPr>
        <w:t>Demande</w:t>
      </w:r>
      <w:r w:rsidRPr="00024F52">
        <w:rPr>
          <w:rFonts w:asciiTheme="minorBidi" w:hAnsiTheme="minorBidi"/>
          <w:sz w:val="22"/>
        </w:rPr>
        <w:t xml:space="preserve"> au Secrétariat de se mettre d’accord avec l’État partie demandeur sur les détails techniques de l’assistance, en accordant une attention particulière à ce que le budget et le plan de travail détaillés des activités à couvrir par le Fonds du patrimoine culturel immatériel soient suffisamment précis pour justifier toutes les dépenses ; </w:t>
      </w:r>
    </w:p>
    <w:p w14:paraId="4EDA8E3F" w14:textId="77777777" w:rsidR="00024F52" w:rsidRPr="00024F52" w:rsidRDefault="00024F52" w:rsidP="00024F52">
      <w:pPr>
        <w:numPr>
          <w:ilvl w:val="0"/>
          <w:numId w:val="22"/>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Invite</w:t>
      </w:r>
      <w:r w:rsidRPr="00024F52">
        <w:rPr>
          <w:rFonts w:asciiTheme="minorBidi" w:hAnsiTheme="minorBidi"/>
          <w:sz w:val="22"/>
        </w:rPr>
        <w:t xml:space="preserve"> l’État partie demandeur à utiliser le formulaire ICH-04-Rapport afin de rendre compte de l’utilisation de l’assistance octroyée.</w:t>
      </w:r>
    </w:p>
    <w:p w14:paraId="318FD6D6" w14:textId="56EA4D5E" w:rsidR="00024F52" w:rsidRPr="00024F52" w:rsidRDefault="00024F52" w:rsidP="00024F52">
      <w:pPr>
        <w:keepNext/>
        <w:spacing w:before="240" w:after="120"/>
        <w:jc w:val="both"/>
        <w:rPr>
          <w:rFonts w:ascii="Arial" w:hAnsi="Arial" w:cs="Arial"/>
          <w:b/>
          <w:sz w:val="22"/>
          <w:szCs w:val="22"/>
        </w:rPr>
      </w:pPr>
      <w:r w:rsidRPr="00024F52">
        <w:rPr>
          <w:rFonts w:ascii="Arial" w:hAnsi="Arial" w:cs="Arial"/>
          <w:b/>
          <w:sz w:val="22"/>
          <w:szCs w:val="22"/>
        </w:rPr>
        <w:t>DÉCISION 20.COM 4.BUR 3.3</w:t>
      </w:r>
    </w:p>
    <w:p w14:paraId="7631A24F" w14:textId="77777777" w:rsidR="00024F52" w:rsidRPr="00024F52" w:rsidRDefault="00024F52" w:rsidP="00024F52">
      <w:pPr>
        <w:keepNext/>
        <w:spacing w:before="120" w:after="120"/>
        <w:jc w:val="both"/>
        <w:rPr>
          <w:rFonts w:asciiTheme="minorBidi" w:hAnsiTheme="minorBidi" w:cstheme="minorBidi"/>
          <w:sz w:val="22"/>
          <w:szCs w:val="22"/>
        </w:rPr>
      </w:pPr>
      <w:r w:rsidRPr="00024F52">
        <w:rPr>
          <w:rFonts w:asciiTheme="minorBidi" w:hAnsiTheme="minorBidi"/>
          <w:sz w:val="22"/>
        </w:rPr>
        <w:t>Le Bureau,</w:t>
      </w:r>
    </w:p>
    <w:p w14:paraId="692CB758"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Rappelant</w:t>
      </w:r>
      <w:r w:rsidRPr="00024F52">
        <w:rPr>
          <w:rFonts w:asciiTheme="minorBidi" w:hAnsiTheme="minorBidi"/>
          <w:sz w:val="22"/>
        </w:rPr>
        <w:t xml:space="preserve"> le chapitre V de la Convention ainsi que le chapitre I.4 des Directives opérationnelles relatifs à l’admissibilité et aux critères de sélection des demandes d’assistance internationale,</w:t>
      </w:r>
    </w:p>
    <w:p w14:paraId="7382948A"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Ayant examiné</w:t>
      </w:r>
      <w:r w:rsidRPr="00024F52">
        <w:rPr>
          <w:rFonts w:asciiTheme="minorBidi" w:hAnsiTheme="minorBidi"/>
          <w:sz w:val="22"/>
        </w:rPr>
        <w:t xml:space="preserve"> le document LHE/25/20.COM 4.BUR/3 ainsi que la demande d’assistance internationale n°02463 soumise par l’Uruguay,</w:t>
      </w:r>
    </w:p>
    <w:p w14:paraId="73896FB6"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Prend note</w:t>
      </w:r>
      <w:r w:rsidRPr="00024F52">
        <w:rPr>
          <w:rFonts w:asciiTheme="minorBidi" w:hAnsiTheme="minorBidi"/>
          <w:sz w:val="22"/>
        </w:rPr>
        <w:t xml:space="preserve"> que l’Uruguay a demandé une assistance internationale pour le projet intitulé </w:t>
      </w:r>
      <w:r w:rsidRPr="00024F52">
        <w:rPr>
          <w:rFonts w:asciiTheme="minorBidi" w:hAnsiTheme="minorBidi"/>
          <w:b/>
          <w:sz w:val="22"/>
        </w:rPr>
        <w:t>Le son du Tango - Phase II :</w:t>
      </w:r>
    </w:p>
    <w:p w14:paraId="7A8F8370" w14:textId="77777777" w:rsidR="00024F52" w:rsidRPr="00024F52" w:rsidRDefault="00024F52" w:rsidP="00024F52">
      <w:pPr>
        <w:ind w:left="567"/>
        <w:jc w:val="both"/>
        <w:rPr>
          <w:rFonts w:asciiTheme="minorBidi" w:hAnsiTheme="minorBidi" w:cstheme="minorBidi"/>
          <w:sz w:val="22"/>
          <w:szCs w:val="22"/>
        </w:rPr>
      </w:pPr>
      <w:r w:rsidRPr="00024F52">
        <w:rPr>
          <w:rFonts w:asciiTheme="minorBidi" w:hAnsiTheme="minorBidi"/>
          <w:sz w:val="22"/>
        </w:rPr>
        <w:t xml:space="preserve">Mis en œuvre par la </w:t>
      </w:r>
      <w:hyperlink r:id="rId13" w:history="1">
        <w:r w:rsidRPr="00024F52">
          <w:rPr>
            <w:rFonts w:asciiTheme="minorBidi" w:hAnsiTheme="minorBidi"/>
            <w:color w:val="0000FF"/>
            <w:sz w:val="22"/>
            <w:u w:val="single"/>
            <w:lang w:eastAsia="en-GB"/>
          </w:rPr>
          <w:t xml:space="preserve">Fondation </w:t>
        </w:r>
        <w:proofErr w:type="spellStart"/>
        <w:r w:rsidRPr="00024F52">
          <w:rPr>
            <w:rFonts w:asciiTheme="minorBidi" w:hAnsiTheme="minorBidi"/>
            <w:color w:val="0000FF"/>
            <w:sz w:val="22"/>
            <w:u w:val="single"/>
            <w:lang w:eastAsia="en-GB"/>
          </w:rPr>
          <w:t>Cienarte</w:t>
        </w:r>
        <w:proofErr w:type="spellEnd"/>
      </w:hyperlink>
      <w:r w:rsidRPr="00024F52">
        <w:rPr>
          <w:rFonts w:asciiTheme="minorBidi" w:hAnsiTheme="minorBidi"/>
          <w:sz w:val="22"/>
        </w:rPr>
        <w:t>, ce projet de vingt-six mois vise à promouvoir la transmission intergénérationnelle de la tradition du Tango à travers l’enseignement, les activités artistiques et des publications. Il s’agit de la deuxième phase du projet</w:t>
      </w:r>
      <w:r w:rsidRPr="00024F52">
        <w:t> </w:t>
      </w:r>
      <w:hyperlink r:id="rId14" w:history="1">
        <w:r w:rsidRPr="00024F52">
          <w:rPr>
            <w:rFonts w:asciiTheme="minorBidi" w:hAnsiTheme="minorBidi"/>
            <w:color w:val="0000FF"/>
            <w:sz w:val="22"/>
            <w:u w:val="single"/>
            <w:lang w:eastAsia="en-GB"/>
          </w:rPr>
          <w:t>«Le bandonéon : le son du Tango »</w:t>
        </w:r>
      </w:hyperlink>
      <w:r w:rsidRPr="00024F52">
        <w:t xml:space="preserve"> </w:t>
      </w:r>
      <w:r w:rsidRPr="00024F52">
        <w:rPr>
          <w:rFonts w:asciiTheme="minorBidi" w:hAnsiTheme="minorBidi"/>
          <w:sz w:val="22"/>
        </w:rPr>
        <w:t xml:space="preserve">qui porte sur l’élément multinational « Tango » inscrit sur la Liste représentative du patrimoine culturel immatériel de l’humanité (Argentine et Uruguay). La première phase du projet visait à promouvoir la revitalisation du bandonéon - un instrument emblématique associé au Tango – à travers de la recherche, de la formation musicale et de l’élaboration de matériel tel que </w:t>
      </w:r>
      <w:bookmarkStart w:id="3" w:name="_Hlk209090402"/>
      <w:r w:rsidRPr="00024F52">
        <w:rPr>
          <w:rFonts w:asciiTheme="minorBidi" w:hAnsiTheme="minorBidi"/>
          <w:sz w:val="22"/>
        </w:rPr>
        <w:t xml:space="preserve">« Le guide du maître musicien </w:t>
      </w:r>
      <w:proofErr w:type="spellStart"/>
      <w:r w:rsidRPr="00024F52">
        <w:rPr>
          <w:rFonts w:asciiTheme="minorBidi" w:hAnsiTheme="minorBidi"/>
          <w:sz w:val="22"/>
        </w:rPr>
        <w:t>Raúl</w:t>
      </w:r>
      <w:proofErr w:type="spellEnd"/>
      <w:r w:rsidRPr="00024F52">
        <w:rPr>
          <w:rFonts w:asciiTheme="minorBidi" w:hAnsiTheme="minorBidi"/>
          <w:sz w:val="22"/>
        </w:rPr>
        <w:t xml:space="preserve"> </w:t>
      </w:r>
      <w:proofErr w:type="spellStart"/>
      <w:r w:rsidRPr="00024F52">
        <w:rPr>
          <w:rFonts w:asciiTheme="minorBidi" w:hAnsiTheme="minorBidi"/>
          <w:sz w:val="22"/>
        </w:rPr>
        <w:t>Jaurena</w:t>
      </w:r>
      <w:proofErr w:type="spellEnd"/>
      <w:r w:rsidRPr="00024F52">
        <w:rPr>
          <w:rFonts w:asciiTheme="minorBidi" w:hAnsiTheme="minorBidi"/>
          <w:sz w:val="22"/>
        </w:rPr>
        <w:t xml:space="preserve"> pour jouer du bandonéon</w:t>
      </w:r>
      <w:bookmarkEnd w:id="3"/>
      <w:r w:rsidRPr="00024F52">
        <w:rPr>
          <w:rFonts w:asciiTheme="minorBidi" w:hAnsiTheme="minorBidi"/>
          <w:sz w:val="22"/>
        </w:rPr>
        <w:t xml:space="preserve"> ». Les résultats de la première phase du projet sont accessibles sur la </w:t>
      </w:r>
      <w:hyperlink r:id="rId15" w:history="1">
        <w:r w:rsidRPr="00024F52">
          <w:rPr>
            <w:rFonts w:asciiTheme="minorBidi" w:hAnsiTheme="minorBidi"/>
            <w:color w:val="0000FF"/>
            <w:sz w:val="22"/>
            <w:u w:val="single"/>
            <w:lang w:eastAsia="en-GB"/>
          </w:rPr>
          <w:t>plate-forme de partage des bonnes expériences de sauvegarde</w:t>
        </w:r>
      </w:hyperlink>
      <w:r w:rsidRPr="00024F52">
        <w:rPr>
          <w:rFonts w:asciiTheme="minorBidi" w:hAnsiTheme="minorBidi"/>
          <w:sz w:val="22"/>
        </w:rPr>
        <w:t>, qui vise à promouvoir une mise en œuvre plus large de l’article 18 de la Convention de 2003. Cette deuxième phase se concentrera sur la musique Tango en améliorant l’accessibilité pour les personnes aveugles ou en situation de handicap visuel, ainsi qu’en formant des mentors, en sensibilisant les étudiants et en promouvant les compétences en matière de fabrication de bandonéons. Les activités seront menées avec le soutien des autorités locales, des établissements d’enseignement, des artistes et des organisations de la société civile. Il s’agit de la transcription en braille du « Guide pour jouer du bandonéon », de la réalisation d’un film documentaire, de la production d’une œuvre musicale pour les adolescents et de la diffusion de recherches et de poèmes liés à la tradition. Outre le fait d’accroître la visibilité du Tango à travers le pays, le projet devrait promouvoir la production de nouvelles publications sur le sujet et contribuer à la politique d’inclusion culturelle de l’Uruguay.</w:t>
      </w:r>
    </w:p>
    <w:p w14:paraId="6EB2564C" w14:textId="77777777" w:rsidR="00024F52" w:rsidRPr="00024F52" w:rsidRDefault="00024F52" w:rsidP="00024F52">
      <w:pPr>
        <w:numPr>
          <w:ilvl w:val="0"/>
          <w:numId w:val="23"/>
        </w:numPr>
        <w:spacing w:before="120"/>
        <w:ind w:left="567" w:hanging="567"/>
        <w:jc w:val="both"/>
        <w:rPr>
          <w:rFonts w:asciiTheme="minorBidi" w:hAnsiTheme="minorBidi" w:cstheme="minorBidi"/>
          <w:sz w:val="22"/>
          <w:szCs w:val="22"/>
        </w:rPr>
      </w:pPr>
      <w:r w:rsidRPr="00024F52">
        <w:rPr>
          <w:rFonts w:asciiTheme="minorBidi" w:hAnsiTheme="minorBidi"/>
          <w:sz w:val="22"/>
          <w:u w:val="single"/>
        </w:rPr>
        <w:t>Prend note en outre</w:t>
      </w:r>
      <w:r w:rsidRPr="00024F52">
        <w:rPr>
          <w:rFonts w:asciiTheme="minorBidi" w:hAnsiTheme="minorBidi"/>
          <w:sz w:val="22"/>
        </w:rPr>
        <w:t xml:space="preserve"> que cette assistance vise à soutenir un projet mis en œuvre au niveau national, conformément à l’article 20 (c) de la Convention, et qu’elle prend la forme d’</w:t>
      </w:r>
      <w:r w:rsidRPr="00024F52">
        <w:rPr>
          <w:rFonts w:asciiTheme="minorBidi" w:hAnsiTheme="minorBidi"/>
          <w:b/>
          <w:bCs/>
          <w:sz w:val="22"/>
        </w:rPr>
        <w:t>octroi d’un don</w:t>
      </w:r>
      <w:r w:rsidRPr="00024F52">
        <w:rPr>
          <w:rFonts w:asciiTheme="minorBidi" w:hAnsiTheme="minorBidi"/>
          <w:sz w:val="22"/>
        </w:rPr>
        <w:t>, conformément à l’article 21 (g) de la Convention ;</w:t>
      </w:r>
    </w:p>
    <w:p w14:paraId="4AA59021" w14:textId="77777777" w:rsidR="00024F52" w:rsidRPr="00024F52" w:rsidRDefault="00024F52" w:rsidP="00024F52">
      <w:pPr>
        <w:keepNext/>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Prend également note</w:t>
      </w:r>
      <w:r w:rsidRPr="00024F52">
        <w:rPr>
          <w:rFonts w:asciiTheme="minorBidi" w:hAnsiTheme="minorBidi"/>
          <w:sz w:val="22"/>
        </w:rPr>
        <w:t xml:space="preserve"> que l’Uruguay a demandé une allocation de 89 969 </w:t>
      </w:r>
      <w:r w:rsidRPr="00024F52">
        <w:rPr>
          <w:rFonts w:asciiTheme="minorBidi" w:hAnsiTheme="minorBidi" w:cstheme="minorBidi"/>
          <w:sz w:val="22"/>
          <w:szCs w:val="22"/>
          <w:lang w:val="fr"/>
        </w:rPr>
        <w:t xml:space="preserve">dollars des États-Unis </w:t>
      </w:r>
      <w:r w:rsidRPr="00024F52">
        <w:rPr>
          <w:rFonts w:asciiTheme="minorBidi" w:hAnsiTheme="minorBidi"/>
          <w:sz w:val="22"/>
        </w:rPr>
        <w:t>au Fonds du patrimoine culturel immatériel pour la mise en œuvre du projet ;</w:t>
      </w:r>
    </w:p>
    <w:p w14:paraId="4C9718D4"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Décide</w:t>
      </w:r>
      <w:r w:rsidRPr="00024F52">
        <w:rPr>
          <w:rFonts w:asciiTheme="minorBidi" w:hAnsiTheme="minorBidi"/>
          <w:sz w:val="22"/>
        </w:rPr>
        <w:t xml:space="preserve"> que, d’après les informations fournies dans le dossier n°02463, la demande satisfait aux critères d’octroi de l’assistance internationale énoncés aux paragraphes 10 et 12 des Directives opérationnelles comme suit :</w:t>
      </w:r>
    </w:p>
    <w:p w14:paraId="5BA06ADC" w14:textId="6FF34353"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A.1</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Le projet s’inscrit dans la continuité de la première phase, avec pour objectif de consolider les résultats obtenus au cours de cette dernière. La demande reflète les aspirations et les besoins des communautés, qui comprennent un groupe diversifié de parties prenantes, allant des artistes, artisans et luthiers aux personnes aveugles ou en situation de handicap visuel, en passant par les enseignants, les étudiants et les représentants des autorités nationales et régionales. Chacune de ces parties prenantes sera impliquée dans le projet, qui adopte des approches inclusives et basées sur l’égalité des genres. La participation des communautés à toutes les activités du projet, de la mise en œuvre à l’évaluation, est clairement démontrée. Elles seront également représentées au sein du comité de suivi du projet.</w:t>
      </w:r>
    </w:p>
    <w:p w14:paraId="34305EB4" w14:textId="3D9C1594" w:rsidR="00024F52" w:rsidRPr="00024F52" w:rsidRDefault="00024F52" w:rsidP="00024F52">
      <w:pPr>
        <w:spacing w:before="120" w:after="120"/>
        <w:ind w:left="567"/>
        <w:jc w:val="both"/>
        <w:rPr>
          <w:rFonts w:asciiTheme="minorBidi" w:hAnsiTheme="minorBidi" w:cstheme="minorBidi"/>
          <w:bCs/>
          <w:sz w:val="22"/>
          <w:szCs w:val="22"/>
        </w:rPr>
      </w:pPr>
      <w:r w:rsidRPr="00024F52">
        <w:rPr>
          <w:rFonts w:asciiTheme="minorBidi" w:hAnsiTheme="minorBidi"/>
          <w:b/>
          <w:sz w:val="22"/>
        </w:rPr>
        <w:t>Critère A.2</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La ventilation du budget et le calendrier proposé sont bien structurés et conformes aux activités décrites dans la demande. Le montant de l’assistance demandée est considéré comme étant approprié.</w:t>
      </w:r>
    </w:p>
    <w:p w14:paraId="3EADDEA1" w14:textId="76E5FBA1"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A.3</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La demande s’articule autour de quatre axes thématiques : l’inclusion et l’insertion, la promotion du Tango dans les écoles de l’enseignement secondaire, des formations à la lutherie relative au bandonéon, des activités de sensibilisation et la production de supports de communication. </w:t>
      </w:r>
      <w:r w:rsidRPr="00024F52">
        <w:rPr>
          <w:rFonts w:ascii="Arial" w:hAnsi="Arial"/>
          <w:sz w:val="22"/>
        </w:rPr>
        <w:t>Les activités proposées sont cohérentes et bien planifiées par rapport aux objectifs et aux résultats attendus du projet.</w:t>
      </w:r>
    </w:p>
    <w:p w14:paraId="2F42AC04" w14:textId="4D28AB13"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A.4</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Le projet devrait améliorer la visibilité et la viabilité de l’élément. Grâce à une approche holistique, les activités proposées auront un impact à long terme comme suit : (a) la transcription en braille du «Guide du bandonéon de </w:t>
      </w:r>
      <w:proofErr w:type="spellStart"/>
      <w:r w:rsidRPr="00024F52">
        <w:rPr>
          <w:rFonts w:asciiTheme="minorBidi" w:hAnsiTheme="minorBidi"/>
          <w:sz w:val="22"/>
        </w:rPr>
        <w:t>Raúl</w:t>
      </w:r>
      <w:proofErr w:type="spellEnd"/>
      <w:r w:rsidRPr="00024F52">
        <w:rPr>
          <w:rFonts w:asciiTheme="minorBidi" w:hAnsiTheme="minorBidi"/>
          <w:sz w:val="22"/>
        </w:rPr>
        <w:t xml:space="preserve"> </w:t>
      </w:r>
      <w:proofErr w:type="spellStart"/>
      <w:r w:rsidRPr="00024F52">
        <w:rPr>
          <w:rFonts w:asciiTheme="minorBidi" w:hAnsiTheme="minorBidi"/>
          <w:sz w:val="22"/>
        </w:rPr>
        <w:t>Jaurena</w:t>
      </w:r>
      <w:proofErr w:type="spellEnd"/>
      <w:r w:rsidRPr="00024F52">
        <w:rPr>
          <w:rFonts w:asciiTheme="minorBidi" w:hAnsiTheme="minorBidi"/>
          <w:sz w:val="22"/>
        </w:rPr>
        <w:t xml:space="preserve"> » restera accessible aux joueurs en situation de handicap visuel, et des exemplaires du manuel seront distribués dans les pays hispanophone ; (b) le documentaire sur Ricardo Pereira, professeur aveugle de bandonéon, sensibilisera à l’importance de la diversité sociale et des arts pour la résilience; (c) des activités artistiques, notamment la production de pièces de théâtre musicales dans les écoles d’enseignement secondaire, feront la promotion du Tango auprès des jeunes publics, assurant ainsi sa transmission intergénérationnelle ; (d) des cours dédiés à la lutherie du bandonéon seront intégrés au programme d’enseignement professionnel, ce qui pourrait contribuer à l’emploi des jeunes et à la revitalisation de l’artisanat traditionnel ; et (e) la publication et la diffusion du livre intitulé « El </w:t>
      </w:r>
      <w:proofErr w:type="spellStart"/>
      <w:r w:rsidRPr="00024F52">
        <w:rPr>
          <w:rFonts w:asciiTheme="minorBidi" w:hAnsiTheme="minorBidi"/>
          <w:sz w:val="22"/>
        </w:rPr>
        <w:t>bandoneón</w:t>
      </w:r>
      <w:proofErr w:type="spellEnd"/>
      <w:r w:rsidRPr="00024F52">
        <w:rPr>
          <w:rFonts w:asciiTheme="minorBidi" w:hAnsiTheme="minorBidi"/>
          <w:sz w:val="22"/>
        </w:rPr>
        <w:t xml:space="preserve"> y su </w:t>
      </w:r>
      <w:proofErr w:type="spellStart"/>
      <w:r w:rsidRPr="00024F52">
        <w:rPr>
          <w:rFonts w:asciiTheme="minorBidi" w:hAnsiTheme="minorBidi"/>
          <w:sz w:val="22"/>
        </w:rPr>
        <w:t>mundo</w:t>
      </w:r>
      <w:proofErr w:type="spellEnd"/>
      <w:r w:rsidRPr="00024F52">
        <w:rPr>
          <w:rFonts w:asciiTheme="minorBidi" w:hAnsiTheme="minorBidi"/>
          <w:sz w:val="22"/>
        </w:rPr>
        <w:t xml:space="preserve"> » contribueront à la recherche universitaire, en particulier dans le domaine de la musicologie, et feront mieux connaître les œuvres littéraires liées au Tango.</w:t>
      </w:r>
    </w:p>
    <w:p w14:paraId="2BCDF404" w14:textId="1964DAC0" w:rsidR="00024F52" w:rsidRPr="00024F52" w:rsidRDefault="00024F52" w:rsidP="00024F52">
      <w:pPr>
        <w:spacing w:before="120" w:after="120"/>
        <w:ind w:left="567"/>
        <w:jc w:val="both"/>
        <w:rPr>
          <w:rFonts w:asciiTheme="minorBidi" w:eastAsia="SimSun" w:hAnsiTheme="minorBidi" w:cstheme="minorBidi"/>
          <w:sz w:val="22"/>
          <w:szCs w:val="22"/>
        </w:rPr>
      </w:pPr>
      <w:r w:rsidRPr="00024F52">
        <w:rPr>
          <w:rFonts w:asciiTheme="minorBidi" w:hAnsiTheme="minorBidi"/>
          <w:b/>
          <w:sz w:val="22"/>
        </w:rPr>
        <w:t>Critère A.5</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L’État partie demandeur contribuera à hauteur de 22 pour cent (28 720 </w:t>
      </w:r>
      <w:r w:rsidRPr="00024F52">
        <w:rPr>
          <w:rFonts w:asciiTheme="minorBidi" w:hAnsiTheme="minorBidi" w:cstheme="minorBidi"/>
          <w:sz w:val="22"/>
          <w:szCs w:val="22"/>
          <w:lang w:val="fr"/>
        </w:rPr>
        <w:t>dollars des États-Unis</w:t>
      </w:r>
      <w:r w:rsidRPr="00024F52">
        <w:rPr>
          <w:rFonts w:asciiTheme="minorBidi" w:hAnsiTheme="minorBidi"/>
          <w:sz w:val="22"/>
        </w:rPr>
        <w:t xml:space="preserve">) et les autres partenaires à hauteur de 10 pour cent (13 599 </w:t>
      </w:r>
      <w:r w:rsidRPr="00024F52">
        <w:rPr>
          <w:rFonts w:asciiTheme="minorBidi" w:hAnsiTheme="minorBidi" w:cstheme="minorBidi"/>
          <w:sz w:val="22"/>
          <w:szCs w:val="22"/>
          <w:lang w:val="fr"/>
        </w:rPr>
        <w:t>dollars des États-Unis</w:t>
      </w:r>
      <w:r w:rsidRPr="00024F52">
        <w:rPr>
          <w:rFonts w:asciiTheme="minorBidi" w:hAnsiTheme="minorBidi"/>
          <w:sz w:val="22"/>
        </w:rPr>
        <w:t xml:space="preserve">) du montant total du budget du projet (132 288 </w:t>
      </w:r>
      <w:r w:rsidRPr="00024F52">
        <w:rPr>
          <w:rFonts w:asciiTheme="minorBidi" w:hAnsiTheme="minorBidi" w:cstheme="minorBidi"/>
          <w:sz w:val="22"/>
          <w:szCs w:val="22"/>
          <w:lang w:val="fr"/>
        </w:rPr>
        <w:t>dollars des États-Unis</w:t>
      </w:r>
      <w:r w:rsidRPr="00024F52">
        <w:rPr>
          <w:rFonts w:asciiTheme="minorBidi" w:hAnsiTheme="minorBidi"/>
          <w:sz w:val="22"/>
        </w:rPr>
        <w:t>). Par conséquent, une assistance internationale est demandée au Fonds du patrimoine culturel immatériel pour les 68 pour cent restants du montant total du projet.</w:t>
      </w:r>
    </w:p>
    <w:p w14:paraId="1716F9C6" w14:textId="7646E8FB" w:rsidR="00024F52" w:rsidRPr="00024F52" w:rsidRDefault="00024F52" w:rsidP="00024F52">
      <w:pPr>
        <w:spacing w:before="120" w:after="120"/>
        <w:ind w:left="567"/>
        <w:jc w:val="both"/>
        <w:rPr>
          <w:rFonts w:asciiTheme="minorBidi" w:hAnsiTheme="minorBidi" w:cstheme="minorBidi"/>
          <w:sz w:val="22"/>
          <w:szCs w:val="22"/>
        </w:rPr>
      </w:pPr>
      <w:r w:rsidRPr="00024F52">
        <w:rPr>
          <w:rFonts w:asciiTheme="minorBidi" w:hAnsiTheme="minorBidi"/>
          <w:b/>
          <w:sz w:val="22"/>
        </w:rPr>
        <w:t>Critère A.6</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La demande vise à renforcer les capacités à plusieurs niveaux en offrant une formation aux communautés, aux jeunes et aux personnes en situation de handicap visuel. Grâce aux cours de formation à la lutherie relative au bandonéon, les artisans et les praticiens </w:t>
      </w:r>
      <w:r w:rsidRPr="00024F52">
        <w:rPr>
          <w:rFonts w:ascii="Arial" w:hAnsi="Arial"/>
          <w:sz w:val="22"/>
        </w:rPr>
        <w:t xml:space="preserve">pourront partager et diffuser leurs connaissances et leur savoir-faire traditionnels avec les communautés, y compris les jeunes. Plus de cinquante personnes seront formées à la fabrication, à la réparation et à l’entretien des bandonéons. En outre, des artistes (musiciens, chanteurs et enseignants) partageront leur expertise et leurs compétences en matière de Tango avec plus de 2 000 élèves de 35 écoles de niveau secondaire, assurant ainsi </w:t>
      </w:r>
      <w:r w:rsidRPr="00024F52">
        <w:rPr>
          <w:rFonts w:asciiTheme="minorBidi" w:hAnsiTheme="minorBidi"/>
          <w:sz w:val="22"/>
        </w:rPr>
        <w:t>la transmission intergénérationnelle de la pratique de la danse, de la poésie et de la musique Tango. L’élaboration d’un manuel d’apprentissage du bandonéon en braille offrira aux personnes aveugles ou en situation de handicap visuel une occasion unique d’apprendre à jouer de cet instrument, favorisant ainsi l’accès de tous à l’éducation musicale. Les activités proposées renforceront la capacité des communautés et des institutions à sauvegarder le Tango en tant que patrimoine vivant et expression artistique évolutive.</w:t>
      </w:r>
    </w:p>
    <w:p w14:paraId="6778DCDF" w14:textId="33C0609B" w:rsidR="00024F52" w:rsidRPr="00024F52" w:rsidRDefault="00024F52" w:rsidP="00024F52">
      <w:pPr>
        <w:spacing w:after="120"/>
        <w:ind w:left="567"/>
        <w:jc w:val="both"/>
        <w:rPr>
          <w:rFonts w:asciiTheme="minorBidi" w:hAnsiTheme="minorBidi" w:cstheme="minorBidi"/>
          <w:snapToGrid w:val="0"/>
          <w:sz w:val="22"/>
          <w:szCs w:val="22"/>
          <w:shd w:val="clear" w:color="auto" w:fill="FFFFFF"/>
        </w:rPr>
      </w:pPr>
      <w:r w:rsidRPr="00024F52">
        <w:rPr>
          <w:rFonts w:asciiTheme="minorBidi" w:hAnsiTheme="minorBidi"/>
          <w:b/>
          <w:snapToGrid w:val="0"/>
          <w:sz w:val="22"/>
        </w:rPr>
        <w:t>Critère A.7</w:t>
      </w:r>
      <w:r w:rsidR="008724B0">
        <w:rPr>
          <w:rFonts w:asciiTheme="minorBidi" w:hAnsiTheme="minorBidi"/>
          <w:b/>
          <w:snapToGrid w:val="0"/>
          <w:sz w:val="22"/>
        </w:rPr>
        <w:t xml:space="preserve"> </w:t>
      </w:r>
      <w:r w:rsidRPr="00024F52">
        <w:rPr>
          <w:rFonts w:asciiTheme="minorBidi" w:hAnsiTheme="minorBidi"/>
          <w:b/>
          <w:snapToGrid w:val="0"/>
          <w:sz w:val="22"/>
          <w:shd w:val="clear" w:color="auto" w:fill="FFFFFF"/>
        </w:rPr>
        <w:t xml:space="preserve">: </w:t>
      </w:r>
      <w:r w:rsidRPr="00024F52">
        <w:rPr>
          <w:rFonts w:asciiTheme="minorBidi" w:hAnsiTheme="minorBidi"/>
          <w:snapToGrid w:val="0"/>
          <w:sz w:val="22"/>
          <w:shd w:val="clear" w:color="auto" w:fill="FFFFFF"/>
        </w:rPr>
        <w:t>L’Uruguay a bénéficié de l’assistance internationale du Fonds du patrimoine culturel immatériel pour deux projets d’assistance internationale achevés</w:t>
      </w:r>
      <w:r w:rsidRPr="00024F52">
        <w:rPr>
          <w:rFonts w:asciiTheme="minorBidi" w:hAnsiTheme="minorBidi" w:cstheme="minorBidi"/>
          <w:snapToGrid w:val="0"/>
          <w:sz w:val="22"/>
          <w:szCs w:val="22"/>
          <w:shd w:val="clear" w:color="auto" w:fill="FFFFFF"/>
          <w:vertAlign w:val="superscript"/>
          <w:lang w:eastAsia="en-US"/>
        </w:rPr>
        <w:footnoteReference w:id="4"/>
      </w:r>
      <w:r w:rsidRPr="00024F52">
        <w:rPr>
          <w:rFonts w:asciiTheme="minorBidi" w:hAnsiTheme="minorBidi"/>
          <w:snapToGrid w:val="0"/>
          <w:sz w:val="22"/>
          <w:shd w:val="clear" w:color="auto" w:fill="FFFFFF"/>
        </w:rPr>
        <w:t>. Les travaux prévus dans les contrats relatifs à ces projets ont été réalisés conformément aux règles de l’UNESCO.</w:t>
      </w:r>
    </w:p>
    <w:p w14:paraId="22BE3CD7" w14:textId="1EDD883D" w:rsidR="00024F52" w:rsidRPr="00024F52" w:rsidRDefault="00024F52" w:rsidP="00024F52">
      <w:pPr>
        <w:ind w:left="567"/>
        <w:contextualSpacing/>
        <w:jc w:val="both"/>
        <w:rPr>
          <w:rFonts w:asciiTheme="minorBidi" w:hAnsiTheme="minorBidi" w:cstheme="minorBidi"/>
          <w:bCs/>
          <w:sz w:val="22"/>
          <w:szCs w:val="22"/>
        </w:rPr>
      </w:pPr>
      <w:r w:rsidRPr="00024F52">
        <w:rPr>
          <w:rFonts w:asciiTheme="minorBidi" w:hAnsiTheme="minorBidi"/>
          <w:b/>
          <w:sz w:val="22"/>
        </w:rPr>
        <w:t>Paragraphe 10(a)</w:t>
      </w:r>
      <w:r w:rsidR="008724B0">
        <w:rPr>
          <w:rFonts w:asciiTheme="minorBidi" w:hAnsiTheme="minorBidi"/>
          <w:b/>
          <w:sz w:val="22"/>
        </w:rPr>
        <w:t xml:space="preserve"> </w:t>
      </w:r>
      <w:r w:rsidRPr="00024F52">
        <w:rPr>
          <w:rFonts w:asciiTheme="minorBidi" w:hAnsiTheme="minorBidi"/>
          <w:b/>
          <w:sz w:val="22"/>
        </w:rPr>
        <w:t>:</w:t>
      </w:r>
      <w:r w:rsidRPr="00024F52">
        <w:rPr>
          <w:rFonts w:asciiTheme="minorBidi" w:hAnsiTheme="minorBidi"/>
          <w:sz w:val="22"/>
        </w:rPr>
        <w:t xml:space="preserve"> Le projet a une portée nationale et implique des partenaires nationaux, notamment la Commission nationale de l’Uruguay pour l’UNESCO, le ministère de l’Éducation et de la Culture, le Conseil de l’enseignement technique et professionnel et les départements de Montevideo, Canelones, Tacuarembó, Paysandú, Lavalleja, Maldonado, Soriano et Río Negro. Les associations suivantes seront également impliquées : Fondation pour le Braille de l’Uruguay, l’association des écrivains uruguayens, l’association des musiciens uruguayens ainsi que la société des acteurs uruguayens.</w:t>
      </w:r>
    </w:p>
    <w:p w14:paraId="7730D82C" w14:textId="77777777" w:rsidR="00024F52" w:rsidRPr="00024F52" w:rsidRDefault="00024F52" w:rsidP="00024F52">
      <w:pPr>
        <w:spacing w:before="120" w:after="120"/>
        <w:ind w:left="567"/>
        <w:jc w:val="both"/>
        <w:rPr>
          <w:rFonts w:asciiTheme="minorBidi" w:hAnsiTheme="minorBidi" w:cstheme="minorBidi"/>
          <w:bCs/>
          <w:snapToGrid w:val="0"/>
          <w:sz w:val="22"/>
          <w:szCs w:val="22"/>
        </w:rPr>
      </w:pPr>
      <w:r w:rsidRPr="00024F52">
        <w:rPr>
          <w:rFonts w:asciiTheme="minorBidi" w:hAnsiTheme="minorBidi"/>
          <w:b/>
          <w:snapToGrid w:val="0"/>
          <w:sz w:val="22"/>
        </w:rPr>
        <w:t xml:space="preserve">Paragraphe 10(b) : </w:t>
      </w:r>
      <w:r w:rsidRPr="00024F52">
        <w:rPr>
          <w:rFonts w:asciiTheme="minorBidi" w:hAnsiTheme="minorBidi"/>
          <w:snapToGrid w:val="0"/>
          <w:sz w:val="22"/>
        </w:rPr>
        <w:t xml:space="preserve">Le projet devrait stimuler un engagement plus large dans la sauvegarde du Tango en touchant de nouveaux publics et praticiens, en particulier parmi les jeunes. La transcription en braille du « Guide du bandonéon du maître musicien </w:t>
      </w:r>
      <w:proofErr w:type="spellStart"/>
      <w:r w:rsidRPr="00024F52">
        <w:rPr>
          <w:rFonts w:asciiTheme="minorBidi" w:hAnsiTheme="minorBidi"/>
          <w:snapToGrid w:val="0"/>
          <w:sz w:val="22"/>
        </w:rPr>
        <w:t>Raúl</w:t>
      </w:r>
      <w:proofErr w:type="spellEnd"/>
      <w:r w:rsidRPr="00024F52">
        <w:rPr>
          <w:rFonts w:asciiTheme="minorBidi" w:hAnsiTheme="minorBidi"/>
          <w:snapToGrid w:val="0"/>
          <w:sz w:val="22"/>
        </w:rPr>
        <w:t xml:space="preserve"> </w:t>
      </w:r>
      <w:proofErr w:type="spellStart"/>
      <w:r w:rsidRPr="00024F52">
        <w:rPr>
          <w:rFonts w:asciiTheme="minorBidi" w:hAnsiTheme="minorBidi"/>
          <w:snapToGrid w:val="0"/>
          <w:sz w:val="22"/>
        </w:rPr>
        <w:t>Jaurena</w:t>
      </w:r>
      <w:proofErr w:type="spellEnd"/>
      <w:r w:rsidRPr="00024F52">
        <w:rPr>
          <w:rFonts w:asciiTheme="minorBidi" w:hAnsiTheme="minorBidi"/>
          <w:snapToGrid w:val="0"/>
          <w:sz w:val="22"/>
        </w:rPr>
        <w:t> » contribuera à la politique nationale d’inclusion. Ce manuel sera également disponible dans d’autres pays de la région, ce qui permettra d’atteindre un public plus large.</w:t>
      </w:r>
    </w:p>
    <w:p w14:paraId="27E2088C"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Approuve</w:t>
      </w:r>
      <w:r w:rsidRPr="00024F52">
        <w:rPr>
          <w:rFonts w:asciiTheme="minorBidi" w:hAnsiTheme="minorBidi"/>
          <w:sz w:val="22"/>
        </w:rPr>
        <w:t xml:space="preserve"> la demande d’assistance internationale de l’Uruguay pour le projet intitulé </w:t>
      </w:r>
      <w:r w:rsidRPr="00024F52">
        <w:rPr>
          <w:rFonts w:asciiTheme="minorBidi" w:hAnsiTheme="minorBidi"/>
          <w:b/>
          <w:sz w:val="22"/>
        </w:rPr>
        <w:t>Le son du Tango - Phase II</w:t>
      </w:r>
      <w:r w:rsidRPr="00024F52">
        <w:rPr>
          <w:rFonts w:asciiTheme="minorBidi" w:hAnsiTheme="minorBidi"/>
          <w:sz w:val="22"/>
        </w:rPr>
        <w:t>,</w:t>
      </w:r>
      <w:r w:rsidRPr="00024F52">
        <w:rPr>
          <w:rFonts w:asciiTheme="minorBidi" w:hAnsiTheme="minorBidi"/>
          <w:b/>
          <w:sz w:val="22"/>
        </w:rPr>
        <w:t xml:space="preserve"> </w:t>
      </w:r>
      <w:r w:rsidRPr="00024F52">
        <w:rPr>
          <w:rFonts w:asciiTheme="minorBidi" w:hAnsiTheme="minorBidi"/>
          <w:sz w:val="22"/>
        </w:rPr>
        <w:t xml:space="preserve">et </w:t>
      </w:r>
      <w:r w:rsidRPr="00024F52">
        <w:rPr>
          <w:rFonts w:asciiTheme="minorBidi" w:hAnsiTheme="minorBidi"/>
          <w:sz w:val="22"/>
          <w:u w:val="single"/>
        </w:rPr>
        <w:t>accorde</w:t>
      </w:r>
      <w:r w:rsidRPr="00024F52">
        <w:rPr>
          <w:rFonts w:asciiTheme="minorBidi" w:hAnsiTheme="minorBidi"/>
          <w:sz w:val="22"/>
        </w:rPr>
        <w:t xml:space="preserve"> un montant de 89 969 </w:t>
      </w:r>
      <w:r w:rsidRPr="00024F52">
        <w:rPr>
          <w:rFonts w:asciiTheme="minorBidi" w:hAnsiTheme="minorBidi" w:cstheme="minorBidi"/>
          <w:sz w:val="22"/>
          <w:szCs w:val="22"/>
          <w:lang w:val="fr"/>
        </w:rPr>
        <w:t xml:space="preserve">dollars des États-Unis </w:t>
      </w:r>
      <w:r w:rsidRPr="00024F52">
        <w:rPr>
          <w:rFonts w:asciiTheme="minorBidi" w:hAnsiTheme="minorBidi"/>
          <w:sz w:val="22"/>
        </w:rPr>
        <w:t>pour la mise en œuvre de ce projet ;</w:t>
      </w:r>
    </w:p>
    <w:p w14:paraId="256EA061"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Prend note avec satisfaction</w:t>
      </w:r>
      <w:r w:rsidRPr="00024F52">
        <w:rPr>
          <w:rFonts w:asciiTheme="minorBidi" w:hAnsiTheme="minorBidi"/>
          <w:sz w:val="22"/>
        </w:rPr>
        <w:t xml:space="preserve"> de l’attention portée par le projet à inclusion, visant à intégrer les personnes en situation de handicap dans la mise en œuvre, la transmission et la jouissance du patrimoine vivant, et </w:t>
      </w:r>
      <w:r w:rsidRPr="00024F52">
        <w:rPr>
          <w:rFonts w:asciiTheme="minorBidi" w:hAnsiTheme="minorBidi"/>
          <w:sz w:val="22"/>
          <w:u w:val="single"/>
        </w:rPr>
        <w:t>encourage</w:t>
      </w:r>
      <w:r w:rsidRPr="00024F52">
        <w:rPr>
          <w:rFonts w:asciiTheme="minorBidi" w:hAnsiTheme="minorBidi"/>
          <w:sz w:val="22"/>
        </w:rPr>
        <w:t xml:space="preserve"> l’État partie à partager l’expérience acquise sur les approches inclusives de sauvegarde; </w:t>
      </w:r>
    </w:p>
    <w:p w14:paraId="200B6196"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u w:val="single"/>
        </w:rPr>
      </w:pPr>
      <w:r w:rsidRPr="00024F52">
        <w:rPr>
          <w:rFonts w:asciiTheme="minorBidi" w:hAnsiTheme="minorBidi"/>
          <w:sz w:val="22"/>
          <w:u w:val="single"/>
        </w:rPr>
        <w:t>Demande</w:t>
      </w:r>
      <w:r w:rsidRPr="00024F52">
        <w:rPr>
          <w:rFonts w:asciiTheme="minorBidi" w:hAnsiTheme="minorBidi"/>
          <w:sz w:val="22"/>
        </w:rPr>
        <w:t xml:space="preserve"> au Secrétariat de se mettre d’accord avec l’État partie demandeur sur les détails techniques de l’assistance, en accordant une attention particulière à ce que le budget et le plan de travail des activités à couvrir par le Fonds du patrimoine culturel immatériel soient suffisamment détaillés et précis pour justifier toutes les dépenses ;</w:t>
      </w:r>
    </w:p>
    <w:p w14:paraId="6FAB81BE" w14:textId="77777777" w:rsidR="00024F52" w:rsidRPr="00024F52" w:rsidRDefault="00024F52" w:rsidP="00024F52">
      <w:pPr>
        <w:numPr>
          <w:ilvl w:val="0"/>
          <w:numId w:val="23"/>
        </w:numPr>
        <w:spacing w:before="120" w:after="120"/>
        <w:ind w:left="567" w:hanging="567"/>
        <w:jc w:val="both"/>
        <w:rPr>
          <w:rFonts w:asciiTheme="minorBidi" w:hAnsiTheme="minorBidi" w:cstheme="minorBidi"/>
          <w:sz w:val="22"/>
          <w:szCs w:val="22"/>
        </w:rPr>
      </w:pPr>
      <w:r w:rsidRPr="00024F52">
        <w:rPr>
          <w:rFonts w:asciiTheme="minorBidi" w:hAnsiTheme="minorBidi"/>
          <w:sz w:val="22"/>
          <w:u w:val="single"/>
        </w:rPr>
        <w:t>Invite</w:t>
      </w:r>
      <w:r w:rsidRPr="00024F52">
        <w:rPr>
          <w:rFonts w:asciiTheme="minorBidi" w:hAnsiTheme="minorBidi"/>
          <w:sz w:val="22"/>
        </w:rPr>
        <w:t xml:space="preserve"> l’État partie demandeur à utiliser le formulaire ICH-04-Rapport afin de rendre compte de l’utilisation de l’assistance octroyée.</w:t>
      </w:r>
    </w:p>
    <w:p w14:paraId="092AFFF0" w14:textId="1D671CE7" w:rsidR="007B2D92" w:rsidRPr="00B43974" w:rsidRDefault="007B2D92" w:rsidP="007B2D92">
      <w:pPr>
        <w:pStyle w:val="GATitleResolution"/>
        <w:ind w:left="0"/>
      </w:pPr>
      <w:r w:rsidRPr="0020150F">
        <w:t>DÉCIS</w:t>
      </w:r>
      <w:r>
        <w:t>ION 20</w:t>
      </w:r>
      <w:r w:rsidRPr="0020150F">
        <w:t>.COM</w:t>
      </w:r>
      <w:r>
        <w:t> 4.BUR 4</w:t>
      </w:r>
    </w:p>
    <w:p w14:paraId="51A9475E" w14:textId="77777777" w:rsidR="007B2D92" w:rsidRPr="00B43974" w:rsidRDefault="007B2D92" w:rsidP="007B2D92">
      <w:pPr>
        <w:pStyle w:val="COMPreambulaDecision"/>
        <w:ind w:left="0"/>
      </w:pPr>
      <w:r w:rsidRPr="00B43974">
        <w:t xml:space="preserve">Le </w:t>
      </w:r>
      <w:r>
        <w:t>Bureau</w:t>
      </w:r>
      <w:r w:rsidRPr="00B43974">
        <w:t>,</w:t>
      </w:r>
    </w:p>
    <w:p w14:paraId="6623CF4B" w14:textId="77777777" w:rsidR="007B2D92" w:rsidRPr="00022428" w:rsidRDefault="007B2D92" w:rsidP="007B2D92">
      <w:pPr>
        <w:pStyle w:val="COMParaDecision"/>
        <w:ind w:left="567"/>
        <w:jc w:val="left"/>
      </w:pPr>
      <w:r w:rsidRPr="00B43974">
        <w:t>Ayant examiné</w:t>
      </w:r>
      <w:r w:rsidRPr="00B43974">
        <w:rPr>
          <w:u w:val="none"/>
        </w:rPr>
        <w:t xml:space="preserve"> le document</w:t>
      </w:r>
      <w:r>
        <w:rPr>
          <w:u w:val="none"/>
        </w:rPr>
        <w:t xml:space="preserve"> LHE/25/20</w:t>
      </w:r>
      <w:r w:rsidRPr="00B43974">
        <w:rPr>
          <w:u w:val="none"/>
        </w:rPr>
        <w:t>.COM</w:t>
      </w:r>
      <w:r>
        <w:rPr>
          <w:u w:val="none"/>
        </w:rPr>
        <w:t> 4.BUR/4 et son annexe,</w:t>
      </w:r>
    </w:p>
    <w:p w14:paraId="06D44A8A" w14:textId="77777777" w:rsidR="007B2D92" w:rsidRPr="00022428" w:rsidRDefault="007B2D92" w:rsidP="007B2D92">
      <w:pPr>
        <w:pStyle w:val="COMParaDecision"/>
        <w:ind w:left="567"/>
        <w:jc w:val="left"/>
      </w:pPr>
      <w:r>
        <w:t>Prend note</w:t>
      </w:r>
      <w:r w:rsidRPr="00B43974">
        <w:rPr>
          <w:u w:val="none"/>
        </w:rPr>
        <w:t xml:space="preserve"> </w:t>
      </w:r>
      <w:r w:rsidRPr="00ED2108">
        <w:rPr>
          <w:u w:val="none"/>
        </w:rPr>
        <w:t xml:space="preserve">de l’ordre du jour provisoire de la </w:t>
      </w:r>
      <w:r>
        <w:rPr>
          <w:u w:val="none"/>
        </w:rPr>
        <w:t>vingtième</w:t>
      </w:r>
      <w:r w:rsidRPr="00ED2108">
        <w:rPr>
          <w:u w:val="none"/>
        </w:rPr>
        <w:t xml:space="preserve"> session du Comité</w:t>
      </w:r>
      <w:r>
        <w:rPr>
          <w:u w:val="none"/>
        </w:rPr>
        <w:t> ;</w:t>
      </w:r>
    </w:p>
    <w:p w14:paraId="3745717E" w14:textId="032AC0DC" w:rsidR="007B2D92" w:rsidRPr="007B2D92" w:rsidRDefault="007B2D92" w:rsidP="007B2D92">
      <w:pPr>
        <w:pStyle w:val="COMParaDecision"/>
        <w:spacing w:after="240"/>
        <w:ind w:left="567"/>
        <w:jc w:val="left"/>
      </w:pPr>
      <w:r>
        <w:t>Soumet</w:t>
      </w:r>
      <w:r>
        <w:rPr>
          <w:u w:val="none"/>
        </w:rPr>
        <w:t xml:space="preserve"> </w:t>
      </w:r>
      <w:r w:rsidRPr="00ED2108">
        <w:rPr>
          <w:u w:val="none"/>
        </w:rPr>
        <w:t>au Comité le calendrier provisoire de ses travaux pour examen à sa v</w:t>
      </w:r>
      <w:r>
        <w:rPr>
          <w:u w:val="none"/>
        </w:rPr>
        <w:t>ingt</w:t>
      </w:r>
      <w:r w:rsidRPr="00ED2108">
        <w:rPr>
          <w:u w:val="none"/>
        </w:rPr>
        <w:t>ième session (</w:t>
      </w:r>
      <w:r>
        <w:rPr>
          <w:u w:val="none"/>
        </w:rPr>
        <w:t>8</w:t>
      </w:r>
      <w:r w:rsidRPr="00ED2108">
        <w:rPr>
          <w:u w:val="none"/>
        </w:rPr>
        <w:t xml:space="preserve"> – </w:t>
      </w:r>
      <w:r>
        <w:rPr>
          <w:u w:val="none"/>
        </w:rPr>
        <w:t>13</w:t>
      </w:r>
      <w:r w:rsidRPr="00ED2108">
        <w:rPr>
          <w:u w:val="none"/>
        </w:rPr>
        <w:t xml:space="preserve"> décembre 202</w:t>
      </w:r>
      <w:r>
        <w:rPr>
          <w:u w:val="none"/>
        </w:rPr>
        <w:t>5</w:t>
      </w:r>
      <w:r w:rsidRPr="00ED2108">
        <w:rPr>
          <w:u w:val="none"/>
        </w:rPr>
        <w:t xml:space="preserve">, </w:t>
      </w:r>
      <w:r>
        <w:rPr>
          <w:u w:val="none"/>
        </w:rPr>
        <w:t>New Delhi</w:t>
      </w:r>
      <w:r w:rsidRPr="00ED2108">
        <w:rPr>
          <w:u w:val="none"/>
        </w:rPr>
        <w:t>, République d</w:t>
      </w:r>
      <w:r>
        <w:rPr>
          <w:u w:val="none"/>
        </w:rPr>
        <w:t>e l’Inde).</w:t>
      </w:r>
    </w:p>
    <w:p w14:paraId="70DB09A2" w14:textId="77777777" w:rsidR="00BE531A" w:rsidRDefault="00BE531A">
      <w:pPr>
        <w:rPr>
          <w:rFonts w:ascii="Arial" w:hAnsi="Arial" w:cs="Arial"/>
          <w:b/>
          <w:bCs/>
          <w:sz w:val="22"/>
          <w:szCs w:val="22"/>
          <w:u w:val="single"/>
        </w:rPr>
      </w:pPr>
      <w:r>
        <w:rPr>
          <w:b/>
          <w:bCs/>
        </w:rPr>
        <w:br w:type="page"/>
      </w:r>
    </w:p>
    <w:p w14:paraId="7E1FBF3E" w14:textId="27F4AE9A" w:rsidR="007B2D92" w:rsidRPr="00ED2108" w:rsidRDefault="007B2D92" w:rsidP="007B2D92">
      <w:pPr>
        <w:pStyle w:val="COMParaDecision"/>
        <w:numPr>
          <w:ilvl w:val="0"/>
          <w:numId w:val="0"/>
        </w:numPr>
        <w:spacing w:after="240"/>
        <w:jc w:val="center"/>
        <w:rPr>
          <w:b/>
          <w:bCs/>
        </w:rPr>
      </w:pPr>
      <w:r w:rsidRPr="00ED2108">
        <w:rPr>
          <w:b/>
          <w:bCs/>
        </w:rPr>
        <w:t>ANNEXE</w:t>
      </w:r>
    </w:p>
    <w:tbl>
      <w:tblPr>
        <w:tblStyle w:val="TableGrid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80"/>
        <w:gridCol w:w="704"/>
        <w:gridCol w:w="6554"/>
      </w:tblGrid>
      <w:tr w:rsidR="007B2D92" w:rsidRPr="00E03188" w14:paraId="39A644E3" w14:textId="77777777" w:rsidTr="00A20643">
        <w:tc>
          <w:tcPr>
            <w:tcW w:w="5000" w:type="pct"/>
            <w:gridSpan w:val="3"/>
            <w:shd w:val="clear" w:color="auto" w:fill="BFBFBF" w:themeFill="background1" w:themeFillShade="BF"/>
          </w:tcPr>
          <w:p w14:paraId="22F8B0E0" w14:textId="77777777" w:rsidR="007B2D92" w:rsidRPr="00E03188" w:rsidRDefault="007B2D92" w:rsidP="00A20643">
            <w:pPr>
              <w:spacing w:before="60" w:after="60"/>
              <w:rPr>
                <w:rFonts w:ascii="Arial" w:eastAsiaTheme="minorEastAsia" w:hAnsi="Arial" w:cs="Arial"/>
                <w:b/>
                <w:sz w:val="20"/>
                <w:szCs w:val="20"/>
                <w:u w:val="single"/>
                <w:lang w:eastAsia="ko-KR"/>
              </w:rPr>
            </w:pPr>
            <w:r w:rsidRPr="00E03188">
              <w:rPr>
                <w:rFonts w:ascii="Arial" w:hAnsi="Arial" w:cs="Arial"/>
                <w:b/>
                <w:sz w:val="20"/>
                <w:szCs w:val="20"/>
                <w:u w:val="single"/>
              </w:rPr>
              <w:t xml:space="preserve">Lundi </w:t>
            </w:r>
            <w:r>
              <w:rPr>
                <w:rFonts w:ascii="Arial" w:hAnsi="Arial" w:cs="Arial"/>
                <w:b/>
                <w:sz w:val="20"/>
                <w:szCs w:val="20"/>
                <w:u w:val="single"/>
              </w:rPr>
              <w:t>8</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7B2D92" w:rsidRPr="00E03188" w14:paraId="592F9F40" w14:textId="77777777" w:rsidTr="00A20643">
        <w:tc>
          <w:tcPr>
            <w:tcW w:w="1235" w:type="pct"/>
          </w:tcPr>
          <w:p w14:paraId="3AAD8531"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À partir de 8h30</w:t>
            </w:r>
          </w:p>
        </w:tc>
        <w:tc>
          <w:tcPr>
            <w:tcW w:w="3765" w:type="pct"/>
            <w:gridSpan w:val="2"/>
          </w:tcPr>
          <w:p w14:paraId="2DDB82A4"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Enregistrement des participants</w:t>
            </w:r>
          </w:p>
        </w:tc>
      </w:tr>
      <w:tr w:rsidR="007B2D92" w:rsidRPr="00E03188" w14:paraId="74FC56D4" w14:textId="77777777" w:rsidTr="00A20643">
        <w:tc>
          <w:tcPr>
            <w:tcW w:w="1235" w:type="pct"/>
          </w:tcPr>
          <w:p w14:paraId="12FD33A4"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9h30 – 12h30</w:t>
            </w:r>
          </w:p>
        </w:tc>
        <w:tc>
          <w:tcPr>
            <w:tcW w:w="365" w:type="pct"/>
          </w:tcPr>
          <w:p w14:paraId="16B2E8CE"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1.</w:t>
            </w:r>
          </w:p>
        </w:tc>
        <w:tc>
          <w:tcPr>
            <w:tcW w:w="3400" w:type="pct"/>
          </w:tcPr>
          <w:p w14:paraId="6899F296" w14:textId="77777777" w:rsidR="007B2D92" w:rsidRPr="00E03188" w:rsidRDefault="007B2D92" w:rsidP="00A20643">
            <w:pPr>
              <w:spacing w:before="60" w:after="60"/>
              <w:jc w:val="both"/>
              <w:rPr>
                <w:rFonts w:ascii="Arial" w:hAnsi="Arial" w:cs="Arial"/>
                <w:sz w:val="20"/>
                <w:szCs w:val="20"/>
              </w:rPr>
            </w:pPr>
            <w:r w:rsidRPr="00E03188">
              <w:rPr>
                <w:rFonts w:ascii="Arial" w:hAnsi="Arial" w:cs="Arial"/>
                <w:sz w:val="20"/>
                <w:szCs w:val="20"/>
              </w:rPr>
              <w:t>Ouverture</w:t>
            </w:r>
          </w:p>
        </w:tc>
      </w:tr>
      <w:tr w:rsidR="007B2D92" w:rsidRPr="004E0190" w14:paraId="7230E8A4" w14:textId="77777777" w:rsidTr="00A20643">
        <w:tc>
          <w:tcPr>
            <w:tcW w:w="1235" w:type="pct"/>
          </w:tcPr>
          <w:p w14:paraId="0F9C0A44" w14:textId="77777777" w:rsidR="007B2D92" w:rsidRPr="00E03188" w:rsidRDefault="007B2D92" w:rsidP="00A20643">
            <w:pPr>
              <w:spacing w:before="60" w:after="60"/>
              <w:rPr>
                <w:rFonts w:ascii="Arial" w:hAnsi="Arial" w:cs="Arial"/>
                <w:sz w:val="20"/>
                <w:szCs w:val="20"/>
              </w:rPr>
            </w:pPr>
          </w:p>
        </w:tc>
        <w:tc>
          <w:tcPr>
            <w:tcW w:w="365" w:type="pct"/>
          </w:tcPr>
          <w:p w14:paraId="704280EE"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2.</w:t>
            </w:r>
          </w:p>
        </w:tc>
        <w:tc>
          <w:tcPr>
            <w:tcW w:w="3400" w:type="pct"/>
          </w:tcPr>
          <w:p w14:paraId="42592D70" w14:textId="77777777" w:rsidR="007B2D92" w:rsidRPr="00E03188" w:rsidRDefault="007B2D92" w:rsidP="00A20643">
            <w:pPr>
              <w:spacing w:before="60" w:after="60"/>
              <w:jc w:val="both"/>
              <w:rPr>
                <w:rFonts w:ascii="Arial" w:hAnsi="Arial" w:cs="Arial"/>
                <w:sz w:val="20"/>
                <w:szCs w:val="20"/>
              </w:rPr>
            </w:pPr>
            <w:r w:rsidRPr="00E03188">
              <w:rPr>
                <w:rFonts w:ascii="Arial" w:hAnsi="Arial" w:cs="Arial"/>
                <w:sz w:val="20"/>
                <w:szCs w:val="20"/>
              </w:rPr>
              <w:t>Adoption de l’ordre du jour</w:t>
            </w:r>
          </w:p>
        </w:tc>
      </w:tr>
      <w:tr w:rsidR="007B2D92" w:rsidRPr="00E03188" w14:paraId="421DCBB5" w14:textId="77777777" w:rsidTr="00A20643">
        <w:tc>
          <w:tcPr>
            <w:tcW w:w="1235" w:type="pct"/>
          </w:tcPr>
          <w:p w14:paraId="5959DC4E" w14:textId="77777777" w:rsidR="007B2D92" w:rsidRPr="00E03188" w:rsidRDefault="007B2D92" w:rsidP="00A20643">
            <w:pPr>
              <w:spacing w:before="60" w:after="60"/>
              <w:rPr>
                <w:rFonts w:ascii="Arial" w:hAnsi="Arial" w:cs="Arial"/>
                <w:sz w:val="20"/>
                <w:szCs w:val="20"/>
              </w:rPr>
            </w:pPr>
          </w:p>
        </w:tc>
        <w:tc>
          <w:tcPr>
            <w:tcW w:w="365" w:type="pct"/>
          </w:tcPr>
          <w:p w14:paraId="67657892"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3.</w:t>
            </w:r>
          </w:p>
        </w:tc>
        <w:tc>
          <w:tcPr>
            <w:tcW w:w="3400" w:type="pct"/>
          </w:tcPr>
          <w:p w14:paraId="3ACF69E2" w14:textId="77777777" w:rsidR="007B2D92" w:rsidRPr="00E03188" w:rsidRDefault="007B2D92" w:rsidP="00A20643">
            <w:pPr>
              <w:spacing w:before="60" w:after="60"/>
              <w:jc w:val="both"/>
              <w:rPr>
                <w:rFonts w:ascii="Arial" w:hAnsi="Arial" w:cs="Arial"/>
                <w:sz w:val="20"/>
                <w:szCs w:val="20"/>
              </w:rPr>
            </w:pPr>
            <w:r w:rsidRPr="00E03188">
              <w:rPr>
                <w:rFonts w:ascii="Arial" w:hAnsi="Arial" w:cs="Arial"/>
                <w:sz w:val="20"/>
                <w:szCs w:val="20"/>
              </w:rPr>
              <w:t>Observateurs</w:t>
            </w:r>
          </w:p>
        </w:tc>
      </w:tr>
      <w:tr w:rsidR="007B2D92" w:rsidRPr="004E0190" w14:paraId="58B92795" w14:textId="77777777" w:rsidTr="00A20643">
        <w:tc>
          <w:tcPr>
            <w:tcW w:w="1235" w:type="pct"/>
          </w:tcPr>
          <w:p w14:paraId="0C1CB8F9" w14:textId="77777777" w:rsidR="007B2D92" w:rsidRPr="00E03188" w:rsidRDefault="007B2D92" w:rsidP="00A20643">
            <w:pPr>
              <w:spacing w:before="60" w:after="60"/>
              <w:rPr>
                <w:rFonts w:ascii="Arial" w:hAnsi="Arial" w:cs="Arial"/>
                <w:sz w:val="20"/>
                <w:szCs w:val="20"/>
              </w:rPr>
            </w:pPr>
          </w:p>
        </w:tc>
        <w:tc>
          <w:tcPr>
            <w:tcW w:w="365" w:type="pct"/>
          </w:tcPr>
          <w:p w14:paraId="44F0D03E"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4.</w:t>
            </w:r>
          </w:p>
        </w:tc>
        <w:tc>
          <w:tcPr>
            <w:tcW w:w="3400" w:type="pct"/>
          </w:tcPr>
          <w:p w14:paraId="6571C5AB"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Adoption du compte-rendu de la dix-</w:t>
            </w:r>
            <w:r>
              <w:rPr>
                <w:rFonts w:ascii="Arial" w:hAnsi="Arial" w:cs="Arial"/>
                <w:sz w:val="20"/>
                <w:szCs w:val="20"/>
              </w:rPr>
              <w:t>neuv</w:t>
            </w:r>
            <w:r w:rsidRPr="00E03188">
              <w:rPr>
                <w:rFonts w:ascii="Arial" w:hAnsi="Arial" w:cs="Arial"/>
                <w:sz w:val="20"/>
                <w:szCs w:val="20"/>
              </w:rPr>
              <w:t>ième session du Comité</w:t>
            </w:r>
          </w:p>
        </w:tc>
      </w:tr>
      <w:tr w:rsidR="007B2D92" w:rsidRPr="004E0190" w14:paraId="50909A7D" w14:textId="77777777" w:rsidTr="00A20643">
        <w:tc>
          <w:tcPr>
            <w:tcW w:w="1235" w:type="pct"/>
          </w:tcPr>
          <w:p w14:paraId="52305FA3" w14:textId="77777777" w:rsidR="007B2D92" w:rsidRPr="00E03188" w:rsidRDefault="007B2D92" w:rsidP="00A20643">
            <w:pPr>
              <w:spacing w:before="60" w:after="60"/>
              <w:rPr>
                <w:rFonts w:ascii="Arial" w:hAnsi="Arial" w:cs="Arial"/>
                <w:sz w:val="20"/>
                <w:szCs w:val="20"/>
              </w:rPr>
            </w:pPr>
          </w:p>
        </w:tc>
        <w:tc>
          <w:tcPr>
            <w:tcW w:w="365" w:type="pct"/>
          </w:tcPr>
          <w:p w14:paraId="24D1C842" w14:textId="77777777" w:rsidR="007B2D92" w:rsidRPr="00E03188" w:rsidRDefault="007B2D92" w:rsidP="00A20643">
            <w:pPr>
              <w:tabs>
                <w:tab w:val="decimal" w:pos="284"/>
              </w:tabs>
              <w:spacing w:before="60" w:after="60"/>
              <w:jc w:val="right"/>
              <w:rPr>
                <w:rFonts w:ascii="Arial" w:hAnsi="Arial" w:cs="Arial"/>
                <w:sz w:val="20"/>
                <w:szCs w:val="20"/>
              </w:rPr>
            </w:pPr>
          </w:p>
        </w:tc>
        <w:tc>
          <w:tcPr>
            <w:tcW w:w="3400" w:type="pct"/>
          </w:tcPr>
          <w:p w14:paraId="1EFC4FDD"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Rapport par l</w:t>
            </w:r>
            <w:r>
              <w:rPr>
                <w:rFonts w:ascii="Arial" w:hAnsi="Arial" w:cs="Arial"/>
                <w:sz w:val="20"/>
                <w:szCs w:val="20"/>
              </w:rPr>
              <w:t>e</w:t>
            </w:r>
            <w:r w:rsidRPr="00E03188">
              <w:rPr>
                <w:rFonts w:ascii="Arial" w:hAnsi="Arial" w:cs="Arial"/>
                <w:sz w:val="20"/>
                <w:szCs w:val="20"/>
              </w:rPr>
              <w:t xml:space="preserve"> Président du Comité sur les activités du Bureau</w:t>
            </w:r>
          </w:p>
        </w:tc>
      </w:tr>
      <w:tr w:rsidR="007B2D92" w:rsidRPr="004E0190" w14:paraId="4FCF1FE8" w14:textId="77777777" w:rsidTr="00A20643">
        <w:tc>
          <w:tcPr>
            <w:tcW w:w="1235" w:type="pct"/>
          </w:tcPr>
          <w:p w14:paraId="56839902" w14:textId="77777777" w:rsidR="007B2D92" w:rsidRPr="00E03188" w:rsidRDefault="007B2D92" w:rsidP="00A20643">
            <w:pPr>
              <w:spacing w:before="60" w:after="60"/>
              <w:rPr>
                <w:rFonts w:ascii="Arial" w:hAnsi="Arial" w:cs="Arial"/>
                <w:sz w:val="20"/>
                <w:szCs w:val="20"/>
              </w:rPr>
            </w:pPr>
          </w:p>
        </w:tc>
        <w:tc>
          <w:tcPr>
            <w:tcW w:w="365" w:type="pct"/>
          </w:tcPr>
          <w:p w14:paraId="1191B546"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5.</w:t>
            </w:r>
          </w:p>
        </w:tc>
        <w:tc>
          <w:tcPr>
            <w:tcW w:w="3400" w:type="pct"/>
          </w:tcPr>
          <w:p w14:paraId="1DE40637"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Rapport du Secrétariat sur ses activités (de janvier</w:t>
            </w:r>
            <w:r>
              <w:rPr>
                <w:rFonts w:ascii="Arial" w:hAnsi="Arial" w:cs="Arial"/>
                <w:sz w:val="20"/>
                <w:szCs w:val="20"/>
              </w:rPr>
              <w:t xml:space="preserve"> 2024</w:t>
            </w:r>
            <w:r w:rsidRPr="00E03188">
              <w:rPr>
                <w:rFonts w:ascii="Arial" w:hAnsi="Arial" w:cs="Arial"/>
                <w:sz w:val="20"/>
                <w:szCs w:val="20"/>
              </w:rPr>
              <w:t xml:space="preserve"> à juin 202</w:t>
            </w:r>
            <w:r>
              <w:rPr>
                <w:rFonts w:ascii="Arial" w:hAnsi="Arial" w:cs="Arial"/>
                <w:sz w:val="20"/>
                <w:szCs w:val="20"/>
              </w:rPr>
              <w:t>5</w:t>
            </w:r>
            <w:r w:rsidRPr="00E03188">
              <w:rPr>
                <w:rFonts w:ascii="Arial" w:hAnsi="Arial" w:cs="Arial"/>
                <w:sz w:val="20"/>
                <w:szCs w:val="20"/>
              </w:rPr>
              <w:t>)</w:t>
            </w:r>
          </w:p>
        </w:tc>
      </w:tr>
      <w:tr w:rsidR="007B2D92" w:rsidRPr="00E03188" w14:paraId="3305221A" w14:textId="77777777" w:rsidTr="00A20643">
        <w:tc>
          <w:tcPr>
            <w:tcW w:w="1235" w:type="pct"/>
            <w:shd w:val="clear" w:color="auto" w:fill="D9D9D9"/>
          </w:tcPr>
          <w:p w14:paraId="5807DC66" w14:textId="77777777" w:rsidR="007B2D92" w:rsidRPr="00E03188" w:rsidRDefault="007B2D92" w:rsidP="00A20643">
            <w:pPr>
              <w:keepNext/>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cPr>
          <w:p w14:paraId="409F1C15" w14:textId="77777777" w:rsidR="007B2D92" w:rsidRPr="00E03188" w:rsidRDefault="007B2D92" w:rsidP="00A20643">
            <w:pPr>
              <w:keepNext/>
              <w:tabs>
                <w:tab w:val="num" w:pos="1080"/>
              </w:tabs>
              <w:autoSpaceDE w:val="0"/>
              <w:autoSpaceDN w:val="0"/>
              <w:spacing w:before="60" w:after="60"/>
              <w:ind w:right="-2"/>
              <w:rPr>
                <w:rFonts w:ascii="Arial" w:hAnsi="Arial" w:cs="Arial"/>
                <w:sz w:val="20"/>
                <w:szCs w:val="20"/>
              </w:rPr>
            </w:pPr>
            <w:r w:rsidRPr="00E03188">
              <w:rPr>
                <w:rFonts w:ascii="Arial" w:eastAsia="SimSun" w:hAnsi="Arial" w:cs="Arial"/>
                <w:bCs/>
                <w:sz w:val="20"/>
                <w:szCs w:val="20"/>
                <w:lang w:eastAsia="zh-CN"/>
              </w:rPr>
              <w:t>Pause</w:t>
            </w:r>
          </w:p>
        </w:tc>
      </w:tr>
      <w:tr w:rsidR="007B2D92" w:rsidRPr="004E0190" w14:paraId="0A80EA8C" w14:textId="77777777" w:rsidTr="00A20643">
        <w:tc>
          <w:tcPr>
            <w:tcW w:w="1235" w:type="pct"/>
          </w:tcPr>
          <w:p w14:paraId="66FA1C6E" w14:textId="77777777" w:rsidR="007B2D92" w:rsidRPr="00E03188" w:rsidRDefault="007B2D92" w:rsidP="00A20643">
            <w:pPr>
              <w:keepNext/>
              <w:spacing w:before="60" w:after="60"/>
              <w:ind w:left="567" w:hanging="567"/>
              <w:rPr>
                <w:rFonts w:ascii="Arial" w:hAnsi="Arial" w:cs="Arial"/>
                <w:sz w:val="20"/>
                <w:szCs w:val="20"/>
              </w:rPr>
            </w:pPr>
            <w:r w:rsidRPr="00E03188">
              <w:rPr>
                <w:rFonts w:ascii="Arial" w:hAnsi="Arial" w:cs="Arial"/>
                <w:sz w:val="20"/>
                <w:szCs w:val="20"/>
              </w:rPr>
              <w:t>14h30 – 17h30</w:t>
            </w:r>
          </w:p>
        </w:tc>
        <w:tc>
          <w:tcPr>
            <w:tcW w:w="365" w:type="pct"/>
          </w:tcPr>
          <w:p w14:paraId="242191C3" w14:textId="77777777" w:rsidR="007B2D92" w:rsidRPr="00E03188" w:rsidRDefault="007B2D92" w:rsidP="00A20643">
            <w:pPr>
              <w:keepNext/>
              <w:tabs>
                <w:tab w:val="decimal" w:pos="284"/>
              </w:tabs>
              <w:spacing w:before="60" w:after="60"/>
              <w:jc w:val="right"/>
              <w:rPr>
                <w:rFonts w:ascii="Arial" w:hAnsi="Arial" w:cs="Arial"/>
                <w:sz w:val="20"/>
                <w:szCs w:val="20"/>
              </w:rPr>
            </w:pPr>
            <w:r w:rsidRPr="00E03188">
              <w:rPr>
                <w:rFonts w:ascii="Arial" w:hAnsi="Arial" w:cs="Arial"/>
                <w:sz w:val="20"/>
                <w:szCs w:val="20"/>
              </w:rPr>
              <w:t>5.</w:t>
            </w:r>
          </w:p>
        </w:tc>
        <w:tc>
          <w:tcPr>
            <w:tcW w:w="3400" w:type="pct"/>
          </w:tcPr>
          <w:p w14:paraId="36E1AB99" w14:textId="77777777" w:rsidR="007B2D92" w:rsidRPr="00E03188" w:rsidRDefault="007B2D92" w:rsidP="00A20643">
            <w:pPr>
              <w:adjustRightInd w:val="0"/>
              <w:spacing w:before="60" w:after="60"/>
              <w:jc w:val="both"/>
              <w:rPr>
                <w:rFonts w:ascii="Arial" w:hAnsi="Arial" w:cs="Arial"/>
                <w:bCs/>
                <w:snapToGrid w:val="0"/>
                <w:sz w:val="20"/>
                <w:szCs w:val="20"/>
                <w:lang w:eastAsia="en-US"/>
              </w:rPr>
            </w:pPr>
            <w:r w:rsidRPr="00E03188">
              <w:rPr>
                <w:rFonts w:ascii="Arial" w:hAnsi="Arial" w:cs="Arial"/>
                <w:sz w:val="20"/>
                <w:szCs w:val="20"/>
              </w:rPr>
              <w:t>Rapport du Secrétariat sur ses activités (de janvier</w:t>
            </w:r>
            <w:r>
              <w:rPr>
                <w:rFonts w:ascii="Arial" w:hAnsi="Arial" w:cs="Arial"/>
                <w:sz w:val="20"/>
                <w:szCs w:val="20"/>
              </w:rPr>
              <w:t xml:space="preserve"> 2024</w:t>
            </w:r>
            <w:r w:rsidRPr="00E03188">
              <w:rPr>
                <w:rFonts w:ascii="Arial" w:hAnsi="Arial" w:cs="Arial"/>
                <w:sz w:val="20"/>
                <w:szCs w:val="20"/>
              </w:rPr>
              <w:t xml:space="preserve"> à juin 202</w:t>
            </w:r>
            <w:r>
              <w:rPr>
                <w:rFonts w:ascii="Arial" w:hAnsi="Arial" w:cs="Arial"/>
                <w:sz w:val="20"/>
                <w:szCs w:val="20"/>
              </w:rPr>
              <w:t>5</w:t>
            </w:r>
            <w:r w:rsidRPr="00E03188">
              <w:rPr>
                <w:rFonts w:ascii="Arial" w:hAnsi="Arial" w:cs="Arial"/>
                <w:sz w:val="20"/>
                <w:szCs w:val="20"/>
              </w:rPr>
              <w:t>)</w:t>
            </w:r>
          </w:p>
        </w:tc>
      </w:tr>
      <w:tr w:rsidR="007B2D92" w:rsidRPr="00E03188" w14:paraId="2054263E" w14:textId="77777777" w:rsidTr="00A20643">
        <w:tc>
          <w:tcPr>
            <w:tcW w:w="1235" w:type="pct"/>
          </w:tcPr>
          <w:p w14:paraId="0EB2A7CC" w14:textId="77777777" w:rsidR="007B2D92" w:rsidRPr="00E03188" w:rsidRDefault="007B2D92" w:rsidP="00A20643">
            <w:pPr>
              <w:keepNext/>
              <w:spacing w:before="60" w:after="60"/>
              <w:ind w:left="567" w:hanging="567"/>
              <w:rPr>
                <w:rFonts w:ascii="Arial" w:hAnsi="Arial" w:cs="Arial"/>
                <w:sz w:val="20"/>
                <w:szCs w:val="20"/>
              </w:rPr>
            </w:pPr>
          </w:p>
        </w:tc>
        <w:tc>
          <w:tcPr>
            <w:tcW w:w="365" w:type="pct"/>
          </w:tcPr>
          <w:p w14:paraId="76DBF3A7" w14:textId="77777777" w:rsidR="007B2D92" w:rsidRPr="00E03188" w:rsidRDefault="007B2D92" w:rsidP="00A20643">
            <w:pPr>
              <w:keepNext/>
              <w:tabs>
                <w:tab w:val="decimal" w:pos="284"/>
              </w:tabs>
              <w:spacing w:before="60" w:after="60"/>
              <w:jc w:val="right"/>
              <w:rPr>
                <w:rFonts w:ascii="Arial" w:hAnsi="Arial" w:cs="Arial"/>
                <w:sz w:val="20"/>
                <w:szCs w:val="20"/>
              </w:rPr>
            </w:pPr>
            <w:r w:rsidRPr="00E03188">
              <w:rPr>
                <w:rFonts w:ascii="Arial" w:hAnsi="Arial" w:cs="Arial"/>
                <w:sz w:val="20"/>
                <w:szCs w:val="20"/>
              </w:rPr>
              <w:t>6.</w:t>
            </w:r>
          </w:p>
        </w:tc>
        <w:tc>
          <w:tcPr>
            <w:tcW w:w="3400" w:type="pct"/>
          </w:tcPr>
          <w:p w14:paraId="6F1F56DC" w14:textId="77777777" w:rsidR="007B2D92" w:rsidRPr="00E03188" w:rsidRDefault="007B2D92" w:rsidP="00A20643">
            <w:pPr>
              <w:adjustRightInd w:val="0"/>
              <w:spacing w:before="60" w:after="60"/>
              <w:jc w:val="both"/>
              <w:rPr>
                <w:rFonts w:ascii="Arial" w:hAnsi="Arial" w:cs="Arial"/>
                <w:bCs/>
                <w:snapToGrid w:val="0"/>
                <w:sz w:val="20"/>
                <w:szCs w:val="20"/>
                <w:lang w:eastAsia="en-US"/>
              </w:rPr>
            </w:pPr>
            <w:r w:rsidRPr="00E03188">
              <w:rPr>
                <w:rFonts w:ascii="Arial" w:hAnsi="Arial" w:cs="Arial"/>
                <w:bCs/>
                <w:snapToGrid w:val="0"/>
                <w:sz w:val="20"/>
                <w:szCs w:val="20"/>
                <w:lang w:eastAsia="en-US"/>
              </w:rPr>
              <w:t>Rapports périodiques</w:t>
            </w:r>
          </w:p>
        </w:tc>
      </w:tr>
      <w:tr w:rsidR="007B2D92" w:rsidRPr="004E0190" w14:paraId="40F554CC" w14:textId="77777777" w:rsidTr="00A20643">
        <w:tc>
          <w:tcPr>
            <w:tcW w:w="1235" w:type="pct"/>
          </w:tcPr>
          <w:p w14:paraId="574BD6CA" w14:textId="77777777" w:rsidR="007B2D92" w:rsidRPr="00E03188" w:rsidRDefault="007B2D92" w:rsidP="00A20643">
            <w:pPr>
              <w:keepNext/>
              <w:spacing w:before="60" w:after="60"/>
              <w:ind w:left="567" w:hanging="567"/>
              <w:rPr>
                <w:rFonts w:ascii="Arial" w:hAnsi="Arial" w:cs="Arial"/>
                <w:sz w:val="20"/>
                <w:szCs w:val="20"/>
              </w:rPr>
            </w:pPr>
          </w:p>
        </w:tc>
        <w:tc>
          <w:tcPr>
            <w:tcW w:w="365" w:type="pct"/>
          </w:tcPr>
          <w:p w14:paraId="137BDB0D" w14:textId="77777777" w:rsidR="007B2D92" w:rsidRPr="00E03188" w:rsidRDefault="007B2D92" w:rsidP="00A20643">
            <w:pPr>
              <w:keepNext/>
              <w:tabs>
                <w:tab w:val="decimal" w:pos="284"/>
              </w:tabs>
              <w:spacing w:before="60" w:after="60"/>
              <w:jc w:val="right"/>
              <w:rPr>
                <w:rFonts w:ascii="Arial" w:hAnsi="Arial" w:cs="Arial"/>
                <w:sz w:val="20"/>
                <w:szCs w:val="20"/>
              </w:rPr>
            </w:pPr>
            <w:r w:rsidRPr="00E03188">
              <w:rPr>
                <w:rFonts w:ascii="Arial" w:hAnsi="Arial" w:cs="Arial"/>
                <w:sz w:val="20"/>
                <w:szCs w:val="20"/>
              </w:rPr>
              <w:t>6.a</w:t>
            </w:r>
          </w:p>
        </w:tc>
        <w:tc>
          <w:tcPr>
            <w:tcW w:w="3400" w:type="pct"/>
          </w:tcPr>
          <w:p w14:paraId="118F4922" w14:textId="77777777" w:rsidR="007B2D92" w:rsidRPr="00E03188" w:rsidRDefault="007B2D92" w:rsidP="00A20643">
            <w:pPr>
              <w:keepNext/>
              <w:adjustRightInd w:val="0"/>
              <w:spacing w:before="60" w:after="60"/>
              <w:jc w:val="both"/>
              <w:rPr>
                <w:rFonts w:ascii="Arial" w:hAnsi="Arial" w:cs="Arial"/>
                <w:bCs/>
                <w:snapToGrid w:val="0"/>
                <w:sz w:val="20"/>
                <w:szCs w:val="20"/>
                <w:lang w:eastAsia="en-US"/>
              </w:rPr>
            </w:pPr>
            <w:r w:rsidRPr="00E03188">
              <w:rPr>
                <w:rFonts w:ascii="Arial" w:hAnsi="Arial" w:cs="Arial"/>
                <w:bCs/>
                <w:snapToGrid w:val="0"/>
                <w:sz w:val="20"/>
                <w:szCs w:val="20"/>
                <w:lang w:eastAsia="en-US"/>
              </w:rPr>
              <w:t>Examen des rapports des États parties sur l’état actuel des éléments inscrits sur la Liste du patrimoine culturel immatériel nécessitant une sauvegarde urgente</w:t>
            </w:r>
          </w:p>
        </w:tc>
      </w:tr>
      <w:tr w:rsidR="007B2D92" w:rsidRPr="00E03188" w14:paraId="39DD7388" w14:textId="77777777" w:rsidTr="00A20643">
        <w:tc>
          <w:tcPr>
            <w:tcW w:w="5000" w:type="pct"/>
            <w:gridSpan w:val="3"/>
            <w:shd w:val="clear" w:color="auto" w:fill="BFBFBF" w:themeFill="background1" w:themeFillShade="BF"/>
          </w:tcPr>
          <w:p w14:paraId="1EC2FFD6" w14:textId="77777777" w:rsidR="007B2D92" w:rsidRPr="00E03188" w:rsidRDefault="007B2D92" w:rsidP="00A20643">
            <w:pPr>
              <w:keepNext/>
              <w:spacing w:before="60" w:after="60"/>
              <w:rPr>
                <w:rFonts w:ascii="Arial" w:eastAsiaTheme="minorEastAsia" w:hAnsi="Arial" w:cs="Arial"/>
                <w:b/>
                <w:sz w:val="20"/>
                <w:szCs w:val="20"/>
                <w:u w:val="single"/>
                <w:lang w:eastAsia="ko-KR"/>
              </w:rPr>
            </w:pPr>
            <w:r w:rsidRPr="00E03188">
              <w:rPr>
                <w:rFonts w:ascii="Arial" w:hAnsi="Arial" w:cs="Arial"/>
                <w:b/>
                <w:sz w:val="20"/>
                <w:szCs w:val="20"/>
                <w:u w:val="single"/>
              </w:rPr>
              <w:t xml:space="preserve">Mardi </w:t>
            </w:r>
            <w:r>
              <w:rPr>
                <w:rFonts w:ascii="Arial" w:hAnsi="Arial" w:cs="Arial"/>
                <w:b/>
                <w:sz w:val="20"/>
                <w:szCs w:val="20"/>
                <w:u w:val="single"/>
              </w:rPr>
              <w:t>9</w:t>
            </w:r>
            <w:r w:rsidRPr="00E03188">
              <w:rPr>
                <w:rFonts w:ascii="Arial" w:hAnsi="Arial" w:cs="Arial"/>
                <w:b/>
                <w:sz w:val="20"/>
                <w:szCs w:val="20"/>
                <w:u w:val="single"/>
              </w:rPr>
              <w:t xml:space="preserve"> décembre</w:t>
            </w:r>
            <w:r w:rsidRPr="00E03188">
              <w:rPr>
                <w:rFonts w:ascii="Arial" w:eastAsiaTheme="minorEastAsia" w:hAnsi="Arial" w:cs="Arial"/>
                <w:b/>
                <w:sz w:val="20"/>
                <w:szCs w:val="20"/>
                <w:u w:val="single"/>
                <w:lang w:eastAsia="ko-KR"/>
              </w:rPr>
              <w:t xml:space="preserve"> </w:t>
            </w:r>
            <w:r w:rsidRPr="00E03188">
              <w:rPr>
                <w:rFonts w:ascii="Arial" w:hAnsi="Arial" w:cs="Arial"/>
                <w:b/>
                <w:sz w:val="20"/>
                <w:szCs w:val="20"/>
                <w:u w:val="single"/>
              </w:rPr>
              <w:t>202</w:t>
            </w:r>
            <w:r>
              <w:rPr>
                <w:rFonts w:ascii="Arial" w:hAnsi="Arial" w:cs="Arial"/>
                <w:b/>
                <w:sz w:val="20"/>
                <w:szCs w:val="20"/>
                <w:u w:val="single"/>
              </w:rPr>
              <w:t>5</w:t>
            </w:r>
          </w:p>
        </w:tc>
      </w:tr>
      <w:tr w:rsidR="007B2D92" w:rsidRPr="00E03188" w14:paraId="3EE3F523" w14:textId="77777777" w:rsidTr="00A20643">
        <w:tc>
          <w:tcPr>
            <w:tcW w:w="1235" w:type="pct"/>
          </w:tcPr>
          <w:p w14:paraId="7FA60A7C" w14:textId="77777777" w:rsidR="007B2D92" w:rsidRPr="00E03188" w:rsidRDefault="007B2D92" w:rsidP="00A20643">
            <w:pPr>
              <w:keepNext/>
              <w:spacing w:before="60" w:after="60"/>
              <w:rPr>
                <w:rFonts w:ascii="Arial" w:hAnsi="Arial" w:cs="Arial"/>
                <w:sz w:val="20"/>
                <w:szCs w:val="20"/>
              </w:rPr>
            </w:pPr>
            <w:r w:rsidRPr="00E03188">
              <w:rPr>
                <w:rFonts w:ascii="Arial" w:hAnsi="Arial" w:cs="Arial"/>
                <w:sz w:val="20"/>
                <w:szCs w:val="20"/>
              </w:rPr>
              <w:t>9h00 – 9h30</w:t>
            </w:r>
          </w:p>
        </w:tc>
        <w:tc>
          <w:tcPr>
            <w:tcW w:w="365" w:type="pct"/>
          </w:tcPr>
          <w:p w14:paraId="1FED2E56" w14:textId="77777777" w:rsidR="007B2D92" w:rsidRPr="00E03188" w:rsidRDefault="007B2D92" w:rsidP="00A20643">
            <w:pPr>
              <w:keepNext/>
              <w:autoSpaceDE w:val="0"/>
              <w:autoSpaceDN w:val="0"/>
              <w:spacing w:before="60" w:after="60"/>
              <w:ind w:left="567" w:hanging="567"/>
              <w:jc w:val="center"/>
              <w:rPr>
                <w:rFonts w:ascii="Arial" w:hAnsi="Arial" w:cs="Arial"/>
                <w:snapToGrid w:val="0"/>
                <w:sz w:val="20"/>
                <w:szCs w:val="20"/>
              </w:rPr>
            </w:pPr>
          </w:p>
        </w:tc>
        <w:tc>
          <w:tcPr>
            <w:tcW w:w="3400" w:type="pct"/>
          </w:tcPr>
          <w:p w14:paraId="6917534F" w14:textId="77777777" w:rsidR="007B2D92" w:rsidRPr="00E03188" w:rsidRDefault="007B2D92" w:rsidP="00A20643">
            <w:pPr>
              <w:keepNext/>
              <w:autoSpaceDE w:val="0"/>
              <w:autoSpaceDN w:val="0"/>
              <w:spacing w:before="60" w:after="60"/>
              <w:rPr>
                <w:rFonts w:ascii="Arial" w:hAnsi="Arial" w:cs="Arial"/>
                <w:sz w:val="20"/>
                <w:szCs w:val="20"/>
              </w:rPr>
            </w:pPr>
            <w:r w:rsidRPr="00E03188">
              <w:rPr>
                <w:rFonts w:ascii="Arial" w:hAnsi="Arial" w:cs="Arial"/>
                <w:sz w:val="20"/>
                <w:szCs w:val="20"/>
              </w:rPr>
              <w:t>Réunion du Bureau</w:t>
            </w:r>
          </w:p>
        </w:tc>
      </w:tr>
      <w:tr w:rsidR="007B2D92" w:rsidRPr="004E0190" w14:paraId="047C1B1E" w14:textId="77777777" w:rsidTr="00A20643">
        <w:tc>
          <w:tcPr>
            <w:tcW w:w="1235" w:type="pct"/>
          </w:tcPr>
          <w:p w14:paraId="4A4007B8"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9</w:t>
            </w:r>
            <w:r>
              <w:rPr>
                <w:rFonts w:ascii="Arial" w:hAnsi="Arial" w:cs="Arial"/>
                <w:sz w:val="20"/>
                <w:szCs w:val="20"/>
              </w:rPr>
              <w:t>h</w:t>
            </w:r>
            <w:r w:rsidRPr="00E03188">
              <w:rPr>
                <w:rFonts w:ascii="Arial" w:hAnsi="Arial" w:cs="Arial"/>
                <w:sz w:val="20"/>
                <w:szCs w:val="20"/>
              </w:rPr>
              <w:t>30 – 12h30</w:t>
            </w:r>
          </w:p>
        </w:tc>
        <w:tc>
          <w:tcPr>
            <w:tcW w:w="365" w:type="pct"/>
          </w:tcPr>
          <w:p w14:paraId="15750D0A"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eastAsiaTheme="minorEastAsia" w:hAnsi="Arial" w:cs="Arial"/>
                <w:sz w:val="20"/>
                <w:szCs w:val="20"/>
                <w:lang w:eastAsia="ko-KR"/>
              </w:rPr>
              <w:t>6.b</w:t>
            </w:r>
          </w:p>
        </w:tc>
        <w:tc>
          <w:tcPr>
            <w:tcW w:w="3400" w:type="pct"/>
          </w:tcPr>
          <w:p w14:paraId="46820163" w14:textId="77777777" w:rsidR="007B2D92" w:rsidRPr="00E03188" w:rsidRDefault="007B2D92" w:rsidP="00A20643">
            <w:pPr>
              <w:autoSpaceDE w:val="0"/>
              <w:autoSpaceDN w:val="0"/>
              <w:spacing w:before="60" w:after="60"/>
              <w:jc w:val="both"/>
              <w:rPr>
                <w:rFonts w:ascii="Arial" w:hAnsi="Arial" w:cs="Arial"/>
                <w:sz w:val="20"/>
                <w:szCs w:val="20"/>
              </w:rPr>
            </w:pPr>
            <w:r w:rsidRPr="00E03188">
              <w:rPr>
                <w:rFonts w:ascii="Arial" w:eastAsiaTheme="minorEastAsia" w:hAnsi="Arial" w:cs="Arial"/>
                <w:sz w:val="20"/>
                <w:szCs w:val="20"/>
                <w:lang w:eastAsia="ko-KR"/>
              </w:rPr>
              <w:t xml:space="preserve">Examen des rapports du cycle régional de rapports périodiques sur la mise en œuvre de la Convention et sur l’état actuel des éléments inscrits sur la Liste représentative du patrimoine culturel immatériel de l’humanité des États parties en </w:t>
            </w:r>
            <w:r>
              <w:rPr>
                <w:rFonts w:ascii="Arial" w:eastAsiaTheme="minorEastAsia" w:hAnsi="Arial" w:cs="Arial"/>
                <w:sz w:val="20"/>
                <w:szCs w:val="20"/>
                <w:lang w:eastAsia="ko-KR"/>
              </w:rPr>
              <w:t>Asie et dans le Pacifique</w:t>
            </w:r>
          </w:p>
        </w:tc>
      </w:tr>
      <w:tr w:rsidR="007B2D92" w:rsidRPr="004E0190" w14:paraId="7582545A" w14:textId="77777777" w:rsidTr="00A20643">
        <w:tc>
          <w:tcPr>
            <w:tcW w:w="1235" w:type="pct"/>
          </w:tcPr>
          <w:p w14:paraId="282913CF" w14:textId="77777777" w:rsidR="007B2D92" w:rsidRPr="00E03188" w:rsidRDefault="007B2D92" w:rsidP="00A20643">
            <w:pPr>
              <w:spacing w:before="60" w:after="60"/>
              <w:rPr>
                <w:rFonts w:ascii="Arial" w:hAnsi="Arial" w:cs="Arial"/>
                <w:sz w:val="20"/>
                <w:szCs w:val="20"/>
              </w:rPr>
            </w:pPr>
          </w:p>
        </w:tc>
        <w:tc>
          <w:tcPr>
            <w:tcW w:w="365" w:type="pct"/>
          </w:tcPr>
          <w:p w14:paraId="4AE9B1BB" w14:textId="77777777" w:rsidR="007B2D92" w:rsidRPr="00760B40" w:rsidRDefault="007B2D92" w:rsidP="00A20643">
            <w:pPr>
              <w:tabs>
                <w:tab w:val="decimal" w:pos="284"/>
              </w:tabs>
              <w:spacing w:before="60" w:after="60"/>
              <w:jc w:val="right"/>
              <w:rPr>
                <w:rFonts w:ascii="Arial" w:hAnsi="Arial" w:cs="Arial"/>
                <w:sz w:val="20"/>
                <w:szCs w:val="20"/>
              </w:rPr>
            </w:pPr>
            <w:r w:rsidRPr="00760B40">
              <w:rPr>
                <w:rFonts w:ascii="Arial" w:hAnsi="Arial" w:cs="Arial"/>
                <w:sz w:val="20"/>
                <w:szCs w:val="20"/>
              </w:rPr>
              <w:t>6.c</w:t>
            </w:r>
          </w:p>
        </w:tc>
        <w:tc>
          <w:tcPr>
            <w:tcW w:w="3400" w:type="pct"/>
          </w:tcPr>
          <w:p w14:paraId="0254425B" w14:textId="77777777" w:rsidR="007B2D92" w:rsidRPr="00E03188" w:rsidRDefault="007B2D92" w:rsidP="00A20643">
            <w:pPr>
              <w:autoSpaceDE w:val="0"/>
              <w:autoSpaceDN w:val="0"/>
              <w:spacing w:before="60" w:after="60"/>
              <w:jc w:val="both"/>
              <w:rPr>
                <w:rFonts w:ascii="Arial" w:hAnsi="Arial" w:cs="Arial"/>
                <w:sz w:val="20"/>
                <w:szCs w:val="20"/>
              </w:rPr>
            </w:pPr>
            <w:r w:rsidRPr="00760B40">
              <w:rPr>
                <w:rFonts w:ascii="Arial" w:hAnsi="Arial" w:cs="Arial"/>
                <w:sz w:val="20"/>
                <w:szCs w:val="20"/>
              </w:rPr>
              <w:t xml:space="preserve">Point sur les cycles régionaux de rapports périodiques de la Convention et proposition d’amendements </w:t>
            </w:r>
            <w:r w:rsidRPr="000066F5">
              <w:rPr>
                <w:rFonts w:ascii="Arial" w:hAnsi="Arial" w:cs="Arial"/>
                <w:sz w:val="20"/>
                <w:szCs w:val="20"/>
              </w:rPr>
              <w:t xml:space="preserve">connexes </w:t>
            </w:r>
            <w:r w:rsidRPr="00760B40">
              <w:rPr>
                <w:rFonts w:ascii="Arial" w:hAnsi="Arial" w:cs="Arial"/>
                <w:sz w:val="20"/>
                <w:szCs w:val="20"/>
              </w:rPr>
              <w:t>aux Directives opérationnelles</w:t>
            </w:r>
            <w:r>
              <w:rPr>
                <w:rFonts w:ascii="Arial" w:hAnsi="Arial" w:cs="Arial"/>
                <w:sz w:val="20"/>
                <w:szCs w:val="20"/>
              </w:rPr>
              <w:t xml:space="preserve"> </w:t>
            </w:r>
          </w:p>
        </w:tc>
      </w:tr>
      <w:tr w:rsidR="007B2D92" w:rsidRPr="004E0190" w14:paraId="3C3B11CC" w14:textId="77777777" w:rsidTr="00A20643">
        <w:tc>
          <w:tcPr>
            <w:tcW w:w="1235" w:type="pct"/>
          </w:tcPr>
          <w:p w14:paraId="23EB02DA" w14:textId="77777777" w:rsidR="007B2D92" w:rsidRPr="00E03188" w:rsidRDefault="007B2D92" w:rsidP="00A20643">
            <w:pPr>
              <w:spacing w:before="60" w:after="60"/>
              <w:rPr>
                <w:rFonts w:ascii="Arial" w:hAnsi="Arial" w:cs="Arial"/>
                <w:sz w:val="20"/>
                <w:szCs w:val="20"/>
              </w:rPr>
            </w:pPr>
          </w:p>
        </w:tc>
        <w:tc>
          <w:tcPr>
            <w:tcW w:w="365" w:type="pct"/>
          </w:tcPr>
          <w:p w14:paraId="09D91CDF"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7.</w:t>
            </w:r>
          </w:p>
        </w:tc>
        <w:tc>
          <w:tcPr>
            <w:tcW w:w="3400" w:type="pct"/>
          </w:tcPr>
          <w:p w14:paraId="693548E9" w14:textId="77777777" w:rsidR="007B2D92" w:rsidRPr="00E03188" w:rsidRDefault="007B2D92" w:rsidP="00A20643">
            <w:pPr>
              <w:autoSpaceDE w:val="0"/>
              <w:autoSpaceDN w:val="0"/>
              <w:spacing w:before="60" w:after="60"/>
              <w:jc w:val="both"/>
              <w:rPr>
                <w:rFonts w:ascii="Arial" w:hAnsi="Arial" w:cs="Arial"/>
                <w:sz w:val="20"/>
                <w:szCs w:val="20"/>
              </w:rPr>
            </w:pPr>
            <w:r w:rsidRPr="00E03188">
              <w:rPr>
                <w:rFonts w:ascii="Arial" w:hAnsi="Arial" w:cs="Arial"/>
                <w:sz w:val="20"/>
                <w:szCs w:val="20"/>
              </w:rPr>
              <w:t>Rapport de l’Organe d’évaluation sur ses travaux en 202</w:t>
            </w:r>
            <w:r>
              <w:rPr>
                <w:rFonts w:ascii="Arial" w:hAnsi="Arial" w:cs="Arial"/>
                <w:sz w:val="20"/>
                <w:szCs w:val="20"/>
              </w:rPr>
              <w:t>5</w:t>
            </w:r>
            <w:r w:rsidRPr="00E03188">
              <w:rPr>
                <w:rFonts w:ascii="Arial" w:hAnsi="Arial" w:cs="Arial"/>
                <w:sz w:val="20"/>
                <w:szCs w:val="20"/>
              </w:rPr>
              <w:t xml:space="preserve"> (Partie I)</w:t>
            </w:r>
          </w:p>
        </w:tc>
      </w:tr>
      <w:tr w:rsidR="007B2D92" w:rsidRPr="00E03188" w14:paraId="30BCBF00" w14:textId="77777777" w:rsidTr="00A20643">
        <w:tc>
          <w:tcPr>
            <w:tcW w:w="1235" w:type="pct"/>
            <w:shd w:val="clear" w:color="auto" w:fill="D9D9D9"/>
          </w:tcPr>
          <w:p w14:paraId="4126A251"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cPr>
          <w:p w14:paraId="022DC3CA" w14:textId="77777777" w:rsidR="007B2D92" w:rsidRPr="00E03188" w:rsidRDefault="007B2D92" w:rsidP="00A20643">
            <w:pPr>
              <w:pageBreakBefore/>
              <w:tabs>
                <w:tab w:val="num" w:pos="1080"/>
              </w:tabs>
              <w:autoSpaceDE w:val="0"/>
              <w:autoSpaceDN w:val="0"/>
              <w:spacing w:before="60" w:after="60"/>
              <w:jc w:val="both"/>
              <w:rPr>
                <w:rFonts w:ascii="Arial" w:hAnsi="Arial" w:cs="Arial"/>
                <w:sz w:val="20"/>
                <w:szCs w:val="20"/>
              </w:rPr>
            </w:pPr>
            <w:r w:rsidRPr="00E03188">
              <w:rPr>
                <w:rFonts w:ascii="Arial" w:eastAsia="SimSun" w:hAnsi="Arial" w:cs="Arial"/>
                <w:bCs/>
                <w:sz w:val="20"/>
                <w:szCs w:val="20"/>
                <w:lang w:eastAsia="zh-CN"/>
              </w:rPr>
              <w:t>Pause</w:t>
            </w:r>
          </w:p>
        </w:tc>
      </w:tr>
      <w:tr w:rsidR="007B2D92" w:rsidRPr="004E0190" w14:paraId="56AF37DE" w14:textId="77777777" w:rsidTr="00A20643">
        <w:tc>
          <w:tcPr>
            <w:tcW w:w="1235" w:type="pct"/>
          </w:tcPr>
          <w:p w14:paraId="53F839B2"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14h30 – 17h30</w:t>
            </w:r>
          </w:p>
        </w:tc>
        <w:tc>
          <w:tcPr>
            <w:tcW w:w="365" w:type="pct"/>
          </w:tcPr>
          <w:p w14:paraId="74CA3236"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7.a</w:t>
            </w:r>
          </w:p>
        </w:tc>
        <w:tc>
          <w:tcPr>
            <w:tcW w:w="3400" w:type="pct"/>
          </w:tcPr>
          <w:p w14:paraId="0BF52593"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du patrimoine culturel immatériel nécessitant une sauvegarde urgente</w:t>
            </w:r>
          </w:p>
        </w:tc>
      </w:tr>
      <w:tr w:rsidR="007B2D92" w:rsidRPr="004E0190" w14:paraId="0925436F" w14:textId="77777777" w:rsidTr="00A20643">
        <w:tc>
          <w:tcPr>
            <w:tcW w:w="1235" w:type="pct"/>
          </w:tcPr>
          <w:p w14:paraId="1AFF13B8" w14:textId="77777777" w:rsidR="007B2D92" w:rsidRPr="00E03188" w:rsidRDefault="007B2D92" w:rsidP="00A20643">
            <w:pPr>
              <w:spacing w:before="60" w:after="60"/>
              <w:rPr>
                <w:rFonts w:ascii="Arial" w:hAnsi="Arial" w:cs="Arial"/>
                <w:sz w:val="20"/>
                <w:szCs w:val="20"/>
              </w:rPr>
            </w:pPr>
          </w:p>
        </w:tc>
        <w:tc>
          <w:tcPr>
            <w:tcW w:w="365" w:type="pct"/>
          </w:tcPr>
          <w:p w14:paraId="46A44C0A"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2805FF70"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représentative du patrimoine culturel immatériel de l’humanité</w:t>
            </w:r>
          </w:p>
        </w:tc>
      </w:tr>
      <w:tr w:rsidR="007B2D92" w:rsidRPr="00E03188" w14:paraId="7B7239EE" w14:textId="77777777" w:rsidTr="00A20643">
        <w:tc>
          <w:tcPr>
            <w:tcW w:w="5000" w:type="pct"/>
            <w:gridSpan w:val="3"/>
            <w:shd w:val="clear" w:color="auto" w:fill="BFBFBF" w:themeFill="background1" w:themeFillShade="BF"/>
          </w:tcPr>
          <w:p w14:paraId="7598A155" w14:textId="77777777" w:rsidR="007B2D92" w:rsidRPr="00E03188" w:rsidRDefault="007B2D92" w:rsidP="00A20643">
            <w:pPr>
              <w:widowControl w:val="0"/>
              <w:spacing w:before="60" w:after="60"/>
              <w:rPr>
                <w:rFonts w:ascii="Arial" w:eastAsiaTheme="minorEastAsia" w:hAnsi="Arial" w:cs="Arial"/>
                <w:b/>
                <w:sz w:val="20"/>
                <w:szCs w:val="20"/>
                <w:u w:val="single"/>
                <w:lang w:eastAsia="ko-KR"/>
              </w:rPr>
            </w:pPr>
            <w:r w:rsidRPr="00E03188">
              <w:rPr>
                <w:rFonts w:ascii="Arial" w:hAnsi="Arial" w:cs="Arial"/>
                <w:b/>
                <w:sz w:val="20"/>
                <w:szCs w:val="20"/>
                <w:u w:val="single"/>
              </w:rPr>
              <w:t xml:space="preserve">Mercredi </w:t>
            </w:r>
            <w:r>
              <w:rPr>
                <w:rFonts w:ascii="Arial" w:hAnsi="Arial" w:cs="Arial"/>
                <w:b/>
                <w:sz w:val="20"/>
                <w:szCs w:val="20"/>
                <w:u w:val="single"/>
              </w:rPr>
              <w:t>10</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7B2D92" w:rsidRPr="00E03188" w14:paraId="07653834" w14:textId="77777777" w:rsidTr="00A20643">
        <w:tc>
          <w:tcPr>
            <w:tcW w:w="1235" w:type="pct"/>
          </w:tcPr>
          <w:p w14:paraId="682549A2" w14:textId="77777777" w:rsidR="007B2D92" w:rsidRPr="00E03188" w:rsidRDefault="007B2D92" w:rsidP="00A20643">
            <w:pPr>
              <w:widowControl w:val="0"/>
              <w:spacing w:before="60" w:after="60"/>
              <w:rPr>
                <w:rFonts w:ascii="Arial" w:hAnsi="Arial" w:cs="Arial"/>
                <w:sz w:val="20"/>
                <w:szCs w:val="20"/>
              </w:rPr>
            </w:pPr>
            <w:r w:rsidRPr="00E03188">
              <w:rPr>
                <w:rFonts w:ascii="Arial" w:hAnsi="Arial" w:cs="Arial"/>
                <w:sz w:val="20"/>
                <w:szCs w:val="20"/>
              </w:rPr>
              <w:t>9h00 – 9h30</w:t>
            </w:r>
          </w:p>
        </w:tc>
        <w:tc>
          <w:tcPr>
            <w:tcW w:w="365" w:type="pct"/>
          </w:tcPr>
          <w:p w14:paraId="7986B486" w14:textId="77777777" w:rsidR="007B2D92" w:rsidRPr="00E03188" w:rsidRDefault="007B2D92" w:rsidP="00A20643">
            <w:pPr>
              <w:widowControl w:val="0"/>
              <w:autoSpaceDE w:val="0"/>
              <w:autoSpaceDN w:val="0"/>
              <w:spacing w:before="60" w:after="60"/>
              <w:ind w:left="567" w:hanging="567"/>
              <w:jc w:val="center"/>
              <w:rPr>
                <w:rFonts w:ascii="Arial" w:hAnsi="Arial" w:cs="Arial"/>
                <w:snapToGrid w:val="0"/>
                <w:sz w:val="20"/>
                <w:szCs w:val="20"/>
              </w:rPr>
            </w:pPr>
          </w:p>
        </w:tc>
        <w:tc>
          <w:tcPr>
            <w:tcW w:w="3400" w:type="pct"/>
          </w:tcPr>
          <w:p w14:paraId="3FC86F5E" w14:textId="77777777" w:rsidR="007B2D92" w:rsidRPr="00E03188" w:rsidRDefault="007B2D92" w:rsidP="00A20643">
            <w:pPr>
              <w:widowControl w:val="0"/>
              <w:autoSpaceDE w:val="0"/>
              <w:autoSpaceDN w:val="0"/>
              <w:spacing w:before="60" w:after="60"/>
              <w:rPr>
                <w:rFonts w:ascii="Arial" w:hAnsi="Arial" w:cs="Arial"/>
                <w:sz w:val="20"/>
                <w:szCs w:val="20"/>
              </w:rPr>
            </w:pPr>
            <w:r w:rsidRPr="00E03188">
              <w:rPr>
                <w:rFonts w:ascii="Arial" w:hAnsi="Arial" w:cs="Arial"/>
                <w:sz w:val="20"/>
                <w:szCs w:val="20"/>
              </w:rPr>
              <w:t>Réunion du Bureau</w:t>
            </w:r>
          </w:p>
        </w:tc>
      </w:tr>
      <w:tr w:rsidR="007B2D92" w:rsidRPr="004E0190" w14:paraId="439AA51D" w14:textId="77777777" w:rsidTr="00A20643">
        <w:tc>
          <w:tcPr>
            <w:tcW w:w="1235" w:type="pct"/>
          </w:tcPr>
          <w:p w14:paraId="5129C834" w14:textId="77777777" w:rsidR="007B2D92" w:rsidRPr="00E03188" w:rsidRDefault="007B2D92" w:rsidP="00A20643">
            <w:pPr>
              <w:widowControl w:val="0"/>
              <w:spacing w:before="60" w:after="60"/>
              <w:rPr>
                <w:rFonts w:ascii="Arial" w:hAnsi="Arial" w:cs="Arial"/>
                <w:sz w:val="20"/>
                <w:szCs w:val="20"/>
              </w:rPr>
            </w:pPr>
            <w:r w:rsidRPr="00E03188">
              <w:rPr>
                <w:rFonts w:ascii="Arial" w:hAnsi="Arial" w:cs="Arial"/>
                <w:sz w:val="20"/>
                <w:szCs w:val="20"/>
              </w:rPr>
              <w:t>9h30 – 12h30</w:t>
            </w:r>
          </w:p>
        </w:tc>
        <w:tc>
          <w:tcPr>
            <w:tcW w:w="365" w:type="pct"/>
          </w:tcPr>
          <w:p w14:paraId="4AF25E43" w14:textId="77777777" w:rsidR="007B2D92" w:rsidRPr="00E03188" w:rsidRDefault="007B2D92" w:rsidP="00A20643">
            <w:pPr>
              <w:widowControl w:val="0"/>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4F171558" w14:textId="77777777" w:rsidR="007B2D92" w:rsidRPr="00E03188" w:rsidRDefault="007B2D92" w:rsidP="00A20643">
            <w:pPr>
              <w:widowControl w:val="0"/>
              <w:spacing w:before="60" w:after="60"/>
              <w:jc w:val="both"/>
              <w:rPr>
                <w:rFonts w:ascii="Arial" w:eastAsiaTheme="minorEastAsia" w:hAnsi="Arial" w:cs="Arial"/>
                <w:sz w:val="20"/>
                <w:szCs w:val="20"/>
                <w:lang w:eastAsia="ko-KR"/>
              </w:rPr>
            </w:pPr>
            <w:r w:rsidRPr="00E03188">
              <w:rPr>
                <w:rFonts w:ascii="Arial" w:hAnsi="Arial" w:cs="Arial"/>
                <w:sz w:val="20"/>
                <w:szCs w:val="20"/>
              </w:rPr>
              <w:t>Examen des candidatures pour inscription sur la Liste représentative du patrimoine culturel immatériel de l’humanité</w:t>
            </w:r>
          </w:p>
        </w:tc>
      </w:tr>
      <w:tr w:rsidR="007B2D92" w:rsidRPr="00E03188" w14:paraId="7F997A3B" w14:textId="77777777" w:rsidTr="00A20643">
        <w:tc>
          <w:tcPr>
            <w:tcW w:w="1235" w:type="pct"/>
            <w:shd w:val="clear" w:color="auto" w:fill="D9D9D9"/>
          </w:tcPr>
          <w:p w14:paraId="1EBD22B4" w14:textId="77777777" w:rsidR="007B2D92" w:rsidRPr="00E03188" w:rsidRDefault="007B2D92" w:rsidP="00A20643">
            <w:pPr>
              <w:widowControl w:val="0"/>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cPr>
          <w:p w14:paraId="58E90CB6" w14:textId="77777777" w:rsidR="007B2D92" w:rsidRPr="00E03188" w:rsidRDefault="007B2D92" w:rsidP="00A20643">
            <w:pPr>
              <w:widowControl w:val="0"/>
              <w:tabs>
                <w:tab w:val="num" w:pos="1080"/>
              </w:tabs>
              <w:autoSpaceDE w:val="0"/>
              <w:autoSpaceDN w:val="0"/>
              <w:spacing w:before="60" w:after="60"/>
              <w:ind w:right="198"/>
              <w:rPr>
                <w:rFonts w:ascii="Arial" w:hAnsi="Arial" w:cs="Arial"/>
                <w:sz w:val="20"/>
                <w:szCs w:val="20"/>
              </w:rPr>
            </w:pPr>
            <w:r w:rsidRPr="00E03188">
              <w:rPr>
                <w:rFonts w:ascii="Arial" w:eastAsia="SimSun" w:hAnsi="Arial" w:cs="Arial"/>
                <w:bCs/>
                <w:sz w:val="20"/>
                <w:szCs w:val="20"/>
                <w:lang w:eastAsia="zh-CN"/>
              </w:rPr>
              <w:t>Pause</w:t>
            </w:r>
          </w:p>
        </w:tc>
      </w:tr>
      <w:tr w:rsidR="007B2D92" w:rsidRPr="004E0190" w14:paraId="5475251F" w14:textId="77777777" w:rsidTr="00A20643">
        <w:tc>
          <w:tcPr>
            <w:tcW w:w="1235" w:type="pct"/>
          </w:tcPr>
          <w:p w14:paraId="3DF31AA7"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 xml:space="preserve">14h30 – </w:t>
            </w:r>
            <w:r>
              <w:rPr>
                <w:rFonts w:ascii="Arial" w:hAnsi="Arial" w:cs="Arial"/>
                <w:sz w:val="20"/>
                <w:szCs w:val="20"/>
              </w:rPr>
              <w:t>16h00</w:t>
            </w:r>
          </w:p>
        </w:tc>
        <w:tc>
          <w:tcPr>
            <w:tcW w:w="365" w:type="pct"/>
          </w:tcPr>
          <w:p w14:paraId="32523DD4"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181ABA98"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représentative du patrimoine culturel immatériel de l’humanité</w:t>
            </w:r>
          </w:p>
        </w:tc>
      </w:tr>
      <w:tr w:rsidR="007B2D92" w:rsidRPr="00E03188" w14:paraId="7093C6FC" w14:textId="77777777" w:rsidTr="00A20643">
        <w:tc>
          <w:tcPr>
            <w:tcW w:w="5000" w:type="pct"/>
            <w:gridSpan w:val="3"/>
            <w:shd w:val="clear" w:color="auto" w:fill="BFBFBF" w:themeFill="background1" w:themeFillShade="BF"/>
          </w:tcPr>
          <w:p w14:paraId="2D1DF02D" w14:textId="77777777" w:rsidR="007B2D92" w:rsidRPr="00E03188" w:rsidRDefault="007B2D92" w:rsidP="00A20643">
            <w:pPr>
              <w:keepNext/>
              <w:keepLines/>
              <w:spacing w:before="60" w:after="60"/>
              <w:rPr>
                <w:rFonts w:ascii="Arial" w:hAnsi="Arial" w:cs="Arial"/>
                <w:sz w:val="20"/>
                <w:szCs w:val="20"/>
              </w:rPr>
            </w:pPr>
            <w:r w:rsidRPr="00E03188">
              <w:rPr>
                <w:rFonts w:ascii="Arial" w:hAnsi="Arial" w:cs="Arial"/>
                <w:b/>
                <w:sz w:val="20"/>
                <w:szCs w:val="20"/>
                <w:u w:val="single"/>
              </w:rPr>
              <w:t xml:space="preserve">Jeudi </w:t>
            </w:r>
            <w:r>
              <w:rPr>
                <w:rFonts w:ascii="Arial" w:hAnsi="Arial" w:cs="Arial"/>
                <w:b/>
                <w:sz w:val="20"/>
                <w:szCs w:val="20"/>
                <w:u w:val="single"/>
              </w:rPr>
              <w:t>11</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7B2D92" w:rsidRPr="00E03188" w14:paraId="0F084BA3" w14:textId="77777777" w:rsidTr="00A20643">
        <w:tc>
          <w:tcPr>
            <w:tcW w:w="1235" w:type="pct"/>
          </w:tcPr>
          <w:p w14:paraId="7045AD2D" w14:textId="77777777" w:rsidR="007B2D92" w:rsidRPr="00E03188" w:rsidRDefault="007B2D92" w:rsidP="00A20643">
            <w:pPr>
              <w:keepNext/>
              <w:keepLines/>
              <w:spacing w:before="60" w:after="60"/>
              <w:rPr>
                <w:rFonts w:ascii="Arial" w:hAnsi="Arial" w:cs="Arial"/>
                <w:sz w:val="20"/>
                <w:szCs w:val="20"/>
              </w:rPr>
            </w:pPr>
            <w:r w:rsidRPr="00E03188">
              <w:rPr>
                <w:rFonts w:ascii="Arial" w:hAnsi="Arial" w:cs="Arial"/>
                <w:sz w:val="20"/>
                <w:szCs w:val="20"/>
              </w:rPr>
              <w:t>9h00 – 9h30</w:t>
            </w:r>
          </w:p>
        </w:tc>
        <w:tc>
          <w:tcPr>
            <w:tcW w:w="365" w:type="pct"/>
          </w:tcPr>
          <w:p w14:paraId="3C118C76" w14:textId="77777777" w:rsidR="007B2D92" w:rsidRPr="00E03188" w:rsidRDefault="007B2D92" w:rsidP="00A20643">
            <w:pPr>
              <w:keepNext/>
              <w:keepLines/>
              <w:tabs>
                <w:tab w:val="decimal" w:pos="284"/>
              </w:tabs>
              <w:spacing w:before="60" w:after="60"/>
              <w:jc w:val="right"/>
              <w:rPr>
                <w:rFonts w:ascii="Arial" w:hAnsi="Arial" w:cs="Arial"/>
                <w:sz w:val="20"/>
                <w:szCs w:val="20"/>
              </w:rPr>
            </w:pPr>
          </w:p>
        </w:tc>
        <w:tc>
          <w:tcPr>
            <w:tcW w:w="3400" w:type="pct"/>
          </w:tcPr>
          <w:p w14:paraId="0846611D" w14:textId="77777777" w:rsidR="007B2D92" w:rsidRPr="00E03188" w:rsidRDefault="007B2D92" w:rsidP="00A20643">
            <w:pPr>
              <w:keepNext/>
              <w:keepLines/>
              <w:adjustRightInd w:val="0"/>
              <w:spacing w:before="60" w:after="60"/>
              <w:jc w:val="both"/>
              <w:rPr>
                <w:rFonts w:ascii="Arial" w:hAnsi="Arial" w:cs="Arial"/>
                <w:sz w:val="20"/>
                <w:szCs w:val="20"/>
              </w:rPr>
            </w:pPr>
            <w:r w:rsidRPr="00E03188">
              <w:rPr>
                <w:rFonts w:ascii="Arial" w:hAnsi="Arial" w:cs="Arial"/>
                <w:sz w:val="20"/>
                <w:szCs w:val="20"/>
              </w:rPr>
              <w:t>Réunion du Bureau</w:t>
            </w:r>
          </w:p>
        </w:tc>
      </w:tr>
      <w:tr w:rsidR="007B2D92" w:rsidRPr="004E0190" w14:paraId="0D559111" w14:textId="77777777" w:rsidTr="00A20643">
        <w:tc>
          <w:tcPr>
            <w:tcW w:w="1235" w:type="pct"/>
          </w:tcPr>
          <w:p w14:paraId="4C4A653C" w14:textId="77777777" w:rsidR="007B2D92" w:rsidRPr="00E03188" w:rsidRDefault="007B2D92" w:rsidP="00A20643">
            <w:pPr>
              <w:keepNext/>
              <w:keepLines/>
              <w:spacing w:before="60" w:after="60"/>
              <w:rPr>
                <w:rFonts w:ascii="Arial" w:hAnsi="Arial" w:cs="Arial"/>
                <w:sz w:val="20"/>
                <w:szCs w:val="20"/>
              </w:rPr>
            </w:pPr>
            <w:r w:rsidRPr="00E03188">
              <w:rPr>
                <w:rFonts w:ascii="Arial" w:hAnsi="Arial" w:cs="Arial"/>
                <w:sz w:val="20"/>
                <w:szCs w:val="20"/>
              </w:rPr>
              <w:t>9h30 – 12h30</w:t>
            </w:r>
          </w:p>
        </w:tc>
        <w:tc>
          <w:tcPr>
            <w:tcW w:w="365" w:type="pct"/>
          </w:tcPr>
          <w:p w14:paraId="5D1A9167" w14:textId="77777777" w:rsidR="007B2D92" w:rsidRPr="00E03188" w:rsidRDefault="007B2D92" w:rsidP="00A20643">
            <w:pPr>
              <w:keepNext/>
              <w:keepLines/>
              <w:tabs>
                <w:tab w:val="decimal" w:pos="284"/>
              </w:tabs>
              <w:spacing w:before="60" w:after="60"/>
              <w:jc w:val="right"/>
              <w:rPr>
                <w:rFonts w:ascii="Arial" w:hAnsi="Arial" w:cs="Arial"/>
                <w:sz w:val="20"/>
                <w:szCs w:val="20"/>
              </w:rPr>
            </w:pPr>
            <w:r w:rsidRPr="00E03188">
              <w:rPr>
                <w:rFonts w:ascii="Arial" w:hAnsi="Arial" w:cs="Arial"/>
                <w:sz w:val="20"/>
                <w:szCs w:val="20"/>
              </w:rPr>
              <w:t>7.b</w:t>
            </w:r>
          </w:p>
        </w:tc>
        <w:tc>
          <w:tcPr>
            <w:tcW w:w="3400" w:type="pct"/>
          </w:tcPr>
          <w:p w14:paraId="5F48F7C1" w14:textId="77777777" w:rsidR="007B2D92" w:rsidRPr="00E03188" w:rsidRDefault="007B2D92" w:rsidP="00A20643">
            <w:pPr>
              <w:keepNext/>
              <w:keepLines/>
              <w:adjustRightInd w:val="0"/>
              <w:spacing w:before="60" w:after="60"/>
              <w:jc w:val="both"/>
              <w:rPr>
                <w:rFonts w:ascii="Arial" w:hAnsi="Arial" w:cs="Arial"/>
                <w:sz w:val="20"/>
                <w:szCs w:val="20"/>
              </w:rPr>
            </w:pPr>
            <w:r w:rsidRPr="00E03188">
              <w:rPr>
                <w:rFonts w:ascii="Arial" w:hAnsi="Arial" w:cs="Arial"/>
                <w:sz w:val="20"/>
                <w:szCs w:val="20"/>
              </w:rPr>
              <w:t>Examen des candidatures pour inscription sur la Liste représentative du patrimoine culturel immatériel de l’humanité</w:t>
            </w:r>
          </w:p>
        </w:tc>
      </w:tr>
      <w:tr w:rsidR="007B2D92" w:rsidRPr="004E0190" w14:paraId="7399A23B" w14:textId="77777777" w:rsidTr="00A20643">
        <w:tc>
          <w:tcPr>
            <w:tcW w:w="1235" w:type="pct"/>
          </w:tcPr>
          <w:p w14:paraId="26AAE682" w14:textId="77777777" w:rsidR="007B2D92" w:rsidRPr="00E03188" w:rsidRDefault="007B2D92" w:rsidP="00A20643">
            <w:pPr>
              <w:keepNext/>
              <w:keepLines/>
              <w:spacing w:before="60" w:after="60"/>
              <w:rPr>
                <w:rFonts w:ascii="Arial" w:hAnsi="Arial" w:cs="Arial"/>
                <w:sz w:val="20"/>
                <w:szCs w:val="20"/>
              </w:rPr>
            </w:pPr>
          </w:p>
        </w:tc>
        <w:tc>
          <w:tcPr>
            <w:tcW w:w="365" w:type="pct"/>
          </w:tcPr>
          <w:p w14:paraId="0559DEF3" w14:textId="77777777" w:rsidR="007B2D92" w:rsidRPr="00E03188" w:rsidRDefault="007B2D92" w:rsidP="00A20643">
            <w:pPr>
              <w:keepNext/>
              <w:keepLines/>
              <w:tabs>
                <w:tab w:val="decimal" w:pos="284"/>
              </w:tabs>
              <w:spacing w:before="60" w:after="60"/>
              <w:jc w:val="right"/>
              <w:rPr>
                <w:rFonts w:ascii="Arial" w:hAnsi="Arial" w:cs="Arial"/>
                <w:sz w:val="20"/>
                <w:szCs w:val="20"/>
              </w:rPr>
            </w:pPr>
            <w:r w:rsidRPr="00E03188">
              <w:rPr>
                <w:rFonts w:ascii="Arial" w:hAnsi="Arial" w:cs="Arial"/>
                <w:sz w:val="20"/>
                <w:szCs w:val="20"/>
              </w:rPr>
              <w:t>7.c</w:t>
            </w:r>
          </w:p>
        </w:tc>
        <w:tc>
          <w:tcPr>
            <w:tcW w:w="3400" w:type="pct"/>
          </w:tcPr>
          <w:p w14:paraId="63CABBF5" w14:textId="77777777" w:rsidR="007B2D92" w:rsidRPr="00E03188" w:rsidRDefault="007B2D92" w:rsidP="00A20643">
            <w:pPr>
              <w:keepNext/>
              <w:keepLines/>
              <w:adjustRightInd w:val="0"/>
              <w:spacing w:before="60" w:after="60"/>
              <w:jc w:val="both"/>
              <w:rPr>
                <w:rFonts w:ascii="Arial" w:hAnsi="Arial" w:cs="Arial"/>
                <w:sz w:val="20"/>
                <w:szCs w:val="20"/>
              </w:rPr>
            </w:pPr>
            <w:r w:rsidRPr="00E03188">
              <w:rPr>
                <w:rFonts w:ascii="Arial" w:hAnsi="Arial" w:cs="Arial"/>
                <w:sz w:val="20"/>
                <w:szCs w:val="20"/>
              </w:rPr>
              <w:t>Examen des demandes de transfert d’éléments d’une liste à l’autre</w:t>
            </w:r>
          </w:p>
        </w:tc>
      </w:tr>
      <w:tr w:rsidR="007B2D92" w:rsidRPr="004E0190" w14:paraId="3ABE264D" w14:textId="77777777" w:rsidTr="00A20643">
        <w:tc>
          <w:tcPr>
            <w:tcW w:w="1235" w:type="pct"/>
          </w:tcPr>
          <w:p w14:paraId="67F1B7C7" w14:textId="77777777" w:rsidR="007B2D92" w:rsidRPr="00E03188" w:rsidRDefault="007B2D92" w:rsidP="00A20643">
            <w:pPr>
              <w:keepNext/>
              <w:keepLines/>
              <w:spacing w:before="60" w:after="60"/>
              <w:rPr>
                <w:rFonts w:ascii="Arial" w:hAnsi="Arial" w:cs="Arial"/>
                <w:sz w:val="20"/>
                <w:szCs w:val="20"/>
              </w:rPr>
            </w:pPr>
          </w:p>
        </w:tc>
        <w:tc>
          <w:tcPr>
            <w:tcW w:w="365" w:type="pct"/>
          </w:tcPr>
          <w:p w14:paraId="3F24415B" w14:textId="77777777" w:rsidR="007B2D92" w:rsidRPr="00E03188" w:rsidRDefault="007B2D92" w:rsidP="00A20643">
            <w:pPr>
              <w:keepNext/>
              <w:keepLines/>
              <w:tabs>
                <w:tab w:val="decimal" w:pos="284"/>
              </w:tabs>
              <w:spacing w:before="60" w:after="60"/>
              <w:jc w:val="right"/>
              <w:rPr>
                <w:rFonts w:ascii="Arial" w:hAnsi="Arial" w:cs="Arial"/>
                <w:sz w:val="20"/>
                <w:szCs w:val="20"/>
              </w:rPr>
            </w:pPr>
            <w:r w:rsidRPr="00E03188">
              <w:rPr>
                <w:rFonts w:ascii="Arial" w:eastAsiaTheme="minorEastAsia" w:hAnsi="Arial" w:cs="Arial"/>
                <w:sz w:val="20"/>
                <w:szCs w:val="20"/>
                <w:lang w:eastAsia="ko-KR"/>
              </w:rPr>
              <w:t>7.d</w:t>
            </w:r>
          </w:p>
        </w:tc>
        <w:tc>
          <w:tcPr>
            <w:tcW w:w="3400" w:type="pct"/>
          </w:tcPr>
          <w:p w14:paraId="6CEC27C2" w14:textId="77777777" w:rsidR="007B2D92" w:rsidRPr="00E03188" w:rsidRDefault="007B2D92" w:rsidP="00A20643">
            <w:pPr>
              <w:keepNext/>
              <w:keepLines/>
              <w:adjustRightInd w:val="0"/>
              <w:spacing w:before="60" w:after="60"/>
              <w:jc w:val="both"/>
              <w:rPr>
                <w:rFonts w:ascii="Arial" w:hAnsi="Arial" w:cs="Arial"/>
                <w:sz w:val="20"/>
                <w:szCs w:val="20"/>
              </w:rPr>
            </w:pPr>
            <w:r w:rsidRPr="00E03188">
              <w:rPr>
                <w:rFonts w:ascii="Arial" w:hAnsi="Arial" w:cs="Arial"/>
                <w:sz w:val="20"/>
                <w:szCs w:val="20"/>
              </w:rPr>
              <w:t>Examen des propositions au Registre de bonnes pratiques de sauvegarde</w:t>
            </w:r>
          </w:p>
        </w:tc>
      </w:tr>
      <w:tr w:rsidR="007B2D92" w:rsidRPr="00E03188" w14:paraId="03C30AA1" w14:textId="77777777" w:rsidTr="00A20643">
        <w:tc>
          <w:tcPr>
            <w:tcW w:w="1235" w:type="pct"/>
            <w:shd w:val="clear" w:color="auto" w:fill="D9D9D9" w:themeFill="background1" w:themeFillShade="D9"/>
          </w:tcPr>
          <w:p w14:paraId="2BD0364F" w14:textId="77777777" w:rsidR="007B2D92" w:rsidRPr="00E03188" w:rsidRDefault="007B2D92" w:rsidP="00A20643">
            <w:pPr>
              <w:keepNext/>
              <w:keepLines/>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hemeFill="background1" w:themeFillShade="D9"/>
          </w:tcPr>
          <w:p w14:paraId="6DC04279" w14:textId="77777777" w:rsidR="007B2D92" w:rsidRPr="00E03188" w:rsidRDefault="007B2D92" w:rsidP="00A20643">
            <w:pPr>
              <w:keepNext/>
              <w:keepLines/>
              <w:adjustRightInd w:val="0"/>
              <w:spacing w:before="60" w:after="60"/>
              <w:jc w:val="both"/>
              <w:rPr>
                <w:rFonts w:ascii="Arial" w:hAnsi="Arial" w:cs="Arial"/>
                <w:bCs/>
                <w:snapToGrid w:val="0"/>
                <w:sz w:val="20"/>
                <w:szCs w:val="20"/>
                <w:lang w:eastAsia="en-US"/>
              </w:rPr>
            </w:pPr>
            <w:r w:rsidRPr="00E03188">
              <w:rPr>
                <w:rFonts w:ascii="Arial" w:eastAsia="SimSun" w:hAnsi="Arial" w:cs="Arial"/>
                <w:bCs/>
                <w:sz w:val="20"/>
                <w:szCs w:val="20"/>
                <w:lang w:eastAsia="zh-CN"/>
              </w:rPr>
              <w:t>Pause</w:t>
            </w:r>
          </w:p>
        </w:tc>
      </w:tr>
      <w:tr w:rsidR="007B2D92" w:rsidRPr="004E0190" w14:paraId="18DA3F08" w14:textId="77777777" w:rsidTr="00A20643">
        <w:tc>
          <w:tcPr>
            <w:tcW w:w="1235" w:type="pct"/>
          </w:tcPr>
          <w:p w14:paraId="6C7B80E7" w14:textId="77777777" w:rsidR="007B2D92" w:rsidRPr="00E03188" w:rsidRDefault="007B2D92" w:rsidP="00A20643">
            <w:pPr>
              <w:keepNext/>
              <w:keepLines/>
              <w:spacing w:before="60" w:after="60"/>
              <w:rPr>
                <w:rFonts w:ascii="Arial" w:hAnsi="Arial" w:cs="Arial"/>
                <w:sz w:val="20"/>
                <w:szCs w:val="20"/>
              </w:rPr>
            </w:pPr>
            <w:r w:rsidRPr="00E03188">
              <w:rPr>
                <w:rFonts w:ascii="Arial" w:hAnsi="Arial" w:cs="Arial"/>
                <w:sz w:val="20"/>
                <w:szCs w:val="20"/>
              </w:rPr>
              <w:t>14h30 – 17h30</w:t>
            </w:r>
          </w:p>
        </w:tc>
        <w:tc>
          <w:tcPr>
            <w:tcW w:w="365" w:type="pct"/>
          </w:tcPr>
          <w:p w14:paraId="590D0385" w14:textId="77777777" w:rsidR="007B2D92" w:rsidRPr="00E03188" w:rsidRDefault="007B2D92" w:rsidP="00A20643">
            <w:pPr>
              <w:keepNext/>
              <w:keepLines/>
              <w:tabs>
                <w:tab w:val="decimal" w:pos="284"/>
              </w:tabs>
              <w:spacing w:before="60" w:after="60"/>
              <w:jc w:val="right"/>
              <w:rPr>
                <w:rFonts w:ascii="Arial" w:eastAsiaTheme="minorEastAsia" w:hAnsi="Arial" w:cs="Arial"/>
                <w:sz w:val="20"/>
                <w:szCs w:val="20"/>
                <w:lang w:eastAsia="ko-KR"/>
              </w:rPr>
            </w:pPr>
            <w:r w:rsidRPr="00E03188">
              <w:rPr>
                <w:rFonts w:ascii="Arial" w:eastAsiaTheme="minorEastAsia" w:hAnsi="Arial" w:cs="Arial"/>
                <w:sz w:val="20"/>
                <w:szCs w:val="20"/>
                <w:lang w:eastAsia="ko-KR"/>
              </w:rPr>
              <w:t>7.</w:t>
            </w:r>
          </w:p>
        </w:tc>
        <w:tc>
          <w:tcPr>
            <w:tcW w:w="3400" w:type="pct"/>
          </w:tcPr>
          <w:p w14:paraId="634CEAD8" w14:textId="77777777" w:rsidR="007B2D92" w:rsidRPr="00E03188" w:rsidRDefault="007B2D92" w:rsidP="00A20643">
            <w:pPr>
              <w:keepNext/>
              <w:keepLines/>
              <w:adjustRightInd w:val="0"/>
              <w:spacing w:before="60" w:after="60"/>
              <w:jc w:val="both"/>
              <w:rPr>
                <w:rFonts w:ascii="Arial" w:hAnsi="Arial" w:cs="Arial"/>
                <w:sz w:val="20"/>
                <w:szCs w:val="20"/>
              </w:rPr>
            </w:pPr>
            <w:r w:rsidRPr="00E03188">
              <w:rPr>
                <w:rFonts w:ascii="Arial" w:hAnsi="Arial" w:cs="Arial"/>
                <w:sz w:val="20"/>
                <w:szCs w:val="20"/>
              </w:rPr>
              <w:t>Rapport de l’Organe d’évaluation sur ses travaux en 202</w:t>
            </w:r>
            <w:r>
              <w:rPr>
                <w:rFonts w:ascii="Arial" w:hAnsi="Arial" w:cs="Arial"/>
                <w:sz w:val="20"/>
                <w:szCs w:val="20"/>
              </w:rPr>
              <w:t>5</w:t>
            </w:r>
            <w:r w:rsidRPr="00E03188">
              <w:rPr>
                <w:rFonts w:ascii="Arial" w:hAnsi="Arial" w:cs="Arial"/>
                <w:sz w:val="20"/>
                <w:szCs w:val="20"/>
              </w:rPr>
              <w:t xml:space="preserve"> (Partie II)</w:t>
            </w:r>
          </w:p>
        </w:tc>
      </w:tr>
      <w:tr w:rsidR="007B2D92" w:rsidRPr="004E0190" w14:paraId="32E8B271" w14:textId="77777777" w:rsidTr="00A20643">
        <w:tc>
          <w:tcPr>
            <w:tcW w:w="1235" w:type="pct"/>
          </w:tcPr>
          <w:p w14:paraId="07B0D23A" w14:textId="77777777" w:rsidR="007B2D92" w:rsidRPr="00E03188" w:rsidRDefault="007B2D92" w:rsidP="00A20643">
            <w:pPr>
              <w:keepNext/>
              <w:keepLines/>
              <w:spacing w:before="60" w:after="60"/>
              <w:rPr>
                <w:rFonts w:ascii="Arial" w:hAnsi="Arial" w:cs="Arial"/>
                <w:sz w:val="20"/>
                <w:szCs w:val="20"/>
              </w:rPr>
            </w:pPr>
          </w:p>
        </w:tc>
        <w:tc>
          <w:tcPr>
            <w:tcW w:w="365" w:type="pct"/>
          </w:tcPr>
          <w:p w14:paraId="257DB704" w14:textId="77777777" w:rsidR="007B2D92" w:rsidRPr="00E03188" w:rsidRDefault="007B2D92" w:rsidP="00A20643">
            <w:pPr>
              <w:keepNext/>
              <w:keepLines/>
              <w:tabs>
                <w:tab w:val="decimal" w:pos="284"/>
              </w:tabs>
              <w:spacing w:before="60" w:after="60"/>
              <w:jc w:val="right"/>
              <w:rPr>
                <w:rFonts w:ascii="Arial" w:eastAsiaTheme="minorEastAsia" w:hAnsi="Arial" w:cs="Arial"/>
                <w:sz w:val="20"/>
                <w:szCs w:val="20"/>
                <w:lang w:eastAsia="ko-KR"/>
              </w:rPr>
            </w:pPr>
            <w:r w:rsidRPr="00E03188">
              <w:rPr>
                <w:rFonts w:ascii="Arial" w:eastAsiaTheme="minorEastAsia" w:hAnsi="Arial" w:cs="Arial"/>
                <w:sz w:val="20"/>
                <w:szCs w:val="20"/>
                <w:lang w:eastAsia="ko-KR"/>
              </w:rPr>
              <w:t>8.</w:t>
            </w:r>
          </w:p>
        </w:tc>
        <w:tc>
          <w:tcPr>
            <w:tcW w:w="3400" w:type="pct"/>
          </w:tcPr>
          <w:p w14:paraId="62E2D3EA" w14:textId="77777777" w:rsidR="007B2D92" w:rsidRPr="00E03188" w:rsidRDefault="007B2D92" w:rsidP="00A20643">
            <w:pPr>
              <w:keepNext/>
              <w:keepLines/>
              <w:adjustRightInd w:val="0"/>
              <w:spacing w:before="60" w:after="60"/>
              <w:jc w:val="both"/>
              <w:rPr>
                <w:rFonts w:ascii="Arial" w:hAnsi="Arial" w:cs="Arial"/>
                <w:sz w:val="20"/>
                <w:szCs w:val="20"/>
              </w:rPr>
            </w:pPr>
            <w:r w:rsidRPr="00A82B49">
              <w:rPr>
                <w:rFonts w:ascii="Arial" w:hAnsi="Arial" w:cs="Arial"/>
                <w:sz w:val="20"/>
                <w:szCs w:val="20"/>
              </w:rPr>
              <w:t>Traitement des dossiers pour les mécanismes d'inscription</w:t>
            </w:r>
            <w:r>
              <w:rPr>
                <w:rFonts w:ascii="Arial" w:hAnsi="Arial" w:cs="Arial"/>
                <w:sz w:val="20"/>
                <w:szCs w:val="20"/>
              </w:rPr>
              <w:t xml:space="preserve"> sur les listes</w:t>
            </w:r>
            <w:r w:rsidRPr="00A82B49">
              <w:rPr>
                <w:rFonts w:ascii="Arial" w:hAnsi="Arial" w:cs="Arial"/>
                <w:sz w:val="20"/>
                <w:szCs w:val="20"/>
              </w:rPr>
              <w:t xml:space="preserve"> de la Convention</w:t>
            </w:r>
          </w:p>
        </w:tc>
      </w:tr>
      <w:tr w:rsidR="007B2D92" w:rsidRPr="004E0190" w14:paraId="05CFA573" w14:textId="77777777" w:rsidTr="00A20643">
        <w:tc>
          <w:tcPr>
            <w:tcW w:w="1235" w:type="pct"/>
          </w:tcPr>
          <w:p w14:paraId="24126B40" w14:textId="77777777" w:rsidR="007B2D92" w:rsidRPr="00E03188" w:rsidRDefault="007B2D92" w:rsidP="00A20643">
            <w:pPr>
              <w:keepNext/>
              <w:keepLines/>
              <w:spacing w:before="60" w:after="60"/>
              <w:rPr>
                <w:rFonts w:ascii="Arial" w:hAnsi="Arial" w:cs="Arial"/>
                <w:sz w:val="20"/>
                <w:szCs w:val="20"/>
              </w:rPr>
            </w:pPr>
          </w:p>
        </w:tc>
        <w:tc>
          <w:tcPr>
            <w:tcW w:w="365" w:type="pct"/>
          </w:tcPr>
          <w:p w14:paraId="71A933B0" w14:textId="77777777" w:rsidR="007B2D92" w:rsidRPr="00E03188" w:rsidRDefault="007B2D92" w:rsidP="00A20643">
            <w:pPr>
              <w:keepNext/>
              <w:keepLines/>
              <w:tabs>
                <w:tab w:val="decimal" w:pos="284"/>
              </w:tabs>
              <w:spacing w:before="60" w:after="60"/>
              <w:jc w:val="right"/>
              <w:rPr>
                <w:rFonts w:ascii="Arial" w:eastAsiaTheme="minorEastAsia" w:hAnsi="Arial" w:cs="Arial"/>
                <w:sz w:val="20"/>
                <w:szCs w:val="20"/>
                <w:lang w:eastAsia="ko-KR"/>
              </w:rPr>
            </w:pPr>
            <w:r w:rsidRPr="00E03188">
              <w:rPr>
                <w:rFonts w:ascii="Arial" w:hAnsi="Arial" w:cs="Arial"/>
                <w:sz w:val="20"/>
                <w:szCs w:val="20"/>
              </w:rPr>
              <w:t>9.</w:t>
            </w:r>
          </w:p>
        </w:tc>
        <w:tc>
          <w:tcPr>
            <w:tcW w:w="3400" w:type="pct"/>
          </w:tcPr>
          <w:p w14:paraId="0330E50C" w14:textId="77777777" w:rsidR="007B2D92" w:rsidRPr="00E03188" w:rsidRDefault="007B2D92" w:rsidP="00A20643">
            <w:pPr>
              <w:keepNext/>
              <w:keepLines/>
              <w:adjustRightInd w:val="0"/>
              <w:spacing w:before="60" w:after="60"/>
              <w:jc w:val="both"/>
              <w:rPr>
                <w:rFonts w:ascii="Arial" w:hAnsi="Arial" w:cs="Arial"/>
                <w:sz w:val="20"/>
                <w:szCs w:val="20"/>
              </w:rPr>
            </w:pPr>
            <w:r w:rsidRPr="00E03188">
              <w:rPr>
                <w:rFonts w:ascii="Arial" w:hAnsi="Arial" w:cs="Arial"/>
                <w:sz w:val="20"/>
                <w:szCs w:val="20"/>
              </w:rPr>
              <w:t>Suivi des éléments inscrits sur les listes de la Convention</w:t>
            </w:r>
            <w:r w:rsidRPr="00A82B49" w:rsidDel="00E568F5">
              <w:rPr>
                <w:rFonts w:ascii="Arial" w:hAnsi="Arial" w:cs="Arial"/>
                <w:sz w:val="20"/>
                <w:szCs w:val="20"/>
              </w:rPr>
              <w:t xml:space="preserve"> </w:t>
            </w:r>
          </w:p>
        </w:tc>
      </w:tr>
      <w:tr w:rsidR="007B2D92" w:rsidRPr="00E03188" w14:paraId="5F4F9A82" w14:textId="77777777" w:rsidTr="00A20643">
        <w:tc>
          <w:tcPr>
            <w:tcW w:w="5000" w:type="pct"/>
            <w:gridSpan w:val="3"/>
            <w:shd w:val="clear" w:color="auto" w:fill="BFBFBF" w:themeFill="background1" w:themeFillShade="BF"/>
          </w:tcPr>
          <w:p w14:paraId="0A0AE714" w14:textId="77777777" w:rsidR="007B2D92" w:rsidRPr="00E03188" w:rsidRDefault="007B2D92" w:rsidP="00A20643">
            <w:pPr>
              <w:spacing w:before="60" w:after="60"/>
              <w:rPr>
                <w:rFonts w:ascii="Arial" w:hAnsi="Arial" w:cs="Arial"/>
                <w:b/>
                <w:sz w:val="20"/>
                <w:szCs w:val="20"/>
                <w:u w:val="single"/>
              </w:rPr>
            </w:pPr>
            <w:bookmarkStart w:id="4" w:name="_Hlk210220748"/>
            <w:r w:rsidRPr="00E03188">
              <w:rPr>
                <w:rFonts w:ascii="Arial" w:hAnsi="Arial" w:cs="Arial"/>
                <w:b/>
                <w:sz w:val="20"/>
                <w:szCs w:val="20"/>
                <w:u w:val="single"/>
              </w:rPr>
              <w:t xml:space="preserve">Vendredi </w:t>
            </w:r>
            <w:r>
              <w:rPr>
                <w:rFonts w:ascii="Arial" w:hAnsi="Arial" w:cs="Arial"/>
                <w:b/>
                <w:sz w:val="20"/>
                <w:szCs w:val="20"/>
                <w:u w:val="single"/>
              </w:rPr>
              <w:t>12</w:t>
            </w:r>
            <w:r w:rsidRPr="00E03188">
              <w:rPr>
                <w:rFonts w:ascii="Arial" w:hAnsi="Arial" w:cs="Arial"/>
                <w:b/>
                <w:sz w:val="20"/>
                <w:szCs w:val="20"/>
                <w:u w:val="single"/>
              </w:rPr>
              <w:t xml:space="preserve"> décembre 202</w:t>
            </w:r>
            <w:r>
              <w:rPr>
                <w:rFonts w:ascii="Arial" w:hAnsi="Arial" w:cs="Arial"/>
                <w:b/>
                <w:sz w:val="20"/>
                <w:szCs w:val="20"/>
                <w:u w:val="single"/>
              </w:rPr>
              <w:t>5</w:t>
            </w:r>
          </w:p>
        </w:tc>
      </w:tr>
      <w:bookmarkEnd w:id="4"/>
      <w:tr w:rsidR="007B2D92" w:rsidRPr="00E03188" w14:paraId="6F7C0E43" w14:textId="77777777" w:rsidTr="00A20643">
        <w:tc>
          <w:tcPr>
            <w:tcW w:w="1235" w:type="pct"/>
          </w:tcPr>
          <w:p w14:paraId="0BE75D47"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9h00 – 9h30</w:t>
            </w:r>
          </w:p>
        </w:tc>
        <w:tc>
          <w:tcPr>
            <w:tcW w:w="365" w:type="pct"/>
          </w:tcPr>
          <w:p w14:paraId="45F21687" w14:textId="77777777" w:rsidR="007B2D92" w:rsidRPr="00E03188" w:rsidRDefault="007B2D92" w:rsidP="00A20643">
            <w:pPr>
              <w:tabs>
                <w:tab w:val="decimal" w:pos="284"/>
              </w:tabs>
              <w:spacing w:before="60" w:after="60"/>
              <w:jc w:val="right"/>
              <w:rPr>
                <w:rFonts w:ascii="Arial" w:hAnsi="Arial" w:cs="Arial"/>
                <w:sz w:val="20"/>
                <w:szCs w:val="20"/>
              </w:rPr>
            </w:pPr>
          </w:p>
        </w:tc>
        <w:tc>
          <w:tcPr>
            <w:tcW w:w="3400" w:type="pct"/>
          </w:tcPr>
          <w:p w14:paraId="7357198C"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Réunion du Bureau</w:t>
            </w:r>
          </w:p>
        </w:tc>
      </w:tr>
      <w:tr w:rsidR="007B2D92" w:rsidRPr="004E0190" w14:paraId="6B926525" w14:textId="77777777" w:rsidTr="00A20643">
        <w:tc>
          <w:tcPr>
            <w:tcW w:w="1235" w:type="pct"/>
          </w:tcPr>
          <w:p w14:paraId="053C0AAB"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9h30 – 12h30</w:t>
            </w:r>
          </w:p>
        </w:tc>
        <w:tc>
          <w:tcPr>
            <w:tcW w:w="365" w:type="pct"/>
          </w:tcPr>
          <w:p w14:paraId="6B71EC01"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10.</w:t>
            </w:r>
          </w:p>
        </w:tc>
        <w:tc>
          <w:tcPr>
            <w:tcW w:w="3400" w:type="pct"/>
          </w:tcPr>
          <w:p w14:paraId="0C77D0D0"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bCs/>
                <w:snapToGrid w:val="0"/>
                <w:sz w:val="20"/>
                <w:szCs w:val="20"/>
                <w:lang w:eastAsia="en-US"/>
              </w:rPr>
              <w:t>Rapport sur l’assistance internationale du Fonds du patrimoine culturel immatériel</w:t>
            </w:r>
          </w:p>
        </w:tc>
      </w:tr>
      <w:tr w:rsidR="007B2D92" w:rsidRPr="004E0190" w14:paraId="256BC2F0" w14:textId="77777777" w:rsidTr="00A20643">
        <w:tc>
          <w:tcPr>
            <w:tcW w:w="1235" w:type="pct"/>
          </w:tcPr>
          <w:p w14:paraId="6A3F3560" w14:textId="77777777" w:rsidR="007B2D92" w:rsidRPr="00E03188" w:rsidRDefault="007B2D92" w:rsidP="00A20643">
            <w:pPr>
              <w:spacing w:before="60" w:after="60"/>
              <w:rPr>
                <w:rFonts w:ascii="Arial" w:hAnsi="Arial" w:cs="Arial"/>
                <w:sz w:val="20"/>
                <w:szCs w:val="20"/>
              </w:rPr>
            </w:pPr>
          </w:p>
        </w:tc>
        <w:tc>
          <w:tcPr>
            <w:tcW w:w="365" w:type="pct"/>
          </w:tcPr>
          <w:p w14:paraId="15EF8450"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1</w:t>
            </w:r>
            <w:r w:rsidRPr="00E03188">
              <w:rPr>
                <w:rFonts w:ascii="Arial" w:hAnsi="Arial" w:cs="Arial"/>
                <w:sz w:val="20"/>
                <w:szCs w:val="20"/>
              </w:rPr>
              <w:t>.</w:t>
            </w:r>
          </w:p>
        </w:tc>
        <w:tc>
          <w:tcPr>
            <w:tcW w:w="3400" w:type="pct"/>
          </w:tcPr>
          <w:p w14:paraId="20B39BC6"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Mise en œuvre plus large de l’article 18 de la Convention</w:t>
            </w:r>
          </w:p>
        </w:tc>
      </w:tr>
      <w:tr w:rsidR="007B2D92" w:rsidRPr="004E0190" w14:paraId="59900CB5" w14:textId="77777777" w:rsidTr="00A20643">
        <w:tc>
          <w:tcPr>
            <w:tcW w:w="1235" w:type="pct"/>
          </w:tcPr>
          <w:p w14:paraId="32223A05" w14:textId="77777777" w:rsidR="007B2D92" w:rsidRPr="00E03188" w:rsidRDefault="007B2D92" w:rsidP="00A20643">
            <w:pPr>
              <w:spacing w:before="60" w:after="60"/>
              <w:rPr>
                <w:rFonts w:ascii="Arial" w:hAnsi="Arial" w:cs="Arial"/>
                <w:sz w:val="20"/>
                <w:szCs w:val="20"/>
              </w:rPr>
            </w:pPr>
          </w:p>
        </w:tc>
        <w:tc>
          <w:tcPr>
            <w:tcW w:w="365" w:type="pct"/>
          </w:tcPr>
          <w:p w14:paraId="66189A92"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2</w:t>
            </w:r>
            <w:r w:rsidRPr="00E03188">
              <w:rPr>
                <w:rFonts w:ascii="Arial" w:hAnsi="Arial" w:cs="Arial"/>
                <w:sz w:val="20"/>
                <w:szCs w:val="20"/>
              </w:rPr>
              <w:t>.</w:t>
            </w:r>
          </w:p>
        </w:tc>
        <w:tc>
          <w:tcPr>
            <w:tcW w:w="3400" w:type="pct"/>
          </w:tcPr>
          <w:p w14:paraId="58EEBB30"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Initiatives thématiques sur le patrimoine vivant et le développement durable</w:t>
            </w:r>
          </w:p>
        </w:tc>
      </w:tr>
      <w:tr w:rsidR="007B2D92" w:rsidRPr="00E03188" w14:paraId="595EA8DE" w14:textId="77777777" w:rsidTr="00A20643">
        <w:tc>
          <w:tcPr>
            <w:tcW w:w="1235" w:type="pct"/>
            <w:shd w:val="clear" w:color="auto" w:fill="D9D9D9" w:themeFill="background1" w:themeFillShade="D9"/>
          </w:tcPr>
          <w:p w14:paraId="064467A8" w14:textId="77777777" w:rsidR="007B2D92" w:rsidRPr="00E03188" w:rsidRDefault="007B2D92" w:rsidP="00A20643">
            <w:pPr>
              <w:spacing w:before="60" w:after="60"/>
              <w:rPr>
                <w:rFonts w:ascii="Arial" w:hAnsi="Arial" w:cs="Arial"/>
                <w:sz w:val="20"/>
                <w:szCs w:val="20"/>
              </w:rPr>
            </w:pPr>
            <w:bookmarkStart w:id="5" w:name="_Hlk210221177"/>
            <w:r w:rsidRPr="00E03188">
              <w:rPr>
                <w:rFonts w:ascii="Arial" w:hAnsi="Arial" w:cs="Arial"/>
                <w:sz w:val="20"/>
                <w:szCs w:val="20"/>
              </w:rPr>
              <w:t>12h30 – 14h30</w:t>
            </w:r>
          </w:p>
        </w:tc>
        <w:tc>
          <w:tcPr>
            <w:tcW w:w="3765" w:type="pct"/>
            <w:gridSpan w:val="2"/>
            <w:shd w:val="clear" w:color="auto" w:fill="D9D9D9" w:themeFill="background1" w:themeFillShade="D9"/>
          </w:tcPr>
          <w:p w14:paraId="09493ABA"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eastAsia="SimSun" w:hAnsi="Arial" w:cs="Arial"/>
                <w:bCs/>
                <w:sz w:val="20"/>
                <w:szCs w:val="20"/>
                <w:lang w:eastAsia="zh-CN"/>
              </w:rPr>
              <w:t>Pause</w:t>
            </w:r>
          </w:p>
        </w:tc>
      </w:tr>
      <w:bookmarkEnd w:id="5"/>
      <w:tr w:rsidR="007B2D92" w:rsidRPr="004E0190" w14:paraId="448BC950" w14:textId="77777777" w:rsidTr="00A20643">
        <w:tc>
          <w:tcPr>
            <w:tcW w:w="1235" w:type="pct"/>
          </w:tcPr>
          <w:p w14:paraId="1F812870"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14h30 – 17h30</w:t>
            </w:r>
          </w:p>
        </w:tc>
        <w:tc>
          <w:tcPr>
            <w:tcW w:w="365" w:type="pct"/>
          </w:tcPr>
          <w:p w14:paraId="38F917B8"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3</w:t>
            </w:r>
            <w:r w:rsidRPr="00E03188">
              <w:rPr>
                <w:rFonts w:ascii="Arial" w:hAnsi="Arial" w:cs="Arial"/>
                <w:sz w:val="20"/>
                <w:szCs w:val="20"/>
              </w:rPr>
              <w:t>.</w:t>
            </w:r>
          </w:p>
        </w:tc>
        <w:tc>
          <w:tcPr>
            <w:tcW w:w="3400" w:type="pct"/>
          </w:tcPr>
          <w:p w14:paraId="470FCF2D"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Fonds du patrimoine culturel immatériel : contributions volontaires supplémentaires et autres questions</w:t>
            </w:r>
          </w:p>
        </w:tc>
      </w:tr>
      <w:tr w:rsidR="007B2D92" w:rsidRPr="004E0190" w14:paraId="2D8078A9" w14:textId="77777777" w:rsidTr="00A20643">
        <w:tc>
          <w:tcPr>
            <w:tcW w:w="1235" w:type="pct"/>
          </w:tcPr>
          <w:p w14:paraId="41B6E558" w14:textId="77777777" w:rsidR="007B2D92" w:rsidRPr="00E03188" w:rsidRDefault="007B2D92" w:rsidP="00A20643">
            <w:pPr>
              <w:spacing w:before="60" w:after="60"/>
              <w:rPr>
                <w:rFonts w:ascii="Arial" w:hAnsi="Arial" w:cs="Arial"/>
                <w:sz w:val="20"/>
                <w:szCs w:val="20"/>
              </w:rPr>
            </w:pPr>
          </w:p>
        </w:tc>
        <w:tc>
          <w:tcPr>
            <w:tcW w:w="365" w:type="pct"/>
          </w:tcPr>
          <w:p w14:paraId="20892E4C"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14.</w:t>
            </w:r>
          </w:p>
        </w:tc>
        <w:tc>
          <w:tcPr>
            <w:tcW w:w="3400" w:type="pct"/>
          </w:tcPr>
          <w:p w14:paraId="49C1DE78" w14:textId="77777777" w:rsidR="007B2D92" w:rsidRPr="00E03188" w:rsidRDefault="007B2D92" w:rsidP="00A20643">
            <w:pPr>
              <w:adjustRightInd w:val="0"/>
              <w:spacing w:before="60" w:after="60"/>
              <w:jc w:val="both"/>
              <w:rPr>
                <w:rFonts w:ascii="Arial" w:hAnsi="Arial" w:cs="Arial"/>
                <w:sz w:val="20"/>
                <w:szCs w:val="20"/>
              </w:rPr>
            </w:pPr>
            <w:r w:rsidRPr="00DC1980">
              <w:rPr>
                <w:rFonts w:ascii="Arial" w:hAnsi="Arial" w:cs="Arial"/>
                <w:sz w:val="20"/>
                <w:szCs w:val="20"/>
              </w:rPr>
              <w:t>Projet de plan pour l’utilisation des ressources du Fonds du patrimoine culturel immatériel en 202</w:t>
            </w:r>
            <w:r>
              <w:rPr>
                <w:rFonts w:ascii="Arial" w:hAnsi="Arial" w:cs="Arial"/>
                <w:sz w:val="20"/>
                <w:szCs w:val="20"/>
              </w:rPr>
              <w:t>6</w:t>
            </w:r>
            <w:r w:rsidRPr="00DC1980">
              <w:rPr>
                <w:rFonts w:ascii="Arial" w:hAnsi="Arial" w:cs="Arial"/>
                <w:sz w:val="20"/>
                <w:szCs w:val="20"/>
              </w:rPr>
              <w:t xml:space="preserve"> et 202</w:t>
            </w:r>
            <w:r>
              <w:rPr>
                <w:rFonts w:ascii="Arial" w:hAnsi="Arial" w:cs="Arial"/>
                <w:sz w:val="20"/>
                <w:szCs w:val="20"/>
              </w:rPr>
              <w:t>7</w:t>
            </w:r>
          </w:p>
        </w:tc>
      </w:tr>
      <w:tr w:rsidR="007B2D92" w:rsidRPr="004E0190" w14:paraId="10039CAB" w14:textId="77777777" w:rsidTr="00A20643">
        <w:tc>
          <w:tcPr>
            <w:tcW w:w="1235" w:type="pct"/>
          </w:tcPr>
          <w:p w14:paraId="34A1C7C8" w14:textId="77777777" w:rsidR="007B2D92" w:rsidRPr="00E03188" w:rsidRDefault="007B2D92" w:rsidP="00A20643">
            <w:pPr>
              <w:spacing w:before="60" w:after="60"/>
              <w:rPr>
                <w:rFonts w:ascii="Arial" w:hAnsi="Arial" w:cs="Arial"/>
                <w:sz w:val="20"/>
                <w:szCs w:val="20"/>
              </w:rPr>
            </w:pPr>
          </w:p>
        </w:tc>
        <w:tc>
          <w:tcPr>
            <w:tcW w:w="365" w:type="pct"/>
          </w:tcPr>
          <w:p w14:paraId="3D7A1C12" w14:textId="77777777" w:rsidR="007B2D92"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15.</w:t>
            </w:r>
          </w:p>
        </w:tc>
        <w:tc>
          <w:tcPr>
            <w:tcW w:w="3400" w:type="pct"/>
          </w:tcPr>
          <w:p w14:paraId="1093C545" w14:textId="77777777" w:rsidR="007B2D92" w:rsidRPr="00DC1980"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Rapport du forum des organisations non gouvernementales</w:t>
            </w:r>
          </w:p>
        </w:tc>
      </w:tr>
      <w:tr w:rsidR="007B2D92" w:rsidRPr="00E03188" w14:paraId="4C54805F" w14:textId="77777777" w:rsidTr="00A20643">
        <w:tc>
          <w:tcPr>
            <w:tcW w:w="5000" w:type="pct"/>
            <w:gridSpan w:val="3"/>
            <w:shd w:val="clear" w:color="auto" w:fill="BFBFBF" w:themeFill="background1" w:themeFillShade="BF"/>
          </w:tcPr>
          <w:p w14:paraId="759E133A" w14:textId="77777777" w:rsidR="007B2D92" w:rsidRPr="00E03188" w:rsidRDefault="007B2D92" w:rsidP="00A20643">
            <w:pPr>
              <w:spacing w:before="60" w:after="60"/>
              <w:rPr>
                <w:rFonts w:ascii="Arial" w:hAnsi="Arial" w:cs="Arial"/>
                <w:b/>
                <w:sz w:val="20"/>
                <w:szCs w:val="20"/>
                <w:u w:val="single"/>
              </w:rPr>
            </w:pPr>
            <w:r>
              <w:rPr>
                <w:rFonts w:ascii="Arial" w:hAnsi="Arial" w:cs="Arial"/>
                <w:b/>
                <w:sz w:val="20"/>
                <w:szCs w:val="20"/>
                <w:u w:val="single"/>
              </w:rPr>
              <w:t>Samedi</w:t>
            </w:r>
            <w:r w:rsidRPr="00E03188">
              <w:rPr>
                <w:rFonts w:ascii="Arial" w:hAnsi="Arial" w:cs="Arial"/>
                <w:b/>
                <w:sz w:val="20"/>
                <w:szCs w:val="20"/>
                <w:u w:val="single"/>
              </w:rPr>
              <w:t xml:space="preserve"> </w:t>
            </w:r>
            <w:r>
              <w:rPr>
                <w:rFonts w:ascii="Arial" w:hAnsi="Arial" w:cs="Arial"/>
                <w:b/>
                <w:sz w:val="20"/>
                <w:szCs w:val="20"/>
                <w:u w:val="single"/>
              </w:rPr>
              <w:t>13</w:t>
            </w:r>
            <w:r w:rsidRPr="00E03188">
              <w:rPr>
                <w:rFonts w:ascii="Arial" w:hAnsi="Arial" w:cs="Arial"/>
                <w:b/>
                <w:sz w:val="20"/>
                <w:szCs w:val="20"/>
                <w:u w:val="single"/>
              </w:rPr>
              <w:t xml:space="preserve"> décembre 202</w:t>
            </w:r>
            <w:r>
              <w:rPr>
                <w:rFonts w:ascii="Arial" w:hAnsi="Arial" w:cs="Arial"/>
                <w:b/>
                <w:sz w:val="20"/>
                <w:szCs w:val="20"/>
                <w:u w:val="single"/>
              </w:rPr>
              <w:t>5</w:t>
            </w:r>
          </w:p>
        </w:tc>
      </w:tr>
      <w:tr w:rsidR="007B2D92" w:rsidRPr="004E0190" w14:paraId="73FC6B22" w14:textId="77777777" w:rsidTr="00A20643">
        <w:tc>
          <w:tcPr>
            <w:tcW w:w="1235" w:type="pct"/>
          </w:tcPr>
          <w:p w14:paraId="60CD905B" w14:textId="77777777" w:rsidR="007B2D92" w:rsidRPr="00E03188" w:rsidRDefault="007B2D92" w:rsidP="00A20643">
            <w:pPr>
              <w:spacing w:before="60" w:after="60"/>
              <w:rPr>
                <w:rFonts w:ascii="Arial" w:hAnsi="Arial" w:cs="Arial"/>
                <w:sz w:val="20"/>
                <w:szCs w:val="20"/>
              </w:rPr>
            </w:pPr>
            <w:r>
              <w:rPr>
                <w:rFonts w:ascii="Arial" w:hAnsi="Arial" w:cs="Arial"/>
                <w:sz w:val="20"/>
                <w:szCs w:val="20"/>
              </w:rPr>
              <w:t>9h00 – 9h30</w:t>
            </w:r>
          </w:p>
        </w:tc>
        <w:tc>
          <w:tcPr>
            <w:tcW w:w="365" w:type="pct"/>
          </w:tcPr>
          <w:p w14:paraId="4927D6B7" w14:textId="77777777" w:rsidR="007B2D92" w:rsidRPr="00E03188" w:rsidRDefault="007B2D92" w:rsidP="00A20643">
            <w:pPr>
              <w:tabs>
                <w:tab w:val="decimal" w:pos="284"/>
              </w:tabs>
              <w:spacing w:before="60" w:after="60"/>
              <w:jc w:val="right"/>
              <w:rPr>
                <w:rFonts w:ascii="Arial" w:hAnsi="Arial" w:cs="Arial"/>
                <w:sz w:val="20"/>
                <w:szCs w:val="20"/>
              </w:rPr>
            </w:pPr>
          </w:p>
        </w:tc>
        <w:tc>
          <w:tcPr>
            <w:tcW w:w="3400" w:type="pct"/>
          </w:tcPr>
          <w:p w14:paraId="1864F44A" w14:textId="77777777" w:rsidR="007B2D92" w:rsidRPr="00E03188" w:rsidRDefault="007B2D92" w:rsidP="00A20643">
            <w:pPr>
              <w:adjustRightInd w:val="0"/>
              <w:spacing w:before="60" w:after="60"/>
              <w:jc w:val="both"/>
              <w:rPr>
                <w:rFonts w:ascii="Arial" w:hAnsi="Arial" w:cs="Arial"/>
                <w:sz w:val="20"/>
                <w:szCs w:val="20"/>
              </w:rPr>
            </w:pPr>
            <w:r>
              <w:rPr>
                <w:rFonts w:ascii="Arial" w:hAnsi="Arial" w:cs="Arial"/>
                <w:sz w:val="20"/>
                <w:szCs w:val="20"/>
              </w:rPr>
              <w:t>Réunion du Bureau</w:t>
            </w:r>
          </w:p>
        </w:tc>
      </w:tr>
      <w:tr w:rsidR="007B2D92" w:rsidRPr="004E0190" w14:paraId="4C93A8D5" w14:textId="77777777" w:rsidTr="00A20643">
        <w:tc>
          <w:tcPr>
            <w:tcW w:w="1235" w:type="pct"/>
          </w:tcPr>
          <w:p w14:paraId="35A6F6A8" w14:textId="77777777" w:rsidR="007B2D92" w:rsidRPr="00E03188" w:rsidRDefault="007B2D92" w:rsidP="00A20643">
            <w:pPr>
              <w:spacing w:before="60" w:after="60"/>
              <w:rPr>
                <w:rFonts w:ascii="Arial" w:hAnsi="Arial" w:cs="Arial"/>
                <w:sz w:val="20"/>
                <w:szCs w:val="20"/>
              </w:rPr>
            </w:pPr>
            <w:r>
              <w:rPr>
                <w:rFonts w:ascii="Arial" w:hAnsi="Arial" w:cs="Arial"/>
                <w:sz w:val="20"/>
                <w:szCs w:val="20"/>
              </w:rPr>
              <w:t>9h30 – 12h30</w:t>
            </w:r>
          </w:p>
        </w:tc>
        <w:tc>
          <w:tcPr>
            <w:tcW w:w="365" w:type="pct"/>
          </w:tcPr>
          <w:p w14:paraId="615155E2"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16.</w:t>
            </w:r>
          </w:p>
        </w:tc>
        <w:tc>
          <w:tcPr>
            <w:tcW w:w="3400" w:type="pct"/>
          </w:tcPr>
          <w:p w14:paraId="0858AA8D" w14:textId="77777777" w:rsidR="007B2D92" w:rsidRPr="00E03188" w:rsidRDefault="007B2D92" w:rsidP="00A20643">
            <w:pPr>
              <w:adjustRightInd w:val="0"/>
              <w:spacing w:before="60" w:after="60"/>
              <w:jc w:val="both"/>
              <w:rPr>
                <w:rFonts w:ascii="Arial" w:hAnsi="Arial" w:cs="Arial"/>
                <w:sz w:val="20"/>
                <w:szCs w:val="20"/>
              </w:rPr>
            </w:pPr>
            <w:r w:rsidRPr="00DC1980">
              <w:rPr>
                <w:rFonts w:ascii="Arial" w:hAnsi="Arial" w:cs="Arial"/>
                <w:sz w:val="20"/>
                <w:szCs w:val="20"/>
              </w:rPr>
              <w:t>Accréditation de nouvelles organisations non gouvernementales et réexamen des organisations non gouvernementales accréditées</w:t>
            </w:r>
          </w:p>
        </w:tc>
      </w:tr>
      <w:tr w:rsidR="007B2D92" w:rsidRPr="004E0190" w14:paraId="425FF322" w14:textId="77777777" w:rsidTr="00A20643">
        <w:tc>
          <w:tcPr>
            <w:tcW w:w="1235" w:type="pct"/>
          </w:tcPr>
          <w:p w14:paraId="57C0C367" w14:textId="77777777" w:rsidR="007B2D92" w:rsidRDefault="007B2D92" w:rsidP="00A20643">
            <w:pPr>
              <w:spacing w:before="60" w:after="60"/>
              <w:rPr>
                <w:rFonts w:ascii="Arial" w:hAnsi="Arial" w:cs="Arial"/>
                <w:sz w:val="20"/>
                <w:szCs w:val="20"/>
              </w:rPr>
            </w:pPr>
          </w:p>
        </w:tc>
        <w:tc>
          <w:tcPr>
            <w:tcW w:w="365" w:type="pct"/>
          </w:tcPr>
          <w:p w14:paraId="19151FF6"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17.</w:t>
            </w:r>
          </w:p>
        </w:tc>
        <w:tc>
          <w:tcPr>
            <w:tcW w:w="3400" w:type="pct"/>
          </w:tcPr>
          <w:p w14:paraId="5A77D62A"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Établissement de l’Organe d’évaluation pour le cycle 202</w:t>
            </w:r>
            <w:r>
              <w:rPr>
                <w:rFonts w:ascii="Arial" w:hAnsi="Arial" w:cs="Arial"/>
                <w:sz w:val="20"/>
                <w:szCs w:val="20"/>
              </w:rPr>
              <w:t>6</w:t>
            </w:r>
            <w:r w:rsidRPr="00E03188">
              <w:rPr>
                <w:rFonts w:ascii="Arial" w:hAnsi="Arial" w:cs="Arial"/>
                <w:sz w:val="20"/>
                <w:szCs w:val="20"/>
              </w:rPr>
              <w:t xml:space="preserve"> (Partie I)</w:t>
            </w:r>
          </w:p>
        </w:tc>
      </w:tr>
      <w:tr w:rsidR="007B2D92" w:rsidRPr="004E0190" w14:paraId="3712ADF2" w14:textId="77777777" w:rsidTr="00A20643">
        <w:tc>
          <w:tcPr>
            <w:tcW w:w="1235" w:type="pct"/>
          </w:tcPr>
          <w:p w14:paraId="75FF2C13" w14:textId="77777777" w:rsidR="007B2D92" w:rsidRPr="00E03188" w:rsidRDefault="007B2D92" w:rsidP="00A20643">
            <w:pPr>
              <w:spacing w:before="60" w:after="60"/>
              <w:rPr>
                <w:rFonts w:ascii="Arial" w:hAnsi="Arial" w:cs="Arial"/>
                <w:sz w:val="20"/>
                <w:szCs w:val="20"/>
              </w:rPr>
            </w:pPr>
          </w:p>
        </w:tc>
        <w:tc>
          <w:tcPr>
            <w:tcW w:w="365" w:type="pct"/>
          </w:tcPr>
          <w:p w14:paraId="594AD51A"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8</w:t>
            </w:r>
            <w:r w:rsidRPr="00E03188">
              <w:rPr>
                <w:rFonts w:ascii="Arial" w:hAnsi="Arial" w:cs="Arial"/>
                <w:sz w:val="20"/>
                <w:szCs w:val="20"/>
              </w:rPr>
              <w:t>.</w:t>
            </w:r>
          </w:p>
        </w:tc>
        <w:tc>
          <w:tcPr>
            <w:tcW w:w="3400" w:type="pct"/>
          </w:tcPr>
          <w:p w14:paraId="26DE3E8F"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Date et lieu de la vingt</w:t>
            </w:r>
            <w:r>
              <w:rPr>
                <w:rFonts w:ascii="Arial" w:hAnsi="Arial" w:cs="Arial"/>
                <w:sz w:val="20"/>
                <w:szCs w:val="20"/>
              </w:rPr>
              <w:t>-et-un</w:t>
            </w:r>
            <w:r w:rsidRPr="00E03188">
              <w:rPr>
                <w:rFonts w:ascii="Arial" w:hAnsi="Arial" w:cs="Arial"/>
                <w:sz w:val="20"/>
                <w:szCs w:val="20"/>
              </w:rPr>
              <w:t>ième session du Comité</w:t>
            </w:r>
          </w:p>
        </w:tc>
      </w:tr>
      <w:tr w:rsidR="007B2D92" w:rsidRPr="004E0190" w14:paraId="34B50ACA" w14:textId="77777777" w:rsidTr="00A20643">
        <w:tc>
          <w:tcPr>
            <w:tcW w:w="1235" w:type="pct"/>
          </w:tcPr>
          <w:p w14:paraId="62A7E704" w14:textId="77777777" w:rsidR="007B2D92" w:rsidRPr="00E03188" w:rsidRDefault="007B2D92" w:rsidP="00A20643">
            <w:pPr>
              <w:spacing w:before="60" w:after="60"/>
              <w:rPr>
                <w:rFonts w:ascii="Arial" w:hAnsi="Arial" w:cs="Arial"/>
                <w:sz w:val="20"/>
                <w:szCs w:val="20"/>
              </w:rPr>
            </w:pPr>
          </w:p>
        </w:tc>
        <w:tc>
          <w:tcPr>
            <w:tcW w:w="365" w:type="pct"/>
          </w:tcPr>
          <w:p w14:paraId="5E5676F1"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1</w:t>
            </w:r>
            <w:r>
              <w:rPr>
                <w:rFonts w:ascii="Arial" w:hAnsi="Arial" w:cs="Arial"/>
                <w:sz w:val="20"/>
                <w:szCs w:val="20"/>
              </w:rPr>
              <w:t>9</w:t>
            </w:r>
            <w:r w:rsidRPr="00E03188">
              <w:rPr>
                <w:rFonts w:ascii="Arial" w:hAnsi="Arial" w:cs="Arial"/>
                <w:sz w:val="20"/>
                <w:szCs w:val="20"/>
              </w:rPr>
              <w:t>.</w:t>
            </w:r>
          </w:p>
        </w:tc>
        <w:tc>
          <w:tcPr>
            <w:tcW w:w="3400" w:type="pct"/>
          </w:tcPr>
          <w:p w14:paraId="361DEA5F"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Élection des membres du Bureau de la vingt</w:t>
            </w:r>
            <w:r>
              <w:rPr>
                <w:rFonts w:ascii="Arial" w:hAnsi="Arial" w:cs="Arial"/>
                <w:sz w:val="20"/>
                <w:szCs w:val="20"/>
              </w:rPr>
              <w:t>-et-un</w:t>
            </w:r>
            <w:r w:rsidRPr="00E03188">
              <w:rPr>
                <w:rFonts w:ascii="Arial" w:hAnsi="Arial" w:cs="Arial"/>
                <w:sz w:val="20"/>
                <w:szCs w:val="20"/>
              </w:rPr>
              <w:t>ième session du Comité</w:t>
            </w:r>
          </w:p>
        </w:tc>
      </w:tr>
      <w:tr w:rsidR="007B2D92" w:rsidRPr="00E03188" w14:paraId="4DF650A8" w14:textId="77777777" w:rsidTr="00A20643">
        <w:tc>
          <w:tcPr>
            <w:tcW w:w="1235" w:type="pct"/>
            <w:shd w:val="clear" w:color="auto" w:fill="D9D9D9" w:themeFill="background1" w:themeFillShade="D9"/>
          </w:tcPr>
          <w:p w14:paraId="206BBDC7" w14:textId="77777777" w:rsidR="007B2D92" w:rsidRPr="00E03188" w:rsidRDefault="007B2D92" w:rsidP="00A20643">
            <w:pPr>
              <w:spacing w:before="60" w:after="60"/>
              <w:rPr>
                <w:rFonts w:ascii="Arial" w:hAnsi="Arial" w:cs="Arial"/>
                <w:sz w:val="20"/>
                <w:szCs w:val="20"/>
              </w:rPr>
            </w:pPr>
            <w:r w:rsidRPr="00E03188">
              <w:rPr>
                <w:rFonts w:ascii="Arial" w:hAnsi="Arial" w:cs="Arial"/>
                <w:sz w:val="20"/>
                <w:szCs w:val="20"/>
              </w:rPr>
              <w:t>12h30 – 14h30</w:t>
            </w:r>
          </w:p>
        </w:tc>
        <w:tc>
          <w:tcPr>
            <w:tcW w:w="3765" w:type="pct"/>
            <w:gridSpan w:val="2"/>
            <w:shd w:val="clear" w:color="auto" w:fill="D9D9D9" w:themeFill="background1" w:themeFillShade="D9"/>
          </w:tcPr>
          <w:p w14:paraId="605C3F54"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eastAsia="SimSun" w:hAnsi="Arial" w:cs="Arial"/>
                <w:bCs/>
                <w:sz w:val="20"/>
                <w:szCs w:val="20"/>
                <w:lang w:eastAsia="zh-CN"/>
              </w:rPr>
              <w:t>Pause</w:t>
            </w:r>
          </w:p>
        </w:tc>
      </w:tr>
      <w:tr w:rsidR="007B2D92" w:rsidRPr="004E0190" w14:paraId="143C8F95" w14:textId="77777777" w:rsidTr="00A20643">
        <w:tc>
          <w:tcPr>
            <w:tcW w:w="1235" w:type="pct"/>
          </w:tcPr>
          <w:p w14:paraId="7D812062" w14:textId="77777777" w:rsidR="007B2D92" w:rsidRPr="00E03188" w:rsidRDefault="007B2D92" w:rsidP="00A20643">
            <w:pPr>
              <w:spacing w:before="60" w:after="60"/>
              <w:rPr>
                <w:rFonts w:ascii="Arial" w:hAnsi="Arial" w:cs="Arial"/>
                <w:sz w:val="20"/>
                <w:szCs w:val="20"/>
              </w:rPr>
            </w:pPr>
            <w:r>
              <w:rPr>
                <w:rFonts w:ascii="Arial" w:hAnsi="Arial" w:cs="Arial"/>
                <w:sz w:val="20"/>
                <w:szCs w:val="20"/>
              </w:rPr>
              <w:t>14h30 – 17h30</w:t>
            </w:r>
          </w:p>
        </w:tc>
        <w:tc>
          <w:tcPr>
            <w:tcW w:w="365" w:type="pct"/>
          </w:tcPr>
          <w:p w14:paraId="5DC44A42"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20.</w:t>
            </w:r>
          </w:p>
        </w:tc>
        <w:tc>
          <w:tcPr>
            <w:tcW w:w="3400" w:type="pct"/>
          </w:tcPr>
          <w:p w14:paraId="4E61AD27" w14:textId="77777777" w:rsidR="007B2D92" w:rsidRPr="00E03188" w:rsidRDefault="007B2D92" w:rsidP="00A20643">
            <w:pPr>
              <w:adjustRightInd w:val="0"/>
              <w:spacing w:before="60" w:after="60"/>
              <w:jc w:val="both"/>
              <w:rPr>
                <w:rFonts w:ascii="Arial" w:hAnsi="Arial" w:cs="Arial"/>
                <w:sz w:val="20"/>
                <w:szCs w:val="20"/>
              </w:rPr>
            </w:pPr>
            <w:r>
              <w:rPr>
                <w:rFonts w:ascii="Arial" w:hAnsi="Arial" w:cs="Arial"/>
                <w:sz w:val="20"/>
                <w:szCs w:val="20"/>
              </w:rPr>
              <w:t>R</w:t>
            </w:r>
            <w:r w:rsidRPr="00A379DB">
              <w:rPr>
                <w:rFonts w:ascii="Arial" w:hAnsi="Arial" w:cs="Arial"/>
                <w:sz w:val="20"/>
                <w:szCs w:val="20"/>
              </w:rPr>
              <w:t>apport du Comité à l’Assemblée générale sur ses activités (de janvier 202</w:t>
            </w:r>
            <w:r>
              <w:rPr>
                <w:rFonts w:ascii="Arial" w:hAnsi="Arial" w:cs="Arial"/>
                <w:sz w:val="20"/>
                <w:szCs w:val="20"/>
              </w:rPr>
              <w:t>4</w:t>
            </w:r>
            <w:r w:rsidRPr="00A379DB">
              <w:rPr>
                <w:rFonts w:ascii="Arial" w:hAnsi="Arial" w:cs="Arial"/>
                <w:sz w:val="20"/>
                <w:szCs w:val="20"/>
              </w:rPr>
              <w:t xml:space="preserve"> à décembre 202</w:t>
            </w:r>
            <w:r>
              <w:rPr>
                <w:rFonts w:ascii="Arial" w:hAnsi="Arial" w:cs="Arial"/>
                <w:sz w:val="20"/>
                <w:szCs w:val="20"/>
              </w:rPr>
              <w:t>5</w:t>
            </w:r>
            <w:r w:rsidRPr="00A379DB">
              <w:rPr>
                <w:rFonts w:ascii="Arial" w:hAnsi="Arial" w:cs="Arial"/>
                <w:sz w:val="20"/>
                <w:szCs w:val="20"/>
              </w:rPr>
              <w:t>)</w:t>
            </w:r>
          </w:p>
        </w:tc>
      </w:tr>
      <w:tr w:rsidR="007B2D92" w:rsidRPr="004E0190" w14:paraId="2748AAA8" w14:textId="77777777" w:rsidTr="00A20643">
        <w:tc>
          <w:tcPr>
            <w:tcW w:w="1235" w:type="pct"/>
          </w:tcPr>
          <w:p w14:paraId="725CF582" w14:textId="77777777" w:rsidR="007B2D92" w:rsidRDefault="007B2D92" w:rsidP="00A20643">
            <w:pPr>
              <w:spacing w:before="60" w:after="60"/>
              <w:rPr>
                <w:rFonts w:ascii="Arial" w:hAnsi="Arial" w:cs="Arial"/>
                <w:sz w:val="20"/>
                <w:szCs w:val="20"/>
              </w:rPr>
            </w:pPr>
          </w:p>
        </w:tc>
        <w:tc>
          <w:tcPr>
            <w:tcW w:w="365" w:type="pct"/>
          </w:tcPr>
          <w:p w14:paraId="734366C6"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17.</w:t>
            </w:r>
          </w:p>
        </w:tc>
        <w:tc>
          <w:tcPr>
            <w:tcW w:w="3400" w:type="pct"/>
          </w:tcPr>
          <w:p w14:paraId="7BCA9F28"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Établissement de l’Organe d’évaluation pour le cycle 202</w:t>
            </w:r>
            <w:r>
              <w:rPr>
                <w:rFonts w:ascii="Arial" w:hAnsi="Arial" w:cs="Arial"/>
                <w:sz w:val="20"/>
                <w:szCs w:val="20"/>
              </w:rPr>
              <w:t>6</w:t>
            </w:r>
            <w:r w:rsidRPr="00E03188">
              <w:rPr>
                <w:rFonts w:ascii="Arial" w:hAnsi="Arial" w:cs="Arial"/>
                <w:sz w:val="20"/>
                <w:szCs w:val="20"/>
              </w:rPr>
              <w:t xml:space="preserve"> (Partie II)</w:t>
            </w:r>
          </w:p>
        </w:tc>
      </w:tr>
      <w:tr w:rsidR="007B2D92" w:rsidRPr="003D0F0B" w14:paraId="37F64FCF" w14:textId="77777777" w:rsidTr="00A20643">
        <w:tc>
          <w:tcPr>
            <w:tcW w:w="1235" w:type="pct"/>
          </w:tcPr>
          <w:p w14:paraId="29C7C2E1" w14:textId="77777777" w:rsidR="007B2D92" w:rsidRPr="00E03188" w:rsidRDefault="007B2D92" w:rsidP="00A20643">
            <w:pPr>
              <w:spacing w:before="60" w:after="60"/>
              <w:rPr>
                <w:rFonts w:ascii="Arial" w:hAnsi="Arial" w:cs="Arial"/>
                <w:sz w:val="20"/>
                <w:szCs w:val="20"/>
              </w:rPr>
            </w:pPr>
          </w:p>
        </w:tc>
        <w:tc>
          <w:tcPr>
            <w:tcW w:w="365" w:type="pct"/>
          </w:tcPr>
          <w:p w14:paraId="6F8BEF07"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21</w:t>
            </w:r>
            <w:r w:rsidRPr="00E03188">
              <w:rPr>
                <w:rFonts w:ascii="Arial" w:hAnsi="Arial" w:cs="Arial"/>
                <w:sz w:val="20"/>
                <w:szCs w:val="20"/>
              </w:rPr>
              <w:t>.</w:t>
            </w:r>
          </w:p>
        </w:tc>
        <w:tc>
          <w:tcPr>
            <w:tcW w:w="3400" w:type="pct"/>
          </w:tcPr>
          <w:p w14:paraId="665DCFB5"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Questions diverses</w:t>
            </w:r>
          </w:p>
        </w:tc>
      </w:tr>
      <w:tr w:rsidR="007B2D92" w:rsidRPr="004E0190" w14:paraId="268E2618" w14:textId="77777777" w:rsidTr="00A20643">
        <w:tc>
          <w:tcPr>
            <w:tcW w:w="1235" w:type="pct"/>
          </w:tcPr>
          <w:p w14:paraId="7F60981B" w14:textId="77777777" w:rsidR="007B2D92" w:rsidRPr="00E03188" w:rsidRDefault="007B2D92" w:rsidP="00A20643">
            <w:pPr>
              <w:spacing w:before="60" w:after="60"/>
              <w:rPr>
                <w:rFonts w:ascii="Arial" w:hAnsi="Arial" w:cs="Arial"/>
                <w:sz w:val="20"/>
                <w:szCs w:val="20"/>
              </w:rPr>
            </w:pPr>
          </w:p>
        </w:tc>
        <w:tc>
          <w:tcPr>
            <w:tcW w:w="365" w:type="pct"/>
          </w:tcPr>
          <w:p w14:paraId="37B830D5" w14:textId="77777777" w:rsidR="007B2D92" w:rsidRPr="00E03188" w:rsidRDefault="007B2D92" w:rsidP="00A20643">
            <w:pPr>
              <w:tabs>
                <w:tab w:val="decimal" w:pos="284"/>
              </w:tabs>
              <w:spacing w:before="60" w:after="60"/>
              <w:jc w:val="right"/>
              <w:rPr>
                <w:rFonts w:ascii="Arial" w:hAnsi="Arial" w:cs="Arial"/>
                <w:sz w:val="20"/>
                <w:szCs w:val="20"/>
              </w:rPr>
            </w:pPr>
            <w:r>
              <w:rPr>
                <w:rFonts w:ascii="Arial" w:hAnsi="Arial" w:cs="Arial"/>
                <w:sz w:val="20"/>
                <w:szCs w:val="20"/>
              </w:rPr>
              <w:t>22</w:t>
            </w:r>
            <w:r w:rsidRPr="00E03188">
              <w:rPr>
                <w:rFonts w:ascii="Arial" w:hAnsi="Arial" w:cs="Arial"/>
                <w:sz w:val="20"/>
                <w:szCs w:val="20"/>
              </w:rPr>
              <w:t>.</w:t>
            </w:r>
          </w:p>
        </w:tc>
        <w:tc>
          <w:tcPr>
            <w:tcW w:w="3400" w:type="pct"/>
          </w:tcPr>
          <w:p w14:paraId="303619F2"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Adoption de la liste des décisions</w:t>
            </w:r>
          </w:p>
        </w:tc>
      </w:tr>
      <w:tr w:rsidR="007B2D92" w:rsidRPr="003D0F0B" w14:paraId="414937FB" w14:textId="77777777" w:rsidTr="00A20643">
        <w:tc>
          <w:tcPr>
            <w:tcW w:w="1235" w:type="pct"/>
          </w:tcPr>
          <w:p w14:paraId="36581DA4" w14:textId="77777777" w:rsidR="007B2D92" w:rsidRPr="00E03188" w:rsidRDefault="007B2D92" w:rsidP="00A20643">
            <w:pPr>
              <w:spacing w:before="60" w:after="60"/>
              <w:rPr>
                <w:rFonts w:ascii="Arial" w:hAnsi="Arial" w:cs="Arial"/>
                <w:sz w:val="20"/>
                <w:szCs w:val="20"/>
              </w:rPr>
            </w:pPr>
          </w:p>
        </w:tc>
        <w:tc>
          <w:tcPr>
            <w:tcW w:w="365" w:type="pct"/>
          </w:tcPr>
          <w:p w14:paraId="6D75FBE2" w14:textId="77777777" w:rsidR="007B2D92" w:rsidRPr="00E03188" w:rsidRDefault="007B2D92" w:rsidP="00A20643">
            <w:pPr>
              <w:tabs>
                <w:tab w:val="decimal" w:pos="284"/>
              </w:tabs>
              <w:spacing w:before="60" w:after="60"/>
              <w:jc w:val="right"/>
              <w:rPr>
                <w:rFonts w:ascii="Arial" w:hAnsi="Arial" w:cs="Arial"/>
                <w:sz w:val="20"/>
                <w:szCs w:val="20"/>
              </w:rPr>
            </w:pPr>
            <w:r w:rsidRPr="00E03188">
              <w:rPr>
                <w:rFonts w:ascii="Arial" w:hAnsi="Arial" w:cs="Arial"/>
                <w:sz w:val="20"/>
                <w:szCs w:val="20"/>
              </w:rPr>
              <w:t>2</w:t>
            </w:r>
            <w:r>
              <w:rPr>
                <w:rFonts w:ascii="Arial" w:hAnsi="Arial" w:cs="Arial"/>
                <w:sz w:val="20"/>
                <w:szCs w:val="20"/>
              </w:rPr>
              <w:t>3</w:t>
            </w:r>
            <w:r w:rsidRPr="00E03188">
              <w:rPr>
                <w:rFonts w:ascii="Arial" w:hAnsi="Arial" w:cs="Arial"/>
                <w:sz w:val="20"/>
                <w:szCs w:val="20"/>
              </w:rPr>
              <w:t>.</w:t>
            </w:r>
          </w:p>
        </w:tc>
        <w:tc>
          <w:tcPr>
            <w:tcW w:w="3400" w:type="pct"/>
          </w:tcPr>
          <w:p w14:paraId="624D0F1A" w14:textId="77777777" w:rsidR="007B2D92" w:rsidRPr="00E03188" w:rsidRDefault="007B2D92" w:rsidP="00A20643">
            <w:pPr>
              <w:adjustRightInd w:val="0"/>
              <w:spacing w:before="60" w:after="60"/>
              <w:jc w:val="both"/>
              <w:rPr>
                <w:rFonts w:ascii="Arial" w:hAnsi="Arial" w:cs="Arial"/>
                <w:sz w:val="20"/>
                <w:szCs w:val="20"/>
              </w:rPr>
            </w:pPr>
            <w:r w:rsidRPr="00E03188">
              <w:rPr>
                <w:rFonts w:ascii="Arial" w:hAnsi="Arial" w:cs="Arial"/>
                <w:sz w:val="20"/>
                <w:szCs w:val="20"/>
              </w:rPr>
              <w:t>Clôture</w:t>
            </w:r>
          </w:p>
        </w:tc>
      </w:tr>
    </w:tbl>
    <w:p w14:paraId="3A5CD4F6" w14:textId="77777777" w:rsidR="007E60C6" w:rsidRPr="00022428" w:rsidRDefault="007E60C6" w:rsidP="008554DF">
      <w:pPr>
        <w:pStyle w:val="COMTitleDecision"/>
        <w:spacing w:before="360" w:after="240"/>
        <w:ind w:left="0"/>
      </w:pPr>
    </w:p>
    <w:sectPr w:rsidR="007E60C6" w:rsidRPr="00022428" w:rsidSect="00655736">
      <w:headerReference w:type="even" r:id="rId16"/>
      <w:headerReference w:type="default" r:id="rId17"/>
      <w:headerReference w:type="first" r:id="rId18"/>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F2C9A" w14:textId="77777777" w:rsidR="00993211" w:rsidRDefault="00993211" w:rsidP="00655736">
      <w:r>
        <w:separator/>
      </w:r>
    </w:p>
    <w:p w14:paraId="5B4ED301" w14:textId="77777777" w:rsidR="00993211" w:rsidRDefault="00993211"/>
    <w:p w14:paraId="7A01BD01" w14:textId="77777777" w:rsidR="00993211" w:rsidRDefault="00993211" w:rsidP="002E58D4"/>
    <w:p w14:paraId="2FBCCD65" w14:textId="77777777" w:rsidR="00993211" w:rsidRDefault="00993211" w:rsidP="002E58D4"/>
    <w:p w14:paraId="7920633F" w14:textId="77777777" w:rsidR="00993211" w:rsidRDefault="00993211" w:rsidP="002E58D4"/>
  </w:endnote>
  <w:endnote w:type="continuationSeparator" w:id="0">
    <w:p w14:paraId="24714F7C" w14:textId="77777777" w:rsidR="00993211" w:rsidRDefault="00993211" w:rsidP="00655736">
      <w:r>
        <w:continuationSeparator/>
      </w:r>
    </w:p>
    <w:p w14:paraId="2A031586" w14:textId="77777777" w:rsidR="00993211" w:rsidRDefault="00993211"/>
    <w:p w14:paraId="535D8879" w14:textId="77777777" w:rsidR="00993211" w:rsidRDefault="00993211" w:rsidP="002E58D4"/>
    <w:p w14:paraId="46497F25" w14:textId="77777777" w:rsidR="00993211" w:rsidRDefault="00993211" w:rsidP="002E58D4"/>
    <w:p w14:paraId="0C9F8B95" w14:textId="77777777" w:rsidR="00993211" w:rsidRDefault="00993211"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9410C" w14:textId="77777777" w:rsidR="00993211" w:rsidRDefault="00993211" w:rsidP="00655736">
      <w:r>
        <w:separator/>
      </w:r>
    </w:p>
  </w:footnote>
  <w:footnote w:type="continuationSeparator" w:id="0">
    <w:p w14:paraId="0E96A285" w14:textId="77777777" w:rsidR="00993211" w:rsidRDefault="00993211" w:rsidP="00655736">
      <w:r>
        <w:continuationSeparator/>
      </w:r>
    </w:p>
    <w:p w14:paraId="43E57DAA" w14:textId="77777777" w:rsidR="00993211" w:rsidRDefault="00993211"/>
  </w:footnote>
  <w:footnote w:type="continuationNotice" w:id="1">
    <w:p w14:paraId="77BA354F" w14:textId="77777777" w:rsidR="00BE531A" w:rsidRDefault="00BE531A"/>
  </w:footnote>
  <w:footnote w:id="2">
    <w:p w14:paraId="506C5A2F" w14:textId="77777777" w:rsidR="00024F52" w:rsidRPr="007320E9" w:rsidRDefault="00024F52" w:rsidP="00024F52">
      <w:pPr>
        <w:pStyle w:val="FootnoteText"/>
        <w:jc w:val="both"/>
        <w:rPr>
          <w:rFonts w:asciiTheme="minorBidi" w:hAnsiTheme="minorBidi"/>
          <w:sz w:val="18"/>
        </w:rPr>
      </w:pPr>
      <w:r>
        <w:rPr>
          <w:rStyle w:val="FootnoteReference"/>
          <w:rFonts w:asciiTheme="minorBidi" w:eastAsiaTheme="majorEastAsia" w:hAnsiTheme="minorBidi" w:cstheme="minorBidi"/>
        </w:rPr>
        <w:footnoteRef/>
      </w:r>
      <w:r>
        <w:rPr>
          <w:rFonts w:asciiTheme="minorBidi" w:hAnsiTheme="minorBidi"/>
          <w:sz w:val="18"/>
        </w:rPr>
        <w:t xml:space="preserve"> </w:t>
      </w:r>
      <w:hyperlink r:id="rId1" w:history="1">
        <w:r>
          <w:rPr>
            <w:rStyle w:val="Hyperlink"/>
            <w:rFonts w:asciiTheme="minorBidi" w:hAnsiTheme="minorBidi"/>
            <w:sz w:val="18"/>
          </w:rPr>
          <w:t>Inventaire du patrimoine culturel immatériel relatif à l'artisanat pratiqué au cœur du Caire historique</w:t>
        </w:r>
      </w:hyperlink>
      <w:r>
        <w:rPr>
          <w:rFonts w:asciiTheme="minorBidi" w:hAnsiTheme="minorBidi"/>
          <w:sz w:val="18"/>
        </w:rPr>
        <w:t xml:space="preserve"> (86 950 </w:t>
      </w:r>
      <w:r w:rsidRPr="00ED3875">
        <w:rPr>
          <w:rFonts w:asciiTheme="minorBidi" w:hAnsiTheme="minorBidi"/>
          <w:sz w:val="18"/>
          <w:lang w:val="fr"/>
        </w:rPr>
        <w:t>dollars des États-Unis</w:t>
      </w:r>
      <w:r w:rsidRPr="00ED3875" w:rsidDel="00ED3875">
        <w:rPr>
          <w:rFonts w:asciiTheme="minorBidi" w:hAnsiTheme="minorBidi"/>
          <w:sz w:val="18"/>
        </w:rPr>
        <w:t xml:space="preserve"> </w:t>
      </w:r>
      <w:r>
        <w:rPr>
          <w:rFonts w:asciiTheme="minorBidi" w:hAnsiTheme="minorBidi"/>
          <w:sz w:val="18"/>
        </w:rPr>
        <w:t>; août 2021-septembre 2023).</w:t>
      </w:r>
    </w:p>
  </w:footnote>
  <w:footnote w:id="3">
    <w:p w14:paraId="67CCAD3D" w14:textId="77777777" w:rsidR="00024F52" w:rsidRPr="001C2550" w:rsidRDefault="00024F52" w:rsidP="00024F52">
      <w:pPr>
        <w:pStyle w:val="FootnoteText"/>
        <w:jc w:val="both"/>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Le rapport périodique soumis par le Népal sera examiné, avec les autres rapports soumis par les États parties d’Asie et du Pacifique, par la vingtième session du Comité, qui se tiendra du 8 au 13 décembre 2025 à New Delhi, République de l’Inde.</w:t>
      </w:r>
    </w:p>
  </w:footnote>
  <w:footnote w:id="4">
    <w:p w14:paraId="321EFA24" w14:textId="77777777" w:rsidR="00024F52" w:rsidRPr="00B942C3" w:rsidRDefault="00024F52" w:rsidP="00024F52">
      <w:pPr>
        <w:pStyle w:val="FootnoteText"/>
        <w:jc w:val="both"/>
        <w:rPr>
          <w:rFonts w:asciiTheme="minorBidi" w:hAnsiTheme="minorBidi" w:cstheme="minorBidi"/>
          <w:sz w:val="18"/>
          <w:szCs w:val="18"/>
        </w:rPr>
      </w:pPr>
      <w:r>
        <w:rPr>
          <w:rStyle w:val="FootnoteReference"/>
          <w:rFonts w:asciiTheme="minorBidi" w:hAnsiTheme="minorBidi" w:cstheme="minorBidi"/>
          <w:sz w:val="18"/>
          <w:szCs w:val="18"/>
        </w:rPr>
        <w:footnoteRef/>
      </w:r>
      <w:r>
        <w:rPr>
          <w:rFonts w:asciiTheme="minorBidi" w:hAnsiTheme="minorBidi"/>
          <w:sz w:val="18"/>
        </w:rPr>
        <w:t xml:space="preserve"> (a) </w:t>
      </w:r>
      <w:hyperlink r:id="rId2" w:history="1">
        <w:r>
          <w:rPr>
            <w:rStyle w:val="Hyperlink"/>
            <w:rFonts w:asciiTheme="minorBidi" w:hAnsiTheme="minorBidi"/>
            <w:sz w:val="18"/>
          </w:rPr>
          <w:t xml:space="preserve">Documentation, promotion et diffusion des « appels de tambours » du candombe, qui expriment l’identité des quartiers de </w:t>
        </w:r>
        <w:proofErr w:type="spellStart"/>
        <w:r>
          <w:rPr>
            <w:rStyle w:val="Hyperlink"/>
            <w:rFonts w:asciiTheme="minorBidi" w:hAnsiTheme="minorBidi"/>
            <w:sz w:val="18"/>
          </w:rPr>
          <w:t>Sur</w:t>
        </w:r>
        <w:proofErr w:type="spellEnd"/>
        <w:r>
          <w:rPr>
            <w:rStyle w:val="Hyperlink"/>
            <w:rFonts w:asciiTheme="minorBidi" w:hAnsiTheme="minorBidi"/>
            <w:sz w:val="18"/>
          </w:rPr>
          <w:t xml:space="preserve">, de </w:t>
        </w:r>
        <w:proofErr w:type="spellStart"/>
        <w:r>
          <w:rPr>
            <w:rStyle w:val="Hyperlink"/>
            <w:rFonts w:asciiTheme="minorBidi" w:hAnsiTheme="minorBidi"/>
            <w:sz w:val="18"/>
          </w:rPr>
          <w:t>Palermo</w:t>
        </w:r>
        <w:proofErr w:type="spellEnd"/>
        <w:r>
          <w:rPr>
            <w:rStyle w:val="Hyperlink"/>
            <w:rFonts w:asciiTheme="minorBidi" w:hAnsiTheme="minorBidi"/>
            <w:sz w:val="18"/>
          </w:rPr>
          <w:t xml:space="preserve"> et de </w:t>
        </w:r>
        <w:proofErr w:type="spellStart"/>
        <w:r>
          <w:rPr>
            <w:rStyle w:val="Hyperlink"/>
            <w:rFonts w:asciiTheme="minorBidi" w:hAnsiTheme="minorBidi"/>
            <w:sz w:val="18"/>
          </w:rPr>
          <w:t>Cordón</w:t>
        </w:r>
        <w:proofErr w:type="spellEnd"/>
        <w:r>
          <w:rPr>
            <w:rStyle w:val="Hyperlink"/>
            <w:rFonts w:asciiTheme="minorBidi" w:hAnsiTheme="minorBidi"/>
            <w:sz w:val="18"/>
          </w:rPr>
          <w:t>, dans la ville de Montevideo</w:t>
        </w:r>
      </w:hyperlink>
      <w:r>
        <w:rPr>
          <w:rFonts w:asciiTheme="minorBidi" w:hAnsiTheme="minorBidi"/>
          <w:sz w:val="18"/>
        </w:rPr>
        <w:t xml:space="preserve"> (186 875 </w:t>
      </w:r>
      <w:r w:rsidRPr="009A4057">
        <w:rPr>
          <w:rFonts w:asciiTheme="minorBidi" w:hAnsiTheme="minorBidi"/>
          <w:sz w:val="18"/>
          <w:lang w:val="fr"/>
        </w:rPr>
        <w:t xml:space="preserve">dollars des États-Unis </w:t>
      </w:r>
      <w:r>
        <w:rPr>
          <w:rFonts w:asciiTheme="minorBidi" w:hAnsiTheme="minorBidi"/>
          <w:sz w:val="18"/>
        </w:rPr>
        <w:t xml:space="preserve">; septembre 2013 - août 2015) et (b) </w:t>
      </w:r>
      <w:hyperlink r:id="rId3" w:history="1">
        <w:r>
          <w:rPr>
            <w:rStyle w:val="Hyperlink"/>
            <w:rFonts w:asciiTheme="minorBidi" w:hAnsiTheme="minorBidi"/>
            <w:sz w:val="18"/>
          </w:rPr>
          <w:t>Le bandonéon : le son du tango</w:t>
        </w:r>
      </w:hyperlink>
      <w:r>
        <w:rPr>
          <w:rFonts w:asciiTheme="minorBidi" w:hAnsiTheme="minorBidi"/>
          <w:sz w:val="18"/>
        </w:rPr>
        <w:t xml:space="preserve"> (phase I) (99 764 </w:t>
      </w:r>
      <w:r w:rsidRPr="009A4057">
        <w:rPr>
          <w:rFonts w:asciiTheme="minorBidi" w:hAnsiTheme="minorBidi"/>
          <w:sz w:val="18"/>
          <w:lang w:val="fr"/>
        </w:rPr>
        <w:t xml:space="preserve">dollars des États-Unis </w:t>
      </w:r>
      <w:r>
        <w:rPr>
          <w:rFonts w:asciiTheme="minorBidi" w:hAnsiTheme="minorBidi"/>
          <w:sz w:val="18"/>
        </w:rPr>
        <w:t>; avril 2020 - octobre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35C5C" w14:textId="5AAAEEEC" w:rsidR="006B5001" w:rsidRPr="00AC4027" w:rsidRDefault="008F09EC" w:rsidP="00461168">
    <w:pPr>
      <w:pStyle w:val="Header"/>
      <w:rPr>
        <w:rFonts w:ascii="Arial" w:hAnsi="Arial" w:cs="Arial"/>
      </w:rPr>
    </w:pPr>
    <w:r w:rsidRPr="00AC4027">
      <w:rPr>
        <w:rFonts w:ascii="Arial" w:hAnsi="Arial" w:cs="Arial"/>
        <w:sz w:val="20"/>
        <w:szCs w:val="20"/>
      </w:rPr>
      <w:t>LHE/</w:t>
    </w:r>
    <w:r w:rsidR="00D520C1" w:rsidRPr="00AC4027">
      <w:rPr>
        <w:rFonts w:ascii="Arial" w:hAnsi="Arial" w:cs="Arial"/>
        <w:sz w:val="20"/>
        <w:szCs w:val="20"/>
      </w:rPr>
      <w:t>2</w:t>
    </w:r>
    <w:r w:rsidR="00AE0806">
      <w:rPr>
        <w:rFonts w:ascii="Arial" w:hAnsi="Arial" w:cs="Arial"/>
        <w:sz w:val="20"/>
        <w:szCs w:val="20"/>
      </w:rPr>
      <w:t>5</w:t>
    </w:r>
    <w:r w:rsidRPr="00AC4027">
      <w:rPr>
        <w:rFonts w:ascii="Arial" w:hAnsi="Arial" w:cs="Arial"/>
        <w:sz w:val="20"/>
        <w:szCs w:val="20"/>
      </w:rPr>
      <w:t>/</w:t>
    </w:r>
    <w:r w:rsidR="00AE0806">
      <w:rPr>
        <w:rFonts w:ascii="Arial" w:hAnsi="Arial" w:cs="Arial"/>
        <w:sz w:val="20"/>
        <w:szCs w:val="20"/>
      </w:rPr>
      <w:t>20</w:t>
    </w:r>
    <w:r w:rsidRPr="00AC4027">
      <w:rPr>
        <w:rFonts w:ascii="Arial" w:hAnsi="Arial" w:cs="Arial"/>
        <w:sz w:val="20"/>
        <w:szCs w:val="20"/>
      </w:rPr>
      <w:t>.</w:t>
    </w:r>
    <w:r w:rsidR="00AC4027">
      <w:rPr>
        <w:rFonts w:ascii="Arial" w:hAnsi="Arial" w:cs="Arial"/>
        <w:sz w:val="20"/>
        <w:szCs w:val="20"/>
      </w:rPr>
      <w:t>COM </w:t>
    </w:r>
    <w:r w:rsidR="00C56FC2">
      <w:rPr>
        <w:rFonts w:ascii="Arial" w:hAnsi="Arial" w:cs="Arial"/>
        <w:sz w:val="20"/>
        <w:szCs w:val="20"/>
      </w:rPr>
      <w:t>4</w:t>
    </w:r>
    <w:r w:rsidR="00AC4027" w:rsidRPr="0036787A">
      <w:rPr>
        <w:rFonts w:ascii="Arial" w:hAnsi="Arial" w:cs="Arial"/>
        <w:sz w:val="20"/>
        <w:szCs w:val="20"/>
      </w:rPr>
      <w:t>.BUR/</w:t>
    </w:r>
    <w:r w:rsidR="008554DF">
      <w:rPr>
        <w:rFonts w:ascii="Arial" w:hAnsi="Arial" w:cs="Arial"/>
        <w:sz w:val="20"/>
        <w:szCs w:val="20"/>
      </w:rPr>
      <w:t>Décisions</w:t>
    </w:r>
    <w:r w:rsidR="00AC4027">
      <w:rPr>
        <w:rFonts w:ascii="Arial" w:hAnsi="Arial" w:cs="Arial"/>
        <w:sz w:val="20"/>
        <w:szCs w:val="20"/>
      </w:rPr>
      <w:t xml:space="preserve"> </w:t>
    </w:r>
    <w:r w:rsidR="00E9376C" w:rsidRPr="00AC4027">
      <w:rPr>
        <w:rFonts w:ascii="Arial" w:hAnsi="Arial" w:cs="Arial"/>
        <w:sz w:val="20"/>
        <w:szCs w:val="20"/>
      </w:rPr>
      <w:t xml:space="preserve">– page </w:t>
    </w:r>
    <w:r w:rsidR="00E9376C" w:rsidRPr="00EF563B">
      <w:rPr>
        <w:rStyle w:val="PageNumber"/>
        <w:rFonts w:ascii="Arial" w:hAnsi="Arial" w:cs="Arial"/>
        <w:sz w:val="20"/>
        <w:szCs w:val="20"/>
      </w:rPr>
      <w:fldChar w:fldCharType="begin"/>
    </w:r>
    <w:r w:rsidR="00E9376C" w:rsidRPr="00AC4027">
      <w:rPr>
        <w:rStyle w:val="PageNumber"/>
        <w:rFonts w:ascii="Arial" w:hAnsi="Arial" w:cs="Arial"/>
        <w:sz w:val="20"/>
        <w:szCs w:val="20"/>
      </w:rPr>
      <w:instrText xml:space="preserve"> PAGE </w:instrText>
    </w:r>
    <w:r w:rsidR="00E9376C" w:rsidRPr="00EF563B">
      <w:rPr>
        <w:rStyle w:val="PageNumber"/>
        <w:rFonts w:ascii="Arial" w:hAnsi="Arial" w:cs="Arial"/>
        <w:sz w:val="20"/>
        <w:szCs w:val="20"/>
      </w:rPr>
      <w:fldChar w:fldCharType="separate"/>
    </w:r>
    <w:r w:rsidR="009B223B" w:rsidRPr="00AC4027">
      <w:rPr>
        <w:rStyle w:val="PageNumber"/>
        <w:rFonts w:ascii="Arial" w:hAnsi="Arial" w:cs="Arial"/>
        <w:noProof/>
        <w:sz w:val="20"/>
        <w:szCs w:val="20"/>
      </w:rPr>
      <w:t>2</w:t>
    </w:r>
    <w:r w:rsidR="00E9376C"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0CBE" w14:textId="1738BC98" w:rsidR="006B5001" w:rsidRPr="00BC3420" w:rsidRDefault="008F09EC" w:rsidP="00461168">
    <w:pPr>
      <w:pStyle w:val="Header"/>
      <w:jc w:val="right"/>
      <w:rPr>
        <w:rFonts w:ascii="Arial" w:hAnsi="Arial" w:cs="Arial"/>
        <w:lang w:val="en-US"/>
      </w:rPr>
    </w:pPr>
    <w:r>
      <w:rPr>
        <w:rFonts w:ascii="Arial" w:hAnsi="Arial" w:cs="Arial"/>
        <w:sz w:val="20"/>
        <w:szCs w:val="20"/>
        <w:lang w:val="en-US"/>
      </w:rPr>
      <w:t>LHE/</w:t>
    </w:r>
    <w:r w:rsidR="00DC2A0B">
      <w:rPr>
        <w:rFonts w:ascii="Arial" w:hAnsi="Arial" w:cs="Arial"/>
        <w:sz w:val="20"/>
        <w:szCs w:val="20"/>
        <w:lang w:val="en-US"/>
      </w:rPr>
      <w:t>2</w:t>
    </w:r>
    <w:r w:rsidR="00D456EB">
      <w:rPr>
        <w:rFonts w:ascii="Arial" w:hAnsi="Arial" w:cs="Arial"/>
        <w:sz w:val="20"/>
        <w:szCs w:val="20"/>
        <w:lang w:val="en-US"/>
      </w:rPr>
      <w:t>5</w:t>
    </w:r>
    <w:r w:rsidR="00EF74E3">
      <w:rPr>
        <w:rFonts w:ascii="Arial" w:hAnsi="Arial" w:cs="Arial"/>
        <w:sz w:val="20"/>
        <w:szCs w:val="20"/>
        <w:lang w:val="en-US"/>
      </w:rPr>
      <w:t>/</w:t>
    </w:r>
    <w:r w:rsidR="00D456EB">
      <w:rPr>
        <w:rFonts w:ascii="Arial" w:hAnsi="Arial" w:cs="Arial"/>
        <w:sz w:val="20"/>
        <w:szCs w:val="20"/>
        <w:lang w:val="en-US"/>
      </w:rPr>
      <w:t>20</w:t>
    </w:r>
    <w:r>
      <w:rPr>
        <w:rFonts w:ascii="Arial" w:hAnsi="Arial" w:cs="Arial"/>
        <w:sz w:val="20"/>
        <w:szCs w:val="20"/>
        <w:lang w:val="en-US"/>
      </w:rPr>
      <w:t>.COM</w:t>
    </w:r>
    <w:r w:rsidR="00130D3D">
      <w:rPr>
        <w:rFonts w:ascii="Arial" w:hAnsi="Arial" w:cs="Arial"/>
        <w:sz w:val="20"/>
        <w:szCs w:val="20"/>
      </w:rPr>
      <w:t> </w:t>
    </w:r>
    <w:r w:rsidR="00C56FC2">
      <w:rPr>
        <w:rFonts w:ascii="Arial" w:hAnsi="Arial" w:cs="Arial"/>
        <w:sz w:val="20"/>
        <w:szCs w:val="20"/>
      </w:rPr>
      <w:t>4</w:t>
    </w:r>
    <w:r w:rsidR="00130D3D" w:rsidRPr="0036787A">
      <w:rPr>
        <w:rFonts w:ascii="Arial" w:hAnsi="Arial" w:cs="Arial"/>
        <w:sz w:val="20"/>
        <w:szCs w:val="20"/>
      </w:rPr>
      <w:t>.BUR</w:t>
    </w:r>
    <w:r w:rsidR="002C0D14">
      <w:rPr>
        <w:rFonts w:ascii="Arial" w:hAnsi="Arial" w:cs="Arial"/>
        <w:sz w:val="20"/>
        <w:szCs w:val="20"/>
        <w:lang w:val="en-US"/>
      </w:rPr>
      <w:t>/</w:t>
    </w:r>
    <w:r w:rsidR="00024F52">
      <w:rPr>
        <w:rFonts w:ascii="Arial" w:hAnsi="Arial" w:cs="Arial"/>
        <w:sz w:val="20"/>
        <w:szCs w:val="20"/>
        <w:lang w:val="en-US"/>
      </w:rPr>
      <w:t>Décisions</w:t>
    </w:r>
    <w:r w:rsidR="002C0D14" w:rsidRPr="00EF563B">
      <w:rPr>
        <w:rFonts w:ascii="Arial" w:hAnsi="Arial" w:cs="Arial"/>
        <w:sz w:val="20"/>
        <w:szCs w:val="20"/>
        <w:lang w:val="en-US"/>
      </w:rPr>
      <w:t xml:space="preserve"> – page </w:t>
    </w:r>
    <w:r w:rsidR="002C0D14" w:rsidRPr="00EF563B">
      <w:rPr>
        <w:rStyle w:val="PageNumber"/>
        <w:rFonts w:ascii="Arial" w:hAnsi="Arial" w:cs="Arial"/>
        <w:sz w:val="20"/>
        <w:szCs w:val="20"/>
      </w:rPr>
      <w:fldChar w:fldCharType="begin"/>
    </w:r>
    <w:r w:rsidR="002C0D14" w:rsidRPr="00EF563B">
      <w:rPr>
        <w:rStyle w:val="PageNumber"/>
        <w:rFonts w:ascii="Arial" w:hAnsi="Arial" w:cs="Arial"/>
        <w:sz w:val="20"/>
        <w:szCs w:val="20"/>
        <w:lang w:val="en-US"/>
      </w:rPr>
      <w:instrText xml:space="preserve"> </w:instrText>
    </w:r>
    <w:r w:rsidR="002C0D14">
      <w:rPr>
        <w:rStyle w:val="PageNumber"/>
        <w:rFonts w:ascii="Arial" w:hAnsi="Arial" w:cs="Arial"/>
        <w:sz w:val="20"/>
        <w:szCs w:val="20"/>
        <w:lang w:val="en-US"/>
      </w:rPr>
      <w:instrText>PAGE</w:instrText>
    </w:r>
    <w:r w:rsidR="002C0D14" w:rsidRPr="00EF563B">
      <w:rPr>
        <w:rStyle w:val="PageNumber"/>
        <w:rFonts w:ascii="Arial" w:hAnsi="Arial" w:cs="Arial"/>
        <w:sz w:val="20"/>
        <w:szCs w:val="20"/>
        <w:lang w:val="en-US"/>
      </w:rPr>
      <w:instrText xml:space="preserve"> </w:instrText>
    </w:r>
    <w:r w:rsidR="002C0D14" w:rsidRPr="00EF563B">
      <w:rPr>
        <w:rStyle w:val="PageNumber"/>
        <w:rFonts w:ascii="Arial" w:hAnsi="Arial" w:cs="Arial"/>
        <w:sz w:val="20"/>
        <w:szCs w:val="20"/>
      </w:rPr>
      <w:fldChar w:fldCharType="separate"/>
    </w:r>
    <w:r w:rsidR="007C354B">
      <w:rPr>
        <w:rStyle w:val="PageNumber"/>
        <w:rFonts w:ascii="Arial" w:hAnsi="Arial" w:cs="Arial"/>
        <w:noProof/>
        <w:sz w:val="20"/>
        <w:szCs w:val="20"/>
        <w:lang w:val="en-US"/>
      </w:rPr>
      <w:t>3</w:t>
    </w:r>
    <w:r w:rsidR="002C0D14"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E5A4" w14:textId="645F339E" w:rsidR="00E9376C" w:rsidRPr="008B64DF" w:rsidRDefault="00F84A0B">
    <w:pPr>
      <w:pStyle w:val="Header"/>
      <w:rPr>
        <w:sz w:val="22"/>
        <w:szCs w:val="22"/>
      </w:rPr>
    </w:pPr>
    <w:r>
      <w:rPr>
        <w:rFonts w:ascii="Arial" w:hAnsi="Arial" w:cs="Arial"/>
        <w:b/>
        <w:noProof/>
        <w:sz w:val="44"/>
        <w:szCs w:val="44"/>
        <w:lang w:val="pt-PT"/>
      </w:rPr>
      <w:drawing>
        <wp:anchor distT="0" distB="0" distL="114300" distR="114300" simplePos="0" relativeHeight="251659264" behindDoc="0" locked="0" layoutInCell="1" allowOverlap="1" wp14:anchorId="334C283D" wp14:editId="0BB07EF6">
          <wp:simplePos x="0" y="0"/>
          <wp:positionH relativeFrom="column">
            <wp:posOffset>0</wp:posOffset>
          </wp:positionH>
          <wp:positionV relativeFrom="paragraph">
            <wp:posOffset>156210</wp:posOffset>
          </wp:positionV>
          <wp:extent cx="1657350" cy="139192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E5920C" w14:textId="5EB9F2D9" w:rsidR="00AC4027" w:rsidRPr="00D7105A" w:rsidRDefault="00AE0806" w:rsidP="00AC4027">
    <w:pPr>
      <w:pStyle w:val="Header"/>
      <w:spacing w:after="520"/>
      <w:jc w:val="right"/>
      <w:rPr>
        <w:rFonts w:ascii="Arial" w:hAnsi="Arial" w:cs="Arial"/>
        <w:b/>
        <w:sz w:val="44"/>
        <w:szCs w:val="44"/>
        <w:lang w:val="pt-PT"/>
      </w:rPr>
    </w:pPr>
    <w:r>
      <w:rPr>
        <w:rFonts w:ascii="Arial" w:hAnsi="Arial" w:cs="Arial"/>
        <w:b/>
        <w:sz w:val="44"/>
        <w:szCs w:val="44"/>
        <w:lang w:val="pt-PT"/>
      </w:rPr>
      <w:t>20</w:t>
    </w:r>
    <w:r w:rsidR="00AC4027" w:rsidRPr="00D7105A">
      <w:rPr>
        <w:rFonts w:ascii="Arial" w:hAnsi="Arial" w:cs="Arial"/>
        <w:b/>
        <w:sz w:val="44"/>
        <w:szCs w:val="44"/>
        <w:lang w:val="pt-PT"/>
      </w:rPr>
      <w:t xml:space="preserve"> </w:t>
    </w:r>
    <w:r w:rsidR="00AC4027" w:rsidRPr="00232D65">
      <w:rPr>
        <w:rFonts w:ascii="Arial" w:hAnsi="Arial" w:cs="Arial"/>
        <w:b/>
        <w:sz w:val="44"/>
        <w:szCs w:val="44"/>
        <w:lang w:val="pt-PT"/>
      </w:rPr>
      <w:t xml:space="preserve">COM </w:t>
    </w:r>
    <w:r w:rsidR="00C56FC2">
      <w:rPr>
        <w:rFonts w:ascii="Arial" w:hAnsi="Arial" w:cs="Arial"/>
        <w:b/>
        <w:sz w:val="44"/>
        <w:szCs w:val="44"/>
        <w:lang w:val="pt-PT"/>
      </w:rPr>
      <w:t>4</w:t>
    </w:r>
    <w:r w:rsidR="00AC4027" w:rsidRPr="00232D65">
      <w:rPr>
        <w:rFonts w:ascii="Arial" w:hAnsi="Arial" w:cs="Arial"/>
        <w:b/>
        <w:sz w:val="44"/>
        <w:szCs w:val="44"/>
        <w:lang w:val="pt-PT"/>
      </w:rPr>
      <w:t xml:space="preserve"> BUR</w:t>
    </w:r>
  </w:p>
  <w:p w14:paraId="4AD38C3D" w14:textId="13619A41" w:rsidR="00E9376C" w:rsidRPr="00BE531A" w:rsidRDefault="008F09EC" w:rsidP="008F09EC">
    <w:pPr>
      <w:jc w:val="right"/>
      <w:rPr>
        <w:rFonts w:ascii="Arial" w:hAnsi="Arial" w:cs="Arial"/>
        <w:b/>
        <w:sz w:val="22"/>
        <w:szCs w:val="22"/>
        <w:lang w:val="pt-PT"/>
      </w:rPr>
    </w:pPr>
    <w:r w:rsidRPr="00C318BF">
      <w:rPr>
        <w:rFonts w:ascii="Arial" w:hAnsi="Arial" w:cs="Arial"/>
        <w:b/>
        <w:sz w:val="22"/>
        <w:szCs w:val="22"/>
        <w:lang w:val="pt-PT"/>
      </w:rPr>
      <w:t>LHE</w:t>
    </w:r>
    <w:r w:rsidR="00EA602C" w:rsidRPr="00C318BF">
      <w:rPr>
        <w:rFonts w:ascii="Arial" w:hAnsi="Arial" w:cs="Arial"/>
        <w:b/>
        <w:sz w:val="22"/>
        <w:szCs w:val="22"/>
        <w:lang w:val="pt-PT"/>
      </w:rPr>
      <w:t>/</w:t>
    </w:r>
    <w:r w:rsidR="00F13192">
      <w:rPr>
        <w:rFonts w:ascii="Arial" w:hAnsi="Arial" w:cs="Arial"/>
        <w:b/>
        <w:sz w:val="22"/>
        <w:szCs w:val="22"/>
        <w:lang w:val="pt-PT"/>
      </w:rPr>
      <w:t>2</w:t>
    </w:r>
    <w:r w:rsidR="00AE0806">
      <w:rPr>
        <w:rFonts w:ascii="Arial" w:hAnsi="Arial" w:cs="Arial"/>
        <w:b/>
        <w:sz w:val="22"/>
        <w:szCs w:val="22"/>
        <w:lang w:val="pt-PT"/>
      </w:rPr>
      <w:t>5</w:t>
    </w:r>
    <w:r w:rsidR="00E9376C" w:rsidRPr="00C318BF">
      <w:rPr>
        <w:rFonts w:ascii="Arial" w:hAnsi="Arial" w:cs="Arial"/>
        <w:b/>
        <w:sz w:val="22"/>
        <w:szCs w:val="22"/>
        <w:lang w:val="pt-PT"/>
      </w:rPr>
      <w:t>/</w:t>
    </w:r>
    <w:r w:rsidR="00AE0806" w:rsidRPr="00BE531A">
      <w:rPr>
        <w:rFonts w:ascii="Arial" w:hAnsi="Arial" w:cs="Arial"/>
        <w:b/>
        <w:sz w:val="22"/>
        <w:szCs w:val="22"/>
        <w:lang w:val="pt-PT"/>
      </w:rPr>
      <w:t>20</w:t>
    </w:r>
    <w:r w:rsidR="00E9376C" w:rsidRPr="00BE531A">
      <w:rPr>
        <w:rFonts w:ascii="Arial" w:hAnsi="Arial" w:cs="Arial"/>
        <w:b/>
        <w:sz w:val="22"/>
        <w:szCs w:val="22"/>
        <w:lang w:val="pt-PT"/>
      </w:rPr>
      <w:t>.</w:t>
    </w:r>
    <w:r w:rsidR="00AC4027" w:rsidRPr="00BE531A">
      <w:rPr>
        <w:rFonts w:ascii="Arial" w:hAnsi="Arial" w:cs="Arial"/>
        <w:b/>
        <w:sz w:val="22"/>
        <w:szCs w:val="22"/>
        <w:lang w:val="pt-PT"/>
      </w:rPr>
      <w:t>COM </w:t>
    </w:r>
    <w:r w:rsidR="00C56FC2" w:rsidRPr="00BE531A">
      <w:rPr>
        <w:rFonts w:ascii="Arial" w:hAnsi="Arial" w:cs="Arial"/>
        <w:b/>
        <w:sz w:val="22"/>
        <w:szCs w:val="22"/>
        <w:lang w:val="pt-PT"/>
      </w:rPr>
      <w:t>4</w:t>
    </w:r>
    <w:r w:rsidR="00AC4027" w:rsidRPr="00BE531A">
      <w:rPr>
        <w:rFonts w:ascii="Arial" w:hAnsi="Arial" w:cs="Arial"/>
        <w:b/>
        <w:sz w:val="22"/>
        <w:szCs w:val="22"/>
        <w:lang w:val="pt-PT"/>
      </w:rPr>
      <w:t>.BUR/</w:t>
    </w:r>
    <w:r w:rsidR="008554DF" w:rsidRPr="00BE531A">
      <w:rPr>
        <w:rFonts w:ascii="Arial" w:hAnsi="Arial" w:cs="Arial"/>
        <w:b/>
        <w:sz w:val="22"/>
        <w:szCs w:val="22"/>
        <w:lang w:val="pt-PT"/>
      </w:rPr>
      <w:t>Décisions</w:t>
    </w:r>
  </w:p>
  <w:p w14:paraId="30B7DEB9" w14:textId="5ED57CE1" w:rsidR="00E9376C" w:rsidRPr="00BE531A" w:rsidRDefault="008F09EC" w:rsidP="007E60C6">
    <w:pPr>
      <w:jc w:val="right"/>
      <w:rPr>
        <w:rFonts w:ascii="Arial" w:eastAsiaTheme="minorEastAsia" w:hAnsi="Arial" w:cs="Arial"/>
        <w:b/>
        <w:sz w:val="22"/>
        <w:szCs w:val="22"/>
        <w:lang w:val="pt-PT" w:eastAsia="ko-KR"/>
      </w:rPr>
    </w:pPr>
    <w:r w:rsidRPr="00BE531A">
      <w:rPr>
        <w:rFonts w:ascii="Arial" w:hAnsi="Arial" w:cs="Arial"/>
        <w:b/>
        <w:sz w:val="22"/>
        <w:szCs w:val="22"/>
        <w:lang w:val="pt-PT"/>
      </w:rPr>
      <w:t>Paris</w:t>
    </w:r>
    <w:r w:rsidR="00E9376C" w:rsidRPr="00BE531A">
      <w:rPr>
        <w:rFonts w:ascii="Arial" w:hAnsi="Arial" w:cs="Arial"/>
        <w:b/>
        <w:sz w:val="22"/>
        <w:szCs w:val="22"/>
        <w:lang w:val="pt-PT"/>
      </w:rPr>
      <w:t xml:space="preserve">, </w:t>
    </w:r>
    <w:r w:rsidR="00962119" w:rsidRPr="00BE531A">
      <w:rPr>
        <w:rFonts w:ascii="Arial" w:hAnsi="Arial" w:cs="Arial"/>
        <w:b/>
        <w:sz w:val="22"/>
        <w:szCs w:val="22"/>
        <w:lang w:val="pt-PT"/>
      </w:rPr>
      <w:t>le</w:t>
    </w:r>
    <w:r w:rsidR="006D7081" w:rsidRPr="00BE531A">
      <w:rPr>
        <w:rFonts w:ascii="Arial" w:hAnsi="Arial" w:cs="Arial"/>
        <w:b/>
        <w:sz w:val="22"/>
        <w:szCs w:val="22"/>
        <w:lang w:val="pt-PT"/>
      </w:rPr>
      <w:t xml:space="preserve"> </w:t>
    </w:r>
    <w:r w:rsidR="008554DF" w:rsidRPr="00BE531A">
      <w:rPr>
        <w:rFonts w:ascii="Arial" w:hAnsi="Arial" w:cs="Arial"/>
        <w:b/>
        <w:sz w:val="22"/>
        <w:szCs w:val="22"/>
        <w:lang w:val="pt-PT"/>
      </w:rPr>
      <w:t>2</w:t>
    </w:r>
    <w:r w:rsidR="00BE531A" w:rsidRPr="00BE531A">
      <w:rPr>
        <w:rFonts w:ascii="Arial" w:hAnsi="Arial" w:cs="Arial"/>
        <w:b/>
        <w:sz w:val="22"/>
        <w:szCs w:val="22"/>
        <w:lang w:val="pt-PT"/>
      </w:rPr>
      <w:t>8</w:t>
    </w:r>
    <w:r w:rsidR="00C56FC2" w:rsidRPr="00BE531A">
      <w:rPr>
        <w:rFonts w:ascii="Arial" w:hAnsi="Arial" w:cs="Arial"/>
        <w:b/>
        <w:sz w:val="22"/>
        <w:szCs w:val="22"/>
        <w:lang w:val="pt-PT"/>
      </w:rPr>
      <w:t xml:space="preserve"> octobre</w:t>
    </w:r>
    <w:r w:rsidR="00CC70DC" w:rsidRPr="00BE531A">
      <w:rPr>
        <w:rFonts w:ascii="Arial" w:hAnsi="Arial" w:cs="Arial"/>
        <w:b/>
        <w:sz w:val="22"/>
        <w:szCs w:val="22"/>
        <w:lang w:val="pt-PT"/>
      </w:rPr>
      <w:t xml:space="preserve"> </w:t>
    </w:r>
    <w:r w:rsidR="00495C25" w:rsidRPr="00BE531A">
      <w:rPr>
        <w:rFonts w:ascii="Arial" w:hAnsi="Arial" w:cs="Arial"/>
        <w:b/>
        <w:sz w:val="22"/>
        <w:szCs w:val="22"/>
        <w:lang w:val="pt-PT"/>
      </w:rPr>
      <w:t>20</w:t>
    </w:r>
    <w:r w:rsidR="00D520C1" w:rsidRPr="00BE531A">
      <w:rPr>
        <w:rFonts w:ascii="Arial" w:hAnsi="Arial" w:cs="Arial"/>
        <w:b/>
        <w:sz w:val="22"/>
        <w:szCs w:val="22"/>
        <w:lang w:val="pt-PT"/>
      </w:rPr>
      <w:t>2</w:t>
    </w:r>
    <w:r w:rsidR="00AE0806" w:rsidRPr="00BE531A">
      <w:rPr>
        <w:rFonts w:ascii="Arial" w:hAnsi="Arial" w:cs="Arial"/>
        <w:b/>
        <w:sz w:val="22"/>
        <w:szCs w:val="22"/>
        <w:lang w:val="pt-PT"/>
      </w:rPr>
      <w:t>5</w:t>
    </w:r>
  </w:p>
  <w:p w14:paraId="18E81B87" w14:textId="39D6FDD6" w:rsidR="00E9376C" w:rsidRPr="0020150F" w:rsidRDefault="00E9376C" w:rsidP="00F84A0B">
    <w:pPr>
      <w:spacing w:after="240"/>
      <w:jc w:val="right"/>
      <w:rPr>
        <w:rFonts w:ascii="Arial" w:hAnsi="Arial" w:cs="Arial"/>
        <w:b/>
        <w:sz w:val="22"/>
        <w:szCs w:val="22"/>
      </w:rPr>
    </w:pPr>
    <w:r w:rsidRPr="00BE531A">
      <w:rPr>
        <w:rFonts w:ascii="Arial" w:hAnsi="Arial" w:cs="Arial"/>
        <w:b/>
        <w:sz w:val="22"/>
        <w:szCs w:val="22"/>
      </w:rPr>
      <w:t>Original</w:t>
    </w:r>
    <w:r w:rsidR="003E2A08" w:rsidRPr="00BE531A">
      <w:rPr>
        <w:rFonts w:ascii="Arial" w:hAnsi="Arial" w:cs="Arial"/>
        <w:b/>
        <w:sz w:val="22"/>
        <w:szCs w:val="22"/>
      </w:rPr>
      <w:t> </w:t>
    </w:r>
    <w:r w:rsidRPr="00BE531A">
      <w:rPr>
        <w:rFonts w:ascii="Arial" w:hAnsi="Arial" w:cs="Arial"/>
        <w:b/>
        <w:sz w:val="22"/>
        <w:szCs w:val="22"/>
      </w:rPr>
      <w:t xml:space="preserve">: </w:t>
    </w:r>
    <w:r w:rsidR="002B0CB6" w:rsidRPr="00BE531A">
      <w:rPr>
        <w:rFonts w:ascii="Arial" w:hAnsi="Arial" w:cs="Arial"/>
        <w:b/>
        <w:sz w:val="22"/>
        <w:szCs w:val="22"/>
      </w:rPr>
      <w:t>anglais</w:t>
    </w:r>
    <w:r w:rsidR="008554DF">
      <w:rPr>
        <w:rFonts w:ascii="Arial" w:hAnsi="Arial" w:cs="Arial"/>
        <w:b/>
        <w:sz w:val="22"/>
        <w:szCs w:val="22"/>
      </w:rPr>
      <w:t>/français</w:t>
    </w:r>
  </w:p>
  <w:p w14:paraId="1B74C5FD" w14:textId="77777777" w:rsidR="00E9376C" w:rsidRPr="008B64DF" w:rsidRDefault="00E9376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050957"/>
    <w:multiLevelType w:val="hybridMultilevel"/>
    <w:tmpl w:val="142086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E2D83"/>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5" w15:restartNumberingAfterBreak="0">
    <w:nsid w:val="23342C71"/>
    <w:multiLevelType w:val="hybridMultilevel"/>
    <w:tmpl w:val="835ABCCE"/>
    <w:lvl w:ilvl="0" w:tplc="1832A8A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2CD51F2A"/>
    <w:multiLevelType w:val="hybridMultilevel"/>
    <w:tmpl w:val="2D1866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1A1C2972"/>
    <w:lvl w:ilvl="0" w:tplc="6FB8652A">
      <w:start w:val="1"/>
      <w:numFmt w:val="decimal"/>
      <w:pStyle w:val="COM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41360434"/>
    <w:lvl w:ilvl="0" w:tplc="B35A244C">
      <w:start w:val="1"/>
      <w:numFmt w:val="decimal"/>
      <w:pStyle w:val="COMParaDecis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2" w15:restartNumberingAfterBreak="0">
    <w:nsid w:val="467D7A07"/>
    <w:multiLevelType w:val="hybridMultilevel"/>
    <w:tmpl w:val="E3525614"/>
    <w:lvl w:ilvl="0" w:tplc="FFFFFFFF">
      <w:start w:val="1"/>
      <w:numFmt w:val="lowerRoman"/>
      <w:lvlText w:val="%1."/>
      <w:lvlJc w:val="right"/>
      <w:pPr>
        <w:ind w:left="1854" w:hanging="360"/>
      </w:pPr>
    </w:lvl>
    <w:lvl w:ilvl="1" w:tplc="0409001B">
      <w:start w:val="1"/>
      <w:numFmt w:val="lowerRoman"/>
      <w:lvlText w:val="%2."/>
      <w:lvlJc w:val="righ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4CD07A3F"/>
    <w:multiLevelType w:val="hybridMultilevel"/>
    <w:tmpl w:val="B3E257C4"/>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abstractNum w:abstractNumId="14" w15:restartNumberingAfterBreak="0">
    <w:nsid w:val="520A0815"/>
    <w:multiLevelType w:val="hybridMultilevel"/>
    <w:tmpl w:val="5B7886E6"/>
    <w:lvl w:ilvl="0" w:tplc="2BB8A730">
      <w:start w:val="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5" w15:restartNumberingAfterBreak="0">
    <w:nsid w:val="55961390"/>
    <w:multiLevelType w:val="hybridMultilevel"/>
    <w:tmpl w:val="50E4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7"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D104979"/>
    <w:multiLevelType w:val="hybridMultilevel"/>
    <w:tmpl w:val="F7808A7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947647"/>
    <w:multiLevelType w:val="hybridMultilevel"/>
    <w:tmpl w:val="0F548C90"/>
    <w:lvl w:ilvl="0" w:tplc="FFFFFFFF">
      <w:start w:val="1"/>
      <w:numFmt w:val="decimal"/>
      <w:lvlText w:val="%1."/>
      <w:lvlJc w:val="left"/>
      <w:pPr>
        <w:ind w:left="1069" w:hanging="360"/>
      </w:pPr>
      <w:rPr>
        <w:rFonts w:hint="default"/>
      </w:rPr>
    </w:lvl>
    <w:lvl w:ilvl="1" w:tplc="1C88E07E">
      <w:start w:val="1"/>
      <w:numFmt w:val="lowerRoman"/>
      <w:lvlText w:val="%2."/>
      <w:lvlJc w:val="left"/>
      <w:pPr>
        <w:ind w:left="3060" w:hanging="720"/>
      </w:pPr>
      <w:rPr>
        <w:rFonts w:hint="default"/>
      </w:r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0" w15:restartNumberingAfterBreak="0">
    <w:nsid w:val="7231004D"/>
    <w:multiLevelType w:val="hybridMultilevel"/>
    <w:tmpl w:val="2DA6A8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78727E8A"/>
    <w:multiLevelType w:val="hybridMultilevel"/>
    <w:tmpl w:val="9EEAEEE6"/>
    <w:lvl w:ilvl="0" w:tplc="74E29F06">
      <w:start w:val="1"/>
      <w:numFmt w:val="lowerRoman"/>
      <w:lvlText w:val="%1)"/>
      <w:lvlJc w:val="left"/>
      <w:pPr>
        <w:ind w:left="1069" w:hanging="360"/>
      </w:pPr>
      <w:rPr>
        <w:rFonts w:ascii="Arial" w:eastAsia="SimSun" w:hAnsi="Arial" w:cs="Arial"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39189010">
    <w:abstractNumId w:val="16"/>
  </w:num>
  <w:num w:numId="2" w16cid:durableId="1636250750">
    <w:abstractNumId w:val="9"/>
  </w:num>
  <w:num w:numId="3" w16cid:durableId="449670136">
    <w:abstractNumId w:val="1"/>
  </w:num>
  <w:num w:numId="4" w16cid:durableId="1849517735">
    <w:abstractNumId w:val="22"/>
  </w:num>
  <w:num w:numId="5" w16cid:durableId="2019426326">
    <w:abstractNumId w:val="17"/>
  </w:num>
  <w:num w:numId="6" w16cid:durableId="65031867">
    <w:abstractNumId w:val="0"/>
  </w:num>
  <w:num w:numId="7" w16cid:durableId="1649242412">
    <w:abstractNumId w:val="2"/>
  </w:num>
  <w:num w:numId="8" w16cid:durableId="913710126">
    <w:abstractNumId w:val="11"/>
  </w:num>
  <w:num w:numId="9" w16cid:durableId="1759131835">
    <w:abstractNumId w:val="8"/>
  </w:num>
  <w:num w:numId="10" w16cid:durableId="1966619608">
    <w:abstractNumId w:val="10"/>
  </w:num>
  <w:num w:numId="11" w16cid:durableId="1455564123">
    <w:abstractNumId w:val="7"/>
  </w:num>
  <w:num w:numId="12" w16cid:durableId="1828742323">
    <w:abstractNumId w:val="5"/>
  </w:num>
  <w:num w:numId="13" w16cid:durableId="49302815">
    <w:abstractNumId w:val="15"/>
  </w:num>
  <w:num w:numId="14" w16cid:durableId="998508841">
    <w:abstractNumId w:val="3"/>
  </w:num>
  <w:num w:numId="15" w16cid:durableId="153885044">
    <w:abstractNumId w:val="18"/>
  </w:num>
  <w:num w:numId="16" w16cid:durableId="909190638">
    <w:abstractNumId w:val="14"/>
  </w:num>
  <w:num w:numId="17" w16cid:durableId="599069835">
    <w:abstractNumId w:val="10"/>
    <w:lvlOverride w:ilvl="0">
      <w:startOverride w:val="1"/>
    </w:lvlOverride>
  </w:num>
  <w:num w:numId="18" w16cid:durableId="1517572485">
    <w:abstractNumId w:val="20"/>
  </w:num>
  <w:num w:numId="19" w16cid:durableId="1328285901">
    <w:abstractNumId w:val="21"/>
  </w:num>
  <w:num w:numId="20" w16cid:durableId="689600904">
    <w:abstractNumId w:val="6"/>
  </w:num>
  <w:num w:numId="21" w16cid:durableId="1105227633">
    <w:abstractNumId w:val="4"/>
  </w:num>
  <w:num w:numId="22" w16cid:durableId="1517115588">
    <w:abstractNumId w:val="19"/>
  </w:num>
  <w:num w:numId="23" w16cid:durableId="672876287">
    <w:abstractNumId w:val="13"/>
  </w:num>
  <w:num w:numId="24" w16cid:durableId="8641743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7168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02C"/>
    <w:rsid w:val="00020BFC"/>
    <w:rsid w:val="00022428"/>
    <w:rsid w:val="00022BF7"/>
    <w:rsid w:val="00024F52"/>
    <w:rsid w:val="000263BA"/>
    <w:rsid w:val="00034D0C"/>
    <w:rsid w:val="0003530D"/>
    <w:rsid w:val="0005176E"/>
    <w:rsid w:val="00077AB7"/>
    <w:rsid w:val="00081CD8"/>
    <w:rsid w:val="0008329C"/>
    <w:rsid w:val="000968FB"/>
    <w:rsid w:val="000A7F0E"/>
    <w:rsid w:val="000E6CD7"/>
    <w:rsid w:val="000F3A3F"/>
    <w:rsid w:val="00130D3D"/>
    <w:rsid w:val="00164D56"/>
    <w:rsid w:val="00165170"/>
    <w:rsid w:val="00167B10"/>
    <w:rsid w:val="0019264E"/>
    <w:rsid w:val="00196C1B"/>
    <w:rsid w:val="001A21B4"/>
    <w:rsid w:val="001A2FC9"/>
    <w:rsid w:val="001A766C"/>
    <w:rsid w:val="001B0F73"/>
    <w:rsid w:val="0020150F"/>
    <w:rsid w:val="002137DD"/>
    <w:rsid w:val="00222A2D"/>
    <w:rsid w:val="002407AF"/>
    <w:rsid w:val="00280D62"/>
    <w:rsid w:val="002A6C11"/>
    <w:rsid w:val="002A6F73"/>
    <w:rsid w:val="002B0CB6"/>
    <w:rsid w:val="002B0F69"/>
    <w:rsid w:val="002C0D14"/>
    <w:rsid w:val="002C1011"/>
    <w:rsid w:val="002E2F53"/>
    <w:rsid w:val="002E3D25"/>
    <w:rsid w:val="002E58D4"/>
    <w:rsid w:val="0032583C"/>
    <w:rsid w:val="003732E4"/>
    <w:rsid w:val="00377A88"/>
    <w:rsid w:val="003845BE"/>
    <w:rsid w:val="003C1678"/>
    <w:rsid w:val="003D069C"/>
    <w:rsid w:val="003E07D8"/>
    <w:rsid w:val="003E2A08"/>
    <w:rsid w:val="003F113A"/>
    <w:rsid w:val="003F3974"/>
    <w:rsid w:val="004239C7"/>
    <w:rsid w:val="00440F9B"/>
    <w:rsid w:val="004421E5"/>
    <w:rsid w:val="00443880"/>
    <w:rsid w:val="00452284"/>
    <w:rsid w:val="00461168"/>
    <w:rsid w:val="00467FBE"/>
    <w:rsid w:val="00486948"/>
    <w:rsid w:val="00495C25"/>
    <w:rsid w:val="0049705E"/>
    <w:rsid w:val="005158FF"/>
    <w:rsid w:val="00526B7B"/>
    <w:rsid w:val="005308CE"/>
    <w:rsid w:val="005678AF"/>
    <w:rsid w:val="0057439C"/>
    <w:rsid w:val="005B0127"/>
    <w:rsid w:val="005C094D"/>
    <w:rsid w:val="005C4B73"/>
    <w:rsid w:val="00600D93"/>
    <w:rsid w:val="00616C7B"/>
    <w:rsid w:val="00627C5C"/>
    <w:rsid w:val="00655736"/>
    <w:rsid w:val="00663B8D"/>
    <w:rsid w:val="006923BD"/>
    <w:rsid w:val="00694FEA"/>
    <w:rsid w:val="00696C8D"/>
    <w:rsid w:val="006A2AC2"/>
    <w:rsid w:val="006A3317"/>
    <w:rsid w:val="006A3617"/>
    <w:rsid w:val="006B5001"/>
    <w:rsid w:val="006B5788"/>
    <w:rsid w:val="006D21D9"/>
    <w:rsid w:val="006D2536"/>
    <w:rsid w:val="006D7081"/>
    <w:rsid w:val="006E2BE8"/>
    <w:rsid w:val="006E46E4"/>
    <w:rsid w:val="00717AAB"/>
    <w:rsid w:val="00717DBD"/>
    <w:rsid w:val="00741016"/>
    <w:rsid w:val="00764CF9"/>
    <w:rsid w:val="00784B8C"/>
    <w:rsid w:val="007A000F"/>
    <w:rsid w:val="007B2D92"/>
    <w:rsid w:val="007C354B"/>
    <w:rsid w:val="007E60C6"/>
    <w:rsid w:val="007E632B"/>
    <w:rsid w:val="007F41BC"/>
    <w:rsid w:val="008064F0"/>
    <w:rsid w:val="00823A11"/>
    <w:rsid w:val="00824EF7"/>
    <w:rsid w:val="0085414A"/>
    <w:rsid w:val="008554DF"/>
    <w:rsid w:val="0086269D"/>
    <w:rsid w:val="00863302"/>
    <w:rsid w:val="008712A2"/>
    <w:rsid w:val="00871C8F"/>
    <w:rsid w:val="008724B0"/>
    <w:rsid w:val="008724E5"/>
    <w:rsid w:val="0088270B"/>
    <w:rsid w:val="00884A9D"/>
    <w:rsid w:val="008A4E1E"/>
    <w:rsid w:val="008B64DF"/>
    <w:rsid w:val="008C0E44"/>
    <w:rsid w:val="008C296C"/>
    <w:rsid w:val="008D4305"/>
    <w:rsid w:val="008D4D0D"/>
    <w:rsid w:val="008E67D8"/>
    <w:rsid w:val="008F09EC"/>
    <w:rsid w:val="00913D86"/>
    <w:rsid w:val="009163A7"/>
    <w:rsid w:val="00922E3E"/>
    <w:rsid w:val="00933C6B"/>
    <w:rsid w:val="009378A5"/>
    <w:rsid w:val="00950F68"/>
    <w:rsid w:val="00962119"/>
    <w:rsid w:val="00974249"/>
    <w:rsid w:val="00993211"/>
    <w:rsid w:val="009A18CD"/>
    <w:rsid w:val="009B223B"/>
    <w:rsid w:val="009B5302"/>
    <w:rsid w:val="009E1B50"/>
    <w:rsid w:val="00A12558"/>
    <w:rsid w:val="00A13903"/>
    <w:rsid w:val="00A22951"/>
    <w:rsid w:val="00A34ED5"/>
    <w:rsid w:val="00A379A2"/>
    <w:rsid w:val="00A45DBF"/>
    <w:rsid w:val="00A61C6E"/>
    <w:rsid w:val="00A64363"/>
    <w:rsid w:val="00A755A2"/>
    <w:rsid w:val="00A90761"/>
    <w:rsid w:val="00AB2C36"/>
    <w:rsid w:val="00AC4027"/>
    <w:rsid w:val="00AD1A86"/>
    <w:rsid w:val="00AE0806"/>
    <w:rsid w:val="00AE103E"/>
    <w:rsid w:val="00AE3322"/>
    <w:rsid w:val="00AF0A07"/>
    <w:rsid w:val="00AF5AE5"/>
    <w:rsid w:val="00AF625E"/>
    <w:rsid w:val="00AF721B"/>
    <w:rsid w:val="00B152B1"/>
    <w:rsid w:val="00B1630F"/>
    <w:rsid w:val="00B43974"/>
    <w:rsid w:val="00B45750"/>
    <w:rsid w:val="00B607FC"/>
    <w:rsid w:val="00B90701"/>
    <w:rsid w:val="00BC3420"/>
    <w:rsid w:val="00BD52C9"/>
    <w:rsid w:val="00BE531A"/>
    <w:rsid w:val="00BE6354"/>
    <w:rsid w:val="00C02886"/>
    <w:rsid w:val="00C06C42"/>
    <w:rsid w:val="00C109FD"/>
    <w:rsid w:val="00C318BF"/>
    <w:rsid w:val="00C358C4"/>
    <w:rsid w:val="00C377F5"/>
    <w:rsid w:val="00C4434C"/>
    <w:rsid w:val="00C56FC2"/>
    <w:rsid w:val="00C70EA7"/>
    <w:rsid w:val="00C7516E"/>
    <w:rsid w:val="00C9264A"/>
    <w:rsid w:val="00CA004B"/>
    <w:rsid w:val="00CB6BA6"/>
    <w:rsid w:val="00CC70DC"/>
    <w:rsid w:val="00D02494"/>
    <w:rsid w:val="00D24877"/>
    <w:rsid w:val="00D456EB"/>
    <w:rsid w:val="00D520C1"/>
    <w:rsid w:val="00D74F02"/>
    <w:rsid w:val="00D75D42"/>
    <w:rsid w:val="00DA36ED"/>
    <w:rsid w:val="00DB4A84"/>
    <w:rsid w:val="00DC0F3C"/>
    <w:rsid w:val="00DC2A0B"/>
    <w:rsid w:val="00DE34F1"/>
    <w:rsid w:val="00DF4942"/>
    <w:rsid w:val="00E22288"/>
    <w:rsid w:val="00E60B9D"/>
    <w:rsid w:val="00E627B1"/>
    <w:rsid w:val="00E62B4C"/>
    <w:rsid w:val="00E86828"/>
    <w:rsid w:val="00E9376C"/>
    <w:rsid w:val="00EA602C"/>
    <w:rsid w:val="00ED3691"/>
    <w:rsid w:val="00EF0DCC"/>
    <w:rsid w:val="00EF74E3"/>
    <w:rsid w:val="00F13192"/>
    <w:rsid w:val="00F134B7"/>
    <w:rsid w:val="00F4581D"/>
    <w:rsid w:val="00F576CB"/>
    <w:rsid w:val="00F62B05"/>
    <w:rsid w:val="00F84A0B"/>
    <w:rsid w:val="00F84A91"/>
    <w:rsid w:val="00FC2940"/>
    <w:rsid w:val="00FC4715"/>
    <w:rsid w:val="00FD122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A776BAF"/>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C3420"/>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2E58D4"/>
    <w:pPr>
      <w:keepNext/>
      <w:numPr>
        <w:numId w:val="11"/>
      </w:numPr>
      <w:spacing w:before="360" w:after="240"/>
      <w:ind w:hanging="72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9"/>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numPr>
        <w:numId w:val="10"/>
      </w:numPr>
      <w:autoSpaceDE w:val="0"/>
      <w:autoSpaceDN w:val="0"/>
      <w:adjustRightInd w:val="0"/>
      <w:spacing w:after="120"/>
      <w:ind w:left="1134" w:hanging="567"/>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basedOn w:val="Normal"/>
    <w:uiPriority w:val="34"/>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styleId="Revision">
    <w:name w:val="Revision"/>
    <w:hidden/>
    <w:uiPriority w:val="99"/>
    <w:semiHidden/>
    <w:rsid w:val="00DC2A0B"/>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024F52"/>
    <w:rPr>
      <w:sz w:val="20"/>
      <w:szCs w:val="20"/>
    </w:rPr>
  </w:style>
  <w:style w:type="character" w:customStyle="1" w:styleId="FootnoteTextChar">
    <w:name w:val="Footnote Text Char"/>
    <w:basedOn w:val="DefaultParagraphFont"/>
    <w:link w:val="FootnoteText"/>
    <w:uiPriority w:val="99"/>
    <w:semiHidden/>
    <w:rsid w:val="00024F52"/>
    <w:rPr>
      <w:rFonts w:ascii="Times New Roman" w:eastAsia="Times New Roman" w:hAnsi="Times New Roman"/>
    </w:rPr>
  </w:style>
  <w:style w:type="character" w:styleId="FootnoteReference">
    <w:name w:val="footnote reference"/>
    <w:basedOn w:val="DefaultParagraphFont"/>
    <w:uiPriority w:val="99"/>
    <w:semiHidden/>
    <w:unhideWhenUsed/>
    <w:rsid w:val="00024F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download.php?versionID=69812" TargetMode="External"/><Relationship Id="rId13" Type="http://schemas.openxmlformats.org/officeDocument/2006/relationships/hyperlink" Target="https://cienarte.org/"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h.unesco.org/fr/materiel-renforcement-capacit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doc/src/50279-FR.pdf" TargetMode="External"/><Relationship Id="rId5" Type="http://schemas.openxmlformats.org/officeDocument/2006/relationships/webSettings" Target="webSettings.xml"/><Relationship Id="rId15" Type="http://schemas.openxmlformats.org/officeDocument/2006/relationships/hyperlink" Target="https://ich.unesco.org/fr/individual-case-study-art18-01377?id=12" TargetMode="External"/><Relationship Id="rId10" Type="http://schemas.openxmlformats.org/officeDocument/2006/relationships/hyperlink" Target="https://ich.unesco.org/fr/USL/traditional-hand-puppetry-0137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ch.unesco.org/doc/download.php?versionID=69812" TargetMode="External"/><Relationship Id="rId14" Type="http://schemas.openxmlformats.org/officeDocument/2006/relationships/hyperlink" Target="https://ich.unesco.org/fr/assistances/the-bandoneon-sound-of-tango-01634"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fr/assistances/the-bandoneon-sound-of-tango-01634" TargetMode="External"/><Relationship Id="rId2" Type="http://schemas.openxmlformats.org/officeDocument/2006/relationships/hyperlink" Target="https://ich.unesco.org/fr/assistances/documentation-promotion-and-dissemination-of-the-candombe-traditional-drum-calls-expressions-of-identity-of-the-sur-palermo-and-cordon-neighbourhoods-in-the-city-of-montevideo-00555" TargetMode="External"/><Relationship Id="rId1" Type="http://schemas.openxmlformats.org/officeDocument/2006/relationships/hyperlink" Target="https://ich.unesco.org/fr/assistances/inventory-of-intangible-culture-of-craftsmanship-in-the-core-of-historic-cairo-01633"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EB52B-5D0D-4AF3-ABDF-CEE7C65683FB}">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document_FR</Template>
  <TotalTime>158</TotalTime>
  <Pages>12</Pages>
  <Words>5754</Words>
  <Characters>31652</Characters>
  <Application>Microsoft Office Word</Application>
  <DocSecurity>0</DocSecurity>
  <Lines>263</Lines>
  <Paragraphs>74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UNESCO</Company>
  <LinksUpToDate>false</LinksUpToDate>
  <CharactersWithSpaces>37332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d.kim@unesco.org</dc:creator>
  <cp:lastModifiedBy>Nakata Glenat, Keiichi Julien</cp:lastModifiedBy>
  <cp:revision>44</cp:revision>
  <cp:lastPrinted>2011-08-06T10:22:00Z</cp:lastPrinted>
  <dcterms:created xsi:type="dcterms:W3CDTF">2021-07-19T09:20:00Z</dcterms:created>
  <dcterms:modified xsi:type="dcterms:W3CDTF">2025-10-28T09:34:00Z</dcterms:modified>
</cp:coreProperties>
</file>