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72B1D3"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5AF235F" w14:textId="77777777" w:rsidR="004E1760" w:rsidRPr="00232D65" w:rsidRDefault="004E1760" w:rsidP="004E1760">
      <w:pPr>
        <w:spacing w:before="840"/>
        <w:jc w:val="center"/>
        <w:rPr>
          <w:rFonts w:ascii="Arial" w:hAnsi="Arial" w:cs="Arial"/>
          <w:b/>
          <w:sz w:val="22"/>
          <w:szCs w:val="22"/>
          <w:lang w:val="en-US"/>
        </w:rPr>
      </w:pPr>
      <w:r w:rsidRPr="00232D65">
        <w:rPr>
          <w:rFonts w:ascii="Arial" w:hAnsi="Arial" w:cs="Arial"/>
          <w:b/>
          <w:sz w:val="22"/>
          <w:szCs w:val="22"/>
          <w:lang w:val="en-US"/>
        </w:rPr>
        <w:t>Meeting of the Bureau</w:t>
      </w:r>
    </w:p>
    <w:p w14:paraId="1FD89575" w14:textId="2168BB70" w:rsidR="00B2172B" w:rsidRPr="00B2172B" w:rsidRDefault="006D64BE" w:rsidP="004E1760">
      <w:pPr>
        <w:spacing w:before="840"/>
        <w:jc w:val="center"/>
        <w:rPr>
          <w:rFonts w:ascii="Arial" w:hAnsi="Arial" w:cs="Arial"/>
          <w:b/>
          <w:sz w:val="22"/>
          <w:szCs w:val="22"/>
          <w:lang w:val="en-GB"/>
        </w:rPr>
      </w:pPr>
      <w:r>
        <w:rPr>
          <w:rFonts w:ascii="Arial" w:hAnsi="Arial" w:cs="Arial"/>
          <w:b/>
          <w:sz w:val="22"/>
          <w:szCs w:val="22"/>
          <w:lang w:val="en-GB"/>
        </w:rPr>
        <w:t>UNESCO Headquarters, Room VI</w:t>
      </w:r>
      <w:r w:rsidR="00B1744F">
        <w:rPr>
          <w:rFonts w:ascii="Arial" w:hAnsi="Arial" w:cs="Arial"/>
          <w:b/>
          <w:sz w:val="22"/>
          <w:szCs w:val="22"/>
          <w:lang w:val="en-GB"/>
        </w:rPr>
        <w:t>II</w:t>
      </w:r>
    </w:p>
    <w:p w14:paraId="15705A60" w14:textId="6EAF5F73" w:rsidR="004E1760" w:rsidRPr="00A54AF9" w:rsidRDefault="007B509C" w:rsidP="004E1760">
      <w:pPr>
        <w:jc w:val="center"/>
        <w:rPr>
          <w:rFonts w:ascii="Arial" w:hAnsi="Arial" w:cs="Arial"/>
          <w:b/>
          <w:sz w:val="22"/>
          <w:szCs w:val="22"/>
          <w:lang w:val="en-GB"/>
        </w:rPr>
      </w:pPr>
      <w:r>
        <w:rPr>
          <w:rFonts w:ascii="Arial" w:hAnsi="Arial" w:cs="Arial"/>
          <w:b/>
          <w:sz w:val="22"/>
          <w:szCs w:val="22"/>
          <w:lang w:val="en-GB"/>
        </w:rPr>
        <w:t xml:space="preserve">23 October </w:t>
      </w:r>
      <w:r w:rsidR="004E1760" w:rsidRPr="00A54AF9">
        <w:rPr>
          <w:rFonts w:ascii="Arial" w:hAnsi="Arial" w:cs="Arial"/>
          <w:b/>
          <w:sz w:val="22"/>
          <w:szCs w:val="22"/>
          <w:lang w:val="en-GB"/>
        </w:rPr>
        <w:t>202</w:t>
      </w:r>
      <w:r w:rsidR="00C27AC2">
        <w:rPr>
          <w:rFonts w:ascii="Arial" w:hAnsi="Arial" w:cs="Arial"/>
          <w:b/>
          <w:sz w:val="22"/>
          <w:szCs w:val="22"/>
          <w:lang w:val="en-GB"/>
        </w:rPr>
        <w:t>5</w:t>
      </w:r>
    </w:p>
    <w:p w14:paraId="1247CCBC" w14:textId="4D455DF4" w:rsidR="004E1760" w:rsidRPr="00A54AF9" w:rsidRDefault="009C026C" w:rsidP="004E1760">
      <w:pPr>
        <w:jc w:val="center"/>
        <w:rPr>
          <w:rFonts w:ascii="Arial" w:hAnsi="Arial" w:cs="Arial"/>
          <w:b/>
          <w:sz w:val="22"/>
          <w:szCs w:val="22"/>
          <w:lang w:val="en-GB"/>
        </w:rPr>
      </w:pPr>
      <w:r>
        <w:rPr>
          <w:rFonts w:ascii="Arial" w:hAnsi="Arial" w:cs="Arial"/>
          <w:b/>
          <w:sz w:val="22"/>
          <w:szCs w:val="22"/>
          <w:lang w:val="en-GB"/>
        </w:rPr>
        <w:t>10 a</w:t>
      </w:r>
      <w:r w:rsidR="004E1760" w:rsidRPr="00A54AF9">
        <w:rPr>
          <w:rFonts w:ascii="Arial" w:hAnsi="Arial" w:cs="Arial"/>
          <w:b/>
          <w:sz w:val="22"/>
          <w:szCs w:val="22"/>
          <w:lang w:val="en-GB"/>
        </w:rPr>
        <w:t xml:space="preserve">.m. – </w:t>
      </w:r>
      <w:r>
        <w:rPr>
          <w:rFonts w:ascii="Arial" w:hAnsi="Arial" w:cs="Arial"/>
          <w:b/>
          <w:sz w:val="22"/>
          <w:szCs w:val="22"/>
          <w:lang w:val="en-GB"/>
        </w:rPr>
        <w:t>1</w:t>
      </w:r>
      <w:r w:rsidR="00BB0B50">
        <w:rPr>
          <w:rFonts w:ascii="Arial" w:hAnsi="Arial" w:cs="Arial"/>
          <w:b/>
          <w:sz w:val="22"/>
          <w:szCs w:val="22"/>
          <w:lang w:val="en-GB"/>
        </w:rPr>
        <w:t xml:space="preserve"> p</w:t>
      </w:r>
      <w:r w:rsidR="004E1760" w:rsidRPr="00A54AF9">
        <w:rPr>
          <w:rFonts w:ascii="Arial" w:hAnsi="Arial" w:cs="Arial"/>
          <w:b/>
          <w:sz w:val="22"/>
          <w:szCs w:val="22"/>
          <w:lang w:val="en-GB"/>
        </w:rPr>
        <w:t>.m.</w:t>
      </w:r>
    </w:p>
    <w:p w14:paraId="59920478" w14:textId="1D7F7131" w:rsidR="004A2875" w:rsidRPr="00293C60" w:rsidRDefault="002C796D" w:rsidP="002C796D">
      <w:pPr>
        <w:pStyle w:val="Sansinterligne2"/>
        <w:spacing w:before="1200"/>
        <w:jc w:val="center"/>
        <w:rPr>
          <w:rFonts w:ascii="Arial" w:hAnsi="Arial" w:cs="Arial"/>
          <w:b/>
          <w:sz w:val="22"/>
          <w:szCs w:val="22"/>
          <w:lang w:val="en-GB"/>
        </w:rPr>
      </w:pPr>
      <w:r>
        <w:rPr>
          <w:rFonts w:ascii="Arial" w:hAnsi="Arial" w:cs="Arial"/>
          <w:b/>
          <w:sz w:val="22"/>
          <w:szCs w:val="22"/>
          <w:u w:val="single"/>
          <w:lang w:val="en-GB"/>
        </w:rPr>
        <w:t>DECISIONS</w:t>
      </w:r>
    </w:p>
    <w:p w14:paraId="17CEFFCE" w14:textId="22EAC1D3" w:rsidR="002C796D" w:rsidRPr="00FD624F" w:rsidRDefault="00655736" w:rsidP="002C796D">
      <w:pPr>
        <w:pStyle w:val="COMTitleDecision"/>
        <w:ind w:left="0"/>
        <w:rPr>
          <w:rFonts w:eastAsia="SimSun"/>
        </w:rPr>
      </w:pPr>
      <w:r w:rsidRPr="002C796D">
        <w:rPr>
          <w:lang w:val="en-US"/>
        </w:rPr>
        <w:br w:type="page"/>
      </w:r>
      <w:r w:rsidR="002C796D">
        <w:lastRenderedPageBreak/>
        <w:t>DECISION 20.COM</w:t>
      </w:r>
      <w:r w:rsidR="002C796D">
        <w:rPr>
          <w:lang w:val="en-US"/>
        </w:rPr>
        <w:t> </w:t>
      </w:r>
      <w:r w:rsidR="002C796D">
        <w:t>4</w:t>
      </w:r>
      <w:r w:rsidR="002C796D" w:rsidRPr="0080497A">
        <w:t>.</w:t>
      </w:r>
      <w:r w:rsidR="002C796D" w:rsidRPr="000363E7">
        <w:t>BUR</w:t>
      </w:r>
      <w:r w:rsidR="002C796D">
        <w:t xml:space="preserve"> 2</w:t>
      </w:r>
    </w:p>
    <w:p w14:paraId="7B385048" w14:textId="77777777" w:rsidR="002C796D" w:rsidRPr="00285BB4" w:rsidRDefault="002C796D" w:rsidP="002C796D">
      <w:pPr>
        <w:pStyle w:val="COMPreambulaDecisions"/>
        <w:ind w:left="0"/>
        <w:rPr>
          <w:rFonts w:eastAsia="SimSun"/>
        </w:rPr>
      </w:pPr>
      <w:r w:rsidRPr="00285BB4">
        <w:t xml:space="preserve">The </w:t>
      </w:r>
      <w:r>
        <w:t>Bureau</w:t>
      </w:r>
      <w:r w:rsidRPr="00285BB4">
        <w:t>,</w:t>
      </w:r>
    </w:p>
    <w:p w14:paraId="3A6CE12D" w14:textId="77777777" w:rsidR="002C796D" w:rsidRPr="00345CB4" w:rsidRDefault="002C796D" w:rsidP="002C796D">
      <w:pPr>
        <w:pStyle w:val="COMParaDecision"/>
        <w:ind w:left="567"/>
      </w:pPr>
      <w:r w:rsidRPr="00345CB4">
        <w:t>Having examined</w:t>
      </w:r>
      <w:r w:rsidRPr="00F32C23">
        <w:rPr>
          <w:u w:val="none"/>
        </w:rPr>
        <w:t xml:space="preserve"> doc</w:t>
      </w:r>
      <w:r>
        <w:rPr>
          <w:u w:val="none"/>
        </w:rPr>
        <w:t>ument LHE/25/20</w:t>
      </w:r>
      <w:r w:rsidRPr="00F32C23">
        <w:rPr>
          <w:u w:val="none"/>
        </w:rPr>
        <w:t>.</w:t>
      </w:r>
      <w:r w:rsidRPr="00882F68">
        <w:rPr>
          <w:u w:val="none"/>
        </w:rPr>
        <w:t>COM</w:t>
      </w:r>
      <w:r>
        <w:rPr>
          <w:u w:val="none"/>
          <w:lang w:val="en-US"/>
        </w:rPr>
        <w:t> 4</w:t>
      </w:r>
      <w:r w:rsidRPr="00882F68">
        <w:rPr>
          <w:u w:val="none"/>
        </w:rPr>
        <w:t>.BUR/</w:t>
      </w:r>
      <w:r>
        <w:rPr>
          <w:u w:val="none"/>
        </w:rPr>
        <w:t xml:space="preserve">2 and its annex, </w:t>
      </w:r>
    </w:p>
    <w:p w14:paraId="7E076179" w14:textId="77777777" w:rsidR="002C796D" w:rsidRDefault="002C796D" w:rsidP="002C796D">
      <w:pPr>
        <w:pStyle w:val="COMParaDecision"/>
        <w:ind w:left="567"/>
      </w:pPr>
      <w:r>
        <w:t>Adopts</w:t>
      </w:r>
      <w:r w:rsidRPr="00517FD8">
        <w:rPr>
          <w:u w:val="none"/>
        </w:rPr>
        <w:t xml:space="preserve"> </w:t>
      </w:r>
      <w:r>
        <w:rPr>
          <w:u w:val="none"/>
        </w:rPr>
        <w:t xml:space="preserve">the agenda of its fourth meeting as annexed to this Decision. </w:t>
      </w:r>
    </w:p>
    <w:p w14:paraId="7C334EE6" w14:textId="77777777" w:rsidR="002C796D" w:rsidRPr="004E5C45" w:rsidRDefault="002C796D" w:rsidP="002C796D">
      <w:pPr>
        <w:pStyle w:val="COMParaDecision"/>
        <w:numPr>
          <w:ilvl w:val="0"/>
          <w:numId w:val="0"/>
        </w:numPr>
        <w:spacing w:before="480"/>
        <w:jc w:val="center"/>
        <w:rPr>
          <w:b/>
          <w:bCs/>
        </w:rPr>
      </w:pPr>
      <w:r w:rsidRPr="004E5C45">
        <w:rPr>
          <w:b/>
          <w:bCs/>
        </w:rPr>
        <w:t>ANNEX</w:t>
      </w:r>
    </w:p>
    <w:p w14:paraId="5766B5C7" w14:textId="42D29A48" w:rsidR="002C796D" w:rsidRPr="00C744A4" w:rsidRDefault="00EE5426" w:rsidP="002C796D">
      <w:pPr>
        <w:pStyle w:val="COMParaDecision"/>
        <w:numPr>
          <w:ilvl w:val="0"/>
          <w:numId w:val="0"/>
        </w:numPr>
        <w:spacing w:before="360" w:after="240"/>
        <w:jc w:val="center"/>
        <w:rPr>
          <w:b/>
          <w:bCs/>
          <w:u w:val="none"/>
        </w:rPr>
      </w:pPr>
      <w:r>
        <w:rPr>
          <w:b/>
          <w:bCs/>
          <w:u w:val="none"/>
        </w:rPr>
        <w:t>A</w:t>
      </w:r>
      <w:r w:rsidR="002C796D" w:rsidRPr="004E5C45">
        <w:rPr>
          <w:b/>
          <w:bCs/>
          <w:u w:val="none"/>
        </w:rPr>
        <w:t xml:space="preserve">genda of the </w:t>
      </w:r>
      <w:r w:rsidR="002C796D">
        <w:rPr>
          <w:b/>
          <w:bCs/>
          <w:u w:val="none"/>
        </w:rPr>
        <w:t>fourth</w:t>
      </w:r>
      <w:r w:rsidR="002C796D" w:rsidRPr="004E5C45">
        <w:rPr>
          <w:b/>
          <w:bCs/>
          <w:u w:val="none"/>
        </w:rPr>
        <w:t xml:space="preserve"> meeting of the 20.COM Bureau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35"/>
      </w:tblGrid>
      <w:tr w:rsidR="002C796D" w:rsidRPr="004E5C45" w14:paraId="59B6F965" w14:textId="77777777" w:rsidTr="002C796D">
        <w:trPr>
          <w:jc w:val="center"/>
        </w:trPr>
        <w:tc>
          <w:tcPr>
            <w:tcW w:w="5098" w:type="dxa"/>
          </w:tcPr>
          <w:p w14:paraId="1A58869C" w14:textId="77777777" w:rsidR="002C796D" w:rsidRPr="006F4B2B" w:rsidRDefault="002C796D" w:rsidP="005F6F95">
            <w:pPr>
              <w:pStyle w:val="COMParaDecision"/>
              <w:numPr>
                <w:ilvl w:val="0"/>
                <w:numId w:val="0"/>
              </w:numPr>
              <w:spacing w:before="120"/>
            </w:pPr>
            <w:r w:rsidRPr="004E5C45">
              <w:t>Agenda item</w:t>
            </w:r>
          </w:p>
        </w:tc>
        <w:tc>
          <w:tcPr>
            <w:tcW w:w="2835" w:type="dxa"/>
          </w:tcPr>
          <w:p w14:paraId="5130D70D" w14:textId="77777777" w:rsidR="002C796D" w:rsidRPr="006F4B2B" w:rsidRDefault="002C796D" w:rsidP="005F6F95">
            <w:pPr>
              <w:pStyle w:val="COMParaDecision"/>
              <w:numPr>
                <w:ilvl w:val="0"/>
                <w:numId w:val="0"/>
              </w:numPr>
              <w:spacing w:before="120"/>
              <w:rPr>
                <w:u w:val="none"/>
              </w:rPr>
            </w:pPr>
            <w:r w:rsidRPr="004E5C45">
              <w:t xml:space="preserve">Document </w:t>
            </w:r>
          </w:p>
        </w:tc>
      </w:tr>
      <w:tr w:rsidR="002C796D" w:rsidRPr="004E5C45" w14:paraId="284AD1AC" w14:textId="77777777" w:rsidTr="002C796D">
        <w:trPr>
          <w:jc w:val="center"/>
        </w:trPr>
        <w:tc>
          <w:tcPr>
            <w:tcW w:w="5098" w:type="dxa"/>
          </w:tcPr>
          <w:p w14:paraId="5B8A7234" w14:textId="77777777" w:rsidR="002C796D" w:rsidRPr="006F4B2B" w:rsidRDefault="002C796D" w:rsidP="002C796D">
            <w:pPr>
              <w:pStyle w:val="COMParaDecision"/>
              <w:numPr>
                <w:ilvl w:val="0"/>
                <w:numId w:val="24"/>
              </w:numPr>
              <w:spacing w:before="120"/>
              <w:jc w:val="left"/>
              <w:rPr>
                <w:u w:val="none"/>
              </w:rPr>
            </w:pPr>
            <w:r w:rsidRPr="004E5C45">
              <w:rPr>
                <w:u w:val="none"/>
              </w:rPr>
              <w:t>Opening</w:t>
            </w:r>
          </w:p>
        </w:tc>
        <w:tc>
          <w:tcPr>
            <w:tcW w:w="2835" w:type="dxa"/>
          </w:tcPr>
          <w:p w14:paraId="694C1EE9" w14:textId="77777777" w:rsidR="002C796D" w:rsidRPr="004E5C45" w:rsidRDefault="002C796D" w:rsidP="005F6F95">
            <w:pPr>
              <w:pStyle w:val="COMParaDecision"/>
              <w:numPr>
                <w:ilvl w:val="0"/>
                <w:numId w:val="0"/>
              </w:numPr>
              <w:spacing w:before="120"/>
            </w:pPr>
          </w:p>
        </w:tc>
      </w:tr>
      <w:tr w:rsidR="002C796D" w:rsidRPr="004E5C45" w14:paraId="05EF4A13" w14:textId="77777777" w:rsidTr="002C796D">
        <w:trPr>
          <w:jc w:val="center"/>
        </w:trPr>
        <w:tc>
          <w:tcPr>
            <w:tcW w:w="5098" w:type="dxa"/>
          </w:tcPr>
          <w:p w14:paraId="595A8514" w14:textId="77777777" w:rsidR="002C796D" w:rsidRPr="004E5C45" w:rsidRDefault="002C796D" w:rsidP="002C796D">
            <w:pPr>
              <w:pStyle w:val="COMParaDecision"/>
              <w:numPr>
                <w:ilvl w:val="0"/>
                <w:numId w:val="24"/>
              </w:numPr>
              <w:spacing w:before="120"/>
            </w:pPr>
            <w:r w:rsidRPr="004E5C45">
              <w:rPr>
                <w:u w:val="none"/>
              </w:rPr>
              <w:t>Adoption of the agenda</w:t>
            </w:r>
          </w:p>
        </w:tc>
        <w:tc>
          <w:tcPr>
            <w:tcW w:w="2835" w:type="dxa"/>
          </w:tcPr>
          <w:p w14:paraId="00B0490E" w14:textId="77777777" w:rsidR="002C796D" w:rsidRPr="006F4B2B" w:rsidRDefault="002C796D" w:rsidP="005F6F95">
            <w:pPr>
              <w:pStyle w:val="COMParaDecision"/>
              <w:numPr>
                <w:ilvl w:val="0"/>
                <w:numId w:val="0"/>
              </w:numPr>
              <w:spacing w:before="120"/>
              <w:rPr>
                <w:u w:val="none"/>
              </w:rPr>
            </w:pPr>
            <w:r w:rsidRPr="004E5C45">
              <w:rPr>
                <w:u w:val="none"/>
              </w:rPr>
              <w:t xml:space="preserve">LHE/25/20.COM </w:t>
            </w:r>
            <w:r>
              <w:rPr>
                <w:u w:val="none"/>
              </w:rPr>
              <w:t>4</w:t>
            </w:r>
            <w:r w:rsidRPr="004E5C45">
              <w:rPr>
                <w:u w:val="none"/>
              </w:rPr>
              <w:t>.BUR/2</w:t>
            </w:r>
          </w:p>
        </w:tc>
      </w:tr>
      <w:tr w:rsidR="002C796D" w:rsidRPr="004E5C45" w14:paraId="1D2C0D52" w14:textId="77777777" w:rsidTr="002C796D">
        <w:trPr>
          <w:jc w:val="center"/>
        </w:trPr>
        <w:tc>
          <w:tcPr>
            <w:tcW w:w="5098" w:type="dxa"/>
          </w:tcPr>
          <w:p w14:paraId="47F95FEB" w14:textId="77777777" w:rsidR="002C796D" w:rsidRPr="006F4B2B" w:rsidRDefault="002C796D" w:rsidP="002C796D">
            <w:pPr>
              <w:pStyle w:val="COMParaDecision"/>
              <w:numPr>
                <w:ilvl w:val="0"/>
                <w:numId w:val="24"/>
              </w:numPr>
              <w:spacing w:before="120"/>
              <w:jc w:val="left"/>
              <w:rPr>
                <w:u w:val="none"/>
              </w:rPr>
            </w:pPr>
            <w:r w:rsidRPr="00153515">
              <w:rPr>
                <w:u w:val="none"/>
              </w:rPr>
              <w:t>Examination of requests for International Assistance</w:t>
            </w:r>
            <w:r>
              <w:rPr>
                <w:u w:val="none"/>
              </w:rPr>
              <w:t xml:space="preserve"> </w:t>
            </w:r>
            <w:r w:rsidRPr="00153515">
              <w:rPr>
                <w:u w:val="none"/>
              </w:rPr>
              <w:t>up to US$100,000</w:t>
            </w:r>
          </w:p>
        </w:tc>
        <w:tc>
          <w:tcPr>
            <w:tcW w:w="2835" w:type="dxa"/>
          </w:tcPr>
          <w:p w14:paraId="44E1955E" w14:textId="77777777" w:rsidR="002C796D" w:rsidRPr="004E5C45" w:rsidRDefault="002C796D" w:rsidP="005F6F95">
            <w:pPr>
              <w:pStyle w:val="COMParaDecision"/>
              <w:numPr>
                <w:ilvl w:val="0"/>
                <w:numId w:val="0"/>
              </w:numPr>
              <w:spacing w:before="120"/>
            </w:pPr>
            <w:r w:rsidRPr="004E5C45">
              <w:rPr>
                <w:u w:val="none"/>
              </w:rPr>
              <w:t xml:space="preserve">LHE/25/20.COM </w:t>
            </w:r>
            <w:r>
              <w:rPr>
                <w:u w:val="none"/>
              </w:rPr>
              <w:t>4</w:t>
            </w:r>
            <w:r w:rsidRPr="004E5C45">
              <w:rPr>
                <w:u w:val="none"/>
              </w:rPr>
              <w:t>.BUR/3</w:t>
            </w:r>
          </w:p>
        </w:tc>
      </w:tr>
      <w:tr w:rsidR="002C796D" w:rsidRPr="006F4B2B" w14:paraId="103ADE9C" w14:textId="77777777" w:rsidTr="002C796D">
        <w:trPr>
          <w:jc w:val="center"/>
        </w:trPr>
        <w:tc>
          <w:tcPr>
            <w:tcW w:w="5098" w:type="dxa"/>
          </w:tcPr>
          <w:p w14:paraId="3E07B1EB" w14:textId="77777777" w:rsidR="002C796D" w:rsidRPr="006F4B2B" w:rsidRDefault="002C796D" w:rsidP="002C796D">
            <w:pPr>
              <w:pStyle w:val="COMParaDecision"/>
              <w:numPr>
                <w:ilvl w:val="0"/>
                <w:numId w:val="24"/>
              </w:numPr>
              <w:spacing w:before="120"/>
              <w:jc w:val="left"/>
              <w:rPr>
                <w:u w:val="none"/>
              </w:rPr>
            </w:pPr>
            <w:r>
              <w:rPr>
                <w:u w:val="none"/>
              </w:rPr>
              <w:t>Adoption of the provisional timetable for the twentieth session of the Committee</w:t>
            </w:r>
          </w:p>
        </w:tc>
        <w:tc>
          <w:tcPr>
            <w:tcW w:w="2835" w:type="dxa"/>
          </w:tcPr>
          <w:p w14:paraId="484167E0" w14:textId="77777777" w:rsidR="002C796D" w:rsidRPr="004E5C45" w:rsidRDefault="002C796D" w:rsidP="005F6F95">
            <w:pPr>
              <w:pStyle w:val="COMParaDecision"/>
              <w:numPr>
                <w:ilvl w:val="0"/>
                <w:numId w:val="0"/>
              </w:numPr>
              <w:spacing w:before="120"/>
            </w:pPr>
            <w:r w:rsidRPr="004E5C45">
              <w:rPr>
                <w:u w:val="none"/>
              </w:rPr>
              <w:t xml:space="preserve">LHE/25/20.COM </w:t>
            </w:r>
            <w:r>
              <w:rPr>
                <w:u w:val="none"/>
              </w:rPr>
              <w:t>4</w:t>
            </w:r>
            <w:r w:rsidRPr="004E5C45">
              <w:rPr>
                <w:u w:val="none"/>
              </w:rPr>
              <w:t>.BUR/</w:t>
            </w:r>
            <w:r>
              <w:rPr>
                <w:u w:val="none"/>
              </w:rPr>
              <w:t>4</w:t>
            </w:r>
          </w:p>
        </w:tc>
      </w:tr>
      <w:tr w:rsidR="002C796D" w:rsidRPr="004E5C45" w14:paraId="5D68AB2E" w14:textId="77777777" w:rsidTr="002C796D">
        <w:trPr>
          <w:jc w:val="center"/>
        </w:trPr>
        <w:tc>
          <w:tcPr>
            <w:tcW w:w="5098" w:type="dxa"/>
          </w:tcPr>
          <w:p w14:paraId="3D7ABF2B" w14:textId="77777777" w:rsidR="002C796D" w:rsidRPr="004E5C45" w:rsidRDefault="002C796D" w:rsidP="002C796D">
            <w:pPr>
              <w:pStyle w:val="COMParaDecision"/>
              <w:numPr>
                <w:ilvl w:val="0"/>
                <w:numId w:val="24"/>
              </w:numPr>
              <w:spacing w:before="120"/>
              <w:jc w:val="left"/>
              <w:rPr>
                <w:u w:val="none"/>
              </w:rPr>
            </w:pPr>
            <w:r w:rsidRPr="004E5C45">
              <w:rPr>
                <w:u w:val="none"/>
              </w:rPr>
              <w:t>Other business</w:t>
            </w:r>
          </w:p>
          <w:p w14:paraId="2904ACD0" w14:textId="77777777" w:rsidR="002C796D" w:rsidRDefault="002C796D" w:rsidP="002C796D">
            <w:pPr>
              <w:pStyle w:val="COMParaDecision"/>
              <w:numPr>
                <w:ilvl w:val="1"/>
                <w:numId w:val="23"/>
              </w:numPr>
              <w:spacing w:before="120"/>
              <w:jc w:val="left"/>
              <w:rPr>
                <w:u w:val="none"/>
              </w:rPr>
            </w:pPr>
            <w:r>
              <w:rPr>
                <w:u w:val="none"/>
              </w:rPr>
              <w:t>Statutory meeting dates in 2025</w:t>
            </w:r>
          </w:p>
          <w:p w14:paraId="33667963" w14:textId="77777777" w:rsidR="002C796D" w:rsidRDefault="002C796D" w:rsidP="002C796D">
            <w:pPr>
              <w:pStyle w:val="COMParaDecision"/>
              <w:numPr>
                <w:ilvl w:val="1"/>
                <w:numId w:val="23"/>
              </w:numPr>
              <w:spacing w:before="120"/>
              <w:jc w:val="left"/>
              <w:rPr>
                <w:u w:val="none"/>
              </w:rPr>
            </w:pPr>
            <w:r>
              <w:rPr>
                <w:u w:val="none"/>
              </w:rPr>
              <w:t>Working methods of the twentieth session of the Committee</w:t>
            </w:r>
          </w:p>
          <w:p w14:paraId="7D4B8BED" w14:textId="77777777" w:rsidR="002C796D" w:rsidRDefault="002C796D" w:rsidP="002C796D">
            <w:pPr>
              <w:pStyle w:val="COMParaDecision"/>
              <w:numPr>
                <w:ilvl w:val="1"/>
                <w:numId w:val="23"/>
              </w:numPr>
              <w:spacing w:before="120"/>
              <w:jc w:val="left"/>
              <w:rPr>
                <w:u w:val="none"/>
              </w:rPr>
            </w:pPr>
            <w:r>
              <w:rPr>
                <w:u w:val="none"/>
              </w:rPr>
              <w:t>Nominations under the 2025 cycle</w:t>
            </w:r>
          </w:p>
          <w:p w14:paraId="5643EF71" w14:textId="77777777" w:rsidR="002C796D" w:rsidRDefault="002C796D" w:rsidP="002C796D">
            <w:pPr>
              <w:pStyle w:val="COMParaDecision"/>
              <w:numPr>
                <w:ilvl w:val="1"/>
                <w:numId w:val="23"/>
              </w:numPr>
              <w:spacing w:before="120"/>
              <w:jc w:val="left"/>
              <w:rPr>
                <w:u w:val="none"/>
              </w:rPr>
            </w:pPr>
            <w:r>
              <w:rPr>
                <w:u w:val="none"/>
              </w:rPr>
              <w:t>Follow-up on elements inscribed on the Lists of the Convention</w:t>
            </w:r>
          </w:p>
          <w:p w14:paraId="0745B512" w14:textId="77777777" w:rsidR="002C796D" w:rsidRPr="00C744A4" w:rsidRDefault="002C796D" w:rsidP="002C796D">
            <w:pPr>
              <w:pStyle w:val="COMParaDecision"/>
              <w:numPr>
                <w:ilvl w:val="1"/>
                <w:numId w:val="23"/>
              </w:numPr>
              <w:spacing w:before="120"/>
              <w:jc w:val="left"/>
              <w:rPr>
                <w:u w:val="none"/>
              </w:rPr>
            </w:pPr>
            <w:r w:rsidRPr="004E5C45">
              <w:rPr>
                <w:u w:val="none"/>
              </w:rPr>
              <w:t>Other issues</w:t>
            </w:r>
          </w:p>
        </w:tc>
        <w:tc>
          <w:tcPr>
            <w:tcW w:w="2835" w:type="dxa"/>
          </w:tcPr>
          <w:p w14:paraId="1840200D" w14:textId="77777777" w:rsidR="002C796D" w:rsidRDefault="002C796D" w:rsidP="005F6F95">
            <w:pPr>
              <w:pStyle w:val="COMParaDecision"/>
              <w:numPr>
                <w:ilvl w:val="0"/>
                <w:numId w:val="0"/>
              </w:numPr>
              <w:spacing w:before="120"/>
            </w:pPr>
          </w:p>
          <w:p w14:paraId="6F1A4226" w14:textId="77777777" w:rsidR="002C796D" w:rsidRPr="00C744A4" w:rsidRDefault="002C796D" w:rsidP="005F6F95">
            <w:pPr>
              <w:pStyle w:val="COMParaDecision"/>
              <w:numPr>
                <w:ilvl w:val="0"/>
                <w:numId w:val="0"/>
              </w:numPr>
              <w:spacing w:before="120"/>
              <w:rPr>
                <w:u w:val="none"/>
              </w:rPr>
            </w:pPr>
            <w:r w:rsidRPr="00C744A4">
              <w:rPr>
                <w:u w:val="none"/>
              </w:rPr>
              <w:t>LHE/25/Schedule Rev.</w:t>
            </w:r>
            <w:r>
              <w:rPr>
                <w:u w:val="none"/>
              </w:rPr>
              <w:t>3</w:t>
            </w:r>
          </w:p>
        </w:tc>
      </w:tr>
      <w:tr w:rsidR="002C796D" w:rsidRPr="004E5C45" w14:paraId="28F8B569" w14:textId="77777777" w:rsidTr="002C796D">
        <w:trPr>
          <w:jc w:val="center"/>
        </w:trPr>
        <w:tc>
          <w:tcPr>
            <w:tcW w:w="5098" w:type="dxa"/>
          </w:tcPr>
          <w:p w14:paraId="137BFBD3" w14:textId="77777777" w:rsidR="002C796D" w:rsidRPr="004E5C45" w:rsidRDefault="002C796D" w:rsidP="002C796D">
            <w:pPr>
              <w:pStyle w:val="COMParaDecision"/>
              <w:numPr>
                <w:ilvl w:val="0"/>
                <w:numId w:val="24"/>
              </w:numPr>
              <w:spacing w:before="120"/>
            </w:pPr>
            <w:r w:rsidRPr="004E5C45">
              <w:rPr>
                <w:u w:val="none"/>
              </w:rPr>
              <w:t>Closure</w:t>
            </w:r>
          </w:p>
        </w:tc>
        <w:tc>
          <w:tcPr>
            <w:tcW w:w="2835" w:type="dxa"/>
          </w:tcPr>
          <w:p w14:paraId="167887A6" w14:textId="77777777" w:rsidR="002C796D" w:rsidRPr="004E5C45" w:rsidRDefault="002C796D" w:rsidP="005F6F95">
            <w:pPr>
              <w:pStyle w:val="COMParaDecision"/>
              <w:numPr>
                <w:ilvl w:val="0"/>
                <w:numId w:val="0"/>
              </w:numPr>
              <w:spacing w:before="120"/>
            </w:pPr>
          </w:p>
        </w:tc>
      </w:tr>
    </w:tbl>
    <w:p w14:paraId="68544945" w14:textId="77777777" w:rsidR="002C796D" w:rsidRDefault="002C796D" w:rsidP="002C796D">
      <w:pPr>
        <w:pStyle w:val="COMParaDecision"/>
        <w:numPr>
          <w:ilvl w:val="0"/>
          <w:numId w:val="0"/>
        </w:numPr>
      </w:pPr>
    </w:p>
    <w:p w14:paraId="03B413A8" w14:textId="4590FEBF" w:rsidR="002C796D" w:rsidRDefault="002C796D">
      <w:pPr>
        <w:rPr>
          <w:lang w:val="en-US"/>
        </w:rPr>
      </w:pPr>
      <w:r>
        <w:rPr>
          <w:lang w:val="en-US"/>
        </w:rPr>
        <w:br w:type="page"/>
      </w:r>
    </w:p>
    <w:p w14:paraId="4804D30A" w14:textId="3D7BA164" w:rsidR="00634C3C" w:rsidRPr="00677233" w:rsidRDefault="00634C3C" w:rsidP="00634C3C">
      <w:pPr>
        <w:pStyle w:val="COMTitleDecision"/>
        <w:ind w:left="0"/>
      </w:pPr>
      <w:bookmarkStart w:id="0" w:name="_Hlk208907423"/>
      <w:r w:rsidRPr="00677233">
        <w:lastRenderedPageBreak/>
        <w:t>DECISION 20.COM 4.BUR </w:t>
      </w:r>
      <w:r>
        <w:t>3.1</w:t>
      </w:r>
    </w:p>
    <w:p w14:paraId="7C20FE25" w14:textId="77777777" w:rsidR="00634C3C" w:rsidRPr="00634C3C" w:rsidRDefault="00634C3C" w:rsidP="00634C3C">
      <w:pPr>
        <w:keepNext/>
        <w:spacing w:before="120" w:after="120"/>
        <w:jc w:val="both"/>
        <w:rPr>
          <w:rFonts w:asciiTheme="minorBidi" w:hAnsiTheme="minorBidi" w:cstheme="minorBidi"/>
          <w:sz w:val="22"/>
          <w:szCs w:val="22"/>
          <w:lang w:val="en-GB"/>
        </w:rPr>
      </w:pPr>
      <w:r w:rsidRPr="00634C3C">
        <w:rPr>
          <w:rFonts w:asciiTheme="minorBidi" w:hAnsiTheme="minorBidi" w:cstheme="minorBidi"/>
          <w:sz w:val="22"/>
          <w:szCs w:val="22"/>
          <w:lang w:val="en-GB"/>
        </w:rPr>
        <w:t>The Bureau,</w:t>
      </w:r>
    </w:p>
    <w:p w14:paraId="18C2D7A4" w14:textId="77777777" w:rsidR="00634C3C" w:rsidRPr="00634C3C" w:rsidRDefault="00634C3C" w:rsidP="00634C3C">
      <w:pPr>
        <w:numPr>
          <w:ilvl w:val="0"/>
          <w:numId w:val="25"/>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Recalling</w:t>
      </w:r>
      <w:r w:rsidRPr="00634C3C">
        <w:rPr>
          <w:rFonts w:asciiTheme="minorBidi" w:hAnsiTheme="minorBidi" w:cstheme="minorBidi"/>
          <w:sz w:val="22"/>
          <w:szCs w:val="22"/>
          <w:lang w:val="en-GB"/>
        </w:rPr>
        <w:t xml:space="preserve"> Chapter V of the Convention as well as Chapter I.4 of the Operational Directives relating to the eligibility and selection criteria of International Assistance requests,</w:t>
      </w:r>
    </w:p>
    <w:p w14:paraId="05D76E59" w14:textId="77777777" w:rsidR="00634C3C" w:rsidRPr="00634C3C" w:rsidRDefault="00634C3C" w:rsidP="00634C3C">
      <w:pPr>
        <w:numPr>
          <w:ilvl w:val="0"/>
          <w:numId w:val="25"/>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Having examined</w:t>
      </w:r>
      <w:r w:rsidRPr="00634C3C">
        <w:rPr>
          <w:rFonts w:asciiTheme="minorBidi" w:hAnsiTheme="minorBidi" w:cstheme="minorBidi"/>
          <w:sz w:val="22"/>
          <w:szCs w:val="22"/>
          <w:lang w:val="en-GB"/>
        </w:rPr>
        <w:t xml:space="preserve"> document LHE/25/20.COM 4.BUR/3 as well as International Assistance request no. 02460 submitted by Egypt,</w:t>
      </w:r>
    </w:p>
    <w:p w14:paraId="34B0EF8D" w14:textId="77777777" w:rsidR="00634C3C" w:rsidRPr="00634C3C" w:rsidRDefault="00634C3C" w:rsidP="00634C3C">
      <w:pPr>
        <w:numPr>
          <w:ilvl w:val="0"/>
          <w:numId w:val="25"/>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Takes note</w:t>
      </w:r>
      <w:r w:rsidRPr="00634C3C">
        <w:rPr>
          <w:rFonts w:asciiTheme="minorBidi" w:hAnsiTheme="minorBidi" w:cstheme="minorBidi"/>
          <w:sz w:val="22"/>
          <w:szCs w:val="22"/>
          <w:lang w:val="en-GB"/>
        </w:rPr>
        <w:t xml:space="preserve"> that Egypt has requested International Assistance for the project entitled </w:t>
      </w:r>
      <w:r w:rsidRPr="00634C3C">
        <w:rPr>
          <w:rFonts w:asciiTheme="minorBidi" w:hAnsiTheme="minorBidi" w:cstheme="minorBidi"/>
          <w:b/>
          <w:bCs/>
          <w:sz w:val="22"/>
          <w:szCs w:val="22"/>
          <w:lang w:val="en-GB"/>
        </w:rPr>
        <w:t>Safeguarding and capacity-building for the intangible cultural heritage of Al-</w:t>
      </w:r>
      <w:proofErr w:type="spellStart"/>
      <w:r w:rsidRPr="00634C3C">
        <w:rPr>
          <w:rFonts w:asciiTheme="minorBidi" w:hAnsiTheme="minorBidi" w:cstheme="minorBidi"/>
          <w:b/>
          <w:bCs/>
          <w:sz w:val="22"/>
          <w:szCs w:val="22"/>
          <w:lang w:val="en-GB"/>
        </w:rPr>
        <w:t>Aragoz</w:t>
      </w:r>
      <w:proofErr w:type="spellEnd"/>
      <w:r w:rsidRPr="00634C3C">
        <w:rPr>
          <w:rFonts w:asciiTheme="minorBidi" w:hAnsiTheme="minorBidi" w:cstheme="minorBidi"/>
          <w:b/>
          <w:bCs/>
          <w:sz w:val="22"/>
          <w:szCs w:val="22"/>
          <w:lang w:val="en-GB"/>
        </w:rPr>
        <w:t xml:space="preserve"> traditional hand puppetry in Egypt</w:t>
      </w:r>
      <w:r w:rsidRPr="00634C3C">
        <w:rPr>
          <w:rFonts w:asciiTheme="minorBidi" w:hAnsiTheme="minorBidi" w:cstheme="minorBidi"/>
          <w:bCs/>
          <w:sz w:val="22"/>
          <w:szCs w:val="22"/>
          <w:lang w:val="en-GB"/>
        </w:rPr>
        <w:t>:</w:t>
      </w:r>
    </w:p>
    <w:p w14:paraId="02E2B5F0" w14:textId="77777777" w:rsidR="00634C3C" w:rsidRPr="00634C3C" w:rsidRDefault="00634C3C" w:rsidP="00634C3C">
      <w:pPr>
        <w:ind w:left="567"/>
        <w:jc w:val="both"/>
        <w:rPr>
          <w:rFonts w:asciiTheme="minorBidi" w:hAnsiTheme="minorBidi" w:cstheme="minorBidi"/>
          <w:sz w:val="22"/>
          <w:szCs w:val="22"/>
          <w:lang w:val="en-GB"/>
        </w:rPr>
      </w:pPr>
      <w:r w:rsidRPr="00634C3C">
        <w:rPr>
          <w:rFonts w:asciiTheme="minorBidi" w:hAnsiTheme="minorBidi" w:cstheme="minorBidi"/>
          <w:sz w:val="22"/>
          <w:szCs w:val="22"/>
          <w:lang w:val="en-GB"/>
        </w:rPr>
        <w:t>To be implemented by the Cultural Development Fund, this twenty-four-month project aims to revitalize and safeguard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 xml:space="preserve"> traditional hand puppetry through documentation, training and capacity-building. The project </w:t>
      </w:r>
      <w:r w:rsidRPr="00634C3C">
        <w:rPr>
          <w:rFonts w:asciiTheme="minorBidi" w:hAnsiTheme="minorBidi" w:cstheme="minorBidi"/>
          <w:bCs/>
          <w:sz w:val="22"/>
          <w:szCs w:val="22"/>
          <w:lang w:val="en-GB"/>
        </w:rPr>
        <w:t xml:space="preserve">seeks to implement the updated safeguarding plan outlined in the latest </w:t>
      </w:r>
      <w:r>
        <w:fldChar w:fldCharType="begin"/>
      </w:r>
      <w:r w:rsidRPr="00187CC0">
        <w:rPr>
          <w:lang w:val="en-GB"/>
        </w:rPr>
        <w:instrText>HYPERLINK "https://ich.unesco.org/doc/download.php?versionID=69812"</w:instrText>
      </w:r>
      <w:r>
        <w:fldChar w:fldCharType="separate"/>
      </w:r>
      <w:r w:rsidRPr="00677233">
        <w:rPr>
          <w:rStyle w:val="Hyperlink"/>
          <w:rFonts w:asciiTheme="minorBidi" w:hAnsiTheme="minorBidi" w:cstheme="minorBidi"/>
          <w:bCs/>
          <w:sz w:val="22"/>
          <w:szCs w:val="22"/>
        </w:rPr>
        <w:t>periodic report</w:t>
      </w:r>
      <w:r>
        <w:fldChar w:fldCharType="end"/>
      </w:r>
      <w:r w:rsidRPr="00634C3C">
        <w:rPr>
          <w:rFonts w:asciiTheme="minorBidi" w:hAnsiTheme="minorBidi" w:cstheme="minorBidi"/>
          <w:bCs/>
          <w:sz w:val="22"/>
          <w:szCs w:val="22"/>
          <w:lang w:val="en-GB"/>
        </w:rPr>
        <w:t xml:space="preserve"> submitted by Egypt</w:t>
      </w:r>
      <w:r w:rsidRPr="00634C3C">
        <w:rPr>
          <w:rFonts w:asciiTheme="minorBidi" w:hAnsiTheme="minorBidi" w:cstheme="minorBidi"/>
          <w:sz w:val="22"/>
          <w:szCs w:val="22"/>
          <w:lang w:val="en-GB"/>
        </w:rPr>
        <w:t xml:space="preserve"> on the element ‘Traditional hand puppetry’ inscribed in 2018 on the List of Intangible Cultural Heritage in Need of Urgent Safeguarding. Historically performed by traveling artists,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 xml:space="preserve"> performances were a staple of religious celebrations and public gatherings, primarily entertaining and educating children. Today, the number of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 xml:space="preserve"> practitioners has significantly declined due to multiple factors, including the aging and passing of master performers, especially during the COVID-19 pandemic, and the lack of skill transmission to younger generations. Project activities include conducting workshops for new performers, training artisans in puppet-making, documenting traditional knowledge, and enhancing the educational and social functions of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 xml:space="preserve"> such as by partnering with the Ministry of Education to integrate performances into primary school programmes. The project will also involve creating a permanent exhibition hall for traditional puppetry and organizing an international conference on the topic of traditional puppetry to exchange experiences between researchers, scholars, practitioners and puppet-makers. The request further indicates promotional and awareness-raising outputs, including a dedicated website, brochures and catalogues, as well as a short documentary subtitled in Arabic and English. In addition to recognizing the importance of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 this project is expected to illustrate how traditional arts can be revitalized, modernized and financially sustained, thus encouraging governmental, private sector and civil society organizations to invest in similar efforts for other endangered cultural practices.</w:t>
      </w:r>
    </w:p>
    <w:p w14:paraId="4E6A7720" w14:textId="77777777" w:rsidR="00634C3C" w:rsidRPr="00634C3C" w:rsidRDefault="00634C3C" w:rsidP="00634C3C">
      <w:pPr>
        <w:numPr>
          <w:ilvl w:val="0"/>
          <w:numId w:val="25"/>
        </w:numPr>
        <w:spacing w:before="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Further takes note</w:t>
      </w:r>
      <w:r w:rsidRPr="00634C3C">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634C3C">
        <w:rPr>
          <w:rFonts w:asciiTheme="minorBidi" w:hAnsiTheme="minorBidi" w:cstheme="minorBidi"/>
          <w:b/>
          <w:bCs/>
          <w:sz w:val="22"/>
          <w:szCs w:val="22"/>
          <w:lang w:val="en-GB"/>
        </w:rPr>
        <w:t>provision of a grant</w:t>
      </w:r>
      <w:r w:rsidRPr="00634C3C">
        <w:rPr>
          <w:rFonts w:asciiTheme="minorBidi" w:hAnsiTheme="minorBidi" w:cstheme="minorBidi"/>
          <w:sz w:val="22"/>
          <w:szCs w:val="22"/>
          <w:lang w:val="en-GB"/>
        </w:rPr>
        <w:t>, pursuant to Article 21 (g) of the Convention;</w:t>
      </w:r>
    </w:p>
    <w:p w14:paraId="6568F6A5" w14:textId="77777777" w:rsidR="00634C3C" w:rsidRPr="00634C3C" w:rsidRDefault="00634C3C" w:rsidP="00634C3C">
      <w:pPr>
        <w:keepNext/>
        <w:numPr>
          <w:ilvl w:val="0"/>
          <w:numId w:val="25"/>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Also takes note</w:t>
      </w:r>
      <w:r w:rsidRPr="00634C3C">
        <w:rPr>
          <w:rFonts w:asciiTheme="minorBidi" w:hAnsiTheme="minorBidi" w:cstheme="minorBidi"/>
          <w:sz w:val="22"/>
          <w:szCs w:val="22"/>
          <w:lang w:val="en-GB"/>
        </w:rPr>
        <w:t xml:space="preserve"> that Egypt has requested an allocation of US$99,840 from the Intangible Cultural Heritage Fund for the implementation of the project;</w:t>
      </w:r>
    </w:p>
    <w:p w14:paraId="06CAF7A1" w14:textId="77777777" w:rsidR="00634C3C" w:rsidRPr="00634C3C" w:rsidRDefault="00634C3C" w:rsidP="00634C3C">
      <w:pPr>
        <w:numPr>
          <w:ilvl w:val="0"/>
          <w:numId w:val="25"/>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Decides</w:t>
      </w:r>
      <w:r w:rsidRPr="00634C3C">
        <w:rPr>
          <w:rFonts w:asciiTheme="minorBidi" w:hAnsiTheme="minorBidi" w:cstheme="minorBidi"/>
          <w:sz w:val="22"/>
          <w:szCs w:val="22"/>
          <w:lang w:val="en-GB"/>
        </w:rPr>
        <w:t xml:space="preserve"> that, from the information provided in file no. 02460, the request responds as follows to the criteria for granting International Assistance given in paragraphs 10 and 12 of the Operational Directives:</w:t>
      </w:r>
    </w:p>
    <w:p w14:paraId="338A8D3E"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A.1</w:t>
      </w:r>
      <w:r w:rsidRPr="00634C3C">
        <w:rPr>
          <w:rFonts w:asciiTheme="minorBidi" w:hAnsiTheme="minorBidi" w:cstheme="minorBidi"/>
          <w:b/>
          <w:bCs/>
          <w:sz w:val="22"/>
          <w:szCs w:val="22"/>
          <w:lang w:val="en-GB"/>
        </w:rPr>
        <w:t xml:space="preserve">: </w:t>
      </w:r>
      <w:r w:rsidRPr="00634C3C">
        <w:rPr>
          <w:rFonts w:asciiTheme="minorBidi" w:hAnsiTheme="minorBidi" w:cstheme="minorBidi"/>
          <w:bCs/>
          <w:sz w:val="22"/>
          <w:szCs w:val="22"/>
          <w:lang w:val="en-GB"/>
        </w:rPr>
        <w:t xml:space="preserve">The communities concerned, including master puppeteers and artisans, have participated in the elaboration of the request. Their contributions were instrumental in identifying community safeguarding needs and priorities, helping to shape the proposed activities. During the project implementation, practitioners and bearers will contribute to the design of the training modules, lead training activities and participate in the public performances. Historically, this practice has been led by men, with no women currently recognized as bearers or practitioners. </w:t>
      </w:r>
      <w:proofErr w:type="gramStart"/>
      <w:r w:rsidRPr="00634C3C">
        <w:rPr>
          <w:rFonts w:asciiTheme="minorBidi" w:hAnsiTheme="minorBidi" w:cstheme="minorBidi"/>
          <w:bCs/>
          <w:sz w:val="22"/>
          <w:szCs w:val="22"/>
          <w:lang w:val="en-GB"/>
        </w:rPr>
        <w:t>Taking into account</w:t>
      </w:r>
      <w:proofErr w:type="gramEnd"/>
      <w:r w:rsidRPr="00634C3C">
        <w:rPr>
          <w:rFonts w:asciiTheme="minorBidi" w:hAnsiTheme="minorBidi" w:cstheme="minorBidi"/>
          <w:bCs/>
          <w:sz w:val="22"/>
          <w:szCs w:val="22"/>
          <w:lang w:val="en-GB"/>
        </w:rPr>
        <w:t xml:space="preserve"> the changing social contexts and readiness of the communities concerned, the project will adopt an inclusive and gender-balanced approach, with women constituting at least 50 per cent of the trainees in all the training areas. This measure aims to ensure that women are empowered to become future bearers of this practice. The request also indicates the participation of non-governmental organizations with experience in safeguarding Al-</w:t>
      </w:r>
      <w:proofErr w:type="spellStart"/>
      <w:r w:rsidRPr="00634C3C">
        <w:rPr>
          <w:rFonts w:asciiTheme="minorBidi" w:hAnsiTheme="minorBidi" w:cstheme="minorBidi"/>
          <w:bCs/>
          <w:sz w:val="22"/>
          <w:szCs w:val="22"/>
          <w:lang w:val="en-GB"/>
        </w:rPr>
        <w:t>Aragoz</w:t>
      </w:r>
      <w:proofErr w:type="spellEnd"/>
      <w:r w:rsidRPr="00634C3C">
        <w:rPr>
          <w:rFonts w:asciiTheme="minorBidi" w:hAnsiTheme="minorBidi" w:cstheme="minorBidi"/>
          <w:bCs/>
          <w:sz w:val="22"/>
          <w:szCs w:val="22"/>
          <w:lang w:val="en-GB"/>
        </w:rPr>
        <w:t xml:space="preserve"> in the training and community outreach components.</w:t>
      </w:r>
    </w:p>
    <w:p w14:paraId="65594E60" w14:textId="77777777" w:rsidR="00634C3C" w:rsidRPr="00634C3C" w:rsidRDefault="00634C3C" w:rsidP="00634C3C">
      <w:pPr>
        <w:spacing w:before="120" w:after="120"/>
        <w:ind w:left="567"/>
        <w:jc w:val="both"/>
        <w:rPr>
          <w:rFonts w:asciiTheme="minorBidi" w:hAnsiTheme="minorBidi" w:cstheme="minorBidi"/>
          <w:bCs/>
          <w:sz w:val="22"/>
          <w:szCs w:val="22"/>
          <w:lang w:val="en-GB"/>
        </w:rPr>
      </w:pPr>
      <w:r w:rsidRPr="00634C3C">
        <w:rPr>
          <w:rFonts w:asciiTheme="minorBidi" w:hAnsiTheme="minorBidi" w:cstheme="minorBidi"/>
          <w:b/>
          <w:sz w:val="22"/>
          <w:szCs w:val="22"/>
          <w:lang w:val="en-GB"/>
        </w:rPr>
        <w:t>Criterion A.2</w:t>
      </w:r>
      <w:r w:rsidRPr="00634C3C">
        <w:rPr>
          <w:rFonts w:asciiTheme="minorBidi" w:hAnsiTheme="minorBidi" w:cstheme="minorBidi"/>
          <w:b/>
          <w:bCs/>
          <w:sz w:val="22"/>
          <w:szCs w:val="22"/>
          <w:lang w:val="en-GB"/>
        </w:rPr>
        <w:t>:</w:t>
      </w:r>
      <w:r w:rsidRPr="00634C3C">
        <w:rPr>
          <w:rFonts w:asciiTheme="minorBidi" w:hAnsiTheme="minorBidi" w:cstheme="minorBidi"/>
          <w:bCs/>
          <w:sz w:val="22"/>
          <w:szCs w:val="22"/>
          <w:lang w:val="en-GB"/>
        </w:rPr>
        <w:t xml:space="preserve"> The budget breakdown and the proposed timetable are well structured and in line with the activities described in the request. The amount of assistance requested is deemed appropriate in relation to the scope and duration of the project.</w:t>
      </w:r>
    </w:p>
    <w:p w14:paraId="2E20A453"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A.3</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proposed activities are coherent and aligned with the objectives and expected results of the project. The activities entail stakeholder meetings, documentation, capacity-building, public performances, the establishment of an exhibition hall for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 xml:space="preserve">, an awareness-raising campaign, an international conference and project monitoring. </w:t>
      </w:r>
    </w:p>
    <w:p w14:paraId="354CC9C3"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A.4</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Overall, the project intends to facilitate the implementation of some of the safeguarding measures identified in the latest </w:t>
      </w:r>
      <w:r>
        <w:fldChar w:fldCharType="begin"/>
      </w:r>
      <w:r w:rsidRPr="00187CC0">
        <w:rPr>
          <w:lang w:val="en-GB"/>
        </w:rPr>
        <w:instrText>HYPERLINK "https://ich.unesco.org/doc/download.php?versionID=69812"</w:instrText>
      </w:r>
      <w:r>
        <w:fldChar w:fldCharType="separate"/>
      </w:r>
      <w:r w:rsidRPr="00677233">
        <w:rPr>
          <w:rStyle w:val="Hyperlink"/>
          <w:rFonts w:asciiTheme="minorBidi" w:hAnsiTheme="minorBidi" w:cstheme="minorBidi"/>
          <w:sz w:val="22"/>
          <w:szCs w:val="22"/>
        </w:rPr>
        <w:t>periodic report</w:t>
      </w:r>
      <w:r>
        <w:fldChar w:fldCharType="end"/>
      </w:r>
      <w:r w:rsidRPr="00634C3C">
        <w:rPr>
          <w:rFonts w:asciiTheme="minorBidi" w:hAnsiTheme="minorBidi" w:cstheme="minorBidi"/>
          <w:sz w:val="22"/>
          <w:szCs w:val="22"/>
          <w:lang w:val="en-GB"/>
        </w:rPr>
        <w:t xml:space="preserve"> on the status of the inscribed </w:t>
      </w:r>
      <w:r>
        <w:fldChar w:fldCharType="begin"/>
      </w:r>
      <w:r w:rsidRPr="00187CC0">
        <w:rPr>
          <w:lang w:val="en-GB"/>
        </w:rPr>
        <w:instrText>HYPERLINK "https://ich.unesco.org/en/USL/traditional-hand-puppetry-01376"</w:instrText>
      </w:r>
      <w:r>
        <w:fldChar w:fldCharType="separate"/>
      </w:r>
      <w:r w:rsidRPr="00677233">
        <w:rPr>
          <w:rStyle w:val="Hyperlink"/>
          <w:rFonts w:asciiTheme="minorBidi" w:hAnsiTheme="minorBidi" w:cstheme="minorBidi"/>
          <w:sz w:val="22"/>
          <w:szCs w:val="22"/>
        </w:rPr>
        <w:t>element</w:t>
      </w:r>
      <w:r>
        <w:fldChar w:fldCharType="end"/>
      </w:r>
      <w:r w:rsidRPr="00634C3C">
        <w:rPr>
          <w:rFonts w:asciiTheme="minorBidi" w:hAnsiTheme="minorBidi" w:cstheme="minorBidi"/>
          <w:sz w:val="22"/>
          <w:szCs w:val="22"/>
          <w:lang w:val="en-GB"/>
        </w:rPr>
        <w:t xml:space="preserve"> submitted in 2022. Activities are designed to address the threats to the element, such as the decline of the number of bearers and practitioners, the loss of transmission chains and the lack of documentation and research. The awareness-raising campaign and the exhibition hall will contribute to increasing the recognition of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 xml:space="preserve"> at the institutional and national levels. In addition, the project entails the organization of approximatively fifty public performances in schools and cultural centres in Cairo, Alexandria and Upper Egypt. The shows will bring together more than 15,000 people, raising general awareness of the element while offering the public, including families and children, the opportunity to appreciate it. Through a varied range of activities, the project aims to ensure the viability and visibility of the element, while enhancing its social functions in the current context. Furthermore, trainees will be equipped with entrepreneurship skills to launch their own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-related ventures.</w:t>
      </w:r>
    </w:p>
    <w:p w14:paraId="5DE50DDD"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A.5</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requesting State Party will contribute 25 per cent (US$33,690) of the total amount of the project budget (US$133,530). Consequently, International Assistance is requested from the Intangible Cultural Heritage Fund for the remaining 75 per cent of the total amount of the project.</w:t>
      </w:r>
    </w:p>
    <w:p w14:paraId="3751B0D3"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A.6</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project aims to strengthen the capacities of communities to ensure the transmission of skills and knowledge associated with Al-</w:t>
      </w:r>
      <w:proofErr w:type="spellStart"/>
      <w:r w:rsidRPr="00634C3C">
        <w:rPr>
          <w:rFonts w:asciiTheme="minorBidi" w:hAnsiTheme="minorBidi" w:cstheme="minorBidi"/>
          <w:sz w:val="22"/>
          <w:szCs w:val="22"/>
          <w:lang w:val="en-GB"/>
        </w:rPr>
        <w:t>Aragoz</w:t>
      </w:r>
      <w:proofErr w:type="spellEnd"/>
      <w:r w:rsidRPr="00634C3C">
        <w:rPr>
          <w:rFonts w:asciiTheme="minorBidi" w:hAnsiTheme="minorBidi" w:cstheme="minorBidi"/>
          <w:sz w:val="22"/>
          <w:szCs w:val="22"/>
          <w:lang w:val="en-GB"/>
        </w:rPr>
        <w:t xml:space="preserve"> to future generations. During the capacity-building programme, sixty individuals will receive training in various areas related to this element, </w:t>
      </w:r>
      <w:proofErr w:type="gramStart"/>
      <w:r w:rsidRPr="00634C3C">
        <w:rPr>
          <w:rFonts w:asciiTheme="minorBidi" w:hAnsiTheme="minorBidi" w:cstheme="minorBidi"/>
          <w:sz w:val="22"/>
          <w:szCs w:val="22"/>
          <w:lang w:val="en-GB"/>
        </w:rPr>
        <w:t>from puppet manipulation,</w:t>
      </w:r>
      <w:proofErr w:type="gramEnd"/>
      <w:r w:rsidRPr="00634C3C">
        <w:rPr>
          <w:rFonts w:asciiTheme="minorBidi" w:hAnsiTheme="minorBidi" w:cstheme="minorBidi"/>
          <w:sz w:val="22"/>
          <w:szCs w:val="22"/>
          <w:lang w:val="en-GB"/>
        </w:rPr>
        <w:t xml:space="preserve"> to voice modulation (‘Al-Amana'), improvisation, storytelling and cultural entrepreneurship. Artisans will also acquire expertise in puppet making and voice device construction. As future practitioners, trainees will be selected through open calls for applications in universities, non-governmental organizations and cultural centres. The request also emphasizes that the capacities of master practitioners will be further expanded by engaging them as trainers and mentors. This will not only strengthen their own recognition but also ensure that their expertise is transmitted to younger generations in a structured manner. Institutional capacities will be strengthened within the Cultural Development Fund, which will coordinate the implementation of the project. The establishment of a permanent exhibition hall will also serve as a long-term educational platform, thus broadening the institution’s role in safeguarding this practice.</w:t>
      </w:r>
    </w:p>
    <w:p w14:paraId="53F96AD0" w14:textId="77777777" w:rsidR="00634C3C" w:rsidRPr="00634C3C" w:rsidRDefault="00634C3C" w:rsidP="00634C3C">
      <w:pPr>
        <w:spacing w:after="120"/>
        <w:ind w:left="567"/>
        <w:jc w:val="both"/>
        <w:rPr>
          <w:rFonts w:asciiTheme="minorBidi" w:hAnsiTheme="minorBidi"/>
          <w:snapToGrid w:val="0"/>
          <w:sz w:val="22"/>
          <w:szCs w:val="22"/>
          <w:shd w:val="clear" w:color="auto" w:fill="FFFFFF"/>
          <w:lang w:val="en-GB" w:eastAsia="en-US"/>
        </w:rPr>
      </w:pPr>
      <w:r w:rsidRPr="00634C3C">
        <w:rPr>
          <w:rFonts w:asciiTheme="minorBidi" w:hAnsiTheme="minorBidi"/>
          <w:b/>
          <w:snapToGrid w:val="0"/>
          <w:sz w:val="22"/>
          <w:szCs w:val="22"/>
          <w:lang w:val="en-GB" w:eastAsia="en-US"/>
        </w:rPr>
        <w:t>Criterion A.7</w:t>
      </w:r>
      <w:r w:rsidRPr="00634C3C">
        <w:rPr>
          <w:rFonts w:asciiTheme="minorBidi" w:hAnsiTheme="minorBidi"/>
          <w:b/>
          <w:bCs/>
          <w:snapToGrid w:val="0"/>
          <w:sz w:val="22"/>
          <w:szCs w:val="22"/>
          <w:shd w:val="clear" w:color="auto" w:fill="FFFFFF"/>
          <w:lang w:val="en-GB" w:eastAsia="en-US"/>
        </w:rPr>
        <w:t xml:space="preserve">: </w:t>
      </w:r>
      <w:r w:rsidRPr="00634C3C">
        <w:rPr>
          <w:rFonts w:asciiTheme="minorBidi" w:hAnsiTheme="minorBidi"/>
          <w:bCs/>
          <w:snapToGrid w:val="0"/>
          <w:sz w:val="22"/>
          <w:szCs w:val="22"/>
          <w:shd w:val="clear" w:color="auto" w:fill="FFFFFF"/>
          <w:lang w:val="en-GB" w:eastAsia="en-US"/>
        </w:rPr>
        <w:t>Egypt has benefited from International Assistance from the Intangible Cultural Heritage Fund for one completed project.</w:t>
      </w:r>
      <w:r w:rsidRPr="00677233">
        <w:rPr>
          <w:rFonts w:asciiTheme="minorBidi" w:hAnsiTheme="minorBidi"/>
          <w:snapToGrid w:val="0"/>
          <w:sz w:val="22"/>
          <w:szCs w:val="22"/>
          <w:shd w:val="clear" w:color="auto" w:fill="FFFFFF"/>
          <w:vertAlign w:val="superscript"/>
          <w:lang w:eastAsia="en-US"/>
        </w:rPr>
        <w:footnoteReference w:id="1"/>
      </w:r>
      <w:r w:rsidRPr="00634C3C">
        <w:rPr>
          <w:rFonts w:asciiTheme="minorBidi" w:hAnsiTheme="minorBidi"/>
          <w:bCs/>
          <w:snapToGrid w:val="0"/>
          <w:sz w:val="22"/>
          <w:szCs w:val="22"/>
          <w:shd w:val="clear" w:color="auto" w:fill="FFFFFF"/>
          <w:lang w:val="en-GB" w:eastAsia="en-US"/>
        </w:rPr>
        <w:t xml:space="preserve"> The work stipulated in the contract related to this project was carried out in accordance with UNESCO regulations.</w:t>
      </w:r>
      <w:r w:rsidRPr="00634C3C">
        <w:rPr>
          <w:rFonts w:asciiTheme="minorBidi" w:hAnsiTheme="minorBidi"/>
          <w:snapToGrid w:val="0"/>
          <w:sz w:val="22"/>
          <w:szCs w:val="22"/>
          <w:shd w:val="clear" w:color="auto" w:fill="FFFFFF"/>
          <w:lang w:val="en-GB" w:eastAsia="en-US"/>
        </w:rPr>
        <w:t xml:space="preserve"> </w:t>
      </w:r>
    </w:p>
    <w:p w14:paraId="22839770" w14:textId="77777777" w:rsidR="00634C3C" w:rsidRPr="00634C3C" w:rsidRDefault="00634C3C" w:rsidP="00634C3C">
      <w:pPr>
        <w:ind w:left="567"/>
        <w:contextualSpacing/>
        <w:jc w:val="both"/>
        <w:rPr>
          <w:rFonts w:asciiTheme="minorBidi" w:hAnsiTheme="minorBidi" w:cstheme="minorBidi"/>
          <w:bCs/>
          <w:sz w:val="22"/>
          <w:szCs w:val="22"/>
          <w:lang w:val="en-GB"/>
        </w:rPr>
      </w:pPr>
      <w:r w:rsidRPr="00634C3C">
        <w:rPr>
          <w:rFonts w:asciiTheme="minorBidi" w:hAnsiTheme="minorBidi" w:cstheme="minorBidi"/>
          <w:b/>
          <w:sz w:val="22"/>
          <w:szCs w:val="22"/>
          <w:lang w:val="en-GB"/>
        </w:rPr>
        <w:t>Paragraph 10(a):</w:t>
      </w:r>
      <w:r w:rsidRPr="00634C3C">
        <w:rPr>
          <w:rFonts w:asciiTheme="minorBidi" w:hAnsiTheme="minorBidi" w:cstheme="minorBidi"/>
          <w:bCs/>
          <w:sz w:val="22"/>
          <w:szCs w:val="22"/>
          <w:lang w:val="en-GB"/>
        </w:rPr>
        <w:t xml:space="preserve"> The project is national in scope and will involve the Ministries of Culture, Higher Education, Youth and Tourism and the Supreme Council of Culture. Academics and non-governmental artistic organizations – namely, the </w:t>
      </w:r>
      <w:proofErr w:type="spellStart"/>
      <w:r w:rsidRPr="00634C3C">
        <w:rPr>
          <w:rFonts w:asciiTheme="minorBidi" w:hAnsiTheme="minorBidi" w:cstheme="minorBidi"/>
          <w:bCs/>
          <w:sz w:val="22"/>
          <w:szCs w:val="22"/>
          <w:lang w:val="en-GB"/>
        </w:rPr>
        <w:t>Wamda</w:t>
      </w:r>
      <w:proofErr w:type="spellEnd"/>
      <w:r w:rsidRPr="00634C3C">
        <w:rPr>
          <w:rFonts w:asciiTheme="minorBidi" w:hAnsiTheme="minorBidi" w:cstheme="minorBidi"/>
          <w:bCs/>
          <w:sz w:val="22"/>
          <w:szCs w:val="22"/>
          <w:lang w:val="en-GB"/>
        </w:rPr>
        <w:t xml:space="preserve"> Troupe for </w:t>
      </w:r>
      <w:proofErr w:type="spellStart"/>
      <w:r w:rsidRPr="00634C3C">
        <w:rPr>
          <w:rFonts w:asciiTheme="minorBidi" w:hAnsiTheme="minorBidi" w:cstheme="minorBidi"/>
          <w:bCs/>
          <w:sz w:val="22"/>
          <w:szCs w:val="22"/>
          <w:lang w:val="en-GB"/>
        </w:rPr>
        <w:t>Aragoz</w:t>
      </w:r>
      <w:proofErr w:type="spellEnd"/>
      <w:r w:rsidRPr="00634C3C">
        <w:rPr>
          <w:rFonts w:asciiTheme="minorBidi" w:hAnsiTheme="minorBidi" w:cstheme="minorBidi"/>
          <w:bCs/>
          <w:sz w:val="22"/>
          <w:szCs w:val="22"/>
          <w:lang w:val="en-GB"/>
        </w:rPr>
        <w:t xml:space="preserve"> and Shadow Shows – will also participate in the project. </w:t>
      </w:r>
    </w:p>
    <w:p w14:paraId="2D55706A"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napToGrid w:val="0"/>
          <w:sz w:val="22"/>
          <w:szCs w:val="22"/>
          <w:lang w:val="en-GB" w:eastAsia="en-US"/>
        </w:rPr>
        <w:t xml:space="preserve">Paragraph 10(b): </w:t>
      </w:r>
      <w:r w:rsidRPr="00634C3C">
        <w:rPr>
          <w:rFonts w:asciiTheme="minorBidi" w:hAnsiTheme="minorBidi" w:cstheme="minorBidi"/>
          <w:sz w:val="22"/>
          <w:szCs w:val="22"/>
          <w:lang w:val="en-GB"/>
        </w:rPr>
        <w:t xml:space="preserve">The project is expected to revitalize this popular art expression at the national level. It also seeks </w:t>
      </w:r>
      <w:r w:rsidRPr="00634C3C">
        <w:rPr>
          <w:rFonts w:asciiTheme="minorBidi" w:hAnsiTheme="minorBidi" w:cstheme="minorBidi"/>
          <w:bCs/>
          <w:snapToGrid w:val="0"/>
          <w:sz w:val="22"/>
          <w:szCs w:val="22"/>
          <w:lang w:val="en-GB" w:eastAsia="en-US"/>
        </w:rPr>
        <w:t xml:space="preserve">to establish partnerships between governmental institutions, private sector entities, and civil society organizations, with the aim of facilitating the mobilization of financial and technical resources for the safeguarding of the element. </w:t>
      </w:r>
    </w:p>
    <w:p w14:paraId="41C66C59" w14:textId="77777777" w:rsidR="00634C3C" w:rsidRPr="00634C3C" w:rsidRDefault="00634C3C" w:rsidP="00634C3C">
      <w:pPr>
        <w:numPr>
          <w:ilvl w:val="0"/>
          <w:numId w:val="25"/>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Approves</w:t>
      </w:r>
      <w:r w:rsidRPr="00634C3C">
        <w:rPr>
          <w:rFonts w:asciiTheme="minorBidi" w:hAnsiTheme="minorBidi" w:cstheme="minorBidi"/>
          <w:sz w:val="22"/>
          <w:szCs w:val="22"/>
          <w:lang w:val="en-GB"/>
        </w:rPr>
        <w:t xml:space="preserve"> the International Assistance request from Egypt for the project entitled </w:t>
      </w:r>
      <w:r w:rsidRPr="00634C3C">
        <w:rPr>
          <w:rFonts w:asciiTheme="minorBidi" w:hAnsiTheme="minorBidi" w:cstheme="minorBidi"/>
          <w:b/>
          <w:bCs/>
          <w:sz w:val="22"/>
          <w:szCs w:val="22"/>
          <w:lang w:val="en-GB"/>
        </w:rPr>
        <w:t>Safeguarding and capacity-building for the intangible cultural heritage of Al-</w:t>
      </w:r>
      <w:proofErr w:type="spellStart"/>
      <w:r w:rsidRPr="00634C3C">
        <w:rPr>
          <w:rFonts w:asciiTheme="minorBidi" w:hAnsiTheme="minorBidi" w:cstheme="minorBidi"/>
          <w:b/>
          <w:bCs/>
          <w:sz w:val="22"/>
          <w:szCs w:val="22"/>
          <w:lang w:val="en-GB"/>
        </w:rPr>
        <w:t>Aragoz</w:t>
      </w:r>
      <w:proofErr w:type="spellEnd"/>
      <w:r w:rsidRPr="00634C3C">
        <w:rPr>
          <w:rFonts w:asciiTheme="minorBidi" w:hAnsiTheme="minorBidi" w:cstheme="minorBidi"/>
          <w:b/>
          <w:bCs/>
          <w:sz w:val="22"/>
          <w:szCs w:val="22"/>
          <w:lang w:val="en-GB"/>
        </w:rPr>
        <w:t xml:space="preserve"> traditional hand puppetry in Egypt</w:t>
      </w:r>
      <w:r w:rsidRPr="00634C3C">
        <w:rPr>
          <w:rFonts w:asciiTheme="minorBidi" w:hAnsiTheme="minorBidi" w:cstheme="minorBidi"/>
          <w:bCs/>
          <w:sz w:val="22"/>
          <w:szCs w:val="22"/>
          <w:lang w:val="en-GB"/>
        </w:rPr>
        <w:t>,</w:t>
      </w:r>
      <w:r w:rsidRPr="00634C3C" w:rsidDel="00A801D7">
        <w:rPr>
          <w:rFonts w:asciiTheme="minorBidi" w:hAnsiTheme="minorBidi" w:cstheme="minorBidi"/>
          <w:b/>
          <w:sz w:val="22"/>
          <w:szCs w:val="22"/>
          <w:lang w:val="en-GB"/>
        </w:rPr>
        <w:t xml:space="preserve"> </w:t>
      </w:r>
      <w:r w:rsidRPr="00634C3C">
        <w:rPr>
          <w:rFonts w:asciiTheme="minorBidi" w:hAnsiTheme="minorBidi" w:cstheme="minorBidi"/>
          <w:sz w:val="22"/>
          <w:szCs w:val="22"/>
          <w:lang w:val="en-GB"/>
        </w:rPr>
        <w:t xml:space="preserve">and </w:t>
      </w:r>
      <w:r w:rsidRPr="00634C3C">
        <w:rPr>
          <w:rFonts w:asciiTheme="minorBidi" w:hAnsiTheme="minorBidi" w:cstheme="minorBidi"/>
          <w:sz w:val="22"/>
          <w:szCs w:val="22"/>
          <w:u w:val="single"/>
          <w:lang w:val="en-GB"/>
        </w:rPr>
        <w:t>grants</w:t>
      </w:r>
      <w:r w:rsidRPr="00634C3C">
        <w:rPr>
          <w:rFonts w:asciiTheme="minorBidi" w:hAnsiTheme="minorBidi" w:cstheme="minorBidi"/>
          <w:sz w:val="22"/>
          <w:szCs w:val="22"/>
          <w:lang w:val="en-GB"/>
        </w:rPr>
        <w:t xml:space="preserve"> the amount of US$99,840 </w:t>
      </w:r>
      <w:r w:rsidRPr="00634C3C">
        <w:rPr>
          <w:rFonts w:asciiTheme="minorBidi" w:eastAsia="SimSun" w:hAnsiTheme="minorBidi" w:cstheme="minorBidi"/>
          <w:sz w:val="22"/>
          <w:szCs w:val="22"/>
          <w:lang w:val="en-GB" w:eastAsia="ko-KR"/>
        </w:rPr>
        <w:t>for the implementation of this project</w:t>
      </w:r>
      <w:r w:rsidRPr="00634C3C">
        <w:rPr>
          <w:rFonts w:asciiTheme="minorBidi" w:hAnsiTheme="minorBidi" w:cstheme="minorBidi"/>
          <w:sz w:val="22"/>
          <w:szCs w:val="22"/>
          <w:lang w:val="en-GB"/>
        </w:rPr>
        <w:t>;</w:t>
      </w:r>
    </w:p>
    <w:p w14:paraId="74376400" w14:textId="77777777" w:rsidR="00634C3C" w:rsidRPr="00634C3C" w:rsidRDefault="00634C3C" w:rsidP="00634C3C">
      <w:pPr>
        <w:pStyle w:val="ListParagraph"/>
        <w:numPr>
          <w:ilvl w:val="0"/>
          <w:numId w:val="25"/>
        </w:numPr>
        <w:spacing w:before="120" w:after="120"/>
        <w:ind w:left="567" w:hanging="567"/>
        <w:contextualSpacing w:val="0"/>
        <w:jc w:val="both"/>
        <w:rPr>
          <w:rFonts w:asciiTheme="minorBidi" w:hAnsiTheme="minorBidi" w:cstheme="minorBidi"/>
          <w:sz w:val="22"/>
          <w:szCs w:val="22"/>
          <w:lang w:val="en-GB"/>
        </w:rPr>
      </w:pPr>
      <w:bookmarkStart w:id="1" w:name="_Hlk210147202"/>
      <w:r w:rsidRPr="00634C3C">
        <w:rPr>
          <w:rFonts w:asciiTheme="minorBidi" w:hAnsiTheme="minorBidi" w:cstheme="minorBidi"/>
          <w:sz w:val="22"/>
          <w:szCs w:val="22"/>
          <w:u w:val="single"/>
          <w:lang w:val="en-GB"/>
        </w:rPr>
        <w:t>Commends</w:t>
      </w:r>
      <w:r w:rsidRPr="00634C3C">
        <w:rPr>
          <w:rFonts w:asciiTheme="minorBidi" w:hAnsiTheme="minorBidi" w:cstheme="minorBidi"/>
          <w:sz w:val="22"/>
          <w:szCs w:val="22"/>
          <w:lang w:val="en-GB"/>
        </w:rPr>
        <w:t xml:space="preserve"> the State Party for the submission of an International Assistance request to implement the updated safeguarding measures outlined in its latest periodic report (submitted in December 2022) on the status of the element ‘Traditional hand puppetry’, demonstrating the effective use, in an inter-related manner, of the international cooperation mechanisms of the Convention;</w:t>
      </w:r>
    </w:p>
    <w:bookmarkEnd w:id="1"/>
    <w:p w14:paraId="0C0453C2" w14:textId="77777777" w:rsidR="00634C3C" w:rsidRPr="00634C3C" w:rsidRDefault="00634C3C" w:rsidP="00634C3C">
      <w:pPr>
        <w:pStyle w:val="ListParagraph"/>
        <w:numPr>
          <w:ilvl w:val="0"/>
          <w:numId w:val="25"/>
        </w:numPr>
        <w:spacing w:before="120" w:after="120"/>
        <w:ind w:left="567" w:hanging="567"/>
        <w:contextualSpacing w:val="0"/>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Notes with interest</w:t>
      </w:r>
      <w:r w:rsidRPr="00634C3C">
        <w:rPr>
          <w:rFonts w:asciiTheme="minorBidi" w:hAnsiTheme="minorBidi" w:cstheme="minorBidi"/>
          <w:sz w:val="22"/>
          <w:szCs w:val="22"/>
          <w:lang w:val="en-GB"/>
        </w:rPr>
        <w:t xml:space="preserve"> the gender-balanced approach developed in the project and </w:t>
      </w:r>
      <w:r w:rsidRPr="00634C3C">
        <w:rPr>
          <w:rFonts w:asciiTheme="minorBidi" w:hAnsiTheme="minorBidi" w:cstheme="minorBidi"/>
          <w:sz w:val="22"/>
          <w:szCs w:val="22"/>
          <w:u w:val="single"/>
          <w:lang w:val="en-GB"/>
        </w:rPr>
        <w:t>encourages</w:t>
      </w:r>
      <w:r w:rsidRPr="00634C3C">
        <w:rPr>
          <w:rFonts w:asciiTheme="minorBidi" w:hAnsiTheme="minorBidi" w:cstheme="minorBidi"/>
          <w:sz w:val="22"/>
          <w:szCs w:val="22"/>
          <w:lang w:val="en-GB"/>
        </w:rPr>
        <w:t xml:space="preserve"> the State Party to share experience gained from the project on showcasing inclusive safeguarding experiences;</w:t>
      </w:r>
    </w:p>
    <w:p w14:paraId="1D0DE16A" w14:textId="77777777" w:rsidR="00634C3C" w:rsidRPr="00634C3C" w:rsidRDefault="00634C3C" w:rsidP="00634C3C">
      <w:pPr>
        <w:pStyle w:val="ListParagraph"/>
        <w:numPr>
          <w:ilvl w:val="0"/>
          <w:numId w:val="25"/>
        </w:numPr>
        <w:spacing w:before="120" w:after="120"/>
        <w:ind w:left="567" w:hanging="567"/>
        <w:contextualSpacing w:val="0"/>
        <w:jc w:val="both"/>
        <w:rPr>
          <w:rFonts w:asciiTheme="minorBidi" w:hAnsiTheme="minorBidi" w:cstheme="minorBidi"/>
          <w:sz w:val="22"/>
          <w:szCs w:val="22"/>
          <w:u w:val="single"/>
          <w:lang w:val="en-GB"/>
        </w:rPr>
      </w:pPr>
      <w:r w:rsidRPr="00634C3C">
        <w:rPr>
          <w:rFonts w:asciiTheme="minorBidi" w:hAnsiTheme="minorBidi" w:cstheme="minorBidi"/>
          <w:sz w:val="22"/>
          <w:szCs w:val="22"/>
          <w:u w:val="single"/>
          <w:lang w:val="en-GB"/>
        </w:rPr>
        <w:t>Requests</w:t>
      </w:r>
      <w:r w:rsidRPr="00634C3C">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388D723B" w14:textId="77777777" w:rsidR="00634C3C" w:rsidRPr="00634C3C" w:rsidRDefault="00634C3C" w:rsidP="00634C3C">
      <w:pPr>
        <w:numPr>
          <w:ilvl w:val="0"/>
          <w:numId w:val="25"/>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Invites</w:t>
      </w:r>
      <w:r w:rsidRPr="00634C3C">
        <w:rPr>
          <w:rFonts w:asciiTheme="minorBidi" w:hAnsiTheme="minorBidi" w:cstheme="minorBidi"/>
          <w:sz w:val="22"/>
          <w:szCs w:val="22"/>
          <w:lang w:val="en-GB"/>
        </w:rPr>
        <w:t xml:space="preserve"> the requesting State Party to use Form ICH-04-Report to report on the use of the assistance granted.</w:t>
      </w:r>
    </w:p>
    <w:bookmarkEnd w:id="0"/>
    <w:p w14:paraId="2564094B" w14:textId="1D8967BC" w:rsidR="00634C3C" w:rsidRPr="00677233" w:rsidRDefault="00634C3C" w:rsidP="00634C3C">
      <w:pPr>
        <w:pStyle w:val="COMTitleDecision"/>
        <w:ind w:left="0"/>
      </w:pPr>
      <w:r w:rsidRPr="00677233">
        <w:t>DECISION 20.COM 4.BUR </w:t>
      </w:r>
      <w:r>
        <w:t>3.2</w:t>
      </w:r>
    </w:p>
    <w:p w14:paraId="09C53D25" w14:textId="77777777" w:rsidR="00634C3C" w:rsidRPr="00634C3C" w:rsidRDefault="00634C3C" w:rsidP="00634C3C">
      <w:pPr>
        <w:keepNext/>
        <w:spacing w:before="120" w:after="120"/>
        <w:jc w:val="both"/>
        <w:rPr>
          <w:rFonts w:asciiTheme="minorBidi" w:hAnsiTheme="minorBidi" w:cstheme="minorBidi"/>
          <w:sz w:val="22"/>
          <w:szCs w:val="22"/>
          <w:lang w:val="en-GB"/>
        </w:rPr>
      </w:pPr>
      <w:r w:rsidRPr="00634C3C">
        <w:rPr>
          <w:rFonts w:asciiTheme="minorBidi" w:hAnsiTheme="minorBidi" w:cstheme="minorBidi"/>
          <w:sz w:val="22"/>
          <w:szCs w:val="22"/>
          <w:lang w:val="en-GB"/>
        </w:rPr>
        <w:t>The Bureau,</w:t>
      </w:r>
    </w:p>
    <w:p w14:paraId="6EC75F13"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Recalling</w:t>
      </w:r>
      <w:r w:rsidRPr="00634C3C">
        <w:rPr>
          <w:rFonts w:asciiTheme="minorBidi" w:hAnsiTheme="minorBidi" w:cstheme="minorBidi"/>
          <w:sz w:val="22"/>
          <w:szCs w:val="22"/>
          <w:lang w:val="en-GB"/>
        </w:rPr>
        <w:t xml:space="preserve"> Chapter V of the Convention as well as Chapter I.4 of the Operational Directives relating to the eligibility and selection criteria of International Assistance requests,</w:t>
      </w:r>
    </w:p>
    <w:p w14:paraId="7197434D"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Having examined</w:t>
      </w:r>
      <w:r w:rsidRPr="00634C3C">
        <w:rPr>
          <w:rFonts w:asciiTheme="minorBidi" w:hAnsiTheme="minorBidi" w:cstheme="minorBidi"/>
          <w:sz w:val="22"/>
          <w:szCs w:val="22"/>
          <w:lang w:val="en-GB"/>
        </w:rPr>
        <w:t xml:space="preserve"> document LHE/25/20.COM 4.BUR/3 as well as International Assistance request no. 02462 submitted by Nepal,</w:t>
      </w:r>
    </w:p>
    <w:p w14:paraId="52FDD449"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Takes note</w:t>
      </w:r>
      <w:r w:rsidRPr="00634C3C">
        <w:rPr>
          <w:rFonts w:asciiTheme="minorBidi" w:hAnsiTheme="minorBidi" w:cstheme="minorBidi"/>
          <w:sz w:val="22"/>
          <w:szCs w:val="22"/>
          <w:lang w:val="en-GB"/>
        </w:rPr>
        <w:t xml:space="preserve"> that Nepal has requested International Assistance for the project entitled </w:t>
      </w:r>
      <w:r w:rsidRPr="00634C3C">
        <w:rPr>
          <w:rFonts w:asciiTheme="minorBidi" w:hAnsiTheme="minorBidi" w:cstheme="minorBidi"/>
          <w:b/>
          <w:bCs/>
          <w:sz w:val="22"/>
          <w:szCs w:val="22"/>
          <w:lang w:val="en-GB"/>
        </w:rPr>
        <w:t>Development of inventory of intangible cultural heritage covering all seven provinces of Nepal</w:t>
      </w:r>
      <w:r w:rsidRPr="00634C3C">
        <w:rPr>
          <w:rFonts w:asciiTheme="minorBidi" w:hAnsiTheme="minorBidi" w:cstheme="minorBidi"/>
          <w:bCs/>
          <w:sz w:val="22"/>
          <w:szCs w:val="22"/>
          <w:lang w:val="en-GB"/>
        </w:rPr>
        <w:t>:</w:t>
      </w:r>
    </w:p>
    <w:p w14:paraId="6EC5E356" w14:textId="77777777" w:rsidR="00634C3C" w:rsidRPr="00634C3C" w:rsidRDefault="00634C3C" w:rsidP="00634C3C">
      <w:pPr>
        <w:ind w:left="567"/>
        <w:jc w:val="both"/>
        <w:rPr>
          <w:rFonts w:asciiTheme="minorBidi" w:hAnsiTheme="minorBidi" w:cstheme="minorBidi"/>
          <w:sz w:val="22"/>
          <w:szCs w:val="22"/>
          <w:lang w:val="en-GB"/>
        </w:rPr>
      </w:pPr>
      <w:r w:rsidRPr="00634C3C">
        <w:rPr>
          <w:rFonts w:asciiTheme="minorBidi" w:hAnsiTheme="minorBidi" w:cstheme="minorBidi"/>
          <w:sz w:val="22"/>
          <w:szCs w:val="22"/>
          <w:lang w:val="en-GB"/>
        </w:rPr>
        <w:t>To be implemented by the UNESCO Office in Kathmandu, in close collaboration with the Ministry of Culture, Tourism and Civil Aviation (</w:t>
      </w:r>
      <w:proofErr w:type="spellStart"/>
      <w:r w:rsidRPr="00634C3C">
        <w:rPr>
          <w:rFonts w:asciiTheme="minorBidi" w:hAnsiTheme="minorBidi" w:cstheme="minorBidi"/>
          <w:sz w:val="22"/>
          <w:szCs w:val="22"/>
          <w:lang w:val="en-GB"/>
        </w:rPr>
        <w:t>MoCTCA</w:t>
      </w:r>
      <w:proofErr w:type="spellEnd"/>
      <w:r w:rsidRPr="00634C3C">
        <w:rPr>
          <w:rFonts w:asciiTheme="minorBidi" w:hAnsiTheme="minorBidi" w:cstheme="minorBidi"/>
          <w:sz w:val="22"/>
          <w:szCs w:val="22"/>
          <w:lang w:val="en-GB"/>
        </w:rPr>
        <w:t>) of Nepal, this twenty-four-month project aims to safeguard intangible cultural heritage in Nepal. The project entails raising awareness of the 2003 Convention and promoting its implementation, building capacity for community-based inventorying, and developing an inventory of at least twenty intangible cultural heritage elements. Activities include conducting community-based inventorying workshops for indigenous communities and enhancing visibility and awareness about living heritage through its inventorying and documentation. The project emphasizes the involvement of bearers and practitioners, including representatives from indigenous communities. In addition to strengthening Nepal’s overall capacity to safeguard its intangible cultural heritage, the project’s participatory approach will empower communities to take an active role in identifying and implementing safeguarding measures. It will also equip community members – especially youth – with the skills necessary to conduct workshops and training sessions in their own and in other interested communities, further strengthening awareness and inventorying skills. Moreover, the increased visibility of living heritage is expected to attract financial support from local governments, private organizations and international donors, thus enabling additional safeguarding and promotional activities.</w:t>
      </w:r>
    </w:p>
    <w:p w14:paraId="38AF4CE2" w14:textId="77777777" w:rsidR="00634C3C" w:rsidRPr="00677233" w:rsidRDefault="00634C3C" w:rsidP="00634C3C">
      <w:pPr>
        <w:numPr>
          <w:ilvl w:val="0"/>
          <w:numId w:val="26"/>
        </w:numPr>
        <w:spacing w:before="120"/>
        <w:ind w:left="567" w:hanging="567"/>
        <w:jc w:val="both"/>
        <w:rPr>
          <w:rFonts w:asciiTheme="minorBidi" w:hAnsiTheme="minorBidi" w:cstheme="minorBidi"/>
          <w:sz w:val="22"/>
          <w:szCs w:val="22"/>
        </w:rPr>
      </w:pPr>
      <w:proofErr w:type="spellStart"/>
      <w:r w:rsidRPr="00677233">
        <w:rPr>
          <w:rFonts w:asciiTheme="minorBidi" w:hAnsiTheme="minorBidi" w:cstheme="minorBidi"/>
          <w:sz w:val="22"/>
          <w:szCs w:val="22"/>
          <w:u w:val="single"/>
        </w:rPr>
        <w:t>Further</w:t>
      </w:r>
      <w:proofErr w:type="spellEnd"/>
      <w:r w:rsidRPr="00677233">
        <w:rPr>
          <w:rFonts w:asciiTheme="minorBidi" w:hAnsiTheme="minorBidi" w:cstheme="minorBidi"/>
          <w:sz w:val="22"/>
          <w:szCs w:val="22"/>
          <w:u w:val="single"/>
        </w:rPr>
        <w:t xml:space="preserve"> </w:t>
      </w:r>
      <w:proofErr w:type="spellStart"/>
      <w:r w:rsidRPr="00677233">
        <w:rPr>
          <w:rFonts w:asciiTheme="minorBidi" w:hAnsiTheme="minorBidi" w:cstheme="minorBidi"/>
          <w:sz w:val="22"/>
          <w:szCs w:val="22"/>
          <w:u w:val="single"/>
        </w:rPr>
        <w:t>takes</w:t>
      </w:r>
      <w:proofErr w:type="spellEnd"/>
      <w:r w:rsidRPr="00677233">
        <w:rPr>
          <w:rFonts w:asciiTheme="minorBidi" w:hAnsiTheme="minorBidi" w:cstheme="minorBidi"/>
          <w:sz w:val="22"/>
          <w:szCs w:val="22"/>
          <w:u w:val="single"/>
        </w:rPr>
        <w:t xml:space="preserve"> note</w:t>
      </w:r>
      <w:r w:rsidRPr="00677233">
        <w:rPr>
          <w:rFonts w:asciiTheme="minorBidi" w:hAnsiTheme="minorBidi" w:cstheme="minorBidi"/>
          <w:sz w:val="22"/>
          <w:szCs w:val="22"/>
        </w:rPr>
        <w:t xml:space="preserve"> </w:t>
      </w:r>
      <w:proofErr w:type="spellStart"/>
      <w:r w:rsidRPr="00677233">
        <w:rPr>
          <w:rFonts w:asciiTheme="minorBidi" w:hAnsiTheme="minorBidi" w:cstheme="minorBidi"/>
          <w:sz w:val="22"/>
          <w:szCs w:val="22"/>
        </w:rPr>
        <w:t>that</w:t>
      </w:r>
      <w:proofErr w:type="spellEnd"/>
      <w:r w:rsidRPr="00677233">
        <w:rPr>
          <w:rFonts w:asciiTheme="minorBidi" w:hAnsiTheme="minorBidi" w:cstheme="minorBidi"/>
          <w:sz w:val="22"/>
          <w:szCs w:val="22"/>
        </w:rPr>
        <w:t xml:space="preserve">: </w:t>
      </w:r>
    </w:p>
    <w:p w14:paraId="382550A5" w14:textId="77777777" w:rsidR="00634C3C" w:rsidRPr="00634C3C" w:rsidRDefault="00634C3C" w:rsidP="00634C3C">
      <w:pPr>
        <w:pStyle w:val="ListParagraph"/>
        <w:numPr>
          <w:ilvl w:val="1"/>
          <w:numId w:val="28"/>
        </w:numPr>
        <w:spacing w:before="120" w:after="120"/>
        <w:ind w:left="1135" w:hanging="284"/>
        <w:contextualSpacing w:val="0"/>
        <w:jc w:val="both"/>
        <w:rPr>
          <w:rFonts w:asciiTheme="minorBidi" w:hAnsiTheme="minorBidi" w:cstheme="minorBidi"/>
          <w:sz w:val="22"/>
          <w:szCs w:val="22"/>
          <w:lang w:val="en-GB"/>
        </w:rPr>
      </w:pPr>
      <w:r w:rsidRPr="00634C3C">
        <w:rPr>
          <w:rFonts w:asciiTheme="minorBidi" w:hAnsiTheme="minorBidi" w:cstheme="minorBidi"/>
          <w:sz w:val="22"/>
          <w:szCs w:val="22"/>
          <w:lang w:val="en-GB"/>
        </w:rPr>
        <w:t>This assistance is to support a project implemented at the national level, in accordance with Article 20 (c) of the Convention;</w:t>
      </w:r>
    </w:p>
    <w:p w14:paraId="0A939BEB" w14:textId="77777777" w:rsidR="00634C3C" w:rsidRPr="00634C3C" w:rsidRDefault="00634C3C" w:rsidP="00634C3C">
      <w:pPr>
        <w:pStyle w:val="ListParagraph"/>
        <w:numPr>
          <w:ilvl w:val="1"/>
          <w:numId w:val="28"/>
        </w:numPr>
        <w:spacing w:before="120" w:after="120"/>
        <w:ind w:left="1135" w:hanging="284"/>
        <w:contextualSpacing w:val="0"/>
        <w:jc w:val="both"/>
        <w:rPr>
          <w:rFonts w:asciiTheme="minorBidi" w:hAnsiTheme="minorBidi" w:cstheme="minorBidi"/>
          <w:sz w:val="22"/>
          <w:szCs w:val="22"/>
          <w:lang w:val="en-GB"/>
        </w:rPr>
      </w:pPr>
      <w:r w:rsidRPr="00634C3C">
        <w:rPr>
          <w:rFonts w:asciiTheme="minorBidi" w:hAnsiTheme="minorBidi" w:cstheme="minorBidi"/>
          <w:sz w:val="22"/>
          <w:szCs w:val="22"/>
          <w:lang w:val="en-GB"/>
        </w:rPr>
        <w:t>The State Party has requested International Assistance that will take the form of services from UNESCO to the State; and</w:t>
      </w:r>
    </w:p>
    <w:p w14:paraId="5BD12EE8" w14:textId="77777777" w:rsidR="00634C3C" w:rsidRPr="00634C3C" w:rsidRDefault="00634C3C" w:rsidP="00634C3C">
      <w:pPr>
        <w:pStyle w:val="ListParagraph"/>
        <w:numPr>
          <w:ilvl w:val="1"/>
          <w:numId w:val="28"/>
        </w:numPr>
        <w:spacing w:before="120" w:after="120"/>
        <w:ind w:left="1135" w:hanging="284"/>
        <w:contextualSpacing w:val="0"/>
        <w:jc w:val="both"/>
        <w:rPr>
          <w:rFonts w:asciiTheme="minorBidi" w:hAnsiTheme="minorBidi" w:cstheme="minorBidi"/>
          <w:sz w:val="22"/>
          <w:szCs w:val="22"/>
          <w:lang w:val="en-GB"/>
        </w:rPr>
      </w:pPr>
      <w:r w:rsidRPr="00634C3C">
        <w:rPr>
          <w:rFonts w:asciiTheme="minorBidi" w:hAnsiTheme="minorBidi" w:cstheme="minorBidi"/>
          <w:sz w:val="22"/>
          <w:szCs w:val="22"/>
          <w:lang w:val="en-GB"/>
        </w:rPr>
        <w:t xml:space="preserve">The assistance therefore takes the form of the </w:t>
      </w:r>
      <w:r w:rsidRPr="00634C3C">
        <w:rPr>
          <w:rFonts w:asciiTheme="minorBidi" w:hAnsiTheme="minorBidi" w:cstheme="minorBidi"/>
          <w:b/>
          <w:bCs/>
          <w:sz w:val="22"/>
          <w:szCs w:val="22"/>
          <w:lang w:val="en-GB"/>
        </w:rPr>
        <w:t>provision of services</w:t>
      </w:r>
      <w:r w:rsidRPr="00634C3C">
        <w:rPr>
          <w:rFonts w:asciiTheme="minorBidi" w:hAnsiTheme="minorBidi" w:cstheme="minorBidi"/>
          <w:sz w:val="22"/>
          <w:szCs w:val="22"/>
          <w:lang w:val="en-GB"/>
        </w:rPr>
        <w:t xml:space="preserve"> from UNESCO (100 per cent of the financial transactions are to be managed by UNESCO), pursuant to Article 21 (b) and (g) of the Convention;</w:t>
      </w:r>
    </w:p>
    <w:p w14:paraId="03015E64" w14:textId="77777777" w:rsidR="00634C3C" w:rsidRPr="00634C3C" w:rsidRDefault="00634C3C" w:rsidP="00634C3C">
      <w:pPr>
        <w:keepNext/>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Also takes note</w:t>
      </w:r>
      <w:r w:rsidRPr="00634C3C">
        <w:rPr>
          <w:rFonts w:asciiTheme="minorBidi" w:hAnsiTheme="minorBidi" w:cstheme="minorBidi"/>
          <w:sz w:val="22"/>
          <w:szCs w:val="22"/>
          <w:lang w:val="en-GB"/>
        </w:rPr>
        <w:t xml:space="preserve"> that the request concerns International Assistance in the amount of US$99,033 from the Intangible Cultural Heritage Fund for this project, which will be implemented by the UNESCO Office in Kathmandu, in close cooperation with the Ministry of Culture, Tourism and Civil Aviation of Nepal;</w:t>
      </w:r>
    </w:p>
    <w:p w14:paraId="668EC937" w14:textId="77777777" w:rsidR="00634C3C" w:rsidRPr="00634C3C" w:rsidRDefault="00634C3C" w:rsidP="00634C3C">
      <w:pPr>
        <w:keepNext/>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Understands</w:t>
      </w:r>
      <w:r w:rsidRPr="00634C3C">
        <w:rPr>
          <w:rFonts w:asciiTheme="minorBidi" w:hAnsiTheme="minorBidi" w:cstheme="minorBidi"/>
          <w:sz w:val="22"/>
          <w:szCs w:val="22"/>
          <w:lang w:val="en-GB"/>
        </w:rPr>
        <w:t xml:space="preserve"> that the UNESCO Office in Kathmandu will be responsible for the management of the total amount requested from the Intangible Cultural Heritage Fund, while the requesting State will be responsible for co-managing the project by: (a) organizing the trainings, workshops and meetings; (b) facilitating the selection of trainees and participants; (c) facilitating access to information and data on living heritage; and (d) providing support for the implementation of project activities.</w:t>
      </w:r>
    </w:p>
    <w:p w14:paraId="0ECA273D"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Decides</w:t>
      </w:r>
      <w:r w:rsidRPr="00634C3C">
        <w:rPr>
          <w:rFonts w:asciiTheme="minorBidi" w:hAnsiTheme="minorBidi" w:cstheme="minorBidi"/>
          <w:sz w:val="22"/>
          <w:szCs w:val="22"/>
          <w:lang w:val="en-GB"/>
        </w:rPr>
        <w:t xml:space="preserve"> that, from the information provided in file no. 02462, the request responds as follows to the criteria for granting International Assistance given in paragraphs 10 and 12 of the Operational Directives:</w:t>
      </w:r>
    </w:p>
    <w:p w14:paraId="7C501AFC"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A.1</w:t>
      </w:r>
      <w:r w:rsidRPr="00634C3C">
        <w:rPr>
          <w:rFonts w:asciiTheme="minorBidi" w:hAnsiTheme="minorBidi" w:cstheme="minorBidi"/>
          <w:b/>
          <w:bCs/>
          <w:sz w:val="22"/>
          <w:szCs w:val="22"/>
          <w:lang w:val="en-GB"/>
        </w:rPr>
        <w:t xml:space="preserve">: </w:t>
      </w:r>
      <w:r w:rsidRPr="00634C3C">
        <w:rPr>
          <w:rFonts w:asciiTheme="minorBidi" w:hAnsiTheme="minorBidi" w:cstheme="minorBidi"/>
          <w:sz w:val="22"/>
          <w:szCs w:val="22"/>
          <w:lang w:val="en-GB"/>
        </w:rPr>
        <w:t>The need to strengthen capacities for community-based inventorying of intangible cultural heritage, particularly among indigenous communities, was identified through the periodic reporting exercise</w:t>
      </w:r>
      <w:r w:rsidRPr="00677233">
        <w:rPr>
          <w:rStyle w:val="FootnoteReference"/>
          <w:rFonts w:asciiTheme="minorBidi" w:hAnsiTheme="minorBidi" w:cstheme="minorBidi"/>
          <w:sz w:val="22"/>
          <w:szCs w:val="22"/>
        </w:rPr>
        <w:footnoteReference w:id="2"/>
      </w:r>
      <w:r w:rsidRPr="00634C3C">
        <w:rPr>
          <w:rFonts w:asciiTheme="minorBidi" w:hAnsiTheme="minorBidi" w:cstheme="minorBidi"/>
          <w:sz w:val="22"/>
          <w:szCs w:val="22"/>
          <w:lang w:val="en-GB"/>
        </w:rPr>
        <w:t xml:space="preserve"> undertaken by Nepal in 2024. Representatives from seventeen communities gathered in July 2025 and expressed their wish for capacity-building training, to be followed by community-based inventorying exercises across the country. While the proposal was initiated by the Ministry of Culture, Tourism and Civil Aviation, three indigenous organizations were involved in preparing the International Assistance request. The request clearly demonstrates community involvement in all the activities foreseen in the project. They will also be part of the national coordination committee which will oversee the implementation of the project.</w:t>
      </w:r>
    </w:p>
    <w:p w14:paraId="28282EDC" w14:textId="77777777" w:rsidR="00634C3C" w:rsidRPr="00634C3C" w:rsidRDefault="00634C3C" w:rsidP="00634C3C">
      <w:pPr>
        <w:spacing w:before="120" w:after="120"/>
        <w:ind w:left="567"/>
        <w:jc w:val="both"/>
        <w:rPr>
          <w:rFonts w:asciiTheme="minorBidi" w:hAnsiTheme="minorBidi" w:cstheme="minorBidi"/>
          <w:bCs/>
          <w:sz w:val="22"/>
          <w:szCs w:val="22"/>
          <w:lang w:val="en-GB"/>
        </w:rPr>
      </w:pPr>
      <w:r w:rsidRPr="00634C3C">
        <w:rPr>
          <w:rFonts w:asciiTheme="minorBidi" w:hAnsiTheme="minorBidi" w:cstheme="minorBidi"/>
          <w:b/>
          <w:sz w:val="22"/>
          <w:szCs w:val="22"/>
          <w:lang w:val="en-GB"/>
        </w:rPr>
        <w:t>Criterion A.2</w:t>
      </w:r>
      <w:r w:rsidRPr="00634C3C">
        <w:rPr>
          <w:rFonts w:asciiTheme="minorBidi" w:hAnsiTheme="minorBidi" w:cstheme="minorBidi"/>
          <w:b/>
          <w:bCs/>
          <w:sz w:val="22"/>
          <w:szCs w:val="22"/>
          <w:lang w:val="en-GB"/>
        </w:rPr>
        <w:t>:</w:t>
      </w:r>
      <w:r w:rsidRPr="00634C3C">
        <w:rPr>
          <w:rFonts w:asciiTheme="minorBidi" w:hAnsiTheme="minorBidi" w:cstheme="minorBidi"/>
          <w:bCs/>
          <w:sz w:val="22"/>
          <w:szCs w:val="22"/>
          <w:lang w:val="en-GB"/>
        </w:rPr>
        <w:t xml:space="preserve"> </w:t>
      </w:r>
      <w:r w:rsidRPr="00634C3C">
        <w:rPr>
          <w:rFonts w:asciiTheme="minorBidi" w:hAnsiTheme="minorBidi" w:cstheme="minorBidi"/>
          <w:sz w:val="22"/>
          <w:szCs w:val="22"/>
          <w:lang w:val="en-GB"/>
        </w:rPr>
        <w:t>The budget breakdown and the proposed timetable are well-structured and in line with the activities described in the request. The amount of assistance requested is deemed appropriate.</w:t>
      </w:r>
    </w:p>
    <w:p w14:paraId="289A6466" w14:textId="77777777" w:rsidR="00634C3C" w:rsidRPr="00634C3C" w:rsidRDefault="00634C3C" w:rsidP="00634C3C">
      <w:pPr>
        <w:spacing w:before="120" w:after="120"/>
        <w:ind w:left="567"/>
        <w:jc w:val="both"/>
        <w:rPr>
          <w:rFonts w:asciiTheme="minorBidi" w:hAnsiTheme="minorBidi" w:cstheme="minorBidi"/>
          <w:bCs/>
          <w:sz w:val="22"/>
          <w:szCs w:val="22"/>
          <w:lang w:val="en-GB"/>
        </w:rPr>
      </w:pPr>
      <w:r w:rsidRPr="00634C3C">
        <w:rPr>
          <w:rFonts w:asciiTheme="minorBidi" w:hAnsiTheme="minorBidi" w:cstheme="minorBidi"/>
          <w:b/>
          <w:sz w:val="22"/>
          <w:szCs w:val="22"/>
          <w:lang w:val="en-GB"/>
        </w:rPr>
        <w:t>Criterion A.3</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request is composed of ten activities presented in a logical sequence that relate to establishing the project structure; coordinating a national awareness-raising workshop; facilitating capacity-building training and community-based inventories; producing communication materials on the elements inventoried; and conducting monitoring and evaluation, among others. The activities are clearly described and correspond to the objectives and expected results outlined in the request.</w:t>
      </w:r>
    </w:p>
    <w:p w14:paraId="460A528E"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A.4</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project is expected to have lasting results by strengthening the capacities of a significant number of individuals through the development of expertise and knowledge on the key principles of the 2003 Convention. Communication materials, including those disseminated through social media, will enhance the visibility of the project’s outcomes among civil society, youth and other stakeholders. Educational and cultural organizations will be able to use these materials to develop educational support tools, such as children’s books, games and videos that showcase living heritage and contribute to its visibility. Finally, the results of the inventories at the provincial level will be integrated into the national inventory of the requesting State. It is also expected that the partnerships established between UNESCO, national authorities and the communities concerned will serve as a foundation for future safeguarding initiatives, thus contributing to a greater appreciation of Nepal’s intangible cultural heritage. </w:t>
      </w:r>
    </w:p>
    <w:p w14:paraId="150DDF97"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A.5</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w:t>
      </w:r>
      <w:bookmarkStart w:id="2" w:name="_Hlk209012729"/>
      <w:r w:rsidRPr="00634C3C">
        <w:rPr>
          <w:rFonts w:asciiTheme="minorBidi" w:hAnsiTheme="minorBidi" w:cstheme="minorBidi"/>
          <w:sz w:val="22"/>
          <w:szCs w:val="22"/>
          <w:lang w:val="en-GB"/>
        </w:rPr>
        <w:t>The requesting State Party will contribute 4 per cent (US$4,875) and the UNESCO Office in Kathmandu will contribute 11 per cent (in-kind contribution of US$12,836) of the total amount of the project budget (US$116,744). Consequently, International Assistance is requested from the Intangible Cultural Heritage Fund for the remaining 85 per cent of the total amount of the project.</w:t>
      </w:r>
    </w:p>
    <w:bookmarkEnd w:id="2"/>
    <w:p w14:paraId="50475AB4"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A.6</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request demonstrates a clear focus on capacity-building for the safeguarding of intangible cultural heritage at both community and institutional levels, in line with the objectives of the 2003 Convention. Through three seven-day capacity-building workshops, at least eighty-five people will be trained in community-based inventorying. Participants will include fifty indigenous community members, twenty representatives from local authorities, ten officials from </w:t>
      </w:r>
      <w:proofErr w:type="spellStart"/>
      <w:r w:rsidRPr="00634C3C">
        <w:rPr>
          <w:rFonts w:asciiTheme="minorBidi" w:hAnsiTheme="minorBidi" w:cstheme="minorBidi"/>
          <w:sz w:val="22"/>
          <w:szCs w:val="22"/>
          <w:lang w:val="en-GB"/>
        </w:rPr>
        <w:t>MoCTCA</w:t>
      </w:r>
      <w:proofErr w:type="spellEnd"/>
      <w:r w:rsidRPr="00634C3C">
        <w:rPr>
          <w:rFonts w:asciiTheme="minorBidi" w:hAnsiTheme="minorBidi" w:cstheme="minorBidi"/>
          <w:sz w:val="22"/>
          <w:szCs w:val="22"/>
          <w:lang w:val="en-GB"/>
        </w:rPr>
        <w:t xml:space="preserve"> and five students. The training will be delivered by national facilitators using participatory methodologies and will be followed by fieldwork exercises aimed at identifying, documenting and inventorying intangible cultural heritage elements across the country. The training component also emphasizes gender inclusivity and intergenerational transmission, with a focus on empowering youth and women as future resource persons. The project will disseminate knowledge to community members in seven provinces of Nepal and support the development of future inventories at local and national levels, thereby contributing to long-term safeguarding efforts.</w:t>
      </w:r>
    </w:p>
    <w:p w14:paraId="5C6F83BB" w14:textId="77777777" w:rsidR="00634C3C" w:rsidRPr="00634C3C" w:rsidRDefault="00634C3C" w:rsidP="00634C3C">
      <w:pPr>
        <w:spacing w:after="120"/>
        <w:ind w:left="567"/>
        <w:jc w:val="both"/>
        <w:rPr>
          <w:rFonts w:asciiTheme="minorBidi" w:hAnsiTheme="minorBidi" w:cstheme="minorBidi"/>
          <w:snapToGrid w:val="0"/>
          <w:sz w:val="22"/>
          <w:szCs w:val="22"/>
          <w:shd w:val="clear" w:color="auto" w:fill="FFFFFF"/>
          <w:lang w:val="en-GB" w:eastAsia="en-US"/>
        </w:rPr>
      </w:pPr>
      <w:r w:rsidRPr="00634C3C">
        <w:rPr>
          <w:rFonts w:asciiTheme="minorBidi" w:hAnsiTheme="minorBidi" w:cstheme="minorBidi"/>
          <w:b/>
          <w:snapToGrid w:val="0"/>
          <w:sz w:val="22"/>
          <w:szCs w:val="22"/>
          <w:lang w:val="en-GB" w:eastAsia="en-US"/>
        </w:rPr>
        <w:t>Criterion A.7</w:t>
      </w:r>
      <w:r w:rsidRPr="00634C3C">
        <w:rPr>
          <w:rFonts w:asciiTheme="minorBidi" w:hAnsiTheme="minorBidi" w:cstheme="minorBidi"/>
          <w:b/>
          <w:bCs/>
          <w:snapToGrid w:val="0"/>
          <w:sz w:val="22"/>
          <w:szCs w:val="22"/>
          <w:shd w:val="clear" w:color="auto" w:fill="FFFFFF"/>
          <w:lang w:val="en-GB" w:eastAsia="en-US"/>
        </w:rPr>
        <w:t xml:space="preserve">: </w:t>
      </w:r>
      <w:r w:rsidRPr="00634C3C">
        <w:rPr>
          <w:rFonts w:asciiTheme="minorBidi" w:hAnsiTheme="minorBidi" w:cstheme="minorBidi"/>
          <w:snapToGrid w:val="0"/>
          <w:sz w:val="22"/>
          <w:szCs w:val="22"/>
          <w:shd w:val="clear" w:color="auto" w:fill="FFFFFF"/>
          <w:lang w:val="en-GB" w:eastAsia="en-US"/>
        </w:rPr>
        <w:t>The requesting State Party has not previously received any financial assistance from UNESCO under the Intangible Cultural Heritage Fund of the 2003 Convention to implement safeguarding activities in the field of intangible cultural heritage.</w:t>
      </w:r>
    </w:p>
    <w:p w14:paraId="3D1D7CB1" w14:textId="77777777" w:rsidR="00634C3C" w:rsidRPr="00634C3C" w:rsidRDefault="00634C3C" w:rsidP="00634C3C">
      <w:pPr>
        <w:ind w:left="567"/>
        <w:contextualSpacing/>
        <w:jc w:val="both"/>
        <w:rPr>
          <w:rFonts w:asciiTheme="minorBidi" w:hAnsiTheme="minorBidi" w:cstheme="minorBidi"/>
          <w:bCs/>
          <w:sz w:val="22"/>
          <w:szCs w:val="22"/>
          <w:lang w:val="en-GB"/>
        </w:rPr>
      </w:pPr>
      <w:r w:rsidRPr="00634C3C">
        <w:rPr>
          <w:rFonts w:asciiTheme="minorBidi" w:hAnsiTheme="minorBidi" w:cstheme="minorBidi"/>
          <w:b/>
          <w:sz w:val="22"/>
          <w:szCs w:val="22"/>
          <w:lang w:val="en-GB"/>
        </w:rPr>
        <w:t>Paragraph 10(a):</w:t>
      </w:r>
      <w:r w:rsidRPr="00634C3C">
        <w:rPr>
          <w:rFonts w:asciiTheme="minorBidi" w:hAnsiTheme="minorBidi" w:cstheme="minorBidi"/>
          <w:bCs/>
          <w:sz w:val="22"/>
          <w:szCs w:val="22"/>
          <w:lang w:val="en-GB"/>
        </w:rPr>
        <w:t xml:space="preserve"> The project is national in scope and involves the Ministry of Culture, Tourism and Civil Aviation, as well as local authorities, academics and community-based organizations such as the National Foundation for the Development of Indigenous Nationalities (NFDIN), the Indigenous Nationalities Commission (INC) and the Nepal Federation of Indigenous Nationalities (NEFIN).</w:t>
      </w:r>
    </w:p>
    <w:p w14:paraId="2F457163" w14:textId="77777777" w:rsidR="00634C3C" w:rsidRPr="00634C3C" w:rsidRDefault="00634C3C" w:rsidP="00634C3C">
      <w:pPr>
        <w:spacing w:before="120" w:after="120"/>
        <w:ind w:left="567"/>
        <w:jc w:val="both"/>
        <w:rPr>
          <w:rFonts w:asciiTheme="minorBidi" w:hAnsiTheme="minorBidi" w:cstheme="minorBidi"/>
          <w:bCs/>
          <w:snapToGrid w:val="0"/>
          <w:sz w:val="22"/>
          <w:szCs w:val="22"/>
          <w:lang w:val="en-GB" w:eastAsia="en-US"/>
        </w:rPr>
      </w:pPr>
      <w:r w:rsidRPr="00634C3C">
        <w:rPr>
          <w:rFonts w:asciiTheme="minorBidi" w:hAnsiTheme="minorBidi" w:cstheme="minorBidi"/>
          <w:b/>
          <w:snapToGrid w:val="0"/>
          <w:sz w:val="22"/>
          <w:szCs w:val="22"/>
          <w:lang w:val="en-GB" w:eastAsia="en-US"/>
        </w:rPr>
        <w:t xml:space="preserve">Paragraph 10(b): </w:t>
      </w:r>
      <w:r w:rsidRPr="00634C3C">
        <w:rPr>
          <w:rFonts w:asciiTheme="minorBidi" w:hAnsiTheme="minorBidi" w:cstheme="minorBidi"/>
          <w:sz w:val="22"/>
          <w:szCs w:val="22"/>
          <w:lang w:val="en-GB"/>
        </w:rPr>
        <w:t xml:space="preserve">The inventories and communication materials to be developed during the project will contribute to raising awareness among communities about the importance of safeguarding their living heritage. </w:t>
      </w:r>
      <w:r w:rsidRPr="00634C3C">
        <w:rPr>
          <w:rFonts w:asciiTheme="minorBidi" w:hAnsiTheme="minorBidi" w:cstheme="minorBidi"/>
          <w:bCs/>
          <w:snapToGrid w:val="0"/>
          <w:sz w:val="22"/>
          <w:szCs w:val="22"/>
          <w:lang w:val="en-GB" w:eastAsia="en-US"/>
        </w:rPr>
        <w:t>The project may also encourage similar initiatives for the inventorying of intangible cultural heritage in Nepal.</w:t>
      </w:r>
    </w:p>
    <w:p w14:paraId="161BA9B3"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Approves</w:t>
      </w:r>
      <w:r w:rsidRPr="00634C3C">
        <w:rPr>
          <w:rFonts w:asciiTheme="minorBidi" w:hAnsiTheme="minorBidi" w:cstheme="minorBidi"/>
          <w:sz w:val="22"/>
          <w:szCs w:val="22"/>
          <w:lang w:val="en-GB"/>
        </w:rPr>
        <w:t xml:space="preserve"> the International Assistance request from Nepal for the project entitled </w:t>
      </w:r>
      <w:r w:rsidRPr="00634C3C">
        <w:rPr>
          <w:rFonts w:asciiTheme="minorBidi" w:hAnsiTheme="minorBidi" w:cstheme="minorBidi"/>
          <w:b/>
          <w:bCs/>
          <w:sz w:val="22"/>
          <w:szCs w:val="22"/>
          <w:lang w:val="en-GB"/>
        </w:rPr>
        <w:t>Development of inventory of intangible cultural heritage covering all seven provinces of Nepal</w:t>
      </w:r>
      <w:r w:rsidRPr="00634C3C">
        <w:rPr>
          <w:rFonts w:asciiTheme="minorBidi" w:hAnsiTheme="minorBidi" w:cstheme="minorBidi"/>
          <w:bCs/>
          <w:sz w:val="22"/>
          <w:szCs w:val="22"/>
          <w:lang w:val="en-GB"/>
        </w:rPr>
        <w:t>,</w:t>
      </w:r>
      <w:r w:rsidRPr="00634C3C" w:rsidDel="00A801D7">
        <w:rPr>
          <w:rFonts w:asciiTheme="minorBidi" w:hAnsiTheme="minorBidi" w:cstheme="minorBidi"/>
          <w:b/>
          <w:sz w:val="22"/>
          <w:szCs w:val="22"/>
          <w:lang w:val="en-GB"/>
        </w:rPr>
        <w:t xml:space="preserve"> </w:t>
      </w:r>
      <w:r w:rsidRPr="00634C3C">
        <w:rPr>
          <w:rFonts w:asciiTheme="minorBidi" w:hAnsiTheme="minorBidi" w:cstheme="minorBidi"/>
          <w:sz w:val="22"/>
          <w:szCs w:val="22"/>
          <w:lang w:val="en-GB"/>
        </w:rPr>
        <w:t xml:space="preserve">and </w:t>
      </w:r>
      <w:r w:rsidRPr="00634C3C">
        <w:rPr>
          <w:rFonts w:asciiTheme="minorBidi" w:hAnsiTheme="minorBidi" w:cstheme="minorBidi"/>
          <w:sz w:val="22"/>
          <w:szCs w:val="22"/>
          <w:u w:val="single"/>
          <w:lang w:val="en-GB"/>
        </w:rPr>
        <w:t>grants</w:t>
      </w:r>
      <w:r w:rsidRPr="00634C3C">
        <w:rPr>
          <w:rFonts w:asciiTheme="minorBidi" w:hAnsiTheme="minorBidi" w:cstheme="minorBidi"/>
          <w:sz w:val="22"/>
          <w:szCs w:val="22"/>
          <w:lang w:val="en-GB"/>
        </w:rPr>
        <w:t xml:space="preserve"> the amount of US$99,033 </w:t>
      </w:r>
      <w:r w:rsidRPr="00634C3C">
        <w:rPr>
          <w:rFonts w:asciiTheme="minorBidi" w:eastAsia="SimSun" w:hAnsiTheme="minorBidi" w:cstheme="minorBidi"/>
          <w:sz w:val="22"/>
          <w:szCs w:val="22"/>
          <w:lang w:val="en-GB" w:eastAsia="ko-KR"/>
        </w:rPr>
        <w:t>for the implementation of this project according to the modality described in paragraphs 5 and 6</w:t>
      </w:r>
      <w:r w:rsidRPr="00634C3C">
        <w:rPr>
          <w:rFonts w:asciiTheme="minorBidi" w:hAnsiTheme="minorBidi" w:cstheme="minorBidi"/>
          <w:sz w:val="22"/>
          <w:szCs w:val="22"/>
          <w:lang w:val="en-GB"/>
        </w:rPr>
        <w:t>;</w:t>
      </w:r>
    </w:p>
    <w:p w14:paraId="3E49FD7C"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Commends</w:t>
      </w:r>
      <w:r w:rsidRPr="00634C3C">
        <w:rPr>
          <w:rFonts w:asciiTheme="minorBidi" w:hAnsiTheme="minorBidi" w:cstheme="minorBidi"/>
          <w:sz w:val="22"/>
          <w:szCs w:val="22"/>
          <w:lang w:val="en-GB"/>
        </w:rPr>
        <w:t xml:space="preserve"> the State Party for the submission of an International Assistance request as a direct follow up to its latest Periodic Report on the implementation of the Convention (submitted in 2024), demonstrating the effective use, in an inter-related manner, of the international cooperation mechanisms of the Convention;</w:t>
      </w:r>
    </w:p>
    <w:p w14:paraId="378E667F"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Encourages</w:t>
      </w:r>
      <w:r w:rsidRPr="00634C3C">
        <w:rPr>
          <w:rFonts w:asciiTheme="minorBidi" w:hAnsiTheme="minorBidi" w:cstheme="minorBidi"/>
          <w:sz w:val="22"/>
          <w:szCs w:val="22"/>
          <w:lang w:val="en-GB"/>
        </w:rPr>
        <w:t xml:space="preserve"> the requesting State Party to consult the </w:t>
      </w:r>
      <w:r>
        <w:fldChar w:fldCharType="begin"/>
      </w:r>
      <w:r w:rsidRPr="00187CC0">
        <w:rPr>
          <w:lang w:val="en-GB"/>
        </w:rPr>
        <w:instrText>HYPERLINK "https://ich.unesco.org/doc/src/50279-EN.pdf"</w:instrText>
      </w:r>
      <w:r>
        <w:fldChar w:fldCharType="separate"/>
      </w:r>
      <w:r w:rsidRPr="00677233">
        <w:rPr>
          <w:rStyle w:val="Hyperlink"/>
          <w:rFonts w:asciiTheme="minorBidi" w:hAnsiTheme="minorBidi" w:cstheme="minorBidi"/>
          <w:sz w:val="22"/>
          <w:szCs w:val="22"/>
        </w:rPr>
        <w:t>Guidance Note</w:t>
      </w:r>
      <w:r>
        <w:fldChar w:fldCharType="end"/>
      </w:r>
      <w:r w:rsidRPr="00634C3C">
        <w:rPr>
          <w:rFonts w:asciiTheme="minorBidi" w:hAnsiTheme="minorBidi" w:cstheme="minorBidi"/>
          <w:sz w:val="22"/>
          <w:szCs w:val="22"/>
          <w:lang w:val="en-GB"/>
        </w:rPr>
        <w:t xml:space="preserve"> (2021) on the process of inventorying intangible cultural heritage, which provides a list of issues to be considered prior to and during the inventorying process, as well as the Convention’s </w:t>
      </w:r>
      <w:r>
        <w:fldChar w:fldCharType="begin"/>
      </w:r>
      <w:r w:rsidRPr="00187CC0">
        <w:rPr>
          <w:lang w:val="en-GB"/>
        </w:rPr>
        <w:instrText>HYPERLINK "https://ich.unesco.org/en/capacity-building-materials"</w:instrText>
      </w:r>
      <w:r>
        <w:fldChar w:fldCharType="separate"/>
      </w:r>
      <w:r w:rsidRPr="00677233">
        <w:rPr>
          <w:rStyle w:val="Hyperlink"/>
          <w:rFonts w:asciiTheme="minorBidi" w:hAnsiTheme="minorBidi" w:cstheme="minorBidi"/>
          <w:sz w:val="22"/>
          <w:szCs w:val="22"/>
        </w:rPr>
        <w:t>capacity-building materials</w:t>
      </w:r>
      <w:r>
        <w:fldChar w:fldCharType="end"/>
      </w:r>
      <w:r w:rsidRPr="00677233">
        <w:rPr>
          <w:rStyle w:val="Hyperlink"/>
          <w:rFonts w:asciiTheme="minorBidi" w:hAnsiTheme="minorBidi" w:cstheme="minorBidi"/>
          <w:sz w:val="22"/>
          <w:szCs w:val="22"/>
        </w:rPr>
        <w:t xml:space="preserve"> repository</w:t>
      </w:r>
      <w:r w:rsidRPr="00634C3C">
        <w:rPr>
          <w:rFonts w:asciiTheme="minorBidi" w:hAnsiTheme="minorBidi" w:cstheme="minorBidi"/>
          <w:sz w:val="22"/>
          <w:szCs w:val="22"/>
          <w:lang w:val="en-GB"/>
        </w:rPr>
        <w:t xml:space="preserve"> on inventorying, which may also provide additional information;</w:t>
      </w:r>
    </w:p>
    <w:p w14:paraId="6CFEF7EA"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u w:val="single"/>
          <w:lang w:val="en-GB"/>
        </w:rPr>
      </w:pPr>
      <w:r w:rsidRPr="00634C3C">
        <w:rPr>
          <w:rFonts w:asciiTheme="minorBidi" w:hAnsiTheme="minorBidi" w:cstheme="minorBidi"/>
          <w:sz w:val="22"/>
          <w:szCs w:val="22"/>
          <w:u w:val="single"/>
          <w:lang w:val="en-GB"/>
        </w:rPr>
        <w:t>Requests</w:t>
      </w:r>
      <w:r w:rsidRPr="00634C3C">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0C79CDC9" w14:textId="77777777" w:rsidR="00634C3C" w:rsidRPr="00634C3C" w:rsidRDefault="00634C3C" w:rsidP="00634C3C">
      <w:pPr>
        <w:numPr>
          <w:ilvl w:val="0"/>
          <w:numId w:val="26"/>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Invites</w:t>
      </w:r>
      <w:r w:rsidRPr="00634C3C">
        <w:rPr>
          <w:rFonts w:asciiTheme="minorBidi" w:hAnsiTheme="minorBidi" w:cstheme="minorBidi"/>
          <w:sz w:val="22"/>
          <w:szCs w:val="22"/>
          <w:lang w:val="en-GB"/>
        </w:rPr>
        <w:t xml:space="preserve"> the requesting State Party to use Form ICH-04-Report to report on the use of the assistance granted.</w:t>
      </w:r>
    </w:p>
    <w:p w14:paraId="37D86293" w14:textId="5BA85EC6" w:rsidR="00634C3C" w:rsidRPr="00677233" w:rsidRDefault="00634C3C" w:rsidP="00634C3C">
      <w:pPr>
        <w:pStyle w:val="COMTitleDecision"/>
        <w:ind w:left="0"/>
      </w:pPr>
      <w:r w:rsidRPr="00677233">
        <w:t>DECISION 20.COM 4.BUR </w:t>
      </w:r>
      <w:r>
        <w:t>3.3</w:t>
      </w:r>
    </w:p>
    <w:p w14:paraId="034A70FB" w14:textId="77777777" w:rsidR="00634C3C" w:rsidRPr="00634C3C" w:rsidRDefault="00634C3C" w:rsidP="00634C3C">
      <w:pPr>
        <w:keepNext/>
        <w:spacing w:before="120" w:after="120"/>
        <w:jc w:val="both"/>
        <w:rPr>
          <w:rFonts w:asciiTheme="minorBidi" w:hAnsiTheme="minorBidi" w:cstheme="minorBidi"/>
          <w:sz w:val="22"/>
          <w:szCs w:val="22"/>
          <w:lang w:val="en-GB"/>
        </w:rPr>
      </w:pPr>
      <w:r w:rsidRPr="00634C3C">
        <w:rPr>
          <w:rFonts w:asciiTheme="minorBidi" w:hAnsiTheme="minorBidi" w:cstheme="minorBidi"/>
          <w:sz w:val="22"/>
          <w:szCs w:val="22"/>
          <w:lang w:val="en-GB"/>
        </w:rPr>
        <w:t>The Bureau,</w:t>
      </w:r>
    </w:p>
    <w:p w14:paraId="59DCFCE9" w14:textId="77777777" w:rsidR="00634C3C" w:rsidRPr="00634C3C" w:rsidRDefault="00634C3C" w:rsidP="00634C3C">
      <w:pPr>
        <w:numPr>
          <w:ilvl w:val="0"/>
          <w:numId w:val="27"/>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Recalling</w:t>
      </w:r>
      <w:r w:rsidRPr="00634C3C">
        <w:rPr>
          <w:rFonts w:asciiTheme="minorBidi" w:hAnsiTheme="minorBidi" w:cstheme="minorBidi"/>
          <w:sz w:val="22"/>
          <w:szCs w:val="22"/>
          <w:lang w:val="en-GB"/>
        </w:rPr>
        <w:t xml:space="preserve"> Chapter V of the Convention as well as Chapter I.4 of the Operational Directives relating to the eligibility and selection criteria of International Assistance requests,</w:t>
      </w:r>
    </w:p>
    <w:p w14:paraId="0DDF6B8A" w14:textId="77777777" w:rsidR="00634C3C" w:rsidRPr="00634C3C" w:rsidRDefault="00634C3C" w:rsidP="00634C3C">
      <w:pPr>
        <w:numPr>
          <w:ilvl w:val="0"/>
          <w:numId w:val="27"/>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Having examined</w:t>
      </w:r>
      <w:r w:rsidRPr="00634C3C">
        <w:rPr>
          <w:rFonts w:asciiTheme="minorBidi" w:hAnsiTheme="minorBidi" w:cstheme="minorBidi"/>
          <w:sz w:val="22"/>
          <w:szCs w:val="22"/>
          <w:lang w:val="en-GB"/>
        </w:rPr>
        <w:t xml:space="preserve"> document LHE/25/20.COM 4.BUR/3 as well as International Assistance request no. 02463 submitted by Uruguay,</w:t>
      </w:r>
    </w:p>
    <w:p w14:paraId="4F2D3F09" w14:textId="77777777" w:rsidR="00634C3C" w:rsidRPr="00634C3C" w:rsidRDefault="00634C3C" w:rsidP="00634C3C">
      <w:pPr>
        <w:numPr>
          <w:ilvl w:val="0"/>
          <w:numId w:val="27"/>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Takes note</w:t>
      </w:r>
      <w:r w:rsidRPr="00634C3C">
        <w:rPr>
          <w:rFonts w:asciiTheme="minorBidi" w:hAnsiTheme="minorBidi" w:cstheme="minorBidi"/>
          <w:sz w:val="22"/>
          <w:szCs w:val="22"/>
          <w:lang w:val="en-GB"/>
        </w:rPr>
        <w:t xml:space="preserve"> that Uruguay has requested International Assistance for the project entitled </w:t>
      </w:r>
      <w:r w:rsidRPr="00634C3C">
        <w:rPr>
          <w:rFonts w:asciiTheme="minorBidi" w:hAnsiTheme="minorBidi" w:cstheme="minorBidi"/>
          <w:b/>
          <w:bCs/>
          <w:sz w:val="22"/>
          <w:szCs w:val="22"/>
          <w:lang w:val="en-GB"/>
        </w:rPr>
        <w:t>The sound of Tango – Phase II</w:t>
      </w:r>
      <w:r w:rsidRPr="00634C3C">
        <w:rPr>
          <w:rFonts w:asciiTheme="minorBidi" w:hAnsiTheme="minorBidi" w:cstheme="minorBidi"/>
          <w:bCs/>
          <w:sz w:val="22"/>
          <w:szCs w:val="22"/>
          <w:lang w:val="en-GB"/>
        </w:rPr>
        <w:t>:</w:t>
      </w:r>
    </w:p>
    <w:p w14:paraId="15D81510" w14:textId="77777777" w:rsidR="00634C3C" w:rsidRPr="00634C3C" w:rsidRDefault="00634C3C" w:rsidP="00634C3C">
      <w:pPr>
        <w:ind w:left="567"/>
        <w:jc w:val="both"/>
        <w:rPr>
          <w:rFonts w:asciiTheme="minorBidi" w:hAnsiTheme="minorBidi" w:cstheme="minorBidi"/>
          <w:sz w:val="22"/>
          <w:szCs w:val="22"/>
          <w:lang w:val="en-GB"/>
        </w:rPr>
      </w:pPr>
      <w:r w:rsidRPr="00634C3C">
        <w:rPr>
          <w:rFonts w:asciiTheme="minorBidi" w:hAnsiTheme="minorBidi" w:cstheme="minorBidi"/>
          <w:sz w:val="22"/>
          <w:szCs w:val="22"/>
          <w:lang w:val="en-GB"/>
        </w:rPr>
        <w:t xml:space="preserve">To be implemented by the </w:t>
      </w:r>
      <w:r>
        <w:fldChar w:fldCharType="begin"/>
      </w:r>
      <w:r w:rsidRPr="00187CC0">
        <w:rPr>
          <w:lang w:val="en-GB"/>
        </w:rPr>
        <w:instrText>HYPERLINK "https://cienarte.org/"</w:instrText>
      </w:r>
      <w:r>
        <w:fldChar w:fldCharType="separate"/>
      </w:r>
      <w:proofErr w:type="spellStart"/>
      <w:r w:rsidRPr="00677233">
        <w:rPr>
          <w:rStyle w:val="Hyperlink"/>
          <w:rFonts w:asciiTheme="minorBidi" w:hAnsiTheme="minorBidi" w:cstheme="minorBidi"/>
          <w:sz w:val="22"/>
          <w:szCs w:val="22"/>
        </w:rPr>
        <w:t>Cienarte</w:t>
      </w:r>
      <w:proofErr w:type="spellEnd"/>
      <w:r w:rsidRPr="00677233">
        <w:rPr>
          <w:rStyle w:val="Hyperlink"/>
          <w:rFonts w:asciiTheme="minorBidi" w:hAnsiTheme="minorBidi" w:cstheme="minorBidi"/>
          <w:sz w:val="22"/>
          <w:szCs w:val="22"/>
        </w:rPr>
        <w:t xml:space="preserve"> Foundation</w:t>
      </w:r>
      <w:r>
        <w:fldChar w:fldCharType="end"/>
      </w:r>
      <w:r w:rsidRPr="00634C3C">
        <w:rPr>
          <w:rFonts w:asciiTheme="minorBidi" w:hAnsiTheme="minorBidi" w:cstheme="minorBidi"/>
          <w:sz w:val="22"/>
          <w:szCs w:val="22"/>
          <w:lang w:val="en-GB"/>
        </w:rPr>
        <w:t>, this twenty-six-month project aims to promote the intergenerational transmission of the Tango tradition through education, artistic activities and publications. It is the second phase of the project ‘</w:t>
      </w:r>
      <w:r>
        <w:fldChar w:fldCharType="begin"/>
      </w:r>
      <w:r w:rsidRPr="00187CC0">
        <w:rPr>
          <w:lang w:val="en-GB"/>
        </w:rPr>
        <w:instrText>HYPERLINK "https://ich.unesco.org/en/assistances/the-bandoneon-sound-of-tango-01634"</w:instrText>
      </w:r>
      <w:r>
        <w:fldChar w:fldCharType="separate"/>
      </w:r>
      <w:r w:rsidRPr="00677233">
        <w:rPr>
          <w:rStyle w:val="Hyperlink"/>
          <w:rFonts w:asciiTheme="minorBidi" w:hAnsiTheme="minorBidi" w:cstheme="minorBidi"/>
          <w:sz w:val="22"/>
          <w:szCs w:val="22"/>
        </w:rPr>
        <w:t>The Bandoneon: sound of Tango</w:t>
      </w:r>
      <w:r>
        <w:fldChar w:fldCharType="end"/>
      </w:r>
      <w:r w:rsidRPr="00634C3C">
        <w:rPr>
          <w:rFonts w:asciiTheme="minorBidi" w:hAnsiTheme="minorBidi" w:cstheme="minorBidi"/>
          <w:sz w:val="22"/>
          <w:szCs w:val="22"/>
          <w:lang w:val="en-GB"/>
        </w:rPr>
        <w:t>’ which relates to the multinational element ‘Tango’ inscribed on the Representative List of the Intangible Cultural Heritage of Humanity (Argentina and Uruguay). The first phase of the project sought to promote the revitalization of the bandoneon – an emblematic instrument associated with Tango – through research, musical training and the development of materials such as ‘</w:t>
      </w:r>
      <w:bookmarkStart w:id="3" w:name="_Hlk209090402"/>
      <w:r w:rsidRPr="00634C3C">
        <w:rPr>
          <w:rFonts w:asciiTheme="minorBidi" w:hAnsiTheme="minorBidi" w:cstheme="minorBidi"/>
          <w:sz w:val="22"/>
          <w:szCs w:val="22"/>
          <w:lang w:val="en-GB"/>
        </w:rPr>
        <w:t>Master Musician Raúl Jaurena’s Guide to Playing the Bandoneon’</w:t>
      </w:r>
      <w:bookmarkEnd w:id="3"/>
      <w:r w:rsidRPr="00634C3C">
        <w:rPr>
          <w:rFonts w:asciiTheme="minorBidi" w:hAnsiTheme="minorBidi" w:cstheme="minorBidi"/>
          <w:sz w:val="22"/>
          <w:szCs w:val="22"/>
          <w:lang w:val="en-GB"/>
        </w:rPr>
        <w:t xml:space="preserve">. The results of the first phase of the project are showcased through the </w:t>
      </w:r>
      <w:r>
        <w:fldChar w:fldCharType="begin"/>
      </w:r>
      <w:r w:rsidRPr="00187CC0">
        <w:rPr>
          <w:lang w:val="en-GB"/>
        </w:rPr>
        <w:instrText>HYPERLINK "https://ich.unesco.org/en/individual-case-study-art18-01377?id=12"</w:instrText>
      </w:r>
      <w:r>
        <w:fldChar w:fldCharType="separate"/>
      </w:r>
      <w:r w:rsidRPr="00677233">
        <w:rPr>
          <w:rStyle w:val="Hyperlink"/>
          <w:rFonts w:asciiTheme="minorBidi" w:hAnsiTheme="minorBidi" w:cstheme="minorBidi"/>
          <w:sz w:val="22"/>
          <w:szCs w:val="22"/>
        </w:rPr>
        <w:t>platform for sharing good safeguarding experiences</w:t>
      </w:r>
      <w:r>
        <w:fldChar w:fldCharType="end"/>
      </w:r>
      <w:r w:rsidRPr="00634C3C">
        <w:rPr>
          <w:rFonts w:asciiTheme="minorBidi" w:hAnsiTheme="minorBidi" w:cstheme="minorBidi"/>
          <w:sz w:val="22"/>
          <w:szCs w:val="22"/>
          <w:lang w:val="en-GB"/>
        </w:rPr>
        <w:t>, which aims to promote a broader implementation of Article 18 of the 2003 Convention. This second phase will focus on Tango music by increasing accessibility for people who are blind or have visual impairments, as well as by training mentors, raising awareness among students, and promoting bandoneon-making skills. The activities will be carried out with the support of local authorities, educational institutions, artists and civil society organizations. They entail the Braille transcription of the ‘Guide to Playing the Bandoneon’, the development of a documentary film, the production of a musical play for teenagers, and the dissemination of research and poetry related to the tradition. In addition to increasing the visibility of Tango nationwide, the project is expected to promote the production of new material on the subject and to contribute to Uruguay’s cultural inclusion policy.</w:t>
      </w:r>
    </w:p>
    <w:p w14:paraId="1DACC3A8" w14:textId="77777777" w:rsidR="00634C3C" w:rsidRPr="00634C3C" w:rsidRDefault="00634C3C" w:rsidP="00634C3C">
      <w:pPr>
        <w:numPr>
          <w:ilvl w:val="0"/>
          <w:numId w:val="27"/>
        </w:numPr>
        <w:spacing w:before="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Further takes note</w:t>
      </w:r>
      <w:r w:rsidRPr="00634C3C">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634C3C">
        <w:rPr>
          <w:rFonts w:asciiTheme="minorBidi" w:hAnsiTheme="minorBidi" w:cstheme="minorBidi"/>
          <w:b/>
          <w:bCs/>
          <w:sz w:val="22"/>
          <w:szCs w:val="22"/>
          <w:lang w:val="en-GB"/>
        </w:rPr>
        <w:t>provision of a grant</w:t>
      </w:r>
      <w:r w:rsidRPr="00634C3C">
        <w:rPr>
          <w:rFonts w:asciiTheme="minorBidi" w:hAnsiTheme="minorBidi" w:cstheme="minorBidi"/>
          <w:sz w:val="22"/>
          <w:szCs w:val="22"/>
          <w:lang w:val="en-GB"/>
        </w:rPr>
        <w:t>, pursuant to Article 21 (g) of the Convention;</w:t>
      </w:r>
    </w:p>
    <w:p w14:paraId="07DACA65" w14:textId="77777777" w:rsidR="00634C3C" w:rsidRPr="00634C3C" w:rsidRDefault="00634C3C" w:rsidP="00634C3C">
      <w:pPr>
        <w:keepNext/>
        <w:numPr>
          <w:ilvl w:val="0"/>
          <w:numId w:val="27"/>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Also takes note</w:t>
      </w:r>
      <w:r w:rsidRPr="00634C3C">
        <w:rPr>
          <w:rFonts w:asciiTheme="minorBidi" w:hAnsiTheme="minorBidi" w:cstheme="minorBidi"/>
          <w:sz w:val="22"/>
          <w:szCs w:val="22"/>
          <w:lang w:val="en-GB"/>
        </w:rPr>
        <w:t xml:space="preserve"> that Uruguay has requested an allocation of US$89,969 from the Intangible Cultural Heritage Fund for the implementation of the project;</w:t>
      </w:r>
    </w:p>
    <w:p w14:paraId="6F93274E" w14:textId="77777777" w:rsidR="00634C3C" w:rsidRPr="00634C3C" w:rsidRDefault="00634C3C" w:rsidP="00634C3C">
      <w:pPr>
        <w:numPr>
          <w:ilvl w:val="0"/>
          <w:numId w:val="27"/>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Decides</w:t>
      </w:r>
      <w:r w:rsidRPr="00634C3C">
        <w:rPr>
          <w:rFonts w:asciiTheme="minorBidi" w:hAnsiTheme="minorBidi" w:cstheme="minorBidi"/>
          <w:sz w:val="22"/>
          <w:szCs w:val="22"/>
          <w:lang w:val="en-GB"/>
        </w:rPr>
        <w:t xml:space="preserve"> that, from the information provided in file no. 02463, the request responds as follows to the criteria for granting International Assistance given in paragraphs 10 and 12 of the Operational Directives:</w:t>
      </w:r>
    </w:p>
    <w:p w14:paraId="7B57D863"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A.1</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project is a continuation of the first phase, with the objective of consolidating the results achieved during that phase. The request reflects the aspirations and needs of the communities, which include a diverse group of stakeholders, from artists, artisans and luthiers to individuals who are blind or have visual impairments, teachers, students, and officials from national and regional authorities. Each of these stakeholders will be involved in this project, which adopts gender-balanced and inclusive approaches. </w:t>
      </w:r>
      <w:r w:rsidRPr="00634C3C">
        <w:rPr>
          <w:rFonts w:asciiTheme="minorBidi" w:hAnsiTheme="minorBidi" w:cstheme="minorBidi"/>
          <w:bCs/>
          <w:sz w:val="22"/>
          <w:szCs w:val="22"/>
          <w:lang w:val="en-GB"/>
        </w:rPr>
        <w:t>The communities’ involvement in all project activities, from implementation to evaluation, is clearly demonstrated. They will also be represented on the project follow-up committee.</w:t>
      </w:r>
    </w:p>
    <w:p w14:paraId="7415544F" w14:textId="77777777" w:rsidR="00634C3C" w:rsidRPr="00634C3C" w:rsidRDefault="00634C3C" w:rsidP="00634C3C">
      <w:pPr>
        <w:spacing w:before="120" w:after="120"/>
        <w:ind w:left="567"/>
        <w:jc w:val="both"/>
        <w:rPr>
          <w:rFonts w:asciiTheme="minorBidi" w:hAnsiTheme="minorBidi" w:cstheme="minorBidi"/>
          <w:bCs/>
          <w:sz w:val="22"/>
          <w:szCs w:val="22"/>
          <w:lang w:val="en-GB"/>
        </w:rPr>
      </w:pPr>
      <w:r w:rsidRPr="00634C3C">
        <w:rPr>
          <w:rFonts w:asciiTheme="minorBidi" w:hAnsiTheme="minorBidi" w:cstheme="minorBidi"/>
          <w:b/>
          <w:sz w:val="22"/>
          <w:szCs w:val="22"/>
          <w:lang w:val="en-GB"/>
        </w:rPr>
        <w:t>Criterion A.2</w:t>
      </w:r>
      <w:r w:rsidRPr="00634C3C">
        <w:rPr>
          <w:rFonts w:asciiTheme="minorBidi" w:hAnsiTheme="minorBidi" w:cstheme="minorBidi"/>
          <w:b/>
          <w:bCs/>
          <w:sz w:val="22"/>
          <w:szCs w:val="22"/>
          <w:lang w:val="en-GB"/>
        </w:rPr>
        <w:t>:</w:t>
      </w:r>
      <w:r w:rsidRPr="00634C3C">
        <w:rPr>
          <w:rFonts w:asciiTheme="minorBidi" w:hAnsiTheme="minorBidi" w:cstheme="minorBidi"/>
          <w:bCs/>
          <w:sz w:val="22"/>
          <w:szCs w:val="22"/>
          <w:lang w:val="en-GB"/>
        </w:rPr>
        <w:t xml:space="preserve"> </w:t>
      </w:r>
      <w:r w:rsidRPr="00634C3C">
        <w:rPr>
          <w:rFonts w:asciiTheme="minorBidi" w:hAnsiTheme="minorBidi" w:cstheme="minorBidi"/>
          <w:sz w:val="22"/>
          <w:szCs w:val="22"/>
          <w:lang w:val="en-GB"/>
        </w:rPr>
        <w:t>The budget breakdown and the proposed timetable are well structured and in line with the activities described in the request. The amount of assistance requested is deemed appropriate.</w:t>
      </w:r>
    </w:p>
    <w:p w14:paraId="71504EC3"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A.3</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request is structured around four thematic areas: inclusion and inclusivity, promotion of Tango in secondary schools, bandoneon lutherie training courses, awareness raising activities, and the production of communication materials. </w:t>
      </w:r>
      <w:r w:rsidRPr="00634C3C">
        <w:rPr>
          <w:rFonts w:ascii="Arial" w:hAnsi="Arial" w:cs="Arial"/>
          <w:sz w:val="22"/>
          <w:szCs w:val="22"/>
          <w:lang w:val="en-GB" w:eastAsia="en-GB"/>
        </w:rPr>
        <w:t>The proposed activities are coherent and well-planned in terms of the objectives and expected results of the project.</w:t>
      </w:r>
    </w:p>
    <w:p w14:paraId="30EA769E"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A.4</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project is expected to enhance both the visibility and viability of the element. Through a holistic approach, the proposed activities will have a long-term impact as follows: (a) the Braille transcription of ‘Master Musician Raúl Jaurena’s Guide to Playing the Bandoneon’ will remain accessible to players with visual impairments, with copies of the manual to be distributed across Spanish-speaking countries; (b) the documentary on Ricardo Pereira, a blind bandoneon teacher, will raise awareness of the importance of social diversity and the arts for resilience; (c) artistic activities, including the production of musical plays in secondary schools, will promote Tango among younger audiences, thereby ensuring its intergenerational transmission; (d) bandoneon lutherie training courses will be integrated into the vocational education curriculum, potentially contributing to youth employment and the revitalization of traditional craftsmanship; and (e) the publication and dissemination of the book entitled ‘El </w:t>
      </w:r>
      <w:proofErr w:type="spellStart"/>
      <w:r w:rsidRPr="00634C3C">
        <w:rPr>
          <w:rFonts w:asciiTheme="minorBidi" w:hAnsiTheme="minorBidi" w:cstheme="minorBidi"/>
          <w:sz w:val="22"/>
          <w:szCs w:val="22"/>
          <w:lang w:val="en-GB"/>
        </w:rPr>
        <w:t>bandoneón</w:t>
      </w:r>
      <w:proofErr w:type="spellEnd"/>
      <w:r w:rsidRPr="00634C3C">
        <w:rPr>
          <w:rFonts w:asciiTheme="minorBidi" w:hAnsiTheme="minorBidi" w:cstheme="minorBidi"/>
          <w:sz w:val="22"/>
          <w:szCs w:val="22"/>
          <w:lang w:val="en-GB"/>
        </w:rPr>
        <w:t xml:space="preserve"> y </w:t>
      </w:r>
      <w:proofErr w:type="spellStart"/>
      <w:r w:rsidRPr="00634C3C">
        <w:rPr>
          <w:rFonts w:asciiTheme="minorBidi" w:hAnsiTheme="minorBidi" w:cstheme="minorBidi"/>
          <w:sz w:val="22"/>
          <w:szCs w:val="22"/>
          <w:lang w:val="en-GB"/>
        </w:rPr>
        <w:t>su</w:t>
      </w:r>
      <w:proofErr w:type="spellEnd"/>
      <w:r w:rsidRPr="00634C3C">
        <w:rPr>
          <w:rFonts w:asciiTheme="minorBidi" w:hAnsiTheme="minorBidi" w:cstheme="minorBidi"/>
          <w:sz w:val="22"/>
          <w:szCs w:val="22"/>
          <w:lang w:val="en-GB"/>
        </w:rPr>
        <w:t xml:space="preserve"> </w:t>
      </w:r>
      <w:proofErr w:type="spellStart"/>
      <w:r w:rsidRPr="00634C3C">
        <w:rPr>
          <w:rFonts w:asciiTheme="minorBidi" w:hAnsiTheme="minorBidi" w:cstheme="minorBidi"/>
          <w:sz w:val="22"/>
          <w:szCs w:val="22"/>
          <w:lang w:val="en-GB"/>
        </w:rPr>
        <w:t>mundo</w:t>
      </w:r>
      <w:proofErr w:type="spellEnd"/>
      <w:r w:rsidRPr="00634C3C">
        <w:rPr>
          <w:rFonts w:asciiTheme="minorBidi" w:hAnsiTheme="minorBidi" w:cstheme="minorBidi"/>
          <w:sz w:val="22"/>
          <w:szCs w:val="22"/>
          <w:lang w:val="en-GB"/>
        </w:rPr>
        <w:t>’ will contribute to academic research, in particular in the field of musicology, and raise awareness of the literary works related to Tango.</w:t>
      </w:r>
    </w:p>
    <w:p w14:paraId="2DD554E8" w14:textId="77777777" w:rsidR="00634C3C" w:rsidRPr="00634C3C" w:rsidRDefault="00634C3C" w:rsidP="00634C3C">
      <w:pPr>
        <w:spacing w:before="120" w:after="120"/>
        <w:ind w:left="567"/>
        <w:jc w:val="both"/>
        <w:rPr>
          <w:rFonts w:asciiTheme="minorBidi" w:eastAsia="SimSun" w:hAnsiTheme="minorBidi" w:cstheme="minorBidi"/>
          <w:sz w:val="22"/>
          <w:szCs w:val="22"/>
          <w:lang w:val="en-GB" w:eastAsia="ko-KR"/>
        </w:rPr>
      </w:pPr>
      <w:r w:rsidRPr="00634C3C">
        <w:rPr>
          <w:rFonts w:asciiTheme="minorBidi" w:hAnsiTheme="minorBidi" w:cstheme="minorBidi"/>
          <w:b/>
          <w:sz w:val="22"/>
          <w:szCs w:val="22"/>
          <w:lang w:val="en-GB"/>
        </w:rPr>
        <w:t>Criterion A.5</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requesting State Party will contribute 22 per cent (US$28,720) and other partners will contribute 10 per cent (US$13,599) of the total amount of the project budget (US$132,288). Consequently, International Assistance is requested from the Intangible Cultural Heritage Fund for the remaining 68 per cent of the total amount of the project.</w:t>
      </w:r>
    </w:p>
    <w:p w14:paraId="6C270306" w14:textId="77777777" w:rsidR="00634C3C" w:rsidRPr="00634C3C" w:rsidRDefault="00634C3C" w:rsidP="00634C3C">
      <w:pPr>
        <w:spacing w:before="120" w:after="120"/>
        <w:ind w:left="567"/>
        <w:jc w:val="both"/>
        <w:rPr>
          <w:rFonts w:asciiTheme="minorBidi" w:hAnsiTheme="minorBidi" w:cstheme="minorBidi"/>
          <w:sz w:val="22"/>
          <w:szCs w:val="22"/>
          <w:lang w:val="en-GB"/>
        </w:rPr>
      </w:pPr>
      <w:r w:rsidRPr="00634C3C">
        <w:rPr>
          <w:rFonts w:asciiTheme="minorBidi" w:hAnsiTheme="minorBidi" w:cstheme="minorBidi"/>
          <w:b/>
          <w:sz w:val="22"/>
          <w:szCs w:val="22"/>
          <w:lang w:val="en-GB"/>
        </w:rPr>
        <w:t>Criterion A.6</w:t>
      </w:r>
      <w:r w:rsidRPr="00634C3C">
        <w:rPr>
          <w:rFonts w:asciiTheme="minorBidi" w:hAnsiTheme="minorBidi" w:cstheme="minorBidi"/>
          <w:b/>
          <w:bCs/>
          <w:sz w:val="22"/>
          <w:szCs w:val="22"/>
          <w:lang w:val="en-GB"/>
        </w:rPr>
        <w:t>:</w:t>
      </w:r>
      <w:r w:rsidRPr="00634C3C">
        <w:rPr>
          <w:rFonts w:asciiTheme="minorBidi" w:hAnsiTheme="minorBidi" w:cstheme="minorBidi"/>
          <w:sz w:val="22"/>
          <w:szCs w:val="22"/>
          <w:lang w:val="en-GB"/>
        </w:rPr>
        <w:t xml:space="preserve"> The request aims to build capacities at multiple levels by providing training to communities, youth and individuals with visual impairments. Through the bandoneon lutherie training courses, artisans and practitioners will be </w:t>
      </w:r>
      <w:r w:rsidRPr="00634C3C">
        <w:rPr>
          <w:rFonts w:ascii="Arial" w:hAnsi="Arial" w:cs="Arial"/>
          <w:sz w:val="22"/>
          <w:szCs w:val="22"/>
          <w:lang w:val="en-GB"/>
        </w:rPr>
        <w:t xml:space="preserve">able to share and disseminate their traditional knowledge and skills with the community, including youth. More than fifty individuals will be trained in the making, repair and maintenance of bandoneons. In addition, artists (including musicians, singers and teachers) will share their expertise and skills of Tango with over 2,000 students from 35 high schools, ensuring the </w:t>
      </w:r>
      <w:r w:rsidRPr="00634C3C">
        <w:rPr>
          <w:rFonts w:asciiTheme="minorBidi" w:hAnsiTheme="minorBidi" w:cstheme="minorBidi"/>
          <w:sz w:val="22"/>
          <w:szCs w:val="22"/>
          <w:lang w:val="en-GB"/>
        </w:rPr>
        <w:t>intergenerational transmission of the practice of Tango dance, poetry and music. The development of a bandoneon training manual in Braille will provide individuals who are blind or have visual impairments a unique opportunity to learn to play the instrument, promoting inclusive access to musical education. The proposed activities will reinforce the capacity of communities and institutions to safeguard Tango as a living heritage and as an evolving artistic expression.</w:t>
      </w:r>
    </w:p>
    <w:p w14:paraId="2FABE69B" w14:textId="77777777" w:rsidR="00634C3C" w:rsidRPr="00634C3C" w:rsidRDefault="00634C3C" w:rsidP="00634C3C">
      <w:pPr>
        <w:spacing w:after="120"/>
        <w:ind w:left="567"/>
        <w:jc w:val="both"/>
        <w:rPr>
          <w:rFonts w:asciiTheme="minorBidi" w:hAnsiTheme="minorBidi" w:cstheme="minorBidi"/>
          <w:snapToGrid w:val="0"/>
          <w:sz w:val="22"/>
          <w:szCs w:val="22"/>
          <w:shd w:val="clear" w:color="auto" w:fill="FFFFFF"/>
          <w:lang w:val="en-GB" w:eastAsia="en-US"/>
        </w:rPr>
      </w:pPr>
      <w:r w:rsidRPr="00634C3C">
        <w:rPr>
          <w:rFonts w:asciiTheme="minorBidi" w:hAnsiTheme="minorBidi" w:cstheme="minorBidi"/>
          <w:b/>
          <w:snapToGrid w:val="0"/>
          <w:sz w:val="22"/>
          <w:szCs w:val="22"/>
          <w:lang w:val="en-GB" w:eastAsia="en-US"/>
        </w:rPr>
        <w:t>Criterion A.7</w:t>
      </w:r>
      <w:r w:rsidRPr="00634C3C">
        <w:rPr>
          <w:rFonts w:asciiTheme="minorBidi" w:hAnsiTheme="minorBidi" w:cstheme="minorBidi"/>
          <w:b/>
          <w:bCs/>
          <w:snapToGrid w:val="0"/>
          <w:sz w:val="22"/>
          <w:szCs w:val="22"/>
          <w:shd w:val="clear" w:color="auto" w:fill="FFFFFF"/>
          <w:lang w:val="en-GB" w:eastAsia="en-US"/>
        </w:rPr>
        <w:t xml:space="preserve">: </w:t>
      </w:r>
      <w:r w:rsidRPr="00634C3C">
        <w:rPr>
          <w:rFonts w:asciiTheme="minorBidi" w:hAnsiTheme="minorBidi" w:cstheme="minorBidi"/>
          <w:snapToGrid w:val="0"/>
          <w:sz w:val="22"/>
          <w:szCs w:val="22"/>
          <w:shd w:val="clear" w:color="auto" w:fill="FFFFFF"/>
          <w:lang w:val="en-GB" w:eastAsia="en-US"/>
        </w:rPr>
        <w:t>Uruguay has benefitted from International Assistance from the Intangible Cultural Heritage Fund for two completed International Assistance projects.</w:t>
      </w:r>
      <w:r w:rsidRPr="00677233">
        <w:rPr>
          <w:rStyle w:val="FootnoteReference"/>
          <w:rFonts w:asciiTheme="minorBidi" w:hAnsiTheme="minorBidi" w:cstheme="minorBidi"/>
          <w:snapToGrid w:val="0"/>
          <w:sz w:val="22"/>
          <w:szCs w:val="22"/>
          <w:shd w:val="clear" w:color="auto" w:fill="FFFFFF"/>
          <w:lang w:eastAsia="en-US"/>
        </w:rPr>
        <w:footnoteReference w:id="3"/>
      </w:r>
      <w:r w:rsidRPr="00634C3C">
        <w:rPr>
          <w:rFonts w:asciiTheme="minorBidi" w:hAnsiTheme="minorBidi" w:cstheme="minorBidi"/>
          <w:snapToGrid w:val="0"/>
          <w:sz w:val="22"/>
          <w:szCs w:val="22"/>
          <w:shd w:val="clear" w:color="auto" w:fill="FFFFFF"/>
          <w:lang w:val="en-GB" w:eastAsia="en-US"/>
        </w:rPr>
        <w:t xml:space="preserve"> The work stipulated in the contracts related to these projects was carried out in accordance with UNESCO regulations.</w:t>
      </w:r>
    </w:p>
    <w:p w14:paraId="70BA91A9" w14:textId="77777777" w:rsidR="00634C3C" w:rsidRPr="00634C3C" w:rsidRDefault="00634C3C" w:rsidP="00634C3C">
      <w:pPr>
        <w:ind w:left="567"/>
        <w:contextualSpacing/>
        <w:jc w:val="both"/>
        <w:rPr>
          <w:rFonts w:asciiTheme="minorBidi" w:hAnsiTheme="minorBidi" w:cstheme="minorBidi"/>
          <w:bCs/>
          <w:sz w:val="22"/>
          <w:szCs w:val="22"/>
          <w:lang w:val="en-GB"/>
        </w:rPr>
      </w:pPr>
      <w:r w:rsidRPr="00634C3C">
        <w:rPr>
          <w:rFonts w:asciiTheme="minorBidi" w:hAnsiTheme="minorBidi" w:cstheme="minorBidi"/>
          <w:b/>
          <w:sz w:val="22"/>
          <w:szCs w:val="22"/>
          <w:lang w:val="en-GB"/>
        </w:rPr>
        <w:t>Paragraph 10(a):</w:t>
      </w:r>
      <w:r w:rsidRPr="00634C3C">
        <w:rPr>
          <w:rFonts w:asciiTheme="minorBidi" w:hAnsiTheme="minorBidi" w:cstheme="minorBidi"/>
          <w:bCs/>
          <w:sz w:val="22"/>
          <w:szCs w:val="22"/>
          <w:lang w:val="en-GB"/>
        </w:rPr>
        <w:t xml:space="preserve"> The project is national in scope and involves national partners, including the National Commission of Uruguay for UNESCO, the Ministry of Education and Culture, the Board of Technical-Professional Education, and the departments of Montevideo, Canelones, Tacuarembó, Paysandú, Lavalleja, Maldonado, Soriano and Río Negro. The following associations will also be involved: the Uruguayan Braille Foundation, the Uruguayan Authors Association, the Uruguayan Musicians Association and the Uruguayan Actors Society.</w:t>
      </w:r>
    </w:p>
    <w:p w14:paraId="4072F9EE" w14:textId="77777777" w:rsidR="00634C3C" w:rsidRPr="00634C3C" w:rsidRDefault="00634C3C" w:rsidP="00634C3C">
      <w:pPr>
        <w:spacing w:before="120" w:after="120"/>
        <w:ind w:left="567"/>
        <w:jc w:val="both"/>
        <w:rPr>
          <w:rFonts w:asciiTheme="minorBidi" w:hAnsiTheme="minorBidi" w:cstheme="minorBidi"/>
          <w:bCs/>
          <w:snapToGrid w:val="0"/>
          <w:sz w:val="22"/>
          <w:szCs w:val="22"/>
          <w:lang w:val="en-GB" w:eastAsia="en-US"/>
        </w:rPr>
      </w:pPr>
      <w:r w:rsidRPr="00634C3C">
        <w:rPr>
          <w:rFonts w:asciiTheme="minorBidi" w:hAnsiTheme="minorBidi" w:cstheme="minorBidi"/>
          <w:b/>
          <w:snapToGrid w:val="0"/>
          <w:sz w:val="22"/>
          <w:szCs w:val="22"/>
          <w:lang w:val="en-GB" w:eastAsia="en-US"/>
        </w:rPr>
        <w:t xml:space="preserve">Paragraph 10(b): </w:t>
      </w:r>
      <w:r w:rsidRPr="00634C3C">
        <w:rPr>
          <w:rFonts w:asciiTheme="minorBidi" w:hAnsiTheme="minorBidi" w:cstheme="minorBidi"/>
          <w:bCs/>
          <w:snapToGrid w:val="0"/>
          <w:sz w:val="22"/>
          <w:szCs w:val="22"/>
          <w:lang w:val="en-GB" w:eastAsia="en-US"/>
        </w:rPr>
        <w:t>The project is expected to stimulate broader engagement in the safeguarding of Tango by reaching new audiences and practitioners, particularly among youth. The transcription of ‘Master Musician Raúl Jaurena’s Guide to Playing the Bandoneon’ into Braille will contribute to the national inclusion policy. This manual will also be made available in other countries of the region, thereby reaching a broader public.</w:t>
      </w:r>
    </w:p>
    <w:p w14:paraId="15EAEAEB" w14:textId="77777777" w:rsidR="00634C3C" w:rsidRPr="00634C3C" w:rsidRDefault="00634C3C" w:rsidP="00634C3C">
      <w:pPr>
        <w:numPr>
          <w:ilvl w:val="0"/>
          <w:numId w:val="27"/>
        </w:numPr>
        <w:spacing w:before="120" w:after="120"/>
        <w:ind w:left="567" w:hanging="567"/>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Approves</w:t>
      </w:r>
      <w:r w:rsidRPr="00634C3C">
        <w:rPr>
          <w:rFonts w:asciiTheme="minorBidi" w:hAnsiTheme="minorBidi" w:cstheme="minorBidi"/>
          <w:sz w:val="22"/>
          <w:szCs w:val="22"/>
          <w:lang w:val="en-GB"/>
        </w:rPr>
        <w:t xml:space="preserve"> the International Assistance request from Uruguay for the project entitled </w:t>
      </w:r>
      <w:r w:rsidRPr="00634C3C">
        <w:rPr>
          <w:rFonts w:asciiTheme="minorBidi" w:hAnsiTheme="minorBidi" w:cstheme="minorBidi"/>
          <w:b/>
          <w:bCs/>
          <w:sz w:val="22"/>
          <w:szCs w:val="22"/>
          <w:lang w:val="en-GB"/>
        </w:rPr>
        <w:t>The sound of Tango – Phase II</w:t>
      </w:r>
      <w:r w:rsidRPr="00634C3C">
        <w:rPr>
          <w:rFonts w:asciiTheme="minorBidi" w:hAnsiTheme="minorBidi" w:cstheme="minorBidi"/>
          <w:bCs/>
          <w:sz w:val="22"/>
          <w:szCs w:val="22"/>
          <w:lang w:val="en-GB"/>
        </w:rPr>
        <w:t>,</w:t>
      </w:r>
      <w:r w:rsidRPr="00634C3C" w:rsidDel="00A801D7">
        <w:rPr>
          <w:rFonts w:asciiTheme="minorBidi" w:hAnsiTheme="minorBidi" w:cstheme="minorBidi"/>
          <w:b/>
          <w:sz w:val="22"/>
          <w:szCs w:val="22"/>
          <w:lang w:val="en-GB"/>
        </w:rPr>
        <w:t xml:space="preserve"> </w:t>
      </w:r>
      <w:r w:rsidRPr="00634C3C">
        <w:rPr>
          <w:rFonts w:asciiTheme="minorBidi" w:hAnsiTheme="minorBidi" w:cstheme="minorBidi"/>
          <w:sz w:val="22"/>
          <w:szCs w:val="22"/>
          <w:lang w:val="en-GB"/>
        </w:rPr>
        <w:t xml:space="preserve">and </w:t>
      </w:r>
      <w:r w:rsidRPr="00634C3C">
        <w:rPr>
          <w:rFonts w:asciiTheme="minorBidi" w:hAnsiTheme="minorBidi" w:cstheme="minorBidi"/>
          <w:sz w:val="22"/>
          <w:szCs w:val="22"/>
          <w:u w:val="single"/>
          <w:lang w:val="en-GB"/>
        </w:rPr>
        <w:t>grants</w:t>
      </w:r>
      <w:r w:rsidRPr="00634C3C">
        <w:rPr>
          <w:rFonts w:asciiTheme="minorBidi" w:hAnsiTheme="minorBidi" w:cstheme="minorBidi"/>
          <w:sz w:val="22"/>
          <w:szCs w:val="22"/>
          <w:lang w:val="en-GB"/>
        </w:rPr>
        <w:t xml:space="preserve"> the amount of US$89,969 </w:t>
      </w:r>
      <w:r w:rsidRPr="00634C3C">
        <w:rPr>
          <w:rFonts w:asciiTheme="minorBidi" w:eastAsia="SimSun" w:hAnsiTheme="minorBidi" w:cstheme="minorBidi"/>
          <w:sz w:val="22"/>
          <w:szCs w:val="22"/>
          <w:lang w:val="en-GB" w:eastAsia="ko-KR"/>
        </w:rPr>
        <w:t>for the implementation of this project</w:t>
      </w:r>
      <w:r w:rsidRPr="00634C3C">
        <w:rPr>
          <w:rFonts w:asciiTheme="minorBidi" w:hAnsiTheme="minorBidi" w:cstheme="minorBidi"/>
          <w:sz w:val="22"/>
          <w:szCs w:val="22"/>
          <w:lang w:val="en-GB"/>
        </w:rPr>
        <w:t>;</w:t>
      </w:r>
    </w:p>
    <w:p w14:paraId="7042E979" w14:textId="77777777" w:rsidR="00634C3C" w:rsidRPr="00634C3C" w:rsidRDefault="00634C3C" w:rsidP="00634C3C">
      <w:pPr>
        <w:pStyle w:val="ListParagraph"/>
        <w:numPr>
          <w:ilvl w:val="0"/>
          <w:numId w:val="27"/>
        </w:numPr>
        <w:spacing w:before="120" w:after="120"/>
        <w:ind w:left="567" w:hanging="567"/>
        <w:contextualSpacing w:val="0"/>
        <w:jc w:val="both"/>
        <w:rPr>
          <w:rFonts w:asciiTheme="minorBidi" w:hAnsiTheme="minorBidi" w:cstheme="minorBidi"/>
          <w:sz w:val="22"/>
          <w:szCs w:val="22"/>
          <w:lang w:val="en-GB"/>
        </w:rPr>
      </w:pPr>
      <w:r w:rsidRPr="00634C3C">
        <w:rPr>
          <w:rFonts w:asciiTheme="minorBidi" w:hAnsiTheme="minorBidi" w:cstheme="minorBidi"/>
          <w:sz w:val="22"/>
          <w:szCs w:val="22"/>
          <w:u w:val="single"/>
          <w:lang w:val="en-GB"/>
        </w:rPr>
        <w:t>Notes with appreciation</w:t>
      </w:r>
      <w:r w:rsidRPr="00634C3C">
        <w:rPr>
          <w:rFonts w:asciiTheme="minorBidi" w:hAnsiTheme="minorBidi" w:cstheme="minorBidi"/>
          <w:sz w:val="22"/>
          <w:szCs w:val="22"/>
          <w:lang w:val="en-GB"/>
        </w:rPr>
        <w:t xml:space="preserve"> the proposed project’s focus on inclusivity, aiming to promote inclusion of people with disabilities in the enactment, transmission and enjoyment of living heritage, and </w:t>
      </w:r>
      <w:r w:rsidRPr="00634C3C">
        <w:rPr>
          <w:rFonts w:asciiTheme="minorBidi" w:hAnsiTheme="minorBidi" w:cstheme="minorBidi"/>
          <w:sz w:val="22"/>
          <w:szCs w:val="22"/>
          <w:u w:val="single"/>
          <w:lang w:val="en-GB"/>
        </w:rPr>
        <w:t>encourages</w:t>
      </w:r>
      <w:r w:rsidRPr="00634C3C">
        <w:rPr>
          <w:rFonts w:asciiTheme="minorBidi" w:hAnsiTheme="minorBidi" w:cstheme="minorBidi"/>
          <w:sz w:val="22"/>
          <w:szCs w:val="22"/>
          <w:lang w:val="en-GB"/>
        </w:rPr>
        <w:t xml:space="preserve"> the State Party to share its experience to be gained on inclusive safeguarding approaches; </w:t>
      </w:r>
    </w:p>
    <w:p w14:paraId="5203B853" w14:textId="77777777" w:rsidR="00634C3C" w:rsidRPr="00634C3C" w:rsidRDefault="00634C3C" w:rsidP="00EE5426">
      <w:pPr>
        <w:keepLines/>
        <w:numPr>
          <w:ilvl w:val="0"/>
          <w:numId w:val="27"/>
        </w:numPr>
        <w:spacing w:before="120" w:after="120"/>
        <w:ind w:left="567" w:hanging="567"/>
        <w:jc w:val="both"/>
        <w:rPr>
          <w:rFonts w:asciiTheme="minorBidi" w:hAnsiTheme="minorBidi" w:cstheme="minorBidi"/>
          <w:sz w:val="22"/>
          <w:szCs w:val="22"/>
          <w:u w:val="single"/>
          <w:lang w:val="en-GB"/>
        </w:rPr>
      </w:pPr>
      <w:r w:rsidRPr="00634C3C">
        <w:rPr>
          <w:rFonts w:asciiTheme="minorBidi" w:hAnsiTheme="minorBidi" w:cstheme="minorBidi"/>
          <w:sz w:val="22"/>
          <w:szCs w:val="22"/>
          <w:u w:val="single"/>
          <w:lang w:val="en-GB"/>
        </w:rPr>
        <w:t>Requests</w:t>
      </w:r>
      <w:r w:rsidRPr="00634C3C">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6689AD2A" w14:textId="21A3C3FA" w:rsidR="00634C3C" w:rsidRPr="00634C3C" w:rsidRDefault="00634C3C" w:rsidP="00B319EB">
      <w:pPr>
        <w:numPr>
          <w:ilvl w:val="0"/>
          <w:numId w:val="27"/>
        </w:numPr>
        <w:spacing w:before="120" w:after="120"/>
        <w:ind w:left="567" w:hanging="567"/>
        <w:jc w:val="both"/>
        <w:rPr>
          <w:rFonts w:asciiTheme="minorBidi" w:hAnsiTheme="minorBidi" w:cstheme="minorBidi"/>
          <w:lang w:val="en-GB"/>
        </w:rPr>
      </w:pPr>
      <w:r w:rsidRPr="00634C3C">
        <w:rPr>
          <w:rFonts w:asciiTheme="minorBidi" w:hAnsiTheme="minorBidi" w:cstheme="minorBidi"/>
          <w:sz w:val="22"/>
          <w:szCs w:val="22"/>
          <w:u w:val="single"/>
          <w:lang w:val="en-GB"/>
        </w:rPr>
        <w:t>Invites</w:t>
      </w:r>
      <w:r w:rsidRPr="00634C3C">
        <w:rPr>
          <w:rFonts w:asciiTheme="minorBidi" w:hAnsiTheme="minorBidi" w:cstheme="minorBidi"/>
          <w:sz w:val="22"/>
          <w:szCs w:val="22"/>
          <w:lang w:val="en-GB"/>
        </w:rPr>
        <w:t xml:space="preserve"> the requesting State Party to use Form ICH-04-Report to report on the use of the assistance granted.</w:t>
      </w:r>
    </w:p>
    <w:p w14:paraId="395CB348" w14:textId="1461E25D" w:rsidR="00634C3C" w:rsidRPr="00FD624F" w:rsidRDefault="00634C3C" w:rsidP="00634C3C">
      <w:pPr>
        <w:pStyle w:val="COMTitleDecision"/>
        <w:ind w:left="0"/>
        <w:rPr>
          <w:rFonts w:eastAsia="SimSun"/>
        </w:rPr>
      </w:pPr>
      <w:r>
        <w:t>DECISION 20.COM</w:t>
      </w:r>
      <w:r>
        <w:rPr>
          <w:lang w:val="en-US"/>
        </w:rPr>
        <w:t> </w:t>
      </w:r>
      <w:r>
        <w:t>4</w:t>
      </w:r>
      <w:r w:rsidRPr="0080497A">
        <w:t>.</w:t>
      </w:r>
      <w:r w:rsidRPr="000363E7">
        <w:t>BUR </w:t>
      </w:r>
      <w:r>
        <w:t>4</w:t>
      </w:r>
    </w:p>
    <w:p w14:paraId="3456ADEB" w14:textId="77777777" w:rsidR="00634C3C" w:rsidRPr="00285BB4" w:rsidRDefault="00634C3C" w:rsidP="00634C3C">
      <w:pPr>
        <w:pStyle w:val="COMPreambulaDecisions"/>
        <w:ind w:left="0"/>
        <w:rPr>
          <w:rFonts w:eastAsia="SimSun"/>
        </w:rPr>
      </w:pPr>
      <w:r w:rsidRPr="00285BB4">
        <w:t xml:space="preserve">The </w:t>
      </w:r>
      <w:r>
        <w:t>Bureau</w:t>
      </w:r>
      <w:r w:rsidRPr="00285BB4">
        <w:t>,</w:t>
      </w:r>
    </w:p>
    <w:p w14:paraId="7C5AE543" w14:textId="77777777" w:rsidR="00634C3C" w:rsidRPr="00345CB4" w:rsidRDefault="00634C3C" w:rsidP="00634C3C">
      <w:pPr>
        <w:pStyle w:val="COMParaDecision"/>
        <w:numPr>
          <w:ilvl w:val="0"/>
          <w:numId w:val="29"/>
        </w:numPr>
        <w:ind w:left="567" w:hanging="567"/>
      </w:pPr>
      <w:r w:rsidRPr="00345CB4">
        <w:t>Having examined</w:t>
      </w:r>
      <w:r w:rsidRPr="00634C3C">
        <w:rPr>
          <w:u w:val="none"/>
        </w:rPr>
        <w:t xml:space="preserve"> document LHE/25/20.COM</w:t>
      </w:r>
      <w:r w:rsidRPr="00634C3C">
        <w:rPr>
          <w:u w:val="none"/>
          <w:lang w:val="en-US"/>
        </w:rPr>
        <w:t> 4</w:t>
      </w:r>
      <w:r w:rsidRPr="00634C3C">
        <w:rPr>
          <w:u w:val="none"/>
        </w:rPr>
        <w:t xml:space="preserve">.BUR/4 and its annex, </w:t>
      </w:r>
    </w:p>
    <w:p w14:paraId="461A33D3" w14:textId="77777777" w:rsidR="00634C3C" w:rsidRPr="00345CB4" w:rsidRDefault="00634C3C" w:rsidP="00634C3C">
      <w:pPr>
        <w:pStyle w:val="COMParaDecision"/>
        <w:ind w:left="567"/>
      </w:pPr>
      <w:r>
        <w:t>Takes note</w:t>
      </w:r>
      <w:r w:rsidRPr="00517FD8">
        <w:rPr>
          <w:u w:val="none"/>
        </w:rPr>
        <w:t xml:space="preserve"> </w:t>
      </w:r>
      <w:r w:rsidRPr="003009CD">
        <w:rPr>
          <w:u w:val="none"/>
        </w:rPr>
        <w:t xml:space="preserve">of the provisional agenda of the </w:t>
      </w:r>
      <w:r>
        <w:rPr>
          <w:u w:val="none"/>
        </w:rPr>
        <w:t>twentieth</w:t>
      </w:r>
      <w:r w:rsidRPr="003009CD">
        <w:rPr>
          <w:u w:val="none"/>
        </w:rPr>
        <w:t xml:space="preserve"> session of the Committee</w:t>
      </w:r>
      <w:r>
        <w:rPr>
          <w:u w:val="none"/>
        </w:rPr>
        <w:t>;</w:t>
      </w:r>
    </w:p>
    <w:p w14:paraId="03C35147" w14:textId="7D34D2B0" w:rsidR="00634C3C" w:rsidRPr="00634C3C" w:rsidRDefault="00634C3C" w:rsidP="00634C3C">
      <w:pPr>
        <w:pStyle w:val="COMParaDecision"/>
        <w:spacing w:after="240"/>
        <w:ind w:left="567"/>
      </w:pPr>
      <w:r>
        <w:t>Submits</w:t>
      </w:r>
      <w:r>
        <w:rPr>
          <w:u w:val="none"/>
        </w:rPr>
        <w:t xml:space="preserve"> </w:t>
      </w:r>
      <w:r w:rsidRPr="003009CD">
        <w:rPr>
          <w:u w:val="none"/>
        </w:rPr>
        <w:t xml:space="preserve">to the Committee the provisional timetable of its work for examination at its </w:t>
      </w:r>
      <w:r>
        <w:rPr>
          <w:u w:val="none"/>
        </w:rPr>
        <w:t>twentieth</w:t>
      </w:r>
      <w:r w:rsidRPr="003009CD">
        <w:rPr>
          <w:u w:val="none"/>
        </w:rPr>
        <w:t xml:space="preserve"> session (</w:t>
      </w:r>
      <w:r>
        <w:rPr>
          <w:u w:val="none"/>
        </w:rPr>
        <w:t>8</w:t>
      </w:r>
      <w:r w:rsidRPr="003009CD">
        <w:rPr>
          <w:u w:val="none"/>
        </w:rPr>
        <w:t xml:space="preserve"> to </w:t>
      </w:r>
      <w:r>
        <w:rPr>
          <w:u w:val="none"/>
        </w:rPr>
        <w:t>13</w:t>
      </w:r>
      <w:r w:rsidRPr="003009CD">
        <w:rPr>
          <w:u w:val="none"/>
        </w:rPr>
        <w:t xml:space="preserve"> December 202</w:t>
      </w:r>
      <w:r>
        <w:rPr>
          <w:u w:val="none"/>
        </w:rPr>
        <w:t>5</w:t>
      </w:r>
      <w:r w:rsidRPr="003009CD">
        <w:rPr>
          <w:u w:val="none"/>
        </w:rPr>
        <w:t xml:space="preserve">, </w:t>
      </w:r>
      <w:r>
        <w:rPr>
          <w:u w:val="none"/>
        </w:rPr>
        <w:t>New Delhi</w:t>
      </w:r>
      <w:r w:rsidRPr="003009CD">
        <w:rPr>
          <w:u w:val="none"/>
        </w:rPr>
        <w:t>, Republic of</w:t>
      </w:r>
      <w:r>
        <w:rPr>
          <w:u w:val="none"/>
        </w:rPr>
        <w:t xml:space="preserve"> India). </w:t>
      </w:r>
    </w:p>
    <w:p w14:paraId="7711B894" w14:textId="77777777" w:rsidR="00634C3C" w:rsidRDefault="00634C3C" w:rsidP="00634C3C">
      <w:pPr>
        <w:pStyle w:val="COMParaDecision"/>
        <w:numPr>
          <w:ilvl w:val="0"/>
          <w:numId w:val="0"/>
        </w:numPr>
        <w:spacing w:after="240"/>
        <w:jc w:val="center"/>
      </w:pPr>
      <w:r w:rsidRPr="00577174">
        <w:rPr>
          <w:b/>
          <w:bCs/>
        </w:rPr>
        <w:t>ANNEX</w:t>
      </w:r>
    </w:p>
    <w:tbl>
      <w:tblPr>
        <w:tblStyle w:val="TableGrid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78"/>
        <w:gridCol w:w="704"/>
        <w:gridCol w:w="6556"/>
      </w:tblGrid>
      <w:tr w:rsidR="00634C3C" w:rsidRPr="00577174" w14:paraId="06411143" w14:textId="77777777" w:rsidTr="005F6F95">
        <w:trPr>
          <w:jc w:val="center"/>
        </w:trPr>
        <w:tc>
          <w:tcPr>
            <w:tcW w:w="5000" w:type="pct"/>
            <w:gridSpan w:val="3"/>
            <w:shd w:val="clear" w:color="auto" w:fill="BFBFBF" w:themeFill="background1" w:themeFillShade="BF"/>
          </w:tcPr>
          <w:p w14:paraId="7DE2F0E9" w14:textId="77777777" w:rsidR="00634C3C" w:rsidRPr="00577174" w:rsidRDefault="00634C3C" w:rsidP="005F6F95">
            <w:pPr>
              <w:spacing w:before="60" w:after="60"/>
              <w:rPr>
                <w:rFonts w:ascii="Arial" w:eastAsiaTheme="minorEastAsia" w:hAnsi="Arial" w:cs="Arial"/>
                <w:b/>
                <w:sz w:val="20"/>
                <w:szCs w:val="20"/>
                <w:u w:val="single"/>
                <w:lang w:val="en-GB" w:eastAsia="ko-KR"/>
              </w:rPr>
            </w:pPr>
            <w:r w:rsidRPr="00577174">
              <w:rPr>
                <w:rFonts w:ascii="Arial" w:hAnsi="Arial" w:cs="Arial"/>
                <w:b/>
                <w:sz w:val="20"/>
                <w:szCs w:val="20"/>
                <w:u w:val="single"/>
                <w:lang w:val="en-GB"/>
              </w:rPr>
              <w:t>Monday, 8 December</w:t>
            </w:r>
            <w:r w:rsidRPr="00577174">
              <w:rPr>
                <w:rFonts w:ascii="Arial" w:eastAsiaTheme="minorEastAsia" w:hAnsi="Arial" w:cs="Arial"/>
                <w:b/>
                <w:sz w:val="20"/>
                <w:szCs w:val="20"/>
                <w:u w:val="single"/>
                <w:lang w:val="en-GB" w:eastAsia="ko-KR"/>
              </w:rPr>
              <w:t xml:space="preserve"> </w:t>
            </w:r>
            <w:r w:rsidRPr="00577174">
              <w:rPr>
                <w:rFonts w:ascii="Arial" w:hAnsi="Arial" w:cs="Arial"/>
                <w:b/>
                <w:sz w:val="20"/>
                <w:szCs w:val="20"/>
                <w:u w:val="single"/>
                <w:lang w:val="en-GB"/>
              </w:rPr>
              <w:t>2025</w:t>
            </w:r>
          </w:p>
        </w:tc>
      </w:tr>
      <w:tr w:rsidR="00634C3C" w:rsidRPr="00577174" w14:paraId="676599C6" w14:textId="77777777" w:rsidTr="005F6F95">
        <w:trPr>
          <w:jc w:val="center"/>
        </w:trPr>
        <w:tc>
          <w:tcPr>
            <w:tcW w:w="1234" w:type="pct"/>
          </w:tcPr>
          <w:p w14:paraId="093FD923"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As of 8.30 a.m.</w:t>
            </w:r>
          </w:p>
        </w:tc>
        <w:tc>
          <w:tcPr>
            <w:tcW w:w="3766" w:type="pct"/>
            <w:gridSpan w:val="2"/>
          </w:tcPr>
          <w:p w14:paraId="7179C41E"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Registration of participants</w:t>
            </w:r>
          </w:p>
        </w:tc>
      </w:tr>
      <w:tr w:rsidR="00634C3C" w:rsidRPr="00577174" w14:paraId="189AF269" w14:textId="77777777" w:rsidTr="005F6F95">
        <w:trPr>
          <w:jc w:val="center"/>
        </w:trPr>
        <w:tc>
          <w:tcPr>
            <w:tcW w:w="1234" w:type="pct"/>
          </w:tcPr>
          <w:p w14:paraId="3FC929E8"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23596F1E"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w:t>
            </w:r>
          </w:p>
        </w:tc>
        <w:tc>
          <w:tcPr>
            <w:tcW w:w="3401" w:type="pct"/>
          </w:tcPr>
          <w:p w14:paraId="39089077" w14:textId="77777777" w:rsidR="00634C3C" w:rsidRPr="00577174" w:rsidRDefault="00634C3C" w:rsidP="005F6F95">
            <w:pPr>
              <w:spacing w:before="60" w:after="60"/>
              <w:jc w:val="both"/>
              <w:rPr>
                <w:rFonts w:ascii="Arial" w:hAnsi="Arial" w:cs="Arial"/>
                <w:sz w:val="20"/>
                <w:szCs w:val="20"/>
                <w:lang w:val="en-GB"/>
              </w:rPr>
            </w:pPr>
            <w:r w:rsidRPr="00577174">
              <w:rPr>
                <w:rFonts w:ascii="Arial" w:hAnsi="Arial" w:cs="Arial"/>
                <w:sz w:val="20"/>
                <w:szCs w:val="20"/>
                <w:lang w:val="en-GB"/>
              </w:rPr>
              <w:t>Opening</w:t>
            </w:r>
          </w:p>
        </w:tc>
      </w:tr>
      <w:tr w:rsidR="00634C3C" w:rsidRPr="00577174" w14:paraId="4E909D1B" w14:textId="77777777" w:rsidTr="005F6F95">
        <w:trPr>
          <w:jc w:val="center"/>
        </w:trPr>
        <w:tc>
          <w:tcPr>
            <w:tcW w:w="1234" w:type="pct"/>
          </w:tcPr>
          <w:p w14:paraId="0B525D12" w14:textId="77777777" w:rsidR="00634C3C" w:rsidRPr="00577174" w:rsidRDefault="00634C3C" w:rsidP="005F6F95">
            <w:pPr>
              <w:spacing w:before="60" w:after="60"/>
              <w:rPr>
                <w:rFonts w:ascii="Arial" w:hAnsi="Arial" w:cs="Arial"/>
                <w:sz w:val="20"/>
                <w:szCs w:val="20"/>
                <w:lang w:val="en-GB"/>
              </w:rPr>
            </w:pPr>
          </w:p>
        </w:tc>
        <w:tc>
          <w:tcPr>
            <w:tcW w:w="365" w:type="pct"/>
          </w:tcPr>
          <w:p w14:paraId="71C9347B"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w:t>
            </w:r>
          </w:p>
        </w:tc>
        <w:tc>
          <w:tcPr>
            <w:tcW w:w="3401" w:type="pct"/>
          </w:tcPr>
          <w:p w14:paraId="4EEF54AF" w14:textId="77777777" w:rsidR="00634C3C" w:rsidRPr="00577174" w:rsidRDefault="00634C3C" w:rsidP="005F6F95">
            <w:pPr>
              <w:spacing w:before="60" w:after="60"/>
              <w:jc w:val="both"/>
              <w:rPr>
                <w:rFonts w:ascii="Arial" w:hAnsi="Arial" w:cs="Arial"/>
                <w:sz w:val="20"/>
                <w:szCs w:val="20"/>
                <w:lang w:val="en-GB"/>
              </w:rPr>
            </w:pPr>
            <w:r w:rsidRPr="00577174">
              <w:rPr>
                <w:rFonts w:ascii="Arial" w:hAnsi="Arial" w:cs="Arial"/>
                <w:sz w:val="20"/>
                <w:szCs w:val="20"/>
                <w:lang w:val="en-GB"/>
              </w:rPr>
              <w:t>Adoption of the agenda</w:t>
            </w:r>
          </w:p>
        </w:tc>
      </w:tr>
      <w:tr w:rsidR="00634C3C" w:rsidRPr="00577174" w14:paraId="7B4B8247" w14:textId="77777777" w:rsidTr="005F6F95">
        <w:trPr>
          <w:jc w:val="center"/>
        </w:trPr>
        <w:tc>
          <w:tcPr>
            <w:tcW w:w="1234" w:type="pct"/>
          </w:tcPr>
          <w:p w14:paraId="1CE8055A" w14:textId="77777777" w:rsidR="00634C3C" w:rsidRPr="00577174" w:rsidRDefault="00634C3C" w:rsidP="005F6F95">
            <w:pPr>
              <w:spacing w:before="60" w:after="60"/>
              <w:rPr>
                <w:rFonts w:ascii="Arial" w:hAnsi="Arial" w:cs="Arial"/>
                <w:sz w:val="20"/>
                <w:szCs w:val="20"/>
                <w:lang w:val="en-GB"/>
              </w:rPr>
            </w:pPr>
          </w:p>
        </w:tc>
        <w:tc>
          <w:tcPr>
            <w:tcW w:w="365" w:type="pct"/>
          </w:tcPr>
          <w:p w14:paraId="0C2220CB"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3.</w:t>
            </w:r>
          </w:p>
        </w:tc>
        <w:tc>
          <w:tcPr>
            <w:tcW w:w="3401" w:type="pct"/>
          </w:tcPr>
          <w:p w14:paraId="1450D015" w14:textId="77777777" w:rsidR="00634C3C" w:rsidRPr="00577174" w:rsidRDefault="00634C3C" w:rsidP="005F6F95">
            <w:pPr>
              <w:spacing w:before="60" w:after="60"/>
              <w:jc w:val="both"/>
              <w:rPr>
                <w:rFonts w:ascii="Arial" w:hAnsi="Arial" w:cs="Arial"/>
                <w:sz w:val="20"/>
                <w:szCs w:val="20"/>
                <w:lang w:val="en-GB"/>
              </w:rPr>
            </w:pPr>
            <w:r w:rsidRPr="00577174">
              <w:rPr>
                <w:rFonts w:ascii="Arial" w:hAnsi="Arial" w:cs="Arial"/>
                <w:sz w:val="20"/>
                <w:szCs w:val="20"/>
                <w:lang w:val="en-GB"/>
              </w:rPr>
              <w:t>Observers</w:t>
            </w:r>
          </w:p>
        </w:tc>
      </w:tr>
      <w:tr w:rsidR="00634C3C" w:rsidRPr="00187CC0" w14:paraId="68B67AA7" w14:textId="77777777" w:rsidTr="005F6F95">
        <w:trPr>
          <w:jc w:val="center"/>
        </w:trPr>
        <w:tc>
          <w:tcPr>
            <w:tcW w:w="1234" w:type="pct"/>
          </w:tcPr>
          <w:p w14:paraId="1AD1D708" w14:textId="77777777" w:rsidR="00634C3C" w:rsidRPr="00577174" w:rsidRDefault="00634C3C" w:rsidP="005F6F95">
            <w:pPr>
              <w:spacing w:before="60" w:after="60"/>
              <w:rPr>
                <w:rFonts w:ascii="Arial" w:hAnsi="Arial" w:cs="Arial"/>
                <w:sz w:val="20"/>
                <w:szCs w:val="20"/>
                <w:lang w:val="en-GB"/>
              </w:rPr>
            </w:pPr>
          </w:p>
        </w:tc>
        <w:tc>
          <w:tcPr>
            <w:tcW w:w="365" w:type="pct"/>
          </w:tcPr>
          <w:p w14:paraId="7F32FD7B"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4.</w:t>
            </w:r>
          </w:p>
        </w:tc>
        <w:tc>
          <w:tcPr>
            <w:tcW w:w="3401" w:type="pct"/>
          </w:tcPr>
          <w:p w14:paraId="623364FF"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Adoption of the summary records of the nineteenth session of the Committee</w:t>
            </w:r>
          </w:p>
        </w:tc>
      </w:tr>
      <w:tr w:rsidR="00634C3C" w:rsidRPr="00187CC0" w14:paraId="65E27185" w14:textId="77777777" w:rsidTr="005F6F95">
        <w:trPr>
          <w:jc w:val="center"/>
        </w:trPr>
        <w:tc>
          <w:tcPr>
            <w:tcW w:w="1234" w:type="pct"/>
          </w:tcPr>
          <w:p w14:paraId="3B8C47B6" w14:textId="77777777" w:rsidR="00634C3C" w:rsidRPr="00577174" w:rsidRDefault="00634C3C" w:rsidP="005F6F95">
            <w:pPr>
              <w:spacing w:before="60" w:after="60"/>
              <w:rPr>
                <w:rFonts w:ascii="Arial" w:hAnsi="Arial" w:cs="Arial"/>
                <w:sz w:val="20"/>
                <w:szCs w:val="20"/>
                <w:lang w:val="en-GB"/>
              </w:rPr>
            </w:pPr>
          </w:p>
        </w:tc>
        <w:tc>
          <w:tcPr>
            <w:tcW w:w="365" w:type="pct"/>
          </w:tcPr>
          <w:p w14:paraId="0FA7F24D" w14:textId="77777777" w:rsidR="00634C3C" w:rsidRPr="00577174" w:rsidRDefault="00634C3C" w:rsidP="005F6F95">
            <w:pPr>
              <w:tabs>
                <w:tab w:val="decimal" w:pos="284"/>
              </w:tabs>
              <w:spacing w:before="60" w:after="60"/>
              <w:jc w:val="right"/>
              <w:rPr>
                <w:rFonts w:ascii="Arial" w:hAnsi="Arial" w:cs="Arial"/>
                <w:sz w:val="20"/>
                <w:szCs w:val="20"/>
                <w:lang w:val="en-GB"/>
              </w:rPr>
            </w:pPr>
          </w:p>
        </w:tc>
        <w:tc>
          <w:tcPr>
            <w:tcW w:w="3401" w:type="pct"/>
          </w:tcPr>
          <w:p w14:paraId="39073E01"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Report by the Chairperson of the Committee on the Bureau activities</w:t>
            </w:r>
          </w:p>
        </w:tc>
      </w:tr>
      <w:tr w:rsidR="00634C3C" w:rsidRPr="00187CC0" w14:paraId="0D5A9950" w14:textId="77777777" w:rsidTr="005F6F95">
        <w:trPr>
          <w:jc w:val="center"/>
        </w:trPr>
        <w:tc>
          <w:tcPr>
            <w:tcW w:w="1234" w:type="pct"/>
          </w:tcPr>
          <w:p w14:paraId="3B29EE42" w14:textId="77777777" w:rsidR="00634C3C" w:rsidRPr="00577174" w:rsidRDefault="00634C3C" w:rsidP="005F6F95">
            <w:pPr>
              <w:spacing w:before="60" w:after="60"/>
              <w:rPr>
                <w:rFonts w:ascii="Arial" w:hAnsi="Arial" w:cs="Arial"/>
                <w:sz w:val="20"/>
                <w:szCs w:val="20"/>
                <w:lang w:val="en-GB"/>
              </w:rPr>
            </w:pPr>
          </w:p>
        </w:tc>
        <w:tc>
          <w:tcPr>
            <w:tcW w:w="365" w:type="pct"/>
          </w:tcPr>
          <w:p w14:paraId="52A625E1"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5.</w:t>
            </w:r>
          </w:p>
        </w:tc>
        <w:tc>
          <w:tcPr>
            <w:tcW w:w="3401" w:type="pct"/>
          </w:tcPr>
          <w:p w14:paraId="4B0802A7"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eastAsiaTheme="minorEastAsia" w:hAnsi="Arial" w:cs="Arial"/>
                <w:sz w:val="20"/>
                <w:szCs w:val="20"/>
                <w:lang w:val="en-GB" w:eastAsia="ko-KR"/>
              </w:rPr>
              <w:t>Report by the Secretariat on its activities (January 2024 to June 2025)</w:t>
            </w:r>
          </w:p>
        </w:tc>
      </w:tr>
      <w:tr w:rsidR="00634C3C" w:rsidRPr="00577174" w14:paraId="1E08CCE6" w14:textId="77777777" w:rsidTr="005F6F95">
        <w:trPr>
          <w:jc w:val="center"/>
        </w:trPr>
        <w:tc>
          <w:tcPr>
            <w:tcW w:w="1234" w:type="pct"/>
            <w:shd w:val="clear" w:color="auto" w:fill="D9D9D9"/>
          </w:tcPr>
          <w:p w14:paraId="67B840F7" w14:textId="77777777" w:rsidR="00634C3C" w:rsidRPr="00577174" w:rsidRDefault="00634C3C" w:rsidP="005F6F95">
            <w:pPr>
              <w:keepNext/>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cPr>
          <w:p w14:paraId="22A138B2" w14:textId="77777777" w:rsidR="00634C3C" w:rsidRPr="00577174" w:rsidRDefault="00634C3C" w:rsidP="005F6F95">
            <w:pPr>
              <w:keepNext/>
              <w:tabs>
                <w:tab w:val="num" w:pos="1080"/>
              </w:tabs>
              <w:autoSpaceDE w:val="0"/>
              <w:autoSpaceDN w:val="0"/>
              <w:spacing w:before="60" w:after="60"/>
              <w:ind w:right="-2"/>
              <w:rPr>
                <w:rFonts w:ascii="Arial" w:hAnsi="Arial" w:cs="Arial"/>
                <w:sz w:val="20"/>
                <w:szCs w:val="20"/>
                <w:lang w:val="en-GB"/>
              </w:rPr>
            </w:pPr>
            <w:r w:rsidRPr="00577174">
              <w:rPr>
                <w:rFonts w:ascii="Arial" w:eastAsia="SimSun" w:hAnsi="Arial" w:cs="Arial"/>
                <w:bCs/>
                <w:sz w:val="20"/>
                <w:szCs w:val="20"/>
                <w:lang w:val="en-GB" w:eastAsia="zh-CN"/>
              </w:rPr>
              <w:t>Break</w:t>
            </w:r>
          </w:p>
        </w:tc>
      </w:tr>
      <w:tr w:rsidR="00634C3C" w:rsidRPr="00187CC0" w14:paraId="4A12294D" w14:textId="77777777" w:rsidTr="005F6F95">
        <w:trPr>
          <w:jc w:val="center"/>
        </w:trPr>
        <w:tc>
          <w:tcPr>
            <w:tcW w:w="1234" w:type="pct"/>
          </w:tcPr>
          <w:p w14:paraId="52A94AED" w14:textId="77777777" w:rsidR="00634C3C" w:rsidRPr="00577174" w:rsidRDefault="00634C3C" w:rsidP="005F6F95">
            <w:pPr>
              <w:keepNext/>
              <w:spacing w:before="60" w:after="60"/>
              <w:ind w:left="567" w:hanging="567"/>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43AC48DA" w14:textId="77777777" w:rsidR="00634C3C" w:rsidRPr="00577174" w:rsidRDefault="00634C3C" w:rsidP="005F6F95">
            <w:pPr>
              <w:keepNext/>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5.</w:t>
            </w:r>
          </w:p>
        </w:tc>
        <w:tc>
          <w:tcPr>
            <w:tcW w:w="3401" w:type="pct"/>
          </w:tcPr>
          <w:p w14:paraId="4373BC78" w14:textId="77777777" w:rsidR="00634C3C" w:rsidRPr="00577174" w:rsidRDefault="00634C3C" w:rsidP="005F6F95">
            <w:pPr>
              <w:adjustRightInd w:val="0"/>
              <w:spacing w:before="60" w:after="60"/>
              <w:jc w:val="both"/>
              <w:rPr>
                <w:rFonts w:ascii="Arial" w:hAnsi="Arial" w:cs="Arial"/>
                <w:bCs/>
                <w:snapToGrid w:val="0"/>
                <w:sz w:val="20"/>
                <w:szCs w:val="20"/>
                <w:lang w:val="en-GB" w:eastAsia="en-US"/>
              </w:rPr>
            </w:pPr>
            <w:r w:rsidRPr="00577174">
              <w:rPr>
                <w:rFonts w:ascii="Arial" w:eastAsiaTheme="minorEastAsia" w:hAnsi="Arial" w:cs="Arial"/>
                <w:sz w:val="20"/>
                <w:szCs w:val="20"/>
                <w:lang w:val="en-GB" w:eastAsia="ko-KR"/>
              </w:rPr>
              <w:t>Report by the Secretariat on its activities (January 2024 to June 2025)</w:t>
            </w:r>
          </w:p>
        </w:tc>
      </w:tr>
      <w:tr w:rsidR="00634C3C" w:rsidRPr="00577174" w14:paraId="69ED9910" w14:textId="77777777" w:rsidTr="005F6F95">
        <w:trPr>
          <w:jc w:val="center"/>
        </w:trPr>
        <w:tc>
          <w:tcPr>
            <w:tcW w:w="1234" w:type="pct"/>
          </w:tcPr>
          <w:p w14:paraId="35C7436B" w14:textId="77777777" w:rsidR="00634C3C" w:rsidRPr="00577174" w:rsidRDefault="00634C3C" w:rsidP="005F6F95">
            <w:pPr>
              <w:keepNext/>
              <w:spacing w:before="60" w:after="60"/>
              <w:ind w:left="567" w:hanging="567"/>
              <w:rPr>
                <w:rFonts w:ascii="Arial" w:hAnsi="Arial" w:cs="Arial"/>
                <w:sz w:val="20"/>
                <w:szCs w:val="20"/>
                <w:lang w:val="en-GB"/>
              </w:rPr>
            </w:pPr>
          </w:p>
        </w:tc>
        <w:tc>
          <w:tcPr>
            <w:tcW w:w="365" w:type="pct"/>
          </w:tcPr>
          <w:p w14:paraId="38722E8C" w14:textId="77777777" w:rsidR="00634C3C" w:rsidRPr="00577174" w:rsidRDefault="00634C3C" w:rsidP="005F6F95">
            <w:pPr>
              <w:keepNext/>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6.</w:t>
            </w:r>
          </w:p>
        </w:tc>
        <w:tc>
          <w:tcPr>
            <w:tcW w:w="3401" w:type="pct"/>
          </w:tcPr>
          <w:p w14:paraId="0F708010" w14:textId="77777777" w:rsidR="00634C3C" w:rsidRPr="00577174" w:rsidRDefault="00634C3C" w:rsidP="005F6F95">
            <w:pPr>
              <w:adjustRightInd w:val="0"/>
              <w:spacing w:before="60" w:after="60"/>
              <w:jc w:val="both"/>
              <w:rPr>
                <w:rFonts w:ascii="Arial" w:hAnsi="Arial" w:cs="Arial"/>
                <w:bCs/>
                <w:snapToGrid w:val="0"/>
                <w:sz w:val="20"/>
                <w:szCs w:val="20"/>
                <w:lang w:val="en-GB" w:eastAsia="en-US"/>
              </w:rPr>
            </w:pPr>
            <w:r w:rsidRPr="00577174">
              <w:rPr>
                <w:rFonts w:ascii="Arial" w:hAnsi="Arial" w:cs="Arial"/>
                <w:bCs/>
                <w:snapToGrid w:val="0"/>
                <w:sz w:val="20"/>
                <w:szCs w:val="20"/>
                <w:lang w:val="en-GB" w:eastAsia="en-US"/>
              </w:rPr>
              <w:t>Periodic reporting</w:t>
            </w:r>
          </w:p>
        </w:tc>
      </w:tr>
      <w:tr w:rsidR="00634C3C" w:rsidRPr="00187CC0" w14:paraId="5E58B414" w14:textId="77777777" w:rsidTr="005F6F95">
        <w:trPr>
          <w:jc w:val="center"/>
        </w:trPr>
        <w:tc>
          <w:tcPr>
            <w:tcW w:w="1234" w:type="pct"/>
          </w:tcPr>
          <w:p w14:paraId="5B15DDF1" w14:textId="77777777" w:rsidR="00634C3C" w:rsidRPr="00577174" w:rsidRDefault="00634C3C" w:rsidP="005F6F95">
            <w:pPr>
              <w:keepNext/>
              <w:spacing w:before="60" w:after="60"/>
              <w:ind w:left="567" w:hanging="567"/>
              <w:rPr>
                <w:rFonts w:ascii="Arial" w:hAnsi="Arial" w:cs="Arial"/>
                <w:sz w:val="20"/>
                <w:szCs w:val="20"/>
                <w:lang w:val="en-GB"/>
              </w:rPr>
            </w:pPr>
          </w:p>
        </w:tc>
        <w:tc>
          <w:tcPr>
            <w:tcW w:w="365" w:type="pct"/>
          </w:tcPr>
          <w:p w14:paraId="70F04C4D" w14:textId="77777777" w:rsidR="00634C3C" w:rsidRPr="00577174" w:rsidRDefault="00634C3C" w:rsidP="005F6F95">
            <w:pPr>
              <w:keepNext/>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6.a</w:t>
            </w:r>
          </w:p>
        </w:tc>
        <w:tc>
          <w:tcPr>
            <w:tcW w:w="3401" w:type="pct"/>
          </w:tcPr>
          <w:p w14:paraId="4DAC1970" w14:textId="77777777" w:rsidR="00634C3C" w:rsidRPr="00577174" w:rsidRDefault="00634C3C" w:rsidP="005F6F95">
            <w:pPr>
              <w:keepNext/>
              <w:adjustRightInd w:val="0"/>
              <w:spacing w:before="60" w:after="60"/>
              <w:jc w:val="both"/>
              <w:rPr>
                <w:rFonts w:ascii="Arial" w:hAnsi="Arial" w:cs="Arial"/>
                <w:bCs/>
                <w:snapToGrid w:val="0"/>
                <w:sz w:val="20"/>
                <w:szCs w:val="20"/>
                <w:lang w:val="en-GB" w:eastAsia="en-US"/>
              </w:rPr>
            </w:pPr>
            <w:r w:rsidRPr="00577174">
              <w:rPr>
                <w:rFonts w:ascii="Arial" w:hAnsi="Arial" w:cs="Arial"/>
                <w:bCs/>
                <w:snapToGrid w:val="0"/>
                <w:sz w:val="20"/>
                <w:szCs w:val="20"/>
                <w:lang w:val="en-GB" w:eastAsia="en-US"/>
              </w:rPr>
              <w:t>Examination of the reports by States Parties on the current status of elements inscribed on the List of Intangible Cultural Heritage in Need of Urgent Safeguarding</w:t>
            </w:r>
          </w:p>
        </w:tc>
      </w:tr>
      <w:tr w:rsidR="00634C3C" w:rsidRPr="00577174" w14:paraId="290D49E7" w14:textId="77777777" w:rsidTr="005F6F95">
        <w:trPr>
          <w:jc w:val="center"/>
        </w:trPr>
        <w:tc>
          <w:tcPr>
            <w:tcW w:w="5000" w:type="pct"/>
            <w:gridSpan w:val="3"/>
            <w:shd w:val="clear" w:color="auto" w:fill="BFBFBF" w:themeFill="background1" w:themeFillShade="BF"/>
          </w:tcPr>
          <w:p w14:paraId="0C014DAB" w14:textId="77777777" w:rsidR="00634C3C" w:rsidRPr="00577174" w:rsidRDefault="00634C3C" w:rsidP="005F6F95">
            <w:pPr>
              <w:keepNext/>
              <w:spacing w:before="60" w:after="60"/>
              <w:rPr>
                <w:rFonts w:ascii="Arial" w:eastAsiaTheme="minorEastAsia" w:hAnsi="Arial" w:cs="Arial"/>
                <w:b/>
                <w:sz w:val="20"/>
                <w:szCs w:val="20"/>
                <w:u w:val="single"/>
                <w:lang w:val="en-GB" w:eastAsia="ko-KR"/>
              </w:rPr>
            </w:pPr>
            <w:r w:rsidRPr="00577174">
              <w:rPr>
                <w:rFonts w:ascii="Arial" w:hAnsi="Arial" w:cs="Arial"/>
                <w:b/>
                <w:sz w:val="20"/>
                <w:szCs w:val="20"/>
                <w:u w:val="single"/>
                <w:lang w:val="en-GB"/>
              </w:rPr>
              <w:t>Tuesday, 9 December 2025</w:t>
            </w:r>
          </w:p>
        </w:tc>
      </w:tr>
      <w:tr w:rsidR="00634C3C" w:rsidRPr="00577174" w14:paraId="4705FD32" w14:textId="77777777" w:rsidTr="005F6F95">
        <w:trPr>
          <w:jc w:val="center"/>
        </w:trPr>
        <w:tc>
          <w:tcPr>
            <w:tcW w:w="1234" w:type="pct"/>
          </w:tcPr>
          <w:p w14:paraId="7DD8DFE8" w14:textId="77777777" w:rsidR="00634C3C" w:rsidRPr="00577174" w:rsidRDefault="00634C3C" w:rsidP="005F6F95">
            <w:pPr>
              <w:keepNext/>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0412C1F1" w14:textId="77777777" w:rsidR="00634C3C" w:rsidRPr="00577174" w:rsidRDefault="00634C3C" w:rsidP="005F6F95">
            <w:pPr>
              <w:keepNext/>
              <w:autoSpaceDE w:val="0"/>
              <w:autoSpaceDN w:val="0"/>
              <w:spacing w:before="60" w:after="60"/>
              <w:ind w:left="567" w:hanging="567"/>
              <w:jc w:val="center"/>
              <w:rPr>
                <w:rFonts w:ascii="Arial" w:hAnsi="Arial" w:cs="Arial"/>
                <w:snapToGrid w:val="0"/>
                <w:sz w:val="20"/>
                <w:szCs w:val="20"/>
                <w:lang w:val="en-GB"/>
              </w:rPr>
            </w:pPr>
          </w:p>
        </w:tc>
        <w:tc>
          <w:tcPr>
            <w:tcW w:w="3401" w:type="pct"/>
          </w:tcPr>
          <w:p w14:paraId="5EA6FB5D" w14:textId="77777777" w:rsidR="00634C3C" w:rsidRPr="00577174" w:rsidRDefault="00634C3C" w:rsidP="005F6F95">
            <w:pPr>
              <w:keepNext/>
              <w:autoSpaceDE w:val="0"/>
              <w:autoSpaceDN w:val="0"/>
              <w:spacing w:before="60" w:after="60"/>
              <w:rPr>
                <w:rFonts w:ascii="Arial" w:hAnsi="Arial" w:cs="Arial"/>
                <w:sz w:val="20"/>
                <w:szCs w:val="20"/>
                <w:lang w:val="en-GB"/>
              </w:rPr>
            </w:pPr>
            <w:r w:rsidRPr="00577174">
              <w:rPr>
                <w:rFonts w:ascii="Arial" w:hAnsi="Arial" w:cs="Arial"/>
                <w:sz w:val="20"/>
                <w:szCs w:val="20"/>
                <w:lang w:val="en-GB"/>
              </w:rPr>
              <w:t>Meeting of the Bureau</w:t>
            </w:r>
          </w:p>
        </w:tc>
      </w:tr>
      <w:tr w:rsidR="00634C3C" w:rsidRPr="00187CC0" w14:paraId="7B8FFAD4" w14:textId="77777777" w:rsidTr="005F6F95">
        <w:trPr>
          <w:jc w:val="center"/>
        </w:trPr>
        <w:tc>
          <w:tcPr>
            <w:tcW w:w="1234" w:type="pct"/>
          </w:tcPr>
          <w:p w14:paraId="4BCF3BE8"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683A1DD4"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eastAsiaTheme="minorEastAsia" w:hAnsi="Arial" w:cs="Arial"/>
                <w:sz w:val="20"/>
                <w:szCs w:val="20"/>
                <w:lang w:val="en-GB" w:eastAsia="ko-KR"/>
              </w:rPr>
              <w:t>6.b</w:t>
            </w:r>
          </w:p>
        </w:tc>
        <w:tc>
          <w:tcPr>
            <w:tcW w:w="3401" w:type="pct"/>
          </w:tcPr>
          <w:p w14:paraId="18973319" w14:textId="77777777" w:rsidR="00634C3C" w:rsidRPr="00577174" w:rsidRDefault="00634C3C" w:rsidP="005F6F95">
            <w:pPr>
              <w:autoSpaceDE w:val="0"/>
              <w:autoSpaceDN w:val="0"/>
              <w:spacing w:before="60" w:after="60"/>
              <w:jc w:val="both"/>
              <w:rPr>
                <w:rFonts w:ascii="Arial" w:hAnsi="Arial" w:cs="Arial"/>
                <w:sz w:val="20"/>
                <w:szCs w:val="20"/>
                <w:lang w:val="en-GB"/>
              </w:rPr>
            </w:pPr>
            <w:r w:rsidRPr="00577174">
              <w:rPr>
                <w:rFonts w:ascii="Arial" w:hAnsi="Arial" w:cs="Arial"/>
                <w:bCs/>
                <w:snapToGrid w:val="0"/>
                <w:sz w:val="20"/>
                <w:szCs w:val="20"/>
                <w:lang w:val="en-GB" w:eastAsia="en-US"/>
              </w:rPr>
              <w:t>Examination of the reports of the regional cycle of periodic reporting on the implementation of the Convention and on the current status of elements inscribed on the Representative List of the Intangible Cultural Heritage of Humanity by States Parties in Asia and the Pacific</w:t>
            </w:r>
          </w:p>
        </w:tc>
      </w:tr>
      <w:tr w:rsidR="00634C3C" w:rsidRPr="00187CC0" w14:paraId="2E9C4CC2" w14:textId="77777777" w:rsidTr="005F6F95">
        <w:trPr>
          <w:jc w:val="center"/>
        </w:trPr>
        <w:tc>
          <w:tcPr>
            <w:tcW w:w="1234" w:type="pct"/>
          </w:tcPr>
          <w:p w14:paraId="5D96926C" w14:textId="77777777" w:rsidR="00634C3C" w:rsidRPr="00577174" w:rsidRDefault="00634C3C" w:rsidP="005F6F95">
            <w:pPr>
              <w:spacing w:before="60" w:after="60"/>
              <w:rPr>
                <w:rFonts w:ascii="Arial" w:hAnsi="Arial" w:cs="Arial"/>
                <w:sz w:val="20"/>
                <w:szCs w:val="20"/>
                <w:lang w:val="en-GB"/>
              </w:rPr>
            </w:pPr>
          </w:p>
        </w:tc>
        <w:tc>
          <w:tcPr>
            <w:tcW w:w="365" w:type="pct"/>
          </w:tcPr>
          <w:p w14:paraId="747C195D"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6.c</w:t>
            </w:r>
          </w:p>
        </w:tc>
        <w:tc>
          <w:tcPr>
            <w:tcW w:w="3401" w:type="pct"/>
          </w:tcPr>
          <w:p w14:paraId="57E606B6" w14:textId="77777777" w:rsidR="00634C3C" w:rsidRPr="00577174" w:rsidRDefault="00634C3C" w:rsidP="005F6F95">
            <w:pPr>
              <w:autoSpaceDE w:val="0"/>
              <w:autoSpaceDN w:val="0"/>
              <w:spacing w:before="60" w:after="60"/>
              <w:jc w:val="both"/>
              <w:rPr>
                <w:rFonts w:ascii="Arial" w:hAnsi="Arial" w:cs="Arial"/>
                <w:sz w:val="20"/>
                <w:szCs w:val="20"/>
                <w:lang w:val="en-GB"/>
              </w:rPr>
            </w:pPr>
            <w:r w:rsidRPr="00577174">
              <w:rPr>
                <w:rFonts w:ascii="Arial" w:hAnsi="Arial" w:cs="Arial"/>
                <w:sz w:val="20"/>
                <w:szCs w:val="20"/>
                <w:lang w:val="en-GB"/>
              </w:rPr>
              <w:t>Update on the regional cycles of the Convention’s periodic reporting and proposal for related amendments to the Operational Directives</w:t>
            </w:r>
          </w:p>
        </w:tc>
      </w:tr>
      <w:tr w:rsidR="00634C3C" w:rsidRPr="00187CC0" w14:paraId="586010D0" w14:textId="77777777" w:rsidTr="005F6F95">
        <w:trPr>
          <w:jc w:val="center"/>
        </w:trPr>
        <w:tc>
          <w:tcPr>
            <w:tcW w:w="1234" w:type="pct"/>
          </w:tcPr>
          <w:p w14:paraId="3D3983BF" w14:textId="77777777" w:rsidR="00634C3C" w:rsidRPr="00577174" w:rsidRDefault="00634C3C" w:rsidP="005F6F95">
            <w:pPr>
              <w:spacing w:before="60" w:after="60"/>
              <w:rPr>
                <w:rFonts w:ascii="Arial" w:hAnsi="Arial" w:cs="Arial"/>
                <w:sz w:val="20"/>
                <w:szCs w:val="20"/>
                <w:lang w:val="en-GB"/>
              </w:rPr>
            </w:pPr>
          </w:p>
        </w:tc>
        <w:tc>
          <w:tcPr>
            <w:tcW w:w="365" w:type="pct"/>
          </w:tcPr>
          <w:p w14:paraId="628004FC"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w:t>
            </w:r>
          </w:p>
        </w:tc>
        <w:tc>
          <w:tcPr>
            <w:tcW w:w="3401" w:type="pct"/>
          </w:tcPr>
          <w:p w14:paraId="644C2624" w14:textId="77777777" w:rsidR="00634C3C" w:rsidRPr="00577174" w:rsidRDefault="00634C3C" w:rsidP="005F6F95">
            <w:pPr>
              <w:autoSpaceDE w:val="0"/>
              <w:autoSpaceDN w:val="0"/>
              <w:spacing w:before="60" w:after="60"/>
              <w:jc w:val="both"/>
              <w:rPr>
                <w:rFonts w:ascii="Arial" w:hAnsi="Arial" w:cs="Arial"/>
                <w:sz w:val="20"/>
                <w:szCs w:val="20"/>
                <w:lang w:val="en-GB"/>
              </w:rPr>
            </w:pPr>
            <w:r w:rsidRPr="00577174">
              <w:rPr>
                <w:rFonts w:ascii="Arial" w:hAnsi="Arial" w:cs="Arial"/>
                <w:sz w:val="20"/>
                <w:szCs w:val="20"/>
                <w:lang w:val="en-GB"/>
              </w:rPr>
              <w:t>Report of the Evaluation Body on its work in 2025 (Part I)</w:t>
            </w:r>
          </w:p>
        </w:tc>
      </w:tr>
      <w:tr w:rsidR="00634C3C" w:rsidRPr="00577174" w14:paraId="6F565ECE" w14:textId="77777777" w:rsidTr="005F6F95">
        <w:trPr>
          <w:jc w:val="center"/>
        </w:trPr>
        <w:tc>
          <w:tcPr>
            <w:tcW w:w="1234" w:type="pct"/>
            <w:shd w:val="clear" w:color="auto" w:fill="D9D9D9"/>
          </w:tcPr>
          <w:p w14:paraId="7871DE51" w14:textId="77777777" w:rsidR="00634C3C" w:rsidRPr="00577174" w:rsidRDefault="00634C3C" w:rsidP="005F6F95">
            <w:pPr>
              <w:spacing w:before="60" w:after="60"/>
              <w:rPr>
                <w:rFonts w:ascii="Arial" w:hAnsi="Arial" w:cs="Arial"/>
                <w:sz w:val="20"/>
                <w:szCs w:val="20"/>
                <w:lang w:val="en-GB"/>
              </w:rPr>
            </w:pPr>
            <w:bookmarkStart w:id="4" w:name="_Hlk204769851"/>
            <w:r w:rsidRPr="00577174">
              <w:rPr>
                <w:rFonts w:ascii="Arial" w:hAnsi="Arial" w:cs="Arial"/>
                <w:sz w:val="20"/>
                <w:szCs w:val="20"/>
                <w:lang w:val="en-GB"/>
              </w:rPr>
              <w:t>12.30 – 2.30 p.m.</w:t>
            </w:r>
          </w:p>
        </w:tc>
        <w:tc>
          <w:tcPr>
            <w:tcW w:w="3766" w:type="pct"/>
            <w:gridSpan w:val="2"/>
            <w:shd w:val="clear" w:color="auto" w:fill="D9D9D9"/>
          </w:tcPr>
          <w:p w14:paraId="436AB2B3" w14:textId="77777777" w:rsidR="00634C3C" w:rsidRPr="00577174" w:rsidRDefault="00634C3C" w:rsidP="005F6F95">
            <w:pPr>
              <w:pageBreakBefore/>
              <w:tabs>
                <w:tab w:val="num" w:pos="1080"/>
              </w:tabs>
              <w:autoSpaceDE w:val="0"/>
              <w:autoSpaceDN w:val="0"/>
              <w:spacing w:before="60" w:after="60"/>
              <w:jc w:val="both"/>
              <w:rPr>
                <w:rFonts w:ascii="Arial" w:hAnsi="Arial" w:cs="Arial"/>
                <w:sz w:val="20"/>
                <w:szCs w:val="20"/>
                <w:lang w:val="en-GB"/>
              </w:rPr>
            </w:pPr>
            <w:r w:rsidRPr="00577174">
              <w:rPr>
                <w:rFonts w:ascii="Arial" w:eastAsia="SimSun" w:hAnsi="Arial" w:cs="Arial"/>
                <w:bCs/>
                <w:sz w:val="20"/>
                <w:szCs w:val="20"/>
                <w:lang w:val="en-GB" w:eastAsia="zh-CN"/>
              </w:rPr>
              <w:t>Break</w:t>
            </w:r>
          </w:p>
        </w:tc>
      </w:tr>
      <w:bookmarkEnd w:id="4"/>
      <w:tr w:rsidR="00634C3C" w:rsidRPr="00187CC0" w14:paraId="1C1DB90E" w14:textId="77777777" w:rsidTr="005F6F95">
        <w:trPr>
          <w:jc w:val="center"/>
        </w:trPr>
        <w:tc>
          <w:tcPr>
            <w:tcW w:w="1234" w:type="pct"/>
          </w:tcPr>
          <w:p w14:paraId="5F80069C"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4D8A7F97"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7.a</w:t>
            </w:r>
          </w:p>
        </w:tc>
        <w:tc>
          <w:tcPr>
            <w:tcW w:w="3401" w:type="pct"/>
          </w:tcPr>
          <w:p w14:paraId="554D936E"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nominations for inscription on the List of Intangible Cultural Heritage in Need of Urgent Safeguarding</w:t>
            </w:r>
          </w:p>
        </w:tc>
      </w:tr>
      <w:tr w:rsidR="00634C3C" w:rsidRPr="00187CC0" w14:paraId="7847DC9C" w14:textId="77777777" w:rsidTr="005F6F95">
        <w:trPr>
          <w:jc w:val="center"/>
        </w:trPr>
        <w:tc>
          <w:tcPr>
            <w:tcW w:w="1234" w:type="pct"/>
          </w:tcPr>
          <w:p w14:paraId="3B511C9D" w14:textId="77777777" w:rsidR="00634C3C" w:rsidRPr="00577174" w:rsidRDefault="00634C3C" w:rsidP="005F6F95">
            <w:pPr>
              <w:spacing w:before="60" w:after="60"/>
              <w:rPr>
                <w:rFonts w:ascii="Arial" w:hAnsi="Arial" w:cs="Arial"/>
                <w:sz w:val="20"/>
                <w:szCs w:val="20"/>
                <w:lang w:val="en-GB"/>
              </w:rPr>
            </w:pPr>
          </w:p>
        </w:tc>
        <w:tc>
          <w:tcPr>
            <w:tcW w:w="365" w:type="pct"/>
          </w:tcPr>
          <w:p w14:paraId="31C3744D"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7.b</w:t>
            </w:r>
          </w:p>
        </w:tc>
        <w:tc>
          <w:tcPr>
            <w:tcW w:w="3401" w:type="pct"/>
          </w:tcPr>
          <w:p w14:paraId="32516978"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nominations for inscription on the Representative List of the Intangible Cultural Heritage of Humanity</w:t>
            </w:r>
          </w:p>
        </w:tc>
      </w:tr>
      <w:tr w:rsidR="00634C3C" w:rsidRPr="00577174" w14:paraId="7C94808A" w14:textId="77777777" w:rsidTr="005F6F95">
        <w:trPr>
          <w:jc w:val="center"/>
        </w:trPr>
        <w:tc>
          <w:tcPr>
            <w:tcW w:w="5000" w:type="pct"/>
            <w:gridSpan w:val="3"/>
            <w:shd w:val="clear" w:color="auto" w:fill="BFBFBF" w:themeFill="background1" w:themeFillShade="BF"/>
          </w:tcPr>
          <w:p w14:paraId="77E73977" w14:textId="77777777" w:rsidR="00634C3C" w:rsidRPr="00577174" w:rsidRDefault="00634C3C" w:rsidP="00EE5426">
            <w:pPr>
              <w:keepNext/>
              <w:spacing w:before="60" w:after="60"/>
              <w:rPr>
                <w:rFonts w:ascii="Arial" w:eastAsiaTheme="minorEastAsia" w:hAnsi="Arial" w:cs="Arial"/>
                <w:b/>
                <w:sz w:val="20"/>
                <w:szCs w:val="20"/>
                <w:u w:val="single"/>
                <w:lang w:val="en-GB" w:eastAsia="ko-KR"/>
              </w:rPr>
            </w:pPr>
            <w:r w:rsidRPr="00577174">
              <w:rPr>
                <w:rFonts w:ascii="Arial" w:hAnsi="Arial" w:cs="Arial"/>
                <w:b/>
                <w:sz w:val="20"/>
                <w:szCs w:val="20"/>
                <w:u w:val="single"/>
                <w:lang w:val="en-GB"/>
              </w:rPr>
              <w:t>Wednesday, 10 December 2025</w:t>
            </w:r>
          </w:p>
        </w:tc>
      </w:tr>
      <w:tr w:rsidR="00634C3C" w:rsidRPr="00577174" w14:paraId="0D4FA9B5" w14:textId="77777777" w:rsidTr="005F6F95">
        <w:trPr>
          <w:jc w:val="center"/>
        </w:trPr>
        <w:tc>
          <w:tcPr>
            <w:tcW w:w="1234" w:type="pct"/>
          </w:tcPr>
          <w:p w14:paraId="68142724" w14:textId="77777777" w:rsidR="00634C3C" w:rsidRPr="00577174" w:rsidRDefault="00634C3C" w:rsidP="005F6F95">
            <w:pPr>
              <w:widowControl w:val="0"/>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682E7767" w14:textId="77777777" w:rsidR="00634C3C" w:rsidRPr="00577174" w:rsidRDefault="00634C3C" w:rsidP="005F6F95">
            <w:pPr>
              <w:widowControl w:val="0"/>
              <w:autoSpaceDE w:val="0"/>
              <w:autoSpaceDN w:val="0"/>
              <w:spacing w:before="60" w:after="60"/>
              <w:ind w:left="567" w:hanging="567"/>
              <w:jc w:val="center"/>
              <w:rPr>
                <w:rFonts w:ascii="Arial" w:hAnsi="Arial" w:cs="Arial"/>
                <w:snapToGrid w:val="0"/>
                <w:sz w:val="20"/>
                <w:szCs w:val="20"/>
                <w:lang w:val="en-GB"/>
              </w:rPr>
            </w:pPr>
          </w:p>
        </w:tc>
        <w:tc>
          <w:tcPr>
            <w:tcW w:w="3401" w:type="pct"/>
          </w:tcPr>
          <w:p w14:paraId="59A796C3" w14:textId="77777777" w:rsidR="00634C3C" w:rsidRPr="00577174" w:rsidRDefault="00634C3C" w:rsidP="005F6F95">
            <w:pPr>
              <w:widowControl w:val="0"/>
              <w:autoSpaceDE w:val="0"/>
              <w:autoSpaceDN w:val="0"/>
              <w:spacing w:before="60" w:after="60"/>
              <w:rPr>
                <w:rFonts w:ascii="Arial" w:hAnsi="Arial" w:cs="Arial"/>
                <w:sz w:val="20"/>
                <w:szCs w:val="20"/>
                <w:lang w:val="en-GB"/>
              </w:rPr>
            </w:pPr>
            <w:r w:rsidRPr="00577174">
              <w:rPr>
                <w:rFonts w:ascii="Arial" w:hAnsi="Arial" w:cs="Arial"/>
                <w:sz w:val="20"/>
                <w:szCs w:val="20"/>
                <w:lang w:val="en-GB"/>
              </w:rPr>
              <w:t>Meeting of the Bureau</w:t>
            </w:r>
          </w:p>
        </w:tc>
      </w:tr>
      <w:tr w:rsidR="00634C3C" w:rsidRPr="00187CC0" w14:paraId="64186BFF" w14:textId="77777777" w:rsidTr="005F6F95">
        <w:trPr>
          <w:jc w:val="center"/>
        </w:trPr>
        <w:tc>
          <w:tcPr>
            <w:tcW w:w="1234" w:type="pct"/>
          </w:tcPr>
          <w:p w14:paraId="442E49B0" w14:textId="77777777" w:rsidR="00634C3C" w:rsidRPr="00577174" w:rsidRDefault="00634C3C" w:rsidP="005F6F95">
            <w:pPr>
              <w:widowControl w:val="0"/>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3ECDC2F9" w14:textId="77777777" w:rsidR="00634C3C" w:rsidRPr="00577174" w:rsidRDefault="00634C3C" w:rsidP="005F6F95">
            <w:pPr>
              <w:widowControl w:val="0"/>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7.b</w:t>
            </w:r>
          </w:p>
        </w:tc>
        <w:tc>
          <w:tcPr>
            <w:tcW w:w="3401" w:type="pct"/>
          </w:tcPr>
          <w:p w14:paraId="76BDA2B8" w14:textId="77777777" w:rsidR="00634C3C" w:rsidRPr="00577174" w:rsidRDefault="00634C3C" w:rsidP="005F6F95">
            <w:pPr>
              <w:widowControl w:val="0"/>
              <w:spacing w:before="60" w:after="60"/>
              <w:jc w:val="both"/>
              <w:rPr>
                <w:rFonts w:ascii="Arial" w:eastAsiaTheme="minorEastAsia" w:hAnsi="Arial" w:cs="Arial"/>
                <w:sz w:val="20"/>
                <w:szCs w:val="20"/>
                <w:lang w:val="en-GB" w:eastAsia="ko-KR"/>
              </w:rPr>
            </w:pPr>
            <w:r w:rsidRPr="00577174">
              <w:rPr>
                <w:rFonts w:ascii="Arial" w:hAnsi="Arial" w:cs="Arial"/>
                <w:sz w:val="20"/>
                <w:szCs w:val="20"/>
                <w:lang w:val="en-GB"/>
              </w:rPr>
              <w:t>Examination of nominations for inscription on the Representative List of the Intangible Cultural Heritage of Humanity</w:t>
            </w:r>
          </w:p>
        </w:tc>
      </w:tr>
      <w:tr w:rsidR="00634C3C" w:rsidRPr="00577174" w14:paraId="10D6C3E4" w14:textId="77777777" w:rsidTr="005F6F95">
        <w:trPr>
          <w:jc w:val="center"/>
        </w:trPr>
        <w:tc>
          <w:tcPr>
            <w:tcW w:w="1234" w:type="pct"/>
            <w:shd w:val="clear" w:color="auto" w:fill="D9D9D9"/>
          </w:tcPr>
          <w:p w14:paraId="17F3F8EB" w14:textId="77777777" w:rsidR="00634C3C" w:rsidRPr="00577174" w:rsidRDefault="00634C3C" w:rsidP="005F6F95">
            <w:pPr>
              <w:widowControl w:val="0"/>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cPr>
          <w:p w14:paraId="05A11CB3" w14:textId="77777777" w:rsidR="00634C3C" w:rsidRPr="00577174" w:rsidRDefault="00634C3C" w:rsidP="005F6F95">
            <w:pPr>
              <w:widowControl w:val="0"/>
              <w:tabs>
                <w:tab w:val="num" w:pos="1080"/>
              </w:tabs>
              <w:autoSpaceDE w:val="0"/>
              <w:autoSpaceDN w:val="0"/>
              <w:spacing w:before="60" w:after="60"/>
              <w:ind w:right="198"/>
              <w:rPr>
                <w:rFonts w:ascii="Arial" w:hAnsi="Arial" w:cs="Arial"/>
                <w:sz w:val="20"/>
                <w:szCs w:val="20"/>
                <w:lang w:val="en-GB"/>
              </w:rPr>
            </w:pPr>
            <w:r w:rsidRPr="00577174">
              <w:rPr>
                <w:rFonts w:ascii="Arial" w:hAnsi="Arial" w:cs="Arial"/>
                <w:sz w:val="20"/>
                <w:szCs w:val="20"/>
                <w:lang w:val="en-GB"/>
              </w:rPr>
              <w:t>Break</w:t>
            </w:r>
          </w:p>
        </w:tc>
      </w:tr>
      <w:tr w:rsidR="00634C3C" w:rsidRPr="00187CC0" w14:paraId="6BD11E9E" w14:textId="77777777" w:rsidTr="005F6F95">
        <w:trPr>
          <w:jc w:val="center"/>
        </w:trPr>
        <w:tc>
          <w:tcPr>
            <w:tcW w:w="1234" w:type="pct"/>
          </w:tcPr>
          <w:p w14:paraId="1A25B289"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 xml:space="preserve">2.30 – </w:t>
            </w:r>
            <w:r>
              <w:rPr>
                <w:rFonts w:ascii="Arial" w:hAnsi="Arial" w:cs="Arial"/>
                <w:sz w:val="20"/>
                <w:szCs w:val="20"/>
                <w:lang w:val="en-GB"/>
              </w:rPr>
              <w:t>4</w:t>
            </w:r>
            <w:r w:rsidRPr="00577174">
              <w:rPr>
                <w:rFonts w:ascii="Arial" w:hAnsi="Arial" w:cs="Arial"/>
                <w:sz w:val="20"/>
                <w:szCs w:val="20"/>
                <w:lang w:val="en-GB"/>
              </w:rPr>
              <w:t>.</w:t>
            </w:r>
            <w:r>
              <w:rPr>
                <w:rFonts w:ascii="Arial" w:hAnsi="Arial" w:cs="Arial"/>
                <w:sz w:val="20"/>
                <w:szCs w:val="20"/>
                <w:lang w:val="en-GB"/>
              </w:rPr>
              <w:t>0</w:t>
            </w:r>
            <w:r w:rsidRPr="00577174">
              <w:rPr>
                <w:rFonts w:ascii="Arial" w:hAnsi="Arial" w:cs="Arial"/>
                <w:sz w:val="20"/>
                <w:szCs w:val="20"/>
                <w:lang w:val="en-GB"/>
              </w:rPr>
              <w:t>0 p.m.</w:t>
            </w:r>
          </w:p>
        </w:tc>
        <w:tc>
          <w:tcPr>
            <w:tcW w:w="365" w:type="pct"/>
          </w:tcPr>
          <w:p w14:paraId="333EE7CB"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7.b</w:t>
            </w:r>
          </w:p>
        </w:tc>
        <w:tc>
          <w:tcPr>
            <w:tcW w:w="3401" w:type="pct"/>
          </w:tcPr>
          <w:p w14:paraId="0F4F2F2A"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nominations for inscription on the Representative List of the Intangible Cultural Heritage of Humanity</w:t>
            </w:r>
          </w:p>
        </w:tc>
      </w:tr>
      <w:tr w:rsidR="00634C3C" w:rsidRPr="00577174" w14:paraId="55A66AD3" w14:textId="77777777" w:rsidTr="005F6F95">
        <w:trPr>
          <w:jc w:val="center"/>
        </w:trPr>
        <w:tc>
          <w:tcPr>
            <w:tcW w:w="5000" w:type="pct"/>
            <w:gridSpan w:val="3"/>
            <w:shd w:val="clear" w:color="auto" w:fill="BFBFBF" w:themeFill="background1" w:themeFillShade="BF"/>
          </w:tcPr>
          <w:p w14:paraId="509094B9" w14:textId="77777777" w:rsidR="00634C3C" w:rsidRPr="00577174" w:rsidRDefault="00634C3C" w:rsidP="005F6F95">
            <w:pPr>
              <w:keepNext/>
              <w:keepLines/>
              <w:spacing w:before="60" w:after="60"/>
              <w:rPr>
                <w:rFonts w:ascii="Arial" w:hAnsi="Arial" w:cs="Arial"/>
                <w:sz w:val="20"/>
                <w:szCs w:val="20"/>
                <w:lang w:val="en-GB"/>
              </w:rPr>
            </w:pPr>
            <w:r w:rsidRPr="00577174">
              <w:rPr>
                <w:rFonts w:ascii="Arial" w:hAnsi="Arial" w:cs="Arial"/>
                <w:b/>
                <w:sz w:val="20"/>
                <w:szCs w:val="20"/>
                <w:u w:val="single"/>
                <w:lang w:val="en-GB"/>
              </w:rPr>
              <w:t>Thursday, 11 December 2025</w:t>
            </w:r>
          </w:p>
        </w:tc>
      </w:tr>
      <w:tr w:rsidR="00634C3C" w:rsidRPr="00577174" w14:paraId="57882CC7" w14:textId="77777777" w:rsidTr="005F6F95">
        <w:trPr>
          <w:jc w:val="center"/>
        </w:trPr>
        <w:tc>
          <w:tcPr>
            <w:tcW w:w="1234" w:type="pct"/>
          </w:tcPr>
          <w:p w14:paraId="6C5D16E3" w14:textId="77777777" w:rsidR="00634C3C" w:rsidRPr="00577174" w:rsidRDefault="00634C3C" w:rsidP="005F6F95">
            <w:pPr>
              <w:keepNext/>
              <w:keepLines/>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4A43F46E" w14:textId="77777777" w:rsidR="00634C3C" w:rsidRPr="00577174" w:rsidRDefault="00634C3C" w:rsidP="005F6F95">
            <w:pPr>
              <w:keepNext/>
              <w:keepLines/>
              <w:tabs>
                <w:tab w:val="decimal" w:pos="284"/>
              </w:tabs>
              <w:spacing w:before="60" w:after="60"/>
              <w:jc w:val="right"/>
              <w:rPr>
                <w:rFonts w:ascii="Arial" w:hAnsi="Arial" w:cs="Arial"/>
                <w:sz w:val="20"/>
                <w:szCs w:val="20"/>
                <w:lang w:val="en-GB"/>
              </w:rPr>
            </w:pPr>
          </w:p>
        </w:tc>
        <w:tc>
          <w:tcPr>
            <w:tcW w:w="3401" w:type="pct"/>
          </w:tcPr>
          <w:p w14:paraId="2C050471" w14:textId="77777777" w:rsidR="00634C3C" w:rsidRPr="00577174" w:rsidRDefault="00634C3C" w:rsidP="005F6F95">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Meeting of the Bureau</w:t>
            </w:r>
          </w:p>
        </w:tc>
      </w:tr>
      <w:tr w:rsidR="00634C3C" w:rsidRPr="00187CC0" w14:paraId="4478E081" w14:textId="77777777" w:rsidTr="005F6F95">
        <w:trPr>
          <w:jc w:val="center"/>
        </w:trPr>
        <w:tc>
          <w:tcPr>
            <w:tcW w:w="1234" w:type="pct"/>
          </w:tcPr>
          <w:p w14:paraId="1E2AC44F" w14:textId="77777777" w:rsidR="00634C3C" w:rsidRPr="00577174" w:rsidRDefault="00634C3C" w:rsidP="005F6F95">
            <w:pPr>
              <w:keepNext/>
              <w:keepLines/>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69B9C165" w14:textId="77777777" w:rsidR="00634C3C" w:rsidRPr="00577174" w:rsidRDefault="00634C3C" w:rsidP="005F6F95">
            <w:pPr>
              <w:keepNext/>
              <w:keepLines/>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7.b</w:t>
            </w:r>
          </w:p>
        </w:tc>
        <w:tc>
          <w:tcPr>
            <w:tcW w:w="3401" w:type="pct"/>
          </w:tcPr>
          <w:p w14:paraId="163D3076" w14:textId="77777777" w:rsidR="00634C3C" w:rsidRPr="00577174" w:rsidRDefault="00634C3C" w:rsidP="005F6F95">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nominations for inscription on the Representative List of the Intangible Cultural Heritage of Humanity</w:t>
            </w:r>
          </w:p>
        </w:tc>
      </w:tr>
      <w:tr w:rsidR="00634C3C" w:rsidRPr="00187CC0" w14:paraId="3F5E3106" w14:textId="77777777" w:rsidTr="005F6F95">
        <w:trPr>
          <w:jc w:val="center"/>
        </w:trPr>
        <w:tc>
          <w:tcPr>
            <w:tcW w:w="1234" w:type="pct"/>
          </w:tcPr>
          <w:p w14:paraId="6C499332" w14:textId="77777777" w:rsidR="00634C3C" w:rsidRPr="00577174" w:rsidRDefault="00634C3C" w:rsidP="005F6F95">
            <w:pPr>
              <w:keepNext/>
              <w:keepLines/>
              <w:spacing w:before="60" w:after="60"/>
              <w:rPr>
                <w:rFonts w:ascii="Arial" w:hAnsi="Arial" w:cs="Arial"/>
                <w:sz w:val="20"/>
                <w:szCs w:val="20"/>
                <w:lang w:val="en-GB"/>
              </w:rPr>
            </w:pPr>
          </w:p>
        </w:tc>
        <w:tc>
          <w:tcPr>
            <w:tcW w:w="365" w:type="pct"/>
          </w:tcPr>
          <w:p w14:paraId="5DA0D94D" w14:textId="77777777" w:rsidR="00634C3C" w:rsidRPr="00577174" w:rsidRDefault="00634C3C" w:rsidP="005F6F95">
            <w:pPr>
              <w:keepNext/>
              <w:keepLines/>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7.c</w:t>
            </w:r>
          </w:p>
        </w:tc>
        <w:tc>
          <w:tcPr>
            <w:tcW w:w="3401" w:type="pct"/>
          </w:tcPr>
          <w:p w14:paraId="7EBD4DCA" w14:textId="77777777" w:rsidR="00634C3C" w:rsidRPr="00577174" w:rsidRDefault="00634C3C" w:rsidP="005F6F95">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requests for transfer of elements from one list to the other</w:t>
            </w:r>
          </w:p>
        </w:tc>
      </w:tr>
      <w:tr w:rsidR="00634C3C" w:rsidRPr="00187CC0" w14:paraId="4C141BC7" w14:textId="77777777" w:rsidTr="005F6F95">
        <w:trPr>
          <w:jc w:val="center"/>
        </w:trPr>
        <w:tc>
          <w:tcPr>
            <w:tcW w:w="1234" w:type="pct"/>
          </w:tcPr>
          <w:p w14:paraId="1B8B89B9" w14:textId="77777777" w:rsidR="00634C3C" w:rsidRPr="00577174" w:rsidRDefault="00634C3C" w:rsidP="005F6F95">
            <w:pPr>
              <w:keepNext/>
              <w:keepLines/>
              <w:spacing w:before="60" w:after="60"/>
              <w:rPr>
                <w:rFonts w:ascii="Arial" w:hAnsi="Arial" w:cs="Arial"/>
                <w:sz w:val="20"/>
                <w:szCs w:val="20"/>
                <w:lang w:val="en-GB"/>
              </w:rPr>
            </w:pPr>
          </w:p>
        </w:tc>
        <w:tc>
          <w:tcPr>
            <w:tcW w:w="365" w:type="pct"/>
          </w:tcPr>
          <w:p w14:paraId="532F502E" w14:textId="77777777" w:rsidR="00634C3C" w:rsidRPr="00577174" w:rsidRDefault="00634C3C" w:rsidP="005F6F95">
            <w:pPr>
              <w:keepNext/>
              <w:keepLines/>
              <w:tabs>
                <w:tab w:val="decimal" w:pos="284"/>
              </w:tabs>
              <w:spacing w:before="60" w:after="60"/>
              <w:jc w:val="right"/>
              <w:rPr>
                <w:rFonts w:ascii="Arial" w:hAnsi="Arial" w:cs="Arial"/>
                <w:sz w:val="20"/>
                <w:szCs w:val="20"/>
                <w:lang w:val="en-GB"/>
              </w:rPr>
            </w:pPr>
            <w:r w:rsidRPr="00577174">
              <w:rPr>
                <w:rFonts w:ascii="Arial" w:eastAsiaTheme="minorEastAsia" w:hAnsi="Arial" w:cs="Arial"/>
                <w:sz w:val="20"/>
                <w:szCs w:val="20"/>
                <w:lang w:val="en-GB" w:eastAsia="ko-KR"/>
              </w:rPr>
              <w:t>7.d</w:t>
            </w:r>
          </w:p>
        </w:tc>
        <w:tc>
          <w:tcPr>
            <w:tcW w:w="3401" w:type="pct"/>
          </w:tcPr>
          <w:p w14:paraId="5923C39C" w14:textId="77777777" w:rsidR="00634C3C" w:rsidRPr="00577174" w:rsidRDefault="00634C3C" w:rsidP="005F6F95">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proposals to the Register of Good Safeguarding Practices</w:t>
            </w:r>
          </w:p>
        </w:tc>
      </w:tr>
      <w:tr w:rsidR="00634C3C" w:rsidRPr="00577174" w14:paraId="570FD6F0" w14:textId="77777777" w:rsidTr="005F6F95">
        <w:trPr>
          <w:jc w:val="center"/>
        </w:trPr>
        <w:tc>
          <w:tcPr>
            <w:tcW w:w="1234" w:type="pct"/>
            <w:shd w:val="clear" w:color="auto" w:fill="D9D9D9" w:themeFill="background1" w:themeFillShade="D9"/>
          </w:tcPr>
          <w:p w14:paraId="3A7A6E8B" w14:textId="77777777" w:rsidR="00634C3C" w:rsidRPr="00577174" w:rsidRDefault="00634C3C" w:rsidP="005F6F95">
            <w:pPr>
              <w:keepNext/>
              <w:keepLines/>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hemeFill="background1" w:themeFillShade="D9"/>
          </w:tcPr>
          <w:p w14:paraId="05EFAEC1" w14:textId="77777777" w:rsidR="00634C3C" w:rsidRPr="00577174" w:rsidRDefault="00634C3C" w:rsidP="005F6F95">
            <w:pPr>
              <w:keepNext/>
              <w:keepLines/>
              <w:adjustRightInd w:val="0"/>
              <w:spacing w:before="60" w:after="60"/>
              <w:jc w:val="both"/>
              <w:rPr>
                <w:rFonts w:ascii="Arial" w:hAnsi="Arial" w:cs="Arial"/>
                <w:bCs/>
                <w:snapToGrid w:val="0"/>
                <w:sz w:val="20"/>
                <w:szCs w:val="20"/>
                <w:lang w:val="en-GB" w:eastAsia="en-US"/>
              </w:rPr>
            </w:pPr>
            <w:r w:rsidRPr="00577174">
              <w:rPr>
                <w:rFonts w:ascii="Arial" w:eastAsia="SimSun" w:hAnsi="Arial" w:cs="Arial"/>
                <w:bCs/>
                <w:sz w:val="20"/>
                <w:szCs w:val="20"/>
                <w:lang w:val="en-GB" w:eastAsia="zh-CN"/>
              </w:rPr>
              <w:t>Break</w:t>
            </w:r>
          </w:p>
        </w:tc>
      </w:tr>
      <w:tr w:rsidR="00634C3C" w:rsidRPr="00187CC0" w14:paraId="30E094C5" w14:textId="77777777" w:rsidTr="005F6F95">
        <w:trPr>
          <w:jc w:val="center"/>
        </w:trPr>
        <w:tc>
          <w:tcPr>
            <w:tcW w:w="1234" w:type="pct"/>
          </w:tcPr>
          <w:p w14:paraId="15B59134" w14:textId="77777777" w:rsidR="00634C3C" w:rsidRPr="00577174" w:rsidRDefault="00634C3C" w:rsidP="005F6F95">
            <w:pPr>
              <w:keepNext/>
              <w:keepLines/>
              <w:spacing w:before="60" w:after="60"/>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71902D76" w14:textId="77777777" w:rsidR="00634C3C" w:rsidRPr="00577174" w:rsidRDefault="00634C3C" w:rsidP="005F6F95">
            <w:pPr>
              <w:keepNext/>
              <w:keepLines/>
              <w:tabs>
                <w:tab w:val="decimal" w:pos="284"/>
              </w:tabs>
              <w:spacing w:before="60" w:after="60"/>
              <w:jc w:val="right"/>
              <w:rPr>
                <w:rFonts w:ascii="Arial" w:eastAsiaTheme="minorEastAsia" w:hAnsi="Arial" w:cs="Arial"/>
                <w:sz w:val="20"/>
                <w:szCs w:val="20"/>
                <w:lang w:val="en-GB" w:eastAsia="ko-KR"/>
              </w:rPr>
            </w:pPr>
            <w:r w:rsidRPr="00577174">
              <w:rPr>
                <w:rFonts w:ascii="Arial" w:eastAsiaTheme="minorEastAsia" w:hAnsi="Arial" w:cs="Arial"/>
                <w:sz w:val="20"/>
                <w:szCs w:val="20"/>
                <w:lang w:val="en-GB" w:eastAsia="ko-KR"/>
              </w:rPr>
              <w:t>7.</w:t>
            </w:r>
          </w:p>
        </w:tc>
        <w:tc>
          <w:tcPr>
            <w:tcW w:w="3401" w:type="pct"/>
          </w:tcPr>
          <w:p w14:paraId="432D0333" w14:textId="77777777" w:rsidR="00634C3C" w:rsidRPr="00577174" w:rsidRDefault="00634C3C" w:rsidP="005F6F95">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Report of the Evaluation Body on its work in 2025 (Part II)</w:t>
            </w:r>
          </w:p>
        </w:tc>
      </w:tr>
      <w:tr w:rsidR="00634C3C" w:rsidRPr="00187CC0" w14:paraId="5980577D" w14:textId="77777777" w:rsidTr="005F6F95">
        <w:trPr>
          <w:jc w:val="center"/>
        </w:trPr>
        <w:tc>
          <w:tcPr>
            <w:tcW w:w="1234" w:type="pct"/>
          </w:tcPr>
          <w:p w14:paraId="32B809DB" w14:textId="77777777" w:rsidR="00634C3C" w:rsidRPr="00577174" w:rsidRDefault="00634C3C" w:rsidP="005F6F95">
            <w:pPr>
              <w:keepNext/>
              <w:keepLines/>
              <w:spacing w:before="60" w:after="60"/>
              <w:rPr>
                <w:rFonts w:ascii="Arial" w:hAnsi="Arial" w:cs="Arial"/>
                <w:sz w:val="20"/>
                <w:szCs w:val="20"/>
                <w:lang w:val="en-GB"/>
              </w:rPr>
            </w:pPr>
          </w:p>
        </w:tc>
        <w:tc>
          <w:tcPr>
            <w:tcW w:w="365" w:type="pct"/>
          </w:tcPr>
          <w:p w14:paraId="595EEA8D" w14:textId="77777777" w:rsidR="00634C3C" w:rsidRPr="00577174" w:rsidRDefault="00634C3C" w:rsidP="005F6F95">
            <w:pPr>
              <w:keepNext/>
              <w:keepLines/>
              <w:tabs>
                <w:tab w:val="decimal" w:pos="284"/>
              </w:tabs>
              <w:spacing w:before="60" w:after="60"/>
              <w:jc w:val="right"/>
              <w:rPr>
                <w:rFonts w:ascii="Arial" w:eastAsiaTheme="minorEastAsia" w:hAnsi="Arial" w:cs="Arial"/>
                <w:sz w:val="20"/>
                <w:szCs w:val="20"/>
                <w:lang w:val="en-GB" w:eastAsia="ko-KR"/>
              </w:rPr>
            </w:pPr>
            <w:r w:rsidRPr="00577174">
              <w:rPr>
                <w:rFonts w:ascii="Arial" w:eastAsiaTheme="minorEastAsia" w:hAnsi="Arial" w:cs="Arial"/>
                <w:sz w:val="20"/>
                <w:szCs w:val="20"/>
                <w:lang w:val="en-GB" w:eastAsia="ko-KR"/>
              </w:rPr>
              <w:t>8.</w:t>
            </w:r>
          </w:p>
        </w:tc>
        <w:tc>
          <w:tcPr>
            <w:tcW w:w="3401" w:type="pct"/>
          </w:tcPr>
          <w:p w14:paraId="295914D1" w14:textId="77777777" w:rsidR="00634C3C" w:rsidRPr="00577174" w:rsidRDefault="00634C3C" w:rsidP="005F6F95">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 xml:space="preserve">Treatment of files for the listing mechanisms of the Convention </w:t>
            </w:r>
          </w:p>
        </w:tc>
      </w:tr>
      <w:tr w:rsidR="00634C3C" w:rsidRPr="00187CC0" w14:paraId="3616D629" w14:textId="77777777" w:rsidTr="005F6F95">
        <w:trPr>
          <w:jc w:val="center"/>
        </w:trPr>
        <w:tc>
          <w:tcPr>
            <w:tcW w:w="1234" w:type="pct"/>
          </w:tcPr>
          <w:p w14:paraId="2BA92DC7" w14:textId="77777777" w:rsidR="00634C3C" w:rsidRPr="00577174" w:rsidRDefault="00634C3C" w:rsidP="005F6F95">
            <w:pPr>
              <w:keepNext/>
              <w:keepLines/>
              <w:spacing w:before="60" w:after="60"/>
              <w:rPr>
                <w:rFonts w:ascii="Arial" w:hAnsi="Arial" w:cs="Arial"/>
                <w:sz w:val="20"/>
                <w:szCs w:val="20"/>
                <w:lang w:val="en-GB"/>
              </w:rPr>
            </w:pPr>
          </w:p>
        </w:tc>
        <w:tc>
          <w:tcPr>
            <w:tcW w:w="365" w:type="pct"/>
          </w:tcPr>
          <w:p w14:paraId="144DFD31" w14:textId="77777777" w:rsidR="00634C3C" w:rsidRPr="00577174" w:rsidRDefault="00634C3C" w:rsidP="005F6F95">
            <w:pPr>
              <w:keepNext/>
              <w:keepLines/>
              <w:tabs>
                <w:tab w:val="decimal" w:pos="284"/>
              </w:tabs>
              <w:spacing w:before="60" w:after="60"/>
              <w:jc w:val="right"/>
              <w:rPr>
                <w:rFonts w:ascii="Arial" w:eastAsiaTheme="minorEastAsia" w:hAnsi="Arial" w:cs="Arial"/>
                <w:sz w:val="20"/>
                <w:szCs w:val="20"/>
                <w:lang w:val="en-GB" w:eastAsia="ko-KR"/>
              </w:rPr>
            </w:pPr>
            <w:r w:rsidRPr="00577174">
              <w:rPr>
                <w:rFonts w:ascii="Arial" w:eastAsiaTheme="minorEastAsia" w:hAnsi="Arial" w:cs="Arial"/>
                <w:sz w:val="20"/>
                <w:szCs w:val="20"/>
                <w:lang w:val="en-GB" w:eastAsia="ko-KR"/>
              </w:rPr>
              <w:t>9.</w:t>
            </w:r>
          </w:p>
        </w:tc>
        <w:tc>
          <w:tcPr>
            <w:tcW w:w="3401" w:type="pct"/>
          </w:tcPr>
          <w:p w14:paraId="0EF708BC" w14:textId="77777777" w:rsidR="00634C3C" w:rsidRPr="00577174" w:rsidRDefault="00634C3C" w:rsidP="005F6F95">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Follow-up on elements inscribed on the Lists of the Convention</w:t>
            </w:r>
          </w:p>
        </w:tc>
      </w:tr>
      <w:tr w:rsidR="00634C3C" w:rsidRPr="00577174" w14:paraId="3EBE0058" w14:textId="77777777" w:rsidTr="005F6F95">
        <w:trPr>
          <w:jc w:val="center"/>
        </w:trPr>
        <w:tc>
          <w:tcPr>
            <w:tcW w:w="5000" w:type="pct"/>
            <w:gridSpan w:val="3"/>
            <w:shd w:val="clear" w:color="auto" w:fill="BFBFBF" w:themeFill="background1" w:themeFillShade="BF"/>
          </w:tcPr>
          <w:p w14:paraId="2522AFC6" w14:textId="77777777" w:rsidR="00634C3C" w:rsidRPr="00577174" w:rsidRDefault="00634C3C" w:rsidP="005F6F95">
            <w:pPr>
              <w:spacing w:before="60" w:after="60"/>
              <w:rPr>
                <w:rFonts w:ascii="Arial" w:hAnsi="Arial" w:cs="Arial"/>
                <w:b/>
                <w:sz w:val="20"/>
                <w:szCs w:val="20"/>
                <w:u w:val="single"/>
                <w:lang w:val="en-GB"/>
              </w:rPr>
            </w:pPr>
            <w:r w:rsidRPr="00577174">
              <w:rPr>
                <w:rFonts w:ascii="Arial" w:hAnsi="Arial" w:cs="Arial"/>
                <w:b/>
                <w:sz w:val="20"/>
                <w:szCs w:val="20"/>
                <w:u w:val="single"/>
                <w:lang w:val="en-GB"/>
              </w:rPr>
              <w:t>Friday, 12 December 2025</w:t>
            </w:r>
          </w:p>
        </w:tc>
      </w:tr>
      <w:tr w:rsidR="00634C3C" w:rsidRPr="00577174" w14:paraId="57CB883C" w14:textId="77777777" w:rsidTr="005F6F95">
        <w:trPr>
          <w:jc w:val="center"/>
        </w:trPr>
        <w:tc>
          <w:tcPr>
            <w:tcW w:w="1234" w:type="pct"/>
          </w:tcPr>
          <w:p w14:paraId="1A1FF967"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57AF9831" w14:textId="77777777" w:rsidR="00634C3C" w:rsidRPr="00577174" w:rsidRDefault="00634C3C" w:rsidP="005F6F95">
            <w:pPr>
              <w:tabs>
                <w:tab w:val="decimal" w:pos="284"/>
              </w:tabs>
              <w:spacing w:before="60" w:after="60"/>
              <w:jc w:val="right"/>
              <w:rPr>
                <w:rFonts w:ascii="Arial" w:hAnsi="Arial" w:cs="Arial"/>
                <w:sz w:val="20"/>
                <w:szCs w:val="20"/>
                <w:lang w:val="en-GB"/>
              </w:rPr>
            </w:pPr>
          </w:p>
        </w:tc>
        <w:tc>
          <w:tcPr>
            <w:tcW w:w="3401" w:type="pct"/>
          </w:tcPr>
          <w:p w14:paraId="066E7D5A"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Meeting of the Bureau</w:t>
            </w:r>
          </w:p>
        </w:tc>
      </w:tr>
      <w:tr w:rsidR="00634C3C" w:rsidRPr="00187CC0" w14:paraId="39AEEE3A" w14:textId="77777777" w:rsidTr="005F6F95">
        <w:trPr>
          <w:jc w:val="center"/>
        </w:trPr>
        <w:tc>
          <w:tcPr>
            <w:tcW w:w="1234" w:type="pct"/>
          </w:tcPr>
          <w:p w14:paraId="36365BE3"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5E6FD121"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10.</w:t>
            </w:r>
          </w:p>
        </w:tc>
        <w:tc>
          <w:tcPr>
            <w:tcW w:w="3401" w:type="pct"/>
          </w:tcPr>
          <w:p w14:paraId="02B6CBA3"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bCs/>
                <w:snapToGrid w:val="0"/>
                <w:sz w:val="20"/>
                <w:szCs w:val="20"/>
                <w:lang w:val="en-GB" w:eastAsia="en-US"/>
              </w:rPr>
              <w:t>Report on International Assistance from the Intangible Cultural Heritage Fund</w:t>
            </w:r>
          </w:p>
        </w:tc>
      </w:tr>
      <w:tr w:rsidR="00634C3C" w:rsidRPr="00187CC0" w14:paraId="3F0D5739" w14:textId="77777777" w:rsidTr="005F6F95">
        <w:trPr>
          <w:jc w:val="center"/>
        </w:trPr>
        <w:tc>
          <w:tcPr>
            <w:tcW w:w="1234" w:type="pct"/>
          </w:tcPr>
          <w:p w14:paraId="06F601E4" w14:textId="77777777" w:rsidR="00634C3C" w:rsidRPr="00577174" w:rsidRDefault="00634C3C" w:rsidP="005F6F95">
            <w:pPr>
              <w:spacing w:before="60" w:after="60"/>
              <w:rPr>
                <w:rFonts w:ascii="Arial" w:hAnsi="Arial" w:cs="Arial"/>
                <w:sz w:val="20"/>
                <w:szCs w:val="20"/>
                <w:lang w:val="en-GB"/>
              </w:rPr>
            </w:pPr>
          </w:p>
        </w:tc>
        <w:tc>
          <w:tcPr>
            <w:tcW w:w="365" w:type="pct"/>
          </w:tcPr>
          <w:p w14:paraId="26B331A4"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11.</w:t>
            </w:r>
          </w:p>
        </w:tc>
        <w:tc>
          <w:tcPr>
            <w:tcW w:w="3401" w:type="pct"/>
          </w:tcPr>
          <w:p w14:paraId="438421B1"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Broader implementation of Article 18 of the Convention</w:t>
            </w:r>
          </w:p>
        </w:tc>
      </w:tr>
      <w:tr w:rsidR="00634C3C" w:rsidRPr="00187CC0" w14:paraId="059A1EAF" w14:textId="77777777" w:rsidTr="005F6F95">
        <w:trPr>
          <w:jc w:val="center"/>
        </w:trPr>
        <w:tc>
          <w:tcPr>
            <w:tcW w:w="1234" w:type="pct"/>
          </w:tcPr>
          <w:p w14:paraId="7DD7E9F7" w14:textId="77777777" w:rsidR="00634C3C" w:rsidRPr="00577174" w:rsidRDefault="00634C3C" w:rsidP="005F6F95">
            <w:pPr>
              <w:spacing w:before="60" w:after="60"/>
              <w:rPr>
                <w:rFonts w:ascii="Arial" w:hAnsi="Arial" w:cs="Arial"/>
                <w:sz w:val="20"/>
                <w:szCs w:val="20"/>
                <w:lang w:val="en-GB"/>
              </w:rPr>
            </w:pPr>
          </w:p>
        </w:tc>
        <w:tc>
          <w:tcPr>
            <w:tcW w:w="365" w:type="pct"/>
          </w:tcPr>
          <w:p w14:paraId="5F3794C7"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12.</w:t>
            </w:r>
          </w:p>
        </w:tc>
        <w:tc>
          <w:tcPr>
            <w:tcW w:w="3401" w:type="pct"/>
          </w:tcPr>
          <w:p w14:paraId="72536D6F"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Thematic initiatives on living heritage and sustainable development</w:t>
            </w:r>
          </w:p>
        </w:tc>
      </w:tr>
      <w:tr w:rsidR="00634C3C" w:rsidRPr="00577174" w14:paraId="3BBF12F4" w14:textId="77777777" w:rsidTr="005F6F95">
        <w:trPr>
          <w:jc w:val="center"/>
        </w:trPr>
        <w:tc>
          <w:tcPr>
            <w:tcW w:w="1234" w:type="pct"/>
            <w:shd w:val="clear" w:color="auto" w:fill="D9D9D9" w:themeFill="background1" w:themeFillShade="D9"/>
          </w:tcPr>
          <w:p w14:paraId="0497CDA9"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hemeFill="background1" w:themeFillShade="D9"/>
          </w:tcPr>
          <w:p w14:paraId="4EB974B5"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Break</w:t>
            </w:r>
          </w:p>
        </w:tc>
      </w:tr>
      <w:tr w:rsidR="00634C3C" w:rsidRPr="00187CC0" w14:paraId="5E0C2965" w14:textId="77777777" w:rsidTr="005F6F95">
        <w:trPr>
          <w:jc w:val="center"/>
        </w:trPr>
        <w:tc>
          <w:tcPr>
            <w:tcW w:w="1234" w:type="pct"/>
          </w:tcPr>
          <w:p w14:paraId="2C46F442"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391544BF"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13.</w:t>
            </w:r>
          </w:p>
        </w:tc>
        <w:tc>
          <w:tcPr>
            <w:tcW w:w="3401" w:type="pct"/>
          </w:tcPr>
          <w:p w14:paraId="7FFB12C6"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Intangible Cultural Heritage Fund: voluntary supplementary contributions and other issues</w:t>
            </w:r>
          </w:p>
        </w:tc>
      </w:tr>
      <w:tr w:rsidR="00634C3C" w:rsidRPr="00187CC0" w14:paraId="73D179ED" w14:textId="77777777" w:rsidTr="005F6F95">
        <w:trPr>
          <w:jc w:val="center"/>
        </w:trPr>
        <w:tc>
          <w:tcPr>
            <w:tcW w:w="1234" w:type="pct"/>
          </w:tcPr>
          <w:p w14:paraId="139CDE16" w14:textId="77777777" w:rsidR="00634C3C" w:rsidRPr="00577174" w:rsidRDefault="00634C3C" w:rsidP="005F6F95">
            <w:pPr>
              <w:spacing w:before="60" w:after="60"/>
              <w:rPr>
                <w:rFonts w:ascii="Arial" w:hAnsi="Arial" w:cs="Arial"/>
                <w:sz w:val="20"/>
                <w:szCs w:val="20"/>
                <w:lang w:val="en-GB"/>
              </w:rPr>
            </w:pPr>
          </w:p>
        </w:tc>
        <w:tc>
          <w:tcPr>
            <w:tcW w:w="365" w:type="pct"/>
          </w:tcPr>
          <w:p w14:paraId="0400B608"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14.</w:t>
            </w:r>
          </w:p>
        </w:tc>
        <w:tc>
          <w:tcPr>
            <w:tcW w:w="3401" w:type="pct"/>
          </w:tcPr>
          <w:p w14:paraId="2A5401B0"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Draft plan for the use of the resources of the Intangible Cultural Heritage Fund in 2026 and 2027</w:t>
            </w:r>
          </w:p>
        </w:tc>
      </w:tr>
      <w:tr w:rsidR="00634C3C" w:rsidRPr="00187CC0" w14:paraId="5CDCFCFD" w14:textId="77777777" w:rsidTr="005F6F95">
        <w:trPr>
          <w:jc w:val="center"/>
        </w:trPr>
        <w:tc>
          <w:tcPr>
            <w:tcW w:w="1234" w:type="pct"/>
          </w:tcPr>
          <w:p w14:paraId="463F73C1" w14:textId="77777777" w:rsidR="00634C3C" w:rsidRPr="00577174" w:rsidRDefault="00634C3C" w:rsidP="005F6F95">
            <w:pPr>
              <w:spacing w:before="60" w:after="60"/>
              <w:rPr>
                <w:rFonts w:ascii="Arial" w:hAnsi="Arial" w:cs="Arial"/>
                <w:sz w:val="20"/>
                <w:szCs w:val="20"/>
                <w:lang w:val="en-GB"/>
              </w:rPr>
            </w:pPr>
          </w:p>
        </w:tc>
        <w:tc>
          <w:tcPr>
            <w:tcW w:w="365" w:type="pct"/>
          </w:tcPr>
          <w:p w14:paraId="0B489A4B"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15.</w:t>
            </w:r>
          </w:p>
        </w:tc>
        <w:tc>
          <w:tcPr>
            <w:tcW w:w="3401" w:type="pct"/>
          </w:tcPr>
          <w:p w14:paraId="7B53E74A"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Report of the non-governmental organizations forum</w:t>
            </w:r>
          </w:p>
        </w:tc>
      </w:tr>
      <w:tr w:rsidR="00634C3C" w:rsidRPr="00577174" w14:paraId="1B9E2D75" w14:textId="77777777" w:rsidTr="005F6F95">
        <w:trPr>
          <w:jc w:val="center"/>
        </w:trPr>
        <w:tc>
          <w:tcPr>
            <w:tcW w:w="5000" w:type="pct"/>
            <w:gridSpan w:val="3"/>
            <w:shd w:val="clear" w:color="auto" w:fill="BFBFBF" w:themeFill="background1" w:themeFillShade="BF"/>
          </w:tcPr>
          <w:p w14:paraId="24E26089" w14:textId="77777777" w:rsidR="00634C3C" w:rsidRPr="00577174" w:rsidRDefault="00634C3C" w:rsidP="005F6F95">
            <w:pPr>
              <w:adjustRightInd w:val="0"/>
              <w:spacing w:before="60" w:after="60"/>
              <w:jc w:val="both"/>
              <w:rPr>
                <w:rFonts w:ascii="Arial" w:hAnsi="Arial" w:cs="Arial"/>
                <w:b/>
                <w:bCs/>
                <w:sz w:val="20"/>
                <w:szCs w:val="20"/>
                <w:u w:val="single"/>
                <w:lang w:val="en-GB"/>
              </w:rPr>
            </w:pPr>
            <w:r w:rsidRPr="00577174">
              <w:rPr>
                <w:rFonts w:ascii="Arial" w:hAnsi="Arial" w:cs="Arial"/>
                <w:b/>
                <w:bCs/>
                <w:sz w:val="20"/>
                <w:szCs w:val="20"/>
                <w:u w:val="single"/>
                <w:lang w:val="en-GB"/>
              </w:rPr>
              <w:t>Saturday, 13 December 2025</w:t>
            </w:r>
          </w:p>
        </w:tc>
      </w:tr>
      <w:tr w:rsidR="00634C3C" w:rsidRPr="00577174" w14:paraId="036B54E0" w14:textId="77777777" w:rsidTr="005F6F95">
        <w:trPr>
          <w:jc w:val="center"/>
        </w:trPr>
        <w:tc>
          <w:tcPr>
            <w:tcW w:w="1234" w:type="pct"/>
          </w:tcPr>
          <w:p w14:paraId="1E429222"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7AECF7C4" w14:textId="77777777" w:rsidR="00634C3C" w:rsidRPr="00577174" w:rsidRDefault="00634C3C" w:rsidP="005F6F95">
            <w:pPr>
              <w:tabs>
                <w:tab w:val="decimal" w:pos="284"/>
              </w:tabs>
              <w:spacing w:before="60" w:after="60"/>
              <w:jc w:val="right"/>
              <w:rPr>
                <w:rFonts w:ascii="Arial" w:hAnsi="Arial" w:cs="Arial"/>
                <w:sz w:val="20"/>
                <w:szCs w:val="20"/>
                <w:lang w:val="en-GB"/>
              </w:rPr>
            </w:pPr>
          </w:p>
        </w:tc>
        <w:tc>
          <w:tcPr>
            <w:tcW w:w="3401" w:type="pct"/>
          </w:tcPr>
          <w:p w14:paraId="6FEA1D1A"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Meeting of the Bureau</w:t>
            </w:r>
          </w:p>
        </w:tc>
      </w:tr>
      <w:tr w:rsidR="00634C3C" w:rsidRPr="00187CC0" w14:paraId="77795790" w14:textId="77777777" w:rsidTr="005F6F95">
        <w:trPr>
          <w:jc w:val="center"/>
        </w:trPr>
        <w:tc>
          <w:tcPr>
            <w:tcW w:w="1234" w:type="pct"/>
          </w:tcPr>
          <w:p w14:paraId="47A3D48A"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731D90B1"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16.</w:t>
            </w:r>
          </w:p>
        </w:tc>
        <w:tc>
          <w:tcPr>
            <w:tcW w:w="3401" w:type="pct"/>
          </w:tcPr>
          <w:p w14:paraId="5044B8FB"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Accreditation of new non-governmental organizations and review of accredited non-governmental organizations</w:t>
            </w:r>
          </w:p>
        </w:tc>
      </w:tr>
      <w:tr w:rsidR="00634C3C" w:rsidRPr="00187CC0" w14:paraId="608924A9" w14:textId="77777777" w:rsidTr="005F6F95">
        <w:trPr>
          <w:jc w:val="center"/>
        </w:trPr>
        <w:tc>
          <w:tcPr>
            <w:tcW w:w="1234" w:type="pct"/>
          </w:tcPr>
          <w:p w14:paraId="05211C1D" w14:textId="77777777" w:rsidR="00634C3C" w:rsidRPr="00577174" w:rsidRDefault="00634C3C" w:rsidP="005F6F95">
            <w:pPr>
              <w:spacing w:before="60" w:after="60"/>
              <w:rPr>
                <w:rFonts w:ascii="Arial" w:hAnsi="Arial" w:cs="Arial"/>
                <w:sz w:val="20"/>
                <w:szCs w:val="20"/>
                <w:lang w:val="en-GB"/>
              </w:rPr>
            </w:pPr>
          </w:p>
        </w:tc>
        <w:tc>
          <w:tcPr>
            <w:tcW w:w="365" w:type="pct"/>
          </w:tcPr>
          <w:p w14:paraId="62402E1E"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17.</w:t>
            </w:r>
          </w:p>
        </w:tc>
        <w:tc>
          <w:tcPr>
            <w:tcW w:w="3401" w:type="pct"/>
          </w:tcPr>
          <w:p w14:paraId="53362DD5"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Establishment of the Evaluation Body for the 2026 cycle (Part I)</w:t>
            </w:r>
          </w:p>
        </w:tc>
      </w:tr>
      <w:tr w:rsidR="00634C3C" w:rsidRPr="00187CC0" w14:paraId="7876DC26" w14:textId="77777777" w:rsidTr="005F6F95">
        <w:trPr>
          <w:jc w:val="center"/>
        </w:trPr>
        <w:tc>
          <w:tcPr>
            <w:tcW w:w="1234" w:type="pct"/>
          </w:tcPr>
          <w:p w14:paraId="085050E6" w14:textId="77777777" w:rsidR="00634C3C" w:rsidRPr="00577174" w:rsidRDefault="00634C3C" w:rsidP="005F6F95">
            <w:pPr>
              <w:spacing w:before="60" w:after="60"/>
              <w:rPr>
                <w:rFonts w:ascii="Arial" w:hAnsi="Arial" w:cs="Arial"/>
                <w:sz w:val="20"/>
                <w:szCs w:val="20"/>
                <w:lang w:val="en-GB"/>
              </w:rPr>
            </w:pPr>
          </w:p>
        </w:tc>
        <w:tc>
          <w:tcPr>
            <w:tcW w:w="365" w:type="pct"/>
          </w:tcPr>
          <w:p w14:paraId="0C3C3171"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18.</w:t>
            </w:r>
          </w:p>
        </w:tc>
        <w:tc>
          <w:tcPr>
            <w:tcW w:w="3401" w:type="pct"/>
          </w:tcPr>
          <w:p w14:paraId="7C418421"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Date and place of the twenty-first session of the Committee</w:t>
            </w:r>
          </w:p>
        </w:tc>
      </w:tr>
      <w:tr w:rsidR="00634C3C" w:rsidRPr="00187CC0" w14:paraId="4006095A" w14:textId="77777777" w:rsidTr="005F6F95">
        <w:trPr>
          <w:jc w:val="center"/>
        </w:trPr>
        <w:tc>
          <w:tcPr>
            <w:tcW w:w="1234" w:type="pct"/>
          </w:tcPr>
          <w:p w14:paraId="02E888E2" w14:textId="77777777" w:rsidR="00634C3C" w:rsidRPr="00577174" w:rsidRDefault="00634C3C" w:rsidP="005F6F95">
            <w:pPr>
              <w:spacing w:before="60" w:after="60"/>
              <w:rPr>
                <w:rFonts w:ascii="Arial" w:hAnsi="Arial" w:cs="Arial"/>
                <w:sz w:val="20"/>
                <w:szCs w:val="20"/>
                <w:lang w:val="en-GB"/>
              </w:rPr>
            </w:pPr>
          </w:p>
        </w:tc>
        <w:tc>
          <w:tcPr>
            <w:tcW w:w="365" w:type="pct"/>
          </w:tcPr>
          <w:p w14:paraId="2DD7E8F2"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19.</w:t>
            </w:r>
          </w:p>
        </w:tc>
        <w:tc>
          <w:tcPr>
            <w:tcW w:w="3401" w:type="pct"/>
          </w:tcPr>
          <w:p w14:paraId="4F105126"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Election of the members of the Bureau of the twenty-first session of the Committee</w:t>
            </w:r>
          </w:p>
        </w:tc>
      </w:tr>
      <w:tr w:rsidR="00634C3C" w:rsidRPr="00577174" w14:paraId="4C04DC0A" w14:textId="77777777" w:rsidTr="005F6F95">
        <w:trPr>
          <w:jc w:val="center"/>
        </w:trPr>
        <w:tc>
          <w:tcPr>
            <w:tcW w:w="1234" w:type="pct"/>
            <w:shd w:val="clear" w:color="auto" w:fill="D9D9D9"/>
          </w:tcPr>
          <w:p w14:paraId="42A1A6C6"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cPr>
          <w:p w14:paraId="4E87D50B" w14:textId="77777777" w:rsidR="00634C3C" w:rsidRPr="00577174" w:rsidRDefault="00634C3C" w:rsidP="005F6F95">
            <w:pPr>
              <w:pageBreakBefore/>
              <w:tabs>
                <w:tab w:val="num" w:pos="1080"/>
              </w:tabs>
              <w:autoSpaceDE w:val="0"/>
              <w:autoSpaceDN w:val="0"/>
              <w:spacing w:before="60" w:after="60"/>
              <w:jc w:val="both"/>
              <w:rPr>
                <w:rFonts w:ascii="Arial" w:hAnsi="Arial" w:cs="Arial"/>
                <w:sz w:val="20"/>
                <w:szCs w:val="20"/>
                <w:lang w:val="en-GB"/>
              </w:rPr>
            </w:pPr>
            <w:r w:rsidRPr="00577174">
              <w:rPr>
                <w:rFonts w:ascii="Arial" w:eastAsia="SimSun" w:hAnsi="Arial" w:cs="Arial"/>
                <w:bCs/>
                <w:sz w:val="20"/>
                <w:szCs w:val="20"/>
                <w:lang w:val="en-GB" w:eastAsia="zh-CN"/>
              </w:rPr>
              <w:t>Break</w:t>
            </w:r>
          </w:p>
        </w:tc>
      </w:tr>
      <w:tr w:rsidR="00634C3C" w:rsidRPr="00187CC0" w14:paraId="1452FFBE" w14:textId="77777777" w:rsidTr="005F6F95">
        <w:trPr>
          <w:jc w:val="center"/>
        </w:trPr>
        <w:tc>
          <w:tcPr>
            <w:tcW w:w="1234" w:type="pct"/>
          </w:tcPr>
          <w:p w14:paraId="717A4BB0" w14:textId="77777777" w:rsidR="00634C3C" w:rsidRPr="00577174" w:rsidRDefault="00634C3C" w:rsidP="005F6F95">
            <w:pPr>
              <w:spacing w:before="60" w:after="60"/>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7BB699E4"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20.</w:t>
            </w:r>
          </w:p>
        </w:tc>
        <w:tc>
          <w:tcPr>
            <w:tcW w:w="3401" w:type="pct"/>
          </w:tcPr>
          <w:p w14:paraId="273AC2E1"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Report by the Committee to the General Assembly on its activities (January 2024 to December 2025)</w:t>
            </w:r>
          </w:p>
        </w:tc>
      </w:tr>
      <w:tr w:rsidR="00634C3C" w:rsidRPr="00187CC0" w14:paraId="2704623A" w14:textId="77777777" w:rsidTr="005F6F95">
        <w:trPr>
          <w:jc w:val="center"/>
        </w:trPr>
        <w:tc>
          <w:tcPr>
            <w:tcW w:w="1234" w:type="pct"/>
          </w:tcPr>
          <w:p w14:paraId="4F29D2DF" w14:textId="77777777" w:rsidR="00634C3C" w:rsidRPr="00577174" w:rsidRDefault="00634C3C" w:rsidP="005F6F95">
            <w:pPr>
              <w:spacing w:before="60" w:after="60"/>
              <w:rPr>
                <w:rFonts w:ascii="Arial" w:hAnsi="Arial" w:cs="Arial"/>
                <w:sz w:val="20"/>
                <w:szCs w:val="20"/>
                <w:lang w:val="en-GB"/>
              </w:rPr>
            </w:pPr>
          </w:p>
        </w:tc>
        <w:tc>
          <w:tcPr>
            <w:tcW w:w="365" w:type="pct"/>
          </w:tcPr>
          <w:p w14:paraId="128B8D5B"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17.</w:t>
            </w:r>
          </w:p>
        </w:tc>
        <w:tc>
          <w:tcPr>
            <w:tcW w:w="3401" w:type="pct"/>
          </w:tcPr>
          <w:p w14:paraId="0EBA9575"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Establishment of the Evaluation Body for the 2026 cycle (Part II)</w:t>
            </w:r>
          </w:p>
        </w:tc>
      </w:tr>
      <w:tr w:rsidR="00634C3C" w:rsidRPr="00577174" w14:paraId="312AF851" w14:textId="77777777" w:rsidTr="005F6F95">
        <w:trPr>
          <w:jc w:val="center"/>
        </w:trPr>
        <w:tc>
          <w:tcPr>
            <w:tcW w:w="1234" w:type="pct"/>
          </w:tcPr>
          <w:p w14:paraId="6E3911CD" w14:textId="77777777" w:rsidR="00634C3C" w:rsidRPr="00577174" w:rsidRDefault="00634C3C" w:rsidP="00EE5426">
            <w:pPr>
              <w:keepNext/>
              <w:spacing w:before="60" w:after="60"/>
              <w:rPr>
                <w:rFonts w:ascii="Arial" w:hAnsi="Arial" w:cs="Arial"/>
                <w:sz w:val="20"/>
                <w:szCs w:val="20"/>
                <w:lang w:val="en-GB"/>
              </w:rPr>
            </w:pPr>
          </w:p>
        </w:tc>
        <w:tc>
          <w:tcPr>
            <w:tcW w:w="365" w:type="pct"/>
          </w:tcPr>
          <w:p w14:paraId="1E6CD14C" w14:textId="77777777" w:rsidR="00634C3C" w:rsidRPr="00577174" w:rsidRDefault="00634C3C" w:rsidP="00EE5426">
            <w:pPr>
              <w:keepNext/>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21.</w:t>
            </w:r>
          </w:p>
        </w:tc>
        <w:tc>
          <w:tcPr>
            <w:tcW w:w="3401" w:type="pct"/>
          </w:tcPr>
          <w:p w14:paraId="4FA612C5" w14:textId="77777777" w:rsidR="00634C3C" w:rsidRPr="00577174" w:rsidRDefault="00634C3C" w:rsidP="00EE5426">
            <w:pPr>
              <w:keepNext/>
              <w:adjustRightInd w:val="0"/>
              <w:spacing w:before="60" w:after="60"/>
              <w:jc w:val="both"/>
              <w:rPr>
                <w:rFonts w:ascii="Arial" w:hAnsi="Arial" w:cs="Arial"/>
                <w:sz w:val="20"/>
                <w:szCs w:val="20"/>
                <w:lang w:val="en-GB"/>
              </w:rPr>
            </w:pPr>
            <w:r w:rsidRPr="00577174">
              <w:rPr>
                <w:rFonts w:ascii="Arial" w:hAnsi="Arial" w:cs="Arial"/>
                <w:sz w:val="20"/>
                <w:szCs w:val="20"/>
                <w:lang w:val="en-GB"/>
              </w:rPr>
              <w:t>Other business</w:t>
            </w:r>
          </w:p>
        </w:tc>
      </w:tr>
      <w:tr w:rsidR="00634C3C" w:rsidRPr="00187CC0" w14:paraId="504D1F09" w14:textId="77777777" w:rsidTr="005F6F95">
        <w:trPr>
          <w:jc w:val="center"/>
        </w:trPr>
        <w:tc>
          <w:tcPr>
            <w:tcW w:w="1234" w:type="pct"/>
          </w:tcPr>
          <w:p w14:paraId="588512B7" w14:textId="77777777" w:rsidR="00634C3C" w:rsidRPr="00577174" w:rsidRDefault="00634C3C" w:rsidP="00EE5426">
            <w:pPr>
              <w:keepNext/>
              <w:spacing w:before="60" w:after="60"/>
              <w:rPr>
                <w:rFonts w:ascii="Arial" w:hAnsi="Arial" w:cs="Arial"/>
                <w:sz w:val="20"/>
                <w:szCs w:val="20"/>
                <w:lang w:val="en-GB"/>
              </w:rPr>
            </w:pPr>
          </w:p>
        </w:tc>
        <w:tc>
          <w:tcPr>
            <w:tcW w:w="365" w:type="pct"/>
          </w:tcPr>
          <w:p w14:paraId="042BE7C7" w14:textId="77777777" w:rsidR="00634C3C" w:rsidRPr="00577174" w:rsidRDefault="00634C3C" w:rsidP="00EE5426">
            <w:pPr>
              <w:keepNext/>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22.</w:t>
            </w:r>
          </w:p>
        </w:tc>
        <w:tc>
          <w:tcPr>
            <w:tcW w:w="3401" w:type="pct"/>
          </w:tcPr>
          <w:p w14:paraId="236762FC" w14:textId="77777777" w:rsidR="00634C3C" w:rsidRPr="00577174" w:rsidRDefault="00634C3C" w:rsidP="00EE5426">
            <w:pPr>
              <w:keepNext/>
              <w:adjustRightInd w:val="0"/>
              <w:spacing w:before="60" w:after="60"/>
              <w:jc w:val="both"/>
              <w:rPr>
                <w:rFonts w:ascii="Arial" w:hAnsi="Arial" w:cs="Arial"/>
                <w:sz w:val="20"/>
                <w:szCs w:val="20"/>
                <w:lang w:val="en-GB"/>
              </w:rPr>
            </w:pPr>
            <w:r w:rsidRPr="00577174">
              <w:rPr>
                <w:rFonts w:ascii="Arial" w:hAnsi="Arial" w:cs="Arial"/>
                <w:sz w:val="20"/>
                <w:szCs w:val="20"/>
                <w:lang w:val="en-GB"/>
              </w:rPr>
              <w:t>Adoption of the list of decisions</w:t>
            </w:r>
          </w:p>
        </w:tc>
      </w:tr>
      <w:tr w:rsidR="00634C3C" w:rsidRPr="00577174" w14:paraId="3C55F099" w14:textId="77777777" w:rsidTr="005F6F95">
        <w:trPr>
          <w:jc w:val="center"/>
        </w:trPr>
        <w:tc>
          <w:tcPr>
            <w:tcW w:w="1234" w:type="pct"/>
          </w:tcPr>
          <w:p w14:paraId="39AC6CAB" w14:textId="77777777" w:rsidR="00634C3C" w:rsidRPr="00577174" w:rsidRDefault="00634C3C" w:rsidP="005F6F95">
            <w:pPr>
              <w:spacing w:before="60" w:after="60"/>
              <w:rPr>
                <w:rFonts w:ascii="Arial" w:hAnsi="Arial" w:cs="Arial"/>
                <w:sz w:val="20"/>
                <w:szCs w:val="20"/>
                <w:lang w:val="en-GB"/>
              </w:rPr>
            </w:pPr>
          </w:p>
        </w:tc>
        <w:tc>
          <w:tcPr>
            <w:tcW w:w="365" w:type="pct"/>
          </w:tcPr>
          <w:p w14:paraId="26D1B224" w14:textId="77777777" w:rsidR="00634C3C" w:rsidRPr="00577174" w:rsidRDefault="00634C3C" w:rsidP="005F6F95">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23.</w:t>
            </w:r>
          </w:p>
        </w:tc>
        <w:tc>
          <w:tcPr>
            <w:tcW w:w="3401" w:type="pct"/>
          </w:tcPr>
          <w:p w14:paraId="55ABD6A2" w14:textId="77777777" w:rsidR="00634C3C" w:rsidRPr="00577174" w:rsidRDefault="00634C3C" w:rsidP="005F6F95">
            <w:pPr>
              <w:adjustRightInd w:val="0"/>
              <w:spacing w:before="60" w:after="60"/>
              <w:jc w:val="both"/>
              <w:rPr>
                <w:rFonts w:ascii="Arial" w:hAnsi="Arial" w:cs="Arial"/>
                <w:sz w:val="20"/>
                <w:szCs w:val="20"/>
                <w:lang w:val="en-GB"/>
              </w:rPr>
            </w:pPr>
            <w:r w:rsidRPr="00577174">
              <w:rPr>
                <w:rFonts w:ascii="Arial" w:hAnsi="Arial" w:cs="Arial"/>
                <w:sz w:val="20"/>
                <w:szCs w:val="20"/>
                <w:lang w:val="en-GB"/>
              </w:rPr>
              <w:t>Closure</w:t>
            </w:r>
          </w:p>
        </w:tc>
      </w:tr>
    </w:tbl>
    <w:p w14:paraId="47FBFF10" w14:textId="77777777" w:rsidR="00634C3C" w:rsidRPr="00577174" w:rsidRDefault="00634C3C" w:rsidP="00634C3C">
      <w:pPr>
        <w:pStyle w:val="COMParaDecision"/>
        <w:numPr>
          <w:ilvl w:val="0"/>
          <w:numId w:val="0"/>
        </w:numPr>
        <w:rPr>
          <w:u w:val="none"/>
        </w:rPr>
      </w:pPr>
    </w:p>
    <w:p w14:paraId="4DBAE7B4" w14:textId="77777777" w:rsidR="002C796D" w:rsidRPr="002C796D" w:rsidRDefault="002C796D" w:rsidP="002C796D">
      <w:pPr>
        <w:keepLines/>
        <w:autoSpaceDE w:val="0"/>
        <w:autoSpaceDN w:val="0"/>
        <w:adjustRightInd w:val="0"/>
        <w:spacing w:after="120"/>
        <w:jc w:val="both"/>
        <w:rPr>
          <w:rFonts w:ascii="Arial" w:hAnsi="Arial" w:cs="Arial"/>
          <w:b/>
          <w:snapToGrid w:val="0"/>
          <w:sz w:val="22"/>
          <w:szCs w:val="22"/>
          <w:lang w:val="en-GB" w:eastAsia="en-US"/>
        </w:rPr>
      </w:pPr>
    </w:p>
    <w:sectPr w:rsidR="002C796D" w:rsidRPr="002C796D"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 w:id="1">
    <w:p w14:paraId="63198B3B" w14:textId="77777777" w:rsidR="00634C3C" w:rsidRPr="00233293" w:rsidRDefault="00634C3C" w:rsidP="00634C3C">
      <w:pPr>
        <w:pStyle w:val="FootnoteText"/>
        <w:jc w:val="both"/>
        <w:rPr>
          <w:rFonts w:asciiTheme="minorBidi" w:eastAsia="SimSun" w:hAnsiTheme="minorBidi" w:cstheme="minorBidi"/>
          <w:sz w:val="18"/>
          <w:szCs w:val="18"/>
          <w:lang w:val="en-US"/>
        </w:rPr>
      </w:pPr>
      <w:r>
        <w:rPr>
          <w:rStyle w:val="FootnoteReference"/>
          <w:rFonts w:asciiTheme="minorBidi" w:eastAsiaTheme="majorEastAsia" w:hAnsiTheme="minorBidi" w:cstheme="minorBidi"/>
        </w:rPr>
        <w:footnoteRef/>
      </w:r>
      <w:r>
        <w:rPr>
          <w:rFonts w:asciiTheme="minorBidi" w:hAnsiTheme="minorBidi" w:cstheme="minorBidi"/>
          <w:sz w:val="18"/>
          <w:szCs w:val="18"/>
          <w:lang w:val="en-US"/>
        </w:rPr>
        <w:t>‘</w:t>
      </w:r>
      <w:hyperlink r:id="rId1" w:history="1">
        <w:r w:rsidRPr="00A534F1">
          <w:rPr>
            <w:rStyle w:val="Hyperlink"/>
            <w:rFonts w:asciiTheme="minorBidi" w:hAnsiTheme="minorBidi" w:cstheme="minorBidi"/>
            <w:sz w:val="18"/>
            <w:szCs w:val="18"/>
            <w:lang w:val="en-US"/>
          </w:rPr>
          <w:t>Inventory of intangible culture of craftsmanship in the core of Historic Cairo</w:t>
        </w:r>
      </w:hyperlink>
      <w:r>
        <w:rPr>
          <w:rFonts w:asciiTheme="minorBidi" w:hAnsiTheme="minorBidi" w:cstheme="minorBidi"/>
          <w:sz w:val="18"/>
          <w:szCs w:val="18"/>
          <w:lang w:val="en-US"/>
        </w:rPr>
        <w:t>’ (US$</w:t>
      </w:r>
      <w:r w:rsidRPr="00A534F1">
        <w:rPr>
          <w:rFonts w:asciiTheme="minorBidi" w:hAnsiTheme="minorBidi" w:cstheme="minorBidi"/>
          <w:sz w:val="18"/>
          <w:szCs w:val="18"/>
          <w:lang w:val="en-US"/>
        </w:rPr>
        <w:t>86</w:t>
      </w:r>
      <w:r>
        <w:rPr>
          <w:rFonts w:asciiTheme="minorBidi" w:hAnsiTheme="minorBidi" w:cstheme="minorBidi"/>
          <w:sz w:val="18"/>
          <w:szCs w:val="18"/>
          <w:lang w:val="en-US"/>
        </w:rPr>
        <w:t>,</w:t>
      </w:r>
      <w:r w:rsidRPr="00A534F1">
        <w:rPr>
          <w:rFonts w:asciiTheme="minorBidi" w:hAnsiTheme="minorBidi" w:cstheme="minorBidi"/>
          <w:sz w:val="18"/>
          <w:szCs w:val="18"/>
          <w:lang w:val="en-US"/>
        </w:rPr>
        <w:t>950</w:t>
      </w:r>
      <w:r>
        <w:rPr>
          <w:rFonts w:asciiTheme="minorBidi" w:hAnsiTheme="minorBidi" w:cstheme="minorBidi"/>
          <w:sz w:val="18"/>
          <w:szCs w:val="18"/>
          <w:lang w:val="en-US"/>
        </w:rPr>
        <w:t>; August 2021–September 2023).</w:t>
      </w:r>
    </w:p>
  </w:footnote>
  <w:footnote w:id="2">
    <w:p w14:paraId="65FF44CD" w14:textId="77777777" w:rsidR="00634C3C" w:rsidRPr="001C2550" w:rsidRDefault="00634C3C" w:rsidP="00634C3C">
      <w:pPr>
        <w:pStyle w:val="FootnoteText"/>
        <w:jc w:val="both"/>
        <w:rPr>
          <w:rFonts w:ascii="Arial" w:hAnsi="Arial" w:cs="Arial"/>
          <w:sz w:val="18"/>
          <w:szCs w:val="18"/>
          <w:lang w:val="en-US"/>
        </w:rPr>
      </w:pPr>
      <w:r w:rsidRPr="001C2550">
        <w:rPr>
          <w:rStyle w:val="FootnoteReference"/>
          <w:rFonts w:ascii="Arial" w:hAnsi="Arial" w:cs="Arial"/>
          <w:sz w:val="18"/>
          <w:szCs w:val="18"/>
        </w:rPr>
        <w:footnoteRef/>
      </w:r>
      <w:r w:rsidRPr="001C2550">
        <w:rPr>
          <w:rFonts w:ascii="Arial" w:hAnsi="Arial" w:cs="Arial"/>
          <w:sz w:val="18"/>
          <w:szCs w:val="18"/>
        </w:rPr>
        <w:t xml:space="preserve"> The periodic report submitted by Nepal will be examined, together with other reports submitted by States </w:t>
      </w:r>
      <w:r>
        <w:rPr>
          <w:rFonts w:ascii="Arial" w:hAnsi="Arial" w:cs="Arial"/>
          <w:sz w:val="18"/>
          <w:szCs w:val="18"/>
        </w:rPr>
        <w:t>P</w:t>
      </w:r>
      <w:r w:rsidRPr="001C2550">
        <w:rPr>
          <w:rFonts w:ascii="Arial" w:hAnsi="Arial" w:cs="Arial"/>
          <w:sz w:val="18"/>
          <w:szCs w:val="18"/>
        </w:rPr>
        <w:t>arties in Asia and the Pacific, by the twentieth session of the Committee, to be held from 8 to 13 December 2025 in New Delhi, Republic of India.</w:t>
      </w:r>
    </w:p>
  </w:footnote>
  <w:footnote w:id="3">
    <w:p w14:paraId="0CFF5BAB" w14:textId="77777777" w:rsidR="00634C3C" w:rsidRPr="00B942C3" w:rsidRDefault="00634C3C" w:rsidP="00634C3C">
      <w:pPr>
        <w:pStyle w:val="FootnoteText"/>
        <w:jc w:val="both"/>
        <w:rPr>
          <w:rFonts w:asciiTheme="minorBidi" w:hAnsiTheme="minorBidi" w:cstheme="minorBidi"/>
          <w:sz w:val="18"/>
          <w:szCs w:val="18"/>
          <w:lang w:val="en-US"/>
        </w:rPr>
      </w:pPr>
      <w:r w:rsidRPr="00B942C3">
        <w:rPr>
          <w:rStyle w:val="FootnoteReference"/>
          <w:rFonts w:asciiTheme="minorBidi" w:hAnsiTheme="minorBidi" w:cstheme="minorBidi"/>
          <w:sz w:val="18"/>
          <w:szCs w:val="18"/>
        </w:rPr>
        <w:footnoteRef/>
      </w:r>
      <w:r w:rsidRPr="00B942C3">
        <w:rPr>
          <w:rFonts w:asciiTheme="minorBidi" w:hAnsiTheme="minorBidi" w:cstheme="minorBidi"/>
          <w:sz w:val="18"/>
          <w:szCs w:val="18"/>
        </w:rPr>
        <w:t xml:space="preserve"> </w:t>
      </w:r>
      <w:r>
        <w:rPr>
          <w:rFonts w:asciiTheme="minorBidi" w:hAnsiTheme="minorBidi" w:cstheme="minorBidi"/>
          <w:sz w:val="18"/>
          <w:szCs w:val="18"/>
        </w:rPr>
        <w:t>(a) ‘</w:t>
      </w:r>
      <w:hyperlink r:id="rId2" w:history="1">
        <w:r w:rsidRPr="007C5647">
          <w:rPr>
            <w:rStyle w:val="Hyperlink"/>
            <w:rFonts w:asciiTheme="minorBidi" w:hAnsiTheme="minorBidi" w:cstheme="minorBidi"/>
            <w:sz w:val="18"/>
            <w:szCs w:val="18"/>
          </w:rPr>
          <w:t>Documentation, promotion and dissemination of the Candombe traditional drum calls, expressions of identity of the Sur, Palermo, and Cordón neighbourhoods in the city of Montevideo’</w:t>
        </w:r>
      </w:hyperlink>
      <w:r>
        <w:rPr>
          <w:rFonts w:asciiTheme="minorBidi" w:hAnsiTheme="minorBidi" w:cstheme="minorBidi"/>
          <w:sz w:val="18"/>
          <w:szCs w:val="18"/>
        </w:rPr>
        <w:t xml:space="preserve"> (US$186,875; September 2013 – August 2015) and (b) </w:t>
      </w:r>
      <w:r w:rsidRPr="00B942C3">
        <w:rPr>
          <w:rFonts w:asciiTheme="minorBidi" w:hAnsiTheme="minorBidi" w:cstheme="minorBidi"/>
          <w:sz w:val="18"/>
          <w:szCs w:val="18"/>
        </w:rPr>
        <w:t>‘</w:t>
      </w:r>
      <w:hyperlink r:id="rId3" w:history="1">
        <w:r w:rsidRPr="00B942C3">
          <w:rPr>
            <w:rStyle w:val="Hyperlink"/>
            <w:rFonts w:asciiTheme="minorBidi" w:hAnsiTheme="minorBidi" w:cstheme="minorBidi"/>
            <w:sz w:val="18"/>
            <w:szCs w:val="18"/>
          </w:rPr>
          <w:t>The Bandoneon: sound of Tango</w:t>
        </w:r>
      </w:hyperlink>
      <w:r w:rsidRPr="00B942C3">
        <w:rPr>
          <w:rFonts w:asciiTheme="minorBidi" w:hAnsiTheme="minorBidi" w:cstheme="minorBidi"/>
          <w:sz w:val="18"/>
          <w:szCs w:val="18"/>
        </w:rPr>
        <w:t>’ (Phase I) (US$99,764; April 2020 –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0814D3A2"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550552">
      <w:rPr>
        <w:rFonts w:ascii="Arial" w:hAnsi="Arial" w:cs="Arial"/>
        <w:sz w:val="20"/>
        <w:szCs w:val="20"/>
      </w:rPr>
      <w:t>5</w:t>
    </w:r>
    <w:r w:rsidR="00CB0542" w:rsidRPr="004E1760">
      <w:rPr>
        <w:rFonts w:ascii="Arial" w:hAnsi="Arial" w:cs="Arial"/>
        <w:sz w:val="20"/>
        <w:szCs w:val="20"/>
      </w:rPr>
      <w:t>/</w:t>
    </w:r>
    <w:r w:rsidR="00550552">
      <w:rPr>
        <w:rFonts w:ascii="Arial" w:hAnsi="Arial" w:cs="Arial"/>
        <w:sz w:val="20"/>
        <w:szCs w:val="20"/>
      </w:rPr>
      <w:t>20</w:t>
    </w:r>
    <w:r w:rsidR="00EC6F8D" w:rsidRPr="004E1760">
      <w:rPr>
        <w:rFonts w:ascii="Arial" w:hAnsi="Arial" w:cs="Arial"/>
        <w:sz w:val="20"/>
        <w:szCs w:val="20"/>
      </w:rPr>
      <w:t>.</w:t>
    </w:r>
    <w:r w:rsidR="004E1760">
      <w:rPr>
        <w:rFonts w:ascii="Arial" w:hAnsi="Arial" w:cs="Arial"/>
        <w:sz w:val="20"/>
        <w:szCs w:val="20"/>
      </w:rPr>
      <w:t>COM </w:t>
    </w:r>
    <w:r w:rsidR="007B509C">
      <w:rPr>
        <w:rFonts w:ascii="Arial" w:hAnsi="Arial" w:cs="Arial"/>
        <w:sz w:val="20"/>
        <w:szCs w:val="20"/>
      </w:rPr>
      <w:t>4</w:t>
    </w:r>
    <w:r w:rsidR="004E1760" w:rsidRPr="0036787A">
      <w:rPr>
        <w:rFonts w:ascii="Arial" w:hAnsi="Arial" w:cs="Arial"/>
        <w:sz w:val="20"/>
        <w:szCs w:val="20"/>
      </w:rPr>
      <w:t>.BUR</w:t>
    </w:r>
    <w:r w:rsidR="004E1760" w:rsidRPr="000363E7">
      <w:rPr>
        <w:rFonts w:ascii="Arial" w:hAnsi="Arial" w:cs="Arial"/>
        <w:sz w:val="20"/>
        <w:szCs w:val="20"/>
      </w:rPr>
      <w:t>/</w:t>
    </w:r>
    <w:proofErr w:type="spellStart"/>
    <w:r w:rsidR="002C796D">
      <w:rPr>
        <w:rFonts w:ascii="Arial" w:hAnsi="Arial" w:cs="Arial"/>
        <w:sz w:val="20"/>
        <w:szCs w:val="20"/>
      </w:rPr>
      <w:t>Decisions</w:t>
    </w:r>
    <w:proofErr w:type="spellEnd"/>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7EAB53E8"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102E4B">
      <w:rPr>
        <w:rFonts w:ascii="Arial" w:hAnsi="Arial" w:cs="Arial"/>
        <w:sz w:val="20"/>
        <w:szCs w:val="20"/>
        <w:lang w:val="en-GB"/>
      </w:rPr>
      <w:t>5</w:t>
    </w:r>
    <w:r w:rsidR="0053318C">
      <w:rPr>
        <w:rFonts w:ascii="Arial" w:hAnsi="Arial" w:cs="Arial"/>
        <w:sz w:val="20"/>
        <w:szCs w:val="20"/>
        <w:lang w:val="en-GB"/>
      </w:rPr>
      <w:t>/</w:t>
    </w:r>
    <w:r w:rsidR="00102E4B">
      <w:rPr>
        <w:rFonts w:ascii="Arial" w:hAnsi="Arial" w:cs="Arial"/>
        <w:sz w:val="20"/>
        <w:szCs w:val="20"/>
        <w:lang w:val="en-GB"/>
      </w:rPr>
      <w:t>20</w:t>
    </w:r>
    <w:r w:rsidR="00EC6F8D">
      <w:rPr>
        <w:rFonts w:ascii="Arial" w:hAnsi="Arial" w:cs="Arial"/>
        <w:sz w:val="20"/>
        <w:szCs w:val="20"/>
        <w:lang w:val="en-GB"/>
      </w:rPr>
      <w:t>.COM</w:t>
    </w:r>
    <w:r w:rsidR="00A644BB">
      <w:rPr>
        <w:rFonts w:ascii="Arial" w:hAnsi="Arial" w:cs="Arial"/>
        <w:sz w:val="20"/>
        <w:szCs w:val="20"/>
      </w:rPr>
      <w:t> </w:t>
    </w:r>
    <w:r w:rsidR="007B509C">
      <w:rPr>
        <w:rFonts w:ascii="Arial" w:hAnsi="Arial" w:cs="Arial"/>
        <w:sz w:val="20"/>
        <w:szCs w:val="20"/>
      </w:rPr>
      <w:t>4</w:t>
    </w:r>
    <w:r w:rsidR="00A644BB" w:rsidRPr="0036787A">
      <w:rPr>
        <w:rFonts w:ascii="Arial" w:hAnsi="Arial" w:cs="Arial"/>
        <w:sz w:val="20"/>
        <w:szCs w:val="20"/>
      </w:rPr>
      <w:t>.BUR</w:t>
    </w:r>
    <w:r w:rsidR="004A34A0" w:rsidRPr="0063300C">
      <w:rPr>
        <w:rFonts w:ascii="Arial" w:hAnsi="Arial" w:cs="Arial"/>
        <w:sz w:val="20"/>
        <w:szCs w:val="20"/>
        <w:lang w:val="en-GB"/>
      </w:rPr>
      <w:t>/</w:t>
    </w:r>
    <w:r w:rsidR="0082101D">
      <w:rPr>
        <w:rFonts w:ascii="Arial" w:hAnsi="Arial" w:cs="Arial"/>
        <w:sz w:val="20"/>
        <w:szCs w:val="20"/>
        <w:lang w:val="en-GB"/>
      </w:rPr>
      <w:t>Decisions</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86516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71A4E119" w:rsidR="004E1760" w:rsidRPr="00D7105A" w:rsidRDefault="00C27AC2" w:rsidP="004E1760">
    <w:pPr>
      <w:pStyle w:val="Header"/>
      <w:spacing w:after="520"/>
      <w:jc w:val="right"/>
      <w:rPr>
        <w:rFonts w:ascii="Arial" w:hAnsi="Arial" w:cs="Arial"/>
        <w:b/>
        <w:sz w:val="44"/>
        <w:szCs w:val="44"/>
        <w:lang w:val="pt-PT"/>
      </w:rPr>
    </w:pPr>
    <w:r>
      <w:rPr>
        <w:rFonts w:ascii="Arial" w:hAnsi="Arial" w:cs="Arial"/>
        <w:b/>
        <w:sz w:val="44"/>
        <w:szCs w:val="44"/>
        <w:lang w:val="pt-PT"/>
      </w:rPr>
      <w:t>20</w:t>
    </w:r>
    <w:r w:rsidR="004E1760" w:rsidRPr="00D7105A">
      <w:rPr>
        <w:rFonts w:ascii="Arial" w:hAnsi="Arial" w:cs="Arial"/>
        <w:b/>
        <w:sz w:val="44"/>
        <w:szCs w:val="44"/>
        <w:lang w:val="pt-PT"/>
      </w:rPr>
      <w:t xml:space="preserve"> </w:t>
    </w:r>
    <w:r w:rsidR="004E1760" w:rsidRPr="00232D65">
      <w:rPr>
        <w:rFonts w:ascii="Arial" w:hAnsi="Arial" w:cs="Arial"/>
        <w:b/>
        <w:sz w:val="44"/>
        <w:szCs w:val="44"/>
        <w:lang w:val="pt-PT"/>
      </w:rPr>
      <w:t xml:space="preserve">COM </w:t>
    </w:r>
    <w:r w:rsidR="007B509C">
      <w:rPr>
        <w:rFonts w:ascii="Arial" w:hAnsi="Arial" w:cs="Arial"/>
        <w:b/>
        <w:sz w:val="44"/>
        <w:szCs w:val="44"/>
        <w:lang w:val="pt-PT"/>
      </w:rPr>
      <w:t>4</w:t>
    </w:r>
    <w:r w:rsidR="004E1760" w:rsidRPr="00232D65">
      <w:rPr>
        <w:rFonts w:ascii="Arial" w:hAnsi="Arial" w:cs="Arial"/>
        <w:b/>
        <w:sz w:val="44"/>
        <w:szCs w:val="44"/>
        <w:lang w:val="pt-PT"/>
      </w:rPr>
      <w:t xml:space="preserve"> BUR</w:t>
    </w:r>
  </w:p>
  <w:p w14:paraId="6D1B3489" w14:textId="3388BAB1"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C27AC2">
      <w:rPr>
        <w:rFonts w:ascii="Arial" w:hAnsi="Arial" w:cs="Arial"/>
        <w:b/>
        <w:sz w:val="22"/>
        <w:szCs w:val="22"/>
        <w:lang w:val="pt-PT"/>
      </w:rPr>
      <w:t>5</w:t>
    </w:r>
    <w:r w:rsidRPr="00D7105A">
      <w:rPr>
        <w:rFonts w:ascii="Arial" w:hAnsi="Arial" w:cs="Arial"/>
        <w:b/>
        <w:sz w:val="22"/>
        <w:szCs w:val="22"/>
        <w:lang w:val="pt-PT"/>
      </w:rPr>
      <w:t>/</w:t>
    </w:r>
    <w:bookmarkStart w:id="5" w:name="_Hlk94624970"/>
    <w:r w:rsidR="00C27AC2">
      <w:rPr>
        <w:rFonts w:ascii="Arial" w:hAnsi="Arial" w:cs="Arial"/>
        <w:b/>
        <w:sz w:val="22"/>
        <w:szCs w:val="22"/>
        <w:lang w:val="pt-PT"/>
      </w:rPr>
      <w:t>20</w:t>
    </w:r>
    <w:r w:rsidRPr="00D7105A">
      <w:rPr>
        <w:rFonts w:ascii="Arial" w:hAnsi="Arial" w:cs="Arial"/>
        <w:b/>
        <w:sz w:val="22"/>
        <w:szCs w:val="22"/>
        <w:lang w:val="pt-PT"/>
      </w:rPr>
      <w:t>.</w:t>
    </w:r>
    <w:r w:rsidRPr="00F72876">
      <w:rPr>
        <w:rFonts w:ascii="Arial" w:hAnsi="Arial" w:cs="Arial"/>
        <w:b/>
        <w:sz w:val="22"/>
        <w:szCs w:val="22"/>
        <w:lang w:val="pt-PT"/>
      </w:rPr>
      <w:t>COM </w:t>
    </w:r>
    <w:r w:rsidR="007B509C">
      <w:rPr>
        <w:rFonts w:ascii="Arial" w:hAnsi="Arial" w:cs="Arial"/>
        <w:b/>
        <w:sz w:val="22"/>
        <w:szCs w:val="22"/>
        <w:lang w:val="pt-PT"/>
      </w:rPr>
      <w:t>4</w:t>
    </w:r>
    <w:r w:rsidRPr="00F72876">
      <w:rPr>
        <w:rFonts w:ascii="Arial" w:hAnsi="Arial" w:cs="Arial"/>
        <w:b/>
        <w:sz w:val="22"/>
        <w:szCs w:val="22"/>
        <w:lang w:val="pt-PT"/>
      </w:rPr>
      <w:t>.BUR</w:t>
    </w:r>
    <w:r w:rsidRPr="00D7105A">
      <w:rPr>
        <w:rFonts w:ascii="Arial" w:hAnsi="Arial" w:cs="Arial"/>
        <w:b/>
        <w:sz w:val="22"/>
        <w:szCs w:val="22"/>
        <w:lang w:val="pt-PT"/>
      </w:rPr>
      <w:t>/</w:t>
    </w:r>
    <w:r w:rsidR="002C796D">
      <w:rPr>
        <w:rFonts w:ascii="Arial" w:hAnsi="Arial" w:cs="Arial"/>
        <w:b/>
        <w:sz w:val="22"/>
        <w:szCs w:val="22"/>
        <w:lang w:val="pt-PT"/>
      </w:rPr>
      <w:t>Decisions</w:t>
    </w:r>
  </w:p>
  <w:bookmarkEnd w:id="5"/>
  <w:p w14:paraId="1B4446C3" w14:textId="211DB509"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2C796D" w:rsidRPr="00187CC0">
      <w:rPr>
        <w:rFonts w:ascii="Arial" w:hAnsi="Arial" w:cs="Arial"/>
        <w:b/>
        <w:sz w:val="22"/>
        <w:szCs w:val="22"/>
        <w:lang w:val="pt-PT"/>
      </w:rPr>
      <w:t>2</w:t>
    </w:r>
    <w:r w:rsidR="00187CC0" w:rsidRPr="00187CC0">
      <w:rPr>
        <w:rFonts w:ascii="Arial" w:hAnsi="Arial" w:cs="Arial"/>
        <w:b/>
        <w:sz w:val="22"/>
        <w:szCs w:val="22"/>
        <w:lang w:val="pt-PT"/>
      </w:rPr>
      <w:t>8</w:t>
    </w:r>
    <w:r w:rsidR="007B509C" w:rsidRPr="00187CC0">
      <w:rPr>
        <w:rFonts w:ascii="Arial" w:hAnsi="Arial" w:cs="Arial"/>
        <w:b/>
        <w:sz w:val="22"/>
        <w:szCs w:val="22"/>
        <w:lang w:val="pt-PT"/>
      </w:rPr>
      <w:t xml:space="preserve"> October</w:t>
    </w:r>
    <w:r w:rsidRPr="00E827C1">
      <w:rPr>
        <w:rFonts w:ascii="Arial" w:hAnsi="Arial" w:cs="Arial"/>
        <w:b/>
        <w:sz w:val="22"/>
        <w:szCs w:val="22"/>
        <w:lang w:val="pt-PT"/>
      </w:rPr>
      <w:t xml:space="preserve"> </w:t>
    </w:r>
    <w:r w:rsidR="00337CEB" w:rsidRPr="00E827C1">
      <w:rPr>
        <w:rFonts w:ascii="Arial" w:hAnsi="Arial" w:cs="Arial"/>
        <w:b/>
        <w:sz w:val="22"/>
        <w:szCs w:val="22"/>
        <w:lang w:val="pt-PT"/>
      </w:rPr>
      <w:t>20</w:t>
    </w:r>
    <w:r w:rsidR="00D7105A" w:rsidRPr="00E827C1">
      <w:rPr>
        <w:rFonts w:ascii="Arial" w:hAnsi="Arial" w:cs="Arial"/>
        <w:b/>
        <w:sz w:val="22"/>
        <w:szCs w:val="22"/>
        <w:lang w:val="pt-PT"/>
      </w:rPr>
      <w:t>2</w:t>
    </w:r>
    <w:r w:rsidR="00C27AC2">
      <w:rPr>
        <w:rFonts w:ascii="Arial" w:hAnsi="Arial" w:cs="Arial"/>
        <w:b/>
        <w:sz w:val="22"/>
        <w:szCs w:val="22"/>
        <w:lang w:val="pt-PT"/>
      </w:rPr>
      <w:t>5</w:t>
    </w:r>
  </w:p>
  <w:p w14:paraId="255B57FF" w14:textId="13FBABE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r w:rsidR="002C796D">
      <w:rPr>
        <w:rFonts w:ascii="Arial" w:hAnsi="Arial" w:cs="Arial"/>
        <w:b/>
        <w:sz w:val="22"/>
        <w:szCs w:val="22"/>
        <w:lang w:val="en-US"/>
      </w:rPr>
      <w:t>/French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467D7A07"/>
    <w:multiLevelType w:val="hybridMultilevel"/>
    <w:tmpl w:val="E3525614"/>
    <w:lvl w:ilvl="0" w:tplc="FFFFFFFF">
      <w:start w:val="1"/>
      <w:numFmt w:val="lowerRoman"/>
      <w:lvlText w:val="%1."/>
      <w:lvlJc w:val="right"/>
      <w:pPr>
        <w:ind w:left="1854" w:hanging="360"/>
      </w:pPr>
    </w:lvl>
    <w:lvl w:ilvl="1" w:tplc="04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FD506E"/>
    <w:multiLevelType w:val="hybridMultilevel"/>
    <w:tmpl w:val="A59CF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4CD07A3F"/>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6"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947647"/>
    <w:multiLevelType w:val="hybridMultilevel"/>
    <w:tmpl w:val="0F548C90"/>
    <w:lvl w:ilvl="0" w:tplc="FFFFFFFF">
      <w:start w:val="1"/>
      <w:numFmt w:val="decimal"/>
      <w:lvlText w:val="%1."/>
      <w:lvlJc w:val="left"/>
      <w:pPr>
        <w:ind w:left="1069" w:hanging="360"/>
      </w:pPr>
      <w:rPr>
        <w:rFonts w:hint="default"/>
      </w:rPr>
    </w:lvl>
    <w:lvl w:ilvl="1" w:tplc="1C88E07E">
      <w:start w:val="1"/>
      <w:numFmt w:val="lowerRoman"/>
      <w:lvlText w:val="%2."/>
      <w:lvlJc w:val="left"/>
      <w:pPr>
        <w:ind w:left="3060" w:hanging="720"/>
      </w:pPr>
      <w:rPr>
        <w:rFonts w:hint="default"/>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1"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8534CF2"/>
    <w:multiLevelType w:val="hybridMultilevel"/>
    <w:tmpl w:val="4EA69B20"/>
    <w:lvl w:ilvl="0" w:tplc="FFFFFFFF">
      <w:start w:val="1"/>
      <w:numFmt w:val="decimal"/>
      <w:lvlText w:val="%1."/>
      <w:lvlJc w:val="left"/>
      <w:pPr>
        <w:ind w:left="720" w:hanging="360"/>
      </w:pPr>
    </w:lvl>
    <w:lvl w:ilvl="1" w:tplc="C15A476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8"/>
  </w:num>
  <w:num w:numId="2" w16cid:durableId="1740521844">
    <w:abstractNumId w:val="6"/>
  </w:num>
  <w:num w:numId="3" w16cid:durableId="154499100">
    <w:abstractNumId w:val="2"/>
  </w:num>
  <w:num w:numId="4" w16cid:durableId="490800752">
    <w:abstractNumId w:val="24"/>
  </w:num>
  <w:num w:numId="5" w16cid:durableId="83308445">
    <w:abstractNumId w:val="19"/>
  </w:num>
  <w:num w:numId="6" w16cid:durableId="1815296126">
    <w:abstractNumId w:val="1"/>
  </w:num>
  <w:num w:numId="7" w16cid:durableId="1613434782">
    <w:abstractNumId w:val="3"/>
  </w:num>
  <w:num w:numId="8" w16cid:durableId="657420574">
    <w:abstractNumId w:val="10"/>
  </w:num>
  <w:num w:numId="9" w16cid:durableId="204947263">
    <w:abstractNumId w:val="5"/>
  </w:num>
  <w:num w:numId="10" w16cid:durableId="808859970">
    <w:abstractNumId w:val="7"/>
  </w:num>
  <w:num w:numId="11" w16cid:durableId="901789577">
    <w:abstractNumId w:val="9"/>
  </w:num>
  <w:num w:numId="12" w16cid:durableId="259723626">
    <w:abstractNumId w:val="8"/>
  </w:num>
  <w:num w:numId="13" w16cid:durableId="1265573176">
    <w:abstractNumId w:val="25"/>
  </w:num>
  <w:num w:numId="14" w16cid:durableId="1190332757">
    <w:abstractNumId w:val="12"/>
  </w:num>
  <w:num w:numId="15" w16cid:durableId="1764916223">
    <w:abstractNumId w:val="16"/>
  </w:num>
  <w:num w:numId="16" w16cid:durableId="214975191">
    <w:abstractNumId w:val="17"/>
  </w:num>
  <w:num w:numId="17" w16cid:durableId="403338452">
    <w:abstractNumId w:val="0"/>
  </w:num>
  <w:num w:numId="18" w16cid:durableId="1444227460">
    <w:abstractNumId w:val="7"/>
    <w:lvlOverride w:ilvl="0">
      <w:startOverride w:val="1"/>
    </w:lvlOverride>
  </w:num>
  <w:num w:numId="19" w16cid:durableId="201871593">
    <w:abstractNumId w:val="7"/>
    <w:lvlOverride w:ilvl="0">
      <w:startOverride w:val="2"/>
    </w:lvlOverride>
  </w:num>
  <w:num w:numId="20" w16cid:durableId="1788966622">
    <w:abstractNumId w:val="21"/>
  </w:num>
  <w:num w:numId="21" w16cid:durableId="210773499">
    <w:abstractNumId w:val="22"/>
  </w:num>
  <w:num w:numId="22" w16cid:durableId="1221210817">
    <w:abstractNumId w:val="14"/>
  </w:num>
  <w:num w:numId="23" w16cid:durableId="729765891">
    <w:abstractNumId w:val="23"/>
  </w:num>
  <w:num w:numId="24" w16cid:durableId="2019846846">
    <w:abstractNumId w:val="13"/>
  </w:num>
  <w:num w:numId="25" w16cid:durableId="1105227633">
    <w:abstractNumId w:val="4"/>
  </w:num>
  <w:num w:numId="26" w16cid:durableId="1517115588">
    <w:abstractNumId w:val="20"/>
  </w:num>
  <w:num w:numId="27" w16cid:durableId="672876287">
    <w:abstractNumId w:val="15"/>
  </w:num>
  <w:num w:numId="28" w16cid:durableId="864174357">
    <w:abstractNumId w:val="11"/>
  </w:num>
  <w:num w:numId="29" w16cid:durableId="92464973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07B85"/>
    <w:rsid w:val="00014915"/>
    <w:rsid w:val="00041A66"/>
    <w:rsid w:val="00042D88"/>
    <w:rsid w:val="0005176E"/>
    <w:rsid w:val="00065357"/>
    <w:rsid w:val="000765F7"/>
    <w:rsid w:val="00077AB7"/>
    <w:rsid w:val="00081CD8"/>
    <w:rsid w:val="0008336C"/>
    <w:rsid w:val="000A6BCB"/>
    <w:rsid w:val="000A7F0E"/>
    <w:rsid w:val="000B1C8F"/>
    <w:rsid w:val="000C0D61"/>
    <w:rsid w:val="000D5026"/>
    <w:rsid w:val="000F3A3F"/>
    <w:rsid w:val="00102557"/>
    <w:rsid w:val="00102E4B"/>
    <w:rsid w:val="00151E44"/>
    <w:rsid w:val="0015704E"/>
    <w:rsid w:val="00164D56"/>
    <w:rsid w:val="00167B10"/>
    <w:rsid w:val="00173941"/>
    <w:rsid w:val="0017402F"/>
    <w:rsid w:val="00187CC0"/>
    <w:rsid w:val="00190205"/>
    <w:rsid w:val="00196C1B"/>
    <w:rsid w:val="001A21B4"/>
    <w:rsid w:val="001B0F73"/>
    <w:rsid w:val="001C2DB7"/>
    <w:rsid w:val="001D14FE"/>
    <w:rsid w:val="001D5C04"/>
    <w:rsid w:val="001E454E"/>
    <w:rsid w:val="001F26CF"/>
    <w:rsid w:val="00222A2D"/>
    <w:rsid w:val="00223029"/>
    <w:rsid w:val="00234745"/>
    <w:rsid w:val="002351A6"/>
    <w:rsid w:val="00237A6E"/>
    <w:rsid w:val="002407AF"/>
    <w:rsid w:val="0026221A"/>
    <w:rsid w:val="00263687"/>
    <w:rsid w:val="0027466B"/>
    <w:rsid w:val="002838A5"/>
    <w:rsid w:val="00285BB4"/>
    <w:rsid w:val="002A3293"/>
    <w:rsid w:val="002C09E3"/>
    <w:rsid w:val="002C796D"/>
    <w:rsid w:val="002D1244"/>
    <w:rsid w:val="00313288"/>
    <w:rsid w:val="0033040F"/>
    <w:rsid w:val="00337CEB"/>
    <w:rsid w:val="00344B58"/>
    <w:rsid w:val="0034539A"/>
    <w:rsid w:val="00345CB4"/>
    <w:rsid w:val="00375D42"/>
    <w:rsid w:val="003D069C"/>
    <w:rsid w:val="003D7646"/>
    <w:rsid w:val="003F113A"/>
    <w:rsid w:val="003F3E63"/>
    <w:rsid w:val="00407480"/>
    <w:rsid w:val="00414643"/>
    <w:rsid w:val="004421E5"/>
    <w:rsid w:val="00452284"/>
    <w:rsid w:val="00457C8E"/>
    <w:rsid w:val="00480D10"/>
    <w:rsid w:val="004856CA"/>
    <w:rsid w:val="00487E67"/>
    <w:rsid w:val="0049497B"/>
    <w:rsid w:val="0049705E"/>
    <w:rsid w:val="004A2875"/>
    <w:rsid w:val="004A34A0"/>
    <w:rsid w:val="004C7C82"/>
    <w:rsid w:val="004E1760"/>
    <w:rsid w:val="004F24E2"/>
    <w:rsid w:val="004F39DA"/>
    <w:rsid w:val="005008A8"/>
    <w:rsid w:val="00507381"/>
    <w:rsid w:val="00517FD8"/>
    <w:rsid w:val="00525BDD"/>
    <w:rsid w:val="0052617D"/>
    <w:rsid w:val="00526B7B"/>
    <w:rsid w:val="0053022C"/>
    <w:rsid w:val="005308CE"/>
    <w:rsid w:val="0053318C"/>
    <w:rsid w:val="00550552"/>
    <w:rsid w:val="0057439C"/>
    <w:rsid w:val="005B0127"/>
    <w:rsid w:val="005B7A35"/>
    <w:rsid w:val="005C4B73"/>
    <w:rsid w:val="005E1D2B"/>
    <w:rsid w:val="005E7074"/>
    <w:rsid w:val="005F2BAF"/>
    <w:rsid w:val="005F66BB"/>
    <w:rsid w:val="00600D93"/>
    <w:rsid w:val="0062691B"/>
    <w:rsid w:val="00626BEA"/>
    <w:rsid w:val="0063300C"/>
    <w:rsid w:val="00634333"/>
    <w:rsid w:val="00634C3C"/>
    <w:rsid w:val="00651A5B"/>
    <w:rsid w:val="00653D87"/>
    <w:rsid w:val="00655736"/>
    <w:rsid w:val="00656A6B"/>
    <w:rsid w:val="00663B8D"/>
    <w:rsid w:val="00674AC4"/>
    <w:rsid w:val="00696C8D"/>
    <w:rsid w:val="006A2AC2"/>
    <w:rsid w:val="006A3617"/>
    <w:rsid w:val="006B4452"/>
    <w:rsid w:val="006D64BE"/>
    <w:rsid w:val="006E3D23"/>
    <w:rsid w:val="006E46E4"/>
    <w:rsid w:val="006E75EB"/>
    <w:rsid w:val="00717DA5"/>
    <w:rsid w:val="00744484"/>
    <w:rsid w:val="00747566"/>
    <w:rsid w:val="0075329E"/>
    <w:rsid w:val="007558DA"/>
    <w:rsid w:val="00773188"/>
    <w:rsid w:val="00781ED1"/>
    <w:rsid w:val="00783782"/>
    <w:rsid w:val="00784B8C"/>
    <w:rsid w:val="007879E1"/>
    <w:rsid w:val="007B1B75"/>
    <w:rsid w:val="007B509C"/>
    <w:rsid w:val="007F41BC"/>
    <w:rsid w:val="0082101D"/>
    <w:rsid w:val="00823A11"/>
    <w:rsid w:val="0085405E"/>
    <w:rsid w:val="0085414A"/>
    <w:rsid w:val="00857EB9"/>
    <w:rsid w:val="0086269D"/>
    <w:rsid w:val="0086543A"/>
    <w:rsid w:val="008724E5"/>
    <w:rsid w:val="0088270B"/>
    <w:rsid w:val="00884A9D"/>
    <w:rsid w:val="0088512B"/>
    <w:rsid w:val="008967C6"/>
    <w:rsid w:val="008A2B2D"/>
    <w:rsid w:val="008A4E1E"/>
    <w:rsid w:val="008C296C"/>
    <w:rsid w:val="008C6D3B"/>
    <w:rsid w:val="008D4305"/>
    <w:rsid w:val="008D630F"/>
    <w:rsid w:val="008E1A85"/>
    <w:rsid w:val="009163A7"/>
    <w:rsid w:val="00946D0B"/>
    <w:rsid w:val="0095409D"/>
    <w:rsid w:val="0095517B"/>
    <w:rsid w:val="00955877"/>
    <w:rsid w:val="00962034"/>
    <w:rsid w:val="009A18CD"/>
    <w:rsid w:val="009C026C"/>
    <w:rsid w:val="009D5428"/>
    <w:rsid w:val="009D5AAD"/>
    <w:rsid w:val="00A12558"/>
    <w:rsid w:val="00A13903"/>
    <w:rsid w:val="00A253C7"/>
    <w:rsid w:val="00A34ED5"/>
    <w:rsid w:val="00A45DBF"/>
    <w:rsid w:val="00A54D96"/>
    <w:rsid w:val="00A644BB"/>
    <w:rsid w:val="00A658DF"/>
    <w:rsid w:val="00A725CF"/>
    <w:rsid w:val="00A755A2"/>
    <w:rsid w:val="00AA6660"/>
    <w:rsid w:val="00AB2C36"/>
    <w:rsid w:val="00AB6DDE"/>
    <w:rsid w:val="00AB70B6"/>
    <w:rsid w:val="00AD1A86"/>
    <w:rsid w:val="00AE103E"/>
    <w:rsid w:val="00AF0A07"/>
    <w:rsid w:val="00AF4AEC"/>
    <w:rsid w:val="00AF625E"/>
    <w:rsid w:val="00AF70EC"/>
    <w:rsid w:val="00B139BE"/>
    <w:rsid w:val="00B1744F"/>
    <w:rsid w:val="00B2172B"/>
    <w:rsid w:val="00B917D2"/>
    <w:rsid w:val="00B94A62"/>
    <w:rsid w:val="00BA241A"/>
    <w:rsid w:val="00BB04AF"/>
    <w:rsid w:val="00BB0B50"/>
    <w:rsid w:val="00BD52C9"/>
    <w:rsid w:val="00BE6354"/>
    <w:rsid w:val="00BF0202"/>
    <w:rsid w:val="00C02886"/>
    <w:rsid w:val="00C138D1"/>
    <w:rsid w:val="00C23A97"/>
    <w:rsid w:val="00C27AC2"/>
    <w:rsid w:val="00C52EBE"/>
    <w:rsid w:val="00C5776D"/>
    <w:rsid w:val="00C64855"/>
    <w:rsid w:val="00C70EA7"/>
    <w:rsid w:val="00C7433F"/>
    <w:rsid w:val="00C7516E"/>
    <w:rsid w:val="00C75374"/>
    <w:rsid w:val="00C75770"/>
    <w:rsid w:val="00CA004B"/>
    <w:rsid w:val="00CA56BB"/>
    <w:rsid w:val="00CB0542"/>
    <w:rsid w:val="00CB6BA6"/>
    <w:rsid w:val="00CC452A"/>
    <w:rsid w:val="00D0042C"/>
    <w:rsid w:val="00D00B2B"/>
    <w:rsid w:val="00D24877"/>
    <w:rsid w:val="00D33E47"/>
    <w:rsid w:val="00D7105A"/>
    <w:rsid w:val="00D8250F"/>
    <w:rsid w:val="00D8440A"/>
    <w:rsid w:val="00D86BB3"/>
    <w:rsid w:val="00D95C4C"/>
    <w:rsid w:val="00DA36ED"/>
    <w:rsid w:val="00DB48FE"/>
    <w:rsid w:val="00DE34F1"/>
    <w:rsid w:val="00DE6160"/>
    <w:rsid w:val="00DF4942"/>
    <w:rsid w:val="00E000EE"/>
    <w:rsid w:val="00E131B0"/>
    <w:rsid w:val="00E16EFD"/>
    <w:rsid w:val="00E2125F"/>
    <w:rsid w:val="00E244E1"/>
    <w:rsid w:val="00E32805"/>
    <w:rsid w:val="00E343F7"/>
    <w:rsid w:val="00E4150C"/>
    <w:rsid w:val="00E627B1"/>
    <w:rsid w:val="00E70169"/>
    <w:rsid w:val="00E7242D"/>
    <w:rsid w:val="00E74250"/>
    <w:rsid w:val="00E827C1"/>
    <w:rsid w:val="00E9376C"/>
    <w:rsid w:val="00E95AE2"/>
    <w:rsid w:val="00EA335E"/>
    <w:rsid w:val="00EA528C"/>
    <w:rsid w:val="00EA580C"/>
    <w:rsid w:val="00EC6F8D"/>
    <w:rsid w:val="00ED39B2"/>
    <w:rsid w:val="00EE49F4"/>
    <w:rsid w:val="00EE5426"/>
    <w:rsid w:val="00EF34E2"/>
    <w:rsid w:val="00F30DC6"/>
    <w:rsid w:val="00F32C23"/>
    <w:rsid w:val="00F53DE9"/>
    <w:rsid w:val="00F56FA1"/>
    <w:rsid w:val="00F576CB"/>
    <w:rsid w:val="00F7035D"/>
    <w:rsid w:val="00F71A02"/>
    <w:rsid w:val="00F84A91"/>
    <w:rsid w:val="00F9311F"/>
    <w:rsid w:val="00FA0D63"/>
    <w:rsid w:val="00FC254A"/>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character" w:styleId="Hyperlink">
    <w:name w:val="Hyperlink"/>
    <w:uiPriority w:val="99"/>
    <w:rsid w:val="00634C3C"/>
    <w:rPr>
      <w:color w:val="0000FF"/>
      <w:u w:val="single"/>
      <w:lang w:val="en-GB" w:eastAsia="en-GB"/>
    </w:rPr>
  </w:style>
  <w:style w:type="paragraph" w:styleId="FootnoteText">
    <w:name w:val="footnote text"/>
    <w:basedOn w:val="Normal"/>
    <w:link w:val="FootnoteTextChar"/>
    <w:uiPriority w:val="99"/>
    <w:semiHidden/>
    <w:unhideWhenUsed/>
    <w:rsid w:val="00634C3C"/>
    <w:rPr>
      <w:sz w:val="20"/>
      <w:szCs w:val="20"/>
      <w:lang w:val="en-GB"/>
    </w:rPr>
  </w:style>
  <w:style w:type="character" w:customStyle="1" w:styleId="FootnoteTextChar">
    <w:name w:val="Footnote Text Char"/>
    <w:basedOn w:val="DefaultParagraphFont"/>
    <w:link w:val="FootnoteText"/>
    <w:uiPriority w:val="99"/>
    <w:semiHidden/>
    <w:rsid w:val="00634C3C"/>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634C3C"/>
    <w:rPr>
      <w:vertAlign w:val="superscript"/>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locked/>
    <w:rsid w:val="00634C3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assistances/the-bandoneon-sound-of-tango-01634" TargetMode="External"/><Relationship Id="rId2" Type="http://schemas.openxmlformats.org/officeDocument/2006/relationships/hyperlink" Target="https://ich.unesco.org/en/assistances/documentation-promotion-and-dissemination-of-the-candombe-traditional-drum-calls-expressions-of-identity-of-the-sur-palermo-and-cordon-neighbourhoods-in-the-city-of-montevideo-00555" TargetMode="External"/><Relationship Id="rId1" Type="http://schemas.openxmlformats.org/officeDocument/2006/relationships/hyperlink" Target="https://ich.unesco.org/en/assistances/inventory-of-intangible-culture-of-craftsmanship-in-the-core-of-historic-cairo-0163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321</TotalTime>
  <Pages>12</Pages>
  <Words>5336</Words>
  <Characters>29354</Characters>
  <Application>Microsoft Office Word</Application>
  <DocSecurity>0</DocSecurity>
  <Lines>244</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67</cp:revision>
  <cp:lastPrinted>2011-08-06T10:22:00Z</cp:lastPrinted>
  <dcterms:created xsi:type="dcterms:W3CDTF">2020-04-15T10:53:00Z</dcterms:created>
  <dcterms:modified xsi:type="dcterms:W3CDTF">2025-10-28T09:25:00Z</dcterms:modified>
</cp:coreProperties>
</file>