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677233" w:rsidRDefault="00EC6F8D" w:rsidP="00EC6F8D">
      <w:pPr>
        <w:spacing w:before="1440"/>
        <w:jc w:val="center"/>
        <w:rPr>
          <w:rFonts w:ascii="Arial" w:hAnsi="Arial" w:cs="Arial"/>
          <w:b/>
          <w:sz w:val="22"/>
          <w:szCs w:val="22"/>
        </w:rPr>
      </w:pPr>
      <w:r w:rsidRPr="00677233">
        <w:rPr>
          <w:rFonts w:ascii="Arial" w:hAnsi="Arial" w:cs="Arial"/>
          <w:b/>
          <w:sz w:val="22"/>
          <w:szCs w:val="22"/>
        </w:rPr>
        <w:t>CONVENTION FOR THE SAFEGUARDING OF THE</w:t>
      </w:r>
      <w:r w:rsidRPr="00677233">
        <w:rPr>
          <w:rFonts w:ascii="Arial" w:hAnsi="Arial" w:cs="Arial"/>
          <w:b/>
          <w:sz w:val="22"/>
          <w:szCs w:val="22"/>
        </w:rPr>
        <w:br/>
        <w:t>INTANGIBLE CULTURAL HERITAGE</w:t>
      </w:r>
    </w:p>
    <w:p w14:paraId="3F72B1D3" w14:textId="77777777" w:rsidR="00EC6F8D" w:rsidRPr="00677233" w:rsidRDefault="00EC6F8D" w:rsidP="00EC6F8D">
      <w:pPr>
        <w:spacing w:before="1200"/>
        <w:jc w:val="center"/>
        <w:rPr>
          <w:rFonts w:ascii="Arial" w:hAnsi="Arial" w:cs="Arial"/>
          <w:b/>
          <w:sz w:val="22"/>
          <w:szCs w:val="22"/>
        </w:rPr>
      </w:pPr>
      <w:r w:rsidRPr="00677233">
        <w:rPr>
          <w:rFonts w:ascii="Arial" w:hAnsi="Arial" w:cs="Arial"/>
          <w:b/>
          <w:sz w:val="22"/>
          <w:szCs w:val="22"/>
        </w:rPr>
        <w:t>INTERGOVERNMENTAL COMMITTEE FOR THE</w:t>
      </w:r>
      <w:r w:rsidRPr="00677233">
        <w:rPr>
          <w:rFonts w:ascii="Arial" w:hAnsi="Arial" w:cs="Arial"/>
          <w:b/>
          <w:sz w:val="22"/>
          <w:szCs w:val="22"/>
        </w:rPr>
        <w:br/>
        <w:t>SAFEGUARDING OF THE INTANGIBLE CULTURAL HERITAGE</w:t>
      </w:r>
    </w:p>
    <w:p w14:paraId="75AF235F" w14:textId="77777777" w:rsidR="004E1760" w:rsidRPr="00677233" w:rsidRDefault="004E1760" w:rsidP="004E1760">
      <w:pPr>
        <w:spacing w:before="840"/>
        <w:jc w:val="center"/>
        <w:rPr>
          <w:rFonts w:ascii="Arial" w:hAnsi="Arial" w:cs="Arial"/>
          <w:b/>
          <w:sz w:val="22"/>
          <w:szCs w:val="22"/>
        </w:rPr>
      </w:pPr>
      <w:r w:rsidRPr="00677233">
        <w:rPr>
          <w:rFonts w:ascii="Arial" w:hAnsi="Arial" w:cs="Arial"/>
          <w:b/>
          <w:sz w:val="22"/>
          <w:szCs w:val="22"/>
        </w:rPr>
        <w:t>Meeting of the Bureau</w:t>
      </w:r>
    </w:p>
    <w:p w14:paraId="1FD89575" w14:textId="68BFCC58" w:rsidR="00B2172B" w:rsidRPr="00677233" w:rsidRDefault="006D64BE" w:rsidP="004E1760">
      <w:pPr>
        <w:spacing w:before="840"/>
        <w:jc w:val="center"/>
        <w:rPr>
          <w:rFonts w:ascii="Arial" w:hAnsi="Arial" w:cs="Arial"/>
          <w:b/>
          <w:sz w:val="22"/>
          <w:szCs w:val="22"/>
        </w:rPr>
      </w:pPr>
      <w:r w:rsidRPr="00677233">
        <w:rPr>
          <w:rFonts w:ascii="Arial" w:hAnsi="Arial" w:cs="Arial"/>
          <w:b/>
          <w:sz w:val="22"/>
          <w:szCs w:val="22"/>
        </w:rPr>
        <w:t>UNESCO Headquarters, Room VI</w:t>
      </w:r>
      <w:r w:rsidR="00194518">
        <w:rPr>
          <w:rFonts w:ascii="Arial" w:hAnsi="Arial" w:cs="Arial"/>
          <w:b/>
          <w:sz w:val="22"/>
          <w:szCs w:val="22"/>
        </w:rPr>
        <w:t>II</w:t>
      </w:r>
    </w:p>
    <w:p w14:paraId="15705A60" w14:textId="274F2C6E" w:rsidR="004E1760" w:rsidRPr="000921DE" w:rsidRDefault="00E4771D" w:rsidP="004E1760">
      <w:pPr>
        <w:jc w:val="center"/>
        <w:rPr>
          <w:rFonts w:ascii="Arial" w:hAnsi="Arial" w:cs="Arial"/>
          <w:b/>
          <w:sz w:val="22"/>
          <w:szCs w:val="22"/>
        </w:rPr>
      </w:pPr>
      <w:r w:rsidRPr="000921DE">
        <w:rPr>
          <w:rFonts w:ascii="Arial" w:hAnsi="Arial" w:cs="Arial"/>
          <w:b/>
          <w:sz w:val="22"/>
          <w:szCs w:val="22"/>
        </w:rPr>
        <w:t>23 Octob</w:t>
      </w:r>
      <w:r w:rsidR="00677233" w:rsidRPr="000921DE">
        <w:rPr>
          <w:rFonts w:ascii="Arial" w:hAnsi="Arial" w:cs="Arial"/>
          <w:b/>
          <w:sz w:val="22"/>
          <w:szCs w:val="22"/>
        </w:rPr>
        <w:t>e</w:t>
      </w:r>
      <w:r w:rsidRPr="000921DE">
        <w:rPr>
          <w:rFonts w:ascii="Arial" w:hAnsi="Arial" w:cs="Arial"/>
          <w:b/>
          <w:sz w:val="22"/>
          <w:szCs w:val="22"/>
        </w:rPr>
        <w:t>r</w:t>
      </w:r>
      <w:r w:rsidR="002A3293" w:rsidRPr="000921DE">
        <w:rPr>
          <w:rFonts w:ascii="Arial" w:hAnsi="Arial" w:cs="Arial"/>
          <w:b/>
          <w:sz w:val="22"/>
          <w:szCs w:val="22"/>
        </w:rPr>
        <w:t xml:space="preserve"> </w:t>
      </w:r>
      <w:r w:rsidR="004E1760" w:rsidRPr="000921DE">
        <w:rPr>
          <w:rFonts w:ascii="Arial" w:hAnsi="Arial" w:cs="Arial"/>
          <w:b/>
          <w:sz w:val="22"/>
          <w:szCs w:val="22"/>
        </w:rPr>
        <w:t>202</w:t>
      </w:r>
      <w:r w:rsidR="00C27AC2" w:rsidRPr="000921DE">
        <w:rPr>
          <w:rFonts w:ascii="Arial" w:hAnsi="Arial" w:cs="Arial"/>
          <w:b/>
          <w:sz w:val="22"/>
          <w:szCs w:val="22"/>
        </w:rPr>
        <w:t>5</w:t>
      </w:r>
    </w:p>
    <w:p w14:paraId="1247CCBC" w14:textId="4683C8EC" w:rsidR="004E1760" w:rsidRPr="00677233" w:rsidRDefault="00E4771D" w:rsidP="004E1760">
      <w:pPr>
        <w:jc w:val="center"/>
        <w:rPr>
          <w:rFonts w:ascii="Arial" w:hAnsi="Arial" w:cs="Arial"/>
          <w:b/>
          <w:sz w:val="22"/>
          <w:szCs w:val="22"/>
        </w:rPr>
      </w:pPr>
      <w:r w:rsidRPr="000921DE">
        <w:rPr>
          <w:rFonts w:ascii="Arial" w:hAnsi="Arial" w:cs="Arial"/>
          <w:b/>
          <w:sz w:val="22"/>
          <w:szCs w:val="22"/>
        </w:rPr>
        <w:t>10 a</w:t>
      </w:r>
      <w:r w:rsidR="004E1760" w:rsidRPr="000921DE">
        <w:rPr>
          <w:rFonts w:ascii="Arial" w:hAnsi="Arial" w:cs="Arial"/>
          <w:b/>
          <w:sz w:val="22"/>
          <w:szCs w:val="22"/>
        </w:rPr>
        <w:t xml:space="preserve">.m. – </w:t>
      </w:r>
      <w:r w:rsidRPr="000921DE">
        <w:rPr>
          <w:rFonts w:ascii="Arial" w:hAnsi="Arial" w:cs="Arial"/>
          <w:b/>
          <w:sz w:val="22"/>
          <w:szCs w:val="22"/>
        </w:rPr>
        <w:t>1</w:t>
      </w:r>
      <w:r w:rsidR="00BB0B50" w:rsidRPr="000921DE">
        <w:rPr>
          <w:rFonts w:ascii="Arial" w:hAnsi="Arial" w:cs="Arial"/>
          <w:b/>
          <w:sz w:val="22"/>
          <w:szCs w:val="22"/>
        </w:rPr>
        <w:t xml:space="preserve"> p</w:t>
      </w:r>
      <w:r w:rsidR="004E1760" w:rsidRPr="000921DE">
        <w:rPr>
          <w:rFonts w:ascii="Arial" w:hAnsi="Arial" w:cs="Arial"/>
          <w:b/>
          <w:sz w:val="22"/>
          <w:szCs w:val="22"/>
        </w:rPr>
        <w:t>.m.</w:t>
      </w:r>
    </w:p>
    <w:p w14:paraId="0365203A" w14:textId="27372BC5" w:rsidR="00EC6F8D" w:rsidRPr="00677233" w:rsidRDefault="00EC6F8D" w:rsidP="00EC6F8D">
      <w:pPr>
        <w:pStyle w:val="Sansinterligne2"/>
        <w:spacing w:before="1200"/>
        <w:jc w:val="center"/>
        <w:rPr>
          <w:rFonts w:ascii="Arial" w:hAnsi="Arial" w:cs="Arial"/>
          <w:b/>
          <w:sz w:val="22"/>
          <w:szCs w:val="22"/>
          <w:lang w:val="en-GB"/>
        </w:rPr>
      </w:pPr>
      <w:r w:rsidRPr="00677233">
        <w:rPr>
          <w:rFonts w:ascii="Arial" w:hAnsi="Arial" w:cs="Arial"/>
          <w:b/>
          <w:sz w:val="22"/>
          <w:szCs w:val="22"/>
          <w:u w:val="single"/>
          <w:lang w:val="en-GB"/>
        </w:rPr>
        <w:t xml:space="preserve">Item </w:t>
      </w:r>
      <w:r w:rsidR="00C80F8B">
        <w:rPr>
          <w:rFonts w:ascii="Arial" w:hAnsi="Arial" w:cs="Arial"/>
          <w:b/>
          <w:sz w:val="22"/>
          <w:szCs w:val="22"/>
          <w:u w:val="single"/>
          <w:lang w:val="en-GB"/>
        </w:rPr>
        <w:t>3</w:t>
      </w:r>
      <w:r w:rsidR="00E6428F" w:rsidRPr="00677233">
        <w:rPr>
          <w:rFonts w:ascii="Arial" w:hAnsi="Arial" w:cs="Arial"/>
          <w:b/>
          <w:sz w:val="22"/>
          <w:szCs w:val="22"/>
          <w:u w:val="single"/>
          <w:lang w:val="en-GB"/>
        </w:rPr>
        <w:t xml:space="preserve"> </w:t>
      </w:r>
      <w:r w:rsidRPr="00677233">
        <w:rPr>
          <w:rFonts w:ascii="Arial" w:hAnsi="Arial" w:cs="Arial"/>
          <w:b/>
          <w:sz w:val="22"/>
          <w:szCs w:val="22"/>
          <w:u w:val="single"/>
          <w:lang w:val="en-GB"/>
        </w:rPr>
        <w:t xml:space="preserve">of the </w:t>
      </w:r>
      <w:r w:rsidR="00674AC4" w:rsidRPr="00677233">
        <w:rPr>
          <w:rFonts w:ascii="Arial" w:hAnsi="Arial" w:cs="Arial"/>
          <w:b/>
          <w:sz w:val="22"/>
          <w:szCs w:val="22"/>
          <w:u w:val="single"/>
          <w:lang w:val="en-GB"/>
        </w:rPr>
        <w:t>p</w:t>
      </w:r>
      <w:r w:rsidRPr="00677233">
        <w:rPr>
          <w:rFonts w:ascii="Arial" w:hAnsi="Arial" w:cs="Arial"/>
          <w:b/>
          <w:sz w:val="22"/>
          <w:szCs w:val="22"/>
          <w:u w:val="single"/>
          <w:lang w:val="en-GB"/>
        </w:rPr>
        <w:t xml:space="preserve">rovisional </w:t>
      </w:r>
      <w:r w:rsidR="00674AC4" w:rsidRPr="00677233">
        <w:rPr>
          <w:rFonts w:ascii="Arial" w:hAnsi="Arial" w:cs="Arial"/>
          <w:b/>
          <w:sz w:val="22"/>
          <w:szCs w:val="22"/>
          <w:u w:val="single"/>
          <w:lang w:val="en-GB"/>
        </w:rPr>
        <w:t>a</w:t>
      </w:r>
      <w:r w:rsidRPr="00677233">
        <w:rPr>
          <w:rFonts w:ascii="Arial" w:hAnsi="Arial" w:cs="Arial"/>
          <w:b/>
          <w:sz w:val="22"/>
          <w:szCs w:val="22"/>
          <w:u w:val="single"/>
          <w:lang w:val="en-GB"/>
        </w:rPr>
        <w:t>genda</w:t>
      </w:r>
      <w:r w:rsidRPr="00677233">
        <w:rPr>
          <w:rFonts w:ascii="Arial" w:hAnsi="Arial" w:cs="Arial"/>
          <w:b/>
          <w:sz w:val="22"/>
          <w:szCs w:val="22"/>
          <w:lang w:val="en-GB"/>
        </w:rPr>
        <w:t>:</w:t>
      </w:r>
    </w:p>
    <w:p w14:paraId="2F680254" w14:textId="2FB96F0F" w:rsidR="00872F87" w:rsidRPr="00677233" w:rsidRDefault="00872F87">
      <w:pPr>
        <w:pStyle w:val="Sansinterligne2"/>
        <w:spacing w:after="960"/>
        <w:contextualSpacing/>
        <w:jc w:val="center"/>
        <w:rPr>
          <w:rFonts w:ascii="Arial" w:hAnsi="Arial" w:cs="Arial"/>
          <w:b/>
          <w:sz w:val="22"/>
          <w:szCs w:val="22"/>
          <w:lang w:val="en-GB"/>
        </w:rPr>
      </w:pPr>
      <w:r w:rsidRPr="00677233">
        <w:rPr>
          <w:rFonts w:ascii="Arial" w:hAnsi="Arial" w:cs="Arial"/>
          <w:b/>
          <w:sz w:val="22"/>
          <w:szCs w:val="22"/>
          <w:lang w:val="en-GB"/>
        </w:rPr>
        <w:t>Examination of request</w:t>
      </w:r>
      <w:r w:rsidR="00E4771D" w:rsidRPr="00677233">
        <w:rPr>
          <w:rFonts w:ascii="Arial" w:hAnsi="Arial" w:cs="Arial"/>
          <w:b/>
          <w:sz w:val="22"/>
          <w:szCs w:val="22"/>
          <w:lang w:val="en-GB"/>
        </w:rPr>
        <w:t>s</w:t>
      </w:r>
      <w:r w:rsidRPr="00677233">
        <w:rPr>
          <w:rFonts w:ascii="Arial" w:hAnsi="Arial" w:cs="Arial"/>
          <w:b/>
          <w:sz w:val="22"/>
          <w:szCs w:val="22"/>
          <w:lang w:val="en-GB"/>
        </w:rPr>
        <w:t xml:space="preserve"> for International Assistance</w:t>
      </w:r>
    </w:p>
    <w:p w14:paraId="442E1DC4" w14:textId="77777777" w:rsidR="00872F87" w:rsidRPr="00677233" w:rsidRDefault="00872F87" w:rsidP="00872F87">
      <w:pPr>
        <w:pStyle w:val="Sansinterligne2"/>
        <w:spacing w:after="960"/>
        <w:contextualSpacing/>
        <w:jc w:val="center"/>
        <w:rPr>
          <w:rFonts w:ascii="Arial" w:hAnsi="Arial" w:cs="Arial"/>
          <w:b/>
          <w:sz w:val="22"/>
          <w:szCs w:val="22"/>
          <w:lang w:val="en-GB"/>
        </w:rPr>
      </w:pPr>
      <w:r w:rsidRPr="00677233">
        <w:rPr>
          <w:rFonts w:ascii="Arial" w:hAnsi="Arial" w:cs="Arial"/>
          <w:b/>
          <w:sz w:val="22"/>
          <w:szCs w:val="22"/>
          <w:lang w:val="en-GB"/>
        </w:rPr>
        <w:t>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77233" w14:paraId="75AC6221" w14:textId="77777777" w:rsidTr="00EC6F8D">
        <w:trPr>
          <w:jc w:val="center"/>
        </w:trPr>
        <w:tc>
          <w:tcPr>
            <w:tcW w:w="5670" w:type="dxa"/>
            <w:vAlign w:val="center"/>
          </w:tcPr>
          <w:p w14:paraId="51C260A9" w14:textId="77777777" w:rsidR="00EC6F8D" w:rsidRPr="00677233" w:rsidRDefault="00EC6F8D" w:rsidP="00CA56BB">
            <w:pPr>
              <w:pStyle w:val="Sansinterligne1"/>
              <w:spacing w:before="200" w:after="200"/>
              <w:jc w:val="center"/>
              <w:rPr>
                <w:rFonts w:ascii="Arial" w:hAnsi="Arial" w:cs="Arial"/>
                <w:b/>
                <w:sz w:val="22"/>
                <w:szCs w:val="22"/>
                <w:lang w:val="en-GB"/>
              </w:rPr>
            </w:pPr>
            <w:r w:rsidRPr="00677233">
              <w:rPr>
                <w:rFonts w:ascii="Arial" w:hAnsi="Arial" w:cs="Arial"/>
                <w:b/>
                <w:sz w:val="22"/>
                <w:szCs w:val="22"/>
                <w:lang w:val="en-GB"/>
              </w:rPr>
              <w:t>Summary</w:t>
            </w:r>
          </w:p>
          <w:p w14:paraId="2469CC33" w14:textId="2FC92935" w:rsidR="00872F87" w:rsidRPr="00677233" w:rsidRDefault="00872F87" w:rsidP="00872F87">
            <w:pPr>
              <w:jc w:val="both"/>
              <w:rPr>
                <w:rFonts w:ascii="Arial" w:hAnsi="Arial" w:cs="Arial"/>
                <w:sz w:val="22"/>
                <w:szCs w:val="22"/>
              </w:rPr>
            </w:pPr>
            <w:r w:rsidRPr="00677233">
              <w:rPr>
                <w:rFonts w:ascii="Arial" w:hAnsi="Arial" w:cs="Arial"/>
                <w:sz w:val="22"/>
                <w:szCs w:val="22"/>
              </w:rPr>
              <w:t xml:space="preserve">With reference to </w:t>
            </w:r>
            <w:r w:rsidR="00EF7D8C" w:rsidRPr="00677233">
              <w:rPr>
                <w:rFonts w:ascii="Arial" w:hAnsi="Arial" w:cs="Arial"/>
                <w:sz w:val="22"/>
                <w:szCs w:val="22"/>
              </w:rPr>
              <w:t>Chapter V</w:t>
            </w:r>
            <w:r w:rsidRPr="00677233">
              <w:rPr>
                <w:rFonts w:ascii="Arial" w:hAnsi="Arial" w:cs="Arial"/>
                <w:sz w:val="22"/>
                <w:szCs w:val="22"/>
              </w:rPr>
              <w:t xml:space="preserve"> of the Convention and </w:t>
            </w:r>
            <w:r w:rsidR="00EF7D8C" w:rsidRPr="00677233">
              <w:rPr>
                <w:rFonts w:ascii="Arial" w:hAnsi="Arial" w:cs="Arial"/>
                <w:sz w:val="22"/>
                <w:szCs w:val="22"/>
              </w:rPr>
              <w:t xml:space="preserve">sub-Chapter I.14 </w:t>
            </w:r>
            <w:r w:rsidRPr="00677233">
              <w:rPr>
                <w:rFonts w:ascii="Arial" w:hAnsi="Arial" w:cs="Arial"/>
                <w:sz w:val="22"/>
                <w:szCs w:val="22"/>
              </w:rPr>
              <w:t xml:space="preserve">of the Operational Directives, this document presents </w:t>
            </w:r>
            <w:r w:rsidR="00E4771D" w:rsidRPr="00677233">
              <w:rPr>
                <w:rFonts w:ascii="Arial" w:hAnsi="Arial" w:cs="Arial"/>
                <w:sz w:val="22"/>
                <w:szCs w:val="22"/>
              </w:rPr>
              <w:t>three</w:t>
            </w:r>
            <w:r w:rsidRPr="00677233">
              <w:rPr>
                <w:rFonts w:ascii="Arial" w:hAnsi="Arial" w:cs="Arial"/>
                <w:sz w:val="22"/>
                <w:szCs w:val="22"/>
              </w:rPr>
              <w:t xml:space="preserve"> request</w:t>
            </w:r>
            <w:r w:rsidR="00E4771D" w:rsidRPr="00677233">
              <w:rPr>
                <w:rFonts w:ascii="Arial" w:hAnsi="Arial" w:cs="Arial"/>
                <w:sz w:val="22"/>
                <w:szCs w:val="22"/>
              </w:rPr>
              <w:t>s</w:t>
            </w:r>
            <w:r w:rsidRPr="00677233">
              <w:rPr>
                <w:rFonts w:ascii="Arial" w:hAnsi="Arial" w:cs="Arial"/>
                <w:sz w:val="22"/>
                <w:szCs w:val="22"/>
              </w:rPr>
              <w:t xml:space="preserve"> for International Assistance up to US$100,000. The Bureau of the Committee is asked to examine </w:t>
            </w:r>
            <w:r w:rsidR="00C3733C" w:rsidRPr="00677233">
              <w:rPr>
                <w:rFonts w:ascii="Arial" w:hAnsi="Arial" w:cs="Arial"/>
                <w:sz w:val="22"/>
                <w:szCs w:val="22"/>
              </w:rPr>
              <w:t xml:space="preserve">these </w:t>
            </w:r>
            <w:r w:rsidRPr="00677233">
              <w:rPr>
                <w:rFonts w:ascii="Arial" w:hAnsi="Arial" w:cs="Arial"/>
                <w:sz w:val="22"/>
                <w:szCs w:val="22"/>
              </w:rPr>
              <w:t>request</w:t>
            </w:r>
            <w:r w:rsidR="00C3733C" w:rsidRPr="00677233">
              <w:rPr>
                <w:rFonts w:ascii="Arial" w:hAnsi="Arial" w:cs="Arial"/>
                <w:sz w:val="22"/>
                <w:szCs w:val="22"/>
              </w:rPr>
              <w:t>s</w:t>
            </w:r>
            <w:r w:rsidRPr="00677233">
              <w:rPr>
                <w:rFonts w:ascii="Arial" w:hAnsi="Arial" w:cs="Arial"/>
                <w:sz w:val="22"/>
                <w:szCs w:val="22"/>
              </w:rPr>
              <w:t>, in accordance with paragraph 49 of the Operational Directives.</w:t>
            </w:r>
          </w:p>
          <w:p w14:paraId="290310E8" w14:textId="25919632" w:rsidR="00EC6F8D" w:rsidRPr="00677233" w:rsidRDefault="00EC6F8D" w:rsidP="00CA56BB">
            <w:pPr>
              <w:pStyle w:val="Sansinterligne2"/>
              <w:spacing w:before="200" w:after="200"/>
              <w:jc w:val="both"/>
              <w:rPr>
                <w:rFonts w:ascii="Arial" w:hAnsi="Arial" w:cs="Arial"/>
                <w:b/>
                <w:sz w:val="22"/>
                <w:szCs w:val="22"/>
                <w:lang w:val="en-GB"/>
              </w:rPr>
            </w:pPr>
            <w:r w:rsidRPr="00677233">
              <w:rPr>
                <w:rFonts w:ascii="Arial" w:hAnsi="Arial" w:cs="Arial"/>
                <w:b/>
                <w:sz w:val="22"/>
                <w:szCs w:val="22"/>
                <w:lang w:val="en-GB"/>
              </w:rPr>
              <w:t xml:space="preserve">Decision required: </w:t>
            </w:r>
            <w:r w:rsidRPr="000921DE">
              <w:rPr>
                <w:rFonts w:ascii="Arial" w:hAnsi="Arial" w:cs="Arial"/>
                <w:bCs/>
                <w:sz w:val="22"/>
                <w:szCs w:val="22"/>
                <w:lang w:val="en-GB"/>
              </w:rPr>
              <w:t xml:space="preserve">paragraph </w:t>
            </w:r>
            <w:r w:rsidR="00F05433" w:rsidRPr="000921DE">
              <w:rPr>
                <w:rFonts w:ascii="Arial" w:hAnsi="Arial" w:cs="Arial"/>
                <w:bCs/>
                <w:sz w:val="22"/>
                <w:szCs w:val="22"/>
                <w:lang w:val="en-GB"/>
              </w:rPr>
              <w:t>7</w:t>
            </w:r>
          </w:p>
        </w:tc>
      </w:tr>
    </w:tbl>
    <w:p w14:paraId="713D819F" w14:textId="77777777" w:rsidR="004A2875" w:rsidRPr="00677233"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eastAsia="en-US"/>
        </w:rPr>
      </w:pPr>
      <w:r w:rsidRPr="00677233">
        <w:br w:type="page"/>
      </w:r>
    </w:p>
    <w:p w14:paraId="7BE3C53B" w14:textId="669F6219" w:rsidR="00872F87" w:rsidRPr="00677233" w:rsidRDefault="00EF7D8C" w:rsidP="00872F87">
      <w:pPr>
        <w:pStyle w:val="COMPara"/>
        <w:numPr>
          <w:ilvl w:val="0"/>
          <w:numId w:val="23"/>
        </w:numPr>
        <w:spacing w:before="120"/>
        <w:ind w:left="567" w:hanging="567"/>
        <w:jc w:val="both"/>
      </w:pPr>
      <w:r w:rsidRPr="00677233">
        <w:rPr>
          <w:snapToGrid/>
        </w:rPr>
        <w:lastRenderedPageBreak/>
        <w:t xml:space="preserve">Chapter V </w:t>
      </w:r>
      <w:r w:rsidR="00872F87" w:rsidRPr="00677233">
        <w:rPr>
          <w:snapToGrid/>
        </w:rPr>
        <w:t>of the Convention</w:t>
      </w:r>
      <w:r w:rsidRPr="00677233">
        <w:rPr>
          <w:snapToGrid/>
        </w:rPr>
        <w:t xml:space="preserve"> (Article 20)</w:t>
      </w:r>
      <w:r w:rsidR="00872F87" w:rsidRPr="00677233">
        <w:rPr>
          <w:snapToGrid/>
        </w:rPr>
        <w:t xml:space="preserve"> states that International Assistance may be granted to States Parties for purposes relating to: the safeguarding of elements inscribed on the List of Intangible Cultural Heritage in Need of Urgent Safeguarding; the preparation of inventories in the sense of Articles 11 and 12 of the Convention; support for programmes, projects and activities undertaken at the national, sub-regional and regional levels for the safeguarding of intangible cultural heritage; and for any other purpose that the Committee may deem necessary. As specified in </w:t>
      </w:r>
      <w:r w:rsidRPr="00677233">
        <w:t xml:space="preserve">sub-Chapter I.14 of </w:t>
      </w:r>
      <w:r w:rsidR="00872F87" w:rsidRPr="00677233">
        <w:rPr>
          <w:snapToGrid/>
        </w:rPr>
        <w:t xml:space="preserve">the Operational Directives, International Assistance </w:t>
      </w:r>
      <w:r w:rsidR="000B4E8C">
        <w:rPr>
          <w:snapToGrid/>
        </w:rPr>
        <w:t xml:space="preserve">requests </w:t>
      </w:r>
      <w:r w:rsidR="00872F87" w:rsidRPr="00677233">
        <w:rPr>
          <w:snapToGrid/>
        </w:rPr>
        <w:t>not exceeding US$100,000 can be submitted at any time (paragraph 47) for examination and approval by the Bureau of the Committee (paragraph 49).</w:t>
      </w:r>
    </w:p>
    <w:p w14:paraId="71E567D9" w14:textId="4EF45C98" w:rsidR="00872F87" w:rsidRPr="00677233" w:rsidRDefault="00872F87" w:rsidP="00872F87">
      <w:pPr>
        <w:pStyle w:val="NoSpacing1"/>
        <w:keepNext/>
        <w:numPr>
          <w:ilvl w:val="0"/>
          <w:numId w:val="24"/>
        </w:numPr>
        <w:tabs>
          <w:tab w:val="left" w:pos="567"/>
        </w:tabs>
        <w:spacing w:before="360" w:after="240"/>
        <w:ind w:left="567" w:hanging="567"/>
        <w:jc w:val="both"/>
        <w:outlineLvl w:val="0"/>
        <w:rPr>
          <w:b/>
        </w:rPr>
      </w:pPr>
      <w:bookmarkStart w:id="0" w:name="Overview"/>
      <w:r w:rsidRPr="00677233">
        <w:rPr>
          <w:rFonts w:ascii="Arial" w:hAnsi="Arial" w:cs="Arial"/>
          <w:b/>
        </w:rPr>
        <w:t>Overview of the request</w:t>
      </w:r>
      <w:r w:rsidR="00E4771D" w:rsidRPr="00677233">
        <w:rPr>
          <w:rFonts w:ascii="Arial" w:hAnsi="Arial" w:cs="Arial"/>
          <w:b/>
        </w:rPr>
        <w:t>s</w:t>
      </w:r>
    </w:p>
    <w:bookmarkEnd w:id="0"/>
    <w:p w14:paraId="41C34443" w14:textId="7AFFC1B0" w:rsidR="00872F87" w:rsidRPr="00677233" w:rsidRDefault="00872F87" w:rsidP="007E5F06">
      <w:pPr>
        <w:pStyle w:val="COMPara"/>
        <w:spacing w:before="120"/>
        <w:ind w:left="567" w:hanging="567"/>
        <w:jc w:val="both"/>
        <w:rPr>
          <w:snapToGrid/>
        </w:rPr>
      </w:pPr>
      <w:r w:rsidRPr="00677233">
        <w:rPr>
          <w:snapToGrid/>
        </w:rPr>
        <w:t>The Bureau is asked to examine the following</w:t>
      </w:r>
      <w:r w:rsidR="00E4771D" w:rsidRPr="00677233">
        <w:rPr>
          <w:snapToGrid/>
        </w:rPr>
        <w:t xml:space="preserve"> three </w:t>
      </w:r>
      <w:r w:rsidRPr="00677233">
        <w:rPr>
          <w:snapToGrid/>
        </w:rPr>
        <w:t>International Assistance request</w:t>
      </w:r>
      <w:r w:rsidR="00E4771D" w:rsidRPr="00677233">
        <w:rPr>
          <w:snapToGrid/>
        </w:rPr>
        <w:t>s</w:t>
      </w:r>
      <w:r w:rsidRPr="00677233">
        <w:rPr>
          <w:snapToGrid/>
        </w:rPr>
        <w:t xml:space="preserve"> </w:t>
      </w:r>
      <w:r w:rsidR="00EF7D8C" w:rsidRPr="00677233">
        <w:rPr>
          <w:snapToGrid/>
        </w:rPr>
        <w:t>not exceeding</w:t>
      </w:r>
      <w:r w:rsidRPr="00677233">
        <w:rPr>
          <w:snapToGrid/>
        </w:rPr>
        <w:t xml:space="preserve"> US$100,000:</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872F87" w:rsidRPr="00677233" w14:paraId="2DAD64FF" w14:textId="77777777" w:rsidTr="00E4771D">
        <w:trPr>
          <w:cantSplit/>
          <w:trHeight w:val="743"/>
          <w:tblHeader/>
        </w:trPr>
        <w:tc>
          <w:tcPr>
            <w:tcW w:w="1171" w:type="pct"/>
            <w:tcBorders>
              <w:top w:val="single" w:sz="4" w:space="0" w:color="auto"/>
              <w:bottom w:val="single" w:sz="4" w:space="0" w:color="auto"/>
              <w:right w:val="nil"/>
            </w:tcBorders>
            <w:shd w:val="clear" w:color="auto" w:fill="BFBFBF"/>
            <w:vAlign w:val="center"/>
          </w:tcPr>
          <w:p w14:paraId="33A4187D" w14:textId="77777777" w:rsidR="00872F87" w:rsidRPr="00677233" w:rsidRDefault="00872F87">
            <w:pPr>
              <w:spacing w:before="120" w:after="120"/>
              <w:jc w:val="center"/>
              <w:rPr>
                <w:rFonts w:ascii="Arial" w:hAnsi="Arial" w:cs="Arial"/>
                <w:sz w:val="20"/>
                <w:szCs w:val="20"/>
              </w:rPr>
            </w:pPr>
            <w:r w:rsidRPr="00677233">
              <w:rPr>
                <w:rFonts w:ascii="Arial" w:hAnsi="Arial" w:cs="Arial"/>
                <w:b/>
                <w:sz w:val="20"/>
                <w:szCs w:val="20"/>
              </w:rPr>
              <w:t>Draft decision</w:t>
            </w:r>
          </w:p>
        </w:tc>
        <w:tc>
          <w:tcPr>
            <w:tcW w:w="939" w:type="pct"/>
            <w:tcBorders>
              <w:top w:val="single" w:sz="4" w:space="0" w:color="auto"/>
              <w:left w:val="nil"/>
              <w:bottom w:val="single" w:sz="4" w:space="0" w:color="auto"/>
            </w:tcBorders>
            <w:shd w:val="clear" w:color="auto" w:fill="BFBFBF"/>
            <w:vAlign w:val="center"/>
          </w:tcPr>
          <w:p w14:paraId="394C4CA7" w14:textId="77777777" w:rsidR="00872F87" w:rsidRPr="00677233" w:rsidRDefault="00872F87">
            <w:pPr>
              <w:spacing w:before="120" w:after="120"/>
              <w:jc w:val="center"/>
              <w:rPr>
                <w:rFonts w:ascii="Arial" w:hAnsi="Arial" w:cs="Arial"/>
                <w:sz w:val="20"/>
                <w:szCs w:val="20"/>
              </w:rPr>
            </w:pPr>
            <w:r w:rsidRPr="00677233">
              <w:rPr>
                <w:rFonts w:ascii="Arial" w:hAnsi="Arial" w:cs="Arial"/>
                <w:b/>
                <w:sz w:val="20"/>
                <w:szCs w:val="20"/>
              </w:rPr>
              <w:t>Requesting State</w:t>
            </w:r>
          </w:p>
        </w:tc>
        <w:tc>
          <w:tcPr>
            <w:tcW w:w="1719" w:type="pct"/>
            <w:tcBorders>
              <w:top w:val="single" w:sz="4" w:space="0" w:color="auto"/>
              <w:bottom w:val="single" w:sz="4" w:space="0" w:color="auto"/>
            </w:tcBorders>
            <w:shd w:val="clear" w:color="auto" w:fill="BFBFBF"/>
            <w:vAlign w:val="center"/>
          </w:tcPr>
          <w:p w14:paraId="3F2562F5" w14:textId="77777777" w:rsidR="00872F87" w:rsidRPr="00677233" w:rsidRDefault="00872F87">
            <w:pPr>
              <w:spacing w:before="120" w:after="120"/>
              <w:jc w:val="center"/>
              <w:rPr>
                <w:rFonts w:ascii="Arial" w:hAnsi="Arial" w:cs="Arial"/>
                <w:sz w:val="20"/>
                <w:szCs w:val="20"/>
              </w:rPr>
            </w:pPr>
            <w:r w:rsidRPr="00677233">
              <w:rPr>
                <w:rFonts w:ascii="Arial" w:hAnsi="Arial" w:cs="Arial"/>
                <w:b/>
                <w:sz w:val="20"/>
                <w:szCs w:val="20"/>
              </w:rPr>
              <w:t>Title</w:t>
            </w:r>
          </w:p>
        </w:tc>
        <w:tc>
          <w:tcPr>
            <w:tcW w:w="703" w:type="pct"/>
            <w:tcBorders>
              <w:top w:val="single" w:sz="4" w:space="0" w:color="auto"/>
              <w:bottom w:val="single" w:sz="4" w:space="0" w:color="auto"/>
            </w:tcBorders>
            <w:shd w:val="clear" w:color="auto" w:fill="BFBFBF"/>
            <w:vAlign w:val="center"/>
          </w:tcPr>
          <w:p w14:paraId="18522500" w14:textId="77777777" w:rsidR="00872F87" w:rsidRPr="00677233" w:rsidRDefault="00872F87">
            <w:pPr>
              <w:spacing w:before="120" w:after="120"/>
              <w:jc w:val="center"/>
              <w:rPr>
                <w:rFonts w:ascii="Arial" w:hAnsi="Arial" w:cs="Arial"/>
                <w:b/>
                <w:bCs/>
                <w:sz w:val="20"/>
                <w:szCs w:val="20"/>
              </w:rPr>
            </w:pPr>
            <w:r w:rsidRPr="00677233">
              <w:rPr>
                <w:rFonts w:ascii="Arial" w:hAnsi="Arial" w:cs="Arial"/>
                <w:b/>
                <w:sz w:val="20"/>
                <w:szCs w:val="20"/>
              </w:rPr>
              <w:t>Amount requested</w:t>
            </w:r>
          </w:p>
        </w:tc>
        <w:tc>
          <w:tcPr>
            <w:tcW w:w="468" w:type="pct"/>
            <w:tcBorders>
              <w:top w:val="single" w:sz="4" w:space="0" w:color="auto"/>
              <w:bottom w:val="single" w:sz="4" w:space="0" w:color="auto"/>
            </w:tcBorders>
            <w:shd w:val="clear" w:color="auto" w:fill="BFBFBF"/>
            <w:vAlign w:val="center"/>
          </w:tcPr>
          <w:p w14:paraId="22623C3B" w14:textId="77777777" w:rsidR="00872F87" w:rsidRPr="00677233" w:rsidRDefault="00872F87">
            <w:pPr>
              <w:spacing w:before="120" w:after="120"/>
              <w:jc w:val="center"/>
              <w:rPr>
                <w:rFonts w:ascii="Arial" w:hAnsi="Arial" w:cs="Arial"/>
                <w:sz w:val="20"/>
                <w:szCs w:val="20"/>
              </w:rPr>
            </w:pPr>
            <w:r w:rsidRPr="00677233">
              <w:rPr>
                <w:rFonts w:ascii="Arial" w:hAnsi="Arial" w:cs="Arial"/>
                <w:b/>
                <w:sz w:val="20"/>
                <w:szCs w:val="20"/>
              </w:rPr>
              <w:t>File no.</w:t>
            </w:r>
          </w:p>
        </w:tc>
      </w:tr>
      <w:tr w:rsidR="00872F87" w:rsidRPr="00677233" w14:paraId="31F4423E" w14:textId="77777777" w:rsidTr="00E4771D">
        <w:trPr>
          <w:cantSplit/>
          <w:trHeight w:val="1222"/>
          <w:tblHeader/>
        </w:trPr>
        <w:tc>
          <w:tcPr>
            <w:tcW w:w="1171" w:type="pct"/>
            <w:tcBorders>
              <w:top w:val="single" w:sz="4" w:space="0" w:color="auto"/>
              <w:bottom w:val="single" w:sz="4" w:space="0" w:color="auto"/>
              <w:right w:val="nil"/>
            </w:tcBorders>
            <w:vAlign w:val="center"/>
          </w:tcPr>
          <w:p w14:paraId="70086200" w14:textId="10799BFD" w:rsidR="00872F87" w:rsidRPr="00677233" w:rsidRDefault="00FD1E19" w:rsidP="00872F87">
            <w:pPr>
              <w:spacing w:before="120" w:after="120"/>
              <w:jc w:val="center"/>
              <w:rPr>
                <w:rFonts w:asciiTheme="minorBidi" w:hAnsiTheme="minorBidi" w:cstheme="minorBidi"/>
                <w:sz w:val="20"/>
                <w:szCs w:val="20"/>
              </w:rPr>
            </w:pPr>
            <w:hyperlink w:anchor="Dec1" w:history="1">
              <w:r w:rsidRPr="00677233">
                <w:rPr>
                  <w:rStyle w:val="Lienhypertexte"/>
                  <w:rFonts w:asciiTheme="minorBidi" w:hAnsiTheme="minorBidi" w:cstheme="minorBidi"/>
                  <w:sz w:val="20"/>
                  <w:szCs w:val="20"/>
                  <w:lang w:eastAsia="fr-FR"/>
                </w:rPr>
                <w:t xml:space="preserve">20.COM 4.BUR </w:t>
              </w:r>
              <w:r w:rsidR="009340CD">
                <w:rPr>
                  <w:rStyle w:val="Lienhypertexte"/>
                  <w:rFonts w:asciiTheme="minorBidi" w:hAnsiTheme="minorBidi" w:cstheme="minorBidi"/>
                  <w:sz w:val="20"/>
                  <w:szCs w:val="20"/>
                  <w:lang w:eastAsia="fr-FR"/>
                </w:rPr>
                <w:t>3</w:t>
              </w:r>
              <w:r w:rsidRPr="000921DE">
                <w:rPr>
                  <w:rStyle w:val="Lienhypertexte"/>
                  <w:rFonts w:asciiTheme="minorBidi" w:hAnsiTheme="minorBidi" w:cstheme="minorBidi"/>
                  <w:sz w:val="20"/>
                  <w:szCs w:val="20"/>
                  <w:lang w:eastAsia="fr-FR"/>
                </w:rPr>
                <w:t>.1</w:t>
              </w:r>
            </w:hyperlink>
          </w:p>
        </w:tc>
        <w:tc>
          <w:tcPr>
            <w:tcW w:w="939" w:type="pct"/>
            <w:tcBorders>
              <w:top w:val="single" w:sz="4" w:space="0" w:color="auto"/>
              <w:left w:val="nil"/>
              <w:bottom w:val="single" w:sz="4" w:space="0" w:color="auto"/>
            </w:tcBorders>
            <w:vAlign w:val="center"/>
          </w:tcPr>
          <w:p w14:paraId="0CA49243" w14:textId="6D2E6E44" w:rsidR="00872F87" w:rsidRPr="00677233" w:rsidRDefault="00E4771D" w:rsidP="000921DE">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Egypt</w:t>
            </w:r>
          </w:p>
        </w:tc>
        <w:tc>
          <w:tcPr>
            <w:tcW w:w="1719" w:type="pct"/>
            <w:tcBorders>
              <w:top w:val="single" w:sz="4" w:space="0" w:color="auto"/>
              <w:bottom w:val="single" w:sz="4" w:space="0" w:color="auto"/>
            </w:tcBorders>
            <w:vAlign w:val="center"/>
          </w:tcPr>
          <w:p w14:paraId="208BDC59" w14:textId="5B7C988F" w:rsidR="00872F87" w:rsidRPr="00677233" w:rsidRDefault="00A23D0F" w:rsidP="00872F87">
            <w:pPr>
              <w:spacing w:before="120" w:after="120"/>
              <w:rPr>
                <w:rFonts w:asciiTheme="minorBidi" w:hAnsiTheme="minorBidi" w:cstheme="minorBidi"/>
                <w:sz w:val="20"/>
                <w:szCs w:val="20"/>
              </w:rPr>
            </w:pPr>
            <w:r w:rsidRPr="00677233">
              <w:rPr>
                <w:rFonts w:asciiTheme="minorBidi" w:hAnsiTheme="minorBidi" w:cstheme="minorBidi"/>
                <w:sz w:val="20"/>
                <w:szCs w:val="20"/>
              </w:rPr>
              <w:t>Safeguarding and capacity</w:t>
            </w:r>
            <w:r w:rsidR="00564391">
              <w:rPr>
                <w:rFonts w:asciiTheme="minorBidi" w:hAnsiTheme="minorBidi" w:cstheme="minorBidi"/>
                <w:sz w:val="20"/>
                <w:szCs w:val="20"/>
              </w:rPr>
              <w:t>-</w:t>
            </w:r>
            <w:r w:rsidRPr="00677233">
              <w:rPr>
                <w:rFonts w:asciiTheme="minorBidi" w:hAnsiTheme="minorBidi" w:cstheme="minorBidi"/>
                <w:sz w:val="20"/>
                <w:szCs w:val="20"/>
              </w:rPr>
              <w:t>building for the intangible cultural heritage of Al-</w:t>
            </w:r>
            <w:proofErr w:type="spellStart"/>
            <w:r w:rsidRPr="00677233">
              <w:rPr>
                <w:rFonts w:asciiTheme="minorBidi" w:hAnsiTheme="minorBidi" w:cstheme="minorBidi"/>
                <w:sz w:val="20"/>
                <w:szCs w:val="20"/>
              </w:rPr>
              <w:t>Aragoz</w:t>
            </w:r>
            <w:proofErr w:type="spellEnd"/>
            <w:r w:rsidRPr="00677233">
              <w:rPr>
                <w:rFonts w:asciiTheme="minorBidi" w:hAnsiTheme="minorBidi" w:cstheme="minorBidi"/>
                <w:sz w:val="20"/>
                <w:szCs w:val="20"/>
              </w:rPr>
              <w:t xml:space="preserve"> traditional hand puppetry in Egypt</w:t>
            </w:r>
          </w:p>
        </w:tc>
        <w:tc>
          <w:tcPr>
            <w:tcW w:w="703" w:type="pct"/>
            <w:tcBorders>
              <w:top w:val="single" w:sz="4" w:space="0" w:color="auto"/>
              <w:bottom w:val="single" w:sz="4" w:space="0" w:color="auto"/>
            </w:tcBorders>
            <w:vAlign w:val="center"/>
          </w:tcPr>
          <w:p w14:paraId="30910B2A" w14:textId="3986E7AE" w:rsidR="00872F87" w:rsidRPr="00677233" w:rsidRDefault="00160DF6">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US$99,840</w:t>
            </w:r>
          </w:p>
        </w:tc>
        <w:tc>
          <w:tcPr>
            <w:tcW w:w="468" w:type="pct"/>
            <w:tcBorders>
              <w:top w:val="single" w:sz="4" w:space="0" w:color="auto"/>
              <w:bottom w:val="single" w:sz="4" w:space="0" w:color="auto"/>
            </w:tcBorders>
            <w:vAlign w:val="center"/>
          </w:tcPr>
          <w:p w14:paraId="47661303" w14:textId="42D3170E" w:rsidR="00872F87" w:rsidRPr="00677233" w:rsidRDefault="00A23D0F">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02460</w:t>
            </w:r>
          </w:p>
        </w:tc>
      </w:tr>
      <w:tr w:rsidR="00E4771D" w:rsidRPr="00677233" w14:paraId="2B35EF29" w14:textId="77777777" w:rsidTr="00E4771D">
        <w:trPr>
          <w:cantSplit/>
          <w:trHeight w:val="1222"/>
          <w:tblHeader/>
        </w:trPr>
        <w:tc>
          <w:tcPr>
            <w:tcW w:w="1171" w:type="pct"/>
            <w:tcBorders>
              <w:top w:val="single" w:sz="4" w:space="0" w:color="auto"/>
              <w:bottom w:val="single" w:sz="4" w:space="0" w:color="auto"/>
              <w:right w:val="nil"/>
            </w:tcBorders>
            <w:vAlign w:val="center"/>
          </w:tcPr>
          <w:p w14:paraId="4B3BFF20" w14:textId="5BE74170" w:rsidR="00E4771D" w:rsidRPr="00677233" w:rsidRDefault="00FD1E19" w:rsidP="00872F87">
            <w:pPr>
              <w:spacing w:before="120" w:after="120"/>
              <w:jc w:val="center"/>
            </w:pPr>
            <w:hyperlink w:anchor="Dec2" w:history="1">
              <w:r w:rsidRPr="00677233">
                <w:rPr>
                  <w:rStyle w:val="Lienhypertexte"/>
                  <w:rFonts w:asciiTheme="minorBidi" w:hAnsiTheme="minorBidi" w:cstheme="minorBidi"/>
                  <w:sz w:val="20"/>
                  <w:szCs w:val="20"/>
                  <w:lang w:eastAsia="fr-FR"/>
                </w:rPr>
                <w:t xml:space="preserve">20.COM 4.BUR </w:t>
              </w:r>
              <w:r w:rsidR="009340CD">
                <w:rPr>
                  <w:rStyle w:val="Lienhypertexte"/>
                  <w:rFonts w:asciiTheme="minorBidi" w:hAnsiTheme="minorBidi" w:cstheme="minorBidi"/>
                  <w:sz w:val="20"/>
                  <w:szCs w:val="20"/>
                  <w:lang w:eastAsia="fr-FR"/>
                </w:rPr>
                <w:t>3</w:t>
              </w:r>
              <w:r w:rsidRPr="000921DE">
                <w:rPr>
                  <w:rStyle w:val="Lienhypertexte"/>
                  <w:rFonts w:asciiTheme="minorBidi" w:hAnsiTheme="minorBidi" w:cstheme="minorBidi"/>
                  <w:sz w:val="20"/>
                  <w:szCs w:val="20"/>
                  <w:lang w:eastAsia="fr-FR"/>
                </w:rPr>
                <w:t>.2</w:t>
              </w:r>
            </w:hyperlink>
          </w:p>
        </w:tc>
        <w:tc>
          <w:tcPr>
            <w:tcW w:w="939" w:type="pct"/>
            <w:tcBorders>
              <w:top w:val="single" w:sz="4" w:space="0" w:color="auto"/>
              <w:left w:val="nil"/>
              <w:bottom w:val="single" w:sz="4" w:space="0" w:color="auto"/>
            </w:tcBorders>
            <w:vAlign w:val="center"/>
          </w:tcPr>
          <w:p w14:paraId="57B747B7" w14:textId="56DAD378" w:rsidR="00E4771D" w:rsidRPr="00677233" w:rsidRDefault="00E4771D" w:rsidP="000921DE">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Nepal</w:t>
            </w:r>
          </w:p>
        </w:tc>
        <w:tc>
          <w:tcPr>
            <w:tcW w:w="1719" w:type="pct"/>
            <w:tcBorders>
              <w:top w:val="single" w:sz="4" w:space="0" w:color="auto"/>
              <w:bottom w:val="single" w:sz="4" w:space="0" w:color="auto"/>
            </w:tcBorders>
            <w:vAlign w:val="center"/>
          </w:tcPr>
          <w:p w14:paraId="2D471032" w14:textId="72969895" w:rsidR="00E4771D" w:rsidRPr="00677233" w:rsidRDefault="00A23D0F" w:rsidP="00872F87">
            <w:pPr>
              <w:spacing w:before="120" w:after="120"/>
              <w:rPr>
                <w:rFonts w:asciiTheme="minorBidi" w:hAnsiTheme="minorBidi" w:cstheme="minorBidi"/>
                <w:sz w:val="20"/>
                <w:szCs w:val="20"/>
              </w:rPr>
            </w:pPr>
            <w:r w:rsidRPr="00677233">
              <w:rPr>
                <w:rFonts w:asciiTheme="minorBidi" w:hAnsiTheme="minorBidi" w:cstheme="minorBidi"/>
                <w:sz w:val="20"/>
                <w:szCs w:val="20"/>
              </w:rPr>
              <w:t xml:space="preserve">Development of inventory of </w:t>
            </w:r>
            <w:r w:rsidR="00C3733C" w:rsidRPr="00677233">
              <w:rPr>
                <w:rFonts w:asciiTheme="minorBidi" w:hAnsiTheme="minorBidi" w:cstheme="minorBidi"/>
                <w:sz w:val="20"/>
                <w:szCs w:val="20"/>
              </w:rPr>
              <w:t>i</w:t>
            </w:r>
            <w:r w:rsidRPr="00677233">
              <w:rPr>
                <w:rFonts w:asciiTheme="minorBidi" w:hAnsiTheme="minorBidi" w:cstheme="minorBidi"/>
                <w:sz w:val="20"/>
                <w:szCs w:val="20"/>
              </w:rPr>
              <w:t xml:space="preserve">ntangible </w:t>
            </w:r>
            <w:r w:rsidR="00C3733C" w:rsidRPr="00677233">
              <w:rPr>
                <w:rFonts w:asciiTheme="minorBidi" w:hAnsiTheme="minorBidi" w:cstheme="minorBidi"/>
                <w:sz w:val="20"/>
                <w:szCs w:val="20"/>
              </w:rPr>
              <w:t>c</w:t>
            </w:r>
            <w:r w:rsidRPr="00677233">
              <w:rPr>
                <w:rFonts w:asciiTheme="minorBidi" w:hAnsiTheme="minorBidi" w:cstheme="minorBidi"/>
                <w:sz w:val="20"/>
                <w:szCs w:val="20"/>
              </w:rPr>
              <w:t xml:space="preserve">ultural </w:t>
            </w:r>
            <w:r w:rsidR="00C3733C" w:rsidRPr="00677233">
              <w:rPr>
                <w:rFonts w:asciiTheme="minorBidi" w:hAnsiTheme="minorBidi" w:cstheme="minorBidi"/>
                <w:sz w:val="20"/>
                <w:szCs w:val="20"/>
              </w:rPr>
              <w:t>h</w:t>
            </w:r>
            <w:r w:rsidRPr="00677233">
              <w:rPr>
                <w:rFonts w:asciiTheme="minorBidi" w:hAnsiTheme="minorBidi" w:cstheme="minorBidi"/>
                <w:sz w:val="20"/>
                <w:szCs w:val="20"/>
              </w:rPr>
              <w:t>eritage covering all seven provinces of Nepal</w:t>
            </w:r>
          </w:p>
        </w:tc>
        <w:tc>
          <w:tcPr>
            <w:tcW w:w="703" w:type="pct"/>
            <w:tcBorders>
              <w:top w:val="single" w:sz="4" w:space="0" w:color="auto"/>
              <w:bottom w:val="single" w:sz="4" w:space="0" w:color="auto"/>
            </w:tcBorders>
            <w:vAlign w:val="center"/>
          </w:tcPr>
          <w:p w14:paraId="1A452A67" w14:textId="7C773B24" w:rsidR="00E4771D" w:rsidRPr="00677233" w:rsidRDefault="00A23D0F">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US$99,033</w:t>
            </w:r>
          </w:p>
        </w:tc>
        <w:tc>
          <w:tcPr>
            <w:tcW w:w="468" w:type="pct"/>
            <w:tcBorders>
              <w:top w:val="single" w:sz="4" w:space="0" w:color="auto"/>
              <w:bottom w:val="single" w:sz="4" w:space="0" w:color="auto"/>
            </w:tcBorders>
            <w:vAlign w:val="center"/>
          </w:tcPr>
          <w:p w14:paraId="6A787BE5" w14:textId="7A16668D" w:rsidR="00E4771D" w:rsidRPr="00677233" w:rsidRDefault="00A23D0F">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02462</w:t>
            </w:r>
          </w:p>
        </w:tc>
      </w:tr>
      <w:tr w:rsidR="00E4771D" w:rsidRPr="00677233" w14:paraId="23D410BC" w14:textId="77777777" w:rsidTr="00E4771D">
        <w:trPr>
          <w:cantSplit/>
          <w:trHeight w:val="1222"/>
          <w:tblHeader/>
        </w:trPr>
        <w:tc>
          <w:tcPr>
            <w:tcW w:w="1171" w:type="pct"/>
            <w:tcBorders>
              <w:top w:val="single" w:sz="4" w:space="0" w:color="auto"/>
              <w:bottom w:val="single" w:sz="4" w:space="0" w:color="auto"/>
              <w:right w:val="nil"/>
            </w:tcBorders>
            <w:vAlign w:val="center"/>
          </w:tcPr>
          <w:p w14:paraId="077A8A51" w14:textId="3E6E84FB" w:rsidR="00E4771D" w:rsidRPr="00677233" w:rsidRDefault="00FD1E19" w:rsidP="00872F87">
            <w:pPr>
              <w:spacing w:before="120" w:after="120"/>
              <w:jc w:val="center"/>
            </w:pPr>
            <w:hyperlink w:anchor="Dec3" w:history="1">
              <w:r w:rsidRPr="00677233">
                <w:rPr>
                  <w:rStyle w:val="Lienhypertexte"/>
                  <w:rFonts w:asciiTheme="minorBidi" w:hAnsiTheme="minorBidi" w:cstheme="minorBidi"/>
                  <w:sz w:val="20"/>
                  <w:szCs w:val="20"/>
                  <w:lang w:eastAsia="fr-FR"/>
                </w:rPr>
                <w:t xml:space="preserve">20.COM 4.BUR </w:t>
              </w:r>
              <w:r w:rsidR="009340CD">
                <w:rPr>
                  <w:rStyle w:val="Lienhypertexte"/>
                  <w:rFonts w:asciiTheme="minorBidi" w:hAnsiTheme="minorBidi" w:cstheme="minorBidi"/>
                  <w:sz w:val="20"/>
                  <w:szCs w:val="20"/>
                  <w:lang w:eastAsia="fr-FR"/>
                </w:rPr>
                <w:t>3</w:t>
              </w:r>
              <w:r w:rsidRPr="000921DE">
                <w:rPr>
                  <w:rStyle w:val="Lienhypertexte"/>
                  <w:rFonts w:asciiTheme="minorBidi" w:hAnsiTheme="minorBidi" w:cstheme="minorBidi"/>
                  <w:sz w:val="20"/>
                  <w:szCs w:val="20"/>
                  <w:lang w:eastAsia="fr-FR"/>
                </w:rPr>
                <w:t>.3</w:t>
              </w:r>
            </w:hyperlink>
          </w:p>
        </w:tc>
        <w:tc>
          <w:tcPr>
            <w:tcW w:w="939" w:type="pct"/>
            <w:tcBorders>
              <w:top w:val="single" w:sz="4" w:space="0" w:color="auto"/>
              <w:left w:val="nil"/>
              <w:bottom w:val="single" w:sz="4" w:space="0" w:color="auto"/>
            </w:tcBorders>
            <w:vAlign w:val="center"/>
          </w:tcPr>
          <w:p w14:paraId="0318F0D0" w14:textId="2768AA7E" w:rsidR="00E4771D" w:rsidRPr="00677233" w:rsidRDefault="00E4771D" w:rsidP="000921DE">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Uruguay</w:t>
            </w:r>
          </w:p>
        </w:tc>
        <w:tc>
          <w:tcPr>
            <w:tcW w:w="1719" w:type="pct"/>
            <w:tcBorders>
              <w:top w:val="single" w:sz="4" w:space="0" w:color="auto"/>
              <w:bottom w:val="single" w:sz="4" w:space="0" w:color="auto"/>
            </w:tcBorders>
            <w:vAlign w:val="center"/>
          </w:tcPr>
          <w:p w14:paraId="6EDB158E" w14:textId="2397A953" w:rsidR="00E4771D" w:rsidRPr="00677233" w:rsidRDefault="00A23D0F" w:rsidP="00A23D0F">
            <w:pPr>
              <w:spacing w:before="120" w:after="120"/>
              <w:rPr>
                <w:rFonts w:asciiTheme="minorBidi" w:hAnsiTheme="minorBidi" w:cstheme="minorBidi"/>
                <w:b/>
                <w:bCs/>
                <w:sz w:val="20"/>
                <w:szCs w:val="20"/>
              </w:rPr>
            </w:pPr>
            <w:r w:rsidRPr="00677233">
              <w:rPr>
                <w:rFonts w:asciiTheme="minorBidi" w:hAnsiTheme="minorBidi" w:cstheme="minorBidi"/>
                <w:sz w:val="20"/>
                <w:szCs w:val="20"/>
              </w:rPr>
              <w:t xml:space="preserve">The </w:t>
            </w:r>
            <w:r w:rsidR="00C3733C" w:rsidRPr="00677233">
              <w:rPr>
                <w:rFonts w:asciiTheme="minorBidi" w:hAnsiTheme="minorBidi" w:cstheme="minorBidi"/>
                <w:sz w:val="20"/>
                <w:szCs w:val="20"/>
              </w:rPr>
              <w:t>s</w:t>
            </w:r>
            <w:r w:rsidRPr="00677233">
              <w:rPr>
                <w:rFonts w:asciiTheme="minorBidi" w:hAnsiTheme="minorBidi" w:cstheme="minorBidi"/>
                <w:sz w:val="20"/>
                <w:szCs w:val="20"/>
              </w:rPr>
              <w:t xml:space="preserve">ound of Tango </w:t>
            </w:r>
            <w:r w:rsidR="00C3733C" w:rsidRPr="00677233">
              <w:rPr>
                <w:rFonts w:asciiTheme="minorBidi" w:hAnsiTheme="minorBidi" w:cstheme="minorBidi"/>
                <w:sz w:val="20"/>
                <w:szCs w:val="20"/>
              </w:rPr>
              <w:t>– Phase II</w:t>
            </w:r>
            <w:r w:rsidRPr="00677233">
              <w:rPr>
                <w:rFonts w:asciiTheme="minorBidi" w:hAnsiTheme="minorBidi" w:cstheme="minorBidi"/>
                <w:b/>
                <w:bCs/>
                <w:sz w:val="20"/>
                <w:szCs w:val="20"/>
              </w:rPr>
              <w:t xml:space="preserve"> </w:t>
            </w:r>
          </w:p>
        </w:tc>
        <w:tc>
          <w:tcPr>
            <w:tcW w:w="703" w:type="pct"/>
            <w:tcBorders>
              <w:top w:val="single" w:sz="4" w:space="0" w:color="auto"/>
              <w:bottom w:val="single" w:sz="4" w:space="0" w:color="auto"/>
            </w:tcBorders>
            <w:vAlign w:val="center"/>
          </w:tcPr>
          <w:p w14:paraId="65D6D90E" w14:textId="0C478BEE" w:rsidR="00E4771D" w:rsidRPr="00677233" w:rsidRDefault="00A23D0F">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US$89,</w:t>
            </w:r>
            <w:r w:rsidR="00C3733C" w:rsidRPr="00677233">
              <w:rPr>
                <w:rFonts w:asciiTheme="minorBidi" w:hAnsiTheme="minorBidi" w:cstheme="minorBidi"/>
                <w:sz w:val="20"/>
                <w:szCs w:val="20"/>
              </w:rPr>
              <w:t>969</w:t>
            </w:r>
          </w:p>
        </w:tc>
        <w:tc>
          <w:tcPr>
            <w:tcW w:w="468" w:type="pct"/>
            <w:tcBorders>
              <w:top w:val="single" w:sz="4" w:space="0" w:color="auto"/>
              <w:bottom w:val="single" w:sz="4" w:space="0" w:color="auto"/>
            </w:tcBorders>
            <w:vAlign w:val="center"/>
          </w:tcPr>
          <w:p w14:paraId="7E51D136" w14:textId="78B9DC25" w:rsidR="00E4771D" w:rsidRPr="00677233" w:rsidRDefault="00A23D0F">
            <w:pPr>
              <w:spacing w:before="120" w:after="120"/>
              <w:jc w:val="center"/>
              <w:rPr>
                <w:rFonts w:asciiTheme="minorBidi" w:hAnsiTheme="minorBidi" w:cstheme="minorBidi"/>
                <w:sz w:val="20"/>
                <w:szCs w:val="20"/>
              </w:rPr>
            </w:pPr>
            <w:r w:rsidRPr="00677233">
              <w:rPr>
                <w:rFonts w:asciiTheme="minorBidi" w:hAnsiTheme="minorBidi" w:cstheme="minorBidi"/>
                <w:sz w:val="20"/>
                <w:szCs w:val="20"/>
              </w:rPr>
              <w:t>02463</w:t>
            </w:r>
          </w:p>
        </w:tc>
      </w:tr>
    </w:tbl>
    <w:p w14:paraId="6979A96F" w14:textId="3320E1DD" w:rsidR="00872F87" w:rsidRPr="00677233" w:rsidRDefault="00872F87" w:rsidP="007E5F06">
      <w:pPr>
        <w:pStyle w:val="COMPara"/>
        <w:spacing w:before="240"/>
        <w:ind w:left="567" w:hanging="567"/>
        <w:jc w:val="both"/>
      </w:pPr>
      <w:r w:rsidRPr="00677233">
        <w:t xml:space="preserve">In conformity with paragraph 48 of the Operational Directives, the Secretariat assessed the completeness of </w:t>
      </w:r>
      <w:r w:rsidR="00547C27" w:rsidRPr="00677233">
        <w:t>these requests</w:t>
      </w:r>
      <w:r w:rsidRPr="00677233">
        <w:t xml:space="preserve">. Considering the importance of International Assistance for achieving the Convention’s purpose of promoting international cooperation, </w:t>
      </w:r>
      <w:r w:rsidR="00E01FD9" w:rsidRPr="00677233">
        <w:t>the Secretariat provided support to the requesting States as follows:</w:t>
      </w:r>
    </w:p>
    <w:p w14:paraId="58EBF4FE" w14:textId="5221AD30" w:rsidR="00E01FD9" w:rsidRPr="00677233" w:rsidRDefault="00E01FD9" w:rsidP="00EF2A6C">
      <w:pPr>
        <w:pStyle w:val="COMPara"/>
        <w:numPr>
          <w:ilvl w:val="0"/>
          <w:numId w:val="30"/>
        </w:numPr>
        <w:spacing w:before="120"/>
        <w:ind w:left="993" w:hanging="357"/>
        <w:jc w:val="both"/>
      </w:pPr>
      <w:r w:rsidRPr="00677233">
        <w:t xml:space="preserve">Egypt received guidance through a letter from the Secretariat indicating whether any information was missing or insufficient upon the submission of the request. </w:t>
      </w:r>
      <w:r w:rsidR="00EF2A6C" w:rsidRPr="00677233">
        <w:t>The State Party submitted a revised version of the request within the given timeframe.</w:t>
      </w:r>
    </w:p>
    <w:p w14:paraId="02FC5923" w14:textId="70293F0F" w:rsidR="007E5F06" w:rsidRPr="00677233" w:rsidRDefault="00415AF2" w:rsidP="002F5057">
      <w:pPr>
        <w:pStyle w:val="COMPara"/>
        <w:numPr>
          <w:ilvl w:val="0"/>
          <w:numId w:val="30"/>
        </w:numPr>
        <w:spacing w:before="120"/>
        <w:ind w:left="993" w:hanging="357"/>
        <w:jc w:val="both"/>
        <w:rPr>
          <w:rFonts w:eastAsia="SimSun"/>
          <w:u w:val="single"/>
        </w:rPr>
      </w:pPr>
      <w:r w:rsidRPr="00677233">
        <w:t>T</w:t>
      </w:r>
      <w:r w:rsidR="002D0A53" w:rsidRPr="00677233">
        <w:t xml:space="preserve">his </w:t>
      </w:r>
      <w:r w:rsidR="00E01FD9" w:rsidRPr="00677233">
        <w:t xml:space="preserve">would be the first time that </w:t>
      </w:r>
      <w:r w:rsidRPr="00677233">
        <w:t xml:space="preserve">Nepal </w:t>
      </w:r>
      <w:r w:rsidR="00E01FD9" w:rsidRPr="00677233">
        <w:t xml:space="preserve">would benefit from International Assistance from the Convention. </w:t>
      </w:r>
      <w:r w:rsidR="002D0A53" w:rsidRPr="00677233">
        <w:t>P</w:t>
      </w:r>
      <w:r w:rsidR="007E5F06" w:rsidRPr="00677233">
        <w:t>repared in close collaboration with the UNESCO Office in Kathmandu</w:t>
      </w:r>
      <w:r w:rsidR="002D0A53" w:rsidRPr="00677233">
        <w:t xml:space="preserve">, the request </w:t>
      </w:r>
      <w:r w:rsidR="007E5F06" w:rsidRPr="00677233">
        <w:t xml:space="preserve">will take the form of </w:t>
      </w:r>
      <w:r w:rsidR="005A613D" w:rsidRPr="00677233">
        <w:t xml:space="preserve">provision of </w:t>
      </w:r>
      <w:r w:rsidR="007E5F06" w:rsidRPr="00677233">
        <w:t>service</w:t>
      </w:r>
      <w:r w:rsidR="005A613D" w:rsidRPr="00677233">
        <w:t>s from UNESCO</w:t>
      </w:r>
      <w:r w:rsidR="007E5F06" w:rsidRPr="00677233">
        <w:t xml:space="preserve">. </w:t>
      </w:r>
      <w:r w:rsidRPr="00677233">
        <w:t>This modality</w:t>
      </w:r>
      <w:r w:rsidR="007E5F06" w:rsidRPr="00677233">
        <w:t xml:space="preserve"> corresponds to the expanded interpretation of Article 21, as endorsed by the Committee at its tenth session (Decision </w:t>
      </w:r>
      <w:hyperlink r:id="rId8" w:history="1">
        <w:r w:rsidR="007E5F06" w:rsidRPr="00677233">
          <w:rPr>
            <w:rStyle w:val="Lienhypertexte"/>
            <w:lang w:eastAsia="en-US"/>
          </w:rPr>
          <w:t>10.COM 8</w:t>
        </w:r>
      </w:hyperlink>
      <w:r w:rsidR="007E5F06" w:rsidRPr="00677233">
        <w:t xml:space="preserve">). </w:t>
      </w:r>
      <w:r w:rsidR="002D0A53" w:rsidRPr="00677233">
        <w:t xml:space="preserve">The </w:t>
      </w:r>
      <w:r w:rsidRPr="00677233">
        <w:t>request</w:t>
      </w:r>
      <w:r w:rsidR="002D0A53" w:rsidRPr="00677233">
        <w:t xml:space="preserve"> </w:t>
      </w:r>
      <w:r w:rsidR="007E5F06" w:rsidRPr="00677233">
        <w:t xml:space="preserve">was submitted </w:t>
      </w:r>
      <w:r w:rsidR="00384B4D" w:rsidRPr="00677233">
        <w:t xml:space="preserve">on </w:t>
      </w:r>
      <w:r w:rsidR="007E5F06" w:rsidRPr="00677233">
        <w:t>31 August 2025</w:t>
      </w:r>
      <w:r w:rsidR="002D0A53" w:rsidRPr="00677233">
        <w:t xml:space="preserve">, </w:t>
      </w:r>
      <w:r w:rsidR="007E5F06" w:rsidRPr="00677233">
        <w:t xml:space="preserve">prior to </w:t>
      </w:r>
      <w:r w:rsidR="002D0A53" w:rsidRPr="00677233">
        <w:t xml:space="preserve">the outbreak of </w:t>
      </w:r>
      <w:r w:rsidR="007E5F06" w:rsidRPr="00677233">
        <w:t xml:space="preserve">civil unrest and escalating violence </w:t>
      </w:r>
      <w:r w:rsidR="00BC7829" w:rsidRPr="00677233">
        <w:t>witnessed</w:t>
      </w:r>
      <w:r w:rsidR="00564391">
        <w:t xml:space="preserve"> across the country</w:t>
      </w:r>
      <w:r w:rsidR="00BC7829" w:rsidRPr="00677233">
        <w:t xml:space="preserve"> </w:t>
      </w:r>
      <w:r w:rsidR="00417A63" w:rsidRPr="00677233">
        <w:t>in early September</w:t>
      </w:r>
      <w:r w:rsidRPr="00677233">
        <w:t xml:space="preserve"> 2025</w:t>
      </w:r>
      <w:r w:rsidR="007E5F06" w:rsidRPr="00677233">
        <w:t xml:space="preserve">. </w:t>
      </w:r>
      <w:r w:rsidR="002D0A53" w:rsidRPr="00677233">
        <w:t>Should International</w:t>
      </w:r>
      <w:r w:rsidR="007E5F06" w:rsidRPr="00677233">
        <w:t xml:space="preserve"> Assistance </w:t>
      </w:r>
      <w:r w:rsidR="002D0A53" w:rsidRPr="00677233">
        <w:t>be</w:t>
      </w:r>
      <w:r w:rsidR="007E5F06" w:rsidRPr="00677233">
        <w:t xml:space="preserve"> granted, </w:t>
      </w:r>
      <w:r w:rsidR="00BC7829" w:rsidRPr="00677233">
        <w:t xml:space="preserve">UNESCO </w:t>
      </w:r>
      <w:r w:rsidR="007E5F06" w:rsidRPr="00677233">
        <w:t xml:space="preserve">will monitor the security situation </w:t>
      </w:r>
      <w:r w:rsidR="00564391">
        <w:t>for</w:t>
      </w:r>
      <w:r w:rsidR="00564391" w:rsidRPr="00677233">
        <w:t xml:space="preserve"> </w:t>
      </w:r>
      <w:r w:rsidR="002D0A53" w:rsidRPr="00677233">
        <w:t xml:space="preserve">the </w:t>
      </w:r>
      <w:r w:rsidR="007E5F06" w:rsidRPr="00677233">
        <w:t>duration of the project</w:t>
      </w:r>
      <w:r w:rsidR="00BC7829" w:rsidRPr="00677233">
        <w:t xml:space="preserve"> </w:t>
      </w:r>
      <w:r w:rsidR="00564391" w:rsidRPr="00677233">
        <w:t>through its Office in Kathmandu</w:t>
      </w:r>
      <w:r w:rsidR="00564391">
        <w:t xml:space="preserve"> </w:t>
      </w:r>
      <w:r w:rsidR="00BC7829" w:rsidRPr="00677233">
        <w:t xml:space="preserve">and </w:t>
      </w:r>
      <w:r w:rsidR="002D0A53" w:rsidRPr="00677233">
        <w:t xml:space="preserve">will </w:t>
      </w:r>
      <w:r w:rsidR="00C17D1D" w:rsidRPr="00677233">
        <w:t xml:space="preserve">implement project activities in phases, </w:t>
      </w:r>
      <w:r w:rsidR="00417A63" w:rsidRPr="00677233">
        <w:t xml:space="preserve">as </w:t>
      </w:r>
      <w:r w:rsidR="00C17D1D" w:rsidRPr="00677233">
        <w:t xml:space="preserve">deemed </w:t>
      </w:r>
      <w:r w:rsidR="00BC7829" w:rsidRPr="00677233">
        <w:t>appropriate</w:t>
      </w:r>
      <w:r w:rsidR="00C17D1D" w:rsidRPr="00677233">
        <w:t>.</w:t>
      </w:r>
    </w:p>
    <w:p w14:paraId="0AC05F4E" w14:textId="1D5CE05E" w:rsidR="00C17D1D" w:rsidRPr="00677233" w:rsidRDefault="00231CDC" w:rsidP="002F5057">
      <w:pPr>
        <w:pStyle w:val="COMPara"/>
        <w:numPr>
          <w:ilvl w:val="0"/>
          <w:numId w:val="30"/>
        </w:numPr>
        <w:spacing w:before="120"/>
        <w:ind w:left="993"/>
        <w:jc w:val="both"/>
        <w:rPr>
          <w:rFonts w:eastAsia="SimSun"/>
        </w:rPr>
      </w:pPr>
      <w:r w:rsidRPr="00677233">
        <w:rPr>
          <w:rFonts w:eastAsia="SimSun"/>
        </w:rPr>
        <w:t xml:space="preserve">Following a successful implementation of the first phase of the International </w:t>
      </w:r>
      <w:r w:rsidR="00415AF2" w:rsidRPr="00677233">
        <w:rPr>
          <w:rFonts w:eastAsia="SimSun"/>
        </w:rPr>
        <w:t>A</w:t>
      </w:r>
      <w:r w:rsidRPr="00677233">
        <w:rPr>
          <w:rFonts w:eastAsia="SimSun"/>
        </w:rPr>
        <w:t>ssistance project ‘</w:t>
      </w:r>
      <w:hyperlink r:id="rId9" w:history="1">
        <w:r w:rsidRPr="00677233">
          <w:rPr>
            <w:rStyle w:val="Lienhypertexte"/>
            <w:rFonts w:eastAsia="SimSun"/>
            <w:lang w:eastAsia="en-US"/>
          </w:rPr>
          <w:t>The Bandoneon: sound of Tango</w:t>
        </w:r>
      </w:hyperlink>
      <w:r w:rsidRPr="00677233">
        <w:t>’</w:t>
      </w:r>
      <w:r w:rsidRPr="00677233">
        <w:rPr>
          <w:rFonts w:eastAsia="SimSun"/>
        </w:rPr>
        <w:t xml:space="preserve"> (no. 01634), </w:t>
      </w:r>
      <w:r w:rsidR="00547C27" w:rsidRPr="00677233">
        <w:rPr>
          <w:rFonts w:eastAsia="SimSun"/>
        </w:rPr>
        <w:t>Uruguay submitted a request for a second phase</w:t>
      </w:r>
      <w:r w:rsidR="00BC7829" w:rsidRPr="00677233">
        <w:rPr>
          <w:rFonts w:eastAsia="SimSun"/>
        </w:rPr>
        <w:t xml:space="preserve"> of the project</w:t>
      </w:r>
      <w:r w:rsidR="00547C27" w:rsidRPr="00677233">
        <w:rPr>
          <w:rFonts w:eastAsia="SimSun"/>
        </w:rPr>
        <w:t xml:space="preserve">. </w:t>
      </w:r>
      <w:r w:rsidR="00F77563" w:rsidRPr="00677233">
        <w:rPr>
          <w:rFonts w:eastAsia="SimSun"/>
        </w:rPr>
        <w:t xml:space="preserve">The requesting State benefited from the support of the Secretariat to review the </w:t>
      </w:r>
      <w:r w:rsidR="005A6966" w:rsidRPr="00677233">
        <w:rPr>
          <w:rFonts w:eastAsia="SimSun"/>
        </w:rPr>
        <w:t xml:space="preserve">technical aspects of the </w:t>
      </w:r>
      <w:r w:rsidR="00F77563" w:rsidRPr="00677233">
        <w:rPr>
          <w:rFonts w:eastAsia="SimSun"/>
        </w:rPr>
        <w:t>request prior to its official submission.</w:t>
      </w:r>
    </w:p>
    <w:p w14:paraId="1D75B8FD" w14:textId="166014A7" w:rsidR="00BC7829" w:rsidRPr="001C2550" w:rsidRDefault="002C7A67" w:rsidP="007E13B5">
      <w:pPr>
        <w:pStyle w:val="COMPara"/>
        <w:spacing w:before="120"/>
        <w:ind w:left="567" w:hanging="567"/>
        <w:jc w:val="both"/>
      </w:pPr>
      <w:r w:rsidRPr="00677233">
        <w:rPr>
          <w:rFonts w:eastAsia="SimSun"/>
        </w:rPr>
        <w:lastRenderedPageBreak/>
        <w:t>T</w:t>
      </w:r>
      <w:r w:rsidR="00642768" w:rsidRPr="00677233">
        <w:rPr>
          <w:rFonts w:eastAsia="SimSun"/>
        </w:rPr>
        <w:t xml:space="preserve">he </w:t>
      </w:r>
      <w:r w:rsidRPr="00677233">
        <w:rPr>
          <w:rFonts w:eastAsia="SimSun"/>
        </w:rPr>
        <w:t>requests</w:t>
      </w:r>
      <w:r w:rsidR="00642768" w:rsidRPr="00677233">
        <w:rPr>
          <w:rFonts w:eastAsia="SimSun"/>
        </w:rPr>
        <w:t xml:space="preserve"> presented to the Bureau </w:t>
      </w:r>
      <w:r w:rsidR="00BC7829" w:rsidRPr="00677233">
        <w:rPr>
          <w:rFonts w:eastAsia="SimSun"/>
        </w:rPr>
        <w:t xml:space="preserve">are technically complete and </w:t>
      </w:r>
      <w:r w:rsidR="00642768" w:rsidRPr="00677233">
        <w:rPr>
          <w:rFonts w:eastAsia="SimSun"/>
        </w:rPr>
        <w:t xml:space="preserve">clearly illustrate the relevance of the International </w:t>
      </w:r>
      <w:r w:rsidR="007E13B5" w:rsidRPr="00677233">
        <w:rPr>
          <w:rFonts w:eastAsia="SimSun"/>
        </w:rPr>
        <w:t>A</w:t>
      </w:r>
      <w:r w:rsidR="00642768" w:rsidRPr="00677233">
        <w:rPr>
          <w:rFonts w:eastAsia="SimSun"/>
        </w:rPr>
        <w:t xml:space="preserve">ssistance mechanism and its interconnections with other </w:t>
      </w:r>
      <w:r w:rsidR="00415AF2" w:rsidRPr="00677233">
        <w:rPr>
          <w:rFonts w:eastAsia="SimSun"/>
        </w:rPr>
        <w:t xml:space="preserve">international cooperation </w:t>
      </w:r>
      <w:r w:rsidR="00642768" w:rsidRPr="00677233">
        <w:rPr>
          <w:rFonts w:eastAsia="SimSun"/>
        </w:rPr>
        <w:t xml:space="preserve">mechanisms of the Convention. </w:t>
      </w:r>
      <w:r w:rsidR="00564391">
        <w:rPr>
          <w:rFonts w:eastAsia="SimSun"/>
        </w:rPr>
        <w:t>T</w:t>
      </w:r>
      <w:r w:rsidR="00642768" w:rsidRPr="00677233">
        <w:rPr>
          <w:rFonts w:eastAsia="SimSun"/>
        </w:rPr>
        <w:t xml:space="preserve">he requests </w:t>
      </w:r>
      <w:r w:rsidRPr="00677233">
        <w:rPr>
          <w:rFonts w:eastAsia="SimSun"/>
        </w:rPr>
        <w:t>submitted by Egypt and Nepa</w:t>
      </w:r>
      <w:r w:rsidR="00231CDC" w:rsidRPr="00677233">
        <w:rPr>
          <w:rFonts w:eastAsia="SimSun"/>
        </w:rPr>
        <w:t>l</w:t>
      </w:r>
      <w:r w:rsidRPr="00677233">
        <w:rPr>
          <w:rFonts w:eastAsia="SimSun"/>
        </w:rPr>
        <w:t xml:space="preserve"> are </w:t>
      </w:r>
      <w:r w:rsidR="00415AF2" w:rsidRPr="00677233">
        <w:rPr>
          <w:rFonts w:eastAsia="SimSun"/>
        </w:rPr>
        <w:t xml:space="preserve">the result of </w:t>
      </w:r>
      <w:r w:rsidRPr="00677233">
        <w:rPr>
          <w:rFonts w:eastAsia="SimSun"/>
        </w:rPr>
        <w:t xml:space="preserve">the </w:t>
      </w:r>
      <w:r w:rsidR="00642768" w:rsidRPr="00677233">
        <w:rPr>
          <w:rFonts w:eastAsia="SimSun"/>
        </w:rPr>
        <w:t>p</w:t>
      </w:r>
      <w:r w:rsidRPr="00677233">
        <w:rPr>
          <w:rFonts w:eastAsia="SimSun"/>
        </w:rPr>
        <w:t>eriodic reporting</w:t>
      </w:r>
      <w:r w:rsidR="00415AF2" w:rsidRPr="00677233">
        <w:rPr>
          <w:rFonts w:eastAsia="SimSun"/>
        </w:rPr>
        <w:t xml:space="preserve"> exercise carried out by these countries </w:t>
      </w:r>
      <w:r w:rsidRPr="00677233">
        <w:rPr>
          <w:rFonts w:eastAsia="SimSun"/>
        </w:rPr>
        <w:t xml:space="preserve">under Article 29 of the Convention. </w:t>
      </w:r>
      <w:r w:rsidR="00642768" w:rsidRPr="00677233">
        <w:rPr>
          <w:rFonts w:eastAsia="SimSun"/>
        </w:rPr>
        <w:t xml:space="preserve">In the case of </w:t>
      </w:r>
      <w:r w:rsidR="00D22E25" w:rsidRPr="00677233">
        <w:rPr>
          <w:rFonts w:eastAsia="SimSun"/>
        </w:rPr>
        <w:t>Egypt</w:t>
      </w:r>
      <w:r w:rsidR="00642768" w:rsidRPr="00677233">
        <w:rPr>
          <w:rFonts w:eastAsia="SimSun"/>
        </w:rPr>
        <w:t>, the request</w:t>
      </w:r>
      <w:r w:rsidRPr="00677233">
        <w:rPr>
          <w:rFonts w:eastAsia="SimSun"/>
        </w:rPr>
        <w:t xml:space="preserve"> seeks to implement</w:t>
      </w:r>
      <w:r w:rsidR="00516420" w:rsidRPr="00677233">
        <w:rPr>
          <w:rFonts w:eastAsia="SimSun"/>
        </w:rPr>
        <w:t xml:space="preserve"> the </w:t>
      </w:r>
      <w:r w:rsidRPr="00677233">
        <w:rPr>
          <w:rFonts w:eastAsia="SimSun"/>
        </w:rPr>
        <w:t xml:space="preserve">measures </w:t>
      </w:r>
      <w:r w:rsidR="00642768" w:rsidRPr="00677233">
        <w:rPr>
          <w:rFonts w:eastAsia="SimSun"/>
        </w:rPr>
        <w:t xml:space="preserve">that were </w:t>
      </w:r>
      <w:r w:rsidRPr="00677233">
        <w:rPr>
          <w:rFonts w:eastAsia="SimSun"/>
        </w:rPr>
        <w:t xml:space="preserve">identified in the updated safeguarding plan </w:t>
      </w:r>
      <w:r w:rsidR="00147C82" w:rsidRPr="00677233">
        <w:rPr>
          <w:rFonts w:eastAsia="SimSun"/>
        </w:rPr>
        <w:t xml:space="preserve">outlined </w:t>
      </w:r>
      <w:r w:rsidRPr="00677233">
        <w:rPr>
          <w:rFonts w:eastAsia="SimSun"/>
        </w:rPr>
        <w:t xml:space="preserve">in </w:t>
      </w:r>
      <w:r w:rsidR="00D22E25" w:rsidRPr="00677233">
        <w:rPr>
          <w:rFonts w:eastAsia="SimSun"/>
        </w:rPr>
        <w:t xml:space="preserve">the </w:t>
      </w:r>
      <w:r w:rsidR="00BC7829" w:rsidRPr="00677233">
        <w:rPr>
          <w:rFonts w:eastAsia="SimSun"/>
        </w:rPr>
        <w:t>latest</w:t>
      </w:r>
      <w:r w:rsidR="003C1D64" w:rsidRPr="00677233">
        <w:rPr>
          <w:rFonts w:eastAsia="SimSun"/>
        </w:rPr>
        <w:t xml:space="preserve"> </w:t>
      </w:r>
      <w:hyperlink r:id="rId10" w:history="1">
        <w:r w:rsidR="00AC636E" w:rsidRPr="00677233">
          <w:rPr>
            <w:rStyle w:val="Lienhypertexte"/>
            <w:rFonts w:eastAsia="SimSun"/>
            <w:lang w:eastAsia="en-US"/>
          </w:rPr>
          <w:t xml:space="preserve">periodic </w:t>
        </w:r>
        <w:r w:rsidRPr="00677233">
          <w:rPr>
            <w:rStyle w:val="Lienhypertexte"/>
            <w:rFonts w:eastAsia="SimSun"/>
            <w:lang w:eastAsia="en-US"/>
          </w:rPr>
          <w:t>report</w:t>
        </w:r>
      </w:hyperlink>
      <w:r w:rsidRPr="00677233">
        <w:rPr>
          <w:rFonts w:eastAsia="SimSun"/>
        </w:rPr>
        <w:t xml:space="preserve"> </w:t>
      </w:r>
      <w:r w:rsidR="00D22E25" w:rsidRPr="00677233">
        <w:rPr>
          <w:rFonts w:eastAsia="SimSun"/>
        </w:rPr>
        <w:t>o</w:t>
      </w:r>
      <w:r w:rsidR="00516420" w:rsidRPr="00677233">
        <w:rPr>
          <w:rFonts w:eastAsia="SimSun"/>
        </w:rPr>
        <w:t>n</w:t>
      </w:r>
      <w:r w:rsidR="00D22E25" w:rsidRPr="00677233">
        <w:rPr>
          <w:rFonts w:eastAsia="SimSun"/>
        </w:rPr>
        <w:t xml:space="preserve"> ‘</w:t>
      </w:r>
      <w:r w:rsidR="00BC7829" w:rsidRPr="00677233">
        <w:rPr>
          <w:rFonts w:eastAsia="SimSun"/>
        </w:rPr>
        <w:t>Al-</w:t>
      </w:r>
      <w:proofErr w:type="spellStart"/>
      <w:r w:rsidR="00BC7829" w:rsidRPr="00677233">
        <w:rPr>
          <w:rFonts w:eastAsia="SimSun"/>
        </w:rPr>
        <w:t>Aragoz</w:t>
      </w:r>
      <w:proofErr w:type="spellEnd"/>
      <w:r w:rsidR="00BC7829" w:rsidRPr="00677233">
        <w:rPr>
          <w:rFonts w:eastAsia="SimSun"/>
        </w:rPr>
        <w:t xml:space="preserve"> traditional hand puppetry</w:t>
      </w:r>
      <w:r w:rsidR="00D22E25" w:rsidRPr="00677233">
        <w:rPr>
          <w:rFonts w:eastAsia="SimSun"/>
        </w:rPr>
        <w:t>’</w:t>
      </w:r>
      <w:r w:rsidR="00AC636E" w:rsidRPr="00677233">
        <w:rPr>
          <w:rFonts w:eastAsia="SimSun"/>
        </w:rPr>
        <w:t xml:space="preserve">, </w:t>
      </w:r>
      <w:r w:rsidR="00D22E25" w:rsidRPr="00677233">
        <w:rPr>
          <w:rFonts w:eastAsia="SimSun"/>
        </w:rPr>
        <w:t xml:space="preserve">submitted in </w:t>
      </w:r>
      <w:r w:rsidR="00182724" w:rsidRPr="00677233">
        <w:rPr>
          <w:rFonts w:eastAsia="SimSun"/>
        </w:rPr>
        <w:t xml:space="preserve">December </w:t>
      </w:r>
      <w:r w:rsidR="00D22E25" w:rsidRPr="00677233">
        <w:rPr>
          <w:rFonts w:eastAsia="SimSun"/>
        </w:rPr>
        <w:t xml:space="preserve">2022. </w:t>
      </w:r>
      <w:r w:rsidRPr="00677233">
        <w:rPr>
          <w:rFonts w:eastAsia="SimSun"/>
        </w:rPr>
        <w:t xml:space="preserve">Similarly, </w:t>
      </w:r>
      <w:r w:rsidR="00D22E25" w:rsidRPr="00677233">
        <w:rPr>
          <w:rFonts w:eastAsia="SimSun"/>
        </w:rPr>
        <w:t>Nepal</w:t>
      </w:r>
      <w:r w:rsidR="00516420" w:rsidRPr="00677233">
        <w:rPr>
          <w:rFonts w:eastAsia="SimSun"/>
        </w:rPr>
        <w:t xml:space="preserve">’s request </w:t>
      </w:r>
      <w:r w:rsidRPr="00677233">
        <w:rPr>
          <w:rFonts w:eastAsia="SimSun"/>
        </w:rPr>
        <w:t xml:space="preserve">was developed following a national consultation workshop </w:t>
      </w:r>
      <w:r w:rsidR="00E11FB7" w:rsidRPr="00677233">
        <w:rPr>
          <w:rFonts w:eastAsia="SimSun"/>
        </w:rPr>
        <w:t>organized in November 2024</w:t>
      </w:r>
      <w:r w:rsidR="00564391">
        <w:rPr>
          <w:rFonts w:eastAsia="SimSun"/>
        </w:rPr>
        <w:t>. The workshop, which focused on</w:t>
      </w:r>
      <w:r w:rsidR="00182724" w:rsidRPr="00677233">
        <w:rPr>
          <w:rFonts w:eastAsia="SimSun"/>
        </w:rPr>
        <w:t xml:space="preserve"> prepar</w:t>
      </w:r>
      <w:r w:rsidR="00564391">
        <w:rPr>
          <w:rFonts w:eastAsia="SimSun"/>
        </w:rPr>
        <w:t>ing</w:t>
      </w:r>
      <w:r w:rsidR="00182724" w:rsidRPr="00677233">
        <w:rPr>
          <w:rFonts w:eastAsia="SimSun"/>
        </w:rPr>
        <w:t xml:space="preserve"> the latest</w:t>
      </w:r>
      <w:r w:rsidR="00D22E25" w:rsidRPr="00677233">
        <w:rPr>
          <w:rFonts w:eastAsia="SimSun"/>
        </w:rPr>
        <w:t xml:space="preserve"> </w:t>
      </w:r>
      <w:r w:rsidR="00642768" w:rsidRPr="00677233">
        <w:rPr>
          <w:rFonts w:eastAsia="SimSun"/>
        </w:rPr>
        <w:t>p</w:t>
      </w:r>
      <w:r w:rsidRPr="00677233">
        <w:rPr>
          <w:rFonts w:eastAsia="SimSun"/>
        </w:rPr>
        <w:t>eriodic report</w:t>
      </w:r>
      <w:r w:rsidR="00182724" w:rsidRPr="00677233">
        <w:rPr>
          <w:rFonts w:eastAsia="SimSun"/>
        </w:rPr>
        <w:t xml:space="preserve"> </w:t>
      </w:r>
      <w:r w:rsidR="00564391">
        <w:rPr>
          <w:rFonts w:eastAsia="SimSun"/>
        </w:rPr>
        <w:t>(</w:t>
      </w:r>
      <w:r w:rsidR="00182724" w:rsidRPr="00677233">
        <w:rPr>
          <w:rFonts w:eastAsia="SimSun"/>
        </w:rPr>
        <w:t>submitted in December 2024</w:t>
      </w:r>
      <w:r w:rsidR="00564391">
        <w:rPr>
          <w:rFonts w:eastAsia="SimSun"/>
        </w:rPr>
        <w:t xml:space="preserve"> and currently under process),</w:t>
      </w:r>
      <w:r w:rsidR="00516420" w:rsidRPr="00677233">
        <w:rPr>
          <w:rFonts w:eastAsia="SimSun"/>
        </w:rPr>
        <w:t xml:space="preserve"> </w:t>
      </w:r>
      <w:r w:rsidRPr="00677233">
        <w:rPr>
          <w:rFonts w:eastAsia="SimSun"/>
        </w:rPr>
        <w:t>highlighted the need to strengthen capacit</w:t>
      </w:r>
      <w:r w:rsidR="00487536" w:rsidRPr="00677233">
        <w:rPr>
          <w:rFonts w:eastAsia="SimSun"/>
        </w:rPr>
        <w:t>ies</w:t>
      </w:r>
      <w:r w:rsidR="00516420" w:rsidRPr="00677233">
        <w:rPr>
          <w:rFonts w:eastAsia="SimSun"/>
        </w:rPr>
        <w:t xml:space="preserve"> </w:t>
      </w:r>
      <w:r w:rsidR="00487536" w:rsidRPr="00677233">
        <w:rPr>
          <w:rFonts w:eastAsia="SimSun"/>
        </w:rPr>
        <w:t>for</w:t>
      </w:r>
      <w:r w:rsidR="00516420" w:rsidRPr="00677233">
        <w:rPr>
          <w:rFonts w:eastAsia="SimSun"/>
        </w:rPr>
        <w:t xml:space="preserve"> c</w:t>
      </w:r>
      <w:r w:rsidRPr="00677233">
        <w:rPr>
          <w:rFonts w:eastAsia="SimSun"/>
        </w:rPr>
        <w:t>ommunity-based inventorying, particularly among indigenous communities.</w:t>
      </w:r>
    </w:p>
    <w:p w14:paraId="518C076C" w14:textId="119FF827" w:rsidR="003A243C" w:rsidRPr="00677233" w:rsidRDefault="00292930" w:rsidP="007E13B5">
      <w:pPr>
        <w:pStyle w:val="COMPara"/>
        <w:spacing w:before="120"/>
        <w:ind w:left="567" w:hanging="567"/>
        <w:jc w:val="both"/>
      </w:pPr>
      <w:r w:rsidRPr="00677233">
        <w:rPr>
          <w:rFonts w:eastAsia="SimSun"/>
        </w:rPr>
        <w:t>Furthermore, the requests submitted by Egypt and Uruguay demonstrat</w:t>
      </w:r>
      <w:r w:rsidR="00564391">
        <w:rPr>
          <w:rFonts w:eastAsia="SimSun"/>
        </w:rPr>
        <w:t>e</w:t>
      </w:r>
      <w:r w:rsidRPr="00677233">
        <w:rPr>
          <w:rFonts w:eastAsia="SimSun"/>
        </w:rPr>
        <w:t xml:space="preserve"> the </w:t>
      </w:r>
      <w:r w:rsidR="00564391">
        <w:rPr>
          <w:rFonts w:eastAsia="SimSun"/>
        </w:rPr>
        <w:t>relevance</w:t>
      </w:r>
      <w:r w:rsidRPr="00677233">
        <w:rPr>
          <w:rFonts w:eastAsia="SimSun"/>
        </w:rPr>
        <w:t xml:space="preserve"> of the </w:t>
      </w:r>
      <w:r w:rsidR="007E13B5" w:rsidRPr="00677233">
        <w:rPr>
          <w:rFonts w:eastAsia="SimSun"/>
        </w:rPr>
        <w:t xml:space="preserve">International </w:t>
      </w:r>
      <w:r w:rsidR="00562E35" w:rsidRPr="00677233">
        <w:rPr>
          <w:rFonts w:eastAsia="SimSun"/>
        </w:rPr>
        <w:t>A</w:t>
      </w:r>
      <w:r w:rsidR="007E13B5" w:rsidRPr="00677233">
        <w:rPr>
          <w:rFonts w:eastAsia="SimSun"/>
        </w:rPr>
        <w:t>ssistance</w:t>
      </w:r>
      <w:r w:rsidRPr="00677233">
        <w:rPr>
          <w:rFonts w:eastAsia="SimSun"/>
        </w:rPr>
        <w:t xml:space="preserve"> mechanism for</w:t>
      </w:r>
      <w:r w:rsidR="007E13B5" w:rsidRPr="00677233">
        <w:rPr>
          <w:rFonts w:eastAsia="SimSun"/>
        </w:rPr>
        <w:t xml:space="preserve"> the safeguarding of elements inscribed on the Lists of the Convention</w:t>
      </w:r>
      <w:r w:rsidR="002C7A67" w:rsidRPr="00677233">
        <w:rPr>
          <w:rFonts w:eastAsia="SimSun"/>
        </w:rPr>
        <w:t xml:space="preserve">. </w:t>
      </w:r>
      <w:r w:rsidR="00D22E25" w:rsidRPr="00677233">
        <w:rPr>
          <w:rFonts w:eastAsia="SimSun"/>
        </w:rPr>
        <w:t xml:space="preserve">The </w:t>
      </w:r>
      <w:r w:rsidR="00AC636E" w:rsidRPr="00677233">
        <w:rPr>
          <w:rFonts w:eastAsia="SimSun"/>
        </w:rPr>
        <w:t xml:space="preserve">project in </w:t>
      </w:r>
      <w:r w:rsidR="00D22E25" w:rsidRPr="00677233">
        <w:rPr>
          <w:rFonts w:eastAsia="SimSun"/>
        </w:rPr>
        <w:t xml:space="preserve">Egypt will </w:t>
      </w:r>
      <w:r w:rsidR="00BC7829" w:rsidRPr="00677233">
        <w:rPr>
          <w:rFonts w:eastAsia="SimSun"/>
        </w:rPr>
        <w:t xml:space="preserve">enhance the viability </w:t>
      </w:r>
      <w:r w:rsidR="00762C3B" w:rsidRPr="00677233">
        <w:rPr>
          <w:rFonts w:eastAsia="SimSun"/>
        </w:rPr>
        <w:t xml:space="preserve">of </w:t>
      </w:r>
      <w:hyperlink r:id="rId11" w:history="1">
        <w:r w:rsidR="00762C3B" w:rsidRPr="00677233">
          <w:rPr>
            <w:rStyle w:val="Lienhypertexte"/>
            <w:rFonts w:eastAsia="SimSun"/>
            <w:lang w:eastAsia="en-US"/>
          </w:rPr>
          <w:t>Traditional hand puppetry</w:t>
        </w:r>
      </w:hyperlink>
      <w:r w:rsidR="002C7A67" w:rsidRPr="00677233">
        <w:rPr>
          <w:rFonts w:eastAsia="SimSun"/>
        </w:rPr>
        <w:t xml:space="preserve">, </w:t>
      </w:r>
      <w:r w:rsidR="00D22E25" w:rsidRPr="00677233">
        <w:rPr>
          <w:rFonts w:eastAsia="SimSun"/>
        </w:rPr>
        <w:t>an element inscribed on the List of Intangible Cultural Heritage in Need of Urgent Safeguarding</w:t>
      </w:r>
      <w:r w:rsidR="00415AF2" w:rsidRPr="00677233">
        <w:rPr>
          <w:rFonts w:eastAsia="SimSun"/>
        </w:rPr>
        <w:t xml:space="preserve"> </w:t>
      </w:r>
      <w:r w:rsidR="00762C3B" w:rsidRPr="00677233">
        <w:rPr>
          <w:rFonts w:eastAsia="SimSun"/>
        </w:rPr>
        <w:t>in</w:t>
      </w:r>
      <w:r w:rsidR="00D22E25" w:rsidRPr="00677233">
        <w:rPr>
          <w:rFonts w:eastAsia="SimSun"/>
        </w:rPr>
        <w:t xml:space="preserve"> 2018</w:t>
      </w:r>
      <w:r w:rsidR="007E13B5" w:rsidRPr="00677233">
        <w:rPr>
          <w:rFonts w:eastAsia="SimSun"/>
        </w:rPr>
        <w:t>, while t</w:t>
      </w:r>
      <w:r w:rsidR="00D22E25" w:rsidRPr="00677233">
        <w:rPr>
          <w:rFonts w:eastAsia="SimSun"/>
        </w:rPr>
        <w:t xml:space="preserve">he request from Uruguay </w:t>
      </w:r>
      <w:r w:rsidR="00516420" w:rsidRPr="00677233">
        <w:rPr>
          <w:rFonts w:eastAsia="SimSun"/>
        </w:rPr>
        <w:t>aims to safeguard and promote</w:t>
      </w:r>
      <w:r w:rsidR="00BC7829" w:rsidRPr="00677233">
        <w:rPr>
          <w:rFonts w:eastAsia="SimSun"/>
        </w:rPr>
        <w:t xml:space="preserve"> several components of</w:t>
      </w:r>
      <w:r w:rsidR="00516420" w:rsidRPr="00677233">
        <w:rPr>
          <w:rFonts w:eastAsia="SimSun"/>
        </w:rPr>
        <w:t xml:space="preserve"> </w:t>
      </w:r>
      <w:hyperlink r:id="rId12" w:history="1">
        <w:r w:rsidR="00762C3B" w:rsidRPr="00677233">
          <w:rPr>
            <w:rStyle w:val="Lienhypertexte"/>
            <w:rFonts w:eastAsia="SimSun"/>
            <w:lang w:eastAsia="en-US"/>
          </w:rPr>
          <w:t>Tango</w:t>
        </w:r>
      </w:hyperlink>
      <w:r w:rsidR="00762C3B" w:rsidRPr="00677233">
        <w:rPr>
          <w:rFonts w:eastAsia="SimSun"/>
        </w:rPr>
        <w:t xml:space="preserve">, an element inscribed on the </w:t>
      </w:r>
      <w:r w:rsidR="002C7A67" w:rsidRPr="00677233">
        <w:rPr>
          <w:rFonts w:eastAsia="SimSun"/>
        </w:rPr>
        <w:t>Representative List of the Intangible Cultural Heritage of Humanity in 2009.</w:t>
      </w:r>
    </w:p>
    <w:p w14:paraId="5478E04C" w14:textId="0F377FE6" w:rsidR="00C17D1D" w:rsidRPr="00677233" w:rsidRDefault="00872F87" w:rsidP="002F5057">
      <w:pPr>
        <w:pStyle w:val="COMPara"/>
        <w:spacing w:before="120"/>
        <w:ind w:left="567" w:hanging="567"/>
        <w:jc w:val="both"/>
      </w:pPr>
      <w:r w:rsidRPr="00677233">
        <w:t xml:space="preserve">The Secretariat hereby forwards the </w:t>
      </w:r>
      <w:r w:rsidR="00E4771D" w:rsidRPr="00677233">
        <w:t xml:space="preserve">three </w:t>
      </w:r>
      <w:r w:rsidRPr="00677233">
        <w:t>request</w:t>
      </w:r>
      <w:r w:rsidR="00E4771D" w:rsidRPr="00677233">
        <w:t>s</w:t>
      </w:r>
      <w:r w:rsidRPr="00677233">
        <w:t xml:space="preserve"> for International Assistance to the Bureau, along with a draft decision incorporating the Secretariat’s assessment of how </w:t>
      </w:r>
      <w:r w:rsidR="00855473" w:rsidRPr="00677233">
        <w:t>each</w:t>
      </w:r>
      <w:r w:rsidR="00233842" w:rsidRPr="00677233">
        <w:t xml:space="preserve"> </w:t>
      </w:r>
      <w:r w:rsidRPr="00677233">
        <w:t>request responds to the eligibility and selection criteria set out in Chapter I.4 of the Operational Directives. The International Assistance request</w:t>
      </w:r>
      <w:r w:rsidR="00E4771D" w:rsidRPr="00677233">
        <w:t>s</w:t>
      </w:r>
      <w:r w:rsidRPr="00677233">
        <w:t xml:space="preserve"> in question </w:t>
      </w:r>
      <w:r w:rsidR="00855473" w:rsidRPr="00677233">
        <w:t>are</w:t>
      </w:r>
      <w:r w:rsidR="00233842" w:rsidRPr="00677233">
        <w:t xml:space="preserve"> </w:t>
      </w:r>
      <w:r w:rsidRPr="00677233">
        <w:t xml:space="preserve">available online, in English and French </w:t>
      </w:r>
      <w:r w:rsidR="00F97169" w:rsidRPr="00677233">
        <w:t>at</w:t>
      </w:r>
      <w:r w:rsidRPr="00677233">
        <w:t xml:space="preserve"> </w:t>
      </w:r>
      <w:hyperlink r:id="rId13" w:history="1">
        <w:r w:rsidR="00C17D1D" w:rsidRPr="00677233">
          <w:rPr>
            <w:rStyle w:val="Lienhypertexte"/>
            <w:lang w:eastAsia="en-US"/>
          </w:rPr>
          <w:t>https://ich.unesco.org/en/20com-bureau</w:t>
        </w:r>
      </w:hyperlink>
      <w:r w:rsidR="00C17D1D" w:rsidRPr="00677233">
        <w:t xml:space="preserve">. </w:t>
      </w:r>
    </w:p>
    <w:p w14:paraId="27123446" w14:textId="08BC476B" w:rsidR="00125677" w:rsidRPr="00677233" w:rsidRDefault="00125677" w:rsidP="00125677">
      <w:pPr>
        <w:pStyle w:val="NoSpacing1"/>
        <w:keepNext/>
        <w:numPr>
          <w:ilvl w:val="0"/>
          <w:numId w:val="24"/>
        </w:numPr>
        <w:tabs>
          <w:tab w:val="left" w:pos="567"/>
        </w:tabs>
        <w:spacing w:before="360" w:after="240"/>
        <w:ind w:left="567" w:hanging="567"/>
        <w:jc w:val="both"/>
        <w:outlineLvl w:val="0"/>
        <w:rPr>
          <w:b/>
        </w:rPr>
      </w:pPr>
      <w:r w:rsidRPr="00677233">
        <w:rPr>
          <w:rFonts w:ascii="Arial" w:hAnsi="Arial" w:cs="Arial"/>
          <w:b/>
        </w:rPr>
        <w:t>Draft decision</w:t>
      </w:r>
      <w:r w:rsidR="00FD1E19" w:rsidRPr="00677233">
        <w:rPr>
          <w:rFonts w:ascii="Arial" w:hAnsi="Arial" w:cs="Arial"/>
          <w:b/>
        </w:rPr>
        <w:t>s</w:t>
      </w:r>
    </w:p>
    <w:p w14:paraId="50D3EAFF" w14:textId="26F1E04D" w:rsidR="00D95C4C" w:rsidRPr="00677233" w:rsidRDefault="000B1C8F" w:rsidP="00C17D1D">
      <w:pPr>
        <w:pStyle w:val="COMPara"/>
        <w:ind w:left="567" w:hanging="567"/>
      </w:pPr>
      <w:r w:rsidRPr="00677233">
        <w:t xml:space="preserve">The </w:t>
      </w:r>
      <w:r w:rsidR="00AF70EC" w:rsidRPr="00677233">
        <w:t>Bureau</w:t>
      </w:r>
      <w:r w:rsidRPr="00677233">
        <w:t xml:space="preserve"> </w:t>
      </w:r>
      <w:r w:rsidR="0075329E" w:rsidRPr="00677233">
        <w:t xml:space="preserve">of the Intergovernmental Committee </w:t>
      </w:r>
      <w:r w:rsidRPr="00677233">
        <w:t>may wish to adopt the following decision</w:t>
      </w:r>
      <w:r w:rsidR="00E4771D" w:rsidRPr="00677233">
        <w:t>s</w:t>
      </w:r>
      <w:r w:rsidR="00D95C4C" w:rsidRPr="00677233">
        <w:t>:</w:t>
      </w:r>
    </w:p>
    <w:p w14:paraId="12A3E2A8" w14:textId="31FE89BD" w:rsidR="00387A4C" w:rsidRPr="00677233" w:rsidRDefault="00387A4C" w:rsidP="00387A4C">
      <w:pPr>
        <w:pStyle w:val="COMTitleDecision"/>
        <w:ind w:left="0"/>
      </w:pPr>
      <w:bookmarkStart w:id="1" w:name="_Hlk208907423"/>
      <w:r w:rsidRPr="00677233">
        <w:t>DRAFT DECISION 20.COM 4.BUR </w:t>
      </w:r>
      <w:r w:rsidR="005F60F3">
        <w:t>3.1</w:t>
      </w:r>
      <w:r w:rsidRPr="00677233">
        <w:tab/>
      </w:r>
      <w:r w:rsidRPr="00677233">
        <w:tab/>
      </w:r>
      <w:r w:rsidRPr="00677233">
        <w:rPr>
          <w:noProof/>
        </w:rPr>
        <w:drawing>
          <wp:inline distT="0" distB="0" distL="0" distR="0" wp14:anchorId="2C1EEEC4" wp14:editId="39BAA5FA">
            <wp:extent cx="104140" cy="104140"/>
            <wp:effectExtent l="0" t="0" r="0" b="0"/>
            <wp:docPr id="1168664618"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343B036D" w14:textId="77777777" w:rsidR="00387A4C" w:rsidRPr="00677233" w:rsidRDefault="00387A4C" w:rsidP="00387A4C">
      <w:pPr>
        <w:keepNext/>
        <w:spacing w:before="120" w:after="120"/>
        <w:jc w:val="both"/>
        <w:rPr>
          <w:rFonts w:asciiTheme="minorBidi" w:hAnsiTheme="minorBidi" w:cstheme="minorBidi"/>
          <w:sz w:val="22"/>
          <w:szCs w:val="22"/>
        </w:rPr>
      </w:pPr>
      <w:r w:rsidRPr="00677233">
        <w:rPr>
          <w:rFonts w:asciiTheme="minorBidi" w:hAnsiTheme="minorBidi" w:cstheme="minorBidi"/>
          <w:sz w:val="22"/>
          <w:szCs w:val="22"/>
        </w:rPr>
        <w:t>The Bureau,</w:t>
      </w:r>
    </w:p>
    <w:p w14:paraId="56FF2F82" w14:textId="5FB68DCA"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Recalling</w:t>
      </w:r>
      <w:r w:rsidRPr="00677233">
        <w:rPr>
          <w:rFonts w:asciiTheme="minorBidi" w:hAnsiTheme="minorBidi" w:cstheme="minorBidi"/>
          <w:sz w:val="22"/>
          <w:szCs w:val="22"/>
        </w:rPr>
        <w:t xml:space="preserve"> Chapter V of the Convention as well as Chapter I.4 of the Operational Directives relating to the eligibility and </w:t>
      </w:r>
      <w:r w:rsidR="00B64EB9">
        <w:rPr>
          <w:rFonts w:asciiTheme="minorBidi" w:hAnsiTheme="minorBidi" w:cstheme="minorBidi"/>
          <w:sz w:val="22"/>
          <w:szCs w:val="22"/>
        </w:rPr>
        <w:t xml:space="preserve">selection </w:t>
      </w:r>
      <w:r w:rsidRPr="00677233">
        <w:rPr>
          <w:rFonts w:asciiTheme="minorBidi" w:hAnsiTheme="minorBidi" w:cstheme="minorBidi"/>
          <w:sz w:val="22"/>
          <w:szCs w:val="22"/>
        </w:rPr>
        <w:t>criteria of International Assistance requests,</w:t>
      </w:r>
    </w:p>
    <w:p w14:paraId="16CE6FF0" w14:textId="304A86B0"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Having examined</w:t>
      </w:r>
      <w:r w:rsidRPr="00677233">
        <w:rPr>
          <w:rFonts w:asciiTheme="minorBidi" w:hAnsiTheme="minorBidi" w:cstheme="minorBidi"/>
          <w:sz w:val="22"/>
          <w:szCs w:val="22"/>
        </w:rPr>
        <w:t xml:space="preserve"> document </w:t>
      </w:r>
      <w:r w:rsidRPr="000921DE">
        <w:rPr>
          <w:rFonts w:asciiTheme="minorBidi" w:hAnsiTheme="minorBidi" w:cstheme="minorBidi"/>
          <w:sz w:val="22"/>
          <w:szCs w:val="22"/>
        </w:rPr>
        <w:t>LHE/25/20.COM 4.BUR/</w:t>
      </w:r>
      <w:r w:rsidR="005F60F3">
        <w:rPr>
          <w:rFonts w:asciiTheme="minorBidi" w:hAnsiTheme="minorBidi" w:cstheme="minorBidi"/>
          <w:sz w:val="22"/>
          <w:szCs w:val="22"/>
        </w:rPr>
        <w:t>3</w:t>
      </w:r>
      <w:r w:rsidRPr="00677233">
        <w:rPr>
          <w:rFonts w:asciiTheme="minorBidi" w:hAnsiTheme="minorBidi" w:cstheme="minorBidi"/>
          <w:sz w:val="22"/>
          <w:szCs w:val="22"/>
        </w:rPr>
        <w:t xml:space="preserve"> as well as International Assistance request no. 02460 submitted by Egypt,</w:t>
      </w:r>
    </w:p>
    <w:p w14:paraId="08A8F846" w14:textId="18FDDAD8"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Takes note</w:t>
      </w:r>
      <w:r w:rsidRPr="00677233">
        <w:rPr>
          <w:rFonts w:asciiTheme="minorBidi" w:hAnsiTheme="minorBidi" w:cstheme="minorBidi"/>
          <w:sz w:val="22"/>
          <w:szCs w:val="22"/>
        </w:rPr>
        <w:t xml:space="preserve"> that Egypt has requested International Assistance for the project entitled </w:t>
      </w:r>
      <w:r w:rsidRPr="00677233">
        <w:rPr>
          <w:rFonts w:asciiTheme="minorBidi" w:hAnsiTheme="minorBidi" w:cstheme="minorBidi"/>
          <w:b/>
          <w:bCs/>
          <w:sz w:val="22"/>
          <w:szCs w:val="22"/>
        </w:rPr>
        <w:t>Safeguarding and capacity</w:t>
      </w:r>
      <w:r w:rsidR="00564391">
        <w:rPr>
          <w:rFonts w:asciiTheme="minorBidi" w:hAnsiTheme="minorBidi" w:cstheme="minorBidi"/>
          <w:b/>
          <w:bCs/>
          <w:sz w:val="22"/>
          <w:szCs w:val="22"/>
        </w:rPr>
        <w:t>-</w:t>
      </w:r>
      <w:r w:rsidRPr="00677233">
        <w:rPr>
          <w:rFonts w:asciiTheme="minorBidi" w:hAnsiTheme="minorBidi" w:cstheme="minorBidi"/>
          <w:b/>
          <w:bCs/>
          <w:sz w:val="22"/>
          <w:szCs w:val="22"/>
        </w:rPr>
        <w:t>building for the intangible cultural heritage of Al-</w:t>
      </w:r>
      <w:proofErr w:type="spellStart"/>
      <w:r w:rsidRPr="00677233">
        <w:rPr>
          <w:rFonts w:asciiTheme="minorBidi" w:hAnsiTheme="minorBidi" w:cstheme="minorBidi"/>
          <w:b/>
          <w:bCs/>
          <w:sz w:val="22"/>
          <w:szCs w:val="22"/>
        </w:rPr>
        <w:t>Aragoz</w:t>
      </w:r>
      <w:proofErr w:type="spellEnd"/>
      <w:r w:rsidRPr="00677233">
        <w:rPr>
          <w:rFonts w:asciiTheme="minorBidi" w:hAnsiTheme="minorBidi" w:cstheme="minorBidi"/>
          <w:b/>
          <w:bCs/>
          <w:sz w:val="22"/>
          <w:szCs w:val="22"/>
        </w:rPr>
        <w:t xml:space="preserve"> traditional hand puppetry in Egypt</w:t>
      </w:r>
      <w:r w:rsidRPr="00677233">
        <w:rPr>
          <w:rFonts w:asciiTheme="minorBidi" w:hAnsiTheme="minorBidi" w:cstheme="minorBidi"/>
          <w:bCs/>
          <w:sz w:val="22"/>
          <w:szCs w:val="22"/>
        </w:rPr>
        <w:t>:</w:t>
      </w:r>
    </w:p>
    <w:p w14:paraId="55493DBD" w14:textId="31BBF418" w:rsidR="00387A4C" w:rsidRPr="00677233" w:rsidRDefault="00387A4C" w:rsidP="00626514">
      <w:pPr>
        <w:ind w:left="567"/>
        <w:jc w:val="both"/>
        <w:rPr>
          <w:rFonts w:asciiTheme="minorBidi" w:hAnsiTheme="minorBidi" w:cstheme="minorBidi"/>
          <w:sz w:val="22"/>
          <w:szCs w:val="22"/>
        </w:rPr>
      </w:pPr>
      <w:r w:rsidRPr="00677233">
        <w:rPr>
          <w:rFonts w:asciiTheme="minorBidi" w:hAnsiTheme="minorBidi" w:cstheme="minorBidi"/>
          <w:sz w:val="22"/>
          <w:szCs w:val="22"/>
        </w:rPr>
        <w:t>To be implemented by the Cultural Development Fund, this twenty-four-month project aims to revitalize and safeguard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traditional hand puppetry through documentation, training and capacity-building. </w:t>
      </w:r>
      <w:r w:rsidR="003C7F8F" w:rsidRPr="00677233">
        <w:rPr>
          <w:rFonts w:asciiTheme="minorBidi" w:hAnsiTheme="minorBidi" w:cstheme="minorBidi"/>
          <w:sz w:val="22"/>
          <w:szCs w:val="22"/>
        </w:rPr>
        <w:t xml:space="preserve">The project </w:t>
      </w:r>
      <w:r w:rsidR="003C7F8F" w:rsidRPr="00677233">
        <w:rPr>
          <w:rFonts w:asciiTheme="minorBidi" w:hAnsiTheme="minorBidi" w:cstheme="minorBidi"/>
          <w:bCs/>
          <w:sz w:val="22"/>
          <w:szCs w:val="22"/>
        </w:rPr>
        <w:t xml:space="preserve">seeks to implement the updated safeguarding plan outlined in the latest </w:t>
      </w:r>
      <w:hyperlink r:id="rId16" w:history="1">
        <w:r w:rsidR="003C7F8F" w:rsidRPr="00677233">
          <w:rPr>
            <w:rStyle w:val="Lienhypertexte"/>
            <w:rFonts w:asciiTheme="minorBidi" w:hAnsiTheme="minorBidi" w:cstheme="minorBidi"/>
            <w:bCs/>
            <w:sz w:val="22"/>
            <w:szCs w:val="22"/>
            <w:lang w:eastAsia="fr-FR"/>
          </w:rPr>
          <w:t>periodic report</w:t>
        </w:r>
      </w:hyperlink>
      <w:r w:rsidR="003C7F8F" w:rsidRPr="00677233">
        <w:rPr>
          <w:rFonts w:asciiTheme="minorBidi" w:hAnsiTheme="minorBidi" w:cstheme="minorBidi"/>
          <w:bCs/>
          <w:sz w:val="22"/>
          <w:szCs w:val="22"/>
        </w:rPr>
        <w:t xml:space="preserve"> submitted by Egypt</w:t>
      </w:r>
      <w:r w:rsidR="003C7F8F" w:rsidRPr="00677233">
        <w:rPr>
          <w:rFonts w:asciiTheme="minorBidi" w:hAnsiTheme="minorBidi" w:cstheme="minorBidi"/>
          <w:sz w:val="22"/>
          <w:szCs w:val="22"/>
        </w:rPr>
        <w:t xml:space="preserve"> on the </w:t>
      </w:r>
      <w:r w:rsidR="00211997" w:rsidRPr="00677233">
        <w:rPr>
          <w:rFonts w:asciiTheme="minorBidi" w:hAnsiTheme="minorBidi" w:cstheme="minorBidi"/>
          <w:sz w:val="22"/>
          <w:szCs w:val="22"/>
        </w:rPr>
        <w:t xml:space="preserve">element ‘Traditional hand puppetry’ inscribed in 2018 on the </w:t>
      </w:r>
      <w:r w:rsidR="00564391" w:rsidRPr="00564391">
        <w:rPr>
          <w:rFonts w:asciiTheme="minorBidi" w:hAnsiTheme="minorBidi" w:cstheme="minorBidi"/>
          <w:sz w:val="22"/>
          <w:szCs w:val="22"/>
        </w:rPr>
        <w:t>List of Intangible Cultural Heritage in Need of Urgent Safeguarding</w:t>
      </w:r>
      <w:r w:rsidR="00211997" w:rsidRPr="00677233">
        <w:rPr>
          <w:rFonts w:asciiTheme="minorBidi" w:hAnsiTheme="minorBidi" w:cstheme="minorBidi"/>
          <w:sz w:val="22"/>
          <w:szCs w:val="22"/>
        </w:rPr>
        <w:t xml:space="preserve">. </w:t>
      </w:r>
      <w:r w:rsidRPr="00677233">
        <w:rPr>
          <w:rFonts w:asciiTheme="minorBidi" w:hAnsiTheme="minorBidi" w:cstheme="minorBidi"/>
          <w:sz w:val="22"/>
          <w:szCs w:val="22"/>
        </w:rPr>
        <w:t>Historically performed by traveling artists,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performances were a staple of religious celebrations and public gatherings, primarily entertaining and educating children. Today, the number of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practitioners has significantly declined due to multiple factors, including the aging and passing of master performers, especially during the COVID-19 pandemic, and the lack of skill transmission to younger generations. Project activities include conducting workshops for new performers, training artisans in puppet-making, documenting traditional knowledge, and enhancing the educational and social functions of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such as by partnering with the Ministry of Education to integrate performances into primary school programmes. The project will also involve creating a permanent exhibition hall for traditional puppetry and organizing an international conference on the topic of traditional puppetry to exchange experiences between researchers, scholars, practitioners and puppet-makers. </w:t>
      </w:r>
      <w:r w:rsidR="00626514" w:rsidRPr="00677233">
        <w:rPr>
          <w:rFonts w:asciiTheme="minorBidi" w:hAnsiTheme="minorBidi" w:cstheme="minorBidi"/>
          <w:sz w:val="22"/>
          <w:szCs w:val="22"/>
        </w:rPr>
        <w:t>The request further indicates promotional and awareness-raising outputs, including a dedicated website, brochures</w:t>
      </w:r>
      <w:r w:rsidR="000111EF" w:rsidRPr="00677233">
        <w:rPr>
          <w:rFonts w:asciiTheme="minorBidi" w:hAnsiTheme="minorBidi" w:cstheme="minorBidi"/>
          <w:sz w:val="22"/>
          <w:szCs w:val="22"/>
        </w:rPr>
        <w:t xml:space="preserve"> and</w:t>
      </w:r>
      <w:r w:rsidR="00626514" w:rsidRPr="00677233">
        <w:rPr>
          <w:rFonts w:asciiTheme="minorBidi" w:hAnsiTheme="minorBidi" w:cstheme="minorBidi"/>
          <w:sz w:val="22"/>
          <w:szCs w:val="22"/>
        </w:rPr>
        <w:t xml:space="preserve"> catalogues</w:t>
      </w:r>
      <w:r w:rsidR="000111EF" w:rsidRPr="00677233">
        <w:rPr>
          <w:rFonts w:asciiTheme="minorBidi" w:hAnsiTheme="minorBidi" w:cstheme="minorBidi"/>
          <w:sz w:val="22"/>
          <w:szCs w:val="22"/>
        </w:rPr>
        <w:t>, as well as</w:t>
      </w:r>
      <w:r w:rsidR="00626514" w:rsidRPr="00677233">
        <w:rPr>
          <w:rFonts w:asciiTheme="minorBidi" w:hAnsiTheme="minorBidi" w:cstheme="minorBidi"/>
          <w:sz w:val="22"/>
          <w:szCs w:val="22"/>
        </w:rPr>
        <w:t xml:space="preserve"> a </w:t>
      </w:r>
      <w:r w:rsidR="001C769F" w:rsidRPr="00677233">
        <w:rPr>
          <w:rFonts w:asciiTheme="minorBidi" w:hAnsiTheme="minorBidi" w:cstheme="minorBidi"/>
          <w:sz w:val="22"/>
          <w:szCs w:val="22"/>
        </w:rPr>
        <w:t>short</w:t>
      </w:r>
      <w:r w:rsidR="00626514" w:rsidRPr="00677233">
        <w:rPr>
          <w:rFonts w:asciiTheme="minorBidi" w:hAnsiTheme="minorBidi" w:cstheme="minorBidi"/>
          <w:sz w:val="22"/>
          <w:szCs w:val="22"/>
        </w:rPr>
        <w:t xml:space="preserve"> documentary subtitled in Arabic and English.</w:t>
      </w:r>
      <w:r w:rsidR="000111EF" w:rsidRPr="00677233">
        <w:rPr>
          <w:rFonts w:asciiTheme="minorBidi" w:hAnsiTheme="minorBidi" w:cstheme="minorBidi"/>
          <w:sz w:val="22"/>
          <w:szCs w:val="22"/>
        </w:rPr>
        <w:t xml:space="preserve"> </w:t>
      </w:r>
      <w:r w:rsidRPr="00677233">
        <w:rPr>
          <w:rFonts w:asciiTheme="minorBidi" w:hAnsiTheme="minorBidi" w:cstheme="minorBidi"/>
          <w:sz w:val="22"/>
          <w:szCs w:val="22"/>
        </w:rPr>
        <w:t>In addition to recogni</w:t>
      </w:r>
      <w:r w:rsidR="00B64EB9">
        <w:rPr>
          <w:rFonts w:asciiTheme="minorBidi" w:hAnsiTheme="minorBidi" w:cstheme="minorBidi"/>
          <w:sz w:val="22"/>
          <w:szCs w:val="22"/>
        </w:rPr>
        <w:t>zing</w:t>
      </w:r>
      <w:r w:rsidRPr="00677233">
        <w:rPr>
          <w:rFonts w:asciiTheme="minorBidi" w:hAnsiTheme="minorBidi" w:cstheme="minorBidi"/>
          <w:sz w:val="22"/>
          <w:szCs w:val="22"/>
        </w:rPr>
        <w:t xml:space="preserve"> </w:t>
      </w:r>
      <w:r w:rsidR="000B57DE" w:rsidRPr="00677233">
        <w:rPr>
          <w:rFonts w:asciiTheme="minorBidi" w:hAnsiTheme="minorBidi" w:cstheme="minorBidi"/>
          <w:sz w:val="22"/>
          <w:szCs w:val="22"/>
        </w:rPr>
        <w:t xml:space="preserve">the importance of </w:t>
      </w:r>
      <w:r w:rsidRPr="00677233">
        <w:rPr>
          <w:rFonts w:asciiTheme="minorBidi" w:hAnsiTheme="minorBidi" w:cstheme="minorBidi"/>
          <w:sz w:val="22"/>
          <w:szCs w:val="22"/>
        </w:rPr>
        <w:t>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this project is expected to illustrate how traditional arts can be revitalized, modernized and financially sustained, thus encouraging governmental, private sector and civil society organizations to invest in similar efforts for other endangered cultural</w:t>
      </w:r>
      <w:r w:rsidR="000B57DE" w:rsidRPr="00677233">
        <w:rPr>
          <w:rFonts w:asciiTheme="minorBidi" w:hAnsiTheme="minorBidi" w:cstheme="minorBidi"/>
          <w:sz w:val="22"/>
          <w:szCs w:val="22"/>
        </w:rPr>
        <w:t xml:space="preserve"> practices</w:t>
      </w:r>
      <w:r w:rsidRPr="00677233">
        <w:rPr>
          <w:rFonts w:asciiTheme="minorBidi" w:hAnsiTheme="minorBidi" w:cstheme="minorBidi"/>
          <w:sz w:val="22"/>
          <w:szCs w:val="22"/>
        </w:rPr>
        <w:t>.</w:t>
      </w:r>
    </w:p>
    <w:p w14:paraId="75D27138" w14:textId="77777777" w:rsidR="00387A4C" w:rsidRPr="00677233" w:rsidRDefault="00387A4C" w:rsidP="00387A4C">
      <w:pPr>
        <w:numPr>
          <w:ilvl w:val="0"/>
          <w:numId w:val="25"/>
        </w:numPr>
        <w:spacing w:before="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Further takes note</w:t>
      </w:r>
      <w:r w:rsidRPr="00677233">
        <w:rPr>
          <w:rFonts w:asciiTheme="minorBidi" w:hAnsiTheme="minorBidi" w:cstheme="minorBidi"/>
          <w:sz w:val="22"/>
          <w:szCs w:val="22"/>
        </w:rPr>
        <w:t xml:space="preserve"> that this assistance aims to support a project implemented at the national level, in accordance with Article 20 (c) of the Convention, and that it takes the form of the </w:t>
      </w:r>
      <w:r w:rsidRPr="00677233">
        <w:rPr>
          <w:rFonts w:asciiTheme="minorBidi" w:hAnsiTheme="minorBidi" w:cstheme="minorBidi"/>
          <w:b/>
          <w:bCs/>
          <w:sz w:val="22"/>
          <w:szCs w:val="22"/>
        </w:rPr>
        <w:t>provision of a grant</w:t>
      </w:r>
      <w:r w:rsidRPr="00677233">
        <w:rPr>
          <w:rFonts w:asciiTheme="minorBidi" w:hAnsiTheme="minorBidi" w:cstheme="minorBidi"/>
          <w:sz w:val="22"/>
          <w:szCs w:val="22"/>
        </w:rPr>
        <w:t xml:space="preserve">, pursuant to Article 21 (g) of the </w:t>
      </w:r>
      <w:proofErr w:type="gramStart"/>
      <w:r w:rsidRPr="00677233">
        <w:rPr>
          <w:rFonts w:asciiTheme="minorBidi" w:hAnsiTheme="minorBidi" w:cstheme="minorBidi"/>
          <w:sz w:val="22"/>
          <w:szCs w:val="22"/>
        </w:rPr>
        <w:t>Convention;</w:t>
      </w:r>
      <w:proofErr w:type="gramEnd"/>
    </w:p>
    <w:p w14:paraId="254E7153" w14:textId="77777777" w:rsidR="00387A4C" w:rsidRPr="00677233" w:rsidRDefault="00387A4C" w:rsidP="00387A4C">
      <w:pPr>
        <w:keepNext/>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Also takes note</w:t>
      </w:r>
      <w:r w:rsidRPr="00677233">
        <w:rPr>
          <w:rFonts w:asciiTheme="minorBidi" w:hAnsiTheme="minorBidi" w:cstheme="minorBidi"/>
          <w:sz w:val="22"/>
          <w:szCs w:val="22"/>
        </w:rPr>
        <w:t xml:space="preserve"> that Egypt has requested an allocation of US$99,840 from the Intangible Cultural Heritage Fund for the implementation of the </w:t>
      </w:r>
      <w:proofErr w:type="gramStart"/>
      <w:r w:rsidRPr="00677233">
        <w:rPr>
          <w:rFonts w:asciiTheme="minorBidi" w:hAnsiTheme="minorBidi" w:cstheme="minorBidi"/>
          <w:sz w:val="22"/>
          <w:szCs w:val="22"/>
        </w:rPr>
        <w:t>project;</w:t>
      </w:r>
      <w:proofErr w:type="gramEnd"/>
    </w:p>
    <w:p w14:paraId="4D5E39EB" w14:textId="77777777"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Decides</w:t>
      </w:r>
      <w:r w:rsidRPr="00677233">
        <w:rPr>
          <w:rFonts w:asciiTheme="minorBidi" w:hAnsiTheme="minorBidi" w:cstheme="minorBidi"/>
          <w:sz w:val="22"/>
          <w:szCs w:val="22"/>
        </w:rPr>
        <w:t xml:space="preserve"> that, from the information provided in file no. 02460, the request responds as follows to the criteria for granting International Assistance given in paragraphs 10 and 12 of the Operational Directives:</w:t>
      </w:r>
    </w:p>
    <w:p w14:paraId="32E0D220" w14:textId="67C07EAE" w:rsidR="00387A4C" w:rsidRPr="00677233" w:rsidRDefault="00387A4C" w:rsidP="00626514">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A.1</w:t>
      </w:r>
      <w:r w:rsidRPr="00677233">
        <w:rPr>
          <w:rFonts w:asciiTheme="minorBidi" w:hAnsiTheme="minorBidi" w:cstheme="minorBidi"/>
          <w:b/>
          <w:bCs/>
          <w:sz w:val="22"/>
          <w:szCs w:val="22"/>
        </w:rPr>
        <w:t xml:space="preserve">: </w:t>
      </w:r>
      <w:r w:rsidRPr="00677233">
        <w:rPr>
          <w:rFonts w:asciiTheme="minorBidi" w:hAnsiTheme="minorBidi" w:cstheme="minorBidi"/>
          <w:bCs/>
          <w:sz w:val="22"/>
          <w:szCs w:val="22"/>
        </w:rPr>
        <w:t>The communities concerned, including master puppeteers and artisans, have participated in the elaboration of the request</w:t>
      </w:r>
      <w:r w:rsidR="005A1029" w:rsidRPr="00677233">
        <w:rPr>
          <w:rFonts w:asciiTheme="minorBidi" w:hAnsiTheme="minorBidi" w:cstheme="minorBidi"/>
          <w:bCs/>
          <w:sz w:val="22"/>
          <w:szCs w:val="22"/>
        </w:rPr>
        <w:t>.</w:t>
      </w:r>
      <w:r w:rsidRPr="00677233">
        <w:rPr>
          <w:rFonts w:asciiTheme="minorBidi" w:hAnsiTheme="minorBidi" w:cstheme="minorBidi"/>
          <w:bCs/>
          <w:sz w:val="22"/>
          <w:szCs w:val="22"/>
        </w:rPr>
        <w:t xml:space="preserve"> Their contributions were instrumental in identifying community safeguarding needs and priorities, helping to shape the proposed activities. During the project implementation, practitioners and bearers will contribute to the design of the training modules, lead training activities and participate in the public performances. Historically, this practice has been led by men, with no women currently recognized as bearers or practitioners. </w:t>
      </w:r>
      <w:proofErr w:type="gramStart"/>
      <w:r w:rsidR="00CD5896" w:rsidRPr="00677233">
        <w:rPr>
          <w:rFonts w:asciiTheme="minorBidi" w:hAnsiTheme="minorBidi" w:cstheme="minorBidi"/>
          <w:bCs/>
          <w:sz w:val="22"/>
          <w:szCs w:val="22"/>
        </w:rPr>
        <w:t>T</w:t>
      </w:r>
      <w:r w:rsidR="00D54D72" w:rsidRPr="00677233">
        <w:rPr>
          <w:rFonts w:asciiTheme="minorBidi" w:hAnsiTheme="minorBidi" w:cstheme="minorBidi"/>
          <w:bCs/>
          <w:sz w:val="22"/>
          <w:szCs w:val="22"/>
        </w:rPr>
        <w:t>aking into account</w:t>
      </w:r>
      <w:proofErr w:type="gramEnd"/>
      <w:r w:rsidR="00D54D72" w:rsidRPr="00677233">
        <w:rPr>
          <w:rFonts w:asciiTheme="minorBidi" w:hAnsiTheme="minorBidi" w:cstheme="minorBidi"/>
          <w:bCs/>
          <w:sz w:val="22"/>
          <w:szCs w:val="22"/>
        </w:rPr>
        <w:t xml:space="preserve"> the changing social contexts</w:t>
      </w:r>
      <w:r w:rsidR="00CD5896" w:rsidRPr="00677233">
        <w:rPr>
          <w:rFonts w:asciiTheme="minorBidi" w:hAnsiTheme="minorBidi" w:cstheme="minorBidi"/>
          <w:bCs/>
          <w:sz w:val="22"/>
          <w:szCs w:val="22"/>
        </w:rPr>
        <w:t xml:space="preserve"> and readiness of the communities concerned</w:t>
      </w:r>
      <w:r w:rsidRPr="00677233">
        <w:rPr>
          <w:rFonts w:asciiTheme="minorBidi" w:hAnsiTheme="minorBidi" w:cstheme="minorBidi"/>
          <w:bCs/>
          <w:sz w:val="22"/>
          <w:szCs w:val="22"/>
        </w:rPr>
        <w:t>, the project will adopt a</w:t>
      </w:r>
      <w:r w:rsidR="00D54D72" w:rsidRPr="00677233">
        <w:rPr>
          <w:rFonts w:asciiTheme="minorBidi" w:hAnsiTheme="minorBidi" w:cstheme="minorBidi"/>
          <w:bCs/>
          <w:sz w:val="22"/>
          <w:szCs w:val="22"/>
        </w:rPr>
        <w:t>n</w:t>
      </w:r>
      <w:r w:rsidRPr="00677233">
        <w:rPr>
          <w:rFonts w:asciiTheme="minorBidi" w:hAnsiTheme="minorBidi" w:cstheme="minorBidi"/>
          <w:bCs/>
          <w:sz w:val="22"/>
          <w:szCs w:val="22"/>
        </w:rPr>
        <w:t xml:space="preserve"> inclusive and gender-balanced approach, with women constituting at least 50 per cent of the trainees in all the training areas. This measure aims to ensure that women are empowered to become future bearers of </w:t>
      </w:r>
      <w:r w:rsidR="00F921C2" w:rsidRPr="00677233">
        <w:rPr>
          <w:rFonts w:asciiTheme="minorBidi" w:hAnsiTheme="minorBidi" w:cstheme="minorBidi"/>
          <w:bCs/>
          <w:sz w:val="22"/>
          <w:szCs w:val="22"/>
        </w:rPr>
        <w:t>this practice</w:t>
      </w:r>
      <w:r w:rsidRPr="00677233">
        <w:rPr>
          <w:rFonts w:asciiTheme="minorBidi" w:hAnsiTheme="minorBidi" w:cstheme="minorBidi"/>
          <w:bCs/>
          <w:sz w:val="22"/>
          <w:szCs w:val="22"/>
        </w:rPr>
        <w:t xml:space="preserve">. </w:t>
      </w:r>
      <w:r w:rsidR="00626514" w:rsidRPr="00677233">
        <w:rPr>
          <w:rFonts w:asciiTheme="minorBidi" w:hAnsiTheme="minorBidi" w:cstheme="minorBidi"/>
          <w:bCs/>
          <w:sz w:val="22"/>
          <w:szCs w:val="22"/>
        </w:rPr>
        <w:t>The request also indicates the participation of non-governmental organizations with experience in safeguarding Al-</w:t>
      </w:r>
      <w:proofErr w:type="spellStart"/>
      <w:r w:rsidR="00626514" w:rsidRPr="00677233">
        <w:rPr>
          <w:rFonts w:asciiTheme="minorBidi" w:hAnsiTheme="minorBidi" w:cstheme="minorBidi"/>
          <w:bCs/>
          <w:sz w:val="22"/>
          <w:szCs w:val="22"/>
        </w:rPr>
        <w:t>Aragoz</w:t>
      </w:r>
      <w:proofErr w:type="spellEnd"/>
      <w:r w:rsidR="00626514" w:rsidRPr="00677233">
        <w:rPr>
          <w:rFonts w:asciiTheme="minorBidi" w:hAnsiTheme="minorBidi" w:cstheme="minorBidi"/>
          <w:bCs/>
          <w:sz w:val="22"/>
          <w:szCs w:val="22"/>
        </w:rPr>
        <w:t xml:space="preserve"> in </w:t>
      </w:r>
      <w:r w:rsidR="009E6CE9" w:rsidRPr="00677233">
        <w:rPr>
          <w:rFonts w:asciiTheme="minorBidi" w:hAnsiTheme="minorBidi" w:cstheme="minorBidi"/>
          <w:bCs/>
          <w:sz w:val="22"/>
          <w:szCs w:val="22"/>
        </w:rPr>
        <w:t xml:space="preserve">the </w:t>
      </w:r>
      <w:r w:rsidR="00626514" w:rsidRPr="00677233">
        <w:rPr>
          <w:rFonts w:asciiTheme="minorBidi" w:hAnsiTheme="minorBidi" w:cstheme="minorBidi"/>
          <w:bCs/>
          <w:sz w:val="22"/>
          <w:szCs w:val="22"/>
        </w:rPr>
        <w:t>training and community outreach components</w:t>
      </w:r>
      <w:r w:rsidR="009E6CE9" w:rsidRPr="00677233">
        <w:rPr>
          <w:rFonts w:asciiTheme="minorBidi" w:hAnsiTheme="minorBidi" w:cstheme="minorBidi"/>
          <w:bCs/>
          <w:sz w:val="22"/>
          <w:szCs w:val="22"/>
        </w:rPr>
        <w:t>.</w:t>
      </w:r>
    </w:p>
    <w:p w14:paraId="75E9E2B9" w14:textId="5A9147D3" w:rsidR="00387A4C" w:rsidRPr="00677233" w:rsidRDefault="00387A4C" w:rsidP="00387A4C">
      <w:pPr>
        <w:spacing w:before="120" w:after="120"/>
        <w:ind w:left="567"/>
        <w:jc w:val="both"/>
        <w:rPr>
          <w:rFonts w:asciiTheme="minorBidi" w:hAnsiTheme="minorBidi" w:cstheme="minorBidi"/>
          <w:bCs/>
          <w:sz w:val="22"/>
          <w:szCs w:val="22"/>
        </w:rPr>
      </w:pPr>
      <w:r w:rsidRPr="00677233">
        <w:rPr>
          <w:rFonts w:asciiTheme="minorBidi" w:hAnsiTheme="minorBidi" w:cstheme="minorBidi"/>
          <w:b/>
          <w:sz w:val="22"/>
          <w:szCs w:val="22"/>
        </w:rPr>
        <w:t>Criterion A.2</w:t>
      </w:r>
      <w:r w:rsidRPr="00677233">
        <w:rPr>
          <w:rFonts w:asciiTheme="minorBidi" w:hAnsiTheme="minorBidi" w:cstheme="minorBidi"/>
          <w:b/>
          <w:bCs/>
          <w:sz w:val="22"/>
          <w:szCs w:val="22"/>
        </w:rPr>
        <w:t>:</w:t>
      </w:r>
      <w:r w:rsidRPr="00677233">
        <w:rPr>
          <w:rFonts w:asciiTheme="minorBidi" w:hAnsiTheme="minorBidi" w:cstheme="minorBidi"/>
          <w:bCs/>
          <w:sz w:val="22"/>
          <w:szCs w:val="22"/>
        </w:rPr>
        <w:t xml:space="preserve"> The budget breakdown and the proposed timetable are well structured and in line with the activities described in the request. The amount of assistance requested is deemed appropriate</w:t>
      </w:r>
      <w:r w:rsidR="000111EF" w:rsidRPr="00677233">
        <w:rPr>
          <w:rFonts w:asciiTheme="minorBidi" w:hAnsiTheme="minorBidi" w:cstheme="minorBidi"/>
          <w:bCs/>
          <w:sz w:val="22"/>
          <w:szCs w:val="22"/>
        </w:rPr>
        <w:t xml:space="preserve"> </w:t>
      </w:r>
      <w:r w:rsidR="00CD5896" w:rsidRPr="00677233">
        <w:rPr>
          <w:rFonts w:asciiTheme="minorBidi" w:hAnsiTheme="minorBidi" w:cstheme="minorBidi"/>
          <w:bCs/>
          <w:sz w:val="22"/>
          <w:szCs w:val="22"/>
        </w:rPr>
        <w:t xml:space="preserve">in relation </w:t>
      </w:r>
      <w:r w:rsidR="000111EF" w:rsidRPr="00677233">
        <w:rPr>
          <w:rFonts w:asciiTheme="minorBidi" w:hAnsiTheme="minorBidi" w:cstheme="minorBidi"/>
          <w:bCs/>
          <w:sz w:val="22"/>
          <w:szCs w:val="22"/>
        </w:rPr>
        <w:t>to the scope and duration</w:t>
      </w:r>
      <w:r w:rsidR="000B57DE" w:rsidRPr="00677233">
        <w:rPr>
          <w:rFonts w:asciiTheme="minorBidi" w:hAnsiTheme="minorBidi" w:cstheme="minorBidi"/>
          <w:bCs/>
          <w:sz w:val="22"/>
          <w:szCs w:val="22"/>
        </w:rPr>
        <w:t xml:space="preserve"> of the project</w:t>
      </w:r>
      <w:r w:rsidRPr="00677233">
        <w:rPr>
          <w:rFonts w:asciiTheme="minorBidi" w:hAnsiTheme="minorBidi" w:cstheme="minorBidi"/>
          <w:bCs/>
          <w:sz w:val="22"/>
          <w:szCs w:val="22"/>
        </w:rPr>
        <w:t>.</w:t>
      </w:r>
    </w:p>
    <w:p w14:paraId="28ABCFE4" w14:textId="43427BA1" w:rsidR="00387A4C" w:rsidRPr="00677233" w:rsidRDefault="00387A4C" w:rsidP="00387A4C">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A.3</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The proposed activities are coherent and aligned with </w:t>
      </w:r>
      <w:r w:rsidR="00544CED">
        <w:rPr>
          <w:rFonts w:asciiTheme="minorBidi" w:hAnsiTheme="minorBidi" w:cstheme="minorBidi"/>
          <w:sz w:val="22"/>
          <w:szCs w:val="22"/>
        </w:rPr>
        <w:t xml:space="preserve">the </w:t>
      </w:r>
      <w:r w:rsidRPr="00677233">
        <w:rPr>
          <w:rFonts w:asciiTheme="minorBidi" w:hAnsiTheme="minorBidi" w:cstheme="minorBidi"/>
          <w:sz w:val="22"/>
          <w:szCs w:val="22"/>
        </w:rPr>
        <w:t xml:space="preserve">objectives and expected results of the project. </w:t>
      </w:r>
      <w:r w:rsidR="00544CED">
        <w:rPr>
          <w:rFonts w:asciiTheme="minorBidi" w:hAnsiTheme="minorBidi" w:cstheme="minorBidi"/>
          <w:sz w:val="22"/>
          <w:szCs w:val="22"/>
        </w:rPr>
        <w:t>The activities entail</w:t>
      </w:r>
      <w:r w:rsidRPr="00677233">
        <w:rPr>
          <w:rFonts w:asciiTheme="minorBidi" w:hAnsiTheme="minorBidi" w:cstheme="minorBidi"/>
          <w:sz w:val="22"/>
          <w:szCs w:val="22"/>
        </w:rPr>
        <w:t xml:space="preserve"> stakeholder meetings, documentation, capacity</w:t>
      </w:r>
      <w:r w:rsidR="00544CED">
        <w:rPr>
          <w:rFonts w:asciiTheme="minorBidi" w:hAnsiTheme="minorBidi" w:cstheme="minorBidi"/>
          <w:sz w:val="22"/>
          <w:szCs w:val="22"/>
        </w:rPr>
        <w:t>-</w:t>
      </w:r>
      <w:r w:rsidRPr="00677233">
        <w:rPr>
          <w:rFonts w:asciiTheme="minorBidi" w:hAnsiTheme="minorBidi" w:cstheme="minorBidi"/>
          <w:sz w:val="22"/>
          <w:szCs w:val="22"/>
        </w:rPr>
        <w:t>building, public performances,</w:t>
      </w:r>
      <w:r w:rsidR="00544CED">
        <w:rPr>
          <w:rFonts w:asciiTheme="minorBidi" w:hAnsiTheme="minorBidi" w:cstheme="minorBidi"/>
          <w:sz w:val="22"/>
          <w:szCs w:val="22"/>
        </w:rPr>
        <w:t xml:space="preserve"> the</w:t>
      </w:r>
      <w:r w:rsidRPr="00677233">
        <w:rPr>
          <w:rFonts w:asciiTheme="minorBidi" w:hAnsiTheme="minorBidi" w:cstheme="minorBidi"/>
          <w:sz w:val="22"/>
          <w:szCs w:val="22"/>
        </w:rPr>
        <w:t xml:space="preserve"> establishment of an exhibition hall for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w:t>
      </w:r>
      <w:r w:rsidR="00544CED">
        <w:rPr>
          <w:rFonts w:asciiTheme="minorBidi" w:hAnsiTheme="minorBidi" w:cstheme="minorBidi"/>
          <w:sz w:val="22"/>
          <w:szCs w:val="22"/>
        </w:rPr>
        <w:t xml:space="preserve">an </w:t>
      </w:r>
      <w:r w:rsidRPr="00677233">
        <w:rPr>
          <w:rFonts w:asciiTheme="minorBidi" w:hAnsiTheme="minorBidi" w:cstheme="minorBidi"/>
          <w:sz w:val="22"/>
          <w:szCs w:val="22"/>
        </w:rPr>
        <w:t xml:space="preserve">awareness-raising campaign, an international conference and project monitoring. </w:t>
      </w:r>
    </w:p>
    <w:p w14:paraId="62531AE5" w14:textId="7F01CBEB" w:rsidR="00387A4C" w:rsidRPr="00677233" w:rsidRDefault="00387A4C" w:rsidP="00387A4C">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A.4</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Overall, the project intends to facilitate the implementation of some of the safeguarding measures </w:t>
      </w:r>
      <w:r w:rsidR="00F921C2" w:rsidRPr="00677233">
        <w:rPr>
          <w:rFonts w:asciiTheme="minorBidi" w:hAnsiTheme="minorBidi" w:cstheme="minorBidi"/>
          <w:sz w:val="22"/>
          <w:szCs w:val="22"/>
        </w:rPr>
        <w:t>identified</w:t>
      </w:r>
      <w:r w:rsidRPr="00677233">
        <w:rPr>
          <w:rFonts w:asciiTheme="minorBidi" w:hAnsiTheme="minorBidi" w:cstheme="minorBidi"/>
          <w:sz w:val="22"/>
          <w:szCs w:val="22"/>
        </w:rPr>
        <w:t xml:space="preserve"> </w:t>
      </w:r>
      <w:r w:rsidR="00F921C2" w:rsidRPr="00677233">
        <w:rPr>
          <w:rFonts w:asciiTheme="minorBidi" w:hAnsiTheme="minorBidi" w:cstheme="minorBidi"/>
          <w:sz w:val="22"/>
          <w:szCs w:val="22"/>
        </w:rPr>
        <w:t xml:space="preserve">in </w:t>
      </w:r>
      <w:r w:rsidR="000B57DE" w:rsidRPr="00677233">
        <w:rPr>
          <w:rFonts w:asciiTheme="minorBidi" w:hAnsiTheme="minorBidi" w:cstheme="minorBidi"/>
          <w:sz w:val="22"/>
          <w:szCs w:val="22"/>
        </w:rPr>
        <w:t xml:space="preserve">the </w:t>
      </w:r>
      <w:r w:rsidR="00F921C2" w:rsidRPr="00677233">
        <w:rPr>
          <w:rFonts w:asciiTheme="minorBidi" w:hAnsiTheme="minorBidi" w:cstheme="minorBidi"/>
          <w:sz w:val="22"/>
          <w:szCs w:val="22"/>
        </w:rPr>
        <w:t xml:space="preserve">latest </w:t>
      </w:r>
      <w:hyperlink r:id="rId17" w:history="1">
        <w:r w:rsidRPr="00677233">
          <w:rPr>
            <w:rStyle w:val="Lienhypertexte"/>
            <w:rFonts w:asciiTheme="minorBidi" w:hAnsiTheme="minorBidi" w:cstheme="minorBidi"/>
            <w:sz w:val="22"/>
            <w:szCs w:val="22"/>
          </w:rPr>
          <w:t>periodic report</w:t>
        </w:r>
      </w:hyperlink>
      <w:r w:rsidRPr="00677233">
        <w:rPr>
          <w:rFonts w:asciiTheme="minorBidi" w:hAnsiTheme="minorBidi" w:cstheme="minorBidi"/>
          <w:sz w:val="22"/>
          <w:szCs w:val="22"/>
        </w:rPr>
        <w:t xml:space="preserve"> </w:t>
      </w:r>
      <w:r w:rsidR="00F921C2" w:rsidRPr="00677233">
        <w:rPr>
          <w:rFonts w:asciiTheme="minorBidi" w:hAnsiTheme="minorBidi" w:cstheme="minorBidi"/>
          <w:sz w:val="22"/>
          <w:szCs w:val="22"/>
        </w:rPr>
        <w:t xml:space="preserve">on the status of the </w:t>
      </w:r>
      <w:r w:rsidR="00677A60" w:rsidRPr="00677233">
        <w:rPr>
          <w:rFonts w:asciiTheme="minorBidi" w:hAnsiTheme="minorBidi" w:cstheme="minorBidi"/>
          <w:sz w:val="22"/>
          <w:szCs w:val="22"/>
        </w:rPr>
        <w:t xml:space="preserve">inscribed </w:t>
      </w:r>
      <w:hyperlink r:id="rId18" w:history="1">
        <w:r w:rsidR="00F921C2" w:rsidRPr="00677233">
          <w:rPr>
            <w:rStyle w:val="Lienhypertexte"/>
            <w:rFonts w:asciiTheme="minorBidi" w:hAnsiTheme="minorBidi" w:cstheme="minorBidi"/>
            <w:sz w:val="22"/>
            <w:szCs w:val="22"/>
            <w:lang w:eastAsia="fr-FR"/>
          </w:rPr>
          <w:t>element</w:t>
        </w:r>
      </w:hyperlink>
      <w:r w:rsidR="00F921C2" w:rsidRPr="00677233">
        <w:rPr>
          <w:rFonts w:asciiTheme="minorBidi" w:hAnsiTheme="minorBidi" w:cstheme="minorBidi"/>
          <w:sz w:val="22"/>
          <w:szCs w:val="22"/>
        </w:rPr>
        <w:t xml:space="preserve"> </w:t>
      </w:r>
      <w:r w:rsidRPr="00677233">
        <w:rPr>
          <w:rFonts w:asciiTheme="minorBidi" w:hAnsiTheme="minorBidi" w:cstheme="minorBidi"/>
          <w:sz w:val="22"/>
          <w:szCs w:val="22"/>
        </w:rPr>
        <w:t>submitted in 2022. Activities are designed to address the threats to the element, such as the decline of the number of bearers and practitioners, the loss of transmission chains and the lack of documentation and research. The awareness-raising campaign and the exhibition hall will contribute to increasing the recognition of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at the institutional and national levels. In addition, the project entails the organization of approximatively fifty public performances in schools and cultural centres in Cairo, Alexandria and Upper Egypt. The shows will bring together more tha</w:t>
      </w:r>
      <w:r w:rsidR="00F452E4" w:rsidRPr="00677233">
        <w:rPr>
          <w:rFonts w:asciiTheme="minorBidi" w:hAnsiTheme="minorBidi" w:cstheme="minorBidi"/>
          <w:sz w:val="22"/>
          <w:szCs w:val="22"/>
        </w:rPr>
        <w:t>n</w:t>
      </w:r>
      <w:r w:rsidRPr="00677233">
        <w:rPr>
          <w:rFonts w:asciiTheme="minorBidi" w:hAnsiTheme="minorBidi" w:cstheme="minorBidi"/>
          <w:sz w:val="22"/>
          <w:szCs w:val="22"/>
        </w:rPr>
        <w:t xml:space="preserve"> </w:t>
      </w:r>
      <w:r w:rsidR="00544CED">
        <w:rPr>
          <w:rFonts w:asciiTheme="minorBidi" w:hAnsiTheme="minorBidi" w:cstheme="minorBidi"/>
          <w:sz w:val="22"/>
          <w:szCs w:val="22"/>
        </w:rPr>
        <w:t>15,000</w:t>
      </w:r>
      <w:r w:rsidRPr="00677233">
        <w:rPr>
          <w:rFonts w:asciiTheme="minorBidi" w:hAnsiTheme="minorBidi" w:cstheme="minorBidi"/>
          <w:sz w:val="22"/>
          <w:szCs w:val="22"/>
        </w:rPr>
        <w:t xml:space="preserve"> people</w:t>
      </w:r>
      <w:r w:rsidR="00544CED">
        <w:rPr>
          <w:rFonts w:asciiTheme="minorBidi" w:hAnsiTheme="minorBidi" w:cstheme="minorBidi"/>
          <w:sz w:val="22"/>
          <w:szCs w:val="22"/>
        </w:rPr>
        <w:t>,</w:t>
      </w:r>
      <w:r w:rsidRPr="00677233">
        <w:rPr>
          <w:rFonts w:asciiTheme="minorBidi" w:hAnsiTheme="minorBidi" w:cstheme="minorBidi"/>
          <w:sz w:val="22"/>
          <w:szCs w:val="22"/>
        </w:rPr>
        <w:t xml:space="preserve"> </w:t>
      </w:r>
      <w:r w:rsidR="00544CED">
        <w:rPr>
          <w:rFonts w:asciiTheme="minorBidi" w:hAnsiTheme="minorBidi" w:cstheme="minorBidi"/>
          <w:sz w:val="22"/>
          <w:szCs w:val="22"/>
        </w:rPr>
        <w:t xml:space="preserve">raising general awareness of the element while </w:t>
      </w:r>
      <w:r w:rsidRPr="00677233">
        <w:rPr>
          <w:rFonts w:asciiTheme="minorBidi" w:hAnsiTheme="minorBidi" w:cstheme="minorBidi"/>
          <w:sz w:val="22"/>
          <w:szCs w:val="22"/>
        </w:rPr>
        <w:t>offering</w:t>
      </w:r>
      <w:r w:rsidR="00544CED">
        <w:rPr>
          <w:rFonts w:asciiTheme="minorBidi" w:hAnsiTheme="minorBidi" w:cstheme="minorBidi"/>
          <w:sz w:val="22"/>
          <w:szCs w:val="22"/>
        </w:rPr>
        <w:t xml:space="preserve"> the public, including</w:t>
      </w:r>
      <w:r w:rsidRPr="00677233">
        <w:rPr>
          <w:rFonts w:asciiTheme="minorBidi" w:hAnsiTheme="minorBidi" w:cstheme="minorBidi"/>
          <w:sz w:val="22"/>
          <w:szCs w:val="22"/>
        </w:rPr>
        <w:t xml:space="preserve"> families</w:t>
      </w:r>
      <w:r w:rsidR="00544CED">
        <w:rPr>
          <w:rFonts w:asciiTheme="minorBidi" w:hAnsiTheme="minorBidi" w:cstheme="minorBidi"/>
          <w:sz w:val="22"/>
          <w:szCs w:val="22"/>
        </w:rPr>
        <w:t xml:space="preserve"> and</w:t>
      </w:r>
      <w:r w:rsidRPr="00677233">
        <w:rPr>
          <w:rFonts w:asciiTheme="minorBidi" w:hAnsiTheme="minorBidi" w:cstheme="minorBidi"/>
          <w:sz w:val="22"/>
          <w:szCs w:val="22"/>
        </w:rPr>
        <w:t xml:space="preserve"> children</w:t>
      </w:r>
      <w:r w:rsidR="00544CED">
        <w:rPr>
          <w:rFonts w:asciiTheme="minorBidi" w:hAnsiTheme="minorBidi" w:cstheme="minorBidi"/>
          <w:sz w:val="22"/>
          <w:szCs w:val="22"/>
        </w:rPr>
        <w:t>,</w:t>
      </w:r>
      <w:r w:rsidRPr="00677233">
        <w:rPr>
          <w:rFonts w:asciiTheme="minorBidi" w:hAnsiTheme="minorBidi" w:cstheme="minorBidi"/>
          <w:sz w:val="22"/>
          <w:szCs w:val="22"/>
        </w:rPr>
        <w:t xml:space="preserve"> the opportunity to appreciate </w:t>
      </w:r>
      <w:r w:rsidR="00544CED">
        <w:rPr>
          <w:rFonts w:asciiTheme="minorBidi" w:hAnsiTheme="minorBidi" w:cstheme="minorBidi"/>
          <w:sz w:val="22"/>
          <w:szCs w:val="22"/>
        </w:rPr>
        <w:t>it</w:t>
      </w:r>
      <w:r w:rsidRPr="00677233">
        <w:rPr>
          <w:rFonts w:asciiTheme="minorBidi" w:hAnsiTheme="minorBidi" w:cstheme="minorBidi"/>
          <w:sz w:val="22"/>
          <w:szCs w:val="22"/>
        </w:rPr>
        <w:t xml:space="preserve">. Through </w:t>
      </w:r>
      <w:r w:rsidR="00F921C2" w:rsidRPr="00677233">
        <w:rPr>
          <w:rFonts w:asciiTheme="minorBidi" w:hAnsiTheme="minorBidi" w:cstheme="minorBidi"/>
          <w:sz w:val="22"/>
          <w:szCs w:val="22"/>
        </w:rPr>
        <w:t>a varied</w:t>
      </w:r>
      <w:r w:rsidRPr="00677233">
        <w:rPr>
          <w:rFonts w:asciiTheme="minorBidi" w:hAnsiTheme="minorBidi" w:cstheme="minorBidi"/>
          <w:sz w:val="22"/>
          <w:szCs w:val="22"/>
        </w:rPr>
        <w:t xml:space="preserve"> range of activities, the project aims </w:t>
      </w:r>
      <w:r w:rsidR="000B57DE" w:rsidRPr="00677233">
        <w:rPr>
          <w:rFonts w:asciiTheme="minorBidi" w:hAnsiTheme="minorBidi" w:cstheme="minorBidi"/>
          <w:sz w:val="22"/>
          <w:szCs w:val="22"/>
        </w:rPr>
        <w:t xml:space="preserve">to </w:t>
      </w:r>
      <w:r w:rsidRPr="00677233">
        <w:rPr>
          <w:rFonts w:asciiTheme="minorBidi" w:hAnsiTheme="minorBidi" w:cstheme="minorBidi"/>
          <w:sz w:val="22"/>
          <w:szCs w:val="22"/>
        </w:rPr>
        <w:t>ensure the viability and visibility of the element, while enhancing its social function</w:t>
      </w:r>
      <w:r w:rsidR="000B57DE" w:rsidRPr="00677233">
        <w:rPr>
          <w:rFonts w:asciiTheme="minorBidi" w:hAnsiTheme="minorBidi" w:cstheme="minorBidi"/>
          <w:sz w:val="22"/>
          <w:szCs w:val="22"/>
        </w:rPr>
        <w:t>s</w:t>
      </w:r>
      <w:r w:rsidR="00F921C2" w:rsidRPr="00677233">
        <w:rPr>
          <w:rFonts w:asciiTheme="minorBidi" w:hAnsiTheme="minorBidi" w:cstheme="minorBidi"/>
          <w:sz w:val="22"/>
          <w:szCs w:val="22"/>
        </w:rPr>
        <w:t xml:space="preserve"> in the </w:t>
      </w:r>
      <w:r w:rsidR="00544CED">
        <w:rPr>
          <w:rFonts w:asciiTheme="minorBidi" w:hAnsiTheme="minorBidi" w:cstheme="minorBidi"/>
          <w:sz w:val="22"/>
          <w:szCs w:val="22"/>
        </w:rPr>
        <w:t>current</w:t>
      </w:r>
      <w:r w:rsidR="00F921C2" w:rsidRPr="00677233">
        <w:rPr>
          <w:rFonts w:asciiTheme="minorBidi" w:hAnsiTheme="minorBidi" w:cstheme="minorBidi"/>
          <w:sz w:val="22"/>
          <w:szCs w:val="22"/>
        </w:rPr>
        <w:t xml:space="preserve"> context</w:t>
      </w:r>
      <w:r w:rsidRPr="00677233">
        <w:rPr>
          <w:rFonts w:asciiTheme="minorBidi" w:hAnsiTheme="minorBidi" w:cstheme="minorBidi"/>
          <w:sz w:val="22"/>
          <w:szCs w:val="22"/>
        </w:rPr>
        <w:t>. Furthermore, trainees will be equipped with entrepreneurship skills to launch their own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-related ventures.</w:t>
      </w:r>
    </w:p>
    <w:p w14:paraId="293B9E75" w14:textId="6466EC79" w:rsidR="00387A4C" w:rsidRPr="00677233" w:rsidRDefault="00387A4C" w:rsidP="00387A4C">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A.5</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The requesting State Party will contribute 25 per cent (US$33,690) of the total amount of the project budget (US$133,530). Consequently, International Assistance is requested from the Intangible Cultural Heritage Fund for the remaining 75 per cent of the total amount of the project.</w:t>
      </w:r>
    </w:p>
    <w:p w14:paraId="6F3AAB1E" w14:textId="0F3FC13A" w:rsidR="00387A4C" w:rsidRPr="00677233" w:rsidRDefault="00387A4C" w:rsidP="00387A4C">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A.6</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The project aims to strengthen the capacities of communities to ensure the transmission of skills and knowledge associated with Al-</w:t>
      </w:r>
      <w:proofErr w:type="spellStart"/>
      <w:r w:rsidRPr="00677233">
        <w:rPr>
          <w:rFonts w:asciiTheme="minorBidi" w:hAnsiTheme="minorBidi" w:cstheme="minorBidi"/>
          <w:sz w:val="22"/>
          <w:szCs w:val="22"/>
        </w:rPr>
        <w:t>Aragoz</w:t>
      </w:r>
      <w:proofErr w:type="spellEnd"/>
      <w:r w:rsidRPr="00677233">
        <w:rPr>
          <w:rFonts w:asciiTheme="minorBidi" w:hAnsiTheme="minorBidi" w:cstheme="minorBidi"/>
          <w:sz w:val="22"/>
          <w:szCs w:val="22"/>
        </w:rPr>
        <w:t xml:space="preserve"> to future generations. During the capacity-building programme, sixty individuals will receive training in various areas related to this element</w:t>
      </w:r>
      <w:r w:rsidR="00544CED">
        <w:rPr>
          <w:rFonts w:asciiTheme="minorBidi" w:hAnsiTheme="minorBidi" w:cstheme="minorBidi"/>
          <w:sz w:val="22"/>
          <w:szCs w:val="22"/>
        </w:rPr>
        <w:t xml:space="preserve">, </w:t>
      </w:r>
      <w:proofErr w:type="gramStart"/>
      <w:r w:rsidR="00544CED">
        <w:rPr>
          <w:rFonts w:asciiTheme="minorBidi" w:hAnsiTheme="minorBidi" w:cstheme="minorBidi"/>
          <w:sz w:val="22"/>
          <w:szCs w:val="22"/>
        </w:rPr>
        <w:t>from</w:t>
      </w:r>
      <w:r w:rsidRPr="00677233">
        <w:rPr>
          <w:rFonts w:asciiTheme="minorBidi" w:hAnsiTheme="minorBidi" w:cstheme="minorBidi"/>
          <w:sz w:val="22"/>
          <w:szCs w:val="22"/>
        </w:rPr>
        <w:t xml:space="preserve"> puppet manipulation,</w:t>
      </w:r>
      <w:proofErr w:type="gramEnd"/>
      <w:r w:rsidRPr="00677233">
        <w:rPr>
          <w:rFonts w:asciiTheme="minorBidi" w:hAnsiTheme="minorBidi" w:cstheme="minorBidi"/>
          <w:sz w:val="22"/>
          <w:szCs w:val="22"/>
        </w:rPr>
        <w:t xml:space="preserve"> </w:t>
      </w:r>
      <w:r w:rsidR="00544CED">
        <w:rPr>
          <w:rFonts w:asciiTheme="minorBidi" w:hAnsiTheme="minorBidi" w:cstheme="minorBidi"/>
          <w:sz w:val="22"/>
          <w:szCs w:val="22"/>
        </w:rPr>
        <w:t xml:space="preserve">to </w:t>
      </w:r>
      <w:r w:rsidRPr="00677233">
        <w:rPr>
          <w:rFonts w:asciiTheme="minorBidi" w:hAnsiTheme="minorBidi" w:cstheme="minorBidi"/>
          <w:sz w:val="22"/>
          <w:szCs w:val="22"/>
        </w:rPr>
        <w:t>voice modulation (‘Al-Amana'), improvisation, storytelling and cultural entrepreneurship</w:t>
      </w:r>
      <w:r w:rsidR="00544CED">
        <w:rPr>
          <w:rFonts w:asciiTheme="minorBidi" w:hAnsiTheme="minorBidi" w:cstheme="minorBidi"/>
          <w:sz w:val="22"/>
          <w:szCs w:val="22"/>
        </w:rPr>
        <w:t>.</w:t>
      </w:r>
      <w:r w:rsidRPr="00677233">
        <w:rPr>
          <w:rFonts w:asciiTheme="minorBidi" w:hAnsiTheme="minorBidi" w:cstheme="minorBidi"/>
          <w:sz w:val="22"/>
          <w:szCs w:val="22"/>
        </w:rPr>
        <w:t xml:space="preserve"> </w:t>
      </w:r>
      <w:r w:rsidR="00544CED">
        <w:rPr>
          <w:rFonts w:asciiTheme="minorBidi" w:hAnsiTheme="minorBidi" w:cstheme="minorBidi"/>
          <w:sz w:val="22"/>
          <w:szCs w:val="22"/>
        </w:rPr>
        <w:t>A</w:t>
      </w:r>
      <w:r w:rsidRPr="00677233">
        <w:rPr>
          <w:rFonts w:asciiTheme="minorBidi" w:hAnsiTheme="minorBidi" w:cstheme="minorBidi"/>
          <w:sz w:val="22"/>
          <w:szCs w:val="22"/>
        </w:rPr>
        <w:t>rtisans will</w:t>
      </w:r>
      <w:r w:rsidR="00544CED">
        <w:rPr>
          <w:rFonts w:asciiTheme="minorBidi" w:hAnsiTheme="minorBidi" w:cstheme="minorBidi"/>
          <w:sz w:val="22"/>
          <w:szCs w:val="22"/>
        </w:rPr>
        <w:t xml:space="preserve"> also</w:t>
      </w:r>
      <w:r w:rsidRPr="00677233">
        <w:rPr>
          <w:rFonts w:asciiTheme="minorBidi" w:hAnsiTheme="minorBidi" w:cstheme="minorBidi"/>
          <w:sz w:val="22"/>
          <w:szCs w:val="22"/>
        </w:rPr>
        <w:t xml:space="preserve"> acquire expertise in puppet making and voice device construction. </w:t>
      </w:r>
      <w:r w:rsidR="00544CED">
        <w:rPr>
          <w:rFonts w:asciiTheme="minorBidi" w:hAnsiTheme="minorBidi" w:cstheme="minorBidi"/>
          <w:sz w:val="22"/>
          <w:szCs w:val="22"/>
        </w:rPr>
        <w:t>As</w:t>
      </w:r>
      <w:r w:rsidRPr="00677233">
        <w:rPr>
          <w:rFonts w:asciiTheme="minorBidi" w:hAnsiTheme="minorBidi" w:cstheme="minorBidi"/>
          <w:sz w:val="22"/>
          <w:szCs w:val="22"/>
        </w:rPr>
        <w:t xml:space="preserve"> future practitioners, </w:t>
      </w:r>
      <w:r w:rsidR="00544CED">
        <w:rPr>
          <w:rFonts w:asciiTheme="minorBidi" w:hAnsiTheme="minorBidi" w:cstheme="minorBidi"/>
          <w:sz w:val="22"/>
          <w:szCs w:val="22"/>
        </w:rPr>
        <w:t xml:space="preserve">trainees </w:t>
      </w:r>
      <w:r w:rsidRPr="00677233">
        <w:rPr>
          <w:rFonts w:asciiTheme="minorBidi" w:hAnsiTheme="minorBidi" w:cstheme="minorBidi"/>
          <w:sz w:val="22"/>
          <w:szCs w:val="22"/>
        </w:rPr>
        <w:t>will be selected through open calls for applications in universities, non-governmental organizations and cultural cent</w:t>
      </w:r>
      <w:r w:rsidR="00544CED">
        <w:rPr>
          <w:rFonts w:asciiTheme="minorBidi" w:hAnsiTheme="minorBidi" w:cstheme="minorBidi"/>
          <w:sz w:val="22"/>
          <w:szCs w:val="22"/>
        </w:rPr>
        <w:t>r</w:t>
      </w:r>
      <w:r w:rsidRPr="00677233">
        <w:rPr>
          <w:rFonts w:asciiTheme="minorBidi" w:hAnsiTheme="minorBidi" w:cstheme="minorBidi"/>
          <w:sz w:val="22"/>
          <w:szCs w:val="22"/>
        </w:rPr>
        <w:t xml:space="preserve">es. The request also emphasizes that the capacities of master practitioners will be further </w:t>
      </w:r>
      <w:r w:rsidR="00537E60" w:rsidRPr="00677233">
        <w:rPr>
          <w:rFonts w:asciiTheme="minorBidi" w:hAnsiTheme="minorBidi" w:cstheme="minorBidi"/>
          <w:sz w:val="22"/>
          <w:szCs w:val="22"/>
        </w:rPr>
        <w:t xml:space="preserve">expanded </w:t>
      </w:r>
      <w:r w:rsidRPr="00677233">
        <w:rPr>
          <w:rFonts w:asciiTheme="minorBidi" w:hAnsiTheme="minorBidi" w:cstheme="minorBidi"/>
          <w:sz w:val="22"/>
          <w:szCs w:val="22"/>
        </w:rPr>
        <w:t>by engaging them as trainers and mentors. This will not only strengthen their own recognition but also ensure that their expertise is transmitted to younger generations in a structured manner. Institutional capacities will be strengthened within the Cultural Development Fund, which will coordinate the implementation of the project. The establishment of a permanent exhibition hall will also serve as a long-term educational platform, thus broadening the institution</w:t>
      </w:r>
      <w:r w:rsidR="00537E60" w:rsidRPr="00677233">
        <w:rPr>
          <w:rFonts w:asciiTheme="minorBidi" w:hAnsiTheme="minorBidi" w:cstheme="minorBidi"/>
          <w:sz w:val="22"/>
          <w:szCs w:val="22"/>
        </w:rPr>
        <w:t>’</w:t>
      </w:r>
      <w:r w:rsidRPr="00677233">
        <w:rPr>
          <w:rFonts w:asciiTheme="minorBidi" w:hAnsiTheme="minorBidi" w:cstheme="minorBidi"/>
          <w:sz w:val="22"/>
          <w:szCs w:val="22"/>
        </w:rPr>
        <w:t xml:space="preserve">s role in safeguarding </w:t>
      </w:r>
      <w:r w:rsidR="00537E60" w:rsidRPr="00677233">
        <w:rPr>
          <w:rFonts w:asciiTheme="minorBidi" w:hAnsiTheme="minorBidi" w:cstheme="minorBidi"/>
          <w:sz w:val="22"/>
          <w:szCs w:val="22"/>
        </w:rPr>
        <w:t xml:space="preserve">this </w:t>
      </w:r>
      <w:r w:rsidRPr="00677233">
        <w:rPr>
          <w:rFonts w:asciiTheme="minorBidi" w:hAnsiTheme="minorBidi" w:cstheme="minorBidi"/>
          <w:sz w:val="22"/>
          <w:szCs w:val="22"/>
        </w:rPr>
        <w:t>practice.</w:t>
      </w:r>
    </w:p>
    <w:p w14:paraId="38C39C14" w14:textId="77777777" w:rsidR="00387A4C" w:rsidRPr="00677233" w:rsidRDefault="00387A4C" w:rsidP="00387A4C">
      <w:pPr>
        <w:spacing w:after="120"/>
        <w:ind w:left="567"/>
        <w:jc w:val="both"/>
        <w:rPr>
          <w:rFonts w:asciiTheme="minorBidi" w:hAnsiTheme="minorBidi"/>
          <w:snapToGrid w:val="0"/>
          <w:sz w:val="22"/>
          <w:szCs w:val="22"/>
          <w:shd w:val="clear" w:color="auto" w:fill="FFFFFF"/>
          <w:lang w:eastAsia="en-US"/>
        </w:rPr>
      </w:pPr>
      <w:r w:rsidRPr="00677233">
        <w:rPr>
          <w:rFonts w:asciiTheme="minorBidi" w:hAnsiTheme="minorBidi"/>
          <w:b/>
          <w:snapToGrid w:val="0"/>
          <w:sz w:val="22"/>
          <w:szCs w:val="22"/>
          <w:lang w:eastAsia="en-US"/>
        </w:rPr>
        <w:t>Criterion A.7</w:t>
      </w:r>
      <w:r w:rsidRPr="00677233">
        <w:rPr>
          <w:rFonts w:asciiTheme="minorBidi" w:hAnsiTheme="minorBidi"/>
          <w:b/>
          <w:bCs/>
          <w:snapToGrid w:val="0"/>
          <w:sz w:val="22"/>
          <w:szCs w:val="22"/>
          <w:shd w:val="clear" w:color="auto" w:fill="FFFFFF"/>
          <w:lang w:eastAsia="en-US"/>
        </w:rPr>
        <w:t xml:space="preserve">: </w:t>
      </w:r>
      <w:r w:rsidRPr="00677233">
        <w:rPr>
          <w:rFonts w:asciiTheme="minorBidi" w:hAnsiTheme="minorBidi"/>
          <w:bCs/>
          <w:snapToGrid w:val="0"/>
          <w:sz w:val="22"/>
          <w:szCs w:val="22"/>
          <w:shd w:val="clear" w:color="auto" w:fill="FFFFFF"/>
          <w:lang w:eastAsia="en-US"/>
        </w:rPr>
        <w:t>Egypt has benefited from International Assistance from the Intangible Cultural Heritage Fund for one completed project.</w:t>
      </w:r>
      <w:r w:rsidRPr="00677233">
        <w:rPr>
          <w:rFonts w:asciiTheme="minorBidi" w:hAnsiTheme="minorBidi"/>
          <w:snapToGrid w:val="0"/>
          <w:sz w:val="22"/>
          <w:szCs w:val="22"/>
          <w:shd w:val="clear" w:color="auto" w:fill="FFFFFF"/>
          <w:vertAlign w:val="superscript"/>
          <w:lang w:eastAsia="en-US"/>
        </w:rPr>
        <w:footnoteReference w:id="1"/>
      </w:r>
      <w:r w:rsidRPr="00677233">
        <w:rPr>
          <w:rFonts w:asciiTheme="minorBidi" w:hAnsiTheme="minorBidi"/>
          <w:bCs/>
          <w:snapToGrid w:val="0"/>
          <w:sz w:val="22"/>
          <w:szCs w:val="22"/>
          <w:shd w:val="clear" w:color="auto" w:fill="FFFFFF"/>
          <w:lang w:eastAsia="en-US"/>
        </w:rPr>
        <w:t xml:space="preserve"> The work stipulated in the contract related to this project was carried out in accordance with UNESCO regulations.</w:t>
      </w:r>
      <w:r w:rsidRPr="00677233">
        <w:rPr>
          <w:rFonts w:asciiTheme="minorBidi" w:hAnsiTheme="minorBidi"/>
          <w:snapToGrid w:val="0"/>
          <w:sz w:val="22"/>
          <w:szCs w:val="22"/>
          <w:shd w:val="clear" w:color="auto" w:fill="FFFFFF"/>
          <w:lang w:eastAsia="en-US"/>
        </w:rPr>
        <w:t xml:space="preserve"> </w:t>
      </w:r>
    </w:p>
    <w:p w14:paraId="4347809C" w14:textId="0D711ED5" w:rsidR="00387A4C" w:rsidRPr="00677233" w:rsidRDefault="00387A4C" w:rsidP="00387A4C">
      <w:pPr>
        <w:ind w:left="567"/>
        <w:contextualSpacing/>
        <w:jc w:val="both"/>
        <w:rPr>
          <w:rFonts w:asciiTheme="minorBidi" w:hAnsiTheme="minorBidi" w:cstheme="minorBidi"/>
          <w:bCs/>
          <w:sz w:val="22"/>
          <w:szCs w:val="22"/>
        </w:rPr>
      </w:pPr>
      <w:r w:rsidRPr="00677233">
        <w:rPr>
          <w:rFonts w:asciiTheme="minorBidi" w:hAnsiTheme="minorBidi" w:cstheme="minorBidi"/>
          <w:b/>
          <w:sz w:val="22"/>
          <w:szCs w:val="22"/>
        </w:rPr>
        <w:t>Paragraph 10(a):</w:t>
      </w:r>
      <w:r w:rsidRPr="00677233">
        <w:rPr>
          <w:rFonts w:asciiTheme="minorBidi" w:hAnsiTheme="minorBidi" w:cstheme="minorBidi"/>
          <w:bCs/>
          <w:sz w:val="22"/>
          <w:szCs w:val="22"/>
        </w:rPr>
        <w:t xml:space="preserve"> The project is national in scope and will involve the Ministries of Culture, Higher Education, Youth and Tourism and the Supreme Council of Culture. Academics and non-governmental artistic organizations </w:t>
      </w:r>
      <w:r w:rsidR="00544CED">
        <w:rPr>
          <w:rFonts w:asciiTheme="minorBidi" w:hAnsiTheme="minorBidi" w:cstheme="minorBidi"/>
          <w:bCs/>
          <w:sz w:val="22"/>
          <w:szCs w:val="22"/>
        </w:rPr>
        <w:t>– namely,</w:t>
      </w:r>
      <w:r w:rsidRPr="00677233">
        <w:rPr>
          <w:rFonts w:asciiTheme="minorBidi" w:hAnsiTheme="minorBidi" w:cstheme="minorBidi"/>
          <w:bCs/>
          <w:sz w:val="22"/>
          <w:szCs w:val="22"/>
        </w:rPr>
        <w:t xml:space="preserve"> the </w:t>
      </w:r>
      <w:proofErr w:type="spellStart"/>
      <w:r w:rsidRPr="00677233">
        <w:rPr>
          <w:rFonts w:asciiTheme="minorBidi" w:hAnsiTheme="minorBidi" w:cstheme="minorBidi"/>
          <w:bCs/>
          <w:sz w:val="22"/>
          <w:szCs w:val="22"/>
        </w:rPr>
        <w:t>Wamda</w:t>
      </w:r>
      <w:proofErr w:type="spellEnd"/>
      <w:r w:rsidRPr="00677233">
        <w:rPr>
          <w:rFonts w:asciiTheme="minorBidi" w:hAnsiTheme="minorBidi" w:cstheme="minorBidi"/>
          <w:bCs/>
          <w:sz w:val="22"/>
          <w:szCs w:val="22"/>
        </w:rPr>
        <w:t xml:space="preserve"> Troupe for </w:t>
      </w:r>
      <w:proofErr w:type="spellStart"/>
      <w:r w:rsidRPr="00677233">
        <w:rPr>
          <w:rFonts w:asciiTheme="minorBidi" w:hAnsiTheme="minorBidi" w:cstheme="minorBidi"/>
          <w:bCs/>
          <w:sz w:val="22"/>
          <w:szCs w:val="22"/>
        </w:rPr>
        <w:t>Aragoz</w:t>
      </w:r>
      <w:proofErr w:type="spellEnd"/>
      <w:r w:rsidRPr="00677233">
        <w:rPr>
          <w:rFonts w:asciiTheme="minorBidi" w:hAnsiTheme="minorBidi" w:cstheme="minorBidi"/>
          <w:bCs/>
          <w:sz w:val="22"/>
          <w:szCs w:val="22"/>
        </w:rPr>
        <w:t xml:space="preserve"> and Shadow Shows </w:t>
      </w:r>
      <w:r w:rsidR="00544CED">
        <w:rPr>
          <w:rFonts w:asciiTheme="minorBidi" w:hAnsiTheme="minorBidi" w:cstheme="minorBidi"/>
          <w:bCs/>
          <w:sz w:val="22"/>
          <w:szCs w:val="22"/>
        </w:rPr>
        <w:t>–</w:t>
      </w:r>
      <w:r w:rsidRPr="00677233">
        <w:rPr>
          <w:rFonts w:asciiTheme="minorBidi" w:hAnsiTheme="minorBidi" w:cstheme="minorBidi"/>
          <w:bCs/>
          <w:sz w:val="22"/>
          <w:szCs w:val="22"/>
        </w:rPr>
        <w:t xml:space="preserve"> will also participate in the project. </w:t>
      </w:r>
    </w:p>
    <w:p w14:paraId="291DB63E" w14:textId="5B4910ED" w:rsidR="00387A4C" w:rsidRPr="00677233" w:rsidRDefault="00387A4C" w:rsidP="00387A4C">
      <w:pPr>
        <w:spacing w:before="120" w:after="120"/>
        <w:ind w:left="567"/>
        <w:jc w:val="both"/>
        <w:rPr>
          <w:rFonts w:asciiTheme="minorBidi" w:hAnsiTheme="minorBidi" w:cstheme="minorBidi"/>
          <w:sz w:val="22"/>
          <w:szCs w:val="22"/>
        </w:rPr>
      </w:pPr>
      <w:r w:rsidRPr="00677233">
        <w:rPr>
          <w:rFonts w:asciiTheme="minorBidi" w:hAnsiTheme="minorBidi" w:cstheme="minorBidi"/>
          <w:b/>
          <w:snapToGrid w:val="0"/>
          <w:sz w:val="22"/>
          <w:szCs w:val="22"/>
          <w:lang w:eastAsia="en-US"/>
        </w:rPr>
        <w:t xml:space="preserve">Paragraph 10(b): </w:t>
      </w:r>
      <w:r w:rsidRPr="00677233">
        <w:rPr>
          <w:rFonts w:asciiTheme="minorBidi" w:hAnsiTheme="minorBidi" w:cstheme="minorBidi"/>
          <w:sz w:val="22"/>
          <w:szCs w:val="22"/>
        </w:rPr>
        <w:t xml:space="preserve">The project is expected to revitalize this popular art expression at </w:t>
      </w:r>
      <w:r w:rsidR="00544CED">
        <w:rPr>
          <w:rFonts w:asciiTheme="minorBidi" w:hAnsiTheme="minorBidi" w:cstheme="minorBidi"/>
          <w:sz w:val="22"/>
          <w:szCs w:val="22"/>
        </w:rPr>
        <w:t xml:space="preserve">the </w:t>
      </w:r>
      <w:r w:rsidRPr="00677233">
        <w:rPr>
          <w:rFonts w:asciiTheme="minorBidi" w:hAnsiTheme="minorBidi" w:cstheme="minorBidi"/>
          <w:sz w:val="22"/>
          <w:szCs w:val="22"/>
        </w:rPr>
        <w:t xml:space="preserve">national level. It also seeks </w:t>
      </w:r>
      <w:r w:rsidRPr="00677233">
        <w:rPr>
          <w:rFonts w:asciiTheme="minorBidi" w:hAnsiTheme="minorBidi" w:cstheme="minorBidi"/>
          <w:bCs/>
          <w:snapToGrid w:val="0"/>
          <w:sz w:val="22"/>
          <w:szCs w:val="22"/>
          <w:lang w:eastAsia="en-US"/>
        </w:rPr>
        <w:t xml:space="preserve">to establish partnerships between governmental institutions, private sector entities, and civil society organizations, with the aim of facilitating the mobilization of financial and technical resources for the safeguarding of the element. </w:t>
      </w:r>
    </w:p>
    <w:p w14:paraId="73E52CA1" w14:textId="4F7F044D"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Approves</w:t>
      </w:r>
      <w:r w:rsidRPr="00677233">
        <w:rPr>
          <w:rFonts w:asciiTheme="minorBidi" w:hAnsiTheme="minorBidi" w:cstheme="minorBidi"/>
          <w:sz w:val="22"/>
          <w:szCs w:val="22"/>
        </w:rPr>
        <w:t xml:space="preserve"> the International Assistance request from Egypt for the project entitled </w:t>
      </w:r>
      <w:r w:rsidRPr="00677233">
        <w:rPr>
          <w:rFonts w:asciiTheme="minorBidi" w:hAnsiTheme="minorBidi" w:cstheme="minorBidi"/>
          <w:b/>
          <w:bCs/>
          <w:sz w:val="22"/>
          <w:szCs w:val="22"/>
        </w:rPr>
        <w:t>Safeguarding and capacity</w:t>
      </w:r>
      <w:r w:rsidR="00544CED">
        <w:rPr>
          <w:rFonts w:asciiTheme="minorBidi" w:hAnsiTheme="minorBidi" w:cstheme="minorBidi"/>
          <w:b/>
          <w:bCs/>
          <w:sz w:val="22"/>
          <w:szCs w:val="22"/>
        </w:rPr>
        <w:t>-</w:t>
      </w:r>
      <w:r w:rsidRPr="00677233">
        <w:rPr>
          <w:rFonts w:asciiTheme="minorBidi" w:hAnsiTheme="minorBidi" w:cstheme="minorBidi"/>
          <w:b/>
          <w:bCs/>
          <w:sz w:val="22"/>
          <w:szCs w:val="22"/>
        </w:rPr>
        <w:t>building for the intangible cultural heritage of Al-</w:t>
      </w:r>
      <w:proofErr w:type="spellStart"/>
      <w:r w:rsidRPr="00677233">
        <w:rPr>
          <w:rFonts w:asciiTheme="minorBidi" w:hAnsiTheme="minorBidi" w:cstheme="minorBidi"/>
          <w:b/>
          <w:bCs/>
          <w:sz w:val="22"/>
          <w:szCs w:val="22"/>
        </w:rPr>
        <w:t>Aragoz</w:t>
      </w:r>
      <w:proofErr w:type="spellEnd"/>
      <w:r w:rsidRPr="00677233">
        <w:rPr>
          <w:rFonts w:asciiTheme="minorBidi" w:hAnsiTheme="minorBidi" w:cstheme="minorBidi"/>
          <w:b/>
          <w:bCs/>
          <w:sz w:val="22"/>
          <w:szCs w:val="22"/>
        </w:rPr>
        <w:t xml:space="preserve"> traditional hand puppetry in Egypt</w:t>
      </w:r>
      <w:r w:rsidRPr="00677233">
        <w:rPr>
          <w:rFonts w:asciiTheme="minorBidi" w:hAnsiTheme="minorBidi" w:cstheme="minorBidi"/>
          <w:bCs/>
          <w:sz w:val="22"/>
          <w:szCs w:val="22"/>
        </w:rPr>
        <w:t>,</w:t>
      </w:r>
      <w:r w:rsidRPr="00677233" w:rsidDel="00A801D7">
        <w:rPr>
          <w:rFonts w:asciiTheme="minorBidi" w:hAnsiTheme="minorBidi" w:cstheme="minorBidi"/>
          <w:b/>
          <w:sz w:val="22"/>
          <w:szCs w:val="22"/>
        </w:rPr>
        <w:t xml:space="preserve"> </w:t>
      </w:r>
      <w:r w:rsidRPr="00677233">
        <w:rPr>
          <w:rFonts w:asciiTheme="minorBidi" w:hAnsiTheme="minorBidi" w:cstheme="minorBidi"/>
          <w:sz w:val="22"/>
          <w:szCs w:val="22"/>
        </w:rPr>
        <w:t xml:space="preserve">and </w:t>
      </w:r>
      <w:r w:rsidRPr="00677233">
        <w:rPr>
          <w:rFonts w:asciiTheme="minorBidi" w:hAnsiTheme="minorBidi" w:cstheme="minorBidi"/>
          <w:sz w:val="22"/>
          <w:szCs w:val="22"/>
          <w:u w:val="single"/>
        </w:rPr>
        <w:t>grants</w:t>
      </w:r>
      <w:r w:rsidRPr="00677233">
        <w:rPr>
          <w:rFonts w:asciiTheme="minorBidi" w:hAnsiTheme="minorBidi" w:cstheme="minorBidi"/>
          <w:sz w:val="22"/>
          <w:szCs w:val="22"/>
        </w:rPr>
        <w:t xml:space="preserve"> the amount of US$99,840 </w:t>
      </w:r>
      <w:r w:rsidRPr="00677233">
        <w:rPr>
          <w:rFonts w:asciiTheme="minorBidi" w:eastAsia="SimSun" w:hAnsiTheme="minorBidi" w:cstheme="minorBidi"/>
          <w:sz w:val="22"/>
          <w:szCs w:val="22"/>
          <w:lang w:eastAsia="ko-KR"/>
        </w:rPr>
        <w:t xml:space="preserve">for the implementation of this </w:t>
      </w:r>
      <w:proofErr w:type="gramStart"/>
      <w:r w:rsidRPr="00677233">
        <w:rPr>
          <w:rFonts w:asciiTheme="minorBidi" w:eastAsia="SimSun" w:hAnsiTheme="minorBidi" w:cstheme="minorBidi"/>
          <w:sz w:val="22"/>
          <w:szCs w:val="22"/>
          <w:lang w:eastAsia="ko-KR"/>
        </w:rPr>
        <w:t>project</w:t>
      </w:r>
      <w:r w:rsidRPr="00677233">
        <w:rPr>
          <w:rFonts w:asciiTheme="minorBidi" w:hAnsiTheme="minorBidi" w:cstheme="minorBidi"/>
          <w:sz w:val="22"/>
          <w:szCs w:val="22"/>
        </w:rPr>
        <w:t>;</w:t>
      </w:r>
      <w:proofErr w:type="gramEnd"/>
    </w:p>
    <w:p w14:paraId="5634C19D" w14:textId="322BC562" w:rsidR="00C25D9A" w:rsidRPr="00677233" w:rsidRDefault="00C25D9A">
      <w:pPr>
        <w:pStyle w:val="Paragraphedeliste"/>
        <w:numPr>
          <w:ilvl w:val="0"/>
          <w:numId w:val="25"/>
        </w:numPr>
        <w:spacing w:before="120" w:after="120"/>
        <w:ind w:left="567" w:hanging="567"/>
        <w:contextualSpacing w:val="0"/>
        <w:jc w:val="both"/>
        <w:rPr>
          <w:rFonts w:asciiTheme="minorBidi" w:hAnsiTheme="minorBidi" w:cstheme="minorBidi"/>
          <w:sz w:val="22"/>
          <w:szCs w:val="22"/>
        </w:rPr>
      </w:pPr>
      <w:bookmarkStart w:id="2" w:name="_Hlk210147202"/>
      <w:r w:rsidRPr="00677233">
        <w:rPr>
          <w:rFonts w:asciiTheme="minorBidi" w:hAnsiTheme="minorBidi" w:cstheme="minorBidi"/>
          <w:sz w:val="22"/>
          <w:szCs w:val="22"/>
          <w:u w:val="single"/>
        </w:rPr>
        <w:t>Commends</w:t>
      </w:r>
      <w:r w:rsidRPr="00677233">
        <w:rPr>
          <w:rFonts w:asciiTheme="minorBidi" w:hAnsiTheme="minorBidi" w:cstheme="minorBidi"/>
          <w:sz w:val="22"/>
          <w:szCs w:val="22"/>
        </w:rPr>
        <w:t xml:space="preserve"> the State Party for the submission of an International Assistance request to implement the updated safeguarding measures outlined in its latest </w:t>
      </w:r>
      <w:r w:rsidR="00544CED">
        <w:rPr>
          <w:rFonts w:asciiTheme="minorBidi" w:hAnsiTheme="minorBidi" w:cstheme="minorBidi"/>
          <w:sz w:val="22"/>
          <w:szCs w:val="22"/>
        </w:rPr>
        <w:t>p</w:t>
      </w:r>
      <w:r w:rsidRPr="00677233">
        <w:rPr>
          <w:rFonts w:asciiTheme="minorBidi" w:hAnsiTheme="minorBidi" w:cstheme="minorBidi"/>
          <w:sz w:val="22"/>
          <w:szCs w:val="22"/>
        </w:rPr>
        <w:t xml:space="preserve">eriodic </w:t>
      </w:r>
      <w:r w:rsidR="00544CED">
        <w:rPr>
          <w:rFonts w:asciiTheme="minorBidi" w:hAnsiTheme="minorBidi" w:cstheme="minorBidi"/>
          <w:sz w:val="22"/>
          <w:szCs w:val="22"/>
        </w:rPr>
        <w:t>r</w:t>
      </w:r>
      <w:r w:rsidRPr="00677233">
        <w:rPr>
          <w:rFonts w:asciiTheme="minorBidi" w:hAnsiTheme="minorBidi" w:cstheme="minorBidi"/>
          <w:sz w:val="22"/>
          <w:szCs w:val="22"/>
        </w:rPr>
        <w:t xml:space="preserve">eport </w:t>
      </w:r>
      <w:r w:rsidR="00182724" w:rsidRPr="00677233">
        <w:rPr>
          <w:rFonts w:asciiTheme="minorBidi" w:hAnsiTheme="minorBidi" w:cstheme="minorBidi"/>
          <w:sz w:val="22"/>
          <w:szCs w:val="22"/>
        </w:rPr>
        <w:t xml:space="preserve">(submitted in December 2022) </w:t>
      </w:r>
      <w:r w:rsidRPr="00677233">
        <w:rPr>
          <w:rFonts w:asciiTheme="minorBidi" w:hAnsiTheme="minorBidi" w:cstheme="minorBidi"/>
          <w:sz w:val="22"/>
          <w:szCs w:val="22"/>
        </w:rPr>
        <w:t>on the status of the element</w:t>
      </w:r>
      <w:r w:rsidR="00CA1BD1" w:rsidRPr="00677233">
        <w:rPr>
          <w:rFonts w:asciiTheme="minorBidi" w:hAnsiTheme="minorBidi" w:cstheme="minorBidi"/>
          <w:sz w:val="22"/>
          <w:szCs w:val="22"/>
        </w:rPr>
        <w:t xml:space="preserve"> ‘Traditional hand puppetry’</w:t>
      </w:r>
      <w:r w:rsidR="00C40B94" w:rsidRPr="00677233">
        <w:rPr>
          <w:rFonts w:asciiTheme="minorBidi" w:hAnsiTheme="minorBidi" w:cstheme="minorBidi"/>
          <w:sz w:val="22"/>
          <w:szCs w:val="22"/>
        </w:rPr>
        <w:t>,</w:t>
      </w:r>
      <w:r w:rsidRPr="00677233">
        <w:rPr>
          <w:rFonts w:asciiTheme="minorBidi" w:hAnsiTheme="minorBidi" w:cstheme="minorBidi"/>
          <w:sz w:val="22"/>
          <w:szCs w:val="22"/>
        </w:rPr>
        <w:t xml:space="preserve"> demonstrating the effective use</w:t>
      </w:r>
      <w:r w:rsidR="00C40B94" w:rsidRPr="00677233">
        <w:rPr>
          <w:rFonts w:asciiTheme="minorBidi" w:hAnsiTheme="minorBidi" w:cstheme="minorBidi"/>
          <w:sz w:val="22"/>
          <w:szCs w:val="22"/>
        </w:rPr>
        <w:t>, in an inter-related manner,</w:t>
      </w:r>
      <w:r w:rsidRPr="00677233">
        <w:rPr>
          <w:rFonts w:asciiTheme="minorBidi" w:hAnsiTheme="minorBidi" w:cstheme="minorBidi"/>
          <w:sz w:val="22"/>
          <w:szCs w:val="22"/>
        </w:rPr>
        <w:t xml:space="preserve"> of the international cooperation mechanisms of the </w:t>
      </w:r>
      <w:proofErr w:type="gramStart"/>
      <w:r w:rsidR="00C40B94" w:rsidRPr="00677233">
        <w:rPr>
          <w:rFonts w:asciiTheme="minorBidi" w:hAnsiTheme="minorBidi" w:cstheme="minorBidi"/>
          <w:sz w:val="22"/>
          <w:szCs w:val="22"/>
        </w:rPr>
        <w:t>Convention;</w:t>
      </w:r>
      <w:proofErr w:type="gramEnd"/>
    </w:p>
    <w:bookmarkEnd w:id="2"/>
    <w:p w14:paraId="66F94652" w14:textId="12901583" w:rsidR="00387A4C" w:rsidRPr="00677233" w:rsidRDefault="00387A4C">
      <w:pPr>
        <w:pStyle w:val="Paragraphedeliste"/>
        <w:numPr>
          <w:ilvl w:val="0"/>
          <w:numId w:val="25"/>
        </w:numPr>
        <w:spacing w:before="120" w:after="120"/>
        <w:ind w:left="567" w:hanging="567"/>
        <w:contextualSpacing w:val="0"/>
        <w:jc w:val="both"/>
        <w:rPr>
          <w:rFonts w:asciiTheme="minorBidi" w:hAnsiTheme="minorBidi" w:cstheme="minorBidi"/>
          <w:sz w:val="22"/>
          <w:szCs w:val="22"/>
        </w:rPr>
      </w:pPr>
      <w:r w:rsidRPr="00677233">
        <w:rPr>
          <w:rFonts w:asciiTheme="minorBidi" w:hAnsiTheme="minorBidi" w:cstheme="minorBidi"/>
          <w:sz w:val="22"/>
          <w:szCs w:val="22"/>
          <w:u w:val="single"/>
        </w:rPr>
        <w:t>Notes with interest</w:t>
      </w:r>
      <w:r w:rsidRPr="00677233">
        <w:rPr>
          <w:rFonts w:asciiTheme="minorBidi" w:hAnsiTheme="minorBidi" w:cstheme="minorBidi"/>
          <w:sz w:val="22"/>
          <w:szCs w:val="22"/>
        </w:rPr>
        <w:t xml:space="preserve"> the gender-balanced approach developed in the project</w:t>
      </w:r>
      <w:r w:rsidR="008B5CC6" w:rsidRPr="00677233">
        <w:rPr>
          <w:rFonts w:asciiTheme="minorBidi" w:hAnsiTheme="minorBidi" w:cstheme="minorBidi"/>
          <w:sz w:val="22"/>
          <w:szCs w:val="22"/>
        </w:rPr>
        <w:t xml:space="preserve"> </w:t>
      </w:r>
      <w:r w:rsidRPr="00677233">
        <w:rPr>
          <w:rFonts w:asciiTheme="minorBidi" w:hAnsiTheme="minorBidi" w:cstheme="minorBidi"/>
          <w:sz w:val="22"/>
          <w:szCs w:val="22"/>
        </w:rPr>
        <w:t xml:space="preserve">and </w:t>
      </w:r>
      <w:r w:rsidRPr="00677233">
        <w:rPr>
          <w:rFonts w:asciiTheme="minorBidi" w:hAnsiTheme="minorBidi" w:cstheme="minorBidi"/>
          <w:sz w:val="22"/>
          <w:szCs w:val="22"/>
          <w:u w:val="single"/>
        </w:rPr>
        <w:t>encourages</w:t>
      </w:r>
      <w:r w:rsidRPr="00677233">
        <w:rPr>
          <w:rFonts w:asciiTheme="minorBidi" w:hAnsiTheme="minorBidi" w:cstheme="minorBidi"/>
          <w:sz w:val="22"/>
          <w:szCs w:val="22"/>
        </w:rPr>
        <w:t xml:space="preserve"> the State Party to share experience gained </w:t>
      </w:r>
      <w:r w:rsidR="00544CED">
        <w:rPr>
          <w:rFonts w:asciiTheme="minorBidi" w:hAnsiTheme="minorBidi" w:cstheme="minorBidi"/>
          <w:sz w:val="22"/>
          <w:szCs w:val="22"/>
        </w:rPr>
        <w:t>from</w:t>
      </w:r>
      <w:r w:rsidR="00544CED" w:rsidRPr="00677233">
        <w:rPr>
          <w:rFonts w:asciiTheme="minorBidi" w:hAnsiTheme="minorBidi" w:cstheme="minorBidi"/>
          <w:sz w:val="22"/>
          <w:szCs w:val="22"/>
        </w:rPr>
        <w:t xml:space="preserve"> </w:t>
      </w:r>
      <w:r w:rsidRPr="00677233">
        <w:rPr>
          <w:rFonts w:asciiTheme="minorBidi" w:hAnsiTheme="minorBidi" w:cstheme="minorBidi"/>
          <w:sz w:val="22"/>
          <w:szCs w:val="22"/>
        </w:rPr>
        <w:t xml:space="preserve">the project </w:t>
      </w:r>
      <w:r w:rsidR="00544CED">
        <w:rPr>
          <w:rFonts w:asciiTheme="minorBidi" w:hAnsiTheme="minorBidi" w:cstheme="minorBidi"/>
          <w:sz w:val="22"/>
          <w:szCs w:val="22"/>
        </w:rPr>
        <w:t>on</w:t>
      </w:r>
      <w:r w:rsidRPr="00677233">
        <w:rPr>
          <w:rFonts w:asciiTheme="minorBidi" w:hAnsiTheme="minorBidi" w:cstheme="minorBidi"/>
          <w:sz w:val="22"/>
          <w:szCs w:val="22"/>
        </w:rPr>
        <w:t xml:space="preserve"> </w:t>
      </w:r>
      <w:r w:rsidR="00630389" w:rsidRPr="00677233">
        <w:rPr>
          <w:rFonts w:asciiTheme="minorBidi" w:hAnsiTheme="minorBidi" w:cstheme="minorBidi"/>
          <w:sz w:val="22"/>
          <w:szCs w:val="22"/>
        </w:rPr>
        <w:t>showcasing</w:t>
      </w:r>
      <w:r w:rsidRPr="00677233">
        <w:rPr>
          <w:rFonts w:asciiTheme="minorBidi" w:hAnsiTheme="minorBidi" w:cstheme="minorBidi"/>
          <w:sz w:val="22"/>
          <w:szCs w:val="22"/>
        </w:rPr>
        <w:t xml:space="preserve"> inclusive safeguarding </w:t>
      </w:r>
      <w:proofErr w:type="gramStart"/>
      <w:r w:rsidRPr="00677233">
        <w:rPr>
          <w:rFonts w:asciiTheme="minorBidi" w:hAnsiTheme="minorBidi" w:cstheme="minorBidi"/>
          <w:sz w:val="22"/>
          <w:szCs w:val="22"/>
        </w:rPr>
        <w:t>experiences;</w:t>
      </w:r>
      <w:proofErr w:type="gramEnd"/>
    </w:p>
    <w:p w14:paraId="39EE20F6" w14:textId="77777777" w:rsidR="00387A4C" w:rsidRPr="00677233" w:rsidRDefault="00387A4C" w:rsidP="00801380">
      <w:pPr>
        <w:pStyle w:val="Paragraphedeliste"/>
        <w:numPr>
          <w:ilvl w:val="0"/>
          <w:numId w:val="25"/>
        </w:numPr>
        <w:spacing w:before="120" w:after="120"/>
        <w:ind w:left="567" w:hanging="567"/>
        <w:contextualSpacing w:val="0"/>
        <w:jc w:val="both"/>
        <w:rPr>
          <w:rFonts w:asciiTheme="minorBidi" w:hAnsiTheme="minorBidi" w:cstheme="minorBidi"/>
          <w:sz w:val="22"/>
          <w:szCs w:val="22"/>
          <w:u w:val="single"/>
        </w:rPr>
      </w:pPr>
      <w:r w:rsidRPr="00677233">
        <w:rPr>
          <w:rFonts w:asciiTheme="minorBidi" w:hAnsiTheme="minorBidi" w:cstheme="minorBidi"/>
          <w:sz w:val="22"/>
          <w:szCs w:val="22"/>
          <w:u w:val="single"/>
        </w:rPr>
        <w:t>Requests</w:t>
      </w:r>
      <w:r w:rsidRPr="00677233">
        <w:rPr>
          <w:rFonts w:asciiTheme="minorBidi" w:hAnsiTheme="minorBidi" w:cstheme="minorBidi"/>
          <w:sz w:val="22"/>
          <w:szCs w:val="22"/>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677233">
        <w:rPr>
          <w:rFonts w:asciiTheme="minorBidi" w:hAnsiTheme="minorBidi" w:cstheme="minorBidi"/>
          <w:sz w:val="22"/>
          <w:szCs w:val="22"/>
        </w:rPr>
        <w:t>expenditures;</w:t>
      </w:r>
      <w:proofErr w:type="gramEnd"/>
    </w:p>
    <w:p w14:paraId="7F735C99" w14:textId="77777777" w:rsidR="00387A4C" w:rsidRPr="00677233" w:rsidRDefault="00387A4C" w:rsidP="00387A4C">
      <w:pPr>
        <w:numPr>
          <w:ilvl w:val="0"/>
          <w:numId w:val="25"/>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Invites</w:t>
      </w:r>
      <w:r w:rsidRPr="00677233">
        <w:rPr>
          <w:rFonts w:asciiTheme="minorBidi" w:hAnsiTheme="minorBidi" w:cstheme="minorBidi"/>
          <w:sz w:val="22"/>
          <w:szCs w:val="22"/>
        </w:rPr>
        <w:t xml:space="preserve"> the requesting State Party to use Form ICH-04-Report to report on the use of the assistance granted.</w:t>
      </w:r>
    </w:p>
    <w:bookmarkEnd w:id="1"/>
    <w:p w14:paraId="724DEA4A" w14:textId="72D39299" w:rsidR="00A23D0F" w:rsidRPr="00677233" w:rsidRDefault="00A23D0F" w:rsidP="008C1133">
      <w:pPr>
        <w:pStyle w:val="COMTitleDecision"/>
        <w:ind w:left="0"/>
      </w:pPr>
      <w:r w:rsidRPr="00677233">
        <w:t>DRAFT DECISION 20.COM 4.BUR </w:t>
      </w:r>
      <w:r w:rsidR="005F60F3">
        <w:t>3.2</w:t>
      </w:r>
      <w:r w:rsidRPr="00677233">
        <w:tab/>
      </w:r>
      <w:r w:rsidRPr="00677233">
        <w:tab/>
      </w:r>
      <w:bookmarkStart w:id="3" w:name="Dec2"/>
      <w:r w:rsidRPr="00677233">
        <w:rPr>
          <w:noProof/>
        </w:rPr>
        <w:drawing>
          <wp:inline distT="0" distB="0" distL="0" distR="0" wp14:anchorId="07307F71" wp14:editId="6A95D9AE">
            <wp:extent cx="104140" cy="104140"/>
            <wp:effectExtent l="0" t="0" r="0" b="0"/>
            <wp:docPr id="575992910"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3"/>
    </w:p>
    <w:p w14:paraId="32221A49" w14:textId="77777777" w:rsidR="00A23D0F" w:rsidRPr="00677233" w:rsidRDefault="00A23D0F" w:rsidP="008C1133">
      <w:pPr>
        <w:keepNext/>
        <w:spacing w:before="120" w:after="120"/>
        <w:jc w:val="both"/>
        <w:rPr>
          <w:rFonts w:asciiTheme="minorBidi" w:hAnsiTheme="minorBidi" w:cstheme="minorBidi"/>
          <w:sz w:val="22"/>
          <w:szCs w:val="22"/>
        </w:rPr>
      </w:pPr>
      <w:r w:rsidRPr="00677233">
        <w:rPr>
          <w:rFonts w:asciiTheme="minorBidi" w:hAnsiTheme="minorBidi" w:cstheme="minorBidi"/>
          <w:sz w:val="22"/>
          <w:szCs w:val="22"/>
        </w:rPr>
        <w:t>The Bureau,</w:t>
      </w:r>
    </w:p>
    <w:p w14:paraId="615730AB" w14:textId="518B865C"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Recalling</w:t>
      </w:r>
      <w:r w:rsidRPr="00677233">
        <w:rPr>
          <w:rFonts w:asciiTheme="minorBidi" w:hAnsiTheme="minorBidi" w:cstheme="minorBidi"/>
          <w:sz w:val="22"/>
          <w:szCs w:val="22"/>
        </w:rPr>
        <w:t xml:space="preserve"> Chapter V of the Convention as well as Chapter I.4 of the Operational Directives relating to the eligibility and </w:t>
      </w:r>
      <w:r w:rsidR="001B6E03">
        <w:rPr>
          <w:rFonts w:asciiTheme="minorBidi" w:hAnsiTheme="minorBidi" w:cstheme="minorBidi"/>
          <w:sz w:val="22"/>
          <w:szCs w:val="22"/>
        </w:rPr>
        <w:t xml:space="preserve">selection </w:t>
      </w:r>
      <w:r w:rsidRPr="00677233">
        <w:rPr>
          <w:rFonts w:asciiTheme="minorBidi" w:hAnsiTheme="minorBidi" w:cstheme="minorBidi"/>
          <w:sz w:val="22"/>
          <w:szCs w:val="22"/>
        </w:rPr>
        <w:t>criteria of International Assistance requests,</w:t>
      </w:r>
    </w:p>
    <w:p w14:paraId="68F2FB44" w14:textId="718A4CF8"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Having examined</w:t>
      </w:r>
      <w:r w:rsidRPr="00677233">
        <w:rPr>
          <w:rFonts w:asciiTheme="minorBidi" w:hAnsiTheme="minorBidi" w:cstheme="minorBidi"/>
          <w:sz w:val="22"/>
          <w:szCs w:val="22"/>
        </w:rPr>
        <w:t xml:space="preserve"> document </w:t>
      </w:r>
      <w:r w:rsidRPr="000921DE">
        <w:rPr>
          <w:rFonts w:asciiTheme="minorBidi" w:hAnsiTheme="minorBidi" w:cstheme="minorBidi"/>
          <w:sz w:val="22"/>
          <w:szCs w:val="22"/>
        </w:rPr>
        <w:t>LHE/25/20.COM </w:t>
      </w:r>
      <w:r w:rsidR="00375064" w:rsidRPr="000921DE">
        <w:rPr>
          <w:rFonts w:asciiTheme="minorBidi" w:hAnsiTheme="minorBidi" w:cstheme="minorBidi"/>
          <w:sz w:val="22"/>
          <w:szCs w:val="22"/>
        </w:rPr>
        <w:t>4</w:t>
      </w:r>
      <w:r w:rsidRPr="000921DE">
        <w:rPr>
          <w:rFonts w:asciiTheme="minorBidi" w:hAnsiTheme="minorBidi" w:cstheme="minorBidi"/>
          <w:sz w:val="22"/>
          <w:szCs w:val="22"/>
        </w:rPr>
        <w:t>.BUR/</w:t>
      </w:r>
      <w:r w:rsidR="005F60F3">
        <w:rPr>
          <w:rFonts w:asciiTheme="minorBidi" w:hAnsiTheme="minorBidi" w:cstheme="minorBidi"/>
          <w:sz w:val="22"/>
          <w:szCs w:val="22"/>
        </w:rPr>
        <w:t>3</w:t>
      </w:r>
      <w:r w:rsidRPr="00677233">
        <w:rPr>
          <w:rFonts w:asciiTheme="minorBidi" w:hAnsiTheme="minorBidi" w:cstheme="minorBidi"/>
          <w:sz w:val="22"/>
          <w:szCs w:val="22"/>
        </w:rPr>
        <w:t xml:space="preserve"> as well as International Assistance request no. </w:t>
      </w:r>
      <w:r w:rsidR="00375064" w:rsidRPr="00677233">
        <w:rPr>
          <w:rFonts w:asciiTheme="minorBidi" w:hAnsiTheme="minorBidi" w:cstheme="minorBidi"/>
          <w:sz w:val="22"/>
          <w:szCs w:val="22"/>
        </w:rPr>
        <w:t>02462</w:t>
      </w:r>
      <w:r w:rsidRPr="00677233">
        <w:rPr>
          <w:rFonts w:asciiTheme="minorBidi" w:hAnsiTheme="minorBidi" w:cstheme="minorBidi"/>
          <w:sz w:val="22"/>
          <w:szCs w:val="22"/>
        </w:rPr>
        <w:t xml:space="preserve"> submitted by </w:t>
      </w:r>
      <w:r w:rsidR="00375064" w:rsidRPr="00677233">
        <w:rPr>
          <w:rFonts w:asciiTheme="minorBidi" w:hAnsiTheme="minorBidi" w:cstheme="minorBidi"/>
          <w:sz w:val="22"/>
          <w:szCs w:val="22"/>
        </w:rPr>
        <w:t>Nepal</w:t>
      </w:r>
      <w:r w:rsidRPr="00677233">
        <w:rPr>
          <w:rFonts w:asciiTheme="minorBidi" w:hAnsiTheme="minorBidi" w:cstheme="minorBidi"/>
          <w:sz w:val="22"/>
          <w:szCs w:val="22"/>
        </w:rPr>
        <w:t>,</w:t>
      </w:r>
    </w:p>
    <w:p w14:paraId="4C9E562A" w14:textId="64D292CA"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Takes note</w:t>
      </w:r>
      <w:r w:rsidRPr="00677233">
        <w:rPr>
          <w:rFonts w:asciiTheme="minorBidi" w:hAnsiTheme="minorBidi" w:cstheme="minorBidi"/>
          <w:sz w:val="22"/>
          <w:szCs w:val="22"/>
        </w:rPr>
        <w:t xml:space="preserve"> that </w:t>
      </w:r>
      <w:r w:rsidR="00375064" w:rsidRPr="00677233">
        <w:rPr>
          <w:rFonts w:asciiTheme="minorBidi" w:hAnsiTheme="minorBidi" w:cstheme="minorBidi"/>
          <w:sz w:val="22"/>
          <w:szCs w:val="22"/>
        </w:rPr>
        <w:t>Nepal</w:t>
      </w:r>
      <w:r w:rsidRPr="00677233">
        <w:rPr>
          <w:rFonts w:asciiTheme="minorBidi" w:hAnsiTheme="minorBidi" w:cstheme="minorBidi"/>
          <w:sz w:val="22"/>
          <w:szCs w:val="22"/>
        </w:rPr>
        <w:t xml:space="preserve"> has requested International Assistance for the project entitled </w:t>
      </w:r>
      <w:r w:rsidR="00375064" w:rsidRPr="00677233">
        <w:rPr>
          <w:rFonts w:asciiTheme="minorBidi" w:hAnsiTheme="minorBidi" w:cstheme="minorBidi"/>
          <w:b/>
          <w:bCs/>
          <w:sz w:val="22"/>
          <w:szCs w:val="22"/>
        </w:rPr>
        <w:t xml:space="preserve">Development of inventory of </w:t>
      </w:r>
      <w:r w:rsidR="00FD1E19" w:rsidRPr="00677233">
        <w:rPr>
          <w:rFonts w:asciiTheme="minorBidi" w:hAnsiTheme="minorBidi" w:cstheme="minorBidi"/>
          <w:b/>
          <w:bCs/>
          <w:sz w:val="22"/>
          <w:szCs w:val="22"/>
        </w:rPr>
        <w:t>i</w:t>
      </w:r>
      <w:r w:rsidR="00375064" w:rsidRPr="00677233">
        <w:rPr>
          <w:rFonts w:asciiTheme="minorBidi" w:hAnsiTheme="minorBidi" w:cstheme="minorBidi"/>
          <w:b/>
          <w:bCs/>
          <w:sz w:val="22"/>
          <w:szCs w:val="22"/>
        </w:rPr>
        <w:t xml:space="preserve">ntangible </w:t>
      </w:r>
      <w:r w:rsidR="00FD1E19" w:rsidRPr="00677233">
        <w:rPr>
          <w:rFonts w:asciiTheme="minorBidi" w:hAnsiTheme="minorBidi" w:cstheme="minorBidi"/>
          <w:b/>
          <w:bCs/>
          <w:sz w:val="22"/>
          <w:szCs w:val="22"/>
        </w:rPr>
        <w:t xml:space="preserve">cultural heritage </w:t>
      </w:r>
      <w:r w:rsidR="00375064" w:rsidRPr="00677233">
        <w:rPr>
          <w:rFonts w:asciiTheme="minorBidi" w:hAnsiTheme="minorBidi" w:cstheme="minorBidi"/>
          <w:b/>
          <w:bCs/>
          <w:sz w:val="22"/>
          <w:szCs w:val="22"/>
        </w:rPr>
        <w:t>covering all seven provinces of Nepal</w:t>
      </w:r>
      <w:r w:rsidRPr="00677233">
        <w:rPr>
          <w:rFonts w:asciiTheme="minorBidi" w:hAnsiTheme="minorBidi" w:cstheme="minorBidi"/>
          <w:bCs/>
          <w:sz w:val="22"/>
          <w:szCs w:val="22"/>
        </w:rPr>
        <w:t>:</w:t>
      </w:r>
    </w:p>
    <w:p w14:paraId="7D95FAE1" w14:textId="27E39601" w:rsidR="006466B6" w:rsidRPr="00677233" w:rsidRDefault="006466B6" w:rsidP="006466B6">
      <w:pPr>
        <w:ind w:left="567"/>
        <w:jc w:val="both"/>
        <w:rPr>
          <w:rFonts w:asciiTheme="minorBidi" w:hAnsiTheme="minorBidi" w:cstheme="minorBidi"/>
          <w:sz w:val="22"/>
          <w:szCs w:val="22"/>
        </w:rPr>
      </w:pPr>
      <w:r w:rsidRPr="00677233">
        <w:rPr>
          <w:rFonts w:asciiTheme="minorBidi" w:hAnsiTheme="minorBidi" w:cstheme="minorBidi"/>
          <w:sz w:val="22"/>
          <w:szCs w:val="22"/>
        </w:rPr>
        <w:t>To be implemented by the UNESCO Office</w:t>
      </w:r>
      <w:r w:rsidR="00FD1E19" w:rsidRPr="00677233">
        <w:rPr>
          <w:rFonts w:asciiTheme="minorBidi" w:hAnsiTheme="minorBidi" w:cstheme="minorBidi"/>
          <w:sz w:val="22"/>
          <w:szCs w:val="22"/>
        </w:rPr>
        <w:t xml:space="preserve"> in Kathmandu</w:t>
      </w:r>
      <w:r w:rsidRPr="00677233">
        <w:rPr>
          <w:rFonts w:asciiTheme="minorBidi" w:hAnsiTheme="minorBidi" w:cstheme="minorBidi"/>
          <w:sz w:val="22"/>
          <w:szCs w:val="22"/>
        </w:rPr>
        <w:t>, in close collaboration with the</w:t>
      </w:r>
      <w:r w:rsidR="00E26676">
        <w:rPr>
          <w:rFonts w:asciiTheme="minorBidi" w:hAnsiTheme="minorBidi" w:cstheme="minorBidi"/>
          <w:sz w:val="22"/>
          <w:szCs w:val="22"/>
        </w:rPr>
        <w:t xml:space="preserve"> </w:t>
      </w:r>
      <w:r w:rsidRPr="00677233">
        <w:rPr>
          <w:rFonts w:asciiTheme="minorBidi" w:hAnsiTheme="minorBidi" w:cstheme="minorBidi"/>
          <w:sz w:val="22"/>
          <w:szCs w:val="22"/>
        </w:rPr>
        <w:t>Ministry of Culture, Tourism and Civil Aviation</w:t>
      </w:r>
      <w:r w:rsidR="00B82401" w:rsidRPr="00677233">
        <w:rPr>
          <w:rFonts w:asciiTheme="minorBidi" w:hAnsiTheme="minorBidi" w:cstheme="minorBidi"/>
          <w:sz w:val="22"/>
          <w:szCs w:val="22"/>
        </w:rPr>
        <w:t xml:space="preserve"> </w:t>
      </w:r>
      <w:r w:rsidR="003352F2" w:rsidRPr="00677233">
        <w:rPr>
          <w:rFonts w:asciiTheme="minorBidi" w:hAnsiTheme="minorBidi" w:cstheme="minorBidi"/>
          <w:sz w:val="22"/>
          <w:szCs w:val="22"/>
        </w:rPr>
        <w:t>(</w:t>
      </w:r>
      <w:proofErr w:type="spellStart"/>
      <w:r w:rsidR="003352F2" w:rsidRPr="00677233">
        <w:rPr>
          <w:rFonts w:asciiTheme="minorBidi" w:hAnsiTheme="minorBidi" w:cstheme="minorBidi"/>
          <w:sz w:val="22"/>
          <w:szCs w:val="22"/>
        </w:rPr>
        <w:t>MoCTCA</w:t>
      </w:r>
      <w:proofErr w:type="spellEnd"/>
      <w:r w:rsidR="003352F2" w:rsidRPr="00677233">
        <w:rPr>
          <w:rFonts w:asciiTheme="minorBidi" w:hAnsiTheme="minorBidi" w:cstheme="minorBidi"/>
          <w:sz w:val="22"/>
          <w:szCs w:val="22"/>
        </w:rPr>
        <w:t>)</w:t>
      </w:r>
      <w:r w:rsidR="00E26676">
        <w:rPr>
          <w:rFonts w:asciiTheme="minorBidi" w:hAnsiTheme="minorBidi" w:cstheme="minorBidi"/>
          <w:sz w:val="22"/>
          <w:szCs w:val="22"/>
        </w:rPr>
        <w:t xml:space="preserve"> of Nepal</w:t>
      </w:r>
      <w:r w:rsidRPr="00677233">
        <w:rPr>
          <w:rFonts w:asciiTheme="minorBidi" w:hAnsiTheme="minorBidi" w:cstheme="minorBidi"/>
          <w:sz w:val="22"/>
          <w:szCs w:val="22"/>
        </w:rPr>
        <w:t>, this twenty-four-month project aims to safeguard intangible cultural heritage</w:t>
      </w:r>
      <w:r w:rsidR="00630F43" w:rsidRPr="00677233">
        <w:rPr>
          <w:rFonts w:asciiTheme="minorBidi" w:hAnsiTheme="minorBidi" w:cstheme="minorBidi"/>
          <w:sz w:val="22"/>
          <w:szCs w:val="22"/>
        </w:rPr>
        <w:t xml:space="preserve"> in Nepal</w:t>
      </w:r>
      <w:r w:rsidRPr="00677233">
        <w:rPr>
          <w:rFonts w:asciiTheme="minorBidi" w:hAnsiTheme="minorBidi" w:cstheme="minorBidi"/>
          <w:sz w:val="22"/>
          <w:szCs w:val="22"/>
        </w:rPr>
        <w:t xml:space="preserve">. The project entails raising awareness of the </w:t>
      </w:r>
      <w:r w:rsidR="005E3F85" w:rsidRPr="00677233">
        <w:rPr>
          <w:rFonts w:asciiTheme="minorBidi" w:hAnsiTheme="minorBidi" w:cstheme="minorBidi"/>
          <w:sz w:val="22"/>
          <w:szCs w:val="22"/>
        </w:rPr>
        <w:t xml:space="preserve">2003 </w:t>
      </w:r>
      <w:r w:rsidRPr="00677233">
        <w:rPr>
          <w:rFonts w:asciiTheme="minorBidi" w:hAnsiTheme="minorBidi" w:cstheme="minorBidi"/>
          <w:sz w:val="22"/>
          <w:szCs w:val="22"/>
        </w:rPr>
        <w:t xml:space="preserve">Convention and </w:t>
      </w:r>
      <w:r w:rsidR="00537E60" w:rsidRPr="00677233">
        <w:rPr>
          <w:rFonts w:asciiTheme="minorBidi" w:hAnsiTheme="minorBidi" w:cstheme="minorBidi"/>
          <w:sz w:val="22"/>
          <w:szCs w:val="22"/>
        </w:rPr>
        <w:t>promot</w:t>
      </w:r>
      <w:r w:rsidR="00AD5B65">
        <w:rPr>
          <w:rFonts w:asciiTheme="minorBidi" w:hAnsiTheme="minorBidi" w:cstheme="minorBidi"/>
          <w:sz w:val="22"/>
          <w:szCs w:val="22"/>
        </w:rPr>
        <w:t>ing</w:t>
      </w:r>
      <w:r w:rsidR="00537E60" w:rsidRPr="00677233">
        <w:rPr>
          <w:rFonts w:asciiTheme="minorBidi" w:hAnsiTheme="minorBidi" w:cstheme="minorBidi"/>
          <w:sz w:val="22"/>
          <w:szCs w:val="22"/>
        </w:rPr>
        <w:t xml:space="preserve"> </w:t>
      </w:r>
      <w:r w:rsidRPr="00677233">
        <w:rPr>
          <w:rFonts w:asciiTheme="minorBidi" w:hAnsiTheme="minorBidi" w:cstheme="minorBidi"/>
          <w:sz w:val="22"/>
          <w:szCs w:val="22"/>
        </w:rPr>
        <w:t xml:space="preserve">its implementation, building capacity for community-based inventorying, and developing an inventory of at least twenty intangible cultural heritage elements. Activities include conducting community-based inventorying workshops for indigenous communities and enhancing visibility and awareness </w:t>
      </w:r>
      <w:r w:rsidR="00537E60" w:rsidRPr="00677233">
        <w:rPr>
          <w:rFonts w:asciiTheme="minorBidi" w:hAnsiTheme="minorBidi" w:cstheme="minorBidi"/>
          <w:sz w:val="22"/>
          <w:szCs w:val="22"/>
        </w:rPr>
        <w:t xml:space="preserve">about living heritage </w:t>
      </w:r>
      <w:r w:rsidRPr="00677233">
        <w:rPr>
          <w:rFonts w:asciiTheme="minorBidi" w:hAnsiTheme="minorBidi" w:cstheme="minorBidi"/>
          <w:sz w:val="22"/>
          <w:szCs w:val="22"/>
        </w:rPr>
        <w:t xml:space="preserve">through </w:t>
      </w:r>
      <w:r w:rsidR="00537E60" w:rsidRPr="00677233">
        <w:rPr>
          <w:rFonts w:asciiTheme="minorBidi" w:hAnsiTheme="minorBidi" w:cstheme="minorBidi"/>
          <w:sz w:val="22"/>
          <w:szCs w:val="22"/>
        </w:rPr>
        <w:t xml:space="preserve">its </w:t>
      </w:r>
      <w:r w:rsidRPr="00677233">
        <w:rPr>
          <w:rFonts w:asciiTheme="minorBidi" w:hAnsiTheme="minorBidi" w:cstheme="minorBidi"/>
          <w:sz w:val="22"/>
          <w:szCs w:val="22"/>
        </w:rPr>
        <w:t xml:space="preserve">inventorying and documentation. The project emphasizes the </w:t>
      </w:r>
      <w:r w:rsidR="00884B4E" w:rsidRPr="00677233">
        <w:rPr>
          <w:rFonts w:asciiTheme="minorBidi" w:hAnsiTheme="minorBidi" w:cstheme="minorBidi"/>
          <w:sz w:val="22"/>
          <w:szCs w:val="22"/>
        </w:rPr>
        <w:t xml:space="preserve">involvement </w:t>
      </w:r>
      <w:r w:rsidRPr="00677233">
        <w:rPr>
          <w:rFonts w:asciiTheme="minorBidi" w:hAnsiTheme="minorBidi" w:cstheme="minorBidi"/>
          <w:sz w:val="22"/>
          <w:szCs w:val="22"/>
        </w:rPr>
        <w:t xml:space="preserve">of bearers and practitioners, </w:t>
      </w:r>
      <w:r w:rsidR="00884B4E" w:rsidRPr="00677233">
        <w:rPr>
          <w:rFonts w:asciiTheme="minorBidi" w:hAnsiTheme="minorBidi" w:cstheme="minorBidi"/>
          <w:sz w:val="22"/>
          <w:szCs w:val="22"/>
        </w:rPr>
        <w:t>including</w:t>
      </w:r>
      <w:r w:rsidRPr="00677233">
        <w:rPr>
          <w:rFonts w:asciiTheme="minorBidi" w:hAnsiTheme="minorBidi" w:cstheme="minorBidi"/>
          <w:sz w:val="22"/>
          <w:szCs w:val="22"/>
        </w:rPr>
        <w:t xml:space="preserve"> representatives from indigenous communities. In addition to strengthening Nepal’s overall capacity to safeguard its intangible cultural heritage, the project’s participatory approach will empower communities to take an active role in identifying and implementing safeguarding measures. It will also equip community members – especially youth – with the skills necessary to conduct workshops and training sessions in their own and in other interested communities, further strengthening awareness and inventorying skills. Moreover, the increased visibility of living heritage is expected to attract financial support from local governments, private organizations and international donors, thus enabling additional safeguarding and promotional activities.</w:t>
      </w:r>
    </w:p>
    <w:p w14:paraId="38A9B606" w14:textId="77777777" w:rsidR="008C1133" w:rsidRPr="00677233" w:rsidRDefault="00A23D0F" w:rsidP="008C1133">
      <w:pPr>
        <w:numPr>
          <w:ilvl w:val="0"/>
          <w:numId w:val="26"/>
        </w:numPr>
        <w:spacing w:before="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Further takes note</w:t>
      </w:r>
      <w:r w:rsidRPr="00677233">
        <w:rPr>
          <w:rFonts w:asciiTheme="minorBidi" w:hAnsiTheme="minorBidi" w:cstheme="minorBidi"/>
          <w:sz w:val="22"/>
          <w:szCs w:val="22"/>
        </w:rPr>
        <w:t xml:space="preserve"> that</w:t>
      </w:r>
      <w:r w:rsidR="008C1133" w:rsidRPr="00677233">
        <w:rPr>
          <w:rFonts w:asciiTheme="minorBidi" w:hAnsiTheme="minorBidi" w:cstheme="minorBidi"/>
          <w:sz w:val="22"/>
          <w:szCs w:val="22"/>
        </w:rPr>
        <w:t xml:space="preserve">: </w:t>
      </w:r>
    </w:p>
    <w:p w14:paraId="62776D79" w14:textId="51CB7318"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sidRPr="00677233">
        <w:rPr>
          <w:rFonts w:asciiTheme="minorBidi" w:hAnsiTheme="minorBidi" w:cstheme="minorBidi"/>
          <w:sz w:val="22"/>
          <w:szCs w:val="22"/>
        </w:rPr>
        <w:t xml:space="preserve">This assistance is to support a project implemented at the national level, in accordance with Article 20 (c) of the </w:t>
      </w:r>
      <w:proofErr w:type="gramStart"/>
      <w:r w:rsidRPr="00677233">
        <w:rPr>
          <w:rFonts w:asciiTheme="minorBidi" w:hAnsiTheme="minorBidi" w:cstheme="minorBidi"/>
          <w:sz w:val="22"/>
          <w:szCs w:val="22"/>
        </w:rPr>
        <w:t>Convention;</w:t>
      </w:r>
      <w:proofErr w:type="gramEnd"/>
    </w:p>
    <w:p w14:paraId="1AAFB325" w14:textId="4BDCC11A"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sidRPr="00677233">
        <w:rPr>
          <w:rFonts w:asciiTheme="minorBidi" w:hAnsiTheme="minorBidi" w:cstheme="minorBidi"/>
          <w:sz w:val="22"/>
          <w:szCs w:val="22"/>
        </w:rPr>
        <w:t>The State Party has requested International Assistance that will take the form of services from UNESCO to the State; and</w:t>
      </w:r>
    </w:p>
    <w:p w14:paraId="0CD6AFBB" w14:textId="15D33A3D" w:rsidR="008C1133" w:rsidRPr="00677233" w:rsidRDefault="008C1133" w:rsidP="002F5057">
      <w:pPr>
        <w:pStyle w:val="Paragraphedeliste"/>
        <w:numPr>
          <w:ilvl w:val="1"/>
          <w:numId w:val="29"/>
        </w:numPr>
        <w:spacing w:before="120" w:after="120"/>
        <w:ind w:left="1135" w:hanging="284"/>
        <w:contextualSpacing w:val="0"/>
        <w:jc w:val="both"/>
        <w:rPr>
          <w:rFonts w:asciiTheme="minorBidi" w:hAnsiTheme="minorBidi" w:cstheme="minorBidi"/>
          <w:sz w:val="22"/>
          <w:szCs w:val="22"/>
        </w:rPr>
      </w:pPr>
      <w:r w:rsidRPr="00677233">
        <w:rPr>
          <w:rFonts w:asciiTheme="minorBidi" w:hAnsiTheme="minorBidi" w:cstheme="minorBidi"/>
          <w:sz w:val="22"/>
          <w:szCs w:val="22"/>
        </w:rPr>
        <w:t xml:space="preserve">The assistance therefore takes the form of the </w:t>
      </w:r>
      <w:r w:rsidRPr="00677233">
        <w:rPr>
          <w:rFonts w:asciiTheme="minorBidi" w:hAnsiTheme="minorBidi" w:cstheme="minorBidi"/>
          <w:b/>
          <w:bCs/>
          <w:sz w:val="22"/>
          <w:szCs w:val="22"/>
        </w:rPr>
        <w:t>provision of services</w:t>
      </w:r>
      <w:r w:rsidRPr="00677233">
        <w:rPr>
          <w:rFonts w:asciiTheme="minorBidi" w:hAnsiTheme="minorBidi" w:cstheme="minorBidi"/>
          <w:sz w:val="22"/>
          <w:szCs w:val="22"/>
        </w:rPr>
        <w:t xml:space="preserve"> from UNESCO (100 per cent of the financial transactions are to be managed by UNESCO), pursuant to Article 21 (b) and (g) of the </w:t>
      </w:r>
      <w:proofErr w:type="gramStart"/>
      <w:r w:rsidRPr="00677233">
        <w:rPr>
          <w:rFonts w:asciiTheme="minorBidi" w:hAnsiTheme="minorBidi" w:cstheme="minorBidi"/>
          <w:sz w:val="22"/>
          <w:szCs w:val="22"/>
        </w:rPr>
        <w:t>Convention;</w:t>
      </w:r>
      <w:proofErr w:type="gramEnd"/>
    </w:p>
    <w:p w14:paraId="4FA9A0D9" w14:textId="69E83D0C" w:rsidR="00A23D0F" w:rsidRPr="00677233" w:rsidRDefault="00A23D0F" w:rsidP="002636B5">
      <w:pPr>
        <w:keepNext/>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Also takes note</w:t>
      </w:r>
      <w:r w:rsidRPr="00677233">
        <w:rPr>
          <w:rFonts w:asciiTheme="minorBidi" w:hAnsiTheme="minorBidi" w:cstheme="minorBidi"/>
          <w:sz w:val="22"/>
          <w:szCs w:val="22"/>
        </w:rPr>
        <w:t xml:space="preserve"> </w:t>
      </w:r>
      <w:r w:rsidR="002636B5" w:rsidRPr="00677233">
        <w:rPr>
          <w:rFonts w:asciiTheme="minorBidi" w:hAnsiTheme="minorBidi" w:cstheme="minorBidi"/>
          <w:sz w:val="22"/>
          <w:szCs w:val="22"/>
        </w:rPr>
        <w:t xml:space="preserve">that the request concerns International Assistance in the amount of </w:t>
      </w:r>
      <w:r w:rsidR="00F11AD6" w:rsidRPr="00677233">
        <w:rPr>
          <w:rFonts w:asciiTheme="minorBidi" w:hAnsiTheme="minorBidi" w:cstheme="minorBidi"/>
          <w:sz w:val="22"/>
          <w:szCs w:val="22"/>
        </w:rPr>
        <w:t xml:space="preserve">US$99,033 </w:t>
      </w:r>
      <w:r w:rsidR="002636B5" w:rsidRPr="00677233">
        <w:rPr>
          <w:rFonts w:asciiTheme="minorBidi" w:hAnsiTheme="minorBidi" w:cstheme="minorBidi"/>
          <w:sz w:val="22"/>
          <w:szCs w:val="22"/>
        </w:rPr>
        <w:t xml:space="preserve">from the Intangible Cultural Heritage Fund for this project, which will be implemented by the UNESCO Office in Kathmandu, in close cooperation with the </w:t>
      </w:r>
      <w:r w:rsidR="006466B6" w:rsidRPr="00677233">
        <w:rPr>
          <w:rFonts w:asciiTheme="minorBidi" w:hAnsiTheme="minorBidi" w:cstheme="minorBidi"/>
          <w:sz w:val="22"/>
          <w:szCs w:val="22"/>
        </w:rPr>
        <w:t xml:space="preserve">Ministry of Culture, Tourism and Civil </w:t>
      </w:r>
      <w:r w:rsidR="005A613D" w:rsidRPr="00677233">
        <w:rPr>
          <w:rFonts w:asciiTheme="minorBidi" w:hAnsiTheme="minorBidi" w:cstheme="minorBidi"/>
          <w:sz w:val="22"/>
          <w:szCs w:val="22"/>
        </w:rPr>
        <w:t xml:space="preserve">Aviation of </w:t>
      </w:r>
      <w:proofErr w:type="gramStart"/>
      <w:r w:rsidR="005A613D" w:rsidRPr="00677233">
        <w:rPr>
          <w:rFonts w:asciiTheme="minorBidi" w:hAnsiTheme="minorBidi" w:cstheme="minorBidi"/>
          <w:sz w:val="22"/>
          <w:szCs w:val="22"/>
        </w:rPr>
        <w:t>Nepal</w:t>
      </w:r>
      <w:r w:rsidR="002636B5" w:rsidRPr="00677233">
        <w:rPr>
          <w:rFonts w:asciiTheme="minorBidi" w:hAnsiTheme="minorBidi" w:cstheme="minorBidi"/>
          <w:sz w:val="22"/>
          <w:szCs w:val="22"/>
        </w:rPr>
        <w:t>;</w:t>
      </w:r>
      <w:proofErr w:type="gramEnd"/>
    </w:p>
    <w:p w14:paraId="48765293" w14:textId="60BEDC86" w:rsidR="002636B5" w:rsidRPr="00677233" w:rsidRDefault="002636B5" w:rsidP="002636B5">
      <w:pPr>
        <w:keepNext/>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Understands</w:t>
      </w:r>
      <w:r w:rsidR="002051ED" w:rsidRPr="001C2550">
        <w:rPr>
          <w:rFonts w:asciiTheme="minorBidi" w:hAnsiTheme="minorBidi" w:cstheme="minorBidi"/>
          <w:sz w:val="22"/>
          <w:szCs w:val="22"/>
        </w:rPr>
        <w:t xml:space="preserve"> </w:t>
      </w:r>
      <w:r w:rsidRPr="00677233">
        <w:rPr>
          <w:rFonts w:asciiTheme="minorBidi" w:hAnsiTheme="minorBidi" w:cstheme="minorBidi"/>
          <w:sz w:val="22"/>
          <w:szCs w:val="22"/>
        </w:rPr>
        <w:t xml:space="preserve">that the UNESCO Office </w:t>
      </w:r>
      <w:r w:rsidR="006466B6" w:rsidRPr="00677233">
        <w:rPr>
          <w:rFonts w:asciiTheme="minorBidi" w:hAnsiTheme="minorBidi" w:cstheme="minorBidi"/>
          <w:sz w:val="22"/>
          <w:szCs w:val="22"/>
        </w:rPr>
        <w:t xml:space="preserve">in Kathmandu </w:t>
      </w:r>
      <w:r w:rsidRPr="00677233">
        <w:rPr>
          <w:rFonts w:asciiTheme="minorBidi" w:hAnsiTheme="minorBidi" w:cstheme="minorBidi"/>
          <w:sz w:val="22"/>
          <w:szCs w:val="22"/>
        </w:rPr>
        <w:t>will be responsible for the management of the total amount requested from the Intangible Cultural Heritage Fund, while the requesting State will be responsible for co-managing the project by: (a) </w:t>
      </w:r>
      <w:r w:rsidR="00C109A2" w:rsidRPr="00677233">
        <w:rPr>
          <w:rFonts w:asciiTheme="minorBidi" w:hAnsiTheme="minorBidi" w:cstheme="minorBidi"/>
          <w:sz w:val="22"/>
          <w:szCs w:val="22"/>
        </w:rPr>
        <w:t>organizing the trainings, workshops and meetings</w:t>
      </w:r>
      <w:r w:rsidRPr="00677233">
        <w:rPr>
          <w:rFonts w:asciiTheme="minorBidi" w:hAnsiTheme="minorBidi" w:cstheme="minorBidi"/>
          <w:sz w:val="22"/>
          <w:szCs w:val="22"/>
        </w:rPr>
        <w:t>; (b) </w:t>
      </w:r>
      <w:r w:rsidR="00C109A2" w:rsidRPr="00677233">
        <w:rPr>
          <w:rFonts w:asciiTheme="minorBidi" w:hAnsiTheme="minorBidi" w:cstheme="minorBidi"/>
          <w:sz w:val="22"/>
          <w:szCs w:val="22"/>
        </w:rPr>
        <w:t>facilitating the selection of trainees and participants</w:t>
      </w:r>
      <w:r w:rsidRPr="00677233">
        <w:rPr>
          <w:rFonts w:asciiTheme="minorBidi" w:hAnsiTheme="minorBidi" w:cstheme="minorBidi"/>
          <w:sz w:val="22"/>
          <w:szCs w:val="22"/>
        </w:rPr>
        <w:t>; (c) </w:t>
      </w:r>
      <w:r w:rsidR="00C109A2" w:rsidRPr="00677233">
        <w:rPr>
          <w:rFonts w:asciiTheme="minorBidi" w:hAnsiTheme="minorBidi" w:cstheme="minorBidi"/>
          <w:sz w:val="22"/>
          <w:szCs w:val="22"/>
        </w:rPr>
        <w:t>facilitating access to information and data on living heritage</w:t>
      </w:r>
      <w:r w:rsidRPr="00677233">
        <w:rPr>
          <w:rFonts w:asciiTheme="minorBidi" w:hAnsiTheme="minorBidi" w:cstheme="minorBidi"/>
          <w:sz w:val="22"/>
          <w:szCs w:val="22"/>
        </w:rPr>
        <w:t xml:space="preserve">; </w:t>
      </w:r>
      <w:r w:rsidR="00BD2D26" w:rsidRPr="00677233">
        <w:rPr>
          <w:rFonts w:asciiTheme="minorBidi" w:hAnsiTheme="minorBidi" w:cstheme="minorBidi"/>
          <w:sz w:val="22"/>
          <w:szCs w:val="22"/>
        </w:rPr>
        <w:t xml:space="preserve">and </w:t>
      </w:r>
      <w:r w:rsidRPr="00677233">
        <w:rPr>
          <w:rFonts w:asciiTheme="minorBidi" w:hAnsiTheme="minorBidi" w:cstheme="minorBidi"/>
          <w:sz w:val="22"/>
          <w:szCs w:val="22"/>
        </w:rPr>
        <w:t xml:space="preserve">(d) providing </w:t>
      </w:r>
      <w:r w:rsidR="00384B4D" w:rsidRPr="00677233">
        <w:rPr>
          <w:rFonts w:asciiTheme="minorBidi" w:hAnsiTheme="minorBidi" w:cstheme="minorBidi"/>
          <w:sz w:val="22"/>
          <w:szCs w:val="22"/>
        </w:rPr>
        <w:t xml:space="preserve">support </w:t>
      </w:r>
      <w:r w:rsidR="00537E60" w:rsidRPr="00677233">
        <w:rPr>
          <w:rFonts w:asciiTheme="minorBidi" w:hAnsiTheme="minorBidi" w:cstheme="minorBidi"/>
          <w:sz w:val="22"/>
          <w:szCs w:val="22"/>
        </w:rPr>
        <w:t xml:space="preserve">for </w:t>
      </w:r>
      <w:r w:rsidR="00384B4D" w:rsidRPr="00677233">
        <w:rPr>
          <w:rFonts w:asciiTheme="minorBidi" w:hAnsiTheme="minorBidi" w:cstheme="minorBidi"/>
          <w:sz w:val="22"/>
          <w:szCs w:val="22"/>
        </w:rPr>
        <w:t xml:space="preserve">the </w:t>
      </w:r>
      <w:r w:rsidR="00C109A2" w:rsidRPr="00677233">
        <w:rPr>
          <w:rFonts w:asciiTheme="minorBidi" w:hAnsiTheme="minorBidi" w:cstheme="minorBidi"/>
          <w:sz w:val="22"/>
          <w:szCs w:val="22"/>
        </w:rPr>
        <w:t xml:space="preserve">implementation of </w:t>
      </w:r>
      <w:r w:rsidR="00384B4D" w:rsidRPr="00677233">
        <w:rPr>
          <w:rFonts w:asciiTheme="minorBidi" w:hAnsiTheme="minorBidi" w:cstheme="minorBidi"/>
          <w:sz w:val="22"/>
          <w:szCs w:val="22"/>
        </w:rPr>
        <w:t>project activitie</w:t>
      </w:r>
      <w:r w:rsidR="00BD2D26" w:rsidRPr="00677233">
        <w:rPr>
          <w:rFonts w:asciiTheme="minorBidi" w:hAnsiTheme="minorBidi" w:cstheme="minorBidi"/>
          <w:sz w:val="22"/>
          <w:szCs w:val="22"/>
        </w:rPr>
        <w:t>s.</w:t>
      </w:r>
    </w:p>
    <w:p w14:paraId="398C7502" w14:textId="66E4AA39"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Decides</w:t>
      </w:r>
      <w:r w:rsidRPr="00677233">
        <w:rPr>
          <w:rFonts w:asciiTheme="minorBidi" w:hAnsiTheme="minorBidi" w:cstheme="minorBidi"/>
          <w:sz w:val="22"/>
          <w:szCs w:val="22"/>
        </w:rPr>
        <w:t xml:space="preserve"> that, from the information provided in file no. </w:t>
      </w:r>
      <w:r w:rsidR="00375064" w:rsidRPr="00677233">
        <w:rPr>
          <w:rFonts w:asciiTheme="minorBidi" w:hAnsiTheme="minorBidi" w:cstheme="minorBidi"/>
          <w:sz w:val="22"/>
          <w:szCs w:val="22"/>
        </w:rPr>
        <w:t>02462</w:t>
      </w:r>
      <w:r w:rsidRPr="00677233">
        <w:rPr>
          <w:rFonts w:asciiTheme="minorBidi" w:hAnsiTheme="minorBidi" w:cstheme="minorBidi"/>
          <w:sz w:val="22"/>
          <w:szCs w:val="22"/>
        </w:rPr>
        <w:t>, the request responds as follows to the criteria for granting International Assistance given in paragraphs 10 and 12 of the Operational Directives:</w:t>
      </w:r>
    </w:p>
    <w:p w14:paraId="5C719A4D" w14:textId="6D47A764" w:rsidR="00A23D0F" w:rsidRPr="00677233" w:rsidRDefault="00A23D0F" w:rsidP="00A02161">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A.1</w:t>
      </w:r>
      <w:r w:rsidRPr="00677233">
        <w:rPr>
          <w:rFonts w:asciiTheme="minorBidi" w:hAnsiTheme="minorBidi" w:cstheme="minorBidi"/>
          <w:b/>
          <w:bCs/>
          <w:sz w:val="22"/>
          <w:szCs w:val="22"/>
        </w:rPr>
        <w:t xml:space="preserve">: </w:t>
      </w:r>
      <w:r w:rsidR="00633AE4" w:rsidRPr="00677233">
        <w:rPr>
          <w:rFonts w:asciiTheme="minorBidi" w:hAnsiTheme="minorBidi" w:cstheme="minorBidi"/>
          <w:sz w:val="22"/>
          <w:szCs w:val="22"/>
        </w:rPr>
        <w:t xml:space="preserve">The need to strengthen capacities for community-based inventorying of intangible cultural heritage, particularly among indigenous communities, was identified through </w:t>
      </w:r>
      <w:r w:rsidR="002274E4" w:rsidRPr="00677233">
        <w:rPr>
          <w:rFonts w:asciiTheme="minorBidi" w:hAnsiTheme="minorBidi" w:cstheme="minorBidi"/>
          <w:sz w:val="22"/>
          <w:szCs w:val="22"/>
        </w:rPr>
        <w:t>the periodic reporting exercise</w:t>
      </w:r>
      <w:r w:rsidR="002274E4" w:rsidRPr="00677233">
        <w:rPr>
          <w:rStyle w:val="Appelnotedebasdep"/>
          <w:rFonts w:asciiTheme="minorBidi" w:hAnsiTheme="minorBidi" w:cstheme="minorBidi"/>
          <w:sz w:val="22"/>
          <w:szCs w:val="22"/>
        </w:rPr>
        <w:footnoteReference w:id="2"/>
      </w:r>
      <w:r w:rsidR="002274E4" w:rsidRPr="00677233">
        <w:rPr>
          <w:rFonts w:asciiTheme="minorBidi" w:hAnsiTheme="minorBidi" w:cstheme="minorBidi"/>
          <w:sz w:val="22"/>
          <w:szCs w:val="22"/>
        </w:rPr>
        <w:t xml:space="preserve"> undertaken by Nepal</w:t>
      </w:r>
      <w:r w:rsidR="00FB1C72" w:rsidRPr="00677233">
        <w:rPr>
          <w:rFonts w:asciiTheme="minorBidi" w:hAnsiTheme="minorBidi" w:cstheme="minorBidi"/>
          <w:sz w:val="22"/>
          <w:szCs w:val="22"/>
        </w:rPr>
        <w:t xml:space="preserve"> in 2024.</w:t>
      </w:r>
      <w:r w:rsidR="00841F83" w:rsidRPr="00677233">
        <w:rPr>
          <w:rFonts w:asciiTheme="minorBidi" w:hAnsiTheme="minorBidi" w:cstheme="minorBidi"/>
          <w:sz w:val="22"/>
          <w:szCs w:val="22"/>
        </w:rPr>
        <w:t xml:space="preserve"> </w:t>
      </w:r>
      <w:r w:rsidR="00FB1C72" w:rsidRPr="00677233">
        <w:rPr>
          <w:rFonts w:asciiTheme="minorBidi" w:hAnsiTheme="minorBidi" w:cstheme="minorBidi"/>
          <w:sz w:val="22"/>
          <w:szCs w:val="22"/>
        </w:rPr>
        <w:t>R</w:t>
      </w:r>
      <w:r w:rsidR="002274E4" w:rsidRPr="00677233">
        <w:rPr>
          <w:rFonts w:asciiTheme="minorBidi" w:hAnsiTheme="minorBidi" w:cstheme="minorBidi"/>
          <w:sz w:val="22"/>
          <w:szCs w:val="22"/>
        </w:rPr>
        <w:t xml:space="preserve">epresentatives from </w:t>
      </w:r>
      <w:r w:rsidR="00A02161" w:rsidRPr="00677233">
        <w:rPr>
          <w:rFonts w:asciiTheme="minorBidi" w:hAnsiTheme="minorBidi" w:cstheme="minorBidi"/>
          <w:sz w:val="22"/>
          <w:szCs w:val="22"/>
        </w:rPr>
        <w:t xml:space="preserve">seventeen </w:t>
      </w:r>
      <w:r w:rsidR="00FB1C72" w:rsidRPr="00677233">
        <w:rPr>
          <w:rFonts w:asciiTheme="minorBidi" w:hAnsiTheme="minorBidi" w:cstheme="minorBidi"/>
          <w:sz w:val="22"/>
          <w:szCs w:val="22"/>
        </w:rPr>
        <w:t>communities gathered</w:t>
      </w:r>
      <w:r w:rsidR="00A02161" w:rsidRPr="00677233">
        <w:rPr>
          <w:rFonts w:asciiTheme="minorBidi" w:hAnsiTheme="minorBidi" w:cstheme="minorBidi"/>
          <w:sz w:val="22"/>
          <w:szCs w:val="22"/>
        </w:rPr>
        <w:t xml:space="preserve"> in July 2025 and </w:t>
      </w:r>
      <w:r w:rsidR="002274E4" w:rsidRPr="00677233">
        <w:rPr>
          <w:rFonts w:asciiTheme="minorBidi" w:hAnsiTheme="minorBidi" w:cstheme="minorBidi"/>
          <w:sz w:val="22"/>
          <w:szCs w:val="22"/>
        </w:rPr>
        <w:t xml:space="preserve">expressed their wish for </w:t>
      </w:r>
      <w:r w:rsidR="00A02161" w:rsidRPr="00677233">
        <w:rPr>
          <w:rFonts w:asciiTheme="minorBidi" w:hAnsiTheme="minorBidi" w:cstheme="minorBidi"/>
          <w:sz w:val="22"/>
          <w:szCs w:val="22"/>
        </w:rPr>
        <w:t>capacity</w:t>
      </w:r>
      <w:r w:rsidR="00FB78E2" w:rsidRPr="00677233">
        <w:rPr>
          <w:rFonts w:asciiTheme="minorBidi" w:hAnsiTheme="minorBidi" w:cstheme="minorBidi"/>
          <w:sz w:val="22"/>
          <w:szCs w:val="22"/>
        </w:rPr>
        <w:t>-</w:t>
      </w:r>
      <w:r w:rsidR="00A02161" w:rsidRPr="00677233">
        <w:rPr>
          <w:rFonts w:asciiTheme="minorBidi" w:hAnsiTheme="minorBidi" w:cstheme="minorBidi"/>
          <w:sz w:val="22"/>
          <w:szCs w:val="22"/>
        </w:rPr>
        <w:t>building training</w:t>
      </w:r>
      <w:r w:rsidR="002274E4" w:rsidRPr="00677233">
        <w:rPr>
          <w:rFonts w:asciiTheme="minorBidi" w:hAnsiTheme="minorBidi" w:cstheme="minorBidi"/>
          <w:sz w:val="22"/>
          <w:szCs w:val="22"/>
        </w:rPr>
        <w:t xml:space="preserve">, </w:t>
      </w:r>
      <w:r w:rsidR="00FB78E2" w:rsidRPr="00677233">
        <w:rPr>
          <w:rFonts w:asciiTheme="minorBidi" w:hAnsiTheme="minorBidi" w:cstheme="minorBidi"/>
          <w:sz w:val="22"/>
          <w:szCs w:val="22"/>
        </w:rPr>
        <w:t xml:space="preserve">to be </w:t>
      </w:r>
      <w:r w:rsidR="002274E4" w:rsidRPr="00677233">
        <w:rPr>
          <w:rFonts w:asciiTheme="minorBidi" w:hAnsiTheme="minorBidi" w:cstheme="minorBidi"/>
          <w:sz w:val="22"/>
          <w:szCs w:val="22"/>
        </w:rPr>
        <w:t xml:space="preserve">followed by </w:t>
      </w:r>
      <w:r w:rsidR="00A02161" w:rsidRPr="00677233">
        <w:rPr>
          <w:rFonts w:asciiTheme="minorBidi" w:hAnsiTheme="minorBidi" w:cstheme="minorBidi"/>
          <w:sz w:val="22"/>
          <w:szCs w:val="22"/>
        </w:rPr>
        <w:t xml:space="preserve">community-based </w:t>
      </w:r>
      <w:r w:rsidR="002274E4" w:rsidRPr="00677233">
        <w:rPr>
          <w:rFonts w:asciiTheme="minorBidi" w:hAnsiTheme="minorBidi" w:cstheme="minorBidi"/>
          <w:sz w:val="22"/>
          <w:szCs w:val="22"/>
        </w:rPr>
        <w:t>inventorying exercise</w:t>
      </w:r>
      <w:r w:rsidR="00A02161" w:rsidRPr="00677233">
        <w:rPr>
          <w:rFonts w:asciiTheme="minorBidi" w:hAnsiTheme="minorBidi" w:cstheme="minorBidi"/>
          <w:sz w:val="22"/>
          <w:szCs w:val="22"/>
        </w:rPr>
        <w:t>s across the country</w:t>
      </w:r>
      <w:r w:rsidR="002274E4" w:rsidRPr="00677233">
        <w:rPr>
          <w:rFonts w:asciiTheme="minorBidi" w:hAnsiTheme="minorBidi" w:cstheme="minorBidi"/>
          <w:sz w:val="22"/>
          <w:szCs w:val="22"/>
        </w:rPr>
        <w:t>. While the proposal</w:t>
      </w:r>
      <w:r w:rsidR="00FB1C72" w:rsidRPr="00677233">
        <w:rPr>
          <w:rFonts w:asciiTheme="minorBidi" w:hAnsiTheme="minorBidi" w:cstheme="minorBidi"/>
          <w:sz w:val="22"/>
          <w:szCs w:val="22"/>
        </w:rPr>
        <w:t xml:space="preserve"> </w:t>
      </w:r>
      <w:r w:rsidR="002274E4" w:rsidRPr="00677233">
        <w:rPr>
          <w:rFonts w:asciiTheme="minorBidi" w:hAnsiTheme="minorBidi" w:cstheme="minorBidi"/>
          <w:sz w:val="22"/>
          <w:szCs w:val="22"/>
        </w:rPr>
        <w:t>was initiated by</w:t>
      </w:r>
      <w:r w:rsidR="00A02161" w:rsidRPr="00677233">
        <w:rPr>
          <w:rFonts w:asciiTheme="minorBidi" w:hAnsiTheme="minorBidi" w:cstheme="minorBidi"/>
          <w:sz w:val="22"/>
          <w:szCs w:val="22"/>
        </w:rPr>
        <w:t xml:space="preserve"> the Ministry of Culture, Tourism and Civil Aviation</w:t>
      </w:r>
      <w:r w:rsidR="002274E4" w:rsidRPr="00677233">
        <w:rPr>
          <w:rFonts w:asciiTheme="minorBidi" w:hAnsiTheme="minorBidi" w:cstheme="minorBidi"/>
          <w:sz w:val="22"/>
          <w:szCs w:val="22"/>
        </w:rPr>
        <w:t xml:space="preserve">, </w:t>
      </w:r>
      <w:r w:rsidR="00A02161" w:rsidRPr="00677233">
        <w:rPr>
          <w:rFonts w:asciiTheme="minorBidi" w:hAnsiTheme="minorBidi" w:cstheme="minorBidi"/>
          <w:sz w:val="22"/>
          <w:szCs w:val="22"/>
        </w:rPr>
        <w:t xml:space="preserve">three indigenous </w:t>
      </w:r>
      <w:r w:rsidR="002274E4" w:rsidRPr="00677233">
        <w:rPr>
          <w:rFonts w:asciiTheme="minorBidi" w:hAnsiTheme="minorBidi" w:cstheme="minorBidi"/>
          <w:sz w:val="22"/>
          <w:szCs w:val="22"/>
        </w:rPr>
        <w:t xml:space="preserve">organizations were involved in </w:t>
      </w:r>
      <w:r w:rsidR="00FB78E2" w:rsidRPr="00677233">
        <w:rPr>
          <w:rFonts w:asciiTheme="minorBidi" w:hAnsiTheme="minorBidi" w:cstheme="minorBidi"/>
          <w:sz w:val="22"/>
          <w:szCs w:val="22"/>
        </w:rPr>
        <w:t>preparing the</w:t>
      </w:r>
      <w:r w:rsidR="002274E4" w:rsidRPr="00677233">
        <w:rPr>
          <w:rFonts w:asciiTheme="minorBidi" w:hAnsiTheme="minorBidi" w:cstheme="minorBidi"/>
          <w:sz w:val="22"/>
          <w:szCs w:val="22"/>
        </w:rPr>
        <w:t xml:space="preserve"> </w:t>
      </w:r>
      <w:r w:rsidR="00FB1C72" w:rsidRPr="00677233">
        <w:rPr>
          <w:rFonts w:asciiTheme="minorBidi" w:hAnsiTheme="minorBidi" w:cstheme="minorBidi"/>
          <w:sz w:val="22"/>
          <w:szCs w:val="22"/>
        </w:rPr>
        <w:t xml:space="preserve">International Assistance </w:t>
      </w:r>
      <w:r w:rsidR="002274E4" w:rsidRPr="00677233">
        <w:rPr>
          <w:rFonts w:asciiTheme="minorBidi" w:hAnsiTheme="minorBidi" w:cstheme="minorBidi"/>
          <w:sz w:val="22"/>
          <w:szCs w:val="22"/>
        </w:rPr>
        <w:t xml:space="preserve">request. The request clearly demonstrates </w:t>
      </w:r>
      <w:r w:rsidR="00FB78E2" w:rsidRPr="00677233">
        <w:rPr>
          <w:rFonts w:asciiTheme="minorBidi" w:hAnsiTheme="minorBidi" w:cstheme="minorBidi"/>
          <w:sz w:val="22"/>
          <w:szCs w:val="22"/>
        </w:rPr>
        <w:t xml:space="preserve">community involvement </w:t>
      </w:r>
      <w:r w:rsidR="002274E4" w:rsidRPr="00677233">
        <w:rPr>
          <w:rFonts w:asciiTheme="minorBidi" w:hAnsiTheme="minorBidi" w:cstheme="minorBidi"/>
          <w:sz w:val="22"/>
          <w:szCs w:val="22"/>
        </w:rPr>
        <w:t>in all the activities foreseen in the projec</w:t>
      </w:r>
      <w:r w:rsidR="00A02161" w:rsidRPr="00677233">
        <w:rPr>
          <w:rFonts w:asciiTheme="minorBidi" w:hAnsiTheme="minorBidi" w:cstheme="minorBidi"/>
          <w:sz w:val="22"/>
          <w:szCs w:val="22"/>
        </w:rPr>
        <w:t>t</w:t>
      </w:r>
      <w:r w:rsidR="00FB78E2" w:rsidRPr="00677233">
        <w:rPr>
          <w:rFonts w:asciiTheme="minorBidi" w:hAnsiTheme="minorBidi" w:cstheme="minorBidi"/>
          <w:sz w:val="22"/>
          <w:szCs w:val="22"/>
        </w:rPr>
        <w:t>.</w:t>
      </w:r>
      <w:r w:rsidR="00BD2D26" w:rsidRPr="00677233">
        <w:rPr>
          <w:rFonts w:asciiTheme="minorBidi" w:hAnsiTheme="minorBidi" w:cstheme="minorBidi"/>
          <w:sz w:val="22"/>
          <w:szCs w:val="22"/>
        </w:rPr>
        <w:t xml:space="preserve"> T</w:t>
      </w:r>
      <w:r w:rsidR="00FB78E2" w:rsidRPr="00677233">
        <w:rPr>
          <w:rFonts w:asciiTheme="minorBidi" w:hAnsiTheme="minorBidi" w:cstheme="minorBidi"/>
          <w:sz w:val="22"/>
          <w:szCs w:val="22"/>
        </w:rPr>
        <w:t>h</w:t>
      </w:r>
      <w:r w:rsidR="00A02161" w:rsidRPr="00677233">
        <w:rPr>
          <w:rFonts w:asciiTheme="minorBidi" w:hAnsiTheme="minorBidi" w:cstheme="minorBidi"/>
          <w:sz w:val="22"/>
          <w:szCs w:val="22"/>
        </w:rPr>
        <w:t xml:space="preserve">ey will </w:t>
      </w:r>
      <w:r w:rsidR="00FB78E2" w:rsidRPr="00677233">
        <w:rPr>
          <w:rFonts w:asciiTheme="minorBidi" w:hAnsiTheme="minorBidi" w:cstheme="minorBidi"/>
          <w:sz w:val="22"/>
          <w:szCs w:val="22"/>
        </w:rPr>
        <w:t xml:space="preserve">also </w:t>
      </w:r>
      <w:r w:rsidR="00A02161" w:rsidRPr="00677233">
        <w:rPr>
          <w:rFonts w:asciiTheme="minorBidi" w:hAnsiTheme="minorBidi" w:cstheme="minorBidi"/>
          <w:sz w:val="22"/>
          <w:szCs w:val="22"/>
        </w:rPr>
        <w:t>be part of the national coordination committee which will oversee the implementation of the project.</w:t>
      </w:r>
    </w:p>
    <w:p w14:paraId="0D396E3E" w14:textId="11DCACAD" w:rsidR="00A23D0F" w:rsidRPr="00677233" w:rsidRDefault="00A23D0F" w:rsidP="008C1133">
      <w:pPr>
        <w:spacing w:before="120" w:after="120"/>
        <w:ind w:left="567"/>
        <w:jc w:val="both"/>
        <w:rPr>
          <w:rFonts w:asciiTheme="minorBidi" w:hAnsiTheme="minorBidi" w:cstheme="minorBidi"/>
          <w:bCs/>
          <w:sz w:val="22"/>
          <w:szCs w:val="22"/>
        </w:rPr>
      </w:pPr>
      <w:r w:rsidRPr="00677233">
        <w:rPr>
          <w:rFonts w:asciiTheme="minorBidi" w:hAnsiTheme="minorBidi" w:cstheme="minorBidi"/>
          <w:b/>
          <w:sz w:val="22"/>
          <w:szCs w:val="22"/>
        </w:rPr>
        <w:t>Criterion A.2</w:t>
      </w:r>
      <w:r w:rsidRPr="00677233">
        <w:rPr>
          <w:rFonts w:asciiTheme="minorBidi" w:hAnsiTheme="minorBidi" w:cstheme="minorBidi"/>
          <w:b/>
          <w:bCs/>
          <w:sz w:val="22"/>
          <w:szCs w:val="22"/>
        </w:rPr>
        <w:t>:</w:t>
      </w:r>
      <w:r w:rsidRPr="00677233">
        <w:rPr>
          <w:rFonts w:asciiTheme="minorBidi" w:hAnsiTheme="minorBidi" w:cstheme="minorBidi"/>
          <w:bCs/>
          <w:sz w:val="22"/>
          <w:szCs w:val="22"/>
        </w:rPr>
        <w:t xml:space="preserve"> </w:t>
      </w:r>
      <w:r w:rsidRPr="00677233">
        <w:rPr>
          <w:rFonts w:asciiTheme="minorBidi" w:hAnsiTheme="minorBidi" w:cstheme="minorBidi"/>
          <w:sz w:val="22"/>
          <w:szCs w:val="22"/>
        </w:rPr>
        <w:t>The budget breakdown and the proposed timetable are well</w:t>
      </w:r>
      <w:r w:rsidR="002E07EC" w:rsidRPr="00677233">
        <w:rPr>
          <w:rFonts w:asciiTheme="minorBidi" w:hAnsiTheme="minorBidi" w:cstheme="minorBidi"/>
          <w:sz w:val="22"/>
          <w:szCs w:val="22"/>
        </w:rPr>
        <w:t>-</w:t>
      </w:r>
      <w:r w:rsidRPr="00677233">
        <w:rPr>
          <w:rFonts w:asciiTheme="minorBidi" w:hAnsiTheme="minorBidi" w:cstheme="minorBidi"/>
          <w:sz w:val="22"/>
          <w:szCs w:val="22"/>
        </w:rPr>
        <w:t>structured and in line with the activities described in the request. The amount of assistance requested is deemed appropriate.</w:t>
      </w:r>
    </w:p>
    <w:p w14:paraId="33373D9F" w14:textId="0D904369" w:rsidR="00105F20" w:rsidRPr="00677233" w:rsidRDefault="00A23D0F" w:rsidP="00105F20">
      <w:pPr>
        <w:spacing w:before="120" w:after="120"/>
        <w:ind w:left="567"/>
        <w:jc w:val="both"/>
        <w:rPr>
          <w:rFonts w:asciiTheme="minorBidi" w:hAnsiTheme="minorBidi" w:cstheme="minorBidi"/>
          <w:bCs/>
          <w:sz w:val="22"/>
          <w:szCs w:val="22"/>
        </w:rPr>
      </w:pPr>
      <w:r w:rsidRPr="00677233">
        <w:rPr>
          <w:rFonts w:asciiTheme="minorBidi" w:hAnsiTheme="minorBidi" w:cstheme="minorBidi"/>
          <w:b/>
          <w:sz w:val="22"/>
          <w:szCs w:val="22"/>
        </w:rPr>
        <w:t>Criterion A.3</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105F20" w:rsidRPr="00677233">
        <w:rPr>
          <w:rFonts w:asciiTheme="minorBidi" w:hAnsiTheme="minorBidi" w:cstheme="minorBidi"/>
          <w:sz w:val="22"/>
          <w:szCs w:val="22"/>
        </w:rPr>
        <w:t xml:space="preserve">The request </w:t>
      </w:r>
      <w:r w:rsidR="002E07EC" w:rsidRPr="00677233">
        <w:rPr>
          <w:rFonts w:asciiTheme="minorBidi" w:hAnsiTheme="minorBidi" w:cstheme="minorBidi"/>
          <w:sz w:val="22"/>
          <w:szCs w:val="22"/>
        </w:rPr>
        <w:t xml:space="preserve">is composed of </w:t>
      </w:r>
      <w:r w:rsidR="00105F20" w:rsidRPr="00677233">
        <w:rPr>
          <w:rFonts w:asciiTheme="minorBidi" w:hAnsiTheme="minorBidi" w:cstheme="minorBidi"/>
          <w:sz w:val="22"/>
          <w:szCs w:val="22"/>
        </w:rPr>
        <w:t>ten activities presented in a logical sequence that relate to</w:t>
      </w:r>
      <w:r w:rsidR="00B764DF">
        <w:rPr>
          <w:rFonts w:asciiTheme="minorBidi" w:hAnsiTheme="minorBidi" w:cstheme="minorBidi"/>
          <w:sz w:val="22"/>
          <w:szCs w:val="22"/>
        </w:rPr>
        <w:t xml:space="preserve"> establishing</w:t>
      </w:r>
      <w:r w:rsidR="00105F20" w:rsidRPr="00677233">
        <w:rPr>
          <w:rFonts w:asciiTheme="minorBidi" w:hAnsiTheme="minorBidi" w:cstheme="minorBidi"/>
          <w:sz w:val="22"/>
          <w:szCs w:val="22"/>
        </w:rPr>
        <w:t xml:space="preserve"> the project structure; </w:t>
      </w:r>
      <w:r w:rsidR="00B764DF">
        <w:rPr>
          <w:rFonts w:asciiTheme="minorBidi" w:hAnsiTheme="minorBidi" w:cstheme="minorBidi"/>
          <w:sz w:val="22"/>
          <w:szCs w:val="22"/>
        </w:rPr>
        <w:t xml:space="preserve">coordinating a </w:t>
      </w:r>
      <w:r w:rsidR="00105F20" w:rsidRPr="00677233">
        <w:rPr>
          <w:rFonts w:asciiTheme="minorBidi" w:hAnsiTheme="minorBidi" w:cstheme="minorBidi"/>
          <w:sz w:val="22"/>
          <w:szCs w:val="22"/>
        </w:rPr>
        <w:t>national awareness</w:t>
      </w:r>
      <w:r w:rsidR="00B764DF">
        <w:rPr>
          <w:rFonts w:asciiTheme="minorBidi" w:hAnsiTheme="minorBidi" w:cstheme="minorBidi"/>
          <w:sz w:val="22"/>
          <w:szCs w:val="22"/>
        </w:rPr>
        <w:t>-</w:t>
      </w:r>
      <w:r w:rsidR="00105F20" w:rsidRPr="00677233">
        <w:rPr>
          <w:rFonts w:asciiTheme="minorBidi" w:hAnsiTheme="minorBidi" w:cstheme="minorBidi"/>
          <w:sz w:val="22"/>
          <w:szCs w:val="22"/>
        </w:rPr>
        <w:t xml:space="preserve">raising workshop; </w:t>
      </w:r>
      <w:r w:rsidR="00B764DF">
        <w:rPr>
          <w:rFonts w:asciiTheme="minorBidi" w:hAnsiTheme="minorBidi" w:cstheme="minorBidi"/>
          <w:sz w:val="22"/>
          <w:szCs w:val="22"/>
        </w:rPr>
        <w:t xml:space="preserve">facilitating </w:t>
      </w:r>
      <w:r w:rsidR="00105F20" w:rsidRPr="00677233">
        <w:rPr>
          <w:rFonts w:asciiTheme="minorBidi" w:hAnsiTheme="minorBidi" w:cstheme="minorBidi"/>
          <w:sz w:val="22"/>
          <w:szCs w:val="22"/>
        </w:rPr>
        <w:t>capacity-building training and community-based inventories; produc</w:t>
      </w:r>
      <w:r w:rsidR="00B764DF">
        <w:rPr>
          <w:rFonts w:asciiTheme="minorBidi" w:hAnsiTheme="minorBidi" w:cstheme="minorBidi"/>
          <w:sz w:val="22"/>
          <w:szCs w:val="22"/>
        </w:rPr>
        <w:t>ing</w:t>
      </w:r>
      <w:r w:rsidR="00105F20" w:rsidRPr="00677233">
        <w:rPr>
          <w:rFonts w:asciiTheme="minorBidi" w:hAnsiTheme="minorBidi" w:cstheme="minorBidi"/>
          <w:sz w:val="22"/>
          <w:szCs w:val="22"/>
        </w:rPr>
        <w:t xml:space="preserve"> communication materials </w:t>
      </w:r>
      <w:r w:rsidR="00B764DF">
        <w:rPr>
          <w:rFonts w:asciiTheme="minorBidi" w:hAnsiTheme="minorBidi" w:cstheme="minorBidi"/>
          <w:sz w:val="22"/>
          <w:szCs w:val="22"/>
        </w:rPr>
        <w:t>on</w:t>
      </w:r>
      <w:r w:rsidR="00B764DF" w:rsidRPr="00677233">
        <w:rPr>
          <w:rFonts w:asciiTheme="minorBidi" w:hAnsiTheme="minorBidi" w:cstheme="minorBidi"/>
          <w:sz w:val="22"/>
          <w:szCs w:val="22"/>
        </w:rPr>
        <w:t xml:space="preserve"> </w:t>
      </w:r>
      <w:r w:rsidR="00105F20" w:rsidRPr="00677233">
        <w:rPr>
          <w:rFonts w:asciiTheme="minorBidi" w:hAnsiTheme="minorBidi" w:cstheme="minorBidi"/>
          <w:sz w:val="22"/>
          <w:szCs w:val="22"/>
        </w:rPr>
        <w:t>the elements inventoried; and</w:t>
      </w:r>
      <w:r w:rsidR="00B764DF">
        <w:rPr>
          <w:rFonts w:asciiTheme="minorBidi" w:hAnsiTheme="minorBidi" w:cstheme="minorBidi"/>
          <w:sz w:val="22"/>
          <w:szCs w:val="22"/>
        </w:rPr>
        <w:t xml:space="preserve"> conducting</w:t>
      </w:r>
      <w:r w:rsidR="00105F20" w:rsidRPr="00677233">
        <w:rPr>
          <w:rFonts w:asciiTheme="minorBidi" w:hAnsiTheme="minorBidi" w:cstheme="minorBidi"/>
          <w:sz w:val="22"/>
          <w:szCs w:val="22"/>
        </w:rPr>
        <w:t xml:space="preserve"> monitoring and evaluation, among others. The activities are clearly described and correspond to the objectives and expected results outlined in the request.</w:t>
      </w:r>
    </w:p>
    <w:p w14:paraId="100E558C" w14:textId="765B7615" w:rsidR="00A23D0F" w:rsidRPr="00677233" w:rsidRDefault="00A23D0F" w:rsidP="00206F13">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A.4</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62143E" w:rsidRPr="00677233">
        <w:rPr>
          <w:rFonts w:asciiTheme="minorBidi" w:hAnsiTheme="minorBidi" w:cstheme="minorBidi"/>
          <w:sz w:val="22"/>
          <w:szCs w:val="22"/>
        </w:rPr>
        <w:t xml:space="preserve">The project </w:t>
      </w:r>
      <w:r w:rsidR="00263F5D" w:rsidRPr="00677233">
        <w:rPr>
          <w:rFonts w:asciiTheme="minorBidi" w:hAnsiTheme="minorBidi" w:cstheme="minorBidi"/>
          <w:sz w:val="22"/>
          <w:szCs w:val="22"/>
        </w:rPr>
        <w:t xml:space="preserve">is expected to </w:t>
      </w:r>
      <w:r w:rsidR="0062143E" w:rsidRPr="00677233">
        <w:rPr>
          <w:rFonts w:asciiTheme="minorBidi" w:hAnsiTheme="minorBidi" w:cstheme="minorBidi"/>
          <w:sz w:val="22"/>
          <w:szCs w:val="22"/>
        </w:rPr>
        <w:t>have lasting results</w:t>
      </w:r>
      <w:r w:rsidR="003D69B0" w:rsidRPr="00677233">
        <w:rPr>
          <w:rFonts w:asciiTheme="minorBidi" w:hAnsiTheme="minorBidi" w:cstheme="minorBidi"/>
          <w:sz w:val="22"/>
          <w:szCs w:val="22"/>
        </w:rPr>
        <w:t xml:space="preserve"> </w:t>
      </w:r>
      <w:r w:rsidR="00263F5D" w:rsidRPr="00677233">
        <w:rPr>
          <w:rFonts w:asciiTheme="minorBidi" w:hAnsiTheme="minorBidi" w:cstheme="minorBidi"/>
          <w:sz w:val="22"/>
          <w:szCs w:val="22"/>
        </w:rPr>
        <w:t>by</w:t>
      </w:r>
      <w:r w:rsidR="003D69B0" w:rsidRPr="00677233">
        <w:rPr>
          <w:rFonts w:asciiTheme="minorBidi" w:hAnsiTheme="minorBidi" w:cstheme="minorBidi"/>
          <w:sz w:val="22"/>
          <w:szCs w:val="22"/>
        </w:rPr>
        <w:t xml:space="preserve"> </w:t>
      </w:r>
      <w:r w:rsidR="00263F5D" w:rsidRPr="00677233">
        <w:rPr>
          <w:rFonts w:asciiTheme="minorBidi" w:hAnsiTheme="minorBidi" w:cstheme="minorBidi"/>
          <w:sz w:val="22"/>
          <w:szCs w:val="22"/>
        </w:rPr>
        <w:t xml:space="preserve">strengthening the capacities of </w:t>
      </w:r>
      <w:r w:rsidR="003D69B0" w:rsidRPr="00677233">
        <w:rPr>
          <w:rFonts w:asciiTheme="minorBidi" w:hAnsiTheme="minorBidi" w:cstheme="minorBidi"/>
          <w:sz w:val="22"/>
          <w:szCs w:val="22"/>
        </w:rPr>
        <w:t xml:space="preserve">a significant number of individuals </w:t>
      </w:r>
      <w:r w:rsidR="00263F5D" w:rsidRPr="00677233">
        <w:rPr>
          <w:rFonts w:asciiTheme="minorBidi" w:hAnsiTheme="minorBidi" w:cstheme="minorBidi"/>
          <w:sz w:val="22"/>
          <w:szCs w:val="22"/>
        </w:rPr>
        <w:t xml:space="preserve">through the development of </w:t>
      </w:r>
      <w:r w:rsidR="003D69B0" w:rsidRPr="00677233">
        <w:rPr>
          <w:rFonts w:asciiTheme="minorBidi" w:hAnsiTheme="minorBidi" w:cstheme="minorBidi"/>
          <w:sz w:val="22"/>
          <w:szCs w:val="22"/>
        </w:rPr>
        <w:t xml:space="preserve">expertise and knowledge on </w:t>
      </w:r>
      <w:r w:rsidR="00206F13" w:rsidRPr="00677233">
        <w:rPr>
          <w:rFonts w:asciiTheme="minorBidi" w:hAnsiTheme="minorBidi" w:cstheme="minorBidi"/>
          <w:sz w:val="22"/>
          <w:szCs w:val="22"/>
        </w:rPr>
        <w:t xml:space="preserve">the </w:t>
      </w:r>
      <w:r w:rsidR="00BC5801" w:rsidRPr="00677233">
        <w:rPr>
          <w:rFonts w:asciiTheme="minorBidi" w:hAnsiTheme="minorBidi" w:cstheme="minorBidi"/>
          <w:sz w:val="22"/>
          <w:szCs w:val="22"/>
        </w:rPr>
        <w:t xml:space="preserve">key principles </w:t>
      </w:r>
      <w:r w:rsidR="00206F13" w:rsidRPr="00677233">
        <w:rPr>
          <w:rFonts w:asciiTheme="minorBidi" w:hAnsiTheme="minorBidi" w:cstheme="minorBidi"/>
          <w:sz w:val="22"/>
          <w:szCs w:val="22"/>
        </w:rPr>
        <w:t xml:space="preserve">of the 2003 Convention. Communication </w:t>
      </w:r>
      <w:r w:rsidR="003D69B0" w:rsidRPr="00677233">
        <w:rPr>
          <w:rFonts w:asciiTheme="minorBidi" w:hAnsiTheme="minorBidi" w:cstheme="minorBidi"/>
          <w:sz w:val="22"/>
          <w:szCs w:val="22"/>
        </w:rPr>
        <w:t xml:space="preserve">materials, including </w:t>
      </w:r>
      <w:r w:rsidR="00263F5D" w:rsidRPr="00677233">
        <w:rPr>
          <w:rFonts w:asciiTheme="minorBidi" w:hAnsiTheme="minorBidi" w:cstheme="minorBidi"/>
          <w:sz w:val="22"/>
          <w:szCs w:val="22"/>
        </w:rPr>
        <w:t xml:space="preserve">those disseminated through </w:t>
      </w:r>
      <w:r w:rsidR="003D69B0" w:rsidRPr="00677233">
        <w:rPr>
          <w:rFonts w:asciiTheme="minorBidi" w:hAnsiTheme="minorBidi" w:cstheme="minorBidi"/>
          <w:sz w:val="22"/>
          <w:szCs w:val="22"/>
        </w:rPr>
        <w:t xml:space="preserve">social </w:t>
      </w:r>
      <w:r w:rsidR="00206F13" w:rsidRPr="00677233">
        <w:rPr>
          <w:rFonts w:asciiTheme="minorBidi" w:hAnsiTheme="minorBidi" w:cstheme="minorBidi"/>
          <w:sz w:val="22"/>
          <w:szCs w:val="22"/>
        </w:rPr>
        <w:t>media</w:t>
      </w:r>
      <w:r w:rsidR="003D69B0" w:rsidRPr="00677233">
        <w:rPr>
          <w:rFonts w:asciiTheme="minorBidi" w:hAnsiTheme="minorBidi" w:cstheme="minorBidi"/>
          <w:sz w:val="22"/>
          <w:szCs w:val="22"/>
        </w:rPr>
        <w:t xml:space="preserve">, </w:t>
      </w:r>
      <w:r w:rsidR="00206F13" w:rsidRPr="00677233">
        <w:rPr>
          <w:rFonts w:asciiTheme="minorBidi" w:hAnsiTheme="minorBidi" w:cstheme="minorBidi"/>
          <w:sz w:val="22"/>
          <w:szCs w:val="22"/>
        </w:rPr>
        <w:t xml:space="preserve">will enhance the visibility of the project’s outcomes among civil society, youth and </w:t>
      </w:r>
      <w:r w:rsidR="00263F5D" w:rsidRPr="00677233">
        <w:rPr>
          <w:rFonts w:asciiTheme="minorBidi" w:hAnsiTheme="minorBidi" w:cstheme="minorBidi"/>
          <w:sz w:val="22"/>
          <w:szCs w:val="22"/>
        </w:rPr>
        <w:t xml:space="preserve">other </w:t>
      </w:r>
      <w:r w:rsidR="00206F13" w:rsidRPr="00677233">
        <w:rPr>
          <w:rFonts w:asciiTheme="minorBidi" w:hAnsiTheme="minorBidi" w:cstheme="minorBidi"/>
          <w:sz w:val="22"/>
          <w:szCs w:val="22"/>
        </w:rPr>
        <w:t>stakeholders</w:t>
      </w:r>
      <w:r w:rsidR="003D69B0" w:rsidRPr="00677233">
        <w:rPr>
          <w:rFonts w:asciiTheme="minorBidi" w:hAnsiTheme="minorBidi" w:cstheme="minorBidi"/>
          <w:sz w:val="22"/>
          <w:szCs w:val="22"/>
        </w:rPr>
        <w:t>. Educational and cultural organi</w:t>
      </w:r>
      <w:r w:rsidR="00263F5D" w:rsidRPr="00677233">
        <w:rPr>
          <w:rFonts w:asciiTheme="minorBidi" w:hAnsiTheme="minorBidi" w:cstheme="minorBidi"/>
          <w:sz w:val="22"/>
          <w:szCs w:val="22"/>
        </w:rPr>
        <w:t>z</w:t>
      </w:r>
      <w:r w:rsidR="003D69B0" w:rsidRPr="00677233">
        <w:rPr>
          <w:rFonts w:asciiTheme="minorBidi" w:hAnsiTheme="minorBidi" w:cstheme="minorBidi"/>
          <w:sz w:val="22"/>
          <w:szCs w:val="22"/>
        </w:rPr>
        <w:t xml:space="preserve">ations will be able to </w:t>
      </w:r>
      <w:r w:rsidR="00206F13" w:rsidRPr="00677233">
        <w:rPr>
          <w:rFonts w:asciiTheme="minorBidi" w:hAnsiTheme="minorBidi" w:cstheme="minorBidi"/>
          <w:sz w:val="22"/>
          <w:szCs w:val="22"/>
        </w:rPr>
        <w:t>use</w:t>
      </w:r>
      <w:r w:rsidR="003D69B0" w:rsidRPr="00677233">
        <w:rPr>
          <w:rFonts w:asciiTheme="minorBidi" w:hAnsiTheme="minorBidi" w:cstheme="minorBidi"/>
          <w:sz w:val="22"/>
          <w:szCs w:val="22"/>
        </w:rPr>
        <w:t xml:space="preserve"> th</w:t>
      </w:r>
      <w:r w:rsidR="00206F13" w:rsidRPr="00677233">
        <w:rPr>
          <w:rFonts w:asciiTheme="minorBidi" w:hAnsiTheme="minorBidi" w:cstheme="minorBidi"/>
          <w:sz w:val="22"/>
          <w:szCs w:val="22"/>
        </w:rPr>
        <w:t>ese materials</w:t>
      </w:r>
      <w:r w:rsidR="00BC5801" w:rsidRPr="00677233">
        <w:rPr>
          <w:rFonts w:asciiTheme="minorBidi" w:hAnsiTheme="minorBidi" w:cstheme="minorBidi"/>
          <w:sz w:val="22"/>
          <w:szCs w:val="22"/>
        </w:rPr>
        <w:t xml:space="preserve"> </w:t>
      </w:r>
      <w:r w:rsidR="003D69B0" w:rsidRPr="00677233">
        <w:rPr>
          <w:rFonts w:asciiTheme="minorBidi" w:hAnsiTheme="minorBidi" w:cstheme="minorBidi"/>
          <w:sz w:val="22"/>
          <w:szCs w:val="22"/>
        </w:rPr>
        <w:t xml:space="preserve">to develop educational </w:t>
      </w:r>
      <w:r w:rsidR="00206F13" w:rsidRPr="00677233">
        <w:rPr>
          <w:rFonts w:asciiTheme="minorBidi" w:hAnsiTheme="minorBidi" w:cstheme="minorBidi"/>
          <w:sz w:val="22"/>
          <w:szCs w:val="22"/>
        </w:rPr>
        <w:t>support</w:t>
      </w:r>
      <w:r w:rsidR="002E07EC" w:rsidRPr="00677233">
        <w:rPr>
          <w:rFonts w:asciiTheme="minorBidi" w:hAnsiTheme="minorBidi" w:cstheme="minorBidi"/>
          <w:sz w:val="22"/>
          <w:szCs w:val="22"/>
        </w:rPr>
        <w:t xml:space="preserve"> tools</w:t>
      </w:r>
      <w:r w:rsidR="00206F13" w:rsidRPr="00677233">
        <w:rPr>
          <w:rFonts w:asciiTheme="minorBidi" w:hAnsiTheme="minorBidi" w:cstheme="minorBidi"/>
          <w:sz w:val="22"/>
          <w:szCs w:val="22"/>
        </w:rPr>
        <w:t>,</w:t>
      </w:r>
      <w:r w:rsidR="003D69B0" w:rsidRPr="00677233">
        <w:rPr>
          <w:rFonts w:asciiTheme="minorBidi" w:hAnsiTheme="minorBidi" w:cstheme="minorBidi"/>
          <w:sz w:val="22"/>
          <w:szCs w:val="22"/>
        </w:rPr>
        <w:t xml:space="preserve"> such as children’s books, games and videos t</w:t>
      </w:r>
      <w:r w:rsidR="00263F5D" w:rsidRPr="00677233">
        <w:rPr>
          <w:rFonts w:asciiTheme="minorBidi" w:hAnsiTheme="minorBidi" w:cstheme="minorBidi"/>
          <w:sz w:val="22"/>
          <w:szCs w:val="22"/>
        </w:rPr>
        <w:t>hat</w:t>
      </w:r>
      <w:r w:rsidR="003D69B0" w:rsidRPr="00677233">
        <w:rPr>
          <w:rFonts w:asciiTheme="minorBidi" w:hAnsiTheme="minorBidi" w:cstheme="minorBidi"/>
          <w:sz w:val="22"/>
          <w:szCs w:val="22"/>
        </w:rPr>
        <w:t xml:space="preserve"> showcase living heritag</w:t>
      </w:r>
      <w:r w:rsidR="00206F13" w:rsidRPr="00677233">
        <w:rPr>
          <w:rFonts w:asciiTheme="minorBidi" w:hAnsiTheme="minorBidi" w:cstheme="minorBidi"/>
          <w:sz w:val="22"/>
          <w:szCs w:val="22"/>
        </w:rPr>
        <w:t>e</w:t>
      </w:r>
      <w:r w:rsidR="00263F5D" w:rsidRPr="00677233">
        <w:rPr>
          <w:rFonts w:asciiTheme="minorBidi" w:hAnsiTheme="minorBidi" w:cstheme="minorBidi"/>
          <w:sz w:val="22"/>
          <w:szCs w:val="22"/>
        </w:rPr>
        <w:t xml:space="preserve"> and </w:t>
      </w:r>
      <w:r w:rsidR="00206F13" w:rsidRPr="00677233">
        <w:rPr>
          <w:rFonts w:asciiTheme="minorBidi" w:hAnsiTheme="minorBidi" w:cstheme="minorBidi"/>
          <w:sz w:val="22"/>
          <w:szCs w:val="22"/>
        </w:rPr>
        <w:t>contribut</w:t>
      </w:r>
      <w:r w:rsidR="00263F5D" w:rsidRPr="00677233">
        <w:rPr>
          <w:rFonts w:asciiTheme="minorBidi" w:hAnsiTheme="minorBidi" w:cstheme="minorBidi"/>
          <w:sz w:val="22"/>
          <w:szCs w:val="22"/>
        </w:rPr>
        <w:t xml:space="preserve">e </w:t>
      </w:r>
      <w:r w:rsidR="00206F13" w:rsidRPr="00677233">
        <w:rPr>
          <w:rFonts w:asciiTheme="minorBidi" w:hAnsiTheme="minorBidi" w:cstheme="minorBidi"/>
          <w:sz w:val="22"/>
          <w:szCs w:val="22"/>
        </w:rPr>
        <w:t>to its visibility</w:t>
      </w:r>
      <w:r w:rsidR="003D69B0" w:rsidRPr="00677233">
        <w:rPr>
          <w:rFonts w:asciiTheme="minorBidi" w:hAnsiTheme="minorBidi" w:cstheme="minorBidi"/>
          <w:sz w:val="22"/>
          <w:szCs w:val="22"/>
        </w:rPr>
        <w:t>.</w:t>
      </w:r>
      <w:r w:rsidR="00BC5801" w:rsidRPr="00677233">
        <w:rPr>
          <w:rFonts w:asciiTheme="minorBidi" w:hAnsiTheme="minorBidi" w:cstheme="minorBidi"/>
          <w:sz w:val="22"/>
          <w:szCs w:val="22"/>
        </w:rPr>
        <w:t xml:space="preserve"> Finally, the results of the inventories </w:t>
      </w:r>
      <w:r w:rsidR="00DE21DD" w:rsidRPr="00677233">
        <w:rPr>
          <w:rFonts w:asciiTheme="minorBidi" w:hAnsiTheme="minorBidi" w:cstheme="minorBidi"/>
          <w:sz w:val="22"/>
          <w:szCs w:val="22"/>
        </w:rPr>
        <w:t xml:space="preserve">at the provincial level </w:t>
      </w:r>
      <w:r w:rsidR="00BC5801" w:rsidRPr="00677233">
        <w:rPr>
          <w:rFonts w:asciiTheme="minorBidi" w:hAnsiTheme="minorBidi" w:cstheme="minorBidi"/>
          <w:sz w:val="22"/>
          <w:szCs w:val="22"/>
        </w:rPr>
        <w:t xml:space="preserve">will be integrated into the national inventory of the requesting State. </w:t>
      </w:r>
      <w:r w:rsidR="00206F13" w:rsidRPr="00677233">
        <w:rPr>
          <w:rFonts w:asciiTheme="minorBidi" w:hAnsiTheme="minorBidi" w:cstheme="minorBidi"/>
          <w:sz w:val="22"/>
          <w:szCs w:val="22"/>
        </w:rPr>
        <w:t>It is also expected that t</w:t>
      </w:r>
      <w:r w:rsidR="003D69B0" w:rsidRPr="00677233">
        <w:rPr>
          <w:rFonts w:asciiTheme="minorBidi" w:hAnsiTheme="minorBidi" w:cstheme="minorBidi"/>
          <w:sz w:val="22"/>
          <w:szCs w:val="22"/>
        </w:rPr>
        <w:t>he partnerships established between UNESCO, national authorities and the communities concerned will serve as a foundation for future safeguarding initiatives</w:t>
      </w:r>
      <w:r w:rsidR="00841F83" w:rsidRPr="00677233">
        <w:rPr>
          <w:rFonts w:asciiTheme="minorBidi" w:hAnsiTheme="minorBidi" w:cstheme="minorBidi"/>
          <w:sz w:val="22"/>
          <w:szCs w:val="22"/>
        </w:rPr>
        <w:t xml:space="preserve">, thus contributing </w:t>
      </w:r>
      <w:r w:rsidR="00BC5801" w:rsidRPr="00677233">
        <w:rPr>
          <w:rFonts w:asciiTheme="minorBidi" w:hAnsiTheme="minorBidi" w:cstheme="minorBidi"/>
          <w:sz w:val="22"/>
          <w:szCs w:val="22"/>
        </w:rPr>
        <w:t>to a greater appreciation of Nepal</w:t>
      </w:r>
      <w:r w:rsidR="00206F13" w:rsidRPr="00677233">
        <w:rPr>
          <w:rFonts w:asciiTheme="minorBidi" w:hAnsiTheme="minorBidi" w:cstheme="minorBidi"/>
          <w:sz w:val="22"/>
          <w:szCs w:val="22"/>
        </w:rPr>
        <w:t>’s</w:t>
      </w:r>
      <w:r w:rsidR="00BC5801" w:rsidRPr="00677233">
        <w:rPr>
          <w:rFonts w:asciiTheme="minorBidi" w:hAnsiTheme="minorBidi" w:cstheme="minorBidi"/>
          <w:sz w:val="22"/>
          <w:szCs w:val="22"/>
        </w:rPr>
        <w:t xml:space="preserve"> intangible cultural heritage. </w:t>
      </w:r>
    </w:p>
    <w:p w14:paraId="4C478880" w14:textId="792E92FF" w:rsidR="00BD2D26" w:rsidRPr="00677233" w:rsidRDefault="00A23D0F" w:rsidP="00BD2D26">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A.5</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bookmarkStart w:id="4" w:name="_Hlk209012729"/>
      <w:r w:rsidR="00BD2D26" w:rsidRPr="00677233">
        <w:rPr>
          <w:rFonts w:asciiTheme="minorBidi" w:hAnsiTheme="minorBidi" w:cstheme="minorBidi"/>
          <w:sz w:val="22"/>
          <w:szCs w:val="22"/>
        </w:rPr>
        <w:t xml:space="preserve">The requesting State Party will contribute 4 per cent (US$4,875) </w:t>
      </w:r>
      <w:r w:rsidR="00263F5D" w:rsidRPr="00677233">
        <w:rPr>
          <w:rFonts w:asciiTheme="minorBidi" w:hAnsiTheme="minorBidi" w:cstheme="minorBidi"/>
          <w:sz w:val="22"/>
          <w:szCs w:val="22"/>
        </w:rPr>
        <w:t xml:space="preserve">and </w:t>
      </w:r>
      <w:r w:rsidR="00530A9C" w:rsidRPr="00677233">
        <w:rPr>
          <w:rFonts w:asciiTheme="minorBidi" w:hAnsiTheme="minorBidi" w:cstheme="minorBidi"/>
          <w:sz w:val="22"/>
          <w:szCs w:val="22"/>
        </w:rPr>
        <w:t xml:space="preserve">the </w:t>
      </w:r>
      <w:r w:rsidR="00263F5D" w:rsidRPr="00677233">
        <w:rPr>
          <w:rFonts w:asciiTheme="minorBidi" w:hAnsiTheme="minorBidi" w:cstheme="minorBidi"/>
          <w:sz w:val="22"/>
          <w:szCs w:val="22"/>
        </w:rPr>
        <w:t xml:space="preserve">UNESCO Office in Kathmandu will contribute 11 per cent (in-kind contribution of US$12,836) </w:t>
      </w:r>
      <w:r w:rsidR="00BD2D26" w:rsidRPr="00677233">
        <w:rPr>
          <w:rFonts w:asciiTheme="minorBidi" w:hAnsiTheme="minorBidi" w:cstheme="minorBidi"/>
          <w:sz w:val="22"/>
          <w:szCs w:val="22"/>
        </w:rPr>
        <w:t>of the total amount of the project budget (US$116,744). Consequently, International Assistance is requested from the Intangible Cultural Heritage Fund for the remaining 85 per cent of the total amount of the project.</w:t>
      </w:r>
    </w:p>
    <w:bookmarkEnd w:id="4"/>
    <w:p w14:paraId="107F2FAD" w14:textId="269BC18B" w:rsidR="00A23D0F" w:rsidRPr="00677233" w:rsidRDefault="00A23D0F" w:rsidP="003E46C3">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A.6</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3352F2" w:rsidRPr="00677233">
        <w:rPr>
          <w:rFonts w:asciiTheme="minorBidi" w:hAnsiTheme="minorBidi" w:cstheme="minorBidi"/>
          <w:sz w:val="22"/>
          <w:szCs w:val="22"/>
        </w:rPr>
        <w:t xml:space="preserve">The </w:t>
      </w:r>
      <w:r w:rsidR="0062143E" w:rsidRPr="00677233">
        <w:rPr>
          <w:rFonts w:asciiTheme="minorBidi" w:hAnsiTheme="minorBidi" w:cstheme="minorBidi"/>
          <w:sz w:val="22"/>
          <w:szCs w:val="22"/>
        </w:rPr>
        <w:t xml:space="preserve">request </w:t>
      </w:r>
      <w:r w:rsidR="00263F5D" w:rsidRPr="00677233">
        <w:rPr>
          <w:rFonts w:asciiTheme="minorBidi" w:hAnsiTheme="minorBidi" w:cstheme="minorBidi"/>
          <w:sz w:val="22"/>
          <w:szCs w:val="22"/>
        </w:rPr>
        <w:t xml:space="preserve">demonstrates </w:t>
      </w:r>
      <w:r w:rsidR="003352F2" w:rsidRPr="00677233">
        <w:rPr>
          <w:rFonts w:asciiTheme="minorBidi" w:hAnsiTheme="minorBidi" w:cstheme="minorBidi"/>
          <w:sz w:val="22"/>
          <w:szCs w:val="22"/>
        </w:rPr>
        <w:t>a clear focus on capacity</w:t>
      </w:r>
      <w:r w:rsidR="00263F5D" w:rsidRPr="00677233">
        <w:rPr>
          <w:rFonts w:asciiTheme="minorBidi" w:hAnsiTheme="minorBidi" w:cstheme="minorBidi"/>
          <w:sz w:val="22"/>
          <w:szCs w:val="22"/>
        </w:rPr>
        <w:t>-</w:t>
      </w:r>
      <w:r w:rsidR="003352F2" w:rsidRPr="00677233">
        <w:rPr>
          <w:rFonts w:asciiTheme="minorBidi" w:hAnsiTheme="minorBidi" w:cstheme="minorBidi"/>
          <w:sz w:val="22"/>
          <w:szCs w:val="22"/>
        </w:rPr>
        <w:t xml:space="preserve">building </w:t>
      </w:r>
      <w:r w:rsidR="003E46C3" w:rsidRPr="00677233">
        <w:rPr>
          <w:rFonts w:asciiTheme="minorBidi" w:hAnsiTheme="minorBidi" w:cstheme="minorBidi"/>
          <w:sz w:val="22"/>
          <w:szCs w:val="22"/>
        </w:rPr>
        <w:t xml:space="preserve">for the safeguarding of intangible cultural heritage </w:t>
      </w:r>
      <w:r w:rsidR="003352F2" w:rsidRPr="00677233">
        <w:rPr>
          <w:rFonts w:asciiTheme="minorBidi" w:hAnsiTheme="minorBidi" w:cstheme="minorBidi"/>
          <w:sz w:val="22"/>
          <w:szCs w:val="22"/>
        </w:rPr>
        <w:t xml:space="preserve">at both community and institutional levels, in line with the objectives of the </w:t>
      </w:r>
      <w:r w:rsidR="003E46C3" w:rsidRPr="00677233">
        <w:rPr>
          <w:rFonts w:asciiTheme="minorBidi" w:hAnsiTheme="minorBidi" w:cstheme="minorBidi"/>
          <w:sz w:val="22"/>
          <w:szCs w:val="22"/>
        </w:rPr>
        <w:t>2003</w:t>
      </w:r>
      <w:r w:rsidR="00DE21DD" w:rsidRPr="00677233">
        <w:rPr>
          <w:rFonts w:asciiTheme="minorBidi" w:hAnsiTheme="minorBidi" w:cstheme="minorBidi"/>
          <w:sz w:val="22"/>
          <w:szCs w:val="22"/>
        </w:rPr>
        <w:t xml:space="preserve"> </w:t>
      </w:r>
      <w:r w:rsidR="003352F2" w:rsidRPr="00677233">
        <w:rPr>
          <w:rFonts w:asciiTheme="minorBidi" w:hAnsiTheme="minorBidi" w:cstheme="minorBidi"/>
          <w:sz w:val="22"/>
          <w:szCs w:val="22"/>
        </w:rPr>
        <w:t xml:space="preserve">Convention. Through three seven-day capacity-building workshops, at least eighty-five people will </w:t>
      </w:r>
      <w:r w:rsidR="00263F5D" w:rsidRPr="00677233">
        <w:rPr>
          <w:rFonts w:asciiTheme="minorBidi" w:hAnsiTheme="minorBidi" w:cstheme="minorBidi"/>
          <w:sz w:val="22"/>
          <w:szCs w:val="22"/>
        </w:rPr>
        <w:t xml:space="preserve">be </w:t>
      </w:r>
      <w:r w:rsidR="003352F2" w:rsidRPr="00677233">
        <w:rPr>
          <w:rFonts w:asciiTheme="minorBidi" w:hAnsiTheme="minorBidi" w:cstheme="minorBidi"/>
          <w:sz w:val="22"/>
          <w:szCs w:val="22"/>
        </w:rPr>
        <w:t>train</w:t>
      </w:r>
      <w:r w:rsidR="00263F5D" w:rsidRPr="00677233">
        <w:rPr>
          <w:rFonts w:asciiTheme="minorBidi" w:hAnsiTheme="minorBidi" w:cstheme="minorBidi"/>
          <w:sz w:val="22"/>
          <w:szCs w:val="22"/>
        </w:rPr>
        <w:t>ed</w:t>
      </w:r>
      <w:r w:rsidR="003352F2" w:rsidRPr="00677233">
        <w:rPr>
          <w:rFonts w:asciiTheme="minorBidi" w:hAnsiTheme="minorBidi" w:cstheme="minorBidi"/>
          <w:sz w:val="22"/>
          <w:szCs w:val="22"/>
        </w:rPr>
        <w:t xml:space="preserve"> </w:t>
      </w:r>
      <w:r w:rsidR="00C61C27" w:rsidRPr="00677233">
        <w:rPr>
          <w:rFonts w:asciiTheme="minorBidi" w:hAnsiTheme="minorBidi" w:cstheme="minorBidi"/>
          <w:sz w:val="22"/>
          <w:szCs w:val="22"/>
        </w:rPr>
        <w:t xml:space="preserve">in </w:t>
      </w:r>
      <w:r w:rsidR="003352F2" w:rsidRPr="00677233">
        <w:rPr>
          <w:rFonts w:asciiTheme="minorBidi" w:hAnsiTheme="minorBidi" w:cstheme="minorBidi"/>
          <w:sz w:val="22"/>
          <w:szCs w:val="22"/>
        </w:rPr>
        <w:t xml:space="preserve">community-based inventorying. </w:t>
      </w:r>
      <w:r w:rsidR="001341F9" w:rsidRPr="00677233">
        <w:rPr>
          <w:rFonts w:asciiTheme="minorBidi" w:hAnsiTheme="minorBidi" w:cstheme="minorBidi"/>
          <w:sz w:val="22"/>
          <w:szCs w:val="22"/>
        </w:rPr>
        <w:t>P</w:t>
      </w:r>
      <w:r w:rsidR="003352F2" w:rsidRPr="00677233">
        <w:rPr>
          <w:rFonts w:asciiTheme="minorBidi" w:hAnsiTheme="minorBidi" w:cstheme="minorBidi"/>
          <w:sz w:val="22"/>
          <w:szCs w:val="22"/>
        </w:rPr>
        <w:t xml:space="preserve">articipants will include </w:t>
      </w:r>
      <w:r w:rsidR="0062143E" w:rsidRPr="00677233">
        <w:rPr>
          <w:rFonts w:asciiTheme="minorBidi" w:hAnsiTheme="minorBidi" w:cstheme="minorBidi"/>
          <w:sz w:val="22"/>
          <w:szCs w:val="22"/>
        </w:rPr>
        <w:t xml:space="preserve">fifty </w:t>
      </w:r>
      <w:r w:rsidR="003352F2" w:rsidRPr="00677233">
        <w:rPr>
          <w:rFonts w:asciiTheme="minorBidi" w:hAnsiTheme="minorBidi" w:cstheme="minorBidi"/>
          <w:sz w:val="22"/>
          <w:szCs w:val="22"/>
        </w:rPr>
        <w:t xml:space="preserve">indigenous community members, </w:t>
      </w:r>
      <w:r w:rsidR="0062143E" w:rsidRPr="00677233">
        <w:rPr>
          <w:rFonts w:asciiTheme="minorBidi" w:hAnsiTheme="minorBidi" w:cstheme="minorBidi"/>
          <w:sz w:val="22"/>
          <w:szCs w:val="22"/>
        </w:rPr>
        <w:t xml:space="preserve">twenty representatives from </w:t>
      </w:r>
      <w:r w:rsidR="003352F2" w:rsidRPr="00677233">
        <w:rPr>
          <w:rFonts w:asciiTheme="minorBidi" w:hAnsiTheme="minorBidi" w:cstheme="minorBidi"/>
          <w:sz w:val="22"/>
          <w:szCs w:val="22"/>
        </w:rPr>
        <w:t xml:space="preserve">local authorities, </w:t>
      </w:r>
      <w:r w:rsidR="0062143E" w:rsidRPr="00677233">
        <w:rPr>
          <w:rFonts w:asciiTheme="minorBidi" w:hAnsiTheme="minorBidi" w:cstheme="minorBidi"/>
          <w:sz w:val="22"/>
          <w:szCs w:val="22"/>
        </w:rPr>
        <w:t xml:space="preserve">ten officials from </w:t>
      </w:r>
      <w:proofErr w:type="spellStart"/>
      <w:r w:rsidR="003352F2" w:rsidRPr="00677233">
        <w:rPr>
          <w:rFonts w:asciiTheme="minorBidi" w:hAnsiTheme="minorBidi" w:cstheme="minorBidi"/>
          <w:sz w:val="22"/>
          <w:szCs w:val="22"/>
        </w:rPr>
        <w:t>MoCTCA</w:t>
      </w:r>
      <w:proofErr w:type="spellEnd"/>
      <w:r w:rsidR="003352F2" w:rsidRPr="00677233">
        <w:rPr>
          <w:rFonts w:asciiTheme="minorBidi" w:hAnsiTheme="minorBidi" w:cstheme="minorBidi"/>
          <w:sz w:val="22"/>
          <w:szCs w:val="22"/>
        </w:rPr>
        <w:t xml:space="preserve"> and </w:t>
      </w:r>
      <w:r w:rsidR="0062143E" w:rsidRPr="00677233">
        <w:rPr>
          <w:rFonts w:asciiTheme="minorBidi" w:hAnsiTheme="minorBidi" w:cstheme="minorBidi"/>
          <w:sz w:val="22"/>
          <w:szCs w:val="22"/>
        </w:rPr>
        <w:t xml:space="preserve">five </w:t>
      </w:r>
      <w:r w:rsidR="003352F2" w:rsidRPr="00677233">
        <w:rPr>
          <w:rFonts w:asciiTheme="minorBidi" w:hAnsiTheme="minorBidi" w:cstheme="minorBidi"/>
          <w:sz w:val="22"/>
          <w:szCs w:val="22"/>
        </w:rPr>
        <w:t xml:space="preserve">students. The training will be delivered by national facilitators using participatory </w:t>
      </w:r>
      <w:r w:rsidR="001341F9" w:rsidRPr="00677233">
        <w:rPr>
          <w:rFonts w:asciiTheme="minorBidi" w:hAnsiTheme="minorBidi" w:cstheme="minorBidi"/>
          <w:sz w:val="22"/>
          <w:szCs w:val="22"/>
        </w:rPr>
        <w:t xml:space="preserve">methodologies and will be </w:t>
      </w:r>
      <w:r w:rsidR="003352F2" w:rsidRPr="00677233">
        <w:rPr>
          <w:rFonts w:asciiTheme="minorBidi" w:hAnsiTheme="minorBidi" w:cstheme="minorBidi"/>
          <w:sz w:val="22"/>
          <w:szCs w:val="22"/>
        </w:rPr>
        <w:t>followed by fieldwork exercises aim</w:t>
      </w:r>
      <w:r w:rsidR="00B764DF">
        <w:rPr>
          <w:rFonts w:asciiTheme="minorBidi" w:hAnsiTheme="minorBidi" w:cstheme="minorBidi"/>
          <w:sz w:val="22"/>
          <w:szCs w:val="22"/>
        </w:rPr>
        <w:t>ed</w:t>
      </w:r>
      <w:r w:rsidR="003352F2" w:rsidRPr="00677233">
        <w:rPr>
          <w:rFonts w:asciiTheme="minorBidi" w:hAnsiTheme="minorBidi" w:cstheme="minorBidi"/>
          <w:sz w:val="22"/>
          <w:szCs w:val="22"/>
        </w:rPr>
        <w:t xml:space="preserve"> at identifying, documenting and inventorying intangible cultural heritage elements </w:t>
      </w:r>
      <w:r w:rsidR="0062143E" w:rsidRPr="00677233">
        <w:rPr>
          <w:rFonts w:asciiTheme="minorBidi" w:hAnsiTheme="minorBidi" w:cstheme="minorBidi"/>
          <w:sz w:val="22"/>
          <w:szCs w:val="22"/>
        </w:rPr>
        <w:t>across the country</w:t>
      </w:r>
      <w:r w:rsidR="003352F2" w:rsidRPr="00677233">
        <w:rPr>
          <w:rFonts w:asciiTheme="minorBidi" w:hAnsiTheme="minorBidi" w:cstheme="minorBidi"/>
          <w:sz w:val="22"/>
          <w:szCs w:val="22"/>
        </w:rPr>
        <w:t xml:space="preserve">. The training component also emphasizes gender inclusivity and intergenerational transmission, with a focus on empowering youth and women as future resource persons. The project </w:t>
      </w:r>
      <w:r w:rsidR="00841F83" w:rsidRPr="00677233">
        <w:rPr>
          <w:rFonts w:asciiTheme="minorBidi" w:hAnsiTheme="minorBidi" w:cstheme="minorBidi"/>
          <w:sz w:val="22"/>
          <w:szCs w:val="22"/>
        </w:rPr>
        <w:t xml:space="preserve">will disseminate </w:t>
      </w:r>
      <w:r w:rsidR="003352F2" w:rsidRPr="00677233">
        <w:rPr>
          <w:rFonts w:asciiTheme="minorBidi" w:hAnsiTheme="minorBidi" w:cstheme="minorBidi"/>
          <w:sz w:val="22"/>
          <w:szCs w:val="22"/>
        </w:rPr>
        <w:t xml:space="preserve">knowledge to community members in seven provinces of </w:t>
      </w:r>
      <w:r w:rsidR="0062143E" w:rsidRPr="00677233">
        <w:rPr>
          <w:rFonts w:asciiTheme="minorBidi" w:hAnsiTheme="minorBidi" w:cstheme="minorBidi"/>
          <w:sz w:val="22"/>
          <w:szCs w:val="22"/>
        </w:rPr>
        <w:t>Nepal</w:t>
      </w:r>
      <w:r w:rsidR="003352F2" w:rsidRPr="00677233">
        <w:rPr>
          <w:rFonts w:asciiTheme="minorBidi" w:hAnsiTheme="minorBidi" w:cstheme="minorBidi"/>
          <w:sz w:val="22"/>
          <w:szCs w:val="22"/>
        </w:rPr>
        <w:t xml:space="preserve"> and support the development of future inventories at local and national levels, </w:t>
      </w:r>
      <w:r w:rsidR="00841F83" w:rsidRPr="00677233">
        <w:rPr>
          <w:rFonts w:asciiTheme="minorBidi" w:hAnsiTheme="minorBidi" w:cstheme="minorBidi"/>
          <w:sz w:val="22"/>
          <w:szCs w:val="22"/>
        </w:rPr>
        <w:t xml:space="preserve">thereby </w:t>
      </w:r>
      <w:r w:rsidR="003352F2" w:rsidRPr="00677233">
        <w:rPr>
          <w:rFonts w:asciiTheme="minorBidi" w:hAnsiTheme="minorBidi" w:cstheme="minorBidi"/>
          <w:sz w:val="22"/>
          <w:szCs w:val="22"/>
        </w:rPr>
        <w:t>contributing to long-term safeguarding efforts.</w:t>
      </w:r>
    </w:p>
    <w:p w14:paraId="7A54C3F4" w14:textId="2378B313" w:rsidR="00A23D0F" w:rsidRPr="00677233" w:rsidRDefault="00A23D0F" w:rsidP="00F77563">
      <w:pPr>
        <w:spacing w:after="120"/>
        <w:ind w:left="567"/>
        <w:jc w:val="both"/>
        <w:rPr>
          <w:rFonts w:asciiTheme="minorBidi" w:hAnsiTheme="minorBidi" w:cstheme="minorBidi"/>
          <w:snapToGrid w:val="0"/>
          <w:sz w:val="22"/>
          <w:szCs w:val="22"/>
          <w:shd w:val="clear" w:color="auto" w:fill="FFFFFF"/>
          <w:lang w:eastAsia="en-US"/>
        </w:rPr>
      </w:pPr>
      <w:r w:rsidRPr="00677233">
        <w:rPr>
          <w:rFonts w:asciiTheme="minorBidi" w:hAnsiTheme="minorBidi" w:cstheme="minorBidi"/>
          <w:b/>
          <w:snapToGrid w:val="0"/>
          <w:sz w:val="22"/>
          <w:szCs w:val="22"/>
          <w:lang w:eastAsia="en-US"/>
        </w:rPr>
        <w:t>Criterion A.7</w:t>
      </w:r>
      <w:r w:rsidRPr="00677233">
        <w:rPr>
          <w:rFonts w:asciiTheme="minorBidi" w:hAnsiTheme="minorBidi" w:cstheme="minorBidi"/>
          <w:b/>
          <w:bCs/>
          <w:snapToGrid w:val="0"/>
          <w:sz w:val="22"/>
          <w:szCs w:val="22"/>
          <w:shd w:val="clear" w:color="auto" w:fill="FFFFFF"/>
          <w:lang w:eastAsia="en-US"/>
        </w:rPr>
        <w:t xml:space="preserve">: </w:t>
      </w:r>
      <w:r w:rsidR="00F77563" w:rsidRPr="00677233">
        <w:rPr>
          <w:rFonts w:asciiTheme="minorBidi" w:hAnsiTheme="minorBidi" w:cstheme="minorBidi"/>
          <w:snapToGrid w:val="0"/>
          <w:sz w:val="22"/>
          <w:szCs w:val="22"/>
          <w:shd w:val="clear" w:color="auto" w:fill="FFFFFF"/>
          <w:lang w:eastAsia="en-US"/>
        </w:rPr>
        <w:t xml:space="preserve">The requesting State Party has not previously received any financial assistance from UNESCO under the Intangible Cultural Heritage Fund of the 2003 Convention to implement </w:t>
      </w:r>
      <w:r w:rsidR="003E46C3" w:rsidRPr="00677233">
        <w:rPr>
          <w:rFonts w:asciiTheme="minorBidi" w:hAnsiTheme="minorBidi" w:cstheme="minorBidi"/>
          <w:snapToGrid w:val="0"/>
          <w:sz w:val="22"/>
          <w:szCs w:val="22"/>
          <w:shd w:val="clear" w:color="auto" w:fill="FFFFFF"/>
          <w:lang w:eastAsia="en-US"/>
        </w:rPr>
        <w:t xml:space="preserve">safeguarding </w:t>
      </w:r>
      <w:r w:rsidR="00F77563" w:rsidRPr="00677233">
        <w:rPr>
          <w:rFonts w:asciiTheme="minorBidi" w:hAnsiTheme="minorBidi" w:cstheme="minorBidi"/>
          <w:snapToGrid w:val="0"/>
          <w:sz w:val="22"/>
          <w:szCs w:val="22"/>
          <w:shd w:val="clear" w:color="auto" w:fill="FFFFFF"/>
          <w:lang w:eastAsia="en-US"/>
        </w:rPr>
        <w:t>activities in the field of intangible cultural heritage.</w:t>
      </w:r>
    </w:p>
    <w:p w14:paraId="20EE6C1E" w14:textId="2A9803D5" w:rsidR="00A23D0F" w:rsidRPr="00677233" w:rsidRDefault="00A23D0F" w:rsidP="00105F20">
      <w:pPr>
        <w:ind w:left="567"/>
        <w:contextualSpacing/>
        <w:jc w:val="both"/>
        <w:rPr>
          <w:rFonts w:asciiTheme="minorBidi" w:hAnsiTheme="minorBidi" w:cstheme="minorBidi"/>
          <w:bCs/>
          <w:sz w:val="22"/>
          <w:szCs w:val="22"/>
        </w:rPr>
      </w:pPr>
      <w:r w:rsidRPr="00677233">
        <w:rPr>
          <w:rFonts w:asciiTheme="minorBidi" w:hAnsiTheme="minorBidi" w:cstheme="minorBidi"/>
          <w:b/>
          <w:sz w:val="22"/>
          <w:szCs w:val="22"/>
        </w:rPr>
        <w:t>Paragraph 10(a):</w:t>
      </w:r>
      <w:r w:rsidRPr="00677233">
        <w:rPr>
          <w:rFonts w:asciiTheme="minorBidi" w:hAnsiTheme="minorBidi" w:cstheme="minorBidi"/>
          <w:bCs/>
          <w:sz w:val="22"/>
          <w:szCs w:val="22"/>
        </w:rPr>
        <w:t xml:space="preserve"> </w:t>
      </w:r>
      <w:r w:rsidR="00105F20" w:rsidRPr="00677233">
        <w:rPr>
          <w:rFonts w:asciiTheme="minorBidi" w:hAnsiTheme="minorBidi" w:cstheme="minorBidi"/>
          <w:bCs/>
          <w:sz w:val="22"/>
          <w:szCs w:val="22"/>
        </w:rPr>
        <w:t xml:space="preserve">The project is national in scope and involves the Ministry of Culture, Tourism and Civil </w:t>
      </w:r>
      <w:r w:rsidR="00841F83" w:rsidRPr="00677233">
        <w:rPr>
          <w:rFonts w:asciiTheme="minorBidi" w:hAnsiTheme="minorBidi" w:cstheme="minorBidi"/>
          <w:bCs/>
          <w:sz w:val="22"/>
          <w:szCs w:val="22"/>
        </w:rPr>
        <w:t>A</w:t>
      </w:r>
      <w:r w:rsidR="00105F20" w:rsidRPr="00677233">
        <w:rPr>
          <w:rFonts w:asciiTheme="minorBidi" w:hAnsiTheme="minorBidi" w:cstheme="minorBidi"/>
          <w:bCs/>
          <w:sz w:val="22"/>
          <w:szCs w:val="22"/>
        </w:rPr>
        <w:t>viation,</w:t>
      </w:r>
      <w:r w:rsidR="00B764DF">
        <w:rPr>
          <w:rFonts w:asciiTheme="minorBidi" w:hAnsiTheme="minorBidi" w:cstheme="minorBidi"/>
          <w:bCs/>
          <w:sz w:val="22"/>
          <w:szCs w:val="22"/>
        </w:rPr>
        <w:t xml:space="preserve"> as well as</w:t>
      </w:r>
      <w:r w:rsidR="00105F20" w:rsidRPr="00677233">
        <w:rPr>
          <w:rFonts w:asciiTheme="minorBidi" w:hAnsiTheme="minorBidi" w:cstheme="minorBidi"/>
          <w:bCs/>
          <w:sz w:val="22"/>
          <w:szCs w:val="22"/>
        </w:rPr>
        <w:t xml:space="preserve"> local authorities, academics and community-based organizations</w:t>
      </w:r>
      <w:r w:rsidR="00841F83" w:rsidRPr="00677233">
        <w:rPr>
          <w:rFonts w:asciiTheme="minorBidi" w:hAnsiTheme="minorBidi" w:cstheme="minorBidi"/>
          <w:bCs/>
          <w:sz w:val="22"/>
          <w:szCs w:val="22"/>
        </w:rPr>
        <w:t xml:space="preserve"> </w:t>
      </w:r>
      <w:r w:rsidR="00105F20" w:rsidRPr="00677233">
        <w:rPr>
          <w:rFonts w:asciiTheme="minorBidi" w:hAnsiTheme="minorBidi" w:cstheme="minorBidi"/>
          <w:bCs/>
          <w:sz w:val="22"/>
          <w:szCs w:val="22"/>
        </w:rPr>
        <w:t xml:space="preserve">such as the National Foundation for the Development of Indigenous Nationalities (NFDIN), </w:t>
      </w:r>
      <w:r w:rsidR="00B764DF">
        <w:rPr>
          <w:rFonts w:asciiTheme="minorBidi" w:hAnsiTheme="minorBidi" w:cstheme="minorBidi"/>
          <w:bCs/>
          <w:sz w:val="22"/>
          <w:szCs w:val="22"/>
        </w:rPr>
        <w:t xml:space="preserve">the </w:t>
      </w:r>
      <w:r w:rsidR="00105F20" w:rsidRPr="00677233">
        <w:rPr>
          <w:rFonts w:asciiTheme="minorBidi" w:hAnsiTheme="minorBidi" w:cstheme="minorBidi"/>
          <w:bCs/>
          <w:sz w:val="22"/>
          <w:szCs w:val="22"/>
        </w:rPr>
        <w:t xml:space="preserve">Indigenous Nationalities Commission (INC) and </w:t>
      </w:r>
      <w:r w:rsidR="00B764DF">
        <w:rPr>
          <w:rFonts w:asciiTheme="minorBidi" w:hAnsiTheme="minorBidi" w:cstheme="minorBidi"/>
          <w:bCs/>
          <w:sz w:val="22"/>
          <w:szCs w:val="22"/>
        </w:rPr>
        <w:t xml:space="preserve">the </w:t>
      </w:r>
      <w:r w:rsidR="00105F20" w:rsidRPr="00677233">
        <w:rPr>
          <w:rFonts w:asciiTheme="minorBidi" w:hAnsiTheme="minorBidi" w:cstheme="minorBidi"/>
          <w:bCs/>
          <w:sz w:val="22"/>
          <w:szCs w:val="22"/>
        </w:rPr>
        <w:t>Nepal Federation of Indigenous Nationalities (NEFIN).</w:t>
      </w:r>
    </w:p>
    <w:p w14:paraId="75B673C4" w14:textId="137FB420" w:rsidR="00A23D0F" w:rsidRPr="00677233" w:rsidRDefault="00A23D0F" w:rsidP="008C1133">
      <w:pPr>
        <w:spacing w:before="120" w:after="120"/>
        <w:ind w:left="567"/>
        <w:jc w:val="both"/>
        <w:rPr>
          <w:rFonts w:asciiTheme="minorBidi" w:hAnsiTheme="minorBidi" w:cstheme="minorBidi"/>
          <w:bCs/>
          <w:snapToGrid w:val="0"/>
          <w:sz w:val="22"/>
          <w:szCs w:val="22"/>
          <w:lang w:eastAsia="en-US"/>
        </w:rPr>
      </w:pPr>
      <w:r w:rsidRPr="00677233">
        <w:rPr>
          <w:rFonts w:asciiTheme="minorBidi" w:hAnsiTheme="minorBidi" w:cstheme="minorBidi"/>
          <w:b/>
          <w:snapToGrid w:val="0"/>
          <w:sz w:val="22"/>
          <w:szCs w:val="22"/>
          <w:lang w:eastAsia="en-US"/>
        </w:rPr>
        <w:t xml:space="preserve">Paragraph 10(b): </w:t>
      </w:r>
      <w:r w:rsidR="0062143E" w:rsidRPr="00677233">
        <w:rPr>
          <w:rFonts w:asciiTheme="minorBidi" w:hAnsiTheme="minorBidi" w:cstheme="minorBidi"/>
          <w:sz w:val="22"/>
          <w:szCs w:val="22"/>
        </w:rPr>
        <w:t>The inventor</w:t>
      </w:r>
      <w:r w:rsidR="001341F9" w:rsidRPr="00677233">
        <w:rPr>
          <w:rFonts w:asciiTheme="minorBidi" w:hAnsiTheme="minorBidi" w:cstheme="minorBidi"/>
          <w:sz w:val="22"/>
          <w:szCs w:val="22"/>
        </w:rPr>
        <w:t>ies</w:t>
      </w:r>
      <w:r w:rsidR="0062143E" w:rsidRPr="00677233">
        <w:rPr>
          <w:rFonts w:asciiTheme="minorBidi" w:hAnsiTheme="minorBidi" w:cstheme="minorBidi"/>
          <w:sz w:val="22"/>
          <w:szCs w:val="22"/>
        </w:rPr>
        <w:t xml:space="preserve"> and communication materials</w:t>
      </w:r>
      <w:r w:rsidR="00841F83" w:rsidRPr="00677233">
        <w:rPr>
          <w:rFonts w:asciiTheme="minorBidi" w:hAnsiTheme="minorBidi" w:cstheme="minorBidi"/>
          <w:sz w:val="22"/>
          <w:szCs w:val="22"/>
        </w:rPr>
        <w:t xml:space="preserve"> </w:t>
      </w:r>
      <w:r w:rsidR="0062143E" w:rsidRPr="00677233">
        <w:rPr>
          <w:rFonts w:asciiTheme="minorBidi" w:hAnsiTheme="minorBidi" w:cstheme="minorBidi"/>
          <w:sz w:val="22"/>
          <w:szCs w:val="22"/>
        </w:rPr>
        <w:t xml:space="preserve">to be developed during the project will contribute to raising awareness among communities about the importance of safeguarding their living heritage. </w:t>
      </w:r>
      <w:r w:rsidR="00841F83" w:rsidRPr="00677233">
        <w:rPr>
          <w:rFonts w:asciiTheme="minorBidi" w:hAnsiTheme="minorBidi" w:cstheme="minorBidi"/>
          <w:bCs/>
          <w:snapToGrid w:val="0"/>
          <w:sz w:val="22"/>
          <w:szCs w:val="22"/>
          <w:lang w:eastAsia="en-US"/>
        </w:rPr>
        <w:t xml:space="preserve">The project </w:t>
      </w:r>
      <w:r w:rsidR="004053EC" w:rsidRPr="00677233">
        <w:rPr>
          <w:rFonts w:asciiTheme="minorBidi" w:hAnsiTheme="minorBidi" w:cstheme="minorBidi"/>
          <w:bCs/>
          <w:snapToGrid w:val="0"/>
          <w:sz w:val="22"/>
          <w:szCs w:val="22"/>
          <w:lang w:eastAsia="en-US"/>
        </w:rPr>
        <w:t>may also encourage similar initiatives for the inventorying of intangible cultural heritage in Nepal.</w:t>
      </w:r>
    </w:p>
    <w:p w14:paraId="7384213C" w14:textId="4C3E7A85"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Approves</w:t>
      </w:r>
      <w:r w:rsidRPr="00677233">
        <w:rPr>
          <w:rFonts w:asciiTheme="minorBidi" w:hAnsiTheme="minorBidi" w:cstheme="minorBidi"/>
          <w:sz w:val="22"/>
          <w:szCs w:val="22"/>
        </w:rPr>
        <w:t xml:space="preserve"> the International Assistance request from </w:t>
      </w:r>
      <w:r w:rsidR="00375064" w:rsidRPr="00677233">
        <w:rPr>
          <w:rFonts w:asciiTheme="minorBidi" w:hAnsiTheme="minorBidi" w:cstheme="minorBidi"/>
          <w:sz w:val="22"/>
          <w:szCs w:val="22"/>
        </w:rPr>
        <w:t>Nepal</w:t>
      </w:r>
      <w:r w:rsidRPr="00677233">
        <w:rPr>
          <w:rFonts w:asciiTheme="minorBidi" w:hAnsiTheme="minorBidi" w:cstheme="minorBidi"/>
          <w:sz w:val="22"/>
          <w:szCs w:val="22"/>
        </w:rPr>
        <w:t xml:space="preserve"> for the project entitled </w:t>
      </w:r>
      <w:r w:rsidR="00375064" w:rsidRPr="00677233">
        <w:rPr>
          <w:rFonts w:asciiTheme="minorBidi" w:hAnsiTheme="minorBidi" w:cstheme="minorBidi"/>
          <w:b/>
          <w:bCs/>
          <w:sz w:val="22"/>
          <w:szCs w:val="22"/>
        </w:rPr>
        <w:t xml:space="preserve">Development of inventory of </w:t>
      </w:r>
      <w:r w:rsidR="001341F9" w:rsidRPr="00677233">
        <w:rPr>
          <w:rFonts w:asciiTheme="minorBidi" w:hAnsiTheme="minorBidi" w:cstheme="minorBidi"/>
          <w:b/>
          <w:bCs/>
          <w:sz w:val="22"/>
          <w:szCs w:val="22"/>
        </w:rPr>
        <w:t>i</w:t>
      </w:r>
      <w:r w:rsidR="00375064" w:rsidRPr="00677233">
        <w:rPr>
          <w:rFonts w:asciiTheme="minorBidi" w:hAnsiTheme="minorBidi" w:cstheme="minorBidi"/>
          <w:b/>
          <w:bCs/>
          <w:sz w:val="22"/>
          <w:szCs w:val="22"/>
        </w:rPr>
        <w:t xml:space="preserve">ntangible </w:t>
      </w:r>
      <w:r w:rsidR="001341F9" w:rsidRPr="00677233">
        <w:rPr>
          <w:rFonts w:asciiTheme="minorBidi" w:hAnsiTheme="minorBidi" w:cstheme="minorBidi"/>
          <w:b/>
          <w:bCs/>
          <w:sz w:val="22"/>
          <w:szCs w:val="22"/>
        </w:rPr>
        <w:t xml:space="preserve">cultural heritage </w:t>
      </w:r>
      <w:r w:rsidR="00375064" w:rsidRPr="00677233">
        <w:rPr>
          <w:rFonts w:asciiTheme="minorBidi" w:hAnsiTheme="minorBidi" w:cstheme="minorBidi"/>
          <w:b/>
          <w:bCs/>
          <w:sz w:val="22"/>
          <w:szCs w:val="22"/>
        </w:rPr>
        <w:t>covering all seven provinces of Nepal</w:t>
      </w:r>
      <w:r w:rsidRPr="00677233">
        <w:rPr>
          <w:rFonts w:asciiTheme="minorBidi" w:hAnsiTheme="minorBidi" w:cstheme="minorBidi"/>
          <w:bCs/>
          <w:sz w:val="22"/>
          <w:szCs w:val="22"/>
        </w:rPr>
        <w:t>,</w:t>
      </w:r>
      <w:r w:rsidRPr="00677233" w:rsidDel="00A801D7">
        <w:rPr>
          <w:rFonts w:asciiTheme="minorBidi" w:hAnsiTheme="minorBidi" w:cstheme="minorBidi"/>
          <w:b/>
          <w:sz w:val="22"/>
          <w:szCs w:val="22"/>
        </w:rPr>
        <w:t xml:space="preserve"> </w:t>
      </w:r>
      <w:r w:rsidRPr="00677233">
        <w:rPr>
          <w:rFonts w:asciiTheme="minorBidi" w:hAnsiTheme="minorBidi" w:cstheme="minorBidi"/>
          <w:sz w:val="22"/>
          <w:szCs w:val="22"/>
        </w:rPr>
        <w:t xml:space="preserve">and </w:t>
      </w:r>
      <w:r w:rsidRPr="00677233">
        <w:rPr>
          <w:rFonts w:asciiTheme="minorBidi" w:hAnsiTheme="minorBidi" w:cstheme="minorBidi"/>
          <w:sz w:val="22"/>
          <w:szCs w:val="22"/>
          <w:u w:val="single"/>
        </w:rPr>
        <w:t>grants</w:t>
      </w:r>
      <w:r w:rsidRPr="00677233">
        <w:rPr>
          <w:rFonts w:asciiTheme="minorBidi" w:hAnsiTheme="minorBidi" w:cstheme="minorBidi"/>
          <w:sz w:val="22"/>
          <w:szCs w:val="22"/>
        </w:rPr>
        <w:t xml:space="preserve"> the amount of US$</w:t>
      </w:r>
      <w:r w:rsidR="00375064" w:rsidRPr="00677233">
        <w:rPr>
          <w:rFonts w:asciiTheme="minorBidi" w:hAnsiTheme="minorBidi" w:cstheme="minorBidi"/>
          <w:sz w:val="22"/>
          <w:szCs w:val="22"/>
        </w:rPr>
        <w:t>99,033</w:t>
      </w:r>
      <w:r w:rsidRPr="00677233">
        <w:rPr>
          <w:rFonts w:asciiTheme="minorBidi" w:hAnsiTheme="minorBidi" w:cstheme="minorBidi"/>
          <w:sz w:val="22"/>
          <w:szCs w:val="22"/>
        </w:rPr>
        <w:t xml:space="preserve"> </w:t>
      </w:r>
      <w:r w:rsidRPr="00677233">
        <w:rPr>
          <w:rFonts w:asciiTheme="minorBidi" w:eastAsia="SimSun" w:hAnsiTheme="minorBidi" w:cstheme="minorBidi"/>
          <w:sz w:val="22"/>
          <w:szCs w:val="22"/>
          <w:lang w:eastAsia="ko-KR"/>
        </w:rPr>
        <w:t>for the implementation of this project</w:t>
      </w:r>
      <w:r w:rsidR="002636B5" w:rsidRPr="00677233">
        <w:rPr>
          <w:rFonts w:asciiTheme="minorBidi" w:eastAsia="SimSun" w:hAnsiTheme="minorBidi" w:cstheme="minorBidi"/>
          <w:sz w:val="22"/>
          <w:szCs w:val="22"/>
          <w:lang w:eastAsia="ko-KR"/>
        </w:rPr>
        <w:t xml:space="preserve"> according to the modality described in paragraphs 5 and </w:t>
      </w:r>
      <w:proofErr w:type="gramStart"/>
      <w:r w:rsidR="00F11AD6" w:rsidRPr="00677233">
        <w:rPr>
          <w:rFonts w:asciiTheme="minorBidi" w:eastAsia="SimSun" w:hAnsiTheme="minorBidi" w:cstheme="minorBidi"/>
          <w:sz w:val="22"/>
          <w:szCs w:val="22"/>
          <w:lang w:eastAsia="ko-KR"/>
        </w:rPr>
        <w:t>6</w:t>
      </w:r>
      <w:r w:rsidRPr="00677233">
        <w:rPr>
          <w:rFonts w:asciiTheme="minorBidi" w:hAnsiTheme="minorBidi" w:cstheme="minorBidi"/>
          <w:sz w:val="22"/>
          <w:szCs w:val="22"/>
        </w:rPr>
        <w:t>;</w:t>
      </w:r>
      <w:proofErr w:type="gramEnd"/>
    </w:p>
    <w:p w14:paraId="16BCA27D" w14:textId="39568128" w:rsidR="009E4B10" w:rsidRPr="001C2550" w:rsidRDefault="009E4B10" w:rsidP="009E4B10">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Commends</w:t>
      </w:r>
      <w:r w:rsidRPr="00677233">
        <w:rPr>
          <w:rFonts w:asciiTheme="minorBidi" w:hAnsiTheme="minorBidi" w:cstheme="minorBidi"/>
          <w:sz w:val="22"/>
          <w:szCs w:val="22"/>
        </w:rPr>
        <w:t xml:space="preserve"> the State Party for the submission of an International Assistance request as a </w:t>
      </w:r>
      <w:r w:rsidR="001D2B7C" w:rsidRPr="00677233">
        <w:rPr>
          <w:rFonts w:asciiTheme="minorBidi" w:hAnsiTheme="minorBidi" w:cstheme="minorBidi"/>
          <w:sz w:val="22"/>
          <w:szCs w:val="22"/>
        </w:rPr>
        <w:t xml:space="preserve">direct </w:t>
      </w:r>
      <w:r w:rsidRPr="00677233">
        <w:rPr>
          <w:rFonts w:asciiTheme="minorBidi" w:hAnsiTheme="minorBidi" w:cstheme="minorBidi"/>
          <w:sz w:val="22"/>
          <w:szCs w:val="22"/>
        </w:rPr>
        <w:t xml:space="preserve">follow up to </w:t>
      </w:r>
      <w:r w:rsidR="001D2B7C" w:rsidRPr="00677233">
        <w:rPr>
          <w:rFonts w:asciiTheme="minorBidi" w:hAnsiTheme="minorBidi" w:cstheme="minorBidi"/>
          <w:sz w:val="22"/>
          <w:szCs w:val="22"/>
        </w:rPr>
        <w:t xml:space="preserve">its latest </w:t>
      </w:r>
      <w:r w:rsidRPr="00677233">
        <w:rPr>
          <w:rFonts w:asciiTheme="minorBidi" w:hAnsiTheme="minorBidi" w:cstheme="minorBidi"/>
          <w:sz w:val="22"/>
          <w:szCs w:val="22"/>
        </w:rPr>
        <w:t xml:space="preserve">Periodic Report on the </w:t>
      </w:r>
      <w:r w:rsidR="001D2B7C" w:rsidRPr="00677233">
        <w:rPr>
          <w:rFonts w:asciiTheme="minorBidi" w:hAnsiTheme="minorBidi" w:cstheme="minorBidi"/>
          <w:sz w:val="22"/>
          <w:szCs w:val="22"/>
        </w:rPr>
        <w:t>implementation of the Convention (submitted in 2024)</w:t>
      </w:r>
      <w:r w:rsidRPr="00677233">
        <w:rPr>
          <w:rFonts w:asciiTheme="minorBidi" w:hAnsiTheme="minorBidi" w:cstheme="minorBidi"/>
          <w:sz w:val="22"/>
          <w:szCs w:val="22"/>
        </w:rPr>
        <w:t xml:space="preserve">, </w:t>
      </w:r>
      <w:r w:rsidR="001D2B7C" w:rsidRPr="00677233">
        <w:rPr>
          <w:rFonts w:asciiTheme="minorBidi" w:hAnsiTheme="minorBidi" w:cstheme="minorBidi"/>
          <w:sz w:val="22"/>
          <w:szCs w:val="22"/>
        </w:rPr>
        <w:t xml:space="preserve">demonstrating the effective use, </w:t>
      </w:r>
      <w:r w:rsidRPr="00677233">
        <w:rPr>
          <w:rFonts w:asciiTheme="minorBidi" w:hAnsiTheme="minorBidi" w:cstheme="minorBidi"/>
          <w:sz w:val="22"/>
          <w:szCs w:val="22"/>
        </w:rPr>
        <w:t xml:space="preserve">in an inter-related manner, of the international cooperation mechanisms of the </w:t>
      </w:r>
      <w:proofErr w:type="gramStart"/>
      <w:r w:rsidRPr="00677233">
        <w:rPr>
          <w:rFonts w:asciiTheme="minorBidi" w:hAnsiTheme="minorBidi" w:cstheme="minorBidi"/>
          <w:sz w:val="22"/>
          <w:szCs w:val="22"/>
        </w:rPr>
        <w:t>Convention;</w:t>
      </w:r>
      <w:proofErr w:type="gramEnd"/>
    </w:p>
    <w:p w14:paraId="2EFBDE87" w14:textId="3EB6EB83"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Encourages</w:t>
      </w:r>
      <w:r w:rsidRPr="00677233">
        <w:rPr>
          <w:rFonts w:asciiTheme="minorBidi" w:hAnsiTheme="minorBidi" w:cstheme="minorBidi"/>
          <w:sz w:val="22"/>
          <w:szCs w:val="22"/>
        </w:rPr>
        <w:t xml:space="preserve"> the requesting State Party to consult the </w:t>
      </w:r>
      <w:hyperlink r:id="rId19" w:history="1">
        <w:r w:rsidR="00C61C27" w:rsidRPr="00677233">
          <w:rPr>
            <w:rStyle w:val="Lienhypertexte"/>
            <w:rFonts w:asciiTheme="minorBidi" w:hAnsiTheme="minorBidi" w:cstheme="minorBidi"/>
            <w:sz w:val="22"/>
            <w:szCs w:val="22"/>
            <w:lang w:eastAsia="fr-FR"/>
          </w:rPr>
          <w:t>Guidance Note</w:t>
        </w:r>
      </w:hyperlink>
      <w:r w:rsidRPr="00677233">
        <w:rPr>
          <w:rFonts w:asciiTheme="minorBidi" w:hAnsiTheme="minorBidi" w:cstheme="minorBidi"/>
          <w:sz w:val="22"/>
          <w:szCs w:val="22"/>
        </w:rPr>
        <w:t xml:space="preserve"> (2021) on the process of inventorying intangible cultural heritage, which provides a list of issues to be considered prior to and during the inventorying process, as well as the Convention’s </w:t>
      </w:r>
      <w:hyperlink r:id="rId20" w:history="1">
        <w:r w:rsidRPr="00677233">
          <w:rPr>
            <w:rStyle w:val="Lienhypertexte"/>
            <w:rFonts w:asciiTheme="minorBidi" w:hAnsiTheme="minorBidi" w:cstheme="minorBidi"/>
            <w:sz w:val="22"/>
            <w:szCs w:val="22"/>
            <w:lang w:eastAsia="fr-FR"/>
          </w:rPr>
          <w:t>capacity-building materials</w:t>
        </w:r>
      </w:hyperlink>
      <w:r w:rsidRPr="00677233">
        <w:rPr>
          <w:rStyle w:val="Lienhypertexte"/>
          <w:rFonts w:asciiTheme="minorBidi" w:hAnsiTheme="minorBidi" w:cstheme="minorBidi"/>
          <w:sz w:val="22"/>
          <w:szCs w:val="22"/>
          <w:lang w:eastAsia="fr-FR"/>
        </w:rPr>
        <w:t xml:space="preserve"> repository</w:t>
      </w:r>
      <w:r w:rsidRPr="00677233">
        <w:rPr>
          <w:rFonts w:asciiTheme="minorBidi" w:hAnsiTheme="minorBidi" w:cstheme="minorBidi"/>
          <w:sz w:val="22"/>
          <w:szCs w:val="22"/>
        </w:rPr>
        <w:t xml:space="preserve"> on inventorying, which may also provide additional information;</w:t>
      </w:r>
    </w:p>
    <w:p w14:paraId="0F94B1E5" w14:textId="77777777"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u w:val="single"/>
        </w:rPr>
      </w:pPr>
      <w:r w:rsidRPr="00677233">
        <w:rPr>
          <w:rFonts w:asciiTheme="minorBidi" w:hAnsiTheme="minorBidi" w:cstheme="minorBidi"/>
          <w:sz w:val="22"/>
          <w:szCs w:val="22"/>
          <w:u w:val="single"/>
        </w:rPr>
        <w:t>Requests</w:t>
      </w:r>
      <w:r w:rsidRPr="00677233">
        <w:rPr>
          <w:rFonts w:asciiTheme="minorBidi" w:hAnsiTheme="minorBidi" w:cstheme="minorBidi"/>
          <w:sz w:val="22"/>
          <w:szCs w:val="22"/>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677233">
        <w:rPr>
          <w:rFonts w:asciiTheme="minorBidi" w:hAnsiTheme="minorBidi" w:cstheme="minorBidi"/>
          <w:sz w:val="22"/>
          <w:szCs w:val="22"/>
        </w:rPr>
        <w:t>expenditures;</w:t>
      </w:r>
      <w:proofErr w:type="gramEnd"/>
    </w:p>
    <w:p w14:paraId="5679514B" w14:textId="77777777" w:rsidR="00A23D0F" w:rsidRPr="00677233" w:rsidRDefault="00A23D0F" w:rsidP="008C1133">
      <w:pPr>
        <w:numPr>
          <w:ilvl w:val="0"/>
          <w:numId w:val="26"/>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Invites</w:t>
      </w:r>
      <w:r w:rsidRPr="00677233">
        <w:rPr>
          <w:rFonts w:asciiTheme="minorBidi" w:hAnsiTheme="minorBidi" w:cstheme="minorBidi"/>
          <w:sz w:val="22"/>
          <w:szCs w:val="22"/>
        </w:rPr>
        <w:t xml:space="preserve"> the requesting State Party to use Form ICH-04-Report to report on the use of the assistance granted.</w:t>
      </w:r>
    </w:p>
    <w:p w14:paraId="3C0E099A" w14:textId="68FC0C86" w:rsidR="00A23D0F" w:rsidRPr="00677233" w:rsidRDefault="00A23D0F" w:rsidP="008C1133">
      <w:pPr>
        <w:pStyle w:val="COMTitleDecision"/>
        <w:ind w:left="0"/>
      </w:pPr>
      <w:r w:rsidRPr="00677233">
        <w:t>DRAFT DECISION 20.COM 4.BUR </w:t>
      </w:r>
      <w:r w:rsidR="005F60F3">
        <w:t>3.3</w:t>
      </w:r>
      <w:r w:rsidRPr="00677233">
        <w:tab/>
      </w:r>
      <w:r w:rsidRPr="00677233">
        <w:tab/>
      </w:r>
      <w:bookmarkStart w:id="5" w:name="Dec3"/>
      <w:r w:rsidRPr="00677233">
        <w:rPr>
          <w:noProof/>
        </w:rPr>
        <w:drawing>
          <wp:inline distT="0" distB="0" distL="0" distR="0" wp14:anchorId="61903F30" wp14:editId="75D5123D">
            <wp:extent cx="104140" cy="104140"/>
            <wp:effectExtent l="0" t="0" r="0" b="0"/>
            <wp:docPr id="920352909" name="Picture 1" descr="Retour au débu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5"/>
    </w:p>
    <w:p w14:paraId="01933CD4" w14:textId="77777777" w:rsidR="00A23D0F" w:rsidRPr="00677233" w:rsidRDefault="00A23D0F" w:rsidP="008C1133">
      <w:pPr>
        <w:keepNext/>
        <w:spacing w:before="120" w:after="120"/>
        <w:jc w:val="both"/>
        <w:rPr>
          <w:rFonts w:asciiTheme="minorBidi" w:hAnsiTheme="minorBidi" w:cstheme="minorBidi"/>
          <w:sz w:val="22"/>
          <w:szCs w:val="22"/>
        </w:rPr>
      </w:pPr>
      <w:r w:rsidRPr="00677233">
        <w:rPr>
          <w:rFonts w:asciiTheme="minorBidi" w:hAnsiTheme="minorBidi" w:cstheme="minorBidi"/>
          <w:sz w:val="22"/>
          <w:szCs w:val="22"/>
        </w:rPr>
        <w:t>The Bureau,</w:t>
      </w:r>
    </w:p>
    <w:p w14:paraId="0891495E" w14:textId="5F204437"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Recalling</w:t>
      </w:r>
      <w:r w:rsidRPr="00677233">
        <w:rPr>
          <w:rFonts w:asciiTheme="minorBidi" w:hAnsiTheme="minorBidi" w:cstheme="minorBidi"/>
          <w:sz w:val="22"/>
          <w:szCs w:val="22"/>
        </w:rPr>
        <w:t xml:space="preserve"> Chapter V of the Convention as well as Chapter I.4 of the Operational Directives relating to the eligibility and </w:t>
      </w:r>
      <w:r w:rsidR="00664405">
        <w:rPr>
          <w:rFonts w:asciiTheme="minorBidi" w:hAnsiTheme="minorBidi" w:cstheme="minorBidi"/>
          <w:sz w:val="22"/>
          <w:szCs w:val="22"/>
        </w:rPr>
        <w:t xml:space="preserve">selection </w:t>
      </w:r>
      <w:r w:rsidRPr="00677233">
        <w:rPr>
          <w:rFonts w:asciiTheme="minorBidi" w:hAnsiTheme="minorBidi" w:cstheme="minorBidi"/>
          <w:sz w:val="22"/>
          <w:szCs w:val="22"/>
        </w:rPr>
        <w:t>criteria of International Assistance requests,</w:t>
      </w:r>
    </w:p>
    <w:p w14:paraId="48B83F0A" w14:textId="55C141B6"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Having examined</w:t>
      </w:r>
      <w:r w:rsidRPr="00677233">
        <w:rPr>
          <w:rFonts w:asciiTheme="minorBidi" w:hAnsiTheme="minorBidi" w:cstheme="minorBidi"/>
          <w:sz w:val="22"/>
          <w:szCs w:val="22"/>
        </w:rPr>
        <w:t xml:space="preserve"> document </w:t>
      </w:r>
      <w:r w:rsidRPr="000921DE">
        <w:rPr>
          <w:rFonts w:asciiTheme="minorBidi" w:hAnsiTheme="minorBidi" w:cstheme="minorBidi"/>
          <w:sz w:val="22"/>
          <w:szCs w:val="22"/>
        </w:rPr>
        <w:t>LHE/25/20.COM </w:t>
      </w:r>
      <w:r w:rsidR="00375064" w:rsidRPr="000921DE">
        <w:rPr>
          <w:rFonts w:asciiTheme="minorBidi" w:hAnsiTheme="minorBidi" w:cstheme="minorBidi"/>
          <w:sz w:val="22"/>
          <w:szCs w:val="22"/>
        </w:rPr>
        <w:t>4</w:t>
      </w:r>
      <w:r w:rsidRPr="000921DE">
        <w:rPr>
          <w:rFonts w:asciiTheme="minorBidi" w:hAnsiTheme="minorBidi" w:cstheme="minorBidi"/>
          <w:sz w:val="22"/>
          <w:szCs w:val="22"/>
        </w:rPr>
        <w:t>.BUR/</w:t>
      </w:r>
      <w:r w:rsidR="005F60F3">
        <w:rPr>
          <w:rFonts w:asciiTheme="minorBidi" w:hAnsiTheme="minorBidi" w:cstheme="minorBidi"/>
          <w:sz w:val="22"/>
          <w:szCs w:val="22"/>
        </w:rPr>
        <w:t>3</w:t>
      </w:r>
      <w:r w:rsidRPr="00677233">
        <w:rPr>
          <w:rFonts w:asciiTheme="minorBidi" w:hAnsiTheme="minorBidi" w:cstheme="minorBidi"/>
          <w:sz w:val="22"/>
          <w:szCs w:val="22"/>
        </w:rPr>
        <w:t xml:space="preserve"> as well as International Assistance request no. </w:t>
      </w:r>
      <w:r w:rsidR="00375064" w:rsidRPr="00677233">
        <w:rPr>
          <w:rFonts w:asciiTheme="minorBidi" w:hAnsiTheme="minorBidi" w:cstheme="minorBidi"/>
          <w:sz w:val="22"/>
          <w:szCs w:val="22"/>
        </w:rPr>
        <w:t>02463</w:t>
      </w:r>
      <w:r w:rsidRPr="00677233">
        <w:rPr>
          <w:rFonts w:asciiTheme="minorBidi" w:hAnsiTheme="minorBidi" w:cstheme="minorBidi"/>
          <w:sz w:val="22"/>
          <w:szCs w:val="22"/>
        </w:rPr>
        <w:t xml:space="preserve"> submitted by </w:t>
      </w:r>
      <w:r w:rsidR="00375064" w:rsidRPr="00677233">
        <w:rPr>
          <w:rFonts w:asciiTheme="minorBidi" w:hAnsiTheme="minorBidi" w:cstheme="minorBidi"/>
          <w:sz w:val="22"/>
          <w:szCs w:val="22"/>
        </w:rPr>
        <w:t>Uruguay</w:t>
      </w:r>
      <w:r w:rsidRPr="00677233">
        <w:rPr>
          <w:rFonts w:asciiTheme="minorBidi" w:hAnsiTheme="minorBidi" w:cstheme="minorBidi"/>
          <w:sz w:val="22"/>
          <w:szCs w:val="22"/>
        </w:rPr>
        <w:t>,</w:t>
      </w:r>
    </w:p>
    <w:p w14:paraId="5F574832" w14:textId="35AE3C40" w:rsidR="00A23D0F" w:rsidRPr="00677233" w:rsidRDefault="00A23D0F" w:rsidP="0006263E">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Takes note</w:t>
      </w:r>
      <w:r w:rsidRPr="00677233">
        <w:rPr>
          <w:rFonts w:asciiTheme="minorBidi" w:hAnsiTheme="minorBidi" w:cstheme="minorBidi"/>
          <w:sz w:val="22"/>
          <w:szCs w:val="22"/>
        </w:rPr>
        <w:t xml:space="preserve"> that </w:t>
      </w:r>
      <w:r w:rsidR="00375064" w:rsidRPr="00677233">
        <w:rPr>
          <w:rFonts w:asciiTheme="minorBidi" w:hAnsiTheme="minorBidi" w:cstheme="minorBidi"/>
          <w:sz w:val="22"/>
          <w:szCs w:val="22"/>
        </w:rPr>
        <w:t>Uruguay</w:t>
      </w:r>
      <w:r w:rsidRPr="00677233">
        <w:rPr>
          <w:rFonts w:asciiTheme="minorBidi" w:hAnsiTheme="minorBidi" w:cstheme="minorBidi"/>
          <w:sz w:val="22"/>
          <w:szCs w:val="22"/>
        </w:rPr>
        <w:t xml:space="preserve"> has requested International Assistance for the project entitled </w:t>
      </w:r>
      <w:proofErr w:type="gramStart"/>
      <w:r w:rsidR="00375064" w:rsidRPr="00677233">
        <w:rPr>
          <w:rFonts w:asciiTheme="minorBidi" w:hAnsiTheme="minorBidi" w:cstheme="minorBidi"/>
          <w:b/>
          <w:bCs/>
          <w:sz w:val="22"/>
          <w:szCs w:val="22"/>
        </w:rPr>
        <w:t>The</w:t>
      </w:r>
      <w:proofErr w:type="gramEnd"/>
      <w:r w:rsidR="00375064" w:rsidRPr="00677233">
        <w:rPr>
          <w:rFonts w:asciiTheme="minorBidi" w:hAnsiTheme="minorBidi" w:cstheme="minorBidi"/>
          <w:b/>
          <w:bCs/>
          <w:sz w:val="22"/>
          <w:szCs w:val="22"/>
        </w:rPr>
        <w:t xml:space="preserve"> sound of Tango</w:t>
      </w:r>
      <w:r w:rsidR="00E8526F" w:rsidRPr="00677233">
        <w:rPr>
          <w:rFonts w:asciiTheme="minorBidi" w:hAnsiTheme="minorBidi" w:cstheme="minorBidi"/>
          <w:b/>
          <w:bCs/>
          <w:sz w:val="22"/>
          <w:szCs w:val="22"/>
        </w:rPr>
        <w:t xml:space="preserve"> </w:t>
      </w:r>
      <w:r w:rsidR="0006263E" w:rsidRPr="00677233">
        <w:rPr>
          <w:rFonts w:asciiTheme="minorBidi" w:hAnsiTheme="minorBidi" w:cstheme="minorBidi"/>
          <w:b/>
          <w:bCs/>
          <w:sz w:val="22"/>
          <w:szCs w:val="22"/>
        </w:rPr>
        <w:t xml:space="preserve">– </w:t>
      </w:r>
      <w:r w:rsidR="001341F9" w:rsidRPr="00677233">
        <w:rPr>
          <w:rFonts w:asciiTheme="minorBidi" w:hAnsiTheme="minorBidi" w:cstheme="minorBidi"/>
          <w:b/>
          <w:bCs/>
          <w:sz w:val="22"/>
          <w:szCs w:val="22"/>
        </w:rPr>
        <w:t>P</w:t>
      </w:r>
      <w:r w:rsidR="00E8526F" w:rsidRPr="00677233">
        <w:rPr>
          <w:rFonts w:asciiTheme="minorBidi" w:hAnsiTheme="minorBidi" w:cstheme="minorBidi"/>
          <w:b/>
          <w:bCs/>
          <w:sz w:val="22"/>
          <w:szCs w:val="22"/>
        </w:rPr>
        <w:t>hase</w:t>
      </w:r>
      <w:r w:rsidR="00375064" w:rsidRPr="00677233">
        <w:rPr>
          <w:rFonts w:asciiTheme="minorBidi" w:hAnsiTheme="minorBidi" w:cstheme="minorBidi"/>
          <w:b/>
          <w:bCs/>
          <w:sz w:val="22"/>
          <w:szCs w:val="22"/>
        </w:rPr>
        <w:t xml:space="preserve"> II</w:t>
      </w:r>
      <w:r w:rsidRPr="00677233">
        <w:rPr>
          <w:rFonts w:asciiTheme="minorBidi" w:hAnsiTheme="minorBidi" w:cstheme="minorBidi"/>
          <w:bCs/>
          <w:sz w:val="22"/>
          <w:szCs w:val="22"/>
        </w:rPr>
        <w:t>:</w:t>
      </w:r>
    </w:p>
    <w:p w14:paraId="4D6BFF54" w14:textId="4A38D0BE" w:rsidR="006466B6" w:rsidRPr="00677233" w:rsidRDefault="006466B6" w:rsidP="005A6966">
      <w:pPr>
        <w:ind w:left="567"/>
        <w:jc w:val="both"/>
        <w:rPr>
          <w:rFonts w:asciiTheme="minorBidi" w:hAnsiTheme="minorBidi" w:cstheme="minorBidi"/>
          <w:sz w:val="22"/>
          <w:szCs w:val="22"/>
        </w:rPr>
      </w:pPr>
      <w:r w:rsidRPr="00677233">
        <w:rPr>
          <w:rFonts w:asciiTheme="minorBidi" w:hAnsiTheme="minorBidi" w:cstheme="minorBidi"/>
          <w:sz w:val="22"/>
          <w:szCs w:val="22"/>
        </w:rPr>
        <w:t xml:space="preserve">To be implemented by the </w:t>
      </w:r>
      <w:hyperlink r:id="rId21" w:history="1">
        <w:r w:rsidRPr="00677233">
          <w:rPr>
            <w:rStyle w:val="Lienhypertexte"/>
            <w:rFonts w:asciiTheme="minorBidi" w:hAnsiTheme="minorBidi" w:cstheme="minorBidi"/>
            <w:sz w:val="22"/>
            <w:szCs w:val="22"/>
            <w:lang w:eastAsia="fr-FR"/>
          </w:rPr>
          <w:t>Cienarte Foundation</w:t>
        </w:r>
      </w:hyperlink>
      <w:r w:rsidRPr="00677233">
        <w:rPr>
          <w:rFonts w:asciiTheme="minorBidi" w:hAnsiTheme="minorBidi" w:cstheme="minorBidi"/>
          <w:sz w:val="22"/>
          <w:szCs w:val="22"/>
        </w:rPr>
        <w:t>, this twenty-</w:t>
      </w:r>
      <w:r w:rsidR="00547C27" w:rsidRPr="00677233">
        <w:rPr>
          <w:rFonts w:asciiTheme="minorBidi" w:hAnsiTheme="minorBidi" w:cstheme="minorBidi"/>
          <w:sz w:val="22"/>
          <w:szCs w:val="22"/>
        </w:rPr>
        <w:t>six</w:t>
      </w:r>
      <w:r w:rsidRPr="00677233">
        <w:rPr>
          <w:rFonts w:asciiTheme="minorBidi" w:hAnsiTheme="minorBidi" w:cstheme="minorBidi"/>
          <w:sz w:val="22"/>
          <w:szCs w:val="22"/>
        </w:rPr>
        <w:t xml:space="preserve">-month project aims to promote the intergenerational transmission of the </w:t>
      </w:r>
      <w:r w:rsidR="002C7725">
        <w:rPr>
          <w:rFonts w:asciiTheme="minorBidi" w:hAnsiTheme="minorBidi" w:cstheme="minorBidi"/>
          <w:sz w:val="22"/>
          <w:szCs w:val="22"/>
        </w:rPr>
        <w:t>T</w:t>
      </w:r>
      <w:r w:rsidR="002C7725" w:rsidRPr="00677233">
        <w:rPr>
          <w:rFonts w:asciiTheme="minorBidi" w:hAnsiTheme="minorBidi" w:cstheme="minorBidi"/>
          <w:sz w:val="22"/>
          <w:szCs w:val="22"/>
        </w:rPr>
        <w:t xml:space="preserve">ango </w:t>
      </w:r>
      <w:r w:rsidRPr="00677233">
        <w:rPr>
          <w:rFonts w:asciiTheme="minorBidi" w:hAnsiTheme="minorBidi" w:cstheme="minorBidi"/>
          <w:sz w:val="22"/>
          <w:szCs w:val="22"/>
        </w:rPr>
        <w:t>tradition through education, artistic activities and publications</w:t>
      </w:r>
      <w:r w:rsidR="00AC636E" w:rsidRPr="00677233">
        <w:rPr>
          <w:rFonts w:asciiTheme="minorBidi" w:hAnsiTheme="minorBidi" w:cstheme="minorBidi"/>
          <w:sz w:val="22"/>
          <w:szCs w:val="22"/>
        </w:rPr>
        <w:t xml:space="preserve">. </w:t>
      </w:r>
      <w:r w:rsidRPr="00677233">
        <w:rPr>
          <w:rFonts w:asciiTheme="minorBidi" w:hAnsiTheme="minorBidi" w:cstheme="minorBidi"/>
          <w:sz w:val="22"/>
          <w:szCs w:val="22"/>
        </w:rPr>
        <w:t>It is the second phase of the project ‘</w:t>
      </w:r>
      <w:hyperlink r:id="rId22" w:history="1">
        <w:r w:rsidR="00E8526F" w:rsidRPr="00677233">
          <w:rPr>
            <w:rStyle w:val="Lienhypertexte"/>
            <w:rFonts w:asciiTheme="minorBidi" w:hAnsiTheme="minorBidi" w:cstheme="minorBidi"/>
            <w:sz w:val="22"/>
            <w:szCs w:val="22"/>
            <w:lang w:eastAsia="fr-FR"/>
          </w:rPr>
          <w:t>The Bandoneon: sound of Tango</w:t>
        </w:r>
      </w:hyperlink>
      <w:r w:rsidR="00B764DF" w:rsidRPr="001C2550">
        <w:rPr>
          <w:rFonts w:asciiTheme="minorBidi" w:hAnsiTheme="minorBidi" w:cstheme="minorBidi"/>
          <w:sz w:val="22"/>
          <w:szCs w:val="22"/>
        </w:rPr>
        <w:t>’</w:t>
      </w:r>
      <w:r w:rsidR="009D5537" w:rsidRPr="00677233">
        <w:rPr>
          <w:rFonts w:asciiTheme="minorBidi" w:hAnsiTheme="minorBidi" w:cstheme="minorBidi"/>
          <w:sz w:val="22"/>
          <w:szCs w:val="22"/>
        </w:rPr>
        <w:t xml:space="preserve"> which relates to the multinational element ‘Tango’ inscribed on the Representative List</w:t>
      </w:r>
      <w:r w:rsidR="00B764DF">
        <w:rPr>
          <w:rFonts w:asciiTheme="minorBidi" w:hAnsiTheme="minorBidi" w:cstheme="minorBidi"/>
          <w:sz w:val="22"/>
          <w:szCs w:val="22"/>
        </w:rPr>
        <w:t xml:space="preserve"> of the Intangible Cultural Heritage of Humanity</w:t>
      </w:r>
      <w:r w:rsidR="009D5537" w:rsidRPr="00677233">
        <w:rPr>
          <w:rFonts w:asciiTheme="minorBidi" w:hAnsiTheme="minorBidi" w:cstheme="minorBidi"/>
          <w:sz w:val="22"/>
          <w:szCs w:val="22"/>
        </w:rPr>
        <w:t xml:space="preserve"> (Argentina and Uruguay). </w:t>
      </w:r>
      <w:r w:rsidRPr="00677233">
        <w:rPr>
          <w:rFonts w:asciiTheme="minorBidi" w:hAnsiTheme="minorBidi" w:cstheme="minorBidi"/>
          <w:sz w:val="22"/>
          <w:szCs w:val="22"/>
        </w:rPr>
        <w:t xml:space="preserve">The first phase of the project sought to promote the revitalization of the bandoneon – an emblematic instrument associated with </w:t>
      </w:r>
      <w:r w:rsidR="00A550AB">
        <w:rPr>
          <w:rFonts w:asciiTheme="minorBidi" w:hAnsiTheme="minorBidi" w:cstheme="minorBidi"/>
          <w:sz w:val="22"/>
          <w:szCs w:val="22"/>
        </w:rPr>
        <w:t>T</w:t>
      </w:r>
      <w:r w:rsidR="00A550AB" w:rsidRPr="00677233">
        <w:rPr>
          <w:rFonts w:asciiTheme="minorBidi" w:hAnsiTheme="minorBidi" w:cstheme="minorBidi"/>
          <w:sz w:val="22"/>
          <w:szCs w:val="22"/>
        </w:rPr>
        <w:t xml:space="preserve">ango </w:t>
      </w:r>
      <w:r w:rsidRPr="00677233">
        <w:rPr>
          <w:rFonts w:asciiTheme="minorBidi" w:hAnsiTheme="minorBidi" w:cstheme="minorBidi"/>
          <w:sz w:val="22"/>
          <w:szCs w:val="22"/>
        </w:rPr>
        <w:t xml:space="preserve">– through research, musical training and the development of materials such as </w:t>
      </w:r>
      <w:r w:rsidR="00206F13" w:rsidRPr="00677233">
        <w:rPr>
          <w:rFonts w:asciiTheme="minorBidi" w:hAnsiTheme="minorBidi" w:cstheme="minorBidi"/>
          <w:sz w:val="22"/>
          <w:szCs w:val="22"/>
        </w:rPr>
        <w:t>‘</w:t>
      </w:r>
      <w:bookmarkStart w:id="6" w:name="_Hlk209090402"/>
      <w:r w:rsidRPr="00677233">
        <w:rPr>
          <w:rFonts w:asciiTheme="minorBidi" w:hAnsiTheme="minorBidi" w:cstheme="minorBidi"/>
          <w:sz w:val="22"/>
          <w:szCs w:val="22"/>
        </w:rPr>
        <w:t>Master Musician Raúl Jaurena’s Guide to Playing the Bandoneon</w:t>
      </w:r>
      <w:r w:rsidR="00206F13" w:rsidRPr="00677233">
        <w:rPr>
          <w:rFonts w:asciiTheme="minorBidi" w:hAnsiTheme="minorBidi" w:cstheme="minorBidi"/>
          <w:sz w:val="22"/>
          <w:szCs w:val="22"/>
        </w:rPr>
        <w:t>’</w:t>
      </w:r>
      <w:bookmarkEnd w:id="6"/>
      <w:r w:rsidRPr="00677233">
        <w:rPr>
          <w:rFonts w:asciiTheme="minorBidi" w:hAnsiTheme="minorBidi" w:cstheme="minorBidi"/>
          <w:sz w:val="22"/>
          <w:szCs w:val="22"/>
        </w:rPr>
        <w:t xml:space="preserve">. </w:t>
      </w:r>
      <w:r w:rsidR="00AC636E" w:rsidRPr="00677233">
        <w:rPr>
          <w:rFonts w:asciiTheme="minorBidi" w:hAnsiTheme="minorBidi" w:cstheme="minorBidi"/>
          <w:sz w:val="22"/>
          <w:szCs w:val="22"/>
        </w:rPr>
        <w:t xml:space="preserve">The results of </w:t>
      </w:r>
      <w:r w:rsidR="0006263E" w:rsidRPr="00677233">
        <w:rPr>
          <w:rFonts w:asciiTheme="minorBidi" w:hAnsiTheme="minorBidi" w:cstheme="minorBidi"/>
          <w:sz w:val="22"/>
          <w:szCs w:val="22"/>
        </w:rPr>
        <w:t>the first phase of the</w:t>
      </w:r>
      <w:r w:rsidR="005A6966" w:rsidRPr="00677233">
        <w:rPr>
          <w:rFonts w:asciiTheme="minorBidi" w:hAnsiTheme="minorBidi" w:cstheme="minorBidi"/>
          <w:sz w:val="22"/>
          <w:szCs w:val="22"/>
        </w:rPr>
        <w:t xml:space="preserve"> project </w:t>
      </w:r>
      <w:r w:rsidR="00AC636E" w:rsidRPr="00677233">
        <w:rPr>
          <w:rFonts w:asciiTheme="minorBidi" w:hAnsiTheme="minorBidi" w:cstheme="minorBidi"/>
          <w:sz w:val="22"/>
          <w:szCs w:val="22"/>
        </w:rPr>
        <w:t xml:space="preserve">are showcased </w:t>
      </w:r>
      <w:r w:rsidR="0006263E" w:rsidRPr="00677233">
        <w:rPr>
          <w:rFonts w:asciiTheme="minorBidi" w:hAnsiTheme="minorBidi" w:cstheme="minorBidi"/>
          <w:sz w:val="22"/>
          <w:szCs w:val="22"/>
        </w:rPr>
        <w:t>through</w:t>
      </w:r>
      <w:r w:rsidR="00AC636E" w:rsidRPr="00677233">
        <w:rPr>
          <w:rFonts w:asciiTheme="minorBidi" w:hAnsiTheme="minorBidi" w:cstheme="minorBidi"/>
          <w:sz w:val="22"/>
          <w:szCs w:val="22"/>
        </w:rPr>
        <w:t xml:space="preserve"> the</w:t>
      </w:r>
      <w:r w:rsidR="0006263E" w:rsidRPr="00677233">
        <w:rPr>
          <w:rFonts w:asciiTheme="minorBidi" w:hAnsiTheme="minorBidi" w:cstheme="minorBidi"/>
          <w:sz w:val="22"/>
          <w:szCs w:val="22"/>
        </w:rPr>
        <w:t xml:space="preserve"> </w:t>
      </w:r>
      <w:hyperlink r:id="rId23" w:history="1">
        <w:r w:rsidR="00562E35" w:rsidRPr="00677233">
          <w:rPr>
            <w:rStyle w:val="Lienhypertexte"/>
            <w:rFonts w:asciiTheme="minorBidi" w:hAnsiTheme="minorBidi" w:cstheme="minorBidi"/>
            <w:sz w:val="22"/>
            <w:szCs w:val="22"/>
            <w:lang w:eastAsia="fr-FR"/>
          </w:rPr>
          <w:t>platform for sharing good safeguarding experiences</w:t>
        </w:r>
      </w:hyperlink>
      <w:r w:rsidR="0006263E" w:rsidRPr="00677233">
        <w:rPr>
          <w:rFonts w:asciiTheme="minorBidi" w:hAnsiTheme="minorBidi" w:cstheme="minorBidi"/>
          <w:sz w:val="22"/>
          <w:szCs w:val="22"/>
        </w:rPr>
        <w:t xml:space="preserve">, </w:t>
      </w:r>
      <w:r w:rsidR="00B764DF">
        <w:rPr>
          <w:rFonts w:asciiTheme="minorBidi" w:hAnsiTheme="minorBidi" w:cstheme="minorBidi"/>
          <w:sz w:val="22"/>
          <w:szCs w:val="22"/>
        </w:rPr>
        <w:t xml:space="preserve">which </w:t>
      </w:r>
      <w:r w:rsidR="0006263E" w:rsidRPr="00677233">
        <w:rPr>
          <w:rFonts w:asciiTheme="minorBidi" w:hAnsiTheme="minorBidi" w:cstheme="minorBidi"/>
          <w:sz w:val="22"/>
          <w:szCs w:val="22"/>
        </w:rPr>
        <w:t>aim</w:t>
      </w:r>
      <w:r w:rsidR="00B764DF">
        <w:rPr>
          <w:rFonts w:asciiTheme="minorBidi" w:hAnsiTheme="minorBidi" w:cstheme="minorBidi"/>
          <w:sz w:val="22"/>
          <w:szCs w:val="22"/>
        </w:rPr>
        <w:t>s</w:t>
      </w:r>
      <w:r w:rsidR="0006263E" w:rsidRPr="00677233">
        <w:rPr>
          <w:rFonts w:asciiTheme="minorBidi" w:hAnsiTheme="minorBidi" w:cstheme="minorBidi"/>
          <w:sz w:val="22"/>
          <w:szCs w:val="22"/>
        </w:rPr>
        <w:t xml:space="preserve"> to promote a broader implementation of Article 18 of the 2003 Convention.</w:t>
      </w:r>
      <w:r w:rsidR="00562E35" w:rsidRPr="00677233">
        <w:rPr>
          <w:rFonts w:asciiTheme="minorBidi" w:hAnsiTheme="minorBidi" w:cstheme="minorBidi"/>
          <w:sz w:val="22"/>
          <w:szCs w:val="22"/>
        </w:rPr>
        <w:t xml:space="preserve"> </w:t>
      </w:r>
      <w:r w:rsidR="005A6966" w:rsidRPr="00677233">
        <w:rPr>
          <w:rFonts w:asciiTheme="minorBidi" w:hAnsiTheme="minorBidi" w:cstheme="minorBidi"/>
          <w:sz w:val="22"/>
          <w:szCs w:val="22"/>
        </w:rPr>
        <w:t xml:space="preserve">This </w:t>
      </w:r>
      <w:r w:rsidRPr="00677233">
        <w:rPr>
          <w:rFonts w:asciiTheme="minorBidi" w:hAnsiTheme="minorBidi" w:cstheme="minorBidi"/>
          <w:sz w:val="22"/>
          <w:szCs w:val="22"/>
        </w:rPr>
        <w:t xml:space="preserve">second phase will focus on </w:t>
      </w:r>
      <w:r w:rsidR="00996675">
        <w:rPr>
          <w:rFonts w:asciiTheme="minorBidi" w:hAnsiTheme="minorBidi" w:cstheme="minorBidi"/>
          <w:sz w:val="22"/>
          <w:szCs w:val="22"/>
        </w:rPr>
        <w:t>T</w:t>
      </w:r>
      <w:r w:rsidR="00996675" w:rsidRPr="00677233">
        <w:rPr>
          <w:rFonts w:asciiTheme="minorBidi" w:hAnsiTheme="minorBidi" w:cstheme="minorBidi"/>
          <w:sz w:val="22"/>
          <w:szCs w:val="22"/>
        </w:rPr>
        <w:t xml:space="preserve">ango </w:t>
      </w:r>
      <w:r w:rsidRPr="00677233">
        <w:rPr>
          <w:rFonts w:asciiTheme="minorBidi" w:hAnsiTheme="minorBidi" w:cstheme="minorBidi"/>
          <w:sz w:val="22"/>
          <w:szCs w:val="22"/>
        </w:rPr>
        <w:t>music by increasing accessibility for people who are blind</w:t>
      </w:r>
      <w:r w:rsidR="00D92626" w:rsidRPr="00677233">
        <w:rPr>
          <w:rFonts w:asciiTheme="minorBidi" w:hAnsiTheme="minorBidi" w:cstheme="minorBidi"/>
          <w:sz w:val="22"/>
          <w:szCs w:val="22"/>
        </w:rPr>
        <w:t xml:space="preserve"> </w:t>
      </w:r>
      <w:r w:rsidR="00B764DF">
        <w:rPr>
          <w:rFonts w:asciiTheme="minorBidi" w:hAnsiTheme="minorBidi" w:cstheme="minorBidi"/>
          <w:sz w:val="22"/>
          <w:szCs w:val="22"/>
        </w:rPr>
        <w:t>or have</w:t>
      </w:r>
      <w:r w:rsidR="00D92626" w:rsidRPr="00677233">
        <w:rPr>
          <w:rFonts w:asciiTheme="minorBidi" w:hAnsiTheme="minorBidi" w:cstheme="minorBidi"/>
          <w:sz w:val="22"/>
          <w:szCs w:val="22"/>
        </w:rPr>
        <w:t xml:space="preserve"> visual impairment</w:t>
      </w:r>
      <w:r w:rsidR="00B764DF">
        <w:rPr>
          <w:rFonts w:asciiTheme="minorBidi" w:hAnsiTheme="minorBidi" w:cstheme="minorBidi"/>
          <w:sz w:val="22"/>
          <w:szCs w:val="22"/>
        </w:rPr>
        <w:t>s</w:t>
      </w:r>
      <w:r w:rsidRPr="00677233">
        <w:rPr>
          <w:rFonts w:asciiTheme="minorBidi" w:hAnsiTheme="minorBidi" w:cstheme="minorBidi"/>
          <w:sz w:val="22"/>
          <w:szCs w:val="22"/>
        </w:rPr>
        <w:t xml:space="preserve">, </w:t>
      </w:r>
      <w:r w:rsidR="00B764DF">
        <w:rPr>
          <w:rFonts w:asciiTheme="minorBidi" w:hAnsiTheme="minorBidi" w:cstheme="minorBidi"/>
          <w:sz w:val="22"/>
          <w:szCs w:val="22"/>
        </w:rPr>
        <w:t xml:space="preserve">as well as by </w:t>
      </w:r>
      <w:r w:rsidRPr="00677233">
        <w:rPr>
          <w:rFonts w:asciiTheme="minorBidi" w:hAnsiTheme="minorBidi" w:cstheme="minorBidi"/>
          <w:sz w:val="22"/>
          <w:szCs w:val="22"/>
        </w:rPr>
        <w:t xml:space="preserve">training mentors, raising awareness among students, and promoting bandoneon-making skills. The activities will be carried out with the support of local authorities, educational institutions, artists and civil society organizations. They entail the </w:t>
      </w:r>
      <w:r w:rsidR="008B68AA">
        <w:rPr>
          <w:rFonts w:asciiTheme="minorBidi" w:hAnsiTheme="minorBidi" w:cstheme="minorBidi"/>
          <w:sz w:val="22"/>
          <w:szCs w:val="22"/>
        </w:rPr>
        <w:t>B</w:t>
      </w:r>
      <w:r w:rsidRPr="00677233">
        <w:rPr>
          <w:rFonts w:asciiTheme="minorBidi" w:hAnsiTheme="minorBidi" w:cstheme="minorBidi"/>
          <w:sz w:val="22"/>
          <w:szCs w:val="22"/>
        </w:rPr>
        <w:t xml:space="preserve">raille transcription of the </w:t>
      </w:r>
      <w:r w:rsidR="00206F13" w:rsidRPr="00677233">
        <w:rPr>
          <w:rFonts w:asciiTheme="minorBidi" w:hAnsiTheme="minorBidi" w:cstheme="minorBidi"/>
          <w:sz w:val="22"/>
          <w:szCs w:val="22"/>
        </w:rPr>
        <w:t>‘</w:t>
      </w:r>
      <w:r w:rsidRPr="00677233">
        <w:rPr>
          <w:rFonts w:asciiTheme="minorBidi" w:hAnsiTheme="minorBidi" w:cstheme="minorBidi"/>
          <w:sz w:val="22"/>
          <w:szCs w:val="22"/>
        </w:rPr>
        <w:t>Guide to Playing the Bandoneon</w:t>
      </w:r>
      <w:r w:rsidR="00206F13" w:rsidRPr="00677233">
        <w:rPr>
          <w:rFonts w:asciiTheme="minorBidi" w:hAnsiTheme="minorBidi" w:cstheme="minorBidi"/>
          <w:sz w:val="22"/>
          <w:szCs w:val="22"/>
        </w:rPr>
        <w:t>’</w:t>
      </w:r>
      <w:r w:rsidR="00B764DF">
        <w:rPr>
          <w:rFonts w:asciiTheme="minorBidi" w:hAnsiTheme="minorBidi" w:cstheme="minorBidi"/>
          <w:sz w:val="22"/>
          <w:szCs w:val="22"/>
        </w:rPr>
        <w:t>,</w:t>
      </w:r>
      <w:r w:rsidRPr="00677233">
        <w:rPr>
          <w:rFonts w:asciiTheme="minorBidi" w:hAnsiTheme="minorBidi" w:cstheme="minorBidi"/>
          <w:sz w:val="22"/>
          <w:szCs w:val="22"/>
        </w:rPr>
        <w:t xml:space="preserve"> the development of a documentary film, the production of a musical play for teenagers, and the dissemination of research and poetry related to the tradition. In addition to increasing the visibility of </w:t>
      </w:r>
      <w:r w:rsidR="00AD0170">
        <w:rPr>
          <w:rFonts w:asciiTheme="minorBidi" w:hAnsiTheme="minorBidi" w:cstheme="minorBidi"/>
          <w:sz w:val="22"/>
          <w:szCs w:val="22"/>
        </w:rPr>
        <w:t>T</w:t>
      </w:r>
      <w:r w:rsidR="00AD0170" w:rsidRPr="00677233">
        <w:rPr>
          <w:rFonts w:asciiTheme="minorBidi" w:hAnsiTheme="minorBidi" w:cstheme="minorBidi"/>
          <w:sz w:val="22"/>
          <w:szCs w:val="22"/>
        </w:rPr>
        <w:t xml:space="preserve">ango </w:t>
      </w:r>
      <w:r w:rsidRPr="00677233">
        <w:rPr>
          <w:rFonts w:asciiTheme="minorBidi" w:hAnsiTheme="minorBidi" w:cstheme="minorBidi"/>
          <w:sz w:val="22"/>
          <w:szCs w:val="22"/>
        </w:rPr>
        <w:t>nationwide, the project is expected to promote the production of new material on the subject and to contribute to Uruguay’s cultural inclusion policy.</w:t>
      </w:r>
    </w:p>
    <w:p w14:paraId="7E49A8D4" w14:textId="77777777" w:rsidR="00A23D0F" w:rsidRPr="00677233" w:rsidRDefault="00A23D0F" w:rsidP="008C1133">
      <w:pPr>
        <w:numPr>
          <w:ilvl w:val="0"/>
          <w:numId w:val="27"/>
        </w:numPr>
        <w:spacing w:before="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Further takes note</w:t>
      </w:r>
      <w:r w:rsidRPr="00677233">
        <w:rPr>
          <w:rFonts w:asciiTheme="minorBidi" w:hAnsiTheme="minorBidi" w:cstheme="minorBidi"/>
          <w:sz w:val="22"/>
          <w:szCs w:val="22"/>
        </w:rPr>
        <w:t xml:space="preserve"> that this assistance aims to support a project implemented at the national level, in accordance with Article 20 (c) of the Convention, and that it takes the form of the </w:t>
      </w:r>
      <w:r w:rsidRPr="00677233">
        <w:rPr>
          <w:rFonts w:asciiTheme="minorBidi" w:hAnsiTheme="minorBidi" w:cstheme="minorBidi"/>
          <w:b/>
          <w:bCs/>
          <w:sz w:val="22"/>
          <w:szCs w:val="22"/>
        </w:rPr>
        <w:t>provision of a grant</w:t>
      </w:r>
      <w:r w:rsidRPr="00677233">
        <w:rPr>
          <w:rFonts w:asciiTheme="minorBidi" w:hAnsiTheme="minorBidi" w:cstheme="minorBidi"/>
          <w:sz w:val="22"/>
          <w:szCs w:val="22"/>
        </w:rPr>
        <w:t xml:space="preserve">, pursuant to Article 21 (g) of the </w:t>
      </w:r>
      <w:proofErr w:type="gramStart"/>
      <w:r w:rsidRPr="00677233">
        <w:rPr>
          <w:rFonts w:asciiTheme="minorBidi" w:hAnsiTheme="minorBidi" w:cstheme="minorBidi"/>
          <w:sz w:val="22"/>
          <w:szCs w:val="22"/>
        </w:rPr>
        <w:t>Convention;</w:t>
      </w:r>
      <w:proofErr w:type="gramEnd"/>
    </w:p>
    <w:p w14:paraId="6ADEC4C0" w14:textId="52856668" w:rsidR="00A23D0F" w:rsidRPr="00677233" w:rsidRDefault="00A23D0F" w:rsidP="008C1133">
      <w:pPr>
        <w:keepNext/>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Also takes note</w:t>
      </w:r>
      <w:r w:rsidRPr="00677233">
        <w:rPr>
          <w:rFonts w:asciiTheme="minorBidi" w:hAnsiTheme="minorBidi" w:cstheme="minorBidi"/>
          <w:sz w:val="22"/>
          <w:szCs w:val="22"/>
        </w:rPr>
        <w:t xml:space="preserve"> that </w:t>
      </w:r>
      <w:r w:rsidR="00375064" w:rsidRPr="00677233">
        <w:rPr>
          <w:rFonts w:asciiTheme="minorBidi" w:hAnsiTheme="minorBidi" w:cstheme="minorBidi"/>
          <w:sz w:val="22"/>
          <w:szCs w:val="22"/>
        </w:rPr>
        <w:t>Uruguay</w:t>
      </w:r>
      <w:r w:rsidRPr="00677233">
        <w:rPr>
          <w:rFonts w:asciiTheme="minorBidi" w:hAnsiTheme="minorBidi" w:cstheme="minorBidi"/>
          <w:sz w:val="22"/>
          <w:szCs w:val="22"/>
        </w:rPr>
        <w:t xml:space="preserve"> has requested an allocation of US$</w:t>
      </w:r>
      <w:r w:rsidR="00375064" w:rsidRPr="00677233">
        <w:rPr>
          <w:rFonts w:asciiTheme="minorBidi" w:hAnsiTheme="minorBidi" w:cstheme="minorBidi"/>
          <w:sz w:val="22"/>
          <w:szCs w:val="22"/>
        </w:rPr>
        <w:t>89,</w:t>
      </w:r>
      <w:r w:rsidR="001341F9" w:rsidRPr="00677233">
        <w:rPr>
          <w:rFonts w:asciiTheme="minorBidi" w:hAnsiTheme="minorBidi" w:cstheme="minorBidi"/>
          <w:sz w:val="22"/>
          <w:szCs w:val="22"/>
        </w:rPr>
        <w:t xml:space="preserve">969 </w:t>
      </w:r>
      <w:r w:rsidRPr="00677233">
        <w:rPr>
          <w:rFonts w:asciiTheme="minorBidi" w:hAnsiTheme="minorBidi" w:cstheme="minorBidi"/>
          <w:sz w:val="22"/>
          <w:szCs w:val="22"/>
        </w:rPr>
        <w:t xml:space="preserve">from the Intangible Cultural Heritage Fund for the implementation of the </w:t>
      </w:r>
      <w:proofErr w:type="gramStart"/>
      <w:r w:rsidRPr="00677233">
        <w:rPr>
          <w:rFonts w:asciiTheme="minorBidi" w:hAnsiTheme="minorBidi" w:cstheme="minorBidi"/>
          <w:sz w:val="22"/>
          <w:szCs w:val="22"/>
        </w:rPr>
        <w:t>project;</w:t>
      </w:r>
      <w:proofErr w:type="gramEnd"/>
    </w:p>
    <w:p w14:paraId="7F2EDDC7" w14:textId="6915B72C"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Decides</w:t>
      </w:r>
      <w:r w:rsidRPr="00677233">
        <w:rPr>
          <w:rFonts w:asciiTheme="minorBidi" w:hAnsiTheme="minorBidi" w:cstheme="minorBidi"/>
          <w:sz w:val="22"/>
          <w:szCs w:val="22"/>
        </w:rPr>
        <w:t xml:space="preserve"> that, from the information provided in file no. </w:t>
      </w:r>
      <w:r w:rsidR="00375064" w:rsidRPr="00677233">
        <w:rPr>
          <w:rFonts w:asciiTheme="minorBidi" w:hAnsiTheme="minorBidi" w:cstheme="minorBidi"/>
          <w:sz w:val="22"/>
          <w:szCs w:val="22"/>
        </w:rPr>
        <w:t>02463</w:t>
      </w:r>
      <w:r w:rsidRPr="00677233">
        <w:rPr>
          <w:rFonts w:asciiTheme="minorBidi" w:hAnsiTheme="minorBidi" w:cstheme="minorBidi"/>
          <w:sz w:val="22"/>
          <w:szCs w:val="22"/>
        </w:rPr>
        <w:t>, the request responds as follows to the criteria for granting International Assistance given in paragraphs 10 and 12 of the Operational Directives:</w:t>
      </w:r>
    </w:p>
    <w:p w14:paraId="76CDF945" w14:textId="00ACE75D" w:rsidR="00135E71" w:rsidRPr="00677233" w:rsidRDefault="00A23D0F" w:rsidP="00F00403">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A.1</w:t>
      </w:r>
      <w:r w:rsidRPr="00677233">
        <w:rPr>
          <w:rFonts w:asciiTheme="minorBidi" w:hAnsiTheme="minorBidi" w:cstheme="minorBidi"/>
          <w:b/>
          <w:bCs/>
          <w:sz w:val="22"/>
          <w:szCs w:val="22"/>
        </w:rPr>
        <w:t>:</w:t>
      </w:r>
      <w:r w:rsidR="000C5F71" w:rsidRPr="00677233">
        <w:rPr>
          <w:rFonts w:asciiTheme="minorBidi" w:hAnsiTheme="minorBidi" w:cstheme="minorBidi"/>
          <w:sz w:val="22"/>
          <w:szCs w:val="22"/>
        </w:rPr>
        <w:t xml:space="preserve"> </w:t>
      </w:r>
      <w:r w:rsidR="00135E71" w:rsidRPr="00677233">
        <w:rPr>
          <w:rFonts w:asciiTheme="minorBidi" w:hAnsiTheme="minorBidi" w:cstheme="minorBidi"/>
          <w:sz w:val="22"/>
          <w:szCs w:val="22"/>
        </w:rPr>
        <w:t xml:space="preserve">The project is a continuation of the </w:t>
      </w:r>
      <w:r w:rsidR="001341F9" w:rsidRPr="00677233">
        <w:rPr>
          <w:rFonts w:asciiTheme="minorBidi" w:hAnsiTheme="minorBidi" w:cstheme="minorBidi"/>
          <w:sz w:val="22"/>
          <w:szCs w:val="22"/>
        </w:rPr>
        <w:t xml:space="preserve">first </w:t>
      </w:r>
      <w:r w:rsidR="00135E71" w:rsidRPr="00677233">
        <w:rPr>
          <w:rFonts w:asciiTheme="minorBidi" w:hAnsiTheme="minorBidi" w:cstheme="minorBidi"/>
          <w:sz w:val="22"/>
          <w:szCs w:val="22"/>
        </w:rPr>
        <w:t xml:space="preserve">phase, with the </w:t>
      </w:r>
      <w:r w:rsidR="009835DF" w:rsidRPr="00677233">
        <w:rPr>
          <w:rFonts w:asciiTheme="minorBidi" w:hAnsiTheme="minorBidi" w:cstheme="minorBidi"/>
          <w:sz w:val="22"/>
          <w:szCs w:val="22"/>
        </w:rPr>
        <w:t>objective</w:t>
      </w:r>
      <w:r w:rsidR="00135E71" w:rsidRPr="00677233">
        <w:rPr>
          <w:rFonts w:asciiTheme="minorBidi" w:hAnsiTheme="minorBidi" w:cstheme="minorBidi"/>
          <w:sz w:val="22"/>
          <w:szCs w:val="22"/>
        </w:rPr>
        <w:t xml:space="preserve"> of consolidating the results achieved during th</w:t>
      </w:r>
      <w:r w:rsidR="001341F9" w:rsidRPr="00677233">
        <w:rPr>
          <w:rFonts w:asciiTheme="minorBidi" w:hAnsiTheme="minorBidi" w:cstheme="minorBidi"/>
          <w:sz w:val="22"/>
          <w:szCs w:val="22"/>
        </w:rPr>
        <w:t>at</w:t>
      </w:r>
      <w:r w:rsidR="00135E71" w:rsidRPr="00677233">
        <w:rPr>
          <w:rFonts w:asciiTheme="minorBidi" w:hAnsiTheme="minorBidi" w:cstheme="minorBidi"/>
          <w:sz w:val="22"/>
          <w:szCs w:val="22"/>
        </w:rPr>
        <w:t xml:space="preserve"> phase. The request reflects the </w:t>
      </w:r>
      <w:r w:rsidR="001341F9" w:rsidRPr="00677233">
        <w:rPr>
          <w:rFonts w:asciiTheme="minorBidi" w:hAnsiTheme="minorBidi" w:cstheme="minorBidi"/>
          <w:sz w:val="22"/>
          <w:szCs w:val="22"/>
        </w:rPr>
        <w:t xml:space="preserve">aspirations </w:t>
      </w:r>
      <w:r w:rsidR="00135E71" w:rsidRPr="00677233">
        <w:rPr>
          <w:rFonts w:asciiTheme="minorBidi" w:hAnsiTheme="minorBidi" w:cstheme="minorBidi"/>
          <w:sz w:val="22"/>
          <w:szCs w:val="22"/>
        </w:rPr>
        <w:t>and needs of the communities</w:t>
      </w:r>
      <w:r w:rsidR="00B764DF">
        <w:rPr>
          <w:rFonts w:asciiTheme="minorBidi" w:hAnsiTheme="minorBidi" w:cstheme="minorBidi"/>
          <w:sz w:val="22"/>
          <w:szCs w:val="22"/>
        </w:rPr>
        <w:t>,</w:t>
      </w:r>
      <w:r w:rsidR="00135E71" w:rsidRPr="00677233">
        <w:rPr>
          <w:rFonts w:asciiTheme="minorBidi" w:hAnsiTheme="minorBidi" w:cstheme="minorBidi"/>
          <w:sz w:val="22"/>
          <w:szCs w:val="22"/>
        </w:rPr>
        <w:t xml:space="preserve"> which </w:t>
      </w:r>
      <w:r w:rsidR="00B764DF">
        <w:rPr>
          <w:rFonts w:asciiTheme="minorBidi" w:hAnsiTheme="minorBidi" w:cstheme="minorBidi"/>
          <w:sz w:val="22"/>
          <w:szCs w:val="22"/>
        </w:rPr>
        <w:t>include</w:t>
      </w:r>
      <w:r w:rsidR="00135E71" w:rsidRPr="00677233">
        <w:rPr>
          <w:rFonts w:asciiTheme="minorBidi" w:hAnsiTheme="minorBidi" w:cstheme="minorBidi"/>
          <w:sz w:val="22"/>
          <w:szCs w:val="22"/>
        </w:rPr>
        <w:t xml:space="preserve"> </w:t>
      </w:r>
      <w:r w:rsidR="001341F9" w:rsidRPr="00677233">
        <w:rPr>
          <w:rFonts w:asciiTheme="minorBidi" w:hAnsiTheme="minorBidi" w:cstheme="minorBidi"/>
          <w:sz w:val="22"/>
          <w:szCs w:val="22"/>
        </w:rPr>
        <w:t xml:space="preserve">a </w:t>
      </w:r>
      <w:r w:rsidR="009835DF" w:rsidRPr="00677233">
        <w:rPr>
          <w:rFonts w:asciiTheme="minorBidi" w:hAnsiTheme="minorBidi" w:cstheme="minorBidi"/>
          <w:sz w:val="22"/>
          <w:szCs w:val="22"/>
        </w:rPr>
        <w:t>divers</w:t>
      </w:r>
      <w:r w:rsidR="001341F9" w:rsidRPr="00677233">
        <w:rPr>
          <w:rFonts w:asciiTheme="minorBidi" w:hAnsiTheme="minorBidi" w:cstheme="minorBidi"/>
          <w:sz w:val="22"/>
          <w:szCs w:val="22"/>
        </w:rPr>
        <w:t>e</w:t>
      </w:r>
      <w:r w:rsidR="009835DF" w:rsidRPr="00677233">
        <w:rPr>
          <w:rFonts w:asciiTheme="minorBidi" w:hAnsiTheme="minorBidi" w:cstheme="minorBidi"/>
          <w:sz w:val="22"/>
          <w:szCs w:val="22"/>
        </w:rPr>
        <w:t xml:space="preserve"> group </w:t>
      </w:r>
      <w:r w:rsidR="00135E71" w:rsidRPr="00677233">
        <w:rPr>
          <w:rFonts w:asciiTheme="minorBidi" w:hAnsiTheme="minorBidi" w:cstheme="minorBidi"/>
          <w:sz w:val="22"/>
          <w:szCs w:val="22"/>
        </w:rPr>
        <w:t>of stakeholders</w:t>
      </w:r>
      <w:r w:rsidR="00B764DF">
        <w:rPr>
          <w:rFonts w:asciiTheme="minorBidi" w:hAnsiTheme="minorBidi" w:cstheme="minorBidi"/>
          <w:sz w:val="22"/>
          <w:szCs w:val="22"/>
        </w:rPr>
        <w:t>,</w:t>
      </w:r>
      <w:r w:rsidR="009835DF" w:rsidRPr="00677233">
        <w:rPr>
          <w:rFonts w:asciiTheme="minorBidi" w:hAnsiTheme="minorBidi" w:cstheme="minorBidi"/>
          <w:sz w:val="22"/>
          <w:szCs w:val="22"/>
        </w:rPr>
        <w:t xml:space="preserve"> </w:t>
      </w:r>
      <w:r w:rsidR="00B764DF">
        <w:rPr>
          <w:rFonts w:asciiTheme="minorBidi" w:hAnsiTheme="minorBidi" w:cstheme="minorBidi"/>
          <w:sz w:val="22"/>
          <w:szCs w:val="22"/>
        </w:rPr>
        <w:t>from</w:t>
      </w:r>
      <w:r w:rsidR="00B764DF" w:rsidRPr="00677233">
        <w:rPr>
          <w:rFonts w:asciiTheme="minorBidi" w:hAnsiTheme="minorBidi" w:cstheme="minorBidi"/>
          <w:sz w:val="22"/>
          <w:szCs w:val="22"/>
        </w:rPr>
        <w:t xml:space="preserve"> </w:t>
      </w:r>
      <w:r w:rsidR="004919B3" w:rsidRPr="00677233">
        <w:rPr>
          <w:rFonts w:asciiTheme="minorBidi" w:hAnsiTheme="minorBidi" w:cstheme="minorBidi"/>
          <w:sz w:val="22"/>
          <w:szCs w:val="22"/>
        </w:rPr>
        <w:t xml:space="preserve">artists, </w:t>
      </w:r>
      <w:r w:rsidR="00ED46F4" w:rsidRPr="00677233">
        <w:rPr>
          <w:rFonts w:asciiTheme="minorBidi" w:hAnsiTheme="minorBidi" w:cstheme="minorBidi"/>
          <w:sz w:val="22"/>
          <w:szCs w:val="22"/>
        </w:rPr>
        <w:t>artisans</w:t>
      </w:r>
      <w:r w:rsidR="00B764DF">
        <w:rPr>
          <w:rFonts w:asciiTheme="minorBidi" w:hAnsiTheme="minorBidi" w:cstheme="minorBidi"/>
          <w:sz w:val="22"/>
          <w:szCs w:val="22"/>
        </w:rPr>
        <w:t xml:space="preserve"> and</w:t>
      </w:r>
      <w:r w:rsidR="00ED46F4" w:rsidRPr="00677233">
        <w:rPr>
          <w:rFonts w:asciiTheme="minorBidi" w:hAnsiTheme="minorBidi" w:cstheme="minorBidi"/>
          <w:sz w:val="22"/>
          <w:szCs w:val="22"/>
        </w:rPr>
        <w:t xml:space="preserve"> luthiers</w:t>
      </w:r>
      <w:r w:rsidR="00B764DF">
        <w:rPr>
          <w:rFonts w:asciiTheme="minorBidi" w:hAnsiTheme="minorBidi" w:cstheme="minorBidi"/>
          <w:sz w:val="22"/>
          <w:szCs w:val="22"/>
        </w:rPr>
        <w:t xml:space="preserve"> to</w:t>
      </w:r>
      <w:r w:rsidR="00ED46F4" w:rsidRPr="00677233">
        <w:rPr>
          <w:rFonts w:asciiTheme="minorBidi" w:hAnsiTheme="minorBidi" w:cstheme="minorBidi"/>
          <w:sz w:val="22"/>
          <w:szCs w:val="22"/>
        </w:rPr>
        <w:t xml:space="preserve"> </w:t>
      </w:r>
      <w:r w:rsidR="009835DF" w:rsidRPr="00677233">
        <w:rPr>
          <w:rFonts w:asciiTheme="minorBidi" w:hAnsiTheme="minorBidi" w:cstheme="minorBidi"/>
          <w:sz w:val="22"/>
          <w:szCs w:val="22"/>
        </w:rPr>
        <w:t>individuals</w:t>
      </w:r>
      <w:r w:rsidR="00D92626" w:rsidRPr="00677233">
        <w:rPr>
          <w:rFonts w:asciiTheme="minorBidi" w:hAnsiTheme="minorBidi" w:cstheme="minorBidi"/>
          <w:sz w:val="22"/>
          <w:szCs w:val="22"/>
        </w:rPr>
        <w:t xml:space="preserve"> </w:t>
      </w:r>
      <w:r w:rsidR="006E53B3" w:rsidRPr="00677233">
        <w:rPr>
          <w:rFonts w:asciiTheme="minorBidi" w:hAnsiTheme="minorBidi" w:cstheme="minorBidi"/>
          <w:sz w:val="22"/>
          <w:szCs w:val="22"/>
        </w:rPr>
        <w:t xml:space="preserve">who are blind </w:t>
      </w:r>
      <w:r w:rsidR="00B764DF">
        <w:rPr>
          <w:rFonts w:asciiTheme="minorBidi" w:hAnsiTheme="minorBidi" w:cstheme="minorBidi"/>
          <w:sz w:val="22"/>
          <w:szCs w:val="22"/>
        </w:rPr>
        <w:t>or have</w:t>
      </w:r>
      <w:r w:rsidR="00D92626" w:rsidRPr="00677233">
        <w:rPr>
          <w:rFonts w:asciiTheme="minorBidi" w:hAnsiTheme="minorBidi" w:cstheme="minorBidi"/>
          <w:sz w:val="22"/>
          <w:szCs w:val="22"/>
        </w:rPr>
        <w:t xml:space="preserve"> visual impairment</w:t>
      </w:r>
      <w:r w:rsidR="00B764DF">
        <w:rPr>
          <w:rFonts w:asciiTheme="minorBidi" w:hAnsiTheme="minorBidi" w:cstheme="minorBidi"/>
          <w:sz w:val="22"/>
          <w:szCs w:val="22"/>
        </w:rPr>
        <w:t>s,</w:t>
      </w:r>
      <w:r w:rsidR="00ED46F4" w:rsidRPr="00677233">
        <w:rPr>
          <w:rFonts w:asciiTheme="minorBidi" w:hAnsiTheme="minorBidi" w:cstheme="minorBidi"/>
          <w:sz w:val="22"/>
          <w:szCs w:val="22"/>
        </w:rPr>
        <w:t xml:space="preserve"> teachers, students, and officials from national and regional </w:t>
      </w:r>
      <w:r w:rsidR="004919B3" w:rsidRPr="00677233">
        <w:rPr>
          <w:rFonts w:asciiTheme="minorBidi" w:hAnsiTheme="minorBidi" w:cstheme="minorBidi"/>
          <w:sz w:val="22"/>
          <w:szCs w:val="22"/>
        </w:rPr>
        <w:t>authorities</w:t>
      </w:r>
      <w:r w:rsidR="00ED46F4" w:rsidRPr="00677233">
        <w:rPr>
          <w:rFonts w:asciiTheme="minorBidi" w:hAnsiTheme="minorBidi" w:cstheme="minorBidi"/>
          <w:sz w:val="22"/>
          <w:szCs w:val="22"/>
        </w:rPr>
        <w:t xml:space="preserve">. Each of these stakeholders will be involved in </w:t>
      </w:r>
      <w:r w:rsidR="003F7B53" w:rsidRPr="00677233">
        <w:rPr>
          <w:rFonts w:asciiTheme="minorBidi" w:hAnsiTheme="minorBidi" w:cstheme="minorBidi"/>
          <w:sz w:val="22"/>
          <w:szCs w:val="22"/>
        </w:rPr>
        <w:t xml:space="preserve">this </w:t>
      </w:r>
      <w:r w:rsidR="00ED46F4" w:rsidRPr="00677233">
        <w:rPr>
          <w:rFonts w:asciiTheme="minorBidi" w:hAnsiTheme="minorBidi" w:cstheme="minorBidi"/>
          <w:sz w:val="22"/>
          <w:szCs w:val="22"/>
        </w:rPr>
        <w:t>project</w:t>
      </w:r>
      <w:r w:rsidR="001341F9" w:rsidRPr="00677233">
        <w:rPr>
          <w:rFonts w:asciiTheme="minorBidi" w:hAnsiTheme="minorBidi" w:cstheme="minorBidi"/>
          <w:sz w:val="22"/>
          <w:szCs w:val="22"/>
        </w:rPr>
        <w:t xml:space="preserve">, which </w:t>
      </w:r>
      <w:r w:rsidR="00ED46F4" w:rsidRPr="00677233">
        <w:rPr>
          <w:rFonts w:asciiTheme="minorBidi" w:hAnsiTheme="minorBidi" w:cstheme="minorBidi"/>
          <w:sz w:val="22"/>
          <w:szCs w:val="22"/>
        </w:rPr>
        <w:t>adopt</w:t>
      </w:r>
      <w:r w:rsidR="001341F9" w:rsidRPr="00677233">
        <w:rPr>
          <w:rFonts w:asciiTheme="minorBidi" w:hAnsiTheme="minorBidi" w:cstheme="minorBidi"/>
          <w:sz w:val="22"/>
          <w:szCs w:val="22"/>
        </w:rPr>
        <w:t>s</w:t>
      </w:r>
      <w:r w:rsidR="00ED46F4" w:rsidRPr="00677233">
        <w:rPr>
          <w:rFonts w:asciiTheme="minorBidi" w:hAnsiTheme="minorBidi" w:cstheme="minorBidi"/>
          <w:sz w:val="22"/>
          <w:szCs w:val="22"/>
        </w:rPr>
        <w:t xml:space="preserve"> </w:t>
      </w:r>
      <w:r w:rsidR="00F00403" w:rsidRPr="00677233">
        <w:rPr>
          <w:rFonts w:asciiTheme="minorBidi" w:hAnsiTheme="minorBidi" w:cstheme="minorBidi"/>
          <w:sz w:val="22"/>
          <w:szCs w:val="22"/>
        </w:rPr>
        <w:t xml:space="preserve">gender-balanced and </w:t>
      </w:r>
      <w:r w:rsidR="00ED46F4" w:rsidRPr="00677233">
        <w:rPr>
          <w:rFonts w:asciiTheme="minorBidi" w:hAnsiTheme="minorBidi" w:cstheme="minorBidi"/>
          <w:sz w:val="22"/>
          <w:szCs w:val="22"/>
        </w:rPr>
        <w:t>inclusive approach</w:t>
      </w:r>
      <w:r w:rsidR="00F00403" w:rsidRPr="00677233">
        <w:rPr>
          <w:rFonts w:asciiTheme="minorBidi" w:hAnsiTheme="minorBidi" w:cstheme="minorBidi"/>
          <w:sz w:val="22"/>
          <w:szCs w:val="22"/>
        </w:rPr>
        <w:t>es</w:t>
      </w:r>
      <w:r w:rsidR="00ED46F4" w:rsidRPr="00677233">
        <w:rPr>
          <w:rFonts w:asciiTheme="minorBidi" w:hAnsiTheme="minorBidi" w:cstheme="minorBidi"/>
          <w:sz w:val="22"/>
          <w:szCs w:val="22"/>
        </w:rPr>
        <w:t>.</w:t>
      </w:r>
      <w:r w:rsidR="00F00403" w:rsidRPr="00677233">
        <w:rPr>
          <w:rFonts w:asciiTheme="minorBidi" w:hAnsiTheme="minorBidi" w:cstheme="minorBidi"/>
          <w:sz w:val="22"/>
          <w:szCs w:val="22"/>
        </w:rPr>
        <w:t xml:space="preserve"> </w:t>
      </w:r>
      <w:r w:rsidR="00F00403" w:rsidRPr="00677233">
        <w:rPr>
          <w:rFonts w:asciiTheme="minorBidi" w:hAnsiTheme="minorBidi" w:cstheme="minorBidi"/>
          <w:bCs/>
          <w:sz w:val="22"/>
          <w:szCs w:val="22"/>
        </w:rPr>
        <w:t xml:space="preserve">The communities’ involvement in all </w:t>
      </w:r>
      <w:r w:rsidR="004919B3" w:rsidRPr="00677233">
        <w:rPr>
          <w:rFonts w:asciiTheme="minorBidi" w:hAnsiTheme="minorBidi" w:cstheme="minorBidi"/>
          <w:bCs/>
          <w:sz w:val="22"/>
          <w:szCs w:val="22"/>
        </w:rPr>
        <w:t>project activities</w:t>
      </w:r>
      <w:r w:rsidR="001341F9" w:rsidRPr="00677233">
        <w:rPr>
          <w:rFonts w:asciiTheme="minorBidi" w:hAnsiTheme="minorBidi" w:cstheme="minorBidi"/>
          <w:bCs/>
          <w:sz w:val="22"/>
          <w:szCs w:val="22"/>
        </w:rPr>
        <w:t>,</w:t>
      </w:r>
      <w:r w:rsidR="004919B3" w:rsidRPr="00677233">
        <w:rPr>
          <w:rFonts w:asciiTheme="minorBidi" w:hAnsiTheme="minorBidi" w:cstheme="minorBidi"/>
          <w:bCs/>
          <w:sz w:val="22"/>
          <w:szCs w:val="22"/>
        </w:rPr>
        <w:t xml:space="preserve"> </w:t>
      </w:r>
      <w:r w:rsidR="009D4593" w:rsidRPr="00677233">
        <w:rPr>
          <w:rFonts w:asciiTheme="minorBidi" w:hAnsiTheme="minorBidi" w:cstheme="minorBidi"/>
          <w:bCs/>
          <w:sz w:val="22"/>
          <w:szCs w:val="22"/>
        </w:rPr>
        <w:t xml:space="preserve">from </w:t>
      </w:r>
      <w:r w:rsidR="00F00403" w:rsidRPr="00677233">
        <w:rPr>
          <w:rFonts w:asciiTheme="minorBidi" w:hAnsiTheme="minorBidi" w:cstheme="minorBidi"/>
          <w:bCs/>
          <w:sz w:val="22"/>
          <w:szCs w:val="22"/>
        </w:rPr>
        <w:t>implementation</w:t>
      </w:r>
      <w:r w:rsidR="009D4593" w:rsidRPr="00677233">
        <w:rPr>
          <w:rFonts w:asciiTheme="minorBidi" w:hAnsiTheme="minorBidi" w:cstheme="minorBidi"/>
          <w:bCs/>
          <w:sz w:val="22"/>
          <w:szCs w:val="22"/>
        </w:rPr>
        <w:t xml:space="preserve"> to </w:t>
      </w:r>
      <w:r w:rsidR="00F00403" w:rsidRPr="00677233">
        <w:rPr>
          <w:rFonts w:asciiTheme="minorBidi" w:hAnsiTheme="minorBidi" w:cstheme="minorBidi"/>
          <w:bCs/>
          <w:sz w:val="22"/>
          <w:szCs w:val="22"/>
        </w:rPr>
        <w:t>evaluation</w:t>
      </w:r>
      <w:r w:rsidR="001341F9" w:rsidRPr="00677233">
        <w:rPr>
          <w:rFonts w:asciiTheme="minorBidi" w:hAnsiTheme="minorBidi" w:cstheme="minorBidi"/>
          <w:bCs/>
          <w:sz w:val="22"/>
          <w:szCs w:val="22"/>
        </w:rPr>
        <w:t>,</w:t>
      </w:r>
      <w:r w:rsidR="00F00403" w:rsidRPr="00677233">
        <w:rPr>
          <w:rFonts w:asciiTheme="minorBidi" w:hAnsiTheme="minorBidi" w:cstheme="minorBidi"/>
          <w:bCs/>
          <w:sz w:val="22"/>
          <w:szCs w:val="22"/>
        </w:rPr>
        <w:t xml:space="preserve"> is clearly demonstrated. They will also be represented </w:t>
      </w:r>
      <w:r w:rsidR="009835DF" w:rsidRPr="00677233">
        <w:rPr>
          <w:rFonts w:asciiTheme="minorBidi" w:hAnsiTheme="minorBidi" w:cstheme="minorBidi"/>
          <w:bCs/>
          <w:sz w:val="22"/>
          <w:szCs w:val="22"/>
        </w:rPr>
        <w:t>on</w:t>
      </w:r>
      <w:r w:rsidR="00F00403" w:rsidRPr="00677233">
        <w:rPr>
          <w:rFonts w:asciiTheme="minorBidi" w:hAnsiTheme="minorBidi" w:cstheme="minorBidi"/>
          <w:bCs/>
          <w:sz w:val="22"/>
          <w:szCs w:val="22"/>
        </w:rPr>
        <w:t xml:space="preserve"> the project follow-up committee.</w:t>
      </w:r>
    </w:p>
    <w:p w14:paraId="29E34A83" w14:textId="77777777" w:rsidR="00A23D0F" w:rsidRPr="00677233" w:rsidRDefault="00A23D0F" w:rsidP="008C1133">
      <w:pPr>
        <w:spacing w:before="120" w:after="120"/>
        <w:ind w:left="567"/>
        <w:jc w:val="both"/>
        <w:rPr>
          <w:rFonts w:asciiTheme="minorBidi" w:hAnsiTheme="minorBidi" w:cstheme="minorBidi"/>
          <w:bCs/>
          <w:sz w:val="22"/>
          <w:szCs w:val="22"/>
        </w:rPr>
      </w:pPr>
      <w:r w:rsidRPr="00677233">
        <w:rPr>
          <w:rFonts w:asciiTheme="minorBidi" w:hAnsiTheme="minorBidi" w:cstheme="minorBidi"/>
          <w:b/>
          <w:sz w:val="22"/>
          <w:szCs w:val="22"/>
        </w:rPr>
        <w:t>Criterion A.2</w:t>
      </w:r>
      <w:r w:rsidRPr="00677233">
        <w:rPr>
          <w:rFonts w:asciiTheme="minorBidi" w:hAnsiTheme="minorBidi" w:cstheme="minorBidi"/>
          <w:b/>
          <w:bCs/>
          <w:sz w:val="22"/>
          <w:szCs w:val="22"/>
        </w:rPr>
        <w:t>:</w:t>
      </w:r>
      <w:r w:rsidRPr="00677233">
        <w:rPr>
          <w:rFonts w:asciiTheme="minorBidi" w:hAnsiTheme="minorBidi" w:cstheme="minorBidi"/>
          <w:bCs/>
          <w:sz w:val="22"/>
          <w:szCs w:val="22"/>
        </w:rPr>
        <w:t xml:space="preserve"> </w:t>
      </w:r>
      <w:r w:rsidRPr="00677233">
        <w:rPr>
          <w:rFonts w:asciiTheme="minorBidi" w:hAnsiTheme="minorBidi" w:cstheme="minorBidi"/>
          <w:sz w:val="22"/>
          <w:szCs w:val="22"/>
        </w:rPr>
        <w:t>The budget breakdown and the proposed timetable are well structured and in line with the activities described in the request. The amount of assistance requested is deemed appropriate.</w:t>
      </w:r>
    </w:p>
    <w:p w14:paraId="3D8FBACF" w14:textId="253DB226" w:rsidR="00AA2C0A" w:rsidRPr="00677233" w:rsidRDefault="00A23D0F" w:rsidP="00AA2C0A">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A.3</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094986" w:rsidRPr="00677233">
        <w:rPr>
          <w:rFonts w:asciiTheme="minorBidi" w:hAnsiTheme="minorBidi" w:cstheme="minorBidi"/>
          <w:sz w:val="22"/>
          <w:szCs w:val="22"/>
        </w:rPr>
        <w:t>The request is structured around four thematic areas: inclusion</w:t>
      </w:r>
      <w:r w:rsidR="003A2633" w:rsidRPr="00677233">
        <w:rPr>
          <w:rFonts w:asciiTheme="minorBidi" w:hAnsiTheme="minorBidi" w:cstheme="minorBidi"/>
          <w:sz w:val="22"/>
          <w:szCs w:val="22"/>
        </w:rPr>
        <w:t xml:space="preserve"> and inclusivity</w:t>
      </w:r>
      <w:r w:rsidR="00094986" w:rsidRPr="00677233">
        <w:rPr>
          <w:rFonts w:asciiTheme="minorBidi" w:hAnsiTheme="minorBidi" w:cstheme="minorBidi"/>
          <w:sz w:val="22"/>
          <w:szCs w:val="22"/>
        </w:rPr>
        <w:t>, promotion of Tango in secondary schools, bandoneon lutherie training</w:t>
      </w:r>
      <w:r w:rsidR="00AA2C0A" w:rsidRPr="00677233">
        <w:rPr>
          <w:rFonts w:asciiTheme="minorBidi" w:hAnsiTheme="minorBidi" w:cstheme="minorBidi"/>
          <w:sz w:val="22"/>
          <w:szCs w:val="22"/>
        </w:rPr>
        <w:t xml:space="preserve"> courses</w:t>
      </w:r>
      <w:r w:rsidR="00094986" w:rsidRPr="00677233">
        <w:rPr>
          <w:rFonts w:asciiTheme="minorBidi" w:hAnsiTheme="minorBidi" w:cstheme="minorBidi"/>
          <w:sz w:val="22"/>
          <w:szCs w:val="22"/>
        </w:rPr>
        <w:t xml:space="preserve">, </w:t>
      </w:r>
      <w:r w:rsidR="00AA2C0A" w:rsidRPr="00677233">
        <w:rPr>
          <w:rFonts w:asciiTheme="minorBidi" w:hAnsiTheme="minorBidi" w:cstheme="minorBidi"/>
          <w:sz w:val="22"/>
          <w:szCs w:val="22"/>
        </w:rPr>
        <w:t xml:space="preserve">awareness raising </w:t>
      </w:r>
      <w:r w:rsidR="004919B3" w:rsidRPr="00677233">
        <w:rPr>
          <w:rFonts w:asciiTheme="minorBidi" w:hAnsiTheme="minorBidi" w:cstheme="minorBidi"/>
          <w:sz w:val="22"/>
          <w:szCs w:val="22"/>
        </w:rPr>
        <w:t>activities</w:t>
      </w:r>
      <w:r w:rsidR="00B764DF">
        <w:rPr>
          <w:rFonts w:asciiTheme="minorBidi" w:hAnsiTheme="minorBidi" w:cstheme="minorBidi"/>
          <w:sz w:val="22"/>
          <w:szCs w:val="22"/>
        </w:rPr>
        <w:t>,</w:t>
      </w:r>
      <w:r w:rsidR="004919B3" w:rsidRPr="00677233">
        <w:rPr>
          <w:rFonts w:asciiTheme="minorBidi" w:hAnsiTheme="minorBidi" w:cstheme="minorBidi"/>
          <w:sz w:val="22"/>
          <w:szCs w:val="22"/>
        </w:rPr>
        <w:t xml:space="preserve"> </w:t>
      </w:r>
      <w:r w:rsidR="00AA2C0A" w:rsidRPr="00677233">
        <w:rPr>
          <w:rFonts w:asciiTheme="minorBidi" w:hAnsiTheme="minorBidi" w:cstheme="minorBidi"/>
          <w:sz w:val="22"/>
          <w:szCs w:val="22"/>
        </w:rPr>
        <w:t xml:space="preserve">and the production of communication materials. </w:t>
      </w:r>
      <w:r w:rsidR="00AA2C0A" w:rsidRPr="00677233">
        <w:rPr>
          <w:rFonts w:ascii="Arial" w:hAnsi="Arial" w:cs="Arial"/>
          <w:sz w:val="22"/>
          <w:szCs w:val="22"/>
          <w:lang w:eastAsia="en-GB"/>
        </w:rPr>
        <w:t>The proposed activities are coherent and well-planned in terms of the objectives and expected results of the project.</w:t>
      </w:r>
    </w:p>
    <w:p w14:paraId="2A15F241" w14:textId="6D73A6D5" w:rsidR="00A23D0F" w:rsidRPr="00677233" w:rsidRDefault="00A23D0F" w:rsidP="00464BB5">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A.4</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094986" w:rsidRPr="00677233">
        <w:rPr>
          <w:rFonts w:asciiTheme="minorBidi" w:hAnsiTheme="minorBidi" w:cstheme="minorBidi"/>
          <w:sz w:val="22"/>
          <w:szCs w:val="22"/>
        </w:rPr>
        <w:t>The project is expected to enhanc</w:t>
      </w:r>
      <w:r w:rsidR="00B764DF">
        <w:rPr>
          <w:rFonts w:asciiTheme="minorBidi" w:hAnsiTheme="minorBidi" w:cstheme="minorBidi"/>
          <w:sz w:val="22"/>
          <w:szCs w:val="22"/>
        </w:rPr>
        <w:t>e</w:t>
      </w:r>
      <w:r w:rsidR="00094986" w:rsidRPr="00677233">
        <w:rPr>
          <w:rFonts w:asciiTheme="minorBidi" w:hAnsiTheme="minorBidi" w:cstheme="minorBidi"/>
          <w:sz w:val="22"/>
          <w:szCs w:val="22"/>
        </w:rPr>
        <w:t xml:space="preserve"> both the visibility and viability of the element. </w:t>
      </w:r>
      <w:r w:rsidR="009835DF" w:rsidRPr="00677233">
        <w:rPr>
          <w:rFonts w:asciiTheme="minorBidi" w:hAnsiTheme="minorBidi" w:cstheme="minorBidi"/>
          <w:sz w:val="22"/>
          <w:szCs w:val="22"/>
        </w:rPr>
        <w:t>Through a holistic approach,</w:t>
      </w:r>
      <w:r w:rsidR="00094986" w:rsidRPr="00677233">
        <w:rPr>
          <w:rFonts w:asciiTheme="minorBidi" w:hAnsiTheme="minorBidi" w:cstheme="minorBidi"/>
          <w:sz w:val="22"/>
          <w:szCs w:val="22"/>
        </w:rPr>
        <w:t xml:space="preserve"> the proposed </w:t>
      </w:r>
      <w:r w:rsidR="009835DF" w:rsidRPr="00677233">
        <w:rPr>
          <w:rFonts w:asciiTheme="minorBidi" w:hAnsiTheme="minorBidi" w:cstheme="minorBidi"/>
          <w:sz w:val="22"/>
          <w:szCs w:val="22"/>
        </w:rPr>
        <w:t>activities will have a long-term impact</w:t>
      </w:r>
      <w:r w:rsidR="00AC7DAE">
        <w:rPr>
          <w:rFonts w:asciiTheme="minorBidi" w:hAnsiTheme="minorBidi" w:cstheme="minorBidi"/>
          <w:sz w:val="22"/>
          <w:szCs w:val="22"/>
        </w:rPr>
        <w:t xml:space="preserve"> as follows</w:t>
      </w:r>
      <w:r w:rsidR="009835DF" w:rsidRPr="00677233">
        <w:rPr>
          <w:rFonts w:asciiTheme="minorBidi" w:hAnsiTheme="minorBidi" w:cstheme="minorBidi"/>
          <w:sz w:val="22"/>
          <w:szCs w:val="22"/>
        </w:rPr>
        <w:t>: (a)</w:t>
      </w:r>
      <w:r w:rsidR="003A2633" w:rsidRPr="00677233">
        <w:rPr>
          <w:rFonts w:asciiTheme="minorBidi" w:hAnsiTheme="minorBidi" w:cstheme="minorBidi"/>
          <w:sz w:val="22"/>
          <w:szCs w:val="22"/>
        </w:rPr>
        <w:t> </w:t>
      </w:r>
      <w:r w:rsidR="009835DF" w:rsidRPr="00677233">
        <w:rPr>
          <w:rFonts w:asciiTheme="minorBidi" w:hAnsiTheme="minorBidi" w:cstheme="minorBidi"/>
          <w:sz w:val="22"/>
          <w:szCs w:val="22"/>
        </w:rPr>
        <w:t xml:space="preserve">the Braille transcription of </w:t>
      </w:r>
      <w:r w:rsidR="009835DF" w:rsidRPr="00F71D0C">
        <w:rPr>
          <w:rFonts w:asciiTheme="minorBidi" w:hAnsiTheme="minorBidi" w:cstheme="minorBidi"/>
          <w:sz w:val="22"/>
          <w:szCs w:val="22"/>
        </w:rPr>
        <w:t>‘</w:t>
      </w:r>
      <w:r w:rsidR="00F71D0C" w:rsidRPr="00F71D0C">
        <w:rPr>
          <w:rFonts w:asciiTheme="minorBidi" w:hAnsiTheme="minorBidi" w:cstheme="minorBidi"/>
          <w:sz w:val="22"/>
          <w:szCs w:val="22"/>
        </w:rPr>
        <w:t xml:space="preserve">Master Musician Raúl Jaurena’s Guide to Playing the Bandoneon’ </w:t>
      </w:r>
      <w:r w:rsidR="009835DF" w:rsidRPr="00677233">
        <w:rPr>
          <w:rFonts w:asciiTheme="minorBidi" w:hAnsiTheme="minorBidi" w:cstheme="minorBidi"/>
          <w:sz w:val="22"/>
          <w:szCs w:val="22"/>
        </w:rPr>
        <w:t xml:space="preserve">will remain </w:t>
      </w:r>
      <w:r w:rsidR="00094986" w:rsidRPr="00677233">
        <w:rPr>
          <w:rFonts w:asciiTheme="minorBidi" w:hAnsiTheme="minorBidi" w:cstheme="minorBidi"/>
          <w:sz w:val="22"/>
          <w:szCs w:val="22"/>
        </w:rPr>
        <w:t>accessible to</w:t>
      </w:r>
      <w:r w:rsidR="009835DF" w:rsidRPr="00677233">
        <w:rPr>
          <w:rFonts w:asciiTheme="minorBidi" w:hAnsiTheme="minorBidi" w:cstheme="minorBidi"/>
          <w:sz w:val="22"/>
          <w:szCs w:val="22"/>
        </w:rPr>
        <w:t xml:space="preserve"> </w:t>
      </w:r>
      <w:r w:rsidR="00D92626" w:rsidRPr="00677233">
        <w:rPr>
          <w:rFonts w:asciiTheme="minorBidi" w:hAnsiTheme="minorBidi" w:cstheme="minorBidi"/>
          <w:sz w:val="22"/>
          <w:szCs w:val="22"/>
        </w:rPr>
        <w:t xml:space="preserve">players with </w:t>
      </w:r>
      <w:r w:rsidR="00934115" w:rsidRPr="00677233">
        <w:rPr>
          <w:rFonts w:asciiTheme="minorBidi" w:hAnsiTheme="minorBidi" w:cstheme="minorBidi"/>
          <w:sz w:val="22"/>
          <w:szCs w:val="22"/>
        </w:rPr>
        <w:t>visual impair</w:t>
      </w:r>
      <w:r w:rsidR="003F7B53" w:rsidRPr="00677233">
        <w:rPr>
          <w:rFonts w:asciiTheme="minorBidi" w:hAnsiTheme="minorBidi" w:cstheme="minorBidi"/>
          <w:sz w:val="22"/>
          <w:szCs w:val="22"/>
        </w:rPr>
        <w:t>ment</w:t>
      </w:r>
      <w:r w:rsidR="00AC7DAE">
        <w:rPr>
          <w:rFonts w:asciiTheme="minorBidi" w:hAnsiTheme="minorBidi" w:cstheme="minorBidi"/>
          <w:sz w:val="22"/>
          <w:szCs w:val="22"/>
        </w:rPr>
        <w:t>s</w:t>
      </w:r>
      <w:r w:rsidR="00094986" w:rsidRPr="00677233">
        <w:rPr>
          <w:rFonts w:asciiTheme="minorBidi" w:hAnsiTheme="minorBidi" w:cstheme="minorBidi"/>
          <w:sz w:val="22"/>
          <w:szCs w:val="22"/>
        </w:rPr>
        <w:t xml:space="preserve">, with copies of the manual to be distributed across </w:t>
      </w:r>
      <w:r w:rsidR="009835DF" w:rsidRPr="00677233">
        <w:rPr>
          <w:rFonts w:asciiTheme="minorBidi" w:hAnsiTheme="minorBidi" w:cstheme="minorBidi"/>
          <w:sz w:val="22"/>
          <w:szCs w:val="22"/>
        </w:rPr>
        <w:t xml:space="preserve">Spanish-speaking countries; </w:t>
      </w:r>
      <w:r w:rsidR="00464BB5" w:rsidRPr="00677233">
        <w:rPr>
          <w:rFonts w:asciiTheme="minorBidi" w:hAnsiTheme="minorBidi" w:cstheme="minorBidi"/>
          <w:sz w:val="22"/>
          <w:szCs w:val="22"/>
        </w:rPr>
        <w:t>(b)</w:t>
      </w:r>
      <w:r w:rsidR="003A2633" w:rsidRPr="00677233">
        <w:rPr>
          <w:rFonts w:asciiTheme="minorBidi" w:hAnsiTheme="minorBidi" w:cstheme="minorBidi"/>
          <w:sz w:val="22"/>
          <w:szCs w:val="22"/>
        </w:rPr>
        <w:t> </w:t>
      </w:r>
      <w:r w:rsidR="00464BB5" w:rsidRPr="00677233">
        <w:rPr>
          <w:rFonts w:asciiTheme="minorBidi" w:hAnsiTheme="minorBidi" w:cstheme="minorBidi"/>
          <w:sz w:val="22"/>
          <w:szCs w:val="22"/>
        </w:rPr>
        <w:t xml:space="preserve">the documentary on Ricardo Pereira, a blind bandoneon teacher, will raise awareness of </w:t>
      </w:r>
      <w:r w:rsidR="00D92626" w:rsidRPr="00677233">
        <w:rPr>
          <w:rFonts w:asciiTheme="minorBidi" w:hAnsiTheme="minorBidi" w:cstheme="minorBidi"/>
          <w:sz w:val="22"/>
          <w:szCs w:val="22"/>
        </w:rPr>
        <w:t xml:space="preserve">the importance of social </w:t>
      </w:r>
      <w:r w:rsidR="00464BB5" w:rsidRPr="00677233">
        <w:rPr>
          <w:rFonts w:asciiTheme="minorBidi" w:hAnsiTheme="minorBidi" w:cstheme="minorBidi"/>
          <w:sz w:val="22"/>
          <w:szCs w:val="22"/>
        </w:rPr>
        <w:t xml:space="preserve">diversity and </w:t>
      </w:r>
      <w:r w:rsidR="00D92626" w:rsidRPr="00677233">
        <w:rPr>
          <w:rFonts w:asciiTheme="minorBidi" w:hAnsiTheme="minorBidi" w:cstheme="minorBidi"/>
          <w:sz w:val="22"/>
          <w:szCs w:val="22"/>
        </w:rPr>
        <w:t>the art</w:t>
      </w:r>
      <w:r w:rsidR="003F7B53" w:rsidRPr="00677233">
        <w:rPr>
          <w:rFonts w:asciiTheme="minorBidi" w:hAnsiTheme="minorBidi" w:cstheme="minorBidi"/>
          <w:sz w:val="22"/>
          <w:szCs w:val="22"/>
        </w:rPr>
        <w:t>s</w:t>
      </w:r>
      <w:r w:rsidR="00D92626" w:rsidRPr="00677233">
        <w:rPr>
          <w:rFonts w:asciiTheme="minorBidi" w:hAnsiTheme="minorBidi" w:cstheme="minorBidi"/>
          <w:sz w:val="22"/>
          <w:szCs w:val="22"/>
        </w:rPr>
        <w:t xml:space="preserve"> for </w:t>
      </w:r>
      <w:r w:rsidR="00464BB5" w:rsidRPr="00677233">
        <w:rPr>
          <w:rFonts w:asciiTheme="minorBidi" w:hAnsiTheme="minorBidi" w:cstheme="minorBidi"/>
          <w:sz w:val="22"/>
          <w:szCs w:val="22"/>
        </w:rPr>
        <w:t xml:space="preserve">resilience; </w:t>
      </w:r>
      <w:r w:rsidR="00934115" w:rsidRPr="00677233">
        <w:rPr>
          <w:rFonts w:asciiTheme="minorBidi" w:hAnsiTheme="minorBidi" w:cstheme="minorBidi"/>
          <w:sz w:val="22"/>
          <w:szCs w:val="22"/>
        </w:rPr>
        <w:t>(</w:t>
      </w:r>
      <w:r w:rsidR="00464BB5" w:rsidRPr="00677233">
        <w:rPr>
          <w:rFonts w:asciiTheme="minorBidi" w:hAnsiTheme="minorBidi" w:cstheme="minorBidi"/>
          <w:sz w:val="22"/>
          <w:szCs w:val="22"/>
        </w:rPr>
        <w:t>c</w:t>
      </w:r>
      <w:r w:rsidR="00934115" w:rsidRPr="00677233">
        <w:rPr>
          <w:rFonts w:asciiTheme="minorBidi" w:hAnsiTheme="minorBidi" w:cstheme="minorBidi"/>
          <w:sz w:val="22"/>
          <w:szCs w:val="22"/>
        </w:rPr>
        <w:t>)</w:t>
      </w:r>
      <w:r w:rsidR="003A2633" w:rsidRPr="00677233">
        <w:rPr>
          <w:rFonts w:asciiTheme="minorBidi" w:hAnsiTheme="minorBidi" w:cstheme="minorBidi"/>
          <w:sz w:val="22"/>
          <w:szCs w:val="22"/>
        </w:rPr>
        <w:t> </w:t>
      </w:r>
      <w:r w:rsidR="00094986" w:rsidRPr="00677233">
        <w:rPr>
          <w:rFonts w:asciiTheme="minorBidi" w:hAnsiTheme="minorBidi" w:cstheme="minorBidi"/>
          <w:sz w:val="22"/>
          <w:szCs w:val="22"/>
        </w:rPr>
        <w:t xml:space="preserve">artistic activities, including the production of musical plays in secondary schools, will promote </w:t>
      </w:r>
      <w:r w:rsidR="004919B3" w:rsidRPr="00677233">
        <w:rPr>
          <w:rFonts w:asciiTheme="minorBidi" w:hAnsiTheme="minorBidi" w:cstheme="minorBidi"/>
          <w:sz w:val="22"/>
          <w:szCs w:val="22"/>
        </w:rPr>
        <w:t>T</w:t>
      </w:r>
      <w:r w:rsidR="00094986" w:rsidRPr="00677233">
        <w:rPr>
          <w:rFonts w:asciiTheme="minorBidi" w:hAnsiTheme="minorBidi" w:cstheme="minorBidi"/>
          <w:sz w:val="22"/>
          <w:szCs w:val="22"/>
        </w:rPr>
        <w:t>ango among younger audiences, thereby ensuring its intergenerational transmission</w:t>
      </w:r>
      <w:r w:rsidR="00934115" w:rsidRPr="00677233">
        <w:rPr>
          <w:rFonts w:asciiTheme="minorBidi" w:hAnsiTheme="minorBidi" w:cstheme="minorBidi"/>
          <w:sz w:val="22"/>
          <w:szCs w:val="22"/>
        </w:rPr>
        <w:t>; (</w:t>
      </w:r>
      <w:r w:rsidR="00464BB5" w:rsidRPr="00677233">
        <w:rPr>
          <w:rFonts w:asciiTheme="minorBidi" w:hAnsiTheme="minorBidi" w:cstheme="minorBidi"/>
          <w:sz w:val="22"/>
          <w:szCs w:val="22"/>
        </w:rPr>
        <w:t>d)</w:t>
      </w:r>
      <w:r w:rsidR="003A2633" w:rsidRPr="00677233">
        <w:rPr>
          <w:rFonts w:asciiTheme="minorBidi" w:hAnsiTheme="minorBidi" w:cstheme="minorBidi"/>
          <w:sz w:val="22"/>
          <w:szCs w:val="22"/>
        </w:rPr>
        <w:t> </w:t>
      </w:r>
      <w:r w:rsidR="00094986" w:rsidRPr="00677233">
        <w:rPr>
          <w:rFonts w:asciiTheme="minorBidi" w:hAnsiTheme="minorBidi" w:cstheme="minorBidi"/>
          <w:sz w:val="22"/>
          <w:szCs w:val="22"/>
        </w:rPr>
        <w:t>bandoneon lutherie training courses will be integrated into the vocational education curriculum, potentially contributing to youth employment and the revitalization of traditional craftsmanship</w:t>
      </w:r>
      <w:r w:rsidR="00934115" w:rsidRPr="00677233">
        <w:rPr>
          <w:rFonts w:asciiTheme="minorBidi" w:hAnsiTheme="minorBidi" w:cstheme="minorBidi"/>
          <w:sz w:val="22"/>
          <w:szCs w:val="22"/>
        </w:rPr>
        <w:t>; and (</w:t>
      </w:r>
      <w:r w:rsidR="00464BB5" w:rsidRPr="00677233">
        <w:rPr>
          <w:rFonts w:asciiTheme="minorBidi" w:hAnsiTheme="minorBidi" w:cstheme="minorBidi"/>
          <w:sz w:val="22"/>
          <w:szCs w:val="22"/>
        </w:rPr>
        <w:t>e</w:t>
      </w:r>
      <w:r w:rsidR="00934115" w:rsidRPr="00677233">
        <w:rPr>
          <w:rFonts w:asciiTheme="minorBidi" w:hAnsiTheme="minorBidi" w:cstheme="minorBidi"/>
          <w:sz w:val="22"/>
          <w:szCs w:val="22"/>
        </w:rPr>
        <w:t>)</w:t>
      </w:r>
      <w:r w:rsidR="003A2633" w:rsidRPr="00677233">
        <w:rPr>
          <w:rFonts w:asciiTheme="minorBidi" w:hAnsiTheme="minorBidi" w:cstheme="minorBidi"/>
          <w:sz w:val="22"/>
          <w:szCs w:val="22"/>
        </w:rPr>
        <w:t> </w:t>
      </w:r>
      <w:r w:rsidR="00934115" w:rsidRPr="00677233">
        <w:rPr>
          <w:rFonts w:asciiTheme="minorBidi" w:hAnsiTheme="minorBidi" w:cstheme="minorBidi"/>
          <w:sz w:val="22"/>
          <w:szCs w:val="22"/>
        </w:rPr>
        <w:t>the publication</w:t>
      </w:r>
      <w:r w:rsidR="00094986" w:rsidRPr="00677233">
        <w:rPr>
          <w:rFonts w:asciiTheme="minorBidi" w:hAnsiTheme="minorBidi" w:cstheme="minorBidi"/>
          <w:sz w:val="22"/>
          <w:szCs w:val="22"/>
        </w:rPr>
        <w:t xml:space="preserve"> and dissemination of the book </w:t>
      </w:r>
      <w:r w:rsidR="00934115" w:rsidRPr="00677233">
        <w:rPr>
          <w:rFonts w:asciiTheme="minorBidi" w:hAnsiTheme="minorBidi" w:cstheme="minorBidi"/>
          <w:sz w:val="22"/>
          <w:szCs w:val="22"/>
        </w:rPr>
        <w:t xml:space="preserve">entitled ‘El bandoneón y su mundo’ will </w:t>
      </w:r>
      <w:r w:rsidR="00D92626" w:rsidRPr="00677233">
        <w:rPr>
          <w:rFonts w:asciiTheme="minorBidi" w:hAnsiTheme="minorBidi" w:cstheme="minorBidi"/>
          <w:sz w:val="22"/>
          <w:szCs w:val="22"/>
        </w:rPr>
        <w:t xml:space="preserve">contribute to </w:t>
      </w:r>
      <w:r w:rsidR="00934115" w:rsidRPr="00677233">
        <w:rPr>
          <w:rFonts w:asciiTheme="minorBidi" w:hAnsiTheme="minorBidi" w:cstheme="minorBidi"/>
          <w:sz w:val="22"/>
          <w:szCs w:val="22"/>
        </w:rPr>
        <w:t xml:space="preserve">academic research, </w:t>
      </w:r>
      <w:r w:rsidR="00094986" w:rsidRPr="00677233">
        <w:rPr>
          <w:rFonts w:asciiTheme="minorBidi" w:hAnsiTheme="minorBidi" w:cstheme="minorBidi"/>
          <w:sz w:val="22"/>
          <w:szCs w:val="22"/>
        </w:rPr>
        <w:t xml:space="preserve">in particular </w:t>
      </w:r>
      <w:r w:rsidR="00934115" w:rsidRPr="00677233">
        <w:rPr>
          <w:rFonts w:asciiTheme="minorBidi" w:hAnsiTheme="minorBidi" w:cstheme="minorBidi"/>
          <w:sz w:val="22"/>
          <w:szCs w:val="22"/>
        </w:rPr>
        <w:t xml:space="preserve">in the field of musicology, </w:t>
      </w:r>
      <w:r w:rsidR="009E6CE9" w:rsidRPr="00677233">
        <w:rPr>
          <w:rFonts w:asciiTheme="minorBidi" w:hAnsiTheme="minorBidi" w:cstheme="minorBidi"/>
          <w:sz w:val="22"/>
          <w:szCs w:val="22"/>
        </w:rPr>
        <w:t>and raise awareness o</w:t>
      </w:r>
      <w:r w:rsidR="00AC7DAE">
        <w:rPr>
          <w:rFonts w:asciiTheme="minorBidi" w:hAnsiTheme="minorBidi" w:cstheme="minorBidi"/>
          <w:sz w:val="22"/>
          <w:szCs w:val="22"/>
        </w:rPr>
        <w:t>f</w:t>
      </w:r>
      <w:r w:rsidR="009E6CE9" w:rsidRPr="00677233">
        <w:rPr>
          <w:rFonts w:asciiTheme="minorBidi" w:hAnsiTheme="minorBidi" w:cstheme="minorBidi"/>
          <w:sz w:val="22"/>
          <w:szCs w:val="22"/>
        </w:rPr>
        <w:t xml:space="preserve"> the literary works related to Tango</w:t>
      </w:r>
      <w:r w:rsidR="00934115" w:rsidRPr="00677233">
        <w:rPr>
          <w:rFonts w:asciiTheme="minorBidi" w:hAnsiTheme="minorBidi" w:cstheme="minorBidi"/>
          <w:sz w:val="22"/>
          <w:szCs w:val="22"/>
        </w:rPr>
        <w:t>.</w:t>
      </w:r>
    </w:p>
    <w:p w14:paraId="26FB6EA6" w14:textId="53132147" w:rsidR="00A23D0F" w:rsidRPr="00677233" w:rsidRDefault="00A23D0F" w:rsidP="008C1133">
      <w:pPr>
        <w:spacing w:before="120" w:after="120"/>
        <w:ind w:left="567"/>
        <w:jc w:val="both"/>
        <w:rPr>
          <w:rFonts w:asciiTheme="minorBidi" w:eastAsia="SimSun" w:hAnsiTheme="minorBidi" w:cstheme="minorBidi"/>
          <w:sz w:val="22"/>
          <w:szCs w:val="22"/>
          <w:lang w:eastAsia="ko-KR"/>
        </w:rPr>
      </w:pPr>
      <w:r w:rsidRPr="00677233">
        <w:rPr>
          <w:rFonts w:asciiTheme="minorBidi" w:hAnsiTheme="minorBidi" w:cstheme="minorBidi"/>
          <w:b/>
          <w:sz w:val="22"/>
          <w:szCs w:val="22"/>
        </w:rPr>
        <w:t>Criterion A.5</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F57107" w:rsidRPr="00677233">
        <w:rPr>
          <w:rFonts w:asciiTheme="minorBidi" w:hAnsiTheme="minorBidi" w:cstheme="minorBidi"/>
          <w:sz w:val="22"/>
          <w:szCs w:val="22"/>
        </w:rPr>
        <w:t>The requesting State Party will contribute 22 per cent (US$28,720) and other partners will contribute 10 per cent (US$13,599) of the total amount of the project budget (US$132,288). Consequently, International Assistance is requested from the Intangible Cultural Heritage Fund for the remaining 68 per cent of the total amount of the project.</w:t>
      </w:r>
    </w:p>
    <w:p w14:paraId="7FA266EF" w14:textId="5AE49832" w:rsidR="00660CBA" w:rsidRPr="00677233" w:rsidRDefault="00A23D0F" w:rsidP="003264AE">
      <w:pPr>
        <w:spacing w:before="120" w:after="120"/>
        <w:ind w:left="567"/>
        <w:jc w:val="both"/>
        <w:rPr>
          <w:rFonts w:asciiTheme="minorBidi" w:hAnsiTheme="minorBidi" w:cstheme="minorBidi"/>
          <w:sz w:val="22"/>
          <w:szCs w:val="22"/>
        </w:rPr>
      </w:pPr>
      <w:r w:rsidRPr="00677233">
        <w:rPr>
          <w:rFonts w:asciiTheme="minorBidi" w:hAnsiTheme="minorBidi" w:cstheme="minorBidi"/>
          <w:b/>
          <w:sz w:val="22"/>
          <w:szCs w:val="22"/>
        </w:rPr>
        <w:t>Criterion A.6</w:t>
      </w:r>
      <w:r w:rsidRPr="00677233">
        <w:rPr>
          <w:rFonts w:asciiTheme="minorBidi" w:hAnsiTheme="minorBidi" w:cstheme="minorBidi"/>
          <w:b/>
          <w:bCs/>
          <w:sz w:val="22"/>
          <w:szCs w:val="22"/>
        </w:rPr>
        <w:t>:</w:t>
      </w:r>
      <w:r w:rsidRPr="00677233">
        <w:rPr>
          <w:rFonts w:asciiTheme="minorBidi" w:hAnsiTheme="minorBidi" w:cstheme="minorBidi"/>
          <w:sz w:val="22"/>
          <w:szCs w:val="22"/>
        </w:rPr>
        <w:t xml:space="preserve"> </w:t>
      </w:r>
      <w:r w:rsidR="00660CBA" w:rsidRPr="00677233">
        <w:rPr>
          <w:rFonts w:asciiTheme="minorBidi" w:hAnsiTheme="minorBidi" w:cstheme="minorBidi"/>
          <w:sz w:val="22"/>
          <w:szCs w:val="22"/>
        </w:rPr>
        <w:t>The request aim</w:t>
      </w:r>
      <w:r w:rsidR="00C71C37" w:rsidRPr="00677233">
        <w:rPr>
          <w:rFonts w:asciiTheme="minorBidi" w:hAnsiTheme="minorBidi" w:cstheme="minorBidi"/>
          <w:sz w:val="22"/>
          <w:szCs w:val="22"/>
        </w:rPr>
        <w:t xml:space="preserve">s to build </w:t>
      </w:r>
      <w:r w:rsidR="00660CBA" w:rsidRPr="00677233">
        <w:rPr>
          <w:rFonts w:asciiTheme="minorBidi" w:hAnsiTheme="minorBidi" w:cstheme="minorBidi"/>
          <w:sz w:val="22"/>
          <w:szCs w:val="22"/>
        </w:rPr>
        <w:t>capacit</w:t>
      </w:r>
      <w:r w:rsidR="003F7B53" w:rsidRPr="00677233">
        <w:rPr>
          <w:rFonts w:asciiTheme="minorBidi" w:hAnsiTheme="minorBidi" w:cstheme="minorBidi"/>
          <w:sz w:val="22"/>
          <w:szCs w:val="22"/>
        </w:rPr>
        <w:t>ies</w:t>
      </w:r>
      <w:r w:rsidR="00660CBA" w:rsidRPr="00677233">
        <w:rPr>
          <w:rFonts w:asciiTheme="minorBidi" w:hAnsiTheme="minorBidi" w:cstheme="minorBidi"/>
          <w:sz w:val="22"/>
          <w:szCs w:val="22"/>
        </w:rPr>
        <w:t xml:space="preserve"> at multiple levels by </w:t>
      </w:r>
      <w:r w:rsidR="003264AE" w:rsidRPr="00677233">
        <w:rPr>
          <w:rFonts w:asciiTheme="minorBidi" w:hAnsiTheme="minorBidi" w:cstheme="minorBidi"/>
          <w:sz w:val="22"/>
          <w:szCs w:val="22"/>
        </w:rPr>
        <w:t xml:space="preserve">providing </w:t>
      </w:r>
      <w:r w:rsidR="00660CBA" w:rsidRPr="00677233">
        <w:rPr>
          <w:rFonts w:asciiTheme="minorBidi" w:hAnsiTheme="minorBidi" w:cstheme="minorBidi"/>
          <w:sz w:val="22"/>
          <w:szCs w:val="22"/>
        </w:rPr>
        <w:t>training</w:t>
      </w:r>
      <w:r w:rsidR="003264AE" w:rsidRPr="00677233">
        <w:rPr>
          <w:rFonts w:asciiTheme="minorBidi" w:hAnsiTheme="minorBidi" w:cstheme="minorBidi"/>
          <w:sz w:val="22"/>
          <w:szCs w:val="22"/>
        </w:rPr>
        <w:t xml:space="preserve"> to </w:t>
      </w:r>
      <w:r w:rsidR="00FC2F12" w:rsidRPr="00677233">
        <w:rPr>
          <w:rFonts w:asciiTheme="minorBidi" w:hAnsiTheme="minorBidi" w:cstheme="minorBidi"/>
          <w:sz w:val="22"/>
          <w:szCs w:val="22"/>
        </w:rPr>
        <w:t>communities</w:t>
      </w:r>
      <w:r w:rsidR="00C71C37" w:rsidRPr="00677233">
        <w:rPr>
          <w:rFonts w:asciiTheme="minorBidi" w:hAnsiTheme="minorBidi" w:cstheme="minorBidi"/>
          <w:sz w:val="22"/>
          <w:szCs w:val="22"/>
        </w:rPr>
        <w:t xml:space="preserve">, youth </w:t>
      </w:r>
      <w:r w:rsidR="00660CBA" w:rsidRPr="00677233">
        <w:rPr>
          <w:rFonts w:asciiTheme="minorBidi" w:hAnsiTheme="minorBidi" w:cstheme="minorBidi"/>
          <w:sz w:val="22"/>
          <w:szCs w:val="22"/>
        </w:rPr>
        <w:t xml:space="preserve">and </w:t>
      </w:r>
      <w:r w:rsidR="00D92626" w:rsidRPr="00677233">
        <w:rPr>
          <w:rFonts w:asciiTheme="minorBidi" w:hAnsiTheme="minorBidi" w:cstheme="minorBidi"/>
          <w:sz w:val="22"/>
          <w:szCs w:val="22"/>
        </w:rPr>
        <w:t>individual</w:t>
      </w:r>
      <w:r w:rsidR="009E6CE9" w:rsidRPr="00677233">
        <w:rPr>
          <w:rFonts w:asciiTheme="minorBidi" w:hAnsiTheme="minorBidi" w:cstheme="minorBidi"/>
          <w:sz w:val="22"/>
          <w:szCs w:val="22"/>
        </w:rPr>
        <w:t>s</w:t>
      </w:r>
      <w:r w:rsidR="00D92626" w:rsidRPr="00677233">
        <w:rPr>
          <w:rFonts w:asciiTheme="minorBidi" w:hAnsiTheme="minorBidi" w:cstheme="minorBidi"/>
          <w:sz w:val="22"/>
          <w:szCs w:val="22"/>
        </w:rPr>
        <w:t xml:space="preserve"> with </w:t>
      </w:r>
      <w:r w:rsidR="00660CBA" w:rsidRPr="00677233">
        <w:rPr>
          <w:rFonts w:asciiTheme="minorBidi" w:hAnsiTheme="minorBidi" w:cstheme="minorBidi"/>
          <w:sz w:val="22"/>
          <w:szCs w:val="22"/>
        </w:rPr>
        <w:t xml:space="preserve">visual </w:t>
      </w:r>
      <w:r w:rsidR="00D92626" w:rsidRPr="00677233">
        <w:rPr>
          <w:rFonts w:asciiTheme="minorBidi" w:hAnsiTheme="minorBidi" w:cstheme="minorBidi"/>
          <w:sz w:val="22"/>
          <w:szCs w:val="22"/>
        </w:rPr>
        <w:t>impairment</w:t>
      </w:r>
      <w:r w:rsidR="00AC7DAE">
        <w:rPr>
          <w:rFonts w:asciiTheme="minorBidi" w:hAnsiTheme="minorBidi" w:cstheme="minorBidi"/>
          <w:sz w:val="22"/>
          <w:szCs w:val="22"/>
        </w:rPr>
        <w:t>s</w:t>
      </w:r>
      <w:r w:rsidR="00660CBA" w:rsidRPr="00677233">
        <w:rPr>
          <w:rFonts w:asciiTheme="minorBidi" w:hAnsiTheme="minorBidi" w:cstheme="minorBidi"/>
          <w:sz w:val="22"/>
          <w:szCs w:val="22"/>
        </w:rPr>
        <w:t xml:space="preserve">. </w:t>
      </w:r>
      <w:r w:rsidR="00FC2F12" w:rsidRPr="00677233">
        <w:rPr>
          <w:rFonts w:asciiTheme="minorBidi" w:hAnsiTheme="minorBidi" w:cstheme="minorBidi"/>
          <w:sz w:val="22"/>
          <w:szCs w:val="22"/>
        </w:rPr>
        <w:t xml:space="preserve">Through the bandoneon </w:t>
      </w:r>
      <w:r w:rsidR="000A5C8D">
        <w:rPr>
          <w:rFonts w:asciiTheme="minorBidi" w:hAnsiTheme="minorBidi" w:cstheme="minorBidi"/>
          <w:sz w:val="22"/>
          <w:szCs w:val="22"/>
        </w:rPr>
        <w:t xml:space="preserve">lutherie </w:t>
      </w:r>
      <w:r w:rsidR="00FC2F12" w:rsidRPr="00677233">
        <w:rPr>
          <w:rFonts w:asciiTheme="minorBidi" w:hAnsiTheme="minorBidi" w:cstheme="minorBidi"/>
          <w:sz w:val="22"/>
          <w:szCs w:val="22"/>
        </w:rPr>
        <w:t xml:space="preserve">training courses, artisans and practitioners will be </w:t>
      </w:r>
      <w:r w:rsidR="00FC2F12" w:rsidRPr="00677233">
        <w:rPr>
          <w:rFonts w:ascii="Arial" w:hAnsi="Arial" w:cs="Arial"/>
          <w:sz w:val="22"/>
          <w:szCs w:val="22"/>
        </w:rPr>
        <w:t xml:space="preserve">able to share and disseminate their traditional knowledge and skills </w:t>
      </w:r>
      <w:r w:rsidR="003264AE" w:rsidRPr="00677233">
        <w:rPr>
          <w:rFonts w:ascii="Arial" w:hAnsi="Arial" w:cs="Arial"/>
          <w:sz w:val="22"/>
          <w:szCs w:val="22"/>
        </w:rPr>
        <w:t xml:space="preserve">with the </w:t>
      </w:r>
      <w:r w:rsidR="00FC2F12" w:rsidRPr="00677233">
        <w:rPr>
          <w:rFonts w:ascii="Arial" w:hAnsi="Arial" w:cs="Arial"/>
          <w:sz w:val="22"/>
          <w:szCs w:val="22"/>
        </w:rPr>
        <w:t xml:space="preserve">community, </w:t>
      </w:r>
      <w:r w:rsidR="002E27DF" w:rsidRPr="00677233">
        <w:rPr>
          <w:rFonts w:ascii="Arial" w:hAnsi="Arial" w:cs="Arial"/>
          <w:sz w:val="22"/>
          <w:szCs w:val="22"/>
        </w:rPr>
        <w:t xml:space="preserve">including </w:t>
      </w:r>
      <w:r w:rsidR="00C71C37" w:rsidRPr="00677233">
        <w:rPr>
          <w:rFonts w:ascii="Arial" w:hAnsi="Arial" w:cs="Arial"/>
          <w:sz w:val="22"/>
          <w:szCs w:val="22"/>
        </w:rPr>
        <w:t>you</w:t>
      </w:r>
      <w:r w:rsidR="003704F7" w:rsidRPr="00677233">
        <w:rPr>
          <w:rFonts w:ascii="Arial" w:hAnsi="Arial" w:cs="Arial"/>
          <w:sz w:val="22"/>
          <w:szCs w:val="22"/>
        </w:rPr>
        <w:t>th</w:t>
      </w:r>
      <w:r w:rsidR="00FC2F12" w:rsidRPr="00677233">
        <w:rPr>
          <w:rFonts w:ascii="Arial" w:hAnsi="Arial" w:cs="Arial"/>
          <w:sz w:val="22"/>
          <w:szCs w:val="22"/>
        </w:rPr>
        <w:t xml:space="preserve">. </w:t>
      </w:r>
      <w:r w:rsidR="002E27DF" w:rsidRPr="00677233">
        <w:rPr>
          <w:rFonts w:ascii="Arial" w:hAnsi="Arial" w:cs="Arial"/>
          <w:sz w:val="22"/>
          <w:szCs w:val="22"/>
        </w:rPr>
        <w:t xml:space="preserve">More than fifty </w:t>
      </w:r>
      <w:r w:rsidR="00C71C37" w:rsidRPr="00677233">
        <w:rPr>
          <w:rFonts w:ascii="Arial" w:hAnsi="Arial" w:cs="Arial"/>
          <w:sz w:val="22"/>
          <w:szCs w:val="22"/>
        </w:rPr>
        <w:t>individuals</w:t>
      </w:r>
      <w:r w:rsidR="002E27DF" w:rsidRPr="00677233">
        <w:rPr>
          <w:rFonts w:ascii="Arial" w:hAnsi="Arial" w:cs="Arial"/>
          <w:sz w:val="22"/>
          <w:szCs w:val="22"/>
        </w:rPr>
        <w:t xml:space="preserve"> will be trained</w:t>
      </w:r>
      <w:r w:rsidR="00C71C37" w:rsidRPr="00677233">
        <w:rPr>
          <w:rFonts w:ascii="Arial" w:hAnsi="Arial" w:cs="Arial"/>
          <w:sz w:val="22"/>
          <w:szCs w:val="22"/>
        </w:rPr>
        <w:t xml:space="preserve"> </w:t>
      </w:r>
      <w:r w:rsidR="003264AE" w:rsidRPr="00677233">
        <w:rPr>
          <w:rFonts w:ascii="Arial" w:hAnsi="Arial" w:cs="Arial"/>
          <w:sz w:val="22"/>
          <w:szCs w:val="22"/>
        </w:rPr>
        <w:t xml:space="preserve">in the making, </w:t>
      </w:r>
      <w:r w:rsidR="00C71C37" w:rsidRPr="00677233">
        <w:rPr>
          <w:rFonts w:ascii="Arial" w:hAnsi="Arial" w:cs="Arial"/>
          <w:sz w:val="22"/>
          <w:szCs w:val="22"/>
        </w:rPr>
        <w:t xml:space="preserve">repair and </w:t>
      </w:r>
      <w:r w:rsidR="003264AE" w:rsidRPr="00677233">
        <w:rPr>
          <w:rFonts w:ascii="Arial" w:hAnsi="Arial" w:cs="Arial"/>
          <w:sz w:val="22"/>
          <w:szCs w:val="22"/>
        </w:rPr>
        <w:t>maintenance of bandoneons</w:t>
      </w:r>
      <w:r w:rsidR="00C71C37" w:rsidRPr="00677233">
        <w:rPr>
          <w:rFonts w:ascii="Arial" w:hAnsi="Arial" w:cs="Arial"/>
          <w:sz w:val="22"/>
          <w:szCs w:val="22"/>
        </w:rPr>
        <w:t xml:space="preserve">. </w:t>
      </w:r>
      <w:r w:rsidR="002E27DF" w:rsidRPr="00677233">
        <w:rPr>
          <w:rFonts w:ascii="Arial" w:hAnsi="Arial" w:cs="Arial"/>
          <w:sz w:val="22"/>
          <w:szCs w:val="22"/>
        </w:rPr>
        <w:t>In addition, a</w:t>
      </w:r>
      <w:r w:rsidR="00FC2F12" w:rsidRPr="00677233">
        <w:rPr>
          <w:rFonts w:ascii="Arial" w:hAnsi="Arial" w:cs="Arial"/>
          <w:sz w:val="22"/>
          <w:szCs w:val="22"/>
        </w:rPr>
        <w:t>rtists (</w:t>
      </w:r>
      <w:r w:rsidR="003264AE" w:rsidRPr="00677233">
        <w:rPr>
          <w:rFonts w:ascii="Arial" w:hAnsi="Arial" w:cs="Arial"/>
          <w:sz w:val="22"/>
          <w:szCs w:val="22"/>
        </w:rPr>
        <w:t xml:space="preserve">including </w:t>
      </w:r>
      <w:r w:rsidR="00FC2F12" w:rsidRPr="00677233">
        <w:rPr>
          <w:rFonts w:ascii="Arial" w:hAnsi="Arial" w:cs="Arial"/>
          <w:sz w:val="22"/>
          <w:szCs w:val="22"/>
        </w:rPr>
        <w:t xml:space="preserve">musicians, singers and teachers) will share their </w:t>
      </w:r>
      <w:r w:rsidR="003264AE" w:rsidRPr="00677233">
        <w:rPr>
          <w:rFonts w:ascii="Arial" w:hAnsi="Arial" w:cs="Arial"/>
          <w:sz w:val="22"/>
          <w:szCs w:val="22"/>
        </w:rPr>
        <w:t xml:space="preserve">expertise and skills of </w:t>
      </w:r>
      <w:r w:rsidR="00FC2F12" w:rsidRPr="00677233">
        <w:rPr>
          <w:rFonts w:ascii="Arial" w:hAnsi="Arial" w:cs="Arial"/>
          <w:sz w:val="22"/>
          <w:szCs w:val="22"/>
        </w:rPr>
        <w:t xml:space="preserve">Tango </w:t>
      </w:r>
      <w:r w:rsidR="002E27DF" w:rsidRPr="00677233">
        <w:rPr>
          <w:rFonts w:ascii="Arial" w:hAnsi="Arial" w:cs="Arial"/>
          <w:sz w:val="22"/>
          <w:szCs w:val="22"/>
        </w:rPr>
        <w:t xml:space="preserve">with </w:t>
      </w:r>
      <w:r w:rsidR="003264AE" w:rsidRPr="00677233">
        <w:rPr>
          <w:rFonts w:ascii="Arial" w:hAnsi="Arial" w:cs="Arial"/>
          <w:sz w:val="22"/>
          <w:szCs w:val="22"/>
        </w:rPr>
        <w:t xml:space="preserve">over </w:t>
      </w:r>
      <w:r w:rsidR="00AC7DAE">
        <w:rPr>
          <w:rFonts w:ascii="Arial" w:hAnsi="Arial" w:cs="Arial"/>
          <w:sz w:val="22"/>
          <w:szCs w:val="22"/>
        </w:rPr>
        <w:t>2,000</w:t>
      </w:r>
      <w:r w:rsidR="00FC2F12" w:rsidRPr="00677233">
        <w:rPr>
          <w:rFonts w:ascii="Arial" w:hAnsi="Arial" w:cs="Arial"/>
          <w:sz w:val="22"/>
          <w:szCs w:val="22"/>
        </w:rPr>
        <w:t xml:space="preserve"> students </w:t>
      </w:r>
      <w:r w:rsidR="003264AE" w:rsidRPr="00677233">
        <w:rPr>
          <w:rFonts w:ascii="Arial" w:hAnsi="Arial" w:cs="Arial"/>
          <w:sz w:val="22"/>
          <w:szCs w:val="22"/>
        </w:rPr>
        <w:t xml:space="preserve">from </w:t>
      </w:r>
      <w:r w:rsidR="00AC7DAE">
        <w:rPr>
          <w:rFonts w:ascii="Arial" w:hAnsi="Arial" w:cs="Arial"/>
          <w:sz w:val="22"/>
          <w:szCs w:val="22"/>
        </w:rPr>
        <w:t>35</w:t>
      </w:r>
      <w:r w:rsidR="00FC2F12" w:rsidRPr="00677233">
        <w:rPr>
          <w:rFonts w:ascii="Arial" w:hAnsi="Arial" w:cs="Arial"/>
          <w:sz w:val="22"/>
          <w:szCs w:val="22"/>
        </w:rPr>
        <w:t xml:space="preserve"> high schools</w:t>
      </w:r>
      <w:r w:rsidR="002E27DF" w:rsidRPr="00677233">
        <w:rPr>
          <w:rFonts w:ascii="Arial" w:hAnsi="Arial" w:cs="Arial"/>
          <w:sz w:val="22"/>
          <w:szCs w:val="22"/>
        </w:rPr>
        <w:t xml:space="preserve">, </w:t>
      </w:r>
      <w:r w:rsidR="00FC2F12" w:rsidRPr="00677233">
        <w:rPr>
          <w:rFonts w:ascii="Arial" w:hAnsi="Arial" w:cs="Arial"/>
          <w:sz w:val="22"/>
          <w:szCs w:val="22"/>
        </w:rPr>
        <w:t>ensuring</w:t>
      </w:r>
      <w:r w:rsidR="003264AE" w:rsidRPr="00677233">
        <w:rPr>
          <w:rFonts w:ascii="Arial" w:hAnsi="Arial" w:cs="Arial"/>
          <w:sz w:val="22"/>
          <w:szCs w:val="22"/>
        </w:rPr>
        <w:t xml:space="preserve"> the </w:t>
      </w:r>
      <w:r w:rsidR="002E27DF" w:rsidRPr="00677233">
        <w:rPr>
          <w:rFonts w:asciiTheme="minorBidi" w:hAnsiTheme="minorBidi" w:cstheme="minorBidi"/>
          <w:sz w:val="22"/>
          <w:szCs w:val="22"/>
        </w:rPr>
        <w:t xml:space="preserve">intergenerational transmission of the practice of </w:t>
      </w:r>
      <w:r w:rsidR="00AC7DAE">
        <w:rPr>
          <w:rFonts w:asciiTheme="minorBidi" w:hAnsiTheme="minorBidi" w:cstheme="minorBidi"/>
          <w:sz w:val="22"/>
          <w:szCs w:val="22"/>
        </w:rPr>
        <w:t xml:space="preserve">Tango </w:t>
      </w:r>
      <w:r w:rsidR="002E27DF" w:rsidRPr="00677233">
        <w:rPr>
          <w:rFonts w:asciiTheme="minorBidi" w:hAnsiTheme="minorBidi" w:cstheme="minorBidi"/>
          <w:sz w:val="22"/>
          <w:szCs w:val="22"/>
        </w:rPr>
        <w:t xml:space="preserve">dance, </w:t>
      </w:r>
      <w:r w:rsidR="003264AE" w:rsidRPr="00677233">
        <w:rPr>
          <w:rFonts w:asciiTheme="minorBidi" w:hAnsiTheme="minorBidi" w:cstheme="minorBidi"/>
          <w:sz w:val="22"/>
          <w:szCs w:val="22"/>
        </w:rPr>
        <w:t xml:space="preserve">poetry </w:t>
      </w:r>
      <w:r w:rsidR="002E27DF" w:rsidRPr="00677233">
        <w:rPr>
          <w:rFonts w:asciiTheme="minorBidi" w:hAnsiTheme="minorBidi" w:cstheme="minorBidi"/>
          <w:sz w:val="22"/>
          <w:szCs w:val="22"/>
        </w:rPr>
        <w:t xml:space="preserve">and music. </w:t>
      </w:r>
      <w:r w:rsidR="003264AE" w:rsidRPr="00677233">
        <w:rPr>
          <w:rFonts w:asciiTheme="minorBidi" w:hAnsiTheme="minorBidi" w:cstheme="minorBidi"/>
          <w:sz w:val="22"/>
          <w:szCs w:val="22"/>
        </w:rPr>
        <w:t xml:space="preserve">The development of a bandoneon </w:t>
      </w:r>
      <w:r w:rsidR="00C71C37" w:rsidRPr="00677233">
        <w:rPr>
          <w:rFonts w:asciiTheme="minorBidi" w:hAnsiTheme="minorBidi" w:cstheme="minorBidi"/>
          <w:sz w:val="22"/>
          <w:szCs w:val="22"/>
        </w:rPr>
        <w:t>training manual</w:t>
      </w:r>
      <w:r w:rsidR="003704F7" w:rsidRPr="00677233">
        <w:rPr>
          <w:rFonts w:asciiTheme="minorBidi" w:hAnsiTheme="minorBidi" w:cstheme="minorBidi"/>
          <w:sz w:val="22"/>
          <w:szCs w:val="22"/>
        </w:rPr>
        <w:t xml:space="preserve"> in Braille</w:t>
      </w:r>
      <w:r w:rsidR="00C71C37" w:rsidRPr="00677233">
        <w:rPr>
          <w:rFonts w:asciiTheme="minorBidi" w:hAnsiTheme="minorBidi" w:cstheme="minorBidi"/>
          <w:sz w:val="22"/>
          <w:szCs w:val="22"/>
        </w:rPr>
        <w:t xml:space="preserve"> </w:t>
      </w:r>
      <w:r w:rsidR="003264AE" w:rsidRPr="00677233">
        <w:rPr>
          <w:rFonts w:asciiTheme="minorBidi" w:hAnsiTheme="minorBidi" w:cstheme="minorBidi"/>
          <w:sz w:val="22"/>
          <w:szCs w:val="22"/>
        </w:rPr>
        <w:t xml:space="preserve">will </w:t>
      </w:r>
      <w:r w:rsidR="00D92626" w:rsidRPr="00677233">
        <w:rPr>
          <w:rFonts w:asciiTheme="minorBidi" w:hAnsiTheme="minorBidi" w:cstheme="minorBidi"/>
          <w:sz w:val="22"/>
          <w:szCs w:val="22"/>
        </w:rPr>
        <w:t xml:space="preserve">provide individuals who are </w:t>
      </w:r>
      <w:r w:rsidR="003264AE" w:rsidRPr="00677233">
        <w:rPr>
          <w:rFonts w:asciiTheme="minorBidi" w:hAnsiTheme="minorBidi" w:cstheme="minorBidi"/>
          <w:sz w:val="22"/>
          <w:szCs w:val="22"/>
        </w:rPr>
        <w:t xml:space="preserve">blind </w:t>
      </w:r>
      <w:r w:rsidR="00AC7DAE">
        <w:rPr>
          <w:rFonts w:asciiTheme="minorBidi" w:hAnsiTheme="minorBidi" w:cstheme="minorBidi"/>
          <w:sz w:val="22"/>
          <w:szCs w:val="22"/>
        </w:rPr>
        <w:t>or have</w:t>
      </w:r>
      <w:r w:rsidR="003264AE" w:rsidRPr="00677233">
        <w:rPr>
          <w:rFonts w:asciiTheme="minorBidi" w:hAnsiTheme="minorBidi" w:cstheme="minorBidi"/>
          <w:sz w:val="22"/>
          <w:szCs w:val="22"/>
        </w:rPr>
        <w:t xml:space="preserve"> visual</w:t>
      </w:r>
      <w:r w:rsidR="00D92626" w:rsidRPr="00677233">
        <w:rPr>
          <w:rFonts w:asciiTheme="minorBidi" w:hAnsiTheme="minorBidi" w:cstheme="minorBidi"/>
          <w:sz w:val="22"/>
          <w:szCs w:val="22"/>
        </w:rPr>
        <w:t xml:space="preserve"> impairment</w:t>
      </w:r>
      <w:r w:rsidR="00AC7DAE">
        <w:rPr>
          <w:rFonts w:asciiTheme="minorBidi" w:hAnsiTheme="minorBidi" w:cstheme="minorBidi"/>
          <w:sz w:val="22"/>
          <w:szCs w:val="22"/>
        </w:rPr>
        <w:t>s</w:t>
      </w:r>
      <w:r w:rsidR="00D92626" w:rsidRPr="00677233">
        <w:rPr>
          <w:rFonts w:asciiTheme="minorBidi" w:hAnsiTheme="minorBidi" w:cstheme="minorBidi"/>
          <w:sz w:val="22"/>
          <w:szCs w:val="22"/>
        </w:rPr>
        <w:t xml:space="preserve"> </w:t>
      </w:r>
      <w:r w:rsidR="003264AE" w:rsidRPr="00677233">
        <w:rPr>
          <w:rFonts w:asciiTheme="minorBidi" w:hAnsiTheme="minorBidi" w:cstheme="minorBidi"/>
          <w:sz w:val="22"/>
          <w:szCs w:val="22"/>
        </w:rPr>
        <w:t xml:space="preserve">a unique opportunity to learn to play the instrument, promoting inclusive access to musical education. </w:t>
      </w:r>
      <w:r w:rsidR="002E27DF" w:rsidRPr="00677233">
        <w:rPr>
          <w:rFonts w:asciiTheme="minorBidi" w:hAnsiTheme="minorBidi" w:cstheme="minorBidi"/>
          <w:sz w:val="22"/>
          <w:szCs w:val="22"/>
        </w:rPr>
        <w:t xml:space="preserve">The proposed activities will </w:t>
      </w:r>
      <w:r w:rsidR="00660CBA" w:rsidRPr="00677233">
        <w:rPr>
          <w:rFonts w:asciiTheme="minorBidi" w:hAnsiTheme="minorBidi" w:cstheme="minorBidi"/>
          <w:sz w:val="22"/>
          <w:szCs w:val="22"/>
        </w:rPr>
        <w:t xml:space="preserve">reinforce the </w:t>
      </w:r>
      <w:r w:rsidR="002E27DF" w:rsidRPr="00677233">
        <w:rPr>
          <w:rFonts w:asciiTheme="minorBidi" w:hAnsiTheme="minorBidi" w:cstheme="minorBidi"/>
          <w:sz w:val="22"/>
          <w:szCs w:val="22"/>
        </w:rPr>
        <w:t>capacit</w:t>
      </w:r>
      <w:r w:rsidR="003264AE" w:rsidRPr="00677233">
        <w:rPr>
          <w:rFonts w:asciiTheme="minorBidi" w:hAnsiTheme="minorBidi" w:cstheme="minorBidi"/>
          <w:sz w:val="22"/>
          <w:szCs w:val="22"/>
        </w:rPr>
        <w:t>y</w:t>
      </w:r>
      <w:r w:rsidR="002E27DF" w:rsidRPr="00677233">
        <w:rPr>
          <w:rFonts w:asciiTheme="minorBidi" w:hAnsiTheme="minorBidi" w:cstheme="minorBidi"/>
          <w:sz w:val="22"/>
          <w:szCs w:val="22"/>
        </w:rPr>
        <w:t xml:space="preserve"> </w:t>
      </w:r>
      <w:r w:rsidR="00660CBA" w:rsidRPr="00677233">
        <w:rPr>
          <w:rFonts w:asciiTheme="minorBidi" w:hAnsiTheme="minorBidi" w:cstheme="minorBidi"/>
          <w:sz w:val="22"/>
          <w:szCs w:val="22"/>
        </w:rPr>
        <w:t xml:space="preserve">of communities and institutions to safeguard </w:t>
      </w:r>
      <w:r w:rsidR="002E27DF" w:rsidRPr="00677233">
        <w:rPr>
          <w:rFonts w:asciiTheme="minorBidi" w:hAnsiTheme="minorBidi" w:cstheme="minorBidi"/>
          <w:sz w:val="22"/>
          <w:szCs w:val="22"/>
        </w:rPr>
        <w:t>T</w:t>
      </w:r>
      <w:r w:rsidR="00660CBA" w:rsidRPr="00677233">
        <w:rPr>
          <w:rFonts w:asciiTheme="minorBidi" w:hAnsiTheme="minorBidi" w:cstheme="minorBidi"/>
          <w:sz w:val="22"/>
          <w:szCs w:val="22"/>
        </w:rPr>
        <w:t>ango as a living</w:t>
      </w:r>
      <w:r w:rsidR="002E27DF" w:rsidRPr="00677233">
        <w:rPr>
          <w:rFonts w:asciiTheme="minorBidi" w:hAnsiTheme="minorBidi" w:cstheme="minorBidi"/>
          <w:sz w:val="22"/>
          <w:szCs w:val="22"/>
        </w:rPr>
        <w:t xml:space="preserve"> heritage </w:t>
      </w:r>
      <w:r w:rsidR="00660CBA" w:rsidRPr="00677233">
        <w:rPr>
          <w:rFonts w:asciiTheme="minorBidi" w:hAnsiTheme="minorBidi" w:cstheme="minorBidi"/>
          <w:sz w:val="22"/>
          <w:szCs w:val="22"/>
        </w:rPr>
        <w:t xml:space="preserve">and </w:t>
      </w:r>
      <w:r w:rsidR="003F7B53" w:rsidRPr="00677233">
        <w:rPr>
          <w:rFonts w:asciiTheme="minorBidi" w:hAnsiTheme="minorBidi" w:cstheme="minorBidi"/>
          <w:sz w:val="22"/>
          <w:szCs w:val="22"/>
        </w:rPr>
        <w:t xml:space="preserve">as </w:t>
      </w:r>
      <w:r w:rsidR="003704F7" w:rsidRPr="00677233">
        <w:rPr>
          <w:rFonts w:asciiTheme="minorBidi" w:hAnsiTheme="minorBidi" w:cstheme="minorBidi"/>
          <w:sz w:val="22"/>
          <w:szCs w:val="22"/>
        </w:rPr>
        <w:t xml:space="preserve">an </w:t>
      </w:r>
      <w:r w:rsidR="00660CBA" w:rsidRPr="00677233">
        <w:rPr>
          <w:rFonts w:asciiTheme="minorBidi" w:hAnsiTheme="minorBidi" w:cstheme="minorBidi"/>
          <w:sz w:val="22"/>
          <w:szCs w:val="22"/>
        </w:rPr>
        <w:t xml:space="preserve">evolving </w:t>
      </w:r>
      <w:r w:rsidR="002E27DF" w:rsidRPr="00677233">
        <w:rPr>
          <w:rFonts w:asciiTheme="minorBidi" w:hAnsiTheme="minorBidi" w:cstheme="minorBidi"/>
          <w:sz w:val="22"/>
          <w:szCs w:val="22"/>
        </w:rPr>
        <w:t xml:space="preserve">artistic </w:t>
      </w:r>
      <w:r w:rsidR="00660CBA" w:rsidRPr="00677233">
        <w:rPr>
          <w:rFonts w:asciiTheme="minorBidi" w:hAnsiTheme="minorBidi" w:cstheme="minorBidi"/>
          <w:sz w:val="22"/>
          <w:szCs w:val="22"/>
        </w:rPr>
        <w:t>expression</w:t>
      </w:r>
      <w:r w:rsidR="002E27DF" w:rsidRPr="00677233">
        <w:rPr>
          <w:rFonts w:asciiTheme="minorBidi" w:hAnsiTheme="minorBidi" w:cstheme="minorBidi"/>
          <w:sz w:val="22"/>
          <w:szCs w:val="22"/>
        </w:rPr>
        <w:t>.</w:t>
      </w:r>
    </w:p>
    <w:p w14:paraId="5A620265" w14:textId="070FB90B" w:rsidR="00A23D0F" w:rsidRPr="00677233" w:rsidRDefault="00A23D0F" w:rsidP="008C1133">
      <w:pPr>
        <w:spacing w:after="120"/>
        <w:ind w:left="567"/>
        <w:jc w:val="both"/>
        <w:rPr>
          <w:rFonts w:asciiTheme="minorBidi" w:hAnsiTheme="minorBidi" w:cstheme="minorBidi"/>
          <w:snapToGrid w:val="0"/>
          <w:sz w:val="22"/>
          <w:szCs w:val="22"/>
          <w:shd w:val="clear" w:color="auto" w:fill="FFFFFF"/>
          <w:lang w:eastAsia="en-US"/>
        </w:rPr>
      </w:pPr>
      <w:r w:rsidRPr="00677233">
        <w:rPr>
          <w:rFonts w:asciiTheme="minorBidi" w:hAnsiTheme="minorBidi" w:cstheme="minorBidi"/>
          <w:b/>
          <w:snapToGrid w:val="0"/>
          <w:sz w:val="22"/>
          <w:szCs w:val="22"/>
          <w:lang w:eastAsia="en-US"/>
        </w:rPr>
        <w:t>Criterion A.7</w:t>
      </w:r>
      <w:r w:rsidRPr="00677233">
        <w:rPr>
          <w:rFonts w:asciiTheme="minorBidi" w:hAnsiTheme="minorBidi" w:cstheme="minorBidi"/>
          <w:b/>
          <w:bCs/>
          <w:snapToGrid w:val="0"/>
          <w:sz w:val="22"/>
          <w:szCs w:val="22"/>
          <w:shd w:val="clear" w:color="auto" w:fill="FFFFFF"/>
          <w:lang w:eastAsia="en-US"/>
        </w:rPr>
        <w:t xml:space="preserve">: </w:t>
      </w:r>
      <w:r w:rsidR="003E0394" w:rsidRPr="00677233">
        <w:rPr>
          <w:rFonts w:asciiTheme="minorBidi" w:hAnsiTheme="minorBidi" w:cstheme="minorBidi"/>
          <w:snapToGrid w:val="0"/>
          <w:sz w:val="22"/>
          <w:szCs w:val="22"/>
          <w:shd w:val="clear" w:color="auto" w:fill="FFFFFF"/>
          <w:lang w:eastAsia="en-US"/>
        </w:rPr>
        <w:t>Uruguay</w:t>
      </w:r>
      <w:r w:rsidR="00B942C3" w:rsidRPr="00677233">
        <w:rPr>
          <w:rFonts w:asciiTheme="minorBidi" w:hAnsiTheme="minorBidi" w:cstheme="minorBidi"/>
          <w:snapToGrid w:val="0"/>
          <w:sz w:val="22"/>
          <w:szCs w:val="22"/>
          <w:shd w:val="clear" w:color="auto" w:fill="FFFFFF"/>
          <w:lang w:eastAsia="en-US"/>
        </w:rPr>
        <w:t xml:space="preserve"> has benefitted from International Assistance from the Intangible Cultural Heritage Fund for</w:t>
      </w:r>
      <w:r w:rsidR="007C5647" w:rsidRPr="00677233">
        <w:rPr>
          <w:rFonts w:asciiTheme="minorBidi" w:hAnsiTheme="minorBidi" w:cstheme="minorBidi"/>
          <w:snapToGrid w:val="0"/>
          <w:sz w:val="22"/>
          <w:szCs w:val="22"/>
          <w:shd w:val="clear" w:color="auto" w:fill="FFFFFF"/>
          <w:lang w:eastAsia="en-US"/>
        </w:rPr>
        <w:t xml:space="preserve"> two </w:t>
      </w:r>
      <w:r w:rsidR="003704F7" w:rsidRPr="00677233">
        <w:rPr>
          <w:rFonts w:asciiTheme="minorBidi" w:hAnsiTheme="minorBidi" w:cstheme="minorBidi"/>
          <w:snapToGrid w:val="0"/>
          <w:sz w:val="22"/>
          <w:szCs w:val="22"/>
          <w:shd w:val="clear" w:color="auto" w:fill="FFFFFF"/>
          <w:lang w:eastAsia="en-US"/>
        </w:rPr>
        <w:t xml:space="preserve">completed </w:t>
      </w:r>
      <w:r w:rsidR="00B942C3" w:rsidRPr="00677233">
        <w:rPr>
          <w:rFonts w:asciiTheme="minorBidi" w:hAnsiTheme="minorBidi" w:cstheme="minorBidi"/>
          <w:snapToGrid w:val="0"/>
          <w:sz w:val="22"/>
          <w:szCs w:val="22"/>
          <w:shd w:val="clear" w:color="auto" w:fill="FFFFFF"/>
          <w:lang w:eastAsia="en-US"/>
        </w:rPr>
        <w:t>International Assistance project</w:t>
      </w:r>
      <w:r w:rsidR="007C5647" w:rsidRPr="00677233">
        <w:rPr>
          <w:rFonts w:asciiTheme="minorBidi" w:hAnsiTheme="minorBidi" w:cstheme="minorBidi"/>
          <w:snapToGrid w:val="0"/>
          <w:sz w:val="22"/>
          <w:szCs w:val="22"/>
          <w:shd w:val="clear" w:color="auto" w:fill="FFFFFF"/>
          <w:lang w:eastAsia="en-US"/>
        </w:rPr>
        <w:t>s</w:t>
      </w:r>
      <w:r w:rsidR="00AC7DAE">
        <w:rPr>
          <w:rFonts w:asciiTheme="minorBidi" w:hAnsiTheme="minorBidi" w:cstheme="minorBidi"/>
          <w:snapToGrid w:val="0"/>
          <w:sz w:val="22"/>
          <w:szCs w:val="22"/>
          <w:shd w:val="clear" w:color="auto" w:fill="FFFFFF"/>
          <w:lang w:eastAsia="en-US"/>
        </w:rPr>
        <w:t>.</w:t>
      </w:r>
      <w:r w:rsidR="00B942C3" w:rsidRPr="00677233">
        <w:rPr>
          <w:rStyle w:val="Appelnotedebasdep"/>
          <w:rFonts w:asciiTheme="minorBidi" w:hAnsiTheme="minorBidi" w:cstheme="minorBidi"/>
          <w:snapToGrid w:val="0"/>
          <w:sz w:val="22"/>
          <w:szCs w:val="22"/>
          <w:shd w:val="clear" w:color="auto" w:fill="FFFFFF"/>
          <w:lang w:eastAsia="en-US"/>
        </w:rPr>
        <w:footnoteReference w:id="3"/>
      </w:r>
      <w:r w:rsidR="00B942C3" w:rsidRPr="00677233">
        <w:rPr>
          <w:rFonts w:asciiTheme="minorBidi" w:hAnsiTheme="minorBidi" w:cstheme="minorBidi"/>
          <w:snapToGrid w:val="0"/>
          <w:sz w:val="22"/>
          <w:szCs w:val="22"/>
          <w:shd w:val="clear" w:color="auto" w:fill="FFFFFF"/>
          <w:lang w:eastAsia="en-US"/>
        </w:rPr>
        <w:t xml:space="preserve"> The work stipulated in the contract</w:t>
      </w:r>
      <w:r w:rsidR="003704F7" w:rsidRPr="00677233">
        <w:rPr>
          <w:rFonts w:asciiTheme="minorBidi" w:hAnsiTheme="minorBidi" w:cstheme="minorBidi"/>
          <w:snapToGrid w:val="0"/>
          <w:sz w:val="22"/>
          <w:szCs w:val="22"/>
          <w:shd w:val="clear" w:color="auto" w:fill="FFFFFF"/>
          <w:lang w:eastAsia="en-US"/>
        </w:rPr>
        <w:t>s</w:t>
      </w:r>
      <w:r w:rsidR="00B942C3" w:rsidRPr="00677233">
        <w:rPr>
          <w:rFonts w:asciiTheme="minorBidi" w:hAnsiTheme="minorBidi" w:cstheme="minorBidi"/>
          <w:snapToGrid w:val="0"/>
          <w:sz w:val="22"/>
          <w:szCs w:val="22"/>
          <w:shd w:val="clear" w:color="auto" w:fill="FFFFFF"/>
          <w:lang w:eastAsia="en-US"/>
        </w:rPr>
        <w:t xml:space="preserve"> related to </w:t>
      </w:r>
      <w:r w:rsidR="003704F7" w:rsidRPr="00677233">
        <w:rPr>
          <w:rFonts w:asciiTheme="minorBidi" w:hAnsiTheme="minorBidi" w:cstheme="minorBidi"/>
          <w:snapToGrid w:val="0"/>
          <w:sz w:val="22"/>
          <w:szCs w:val="22"/>
          <w:shd w:val="clear" w:color="auto" w:fill="FFFFFF"/>
          <w:lang w:eastAsia="en-US"/>
        </w:rPr>
        <w:t xml:space="preserve">these </w:t>
      </w:r>
      <w:r w:rsidR="00B942C3" w:rsidRPr="00677233">
        <w:rPr>
          <w:rFonts w:asciiTheme="minorBidi" w:hAnsiTheme="minorBidi" w:cstheme="minorBidi"/>
          <w:snapToGrid w:val="0"/>
          <w:sz w:val="22"/>
          <w:szCs w:val="22"/>
          <w:shd w:val="clear" w:color="auto" w:fill="FFFFFF"/>
          <w:lang w:eastAsia="en-US"/>
        </w:rPr>
        <w:t>project</w:t>
      </w:r>
      <w:r w:rsidR="003704F7" w:rsidRPr="00677233">
        <w:rPr>
          <w:rFonts w:asciiTheme="minorBidi" w:hAnsiTheme="minorBidi" w:cstheme="minorBidi"/>
          <w:snapToGrid w:val="0"/>
          <w:sz w:val="22"/>
          <w:szCs w:val="22"/>
          <w:shd w:val="clear" w:color="auto" w:fill="FFFFFF"/>
          <w:lang w:eastAsia="en-US"/>
        </w:rPr>
        <w:t>s</w:t>
      </w:r>
      <w:r w:rsidR="00B942C3" w:rsidRPr="00677233">
        <w:rPr>
          <w:rFonts w:asciiTheme="minorBidi" w:hAnsiTheme="minorBidi" w:cstheme="minorBidi"/>
          <w:snapToGrid w:val="0"/>
          <w:sz w:val="22"/>
          <w:szCs w:val="22"/>
          <w:shd w:val="clear" w:color="auto" w:fill="FFFFFF"/>
          <w:lang w:eastAsia="en-US"/>
        </w:rPr>
        <w:t xml:space="preserve"> was carried out in accordance with UNESCO regulations.</w:t>
      </w:r>
    </w:p>
    <w:p w14:paraId="76A86CFF" w14:textId="08D42995" w:rsidR="009C051A" w:rsidRPr="00677233" w:rsidRDefault="00A23D0F" w:rsidP="009C051A">
      <w:pPr>
        <w:ind w:left="567"/>
        <w:contextualSpacing/>
        <w:jc w:val="both"/>
        <w:rPr>
          <w:rFonts w:asciiTheme="minorBidi" w:hAnsiTheme="minorBidi" w:cstheme="minorBidi"/>
          <w:bCs/>
          <w:sz w:val="22"/>
          <w:szCs w:val="22"/>
        </w:rPr>
      </w:pPr>
      <w:r w:rsidRPr="00677233">
        <w:rPr>
          <w:rFonts w:asciiTheme="minorBidi" w:hAnsiTheme="minorBidi" w:cstheme="minorBidi"/>
          <w:b/>
          <w:sz w:val="22"/>
          <w:szCs w:val="22"/>
        </w:rPr>
        <w:t>Paragraph 10(a):</w:t>
      </w:r>
      <w:r w:rsidRPr="00677233">
        <w:rPr>
          <w:rFonts w:asciiTheme="minorBidi" w:hAnsiTheme="minorBidi" w:cstheme="minorBidi"/>
          <w:bCs/>
          <w:sz w:val="22"/>
          <w:szCs w:val="22"/>
        </w:rPr>
        <w:t xml:space="preserve"> </w:t>
      </w:r>
      <w:r w:rsidR="009C051A" w:rsidRPr="00677233">
        <w:rPr>
          <w:rFonts w:asciiTheme="minorBidi" w:hAnsiTheme="minorBidi" w:cstheme="minorBidi"/>
          <w:bCs/>
          <w:sz w:val="22"/>
          <w:szCs w:val="22"/>
        </w:rPr>
        <w:t>The project is national in scope and involves</w:t>
      </w:r>
      <w:r w:rsidR="00787826" w:rsidRPr="00677233">
        <w:rPr>
          <w:rFonts w:asciiTheme="minorBidi" w:hAnsiTheme="minorBidi" w:cstheme="minorBidi"/>
          <w:bCs/>
          <w:sz w:val="22"/>
          <w:szCs w:val="22"/>
        </w:rPr>
        <w:t xml:space="preserve"> national</w:t>
      </w:r>
      <w:r w:rsidR="009C051A" w:rsidRPr="00677233">
        <w:rPr>
          <w:rFonts w:asciiTheme="minorBidi" w:hAnsiTheme="minorBidi" w:cstheme="minorBidi"/>
          <w:bCs/>
          <w:sz w:val="22"/>
          <w:szCs w:val="22"/>
        </w:rPr>
        <w:t xml:space="preserve"> partners, </w:t>
      </w:r>
      <w:r w:rsidR="00787826" w:rsidRPr="00677233">
        <w:rPr>
          <w:rFonts w:asciiTheme="minorBidi" w:hAnsiTheme="minorBidi" w:cstheme="minorBidi"/>
          <w:bCs/>
          <w:sz w:val="22"/>
          <w:szCs w:val="22"/>
        </w:rPr>
        <w:t xml:space="preserve">including </w:t>
      </w:r>
      <w:r w:rsidR="009C051A" w:rsidRPr="00677233">
        <w:rPr>
          <w:rFonts w:asciiTheme="minorBidi" w:hAnsiTheme="minorBidi" w:cstheme="minorBidi"/>
          <w:bCs/>
          <w:sz w:val="22"/>
          <w:szCs w:val="22"/>
        </w:rPr>
        <w:t>the National Commission of Uruguay for UNESCO, the Ministry of Education and Culture, the Board of Technical-Professional Education</w:t>
      </w:r>
      <w:r w:rsidR="00AC7DAE">
        <w:rPr>
          <w:rFonts w:asciiTheme="minorBidi" w:hAnsiTheme="minorBidi" w:cstheme="minorBidi"/>
          <w:bCs/>
          <w:sz w:val="22"/>
          <w:szCs w:val="22"/>
        </w:rPr>
        <w:t>,</w:t>
      </w:r>
      <w:r w:rsidR="009C051A" w:rsidRPr="00677233">
        <w:rPr>
          <w:rFonts w:asciiTheme="minorBidi" w:hAnsiTheme="minorBidi" w:cstheme="minorBidi"/>
          <w:bCs/>
          <w:sz w:val="22"/>
          <w:szCs w:val="22"/>
        </w:rPr>
        <w:t xml:space="preserve"> </w:t>
      </w:r>
      <w:r w:rsidR="00AC7DAE">
        <w:rPr>
          <w:rFonts w:asciiTheme="minorBidi" w:hAnsiTheme="minorBidi" w:cstheme="minorBidi"/>
          <w:bCs/>
          <w:sz w:val="22"/>
          <w:szCs w:val="22"/>
        </w:rPr>
        <w:t>and</w:t>
      </w:r>
      <w:r w:rsidR="009C051A" w:rsidRPr="00677233">
        <w:rPr>
          <w:rFonts w:asciiTheme="minorBidi" w:hAnsiTheme="minorBidi" w:cstheme="minorBidi"/>
          <w:bCs/>
          <w:sz w:val="22"/>
          <w:szCs w:val="22"/>
        </w:rPr>
        <w:t xml:space="preserve"> </w:t>
      </w:r>
      <w:r w:rsidR="000C5F71" w:rsidRPr="00677233">
        <w:rPr>
          <w:rFonts w:asciiTheme="minorBidi" w:hAnsiTheme="minorBidi" w:cstheme="minorBidi"/>
          <w:bCs/>
          <w:sz w:val="22"/>
          <w:szCs w:val="22"/>
        </w:rPr>
        <w:t xml:space="preserve">the </w:t>
      </w:r>
      <w:r w:rsidR="009C051A" w:rsidRPr="00677233">
        <w:rPr>
          <w:rFonts w:asciiTheme="minorBidi" w:hAnsiTheme="minorBidi" w:cstheme="minorBidi"/>
          <w:bCs/>
          <w:sz w:val="22"/>
          <w:szCs w:val="22"/>
        </w:rPr>
        <w:t>departments of Montevideo, Canelones, Tacuarembó, Paysandú, Lavalleja, Maldonado, Soriano and Río Negro.</w:t>
      </w:r>
      <w:r w:rsidR="003E0394" w:rsidRPr="00677233">
        <w:rPr>
          <w:rFonts w:asciiTheme="minorBidi" w:hAnsiTheme="minorBidi" w:cstheme="minorBidi"/>
          <w:bCs/>
          <w:sz w:val="22"/>
          <w:szCs w:val="22"/>
        </w:rPr>
        <w:t xml:space="preserve"> </w:t>
      </w:r>
      <w:r w:rsidR="00787826" w:rsidRPr="00677233">
        <w:rPr>
          <w:rFonts w:asciiTheme="minorBidi" w:hAnsiTheme="minorBidi" w:cstheme="minorBidi"/>
          <w:bCs/>
          <w:sz w:val="22"/>
          <w:szCs w:val="22"/>
        </w:rPr>
        <w:t xml:space="preserve">The following </w:t>
      </w:r>
      <w:r w:rsidR="009C051A" w:rsidRPr="00677233">
        <w:rPr>
          <w:rFonts w:asciiTheme="minorBidi" w:hAnsiTheme="minorBidi" w:cstheme="minorBidi"/>
          <w:bCs/>
          <w:sz w:val="22"/>
          <w:szCs w:val="22"/>
        </w:rPr>
        <w:t xml:space="preserve">associations </w:t>
      </w:r>
      <w:r w:rsidR="00787826" w:rsidRPr="00677233">
        <w:rPr>
          <w:rFonts w:asciiTheme="minorBidi" w:hAnsiTheme="minorBidi" w:cstheme="minorBidi"/>
          <w:bCs/>
          <w:sz w:val="22"/>
          <w:szCs w:val="22"/>
        </w:rPr>
        <w:t>will also be involved</w:t>
      </w:r>
      <w:r w:rsidR="009C051A" w:rsidRPr="00677233">
        <w:rPr>
          <w:rFonts w:asciiTheme="minorBidi" w:hAnsiTheme="minorBidi" w:cstheme="minorBidi"/>
          <w:bCs/>
          <w:sz w:val="22"/>
          <w:szCs w:val="22"/>
        </w:rPr>
        <w:t xml:space="preserve">: </w:t>
      </w:r>
      <w:r w:rsidR="00CE6077">
        <w:rPr>
          <w:rFonts w:asciiTheme="minorBidi" w:hAnsiTheme="minorBidi" w:cstheme="minorBidi"/>
          <w:bCs/>
          <w:sz w:val="22"/>
          <w:szCs w:val="22"/>
        </w:rPr>
        <w:t xml:space="preserve">the </w:t>
      </w:r>
      <w:r w:rsidR="009C051A" w:rsidRPr="00677233">
        <w:rPr>
          <w:rFonts w:asciiTheme="minorBidi" w:hAnsiTheme="minorBidi" w:cstheme="minorBidi"/>
          <w:bCs/>
          <w:sz w:val="22"/>
          <w:szCs w:val="22"/>
        </w:rPr>
        <w:t>Uruguay</w:t>
      </w:r>
      <w:r w:rsidR="00A90859">
        <w:rPr>
          <w:rFonts w:asciiTheme="minorBidi" w:hAnsiTheme="minorBidi" w:cstheme="minorBidi"/>
          <w:bCs/>
          <w:sz w:val="22"/>
          <w:szCs w:val="22"/>
        </w:rPr>
        <w:t>an Braille Foundation</w:t>
      </w:r>
      <w:r w:rsidR="009C051A" w:rsidRPr="00677233">
        <w:rPr>
          <w:rFonts w:asciiTheme="minorBidi" w:hAnsiTheme="minorBidi" w:cstheme="minorBidi"/>
          <w:bCs/>
          <w:sz w:val="22"/>
          <w:szCs w:val="22"/>
        </w:rPr>
        <w:t>, the Uruguayan Authors Association, the Uruguayan Musicians Association and the Uruguayan Actors Society.</w:t>
      </w:r>
    </w:p>
    <w:p w14:paraId="03E69FAF" w14:textId="3BA87F59" w:rsidR="00464BB5" w:rsidRPr="00677233" w:rsidRDefault="00A23D0F" w:rsidP="008C1133">
      <w:pPr>
        <w:spacing w:before="120" w:after="120"/>
        <w:ind w:left="567"/>
        <w:jc w:val="both"/>
        <w:rPr>
          <w:rFonts w:asciiTheme="minorBidi" w:hAnsiTheme="minorBidi" w:cstheme="minorBidi"/>
          <w:bCs/>
          <w:snapToGrid w:val="0"/>
          <w:sz w:val="22"/>
          <w:szCs w:val="22"/>
          <w:lang w:eastAsia="en-US"/>
        </w:rPr>
      </w:pPr>
      <w:r w:rsidRPr="00677233">
        <w:rPr>
          <w:rFonts w:asciiTheme="minorBidi" w:hAnsiTheme="minorBidi" w:cstheme="minorBidi"/>
          <w:b/>
          <w:snapToGrid w:val="0"/>
          <w:sz w:val="22"/>
          <w:szCs w:val="22"/>
          <w:lang w:eastAsia="en-US"/>
        </w:rPr>
        <w:t>Paragraph 10(b):</w:t>
      </w:r>
      <w:r w:rsidR="00464BB5" w:rsidRPr="00677233">
        <w:rPr>
          <w:rFonts w:asciiTheme="minorBidi" w:hAnsiTheme="minorBidi" w:cstheme="minorBidi"/>
          <w:b/>
          <w:snapToGrid w:val="0"/>
          <w:sz w:val="22"/>
          <w:szCs w:val="22"/>
          <w:lang w:eastAsia="en-US"/>
        </w:rPr>
        <w:t xml:space="preserve"> </w:t>
      </w:r>
      <w:r w:rsidR="00464BB5" w:rsidRPr="00677233">
        <w:rPr>
          <w:rFonts w:asciiTheme="minorBidi" w:hAnsiTheme="minorBidi" w:cstheme="minorBidi"/>
          <w:bCs/>
          <w:snapToGrid w:val="0"/>
          <w:sz w:val="22"/>
          <w:szCs w:val="22"/>
          <w:lang w:eastAsia="en-US"/>
        </w:rPr>
        <w:t>The project is expected to stimulate broader engagement in the safeguarding of Tango by reaching new audiences and practitioners, particularly among youth. The transcription of ‘</w:t>
      </w:r>
      <w:r w:rsidR="00464BB5" w:rsidRPr="00E51194">
        <w:rPr>
          <w:rFonts w:asciiTheme="minorBidi" w:hAnsiTheme="minorBidi" w:cstheme="minorBidi"/>
          <w:bCs/>
          <w:snapToGrid w:val="0"/>
          <w:sz w:val="22"/>
          <w:szCs w:val="22"/>
          <w:lang w:eastAsia="en-US"/>
        </w:rPr>
        <w:t>Master Musician Raúl Jaurena’s Guide to Playing the Bandoneon’</w:t>
      </w:r>
      <w:r w:rsidR="00464BB5" w:rsidRPr="00677233">
        <w:rPr>
          <w:rFonts w:asciiTheme="minorBidi" w:hAnsiTheme="minorBidi" w:cstheme="minorBidi"/>
          <w:bCs/>
          <w:snapToGrid w:val="0"/>
          <w:sz w:val="22"/>
          <w:szCs w:val="22"/>
          <w:lang w:eastAsia="en-US"/>
        </w:rPr>
        <w:t xml:space="preserve"> into Braille will contribute to the national inclusion policy. </w:t>
      </w:r>
      <w:r w:rsidR="00716A91" w:rsidRPr="00677233">
        <w:rPr>
          <w:rFonts w:asciiTheme="minorBidi" w:hAnsiTheme="minorBidi" w:cstheme="minorBidi"/>
          <w:bCs/>
          <w:snapToGrid w:val="0"/>
          <w:sz w:val="22"/>
          <w:szCs w:val="22"/>
          <w:lang w:eastAsia="en-US"/>
        </w:rPr>
        <w:t xml:space="preserve">This manual will also be made available in </w:t>
      </w:r>
      <w:r w:rsidR="003704F7" w:rsidRPr="00677233">
        <w:rPr>
          <w:rFonts w:asciiTheme="minorBidi" w:hAnsiTheme="minorBidi" w:cstheme="minorBidi"/>
          <w:bCs/>
          <w:snapToGrid w:val="0"/>
          <w:sz w:val="22"/>
          <w:szCs w:val="22"/>
          <w:lang w:eastAsia="en-US"/>
        </w:rPr>
        <w:t xml:space="preserve">other </w:t>
      </w:r>
      <w:r w:rsidR="00716A91" w:rsidRPr="00677233">
        <w:rPr>
          <w:rFonts w:asciiTheme="minorBidi" w:hAnsiTheme="minorBidi" w:cstheme="minorBidi"/>
          <w:bCs/>
          <w:snapToGrid w:val="0"/>
          <w:sz w:val="22"/>
          <w:szCs w:val="22"/>
          <w:lang w:eastAsia="en-US"/>
        </w:rPr>
        <w:t>countries of the region, thereby reaching a broader public.</w:t>
      </w:r>
    </w:p>
    <w:p w14:paraId="1BD863E2" w14:textId="31F8515C"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Approves</w:t>
      </w:r>
      <w:r w:rsidRPr="00677233">
        <w:rPr>
          <w:rFonts w:asciiTheme="minorBidi" w:hAnsiTheme="minorBidi" w:cstheme="minorBidi"/>
          <w:sz w:val="22"/>
          <w:szCs w:val="22"/>
        </w:rPr>
        <w:t xml:space="preserve"> the International Assistance request from </w:t>
      </w:r>
      <w:r w:rsidR="00375064" w:rsidRPr="00677233">
        <w:rPr>
          <w:rFonts w:asciiTheme="minorBidi" w:hAnsiTheme="minorBidi" w:cstheme="minorBidi"/>
          <w:sz w:val="22"/>
          <w:szCs w:val="22"/>
        </w:rPr>
        <w:t>Uruguay</w:t>
      </w:r>
      <w:r w:rsidRPr="00677233">
        <w:rPr>
          <w:rFonts w:asciiTheme="minorBidi" w:hAnsiTheme="minorBidi" w:cstheme="minorBidi"/>
          <w:sz w:val="22"/>
          <w:szCs w:val="22"/>
        </w:rPr>
        <w:t xml:space="preserve"> for the project entitled </w:t>
      </w:r>
      <w:proofErr w:type="gramStart"/>
      <w:r w:rsidR="003704F7" w:rsidRPr="00677233">
        <w:rPr>
          <w:rFonts w:asciiTheme="minorBidi" w:hAnsiTheme="minorBidi" w:cstheme="minorBidi"/>
          <w:b/>
          <w:bCs/>
          <w:sz w:val="22"/>
          <w:szCs w:val="22"/>
        </w:rPr>
        <w:t>The</w:t>
      </w:r>
      <w:proofErr w:type="gramEnd"/>
      <w:r w:rsidR="003704F7" w:rsidRPr="00677233">
        <w:rPr>
          <w:rFonts w:asciiTheme="minorBidi" w:hAnsiTheme="minorBidi" w:cstheme="minorBidi"/>
          <w:b/>
          <w:bCs/>
          <w:sz w:val="22"/>
          <w:szCs w:val="22"/>
        </w:rPr>
        <w:t xml:space="preserve"> </w:t>
      </w:r>
      <w:r w:rsidR="00375064" w:rsidRPr="00677233">
        <w:rPr>
          <w:rFonts w:asciiTheme="minorBidi" w:hAnsiTheme="minorBidi" w:cstheme="minorBidi"/>
          <w:b/>
          <w:bCs/>
          <w:sz w:val="22"/>
          <w:szCs w:val="22"/>
        </w:rPr>
        <w:t xml:space="preserve">sound of Tango </w:t>
      </w:r>
      <w:r w:rsidR="00F57107" w:rsidRPr="00677233">
        <w:rPr>
          <w:rFonts w:asciiTheme="minorBidi" w:hAnsiTheme="minorBidi" w:cstheme="minorBidi"/>
          <w:b/>
          <w:bCs/>
          <w:sz w:val="22"/>
          <w:szCs w:val="22"/>
        </w:rPr>
        <w:t xml:space="preserve">– </w:t>
      </w:r>
      <w:r w:rsidR="003704F7" w:rsidRPr="00677233">
        <w:rPr>
          <w:rFonts w:asciiTheme="minorBidi" w:hAnsiTheme="minorBidi" w:cstheme="minorBidi"/>
          <w:b/>
          <w:bCs/>
          <w:sz w:val="22"/>
          <w:szCs w:val="22"/>
        </w:rPr>
        <w:t xml:space="preserve">Phase </w:t>
      </w:r>
      <w:r w:rsidR="00375064" w:rsidRPr="00677233">
        <w:rPr>
          <w:rFonts w:asciiTheme="minorBidi" w:hAnsiTheme="minorBidi" w:cstheme="minorBidi"/>
          <w:b/>
          <w:bCs/>
          <w:sz w:val="22"/>
          <w:szCs w:val="22"/>
        </w:rPr>
        <w:t>II</w:t>
      </w:r>
      <w:r w:rsidRPr="00677233">
        <w:rPr>
          <w:rFonts w:asciiTheme="minorBidi" w:hAnsiTheme="minorBidi" w:cstheme="minorBidi"/>
          <w:bCs/>
          <w:sz w:val="22"/>
          <w:szCs w:val="22"/>
        </w:rPr>
        <w:t>,</w:t>
      </w:r>
      <w:r w:rsidRPr="00677233" w:rsidDel="00A801D7">
        <w:rPr>
          <w:rFonts w:asciiTheme="minorBidi" w:hAnsiTheme="minorBidi" w:cstheme="minorBidi"/>
          <w:b/>
          <w:sz w:val="22"/>
          <w:szCs w:val="22"/>
        </w:rPr>
        <w:t xml:space="preserve"> </w:t>
      </w:r>
      <w:r w:rsidRPr="00677233">
        <w:rPr>
          <w:rFonts w:asciiTheme="minorBidi" w:hAnsiTheme="minorBidi" w:cstheme="minorBidi"/>
          <w:sz w:val="22"/>
          <w:szCs w:val="22"/>
        </w:rPr>
        <w:t xml:space="preserve">and </w:t>
      </w:r>
      <w:r w:rsidRPr="00677233">
        <w:rPr>
          <w:rFonts w:asciiTheme="minorBidi" w:hAnsiTheme="minorBidi" w:cstheme="minorBidi"/>
          <w:sz w:val="22"/>
          <w:szCs w:val="22"/>
          <w:u w:val="single"/>
        </w:rPr>
        <w:t>grants</w:t>
      </w:r>
      <w:r w:rsidRPr="00677233">
        <w:rPr>
          <w:rFonts w:asciiTheme="minorBidi" w:hAnsiTheme="minorBidi" w:cstheme="minorBidi"/>
          <w:sz w:val="22"/>
          <w:szCs w:val="22"/>
        </w:rPr>
        <w:t xml:space="preserve"> the amount of US$</w:t>
      </w:r>
      <w:r w:rsidR="00D4660A" w:rsidRPr="00677233">
        <w:rPr>
          <w:rFonts w:asciiTheme="minorBidi" w:hAnsiTheme="minorBidi" w:cstheme="minorBidi"/>
          <w:sz w:val="22"/>
          <w:szCs w:val="22"/>
        </w:rPr>
        <w:t>89,</w:t>
      </w:r>
      <w:r w:rsidR="003704F7" w:rsidRPr="00677233">
        <w:rPr>
          <w:rFonts w:asciiTheme="minorBidi" w:hAnsiTheme="minorBidi" w:cstheme="minorBidi"/>
          <w:sz w:val="22"/>
          <w:szCs w:val="22"/>
        </w:rPr>
        <w:t xml:space="preserve">969 </w:t>
      </w:r>
      <w:r w:rsidRPr="00677233">
        <w:rPr>
          <w:rFonts w:asciiTheme="minorBidi" w:eastAsia="SimSun" w:hAnsiTheme="minorBidi" w:cstheme="minorBidi"/>
          <w:sz w:val="22"/>
          <w:szCs w:val="22"/>
          <w:lang w:eastAsia="ko-KR"/>
        </w:rPr>
        <w:t xml:space="preserve">for the implementation of this </w:t>
      </w:r>
      <w:proofErr w:type="gramStart"/>
      <w:r w:rsidRPr="00677233">
        <w:rPr>
          <w:rFonts w:asciiTheme="minorBidi" w:eastAsia="SimSun" w:hAnsiTheme="minorBidi" w:cstheme="minorBidi"/>
          <w:sz w:val="22"/>
          <w:szCs w:val="22"/>
          <w:lang w:eastAsia="ko-KR"/>
        </w:rPr>
        <w:t>project</w:t>
      </w:r>
      <w:r w:rsidRPr="00677233">
        <w:rPr>
          <w:rFonts w:asciiTheme="minorBidi" w:hAnsiTheme="minorBidi" w:cstheme="minorBidi"/>
          <w:sz w:val="22"/>
          <w:szCs w:val="22"/>
        </w:rPr>
        <w:t>;</w:t>
      </w:r>
      <w:proofErr w:type="gramEnd"/>
    </w:p>
    <w:p w14:paraId="5D64FB41" w14:textId="5CBD8D24" w:rsidR="00787826" w:rsidRPr="00677233" w:rsidRDefault="00787826" w:rsidP="007E563B">
      <w:pPr>
        <w:pStyle w:val="Paragraphedeliste"/>
        <w:numPr>
          <w:ilvl w:val="0"/>
          <w:numId w:val="27"/>
        </w:numPr>
        <w:spacing w:before="120" w:after="120"/>
        <w:ind w:left="567" w:hanging="567"/>
        <w:contextualSpacing w:val="0"/>
        <w:jc w:val="both"/>
        <w:rPr>
          <w:rFonts w:asciiTheme="minorBidi" w:hAnsiTheme="minorBidi" w:cstheme="minorBidi"/>
          <w:sz w:val="22"/>
          <w:szCs w:val="22"/>
        </w:rPr>
      </w:pPr>
      <w:r w:rsidRPr="00677233">
        <w:rPr>
          <w:rFonts w:asciiTheme="minorBidi" w:hAnsiTheme="minorBidi" w:cstheme="minorBidi"/>
          <w:sz w:val="22"/>
          <w:szCs w:val="22"/>
          <w:u w:val="single"/>
        </w:rPr>
        <w:t xml:space="preserve">Notes with </w:t>
      </w:r>
      <w:r w:rsidR="00187035" w:rsidRPr="00677233">
        <w:rPr>
          <w:rFonts w:asciiTheme="minorBidi" w:hAnsiTheme="minorBidi" w:cstheme="minorBidi"/>
          <w:sz w:val="22"/>
          <w:szCs w:val="22"/>
          <w:u w:val="single"/>
        </w:rPr>
        <w:t>appreciation</w:t>
      </w:r>
      <w:r w:rsidR="00187035" w:rsidRPr="000A7937">
        <w:rPr>
          <w:rFonts w:asciiTheme="minorBidi" w:hAnsiTheme="minorBidi" w:cstheme="minorBidi"/>
          <w:sz w:val="22"/>
          <w:szCs w:val="22"/>
        </w:rPr>
        <w:t xml:space="preserve"> the </w:t>
      </w:r>
      <w:r w:rsidR="00AA18CB" w:rsidRPr="000A7937">
        <w:rPr>
          <w:rFonts w:asciiTheme="minorBidi" w:hAnsiTheme="minorBidi" w:cstheme="minorBidi"/>
          <w:sz w:val="22"/>
          <w:szCs w:val="22"/>
        </w:rPr>
        <w:t xml:space="preserve">proposed </w:t>
      </w:r>
      <w:r w:rsidR="00187035" w:rsidRPr="000A7937">
        <w:rPr>
          <w:rFonts w:asciiTheme="minorBidi" w:hAnsiTheme="minorBidi" w:cstheme="minorBidi"/>
          <w:sz w:val="22"/>
          <w:szCs w:val="22"/>
        </w:rPr>
        <w:t>project’s focus on inclusivity</w:t>
      </w:r>
      <w:r w:rsidR="00052CA9" w:rsidRPr="000A7937">
        <w:rPr>
          <w:rFonts w:asciiTheme="minorBidi" w:hAnsiTheme="minorBidi" w:cstheme="minorBidi"/>
          <w:sz w:val="22"/>
          <w:szCs w:val="22"/>
        </w:rPr>
        <w:t xml:space="preserve">, </w:t>
      </w:r>
      <w:r w:rsidR="00AA18CB" w:rsidRPr="000A7937">
        <w:rPr>
          <w:rFonts w:asciiTheme="minorBidi" w:hAnsiTheme="minorBidi" w:cstheme="minorBidi"/>
          <w:sz w:val="22"/>
          <w:szCs w:val="22"/>
        </w:rPr>
        <w:t>aiming</w:t>
      </w:r>
      <w:r w:rsidR="00AA18CB" w:rsidRPr="00677233">
        <w:rPr>
          <w:rFonts w:asciiTheme="minorBidi" w:hAnsiTheme="minorBidi" w:cstheme="minorBidi"/>
          <w:sz w:val="22"/>
          <w:szCs w:val="22"/>
        </w:rPr>
        <w:t xml:space="preserve"> to promote</w:t>
      </w:r>
      <w:r w:rsidR="00052CA9" w:rsidRPr="00677233">
        <w:rPr>
          <w:rFonts w:asciiTheme="minorBidi" w:hAnsiTheme="minorBidi" w:cstheme="minorBidi"/>
          <w:sz w:val="22"/>
          <w:szCs w:val="22"/>
        </w:rPr>
        <w:t xml:space="preserve"> inclusion</w:t>
      </w:r>
      <w:r w:rsidR="00BE2944" w:rsidRPr="00677233">
        <w:rPr>
          <w:rFonts w:asciiTheme="minorBidi" w:hAnsiTheme="minorBidi" w:cstheme="minorBidi"/>
          <w:sz w:val="22"/>
          <w:szCs w:val="22"/>
        </w:rPr>
        <w:t xml:space="preserve"> of people with </w:t>
      </w:r>
      <w:r w:rsidR="00AC7DAE">
        <w:rPr>
          <w:rFonts w:asciiTheme="minorBidi" w:hAnsiTheme="minorBidi" w:cstheme="minorBidi"/>
          <w:sz w:val="22"/>
          <w:szCs w:val="22"/>
        </w:rPr>
        <w:t>disabilities</w:t>
      </w:r>
      <w:r w:rsidR="00AA18CB" w:rsidRPr="00677233">
        <w:rPr>
          <w:rFonts w:asciiTheme="minorBidi" w:hAnsiTheme="minorBidi" w:cstheme="minorBidi"/>
          <w:sz w:val="22"/>
          <w:szCs w:val="22"/>
        </w:rPr>
        <w:t xml:space="preserve"> in the enactment, transmission and enjoyment of living heritage</w:t>
      </w:r>
      <w:r w:rsidR="00052CA9" w:rsidRPr="00677233">
        <w:rPr>
          <w:rFonts w:asciiTheme="minorBidi" w:hAnsiTheme="minorBidi" w:cstheme="minorBidi"/>
          <w:sz w:val="22"/>
          <w:szCs w:val="22"/>
        </w:rPr>
        <w:t xml:space="preserve">, </w:t>
      </w:r>
      <w:r w:rsidRPr="00677233">
        <w:rPr>
          <w:rFonts w:asciiTheme="minorBidi" w:hAnsiTheme="minorBidi" w:cstheme="minorBidi"/>
          <w:sz w:val="22"/>
          <w:szCs w:val="22"/>
        </w:rPr>
        <w:t xml:space="preserve">and </w:t>
      </w:r>
      <w:r w:rsidRPr="00677233">
        <w:rPr>
          <w:rFonts w:asciiTheme="minorBidi" w:hAnsiTheme="minorBidi" w:cstheme="minorBidi"/>
          <w:sz w:val="22"/>
          <w:szCs w:val="22"/>
          <w:u w:val="single"/>
        </w:rPr>
        <w:t>encourages</w:t>
      </w:r>
      <w:r w:rsidRPr="00677233">
        <w:rPr>
          <w:rFonts w:asciiTheme="minorBidi" w:hAnsiTheme="minorBidi" w:cstheme="minorBidi"/>
          <w:sz w:val="22"/>
          <w:szCs w:val="22"/>
        </w:rPr>
        <w:t xml:space="preserve"> the State Party to share its experience </w:t>
      </w:r>
      <w:r w:rsidR="00001CFA" w:rsidRPr="00677233">
        <w:rPr>
          <w:rFonts w:asciiTheme="minorBidi" w:hAnsiTheme="minorBidi" w:cstheme="minorBidi"/>
          <w:sz w:val="22"/>
          <w:szCs w:val="22"/>
        </w:rPr>
        <w:t xml:space="preserve">to be </w:t>
      </w:r>
      <w:r w:rsidRPr="00677233">
        <w:rPr>
          <w:rFonts w:asciiTheme="minorBidi" w:hAnsiTheme="minorBidi" w:cstheme="minorBidi"/>
          <w:sz w:val="22"/>
          <w:szCs w:val="22"/>
        </w:rPr>
        <w:t xml:space="preserve">gained </w:t>
      </w:r>
      <w:r w:rsidR="00001CFA" w:rsidRPr="00677233">
        <w:rPr>
          <w:rFonts w:asciiTheme="minorBidi" w:hAnsiTheme="minorBidi" w:cstheme="minorBidi"/>
          <w:sz w:val="22"/>
          <w:szCs w:val="22"/>
        </w:rPr>
        <w:t xml:space="preserve">on </w:t>
      </w:r>
      <w:r w:rsidRPr="00677233">
        <w:rPr>
          <w:rFonts w:asciiTheme="minorBidi" w:hAnsiTheme="minorBidi" w:cstheme="minorBidi"/>
          <w:sz w:val="22"/>
          <w:szCs w:val="22"/>
        </w:rPr>
        <w:t xml:space="preserve">inclusive safeguarding </w:t>
      </w:r>
      <w:proofErr w:type="gramStart"/>
      <w:r w:rsidR="00187035" w:rsidRPr="00677233">
        <w:rPr>
          <w:rFonts w:asciiTheme="minorBidi" w:hAnsiTheme="minorBidi" w:cstheme="minorBidi"/>
          <w:sz w:val="22"/>
          <w:szCs w:val="22"/>
        </w:rPr>
        <w:t>approach</w:t>
      </w:r>
      <w:r w:rsidR="00AC7DAE">
        <w:rPr>
          <w:rFonts w:asciiTheme="minorBidi" w:hAnsiTheme="minorBidi" w:cstheme="minorBidi"/>
          <w:sz w:val="22"/>
          <w:szCs w:val="22"/>
        </w:rPr>
        <w:t>es</w:t>
      </w:r>
      <w:r w:rsidRPr="00677233">
        <w:rPr>
          <w:rFonts w:asciiTheme="minorBidi" w:hAnsiTheme="minorBidi" w:cstheme="minorBidi"/>
          <w:sz w:val="22"/>
          <w:szCs w:val="22"/>
        </w:rPr>
        <w:t>;</w:t>
      </w:r>
      <w:proofErr w:type="gramEnd"/>
      <w:r w:rsidRPr="00677233">
        <w:rPr>
          <w:rFonts w:asciiTheme="minorBidi" w:hAnsiTheme="minorBidi" w:cstheme="minorBidi"/>
          <w:sz w:val="22"/>
          <w:szCs w:val="22"/>
        </w:rPr>
        <w:t xml:space="preserve"> </w:t>
      </w:r>
    </w:p>
    <w:p w14:paraId="5F28EC17" w14:textId="77777777"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u w:val="single"/>
        </w:rPr>
      </w:pPr>
      <w:r w:rsidRPr="00677233">
        <w:rPr>
          <w:rFonts w:asciiTheme="minorBidi" w:hAnsiTheme="minorBidi" w:cstheme="minorBidi"/>
          <w:sz w:val="22"/>
          <w:szCs w:val="22"/>
          <w:u w:val="single"/>
        </w:rPr>
        <w:t>Requests</w:t>
      </w:r>
      <w:r w:rsidRPr="00677233">
        <w:rPr>
          <w:rFonts w:asciiTheme="minorBidi" w:hAnsiTheme="minorBidi" w:cstheme="minorBidi"/>
          <w:sz w:val="22"/>
          <w:szCs w:val="22"/>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w:t>
      </w:r>
      <w:proofErr w:type="gramStart"/>
      <w:r w:rsidRPr="00677233">
        <w:rPr>
          <w:rFonts w:asciiTheme="minorBidi" w:hAnsiTheme="minorBidi" w:cstheme="minorBidi"/>
          <w:sz w:val="22"/>
          <w:szCs w:val="22"/>
        </w:rPr>
        <w:t>expenditures;</w:t>
      </w:r>
      <w:proofErr w:type="gramEnd"/>
    </w:p>
    <w:p w14:paraId="3FF62903" w14:textId="77777777" w:rsidR="00A23D0F" w:rsidRPr="00677233" w:rsidRDefault="00A23D0F" w:rsidP="008C1133">
      <w:pPr>
        <w:numPr>
          <w:ilvl w:val="0"/>
          <w:numId w:val="27"/>
        </w:numPr>
        <w:spacing w:before="120" w:after="120"/>
        <w:ind w:left="567" w:hanging="567"/>
        <w:jc w:val="both"/>
        <w:rPr>
          <w:rFonts w:asciiTheme="minorBidi" w:hAnsiTheme="minorBidi" w:cstheme="minorBidi"/>
          <w:sz w:val="22"/>
          <w:szCs w:val="22"/>
        </w:rPr>
      </w:pPr>
      <w:r w:rsidRPr="00677233">
        <w:rPr>
          <w:rFonts w:asciiTheme="minorBidi" w:hAnsiTheme="minorBidi" w:cstheme="minorBidi"/>
          <w:sz w:val="22"/>
          <w:szCs w:val="22"/>
          <w:u w:val="single"/>
        </w:rPr>
        <w:t>Invites</w:t>
      </w:r>
      <w:r w:rsidRPr="00677233">
        <w:rPr>
          <w:rFonts w:asciiTheme="minorBidi" w:hAnsiTheme="minorBidi" w:cstheme="minorBidi"/>
          <w:sz w:val="22"/>
          <w:szCs w:val="22"/>
        </w:rPr>
        <w:t xml:space="preserve"> the requesting State Party to use Form ICH-04-Report to report on the use of the assistance granted.</w:t>
      </w:r>
    </w:p>
    <w:p w14:paraId="2E9EA21C" w14:textId="77777777" w:rsidR="00A23D0F" w:rsidRPr="00677233" w:rsidRDefault="00A23D0F" w:rsidP="008C1133">
      <w:pPr>
        <w:spacing w:before="120" w:after="120"/>
        <w:ind w:left="567" w:hanging="567"/>
        <w:jc w:val="both"/>
        <w:rPr>
          <w:rFonts w:asciiTheme="minorBidi" w:hAnsiTheme="minorBidi" w:cstheme="minorBidi"/>
        </w:rPr>
      </w:pPr>
    </w:p>
    <w:sectPr w:rsidR="00A23D0F" w:rsidRPr="00677233" w:rsidSect="00655736">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99E7" w14:textId="77777777" w:rsidR="00503E9E" w:rsidRPr="00BD2D26" w:rsidRDefault="00503E9E" w:rsidP="00655736">
      <w:r w:rsidRPr="00BD2D26">
        <w:separator/>
      </w:r>
    </w:p>
  </w:endnote>
  <w:endnote w:type="continuationSeparator" w:id="0">
    <w:p w14:paraId="2B09C0B9" w14:textId="77777777" w:rsidR="00503E9E" w:rsidRPr="00BD2D26" w:rsidRDefault="00503E9E" w:rsidP="00655736">
      <w:r w:rsidRPr="00BD2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5D0D" w14:textId="77777777" w:rsidR="00503E9E" w:rsidRPr="00BD2D26" w:rsidRDefault="00503E9E" w:rsidP="00655736">
      <w:r w:rsidRPr="00BD2D26">
        <w:separator/>
      </w:r>
    </w:p>
  </w:footnote>
  <w:footnote w:type="continuationSeparator" w:id="0">
    <w:p w14:paraId="72CCA842" w14:textId="77777777" w:rsidR="00503E9E" w:rsidRPr="00BD2D26" w:rsidRDefault="00503E9E" w:rsidP="00655736">
      <w:r w:rsidRPr="00BD2D26">
        <w:continuationSeparator/>
      </w:r>
    </w:p>
  </w:footnote>
  <w:footnote w:id="1">
    <w:p w14:paraId="2D900EBE" w14:textId="4E4BF871" w:rsidR="00387A4C" w:rsidRPr="00233293" w:rsidRDefault="00387A4C" w:rsidP="00387A4C">
      <w:pPr>
        <w:pStyle w:val="Notedebasdepage"/>
        <w:jc w:val="both"/>
        <w:rPr>
          <w:rFonts w:asciiTheme="minorBidi" w:eastAsia="SimSun" w:hAnsiTheme="minorBidi" w:cstheme="minorBidi"/>
          <w:sz w:val="18"/>
          <w:szCs w:val="18"/>
          <w:lang w:val="en-US"/>
        </w:rPr>
      </w:pPr>
      <w:r>
        <w:rPr>
          <w:rStyle w:val="Appelnotedebasdep"/>
          <w:rFonts w:asciiTheme="minorBidi" w:eastAsiaTheme="majorEastAsia" w:hAnsiTheme="minorBidi" w:cstheme="minorBidi"/>
        </w:rPr>
        <w:footnoteRef/>
      </w:r>
      <w:r>
        <w:rPr>
          <w:rFonts w:asciiTheme="minorBidi" w:hAnsiTheme="minorBidi" w:cstheme="minorBidi"/>
          <w:sz w:val="18"/>
          <w:szCs w:val="18"/>
          <w:lang w:val="en-US"/>
        </w:rPr>
        <w:t>‘</w:t>
      </w:r>
      <w:hyperlink r:id="rId1" w:history="1">
        <w:r w:rsidRPr="00A534F1">
          <w:rPr>
            <w:rStyle w:val="Lienhypertexte"/>
            <w:rFonts w:asciiTheme="minorBidi" w:hAnsiTheme="minorBidi" w:cstheme="minorBidi"/>
            <w:sz w:val="18"/>
            <w:szCs w:val="18"/>
            <w:lang w:val="en-US"/>
          </w:rPr>
          <w:t>Inventory of intangible culture of craftsmanship in the core of Historic Cairo</w:t>
        </w:r>
      </w:hyperlink>
      <w:r>
        <w:rPr>
          <w:rFonts w:asciiTheme="minorBidi" w:hAnsiTheme="minorBidi" w:cstheme="minorBidi"/>
          <w:sz w:val="18"/>
          <w:szCs w:val="18"/>
          <w:lang w:val="en-US"/>
        </w:rPr>
        <w:t>’ (US$</w:t>
      </w:r>
      <w:r w:rsidRPr="00A534F1">
        <w:rPr>
          <w:rFonts w:asciiTheme="minorBidi" w:hAnsiTheme="minorBidi" w:cstheme="minorBidi"/>
          <w:sz w:val="18"/>
          <w:szCs w:val="18"/>
          <w:lang w:val="en-US"/>
        </w:rPr>
        <w:t>86</w:t>
      </w:r>
      <w:r>
        <w:rPr>
          <w:rFonts w:asciiTheme="minorBidi" w:hAnsiTheme="minorBidi" w:cstheme="minorBidi"/>
          <w:sz w:val="18"/>
          <w:szCs w:val="18"/>
          <w:lang w:val="en-US"/>
        </w:rPr>
        <w:t>,</w:t>
      </w:r>
      <w:r w:rsidRPr="00A534F1">
        <w:rPr>
          <w:rFonts w:asciiTheme="minorBidi" w:hAnsiTheme="minorBidi" w:cstheme="minorBidi"/>
          <w:sz w:val="18"/>
          <w:szCs w:val="18"/>
          <w:lang w:val="en-US"/>
        </w:rPr>
        <w:t>950</w:t>
      </w:r>
      <w:r>
        <w:rPr>
          <w:rFonts w:asciiTheme="minorBidi" w:hAnsiTheme="minorBidi" w:cstheme="minorBidi"/>
          <w:sz w:val="18"/>
          <w:szCs w:val="18"/>
          <w:lang w:val="en-US"/>
        </w:rPr>
        <w:t>; August 2021–September 2023).</w:t>
      </w:r>
    </w:p>
  </w:footnote>
  <w:footnote w:id="2">
    <w:p w14:paraId="16D98A7C" w14:textId="5386F38C" w:rsidR="002274E4" w:rsidRPr="001C2550" w:rsidRDefault="002274E4" w:rsidP="002274E4">
      <w:pPr>
        <w:pStyle w:val="Notedebasdepage"/>
        <w:jc w:val="both"/>
        <w:rPr>
          <w:rFonts w:ascii="Arial" w:hAnsi="Arial" w:cs="Arial"/>
          <w:sz w:val="18"/>
          <w:szCs w:val="18"/>
          <w:lang w:val="en-US"/>
        </w:rPr>
      </w:pPr>
      <w:r w:rsidRPr="001C2550">
        <w:rPr>
          <w:rStyle w:val="Appelnotedebasdep"/>
          <w:rFonts w:ascii="Arial" w:hAnsi="Arial" w:cs="Arial"/>
          <w:sz w:val="18"/>
          <w:szCs w:val="18"/>
        </w:rPr>
        <w:footnoteRef/>
      </w:r>
      <w:r w:rsidRPr="001C2550">
        <w:rPr>
          <w:rFonts w:ascii="Arial" w:hAnsi="Arial" w:cs="Arial"/>
          <w:sz w:val="18"/>
          <w:szCs w:val="18"/>
        </w:rPr>
        <w:t xml:space="preserve"> The </w:t>
      </w:r>
      <w:r w:rsidR="00720D5A" w:rsidRPr="001C2550">
        <w:rPr>
          <w:rFonts w:ascii="Arial" w:hAnsi="Arial" w:cs="Arial"/>
          <w:sz w:val="18"/>
          <w:szCs w:val="18"/>
        </w:rPr>
        <w:t>p</w:t>
      </w:r>
      <w:r w:rsidRPr="001C2550">
        <w:rPr>
          <w:rFonts w:ascii="Arial" w:hAnsi="Arial" w:cs="Arial"/>
          <w:sz w:val="18"/>
          <w:szCs w:val="18"/>
        </w:rPr>
        <w:t xml:space="preserve">eriodic report </w:t>
      </w:r>
      <w:r w:rsidR="002051ED" w:rsidRPr="001C2550">
        <w:rPr>
          <w:rFonts w:ascii="Arial" w:hAnsi="Arial" w:cs="Arial"/>
          <w:sz w:val="18"/>
          <w:szCs w:val="18"/>
        </w:rPr>
        <w:t xml:space="preserve">submitted by Nepal </w:t>
      </w:r>
      <w:r w:rsidRPr="001C2550">
        <w:rPr>
          <w:rFonts w:ascii="Arial" w:hAnsi="Arial" w:cs="Arial"/>
          <w:sz w:val="18"/>
          <w:szCs w:val="18"/>
        </w:rPr>
        <w:t>will be examined</w:t>
      </w:r>
      <w:r w:rsidR="002051ED" w:rsidRPr="001C2550">
        <w:rPr>
          <w:rFonts w:ascii="Arial" w:hAnsi="Arial" w:cs="Arial"/>
          <w:sz w:val="18"/>
          <w:szCs w:val="18"/>
        </w:rPr>
        <w:t xml:space="preserve">, together with other reports submitted by States </w:t>
      </w:r>
      <w:r w:rsidR="00915F8C">
        <w:rPr>
          <w:rFonts w:ascii="Arial" w:hAnsi="Arial" w:cs="Arial"/>
          <w:sz w:val="18"/>
          <w:szCs w:val="18"/>
        </w:rPr>
        <w:t>P</w:t>
      </w:r>
      <w:r w:rsidR="00915F8C" w:rsidRPr="001C2550">
        <w:rPr>
          <w:rFonts w:ascii="Arial" w:hAnsi="Arial" w:cs="Arial"/>
          <w:sz w:val="18"/>
          <w:szCs w:val="18"/>
        </w:rPr>
        <w:t xml:space="preserve">arties </w:t>
      </w:r>
      <w:r w:rsidR="002051ED" w:rsidRPr="001C2550">
        <w:rPr>
          <w:rFonts w:ascii="Arial" w:hAnsi="Arial" w:cs="Arial"/>
          <w:sz w:val="18"/>
          <w:szCs w:val="18"/>
        </w:rPr>
        <w:t>in Asia and the Pacific,</w:t>
      </w:r>
      <w:r w:rsidRPr="001C2550">
        <w:rPr>
          <w:rFonts w:ascii="Arial" w:hAnsi="Arial" w:cs="Arial"/>
          <w:sz w:val="18"/>
          <w:szCs w:val="18"/>
        </w:rPr>
        <w:t xml:space="preserve"> by the twentieth session of the </w:t>
      </w:r>
      <w:r w:rsidR="002051ED" w:rsidRPr="001C2550">
        <w:rPr>
          <w:rFonts w:ascii="Arial" w:hAnsi="Arial" w:cs="Arial"/>
          <w:sz w:val="18"/>
          <w:szCs w:val="18"/>
        </w:rPr>
        <w:t xml:space="preserve">Committee, to be held </w:t>
      </w:r>
      <w:r w:rsidRPr="001C2550">
        <w:rPr>
          <w:rFonts w:ascii="Arial" w:hAnsi="Arial" w:cs="Arial"/>
          <w:sz w:val="18"/>
          <w:szCs w:val="18"/>
        </w:rPr>
        <w:t>from 8 to 13 December 2025</w:t>
      </w:r>
      <w:r w:rsidR="002051ED" w:rsidRPr="001C2550">
        <w:rPr>
          <w:rFonts w:ascii="Arial" w:hAnsi="Arial" w:cs="Arial"/>
          <w:sz w:val="18"/>
          <w:szCs w:val="18"/>
        </w:rPr>
        <w:t xml:space="preserve"> in New Delhi, Republic of India</w:t>
      </w:r>
      <w:r w:rsidRPr="001C2550">
        <w:rPr>
          <w:rFonts w:ascii="Arial" w:hAnsi="Arial" w:cs="Arial"/>
          <w:sz w:val="18"/>
          <w:szCs w:val="18"/>
        </w:rPr>
        <w:t>.</w:t>
      </w:r>
    </w:p>
  </w:footnote>
  <w:footnote w:id="3">
    <w:p w14:paraId="0BA994D5" w14:textId="1DAAAEB6" w:rsidR="00B942C3" w:rsidRPr="00B942C3" w:rsidRDefault="00B942C3" w:rsidP="007C5647">
      <w:pPr>
        <w:pStyle w:val="Notedebasdepage"/>
        <w:jc w:val="both"/>
        <w:rPr>
          <w:rFonts w:asciiTheme="minorBidi" w:hAnsiTheme="minorBidi" w:cstheme="minorBidi"/>
          <w:sz w:val="18"/>
          <w:szCs w:val="18"/>
          <w:lang w:val="en-US"/>
        </w:rPr>
      </w:pPr>
      <w:r w:rsidRPr="00B942C3">
        <w:rPr>
          <w:rStyle w:val="Appelnotedebasdep"/>
          <w:rFonts w:asciiTheme="minorBidi" w:hAnsiTheme="minorBidi" w:cstheme="minorBidi"/>
          <w:sz w:val="18"/>
          <w:szCs w:val="18"/>
        </w:rPr>
        <w:footnoteRef/>
      </w:r>
      <w:r w:rsidRPr="00B942C3">
        <w:rPr>
          <w:rFonts w:asciiTheme="minorBidi" w:hAnsiTheme="minorBidi" w:cstheme="minorBidi"/>
          <w:sz w:val="18"/>
          <w:szCs w:val="18"/>
        </w:rPr>
        <w:t xml:space="preserve"> </w:t>
      </w:r>
      <w:r w:rsidR="003704F7">
        <w:rPr>
          <w:rFonts w:asciiTheme="minorBidi" w:hAnsiTheme="minorBidi" w:cstheme="minorBidi"/>
          <w:sz w:val="18"/>
          <w:szCs w:val="18"/>
        </w:rPr>
        <w:t xml:space="preserve">(a) </w:t>
      </w:r>
      <w:r w:rsidR="007C5647">
        <w:rPr>
          <w:rFonts w:asciiTheme="minorBidi" w:hAnsiTheme="minorBidi" w:cstheme="minorBidi"/>
          <w:sz w:val="18"/>
          <w:szCs w:val="18"/>
        </w:rPr>
        <w:t>‘</w:t>
      </w:r>
      <w:hyperlink r:id="rId2" w:history="1">
        <w:r w:rsidR="007C5647" w:rsidRPr="007C5647">
          <w:rPr>
            <w:rStyle w:val="Lienhypertexte"/>
            <w:rFonts w:asciiTheme="minorBidi" w:hAnsiTheme="minorBidi" w:cstheme="minorBidi"/>
            <w:sz w:val="18"/>
            <w:szCs w:val="18"/>
            <w:lang w:eastAsia="fr-FR"/>
          </w:rPr>
          <w:t>Documentation, promotion and dissemination of the Candombe traditional drum calls, expressions of identity of the Sur, Palermo, and Cordón neighbourhoods in the city of Montevideo’</w:t>
        </w:r>
      </w:hyperlink>
      <w:r w:rsidR="007C5647">
        <w:rPr>
          <w:rFonts w:asciiTheme="minorBidi" w:hAnsiTheme="minorBidi" w:cstheme="minorBidi"/>
          <w:sz w:val="18"/>
          <w:szCs w:val="18"/>
        </w:rPr>
        <w:t xml:space="preserve"> (US$186,875; September 2013 – August 2015) and </w:t>
      </w:r>
      <w:r w:rsidR="003704F7">
        <w:rPr>
          <w:rFonts w:asciiTheme="minorBidi" w:hAnsiTheme="minorBidi" w:cstheme="minorBidi"/>
          <w:sz w:val="18"/>
          <w:szCs w:val="18"/>
        </w:rPr>
        <w:t xml:space="preserve">(b) </w:t>
      </w:r>
      <w:r w:rsidRPr="00B942C3">
        <w:rPr>
          <w:rFonts w:asciiTheme="minorBidi" w:hAnsiTheme="minorBidi" w:cstheme="minorBidi"/>
          <w:sz w:val="18"/>
          <w:szCs w:val="18"/>
        </w:rPr>
        <w:t>‘</w:t>
      </w:r>
      <w:hyperlink r:id="rId3" w:history="1">
        <w:r w:rsidRPr="00B942C3">
          <w:rPr>
            <w:rStyle w:val="Lienhypertexte"/>
            <w:rFonts w:asciiTheme="minorBidi" w:hAnsiTheme="minorBidi" w:cstheme="minorBidi"/>
            <w:sz w:val="18"/>
            <w:szCs w:val="18"/>
            <w:lang w:eastAsia="fr-FR"/>
          </w:rPr>
          <w:t>The Bandoneon: sound of Tango</w:t>
        </w:r>
      </w:hyperlink>
      <w:r w:rsidRPr="00B942C3">
        <w:rPr>
          <w:rFonts w:asciiTheme="minorBidi" w:hAnsiTheme="minorBidi" w:cstheme="minorBidi"/>
          <w:sz w:val="18"/>
          <w:szCs w:val="18"/>
        </w:rPr>
        <w:t>’ (Phase I) (US$99,764; April 2020 –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1ACFFAD" w:rsidR="00D95C4C" w:rsidRPr="00BD2D26" w:rsidRDefault="00C5776D" w:rsidP="00C5776D">
    <w:pPr>
      <w:pStyle w:val="En-tte"/>
      <w:rPr>
        <w:rFonts w:ascii="Arial" w:hAnsi="Arial" w:cs="Arial"/>
      </w:rPr>
    </w:pPr>
    <w:r w:rsidRPr="000921DE">
      <w:rPr>
        <w:rFonts w:ascii="Arial" w:hAnsi="Arial" w:cs="Arial"/>
        <w:sz w:val="20"/>
        <w:szCs w:val="20"/>
      </w:rPr>
      <w:t>L</w:t>
    </w:r>
    <w:r w:rsidR="00CB0542" w:rsidRPr="000921DE">
      <w:rPr>
        <w:rFonts w:ascii="Arial" w:hAnsi="Arial" w:cs="Arial"/>
        <w:sz w:val="20"/>
        <w:szCs w:val="20"/>
      </w:rPr>
      <w:t>H</w:t>
    </w:r>
    <w:r w:rsidRPr="000921DE">
      <w:rPr>
        <w:rFonts w:ascii="Arial" w:hAnsi="Arial" w:cs="Arial"/>
        <w:sz w:val="20"/>
        <w:szCs w:val="20"/>
      </w:rPr>
      <w:t>E</w:t>
    </w:r>
    <w:r w:rsidR="00CB0542" w:rsidRPr="000921DE">
      <w:rPr>
        <w:rFonts w:ascii="Arial" w:hAnsi="Arial" w:cs="Arial"/>
        <w:sz w:val="20"/>
        <w:szCs w:val="20"/>
      </w:rPr>
      <w:t>/</w:t>
    </w:r>
    <w:r w:rsidR="00D7105A" w:rsidRPr="000921DE">
      <w:rPr>
        <w:rFonts w:ascii="Arial" w:hAnsi="Arial" w:cs="Arial"/>
        <w:sz w:val="20"/>
        <w:szCs w:val="20"/>
      </w:rPr>
      <w:t>2</w:t>
    </w:r>
    <w:r w:rsidR="00550552" w:rsidRPr="000921DE">
      <w:rPr>
        <w:rFonts w:ascii="Arial" w:hAnsi="Arial" w:cs="Arial"/>
        <w:sz w:val="20"/>
        <w:szCs w:val="20"/>
      </w:rPr>
      <w:t>5</w:t>
    </w:r>
    <w:r w:rsidR="00CB0542" w:rsidRPr="000921DE">
      <w:rPr>
        <w:rFonts w:ascii="Arial" w:hAnsi="Arial" w:cs="Arial"/>
        <w:sz w:val="20"/>
        <w:szCs w:val="20"/>
      </w:rPr>
      <w:t>/</w:t>
    </w:r>
    <w:r w:rsidR="00550552" w:rsidRPr="000921DE">
      <w:rPr>
        <w:rFonts w:ascii="Arial" w:hAnsi="Arial" w:cs="Arial"/>
        <w:sz w:val="20"/>
        <w:szCs w:val="20"/>
      </w:rPr>
      <w:t>20</w:t>
    </w:r>
    <w:r w:rsidR="00EC6F8D" w:rsidRPr="000921DE">
      <w:rPr>
        <w:rFonts w:ascii="Arial" w:hAnsi="Arial" w:cs="Arial"/>
        <w:sz w:val="20"/>
        <w:szCs w:val="20"/>
      </w:rPr>
      <w:t>.</w:t>
    </w:r>
    <w:r w:rsidR="004E1760" w:rsidRPr="000921DE">
      <w:rPr>
        <w:rFonts w:ascii="Arial" w:hAnsi="Arial" w:cs="Arial"/>
        <w:sz w:val="20"/>
        <w:szCs w:val="20"/>
      </w:rPr>
      <w:t>COM </w:t>
    </w:r>
    <w:r w:rsidR="00E4771D" w:rsidRPr="000921DE">
      <w:rPr>
        <w:rFonts w:ascii="Arial" w:hAnsi="Arial" w:cs="Arial"/>
        <w:sz w:val="20"/>
        <w:szCs w:val="20"/>
      </w:rPr>
      <w:t>4</w:t>
    </w:r>
    <w:r w:rsidR="004E1760" w:rsidRPr="000921DE">
      <w:rPr>
        <w:rFonts w:ascii="Arial" w:hAnsi="Arial" w:cs="Arial"/>
        <w:sz w:val="20"/>
        <w:szCs w:val="20"/>
      </w:rPr>
      <w:t>.BUR/</w:t>
    </w:r>
    <w:r w:rsidR="009340CD" w:rsidRPr="000921DE">
      <w:rPr>
        <w:rFonts w:ascii="Arial" w:hAnsi="Arial" w:cs="Arial"/>
        <w:sz w:val="20"/>
        <w:szCs w:val="20"/>
      </w:rPr>
      <w:t>3</w:t>
    </w:r>
    <w:r w:rsidR="00D95C4C" w:rsidRPr="000921DE">
      <w:rPr>
        <w:rFonts w:ascii="Arial" w:hAnsi="Arial" w:cs="Arial"/>
        <w:sz w:val="20"/>
        <w:szCs w:val="20"/>
      </w:rPr>
      <w:t xml:space="preserve">– page </w:t>
    </w:r>
    <w:r w:rsidR="00D95C4C" w:rsidRPr="000921DE">
      <w:rPr>
        <w:rStyle w:val="Numrodepage"/>
        <w:rFonts w:ascii="Arial" w:hAnsi="Arial" w:cs="Arial"/>
        <w:sz w:val="20"/>
        <w:szCs w:val="20"/>
      </w:rPr>
      <w:fldChar w:fldCharType="begin"/>
    </w:r>
    <w:r w:rsidR="00D95C4C" w:rsidRPr="000921DE">
      <w:rPr>
        <w:rStyle w:val="Numrodepage"/>
        <w:rFonts w:ascii="Arial" w:hAnsi="Arial" w:cs="Arial"/>
        <w:sz w:val="20"/>
        <w:szCs w:val="20"/>
      </w:rPr>
      <w:instrText xml:space="preserve"> PAGE </w:instrText>
    </w:r>
    <w:r w:rsidR="00D95C4C" w:rsidRPr="000921DE">
      <w:rPr>
        <w:rStyle w:val="Numrodepage"/>
        <w:rFonts w:ascii="Arial" w:hAnsi="Arial" w:cs="Arial"/>
        <w:sz w:val="20"/>
        <w:szCs w:val="20"/>
      </w:rPr>
      <w:fldChar w:fldCharType="separate"/>
    </w:r>
    <w:r w:rsidR="006E75EB" w:rsidRPr="000921DE">
      <w:rPr>
        <w:rStyle w:val="Numrodepage"/>
        <w:rFonts w:ascii="Arial" w:hAnsi="Arial" w:cs="Arial"/>
        <w:sz w:val="20"/>
        <w:szCs w:val="20"/>
      </w:rPr>
      <w:t>2</w:t>
    </w:r>
    <w:r w:rsidR="00D95C4C" w:rsidRPr="000921DE">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9D57F0D" w:rsidR="00D95C4C" w:rsidRPr="00BD2D26" w:rsidRDefault="00C5776D" w:rsidP="00C5776D">
    <w:pPr>
      <w:pStyle w:val="En-tte"/>
      <w:jc w:val="right"/>
      <w:rPr>
        <w:rFonts w:ascii="Arial" w:hAnsi="Arial" w:cs="Arial"/>
      </w:rPr>
    </w:pPr>
    <w:r w:rsidRPr="000921DE">
      <w:rPr>
        <w:rFonts w:ascii="Arial" w:hAnsi="Arial" w:cs="Arial"/>
        <w:sz w:val="20"/>
        <w:szCs w:val="20"/>
      </w:rPr>
      <w:t>L</w:t>
    </w:r>
    <w:r w:rsidR="0053318C" w:rsidRPr="000921DE">
      <w:rPr>
        <w:rFonts w:ascii="Arial" w:hAnsi="Arial" w:cs="Arial"/>
        <w:sz w:val="20"/>
        <w:szCs w:val="20"/>
      </w:rPr>
      <w:t>H</w:t>
    </w:r>
    <w:r w:rsidRPr="000921DE">
      <w:rPr>
        <w:rFonts w:ascii="Arial" w:hAnsi="Arial" w:cs="Arial"/>
        <w:sz w:val="20"/>
        <w:szCs w:val="20"/>
      </w:rPr>
      <w:t>E</w:t>
    </w:r>
    <w:r w:rsidR="00E2125F" w:rsidRPr="000921DE">
      <w:rPr>
        <w:rFonts w:ascii="Arial" w:hAnsi="Arial" w:cs="Arial"/>
        <w:sz w:val="20"/>
        <w:szCs w:val="20"/>
      </w:rPr>
      <w:t>/2</w:t>
    </w:r>
    <w:r w:rsidR="00052319" w:rsidRPr="000921DE">
      <w:rPr>
        <w:rFonts w:ascii="Arial" w:hAnsi="Arial" w:cs="Arial"/>
        <w:sz w:val="20"/>
        <w:szCs w:val="20"/>
      </w:rPr>
      <w:t>5</w:t>
    </w:r>
    <w:r w:rsidR="0053318C" w:rsidRPr="000921DE">
      <w:rPr>
        <w:rFonts w:ascii="Arial" w:hAnsi="Arial" w:cs="Arial"/>
        <w:sz w:val="20"/>
        <w:szCs w:val="20"/>
      </w:rPr>
      <w:t>/</w:t>
    </w:r>
    <w:r w:rsidR="00052319" w:rsidRPr="000921DE">
      <w:rPr>
        <w:rFonts w:ascii="Arial" w:hAnsi="Arial" w:cs="Arial"/>
        <w:sz w:val="20"/>
        <w:szCs w:val="20"/>
      </w:rPr>
      <w:t>20</w:t>
    </w:r>
    <w:r w:rsidR="00EC6F8D" w:rsidRPr="000921DE">
      <w:rPr>
        <w:rFonts w:ascii="Arial" w:hAnsi="Arial" w:cs="Arial"/>
        <w:sz w:val="20"/>
        <w:szCs w:val="20"/>
      </w:rPr>
      <w:t>.COM</w:t>
    </w:r>
    <w:r w:rsidR="00A644BB" w:rsidRPr="000921DE">
      <w:rPr>
        <w:rFonts w:ascii="Arial" w:hAnsi="Arial" w:cs="Arial"/>
        <w:sz w:val="20"/>
        <w:szCs w:val="20"/>
      </w:rPr>
      <w:t> </w:t>
    </w:r>
    <w:r w:rsidR="00E4771D" w:rsidRPr="000921DE">
      <w:rPr>
        <w:rFonts w:ascii="Arial" w:hAnsi="Arial" w:cs="Arial"/>
        <w:sz w:val="20"/>
        <w:szCs w:val="20"/>
      </w:rPr>
      <w:t>4</w:t>
    </w:r>
    <w:r w:rsidR="00A644BB" w:rsidRPr="000921DE">
      <w:rPr>
        <w:rFonts w:ascii="Arial" w:hAnsi="Arial" w:cs="Arial"/>
        <w:sz w:val="20"/>
        <w:szCs w:val="20"/>
      </w:rPr>
      <w:t>.BUR</w:t>
    </w:r>
    <w:r w:rsidR="004A34A0" w:rsidRPr="000921DE">
      <w:rPr>
        <w:rFonts w:ascii="Arial" w:hAnsi="Arial" w:cs="Arial"/>
        <w:sz w:val="20"/>
        <w:szCs w:val="20"/>
      </w:rPr>
      <w:t>/</w:t>
    </w:r>
    <w:r w:rsidR="005F60F3" w:rsidRPr="000921DE">
      <w:rPr>
        <w:rFonts w:ascii="Arial" w:hAnsi="Arial" w:cs="Arial"/>
        <w:sz w:val="20"/>
        <w:szCs w:val="20"/>
      </w:rPr>
      <w:t>3</w:t>
    </w:r>
    <w:r w:rsidR="004A34A0" w:rsidRPr="000921DE">
      <w:rPr>
        <w:rFonts w:ascii="Arial" w:hAnsi="Arial" w:cs="Arial"/>
        <w:sz w:val="20"/>
        <w:szCs w:val="20"/>
      </w:rPr>
      <w:t xml:space="preserve">– page </w:t>
    </w:r>
    <w:r w:rsidR="004A34A0" w:rsidRPr="000921DE">
      <w:rPr>
        <w:rStyle w:val="Numrodepage"/>
        <w:rFonts w:ascii="Arial" w:hAnsi="Arial" w:cs="Arial"/>
        <w:sz w:val="20"/>
        <w:szCs w:val="20"/>
      </w:rPr>
      <w:fldChar w:fldCharType="begin"/>
    </w:r>
    <w:r w:rsidR="004A34A0" w:rsidRPr="000921DE">
      <w:rPr>
        <w:rStyle w:val="Numrodepage"/>
        <w:rFonts w:ascii="Arial" w:hAnsi="Arial" w:cs="Arial"/>
        <w:sz w:val="20"/>
        <w:szCs w:val="20"/>
      </w:rPr>
      <w:instrText xml:space="preserve"> PAGE </w:instrText>
    </w:r>
    <w:r w:rsidR="004A34A0" w:rsidRPr="000921DE">
      <w:rPr>
        <w:rStyle w:val="Numrodepage"/>
        <w:rFonts w:ascii="Arial" w:hAnsi="Arial" w:cs="Arial"/>
        <w:sz w:val="20"/>
        <w:szCs w:val="20"/>
      </w:rPr>
      <w:fldChar w:fldCharType="separate"/>
    </w:r>
    <w:r w:rsidR="00190205" w:rsidRPr="000921DE">
      <w:rPr>
        <w:rStyle w:val="Numrodepage"/>
        <w:rFonts w:ascii="Arial" w:hAnsi="Arial" w:cs="Arial"/>
        <w:sz w:val="20"/>
        <w:szCs w:val="20"/>
      </w:rPr>
      <w:t>3</w:t>
    </w:r>
    <w:r w:rsidR="004A34A0" w:rsidRPr="000921DE">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BD2D26" w:rsidRDefault="00962034">
    <w:pPr>
      <w:pStyle w:val="En-tte"/>
      <w:rPr>
        <w:sz w:val="22"/>
        <w:szCs w:val="22"/>
      </w:rPr>
    </w:pPr>
    <w:r w:rsidRPr="00BD2D26">
      <w:rPr>
        <w:noProof/>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0F648BFB" w:rsidR="004E1760" w:rsidRPr="00015945" w:rsidRDefault="00C27AC2" w:rsidP="004E1760">
    <w:pPr>
      <w:pStyle w:val="En-tte"/>
      <w:spacing w:after="520"/>
      <w:jc w:val="right"/>
      <w:rPr>
        <w:rFonts w:ascii="Arial" w:hAnsi="Arial" w:cs="Arial"/>
        <w:b/>
        <w:sz w:val="44"/>
        <w:szCs w:val="44"/>
        <w:lang w:val="pt-PT"/>
      </w:rPr>
    </w:pPr>
    <w:r w:rsidRPr="001C2550">
      <w:rPr>
        <w:rFonts w:ascii="Arial" w:hAnsi="Arial" w:cs="Arial"/>
        <w:b/>
        <w:sz w:val="44"/>
        <w:szCs w:val="44"/>
        <w:lang w:val="pt-PT"/>
      </w:rPr>
      <w:t>20</w:t>
    </w:r>
    <w:r w:rsidR="004E1760" w:rsidRPr="001C2550">
      <w:rPr>
        <w:rFonts w:ascii="Arial" w:hAnsi="Arial" w:cs="Arial"/>
        <w:b/>
        <w:sz w:val="44"/>
        <w:szCs w:val="44"/>
        <w:lang w:val="pt-PT"/>
      </w:rPr>
      <w:t xml:space="preserve"> COM </w:t>
    </w:r>
    <w:r w:rsidR="00E4771D" w:rsidRPr="001C2550">
      <w:rPr>
        <w:rFonts w:ascii="Arial" w:hAnsi="Arial" w:cs="Arial"/>
        <w:b/>
        <w:sz w:val="44"/>
        <w:szCs w:val="44"/>
        <w:lang w:val="pt-PT"/>
      </w:rPr>
      <w:t>4</w:t>
    </w:r>
    <w:r w:rsidR="004E1760" w:rsidRPr="001C2550">
      <w:rPr>
        <w:rFonts w:ascii="Arial" w:hAnsi="Arial" w:cs="Arial"/>
        <w:b/>
        <w:sz w:val="44"/>
        <w:szCs w:val="44"/>
        <w:lang w:val="pt-PT"/>
      </w:rPr>
      <w:t xml:space="preserve"> BUR</w:t>
    </w:r>
  </w:p>
  <w:p w14:paraId="6D1B3489" w14:textId="1190F421" w:rsidR="004E1760" w:rsidRPr="000921DE" w:rsidRDefault="004E1760" w:rsidP="004E1760">
    <w:pPr>
      <w:jc w:val="right"/>
      <w:rPr>
        <w:rFonts w:ascii="Arial" w:hAnsi="Arial" w:cs="Arial"/>
        <w:b/>
        <w:sz w:val="22"/>
        <w:szCs w:val="22"/>
        <w:lang w:val="pt-PT"/>
      </w:rPr>
    </w:pPr>
    <w:r w:rsidRPr="000921DE">
      <w:rPr>
        <w:rFonts w:ascii="Arial" w:hAnsi="Arial" w:cs="Arial"/>
        <w:b/>
        <w:sz w:val="22"/>
        <w:szCs w:val="22"/>
        <w:lang w:val="pt-PT"/>
      </w:rPr>
      <w:t>LHE/2</w:t>
    </w:r>
    <w:r w:rsidR="00C27AC2" w:rsidRPr="000921DE">
      <w:rPr>
        <w:rFonts w:ascii="Arial" w:hAnsi="Arial" w:cs="Arial"/>
        <w:b/>
        <w:sz w:val="22"/>
        <w:szCs w:val="22"/>
        <w:lang w:val="pt-PT"/>
      </w:rPr>
      <w:t>5</w:t>
    </w:r>
    <w:r w:rsidRPr="000921DE">
      <w:rPr>
        <w:rFonts w:ascii="Arial" w:hAnsi="Arial" w:cs="Arial"/>
        <w:b/>
        <w:sz w:val="22"/>
        <w:szCs w:val="22"/>
        <w:lang w:val="pt-PT"/>
      </w:rPr>
      <w:t>/</w:t>
    </w:r>
    <w:bookmarkStart w:id="7" w:name="_Hlk94624970"/>
    <w:r w:rsidR="00C27AC2" w:rsidRPr="000921DE">
      <w:rPr>
        <w:rFonts w:ascii="Arial" w:hAnsi="Arial" w:cs="Arial"/>
        <w:b/>
        <w:sz w:val="22"/>
        <w:szCs w:val="22"/>
        <w:lang w:val="pt-PT"/>
      </w:rPr>
      <w:t>20</w:t>
    </w:r>
    <w:r w:rsidRPr="000921DE">
      <w:rPr>
        <w:rFonts w:ascii="Arial" w:hAnsi="Arial" w:cs="Arial"/>
        <w:b/>
        <w:sz w:val="22"/>
        <w:szCs w:val="22"/>
        <w:lang w:val="pt-PT"/>
      </w:rPr>
      <w:t>.COM </w:t>
    </w:r>
    <w:r w:rsidR="00E4771D" w:rsidRPr="000921DE">
      <w:rPr>
        <w:rFonts w:ascii="Arial" w:hAnsi="Arial" w:cs="Arial"/>
        <w:b/>
        <w:sz w:val="22"/>
        <w:szCs w:val="22"/>
        <w:lang w:val="pt-PT"/>
      </w:rPr>
      <w:t>4</w:t>
    </w:r>
    <w:r w:rsidRPr="000921DE">
      <w:rPr>
        <w:rFonts w:ascii="Arial" w:hAnsi="Arial" w:cs="Arial"/>
        <w:b/>
        <w:sz w:val="22"/>
        <w:szCs w:val="22"/>
        <w:lang w:val="pt-PT"/>
      </w:rPr>
      <w:t>.BUR/</w:t>
    </w:r>
    <w:r w:rsidR="009340CD" w:rsidRPr="000921DE">
      <w:rPr>
        <w:rFonts w:ascii="Arial" w:hAnsi="Arial" w:cs="Arial"/>
        <w:b/>
        <w:sz w:val="22"/>
        <w:szCs w:val="22"/>
        <w:lang w:val="pt-PT"/>
      </w:rPr>
      <w:t>3</w:t>
    </w:r>
  </w:p>
  <w:bookmarkEnd w:id="7"/>
  <w:p w14:paraId="1B4446C3" w14:textId="1E99BF34" w:rsidR="00D95C4C" w:rsidRPr="00BD2D26" w:rsidRDefault="00D95C4C" w:rsidP="00655736">
    <w:pPr>
      <w:jc w:val="right"/>
      <w:rPr>
        <w:rFonts w:ascii="Arial" w:eastAsiaTheme="minorEastAsia" w:hAnsi="Arial" w:cs="Arial"/>
        <w:b/>
        <w:sz w:val="22"/>
        <w:szCs w:val="22"/>
        <w:lang w:eastAsia="ko-KR"/>
      </w:rPr>
    </w:pPr>
    <w:r w:rsidRPr="001C2550">
      <w:rPr>
        <w:rFonts w:ascii="Arial" w:hAnsi="Arial" w:cs="Arial"/>
        <w:b/>
        <w:sz w:val="22"/>
        <w:szCs w:val="22"/>
      </w:rPr>
      <w:t xml:space="preserve">Paris, </w:t>
    </w:r>
    <w:r w:rsidR="00E4771D" w:rsidRPr="001C2550">
      <w:rPr>
        <w:rFonts w:ascii="Arial" w:hAnsi="Arial" w:cs="Arial"/>
        <w:b/>
        <w:sz w:val="22"/>
        <w:szCs w:val="22"/>
      </w:rPr>
      <w:t>9 October</w:t>
    </w:r>
    <w:r w:rsidRPr="001C2550">
      <w:rPr>
        <w:rFonts w:ascii="Arial" w:hAnsi="Arial" w:cs="Arial"/>
        <w:b/>
        <w:sz w:val="22"/>
        <w:szCs w:val="22"/>
      </w:rPr>
      <w:t xml:space="preserve"> </w:t>
    </w:r>
    <w:r w:rsidR="00337CEB" w:rsidRPr="001C2550">
      <w:rPr>
        <w:rFonts w:ascii="Arial" w:hAnsi="Arial" w:cs="Arial"/>
        <w:b/>
        <w:sz w:val="22"/>
        <w:szCs w:val="22"/>
      </w:rPr>
      <w:t>20</w:t>
    </w:r>
    <w:r w:rsidR="00D7105A" w:rsidRPr="001C2550">
      <w:rPr>
        <w:rFonts w:ascii="Arial" w:hAnsi="Arial" w:cs="Arial"/>
        <w:b/>
        <w:sz w:val="22"/>
        <w:szCs w:val="22"/>
      </w:rPr>
      <w:t>2</w:t>
    </w:r>
    <w:r w:rsidR="00C27AC2" w:rsidRPr="001C2550">
      <w:rPr>
        <w:rFonts w:ascii="Arial" w:hAnsi="Arial" w:cs="Arial"/>
        <w:b/>
        <w:sz w:val="22"/>
        <w:szCs w:val="22"/>
      </w:rPr>
      <w:t>5</w:t>
    </w:r>
  </w:p>
  <w:p w14:paraId="255B57FF" w14:textId="3B814BD3" w:rsidR="00D95C4C" w:rsidRPr="00BD2D26" w:rsidRDefault="00D95C4C" w:rsidP="00962034">
    <w:pPr>
      <w:spacing w:after="120"/>
      <w:jc w:val="right"/>
      <w:rPr>
        <w:rFonts w:ascii="Arial" w:hAnsi="Arial" w:cs="Arial"/>
        <w:b/>
        <w:sz w:val="22"/>
        <w:szCs w:val="22"/>
      </w:rPr>
    </w:pPr>
    <w:r w:rsidRPr="00BD2D26">
      <w:rPr>
        <w:rFonts w:ascii="Arial" w:hAnsi="Arial" w:cs="Arial"/>
        <w:b/>
        <w:sz w:val="22"/>
        <w:szCs w:val="22"/>
      </w:rPr>
      <w:t xml:space="preserve">Original: </w:t>
    </w:r>
    <w:r w:rsidR="00151E44" w:rsidRPr="00BD2D26">
      <w:rPr>
        <w:rFonts w:ascii="Arial" w:hAnsi="Arial" w:cs="Arial"/>
        <w:b/>
        <w:sz w:val="22"/>
        <w:szCs w:val="22"/>
      </w:rPr>
      <w:t>English</w:t>
    </w:r>
  </w:p>
  <w:p w14:paraId="3C4B8B1B" w14:textId="77777777" w:rsidR="00D95C4C" w:rsidRPr="00BD2D26"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4E1E05"/>
    <w:multiLevelType w:val="hybridMultilevel"/>
    <w:tmpl w:val="D7D6D526"/>
    <w:lvl w:ilvl="0" w:tplc="0409001B">
      <w:start w:val="1"/>
      <w:numFmt w:val="lowerRoman"/>
      <w:lvlText w:val="%1."/>
      <w:lvlJc w:val="right"/>
      <w:pPr>
        <w:ind w:left="1854" w:hanging="360"/>
      </w:p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67D7A07"/>
    <w:multiLevelType w:val="hybridMultilevel"/>
    <w:tmpl w:val="E3525614"/>
    <w:lvl w:ilvl="0" w:tplc="FFFFFFFF">
      <w:start w:val="1"/>
      <w:numFmt w:val="lowerRoman"/>
      <w:lvlText w:val="%1."/>
      <w:lvlJc w:val="right"/>
      <w:pPr>
        <w:ind w:left="1854" w:hanging="360"/>
      </w:pPr>
    </w:lvl>
    <w:lvl w:ilvl="1" w:tplc="04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4CD07A3F"/>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6"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923AB5"/>
    <w:multiLevelType w:val="hybridMultilevel"/>
    <w:tmpl w:val="E4B0E1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947647"/>
    <w:multiLevelType w:val="hybridMultilevel"/>
    <w:tmpl w:val="0F548C90"/>
    <w:lvl w:ilvl="0" w:tplc="FFFFFFFF">
      <w:start w:val="1"/>
      <w:numFmt w:val="decimal"/>
      <w:lvlText w:val="%1."/>
      <w:lvlJc w:val="left"/>
      <w:pPr>
        <w:ind w:left="1069" w:hanging="360"/>
      </w:pPr>
      <w:rPr>
        <w:rFonts w:hint="default"/>
      </w:rPr>
    </w:lvl>
    <w:lvl w:ilvl="1" w:tplc="1C88E07E">
      <w:start w:val="1"/>
      <w:numFmt w:val="lowerRoman"/>
      <w:lvlText w:val="%2."/>
      <w:lvlJc w:val="left"/>
      <w:pPr>
        <w:ind w:left="3060" w:hanging="72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2"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8"/>
  </w:num>
  <w:num w:numId="2" w16cid:durableId="1740521844">
    <w:abstractNumId w:val="7"/>
  </w:num>
  <w:num w:numId="3" w16cid:durableId="154499100">
    <w:abstractNumId w:val="2"/>
  </w:num>
  <w:num w:numId="4" w16cid:durableId="490800752">
    <w:abstractNumId w:val="25"/>
  </w:num>
  <w:num w:numId="5" w16cid:durableId="83308445">
    <w:abstractNumId w:val="20"/>
  </w:num>
  <w:num w:numId="6" w16cid:durableId="1815296126">
    <w:abstractNumId w:val="1"/>
  </w:num>
  <w:num w:numId="7" w16cid:durableId="1613434782">
    <w:abstractNumId w:val="3"/>
  </w:num>
  <w:num w:numId="8" w16cid:durableId="657420574">
    <w:abstractNumId w:val="11"/>
  </w:num>
  <w:num w:numId="9" w16cid:durableId="204947263">
    <w:abstractNumId w:val="5"/>
  </w:num>
  <w:num w:numId="10" w16cid:durableId="808859970">
    <w:abstractNumId w:val="8"/>
  </w:num>
  <w:num w:numId="11" w16cid:durableId="901789577">
    <w:abstractNumId w:val="10"/>
  </w:num>
  <w:num w:numId="12" w16cid:durableId="259723626">
    <w:abstractNumId w:val="9"/>
  </w:num>
  <w:num w:numId="13" w16cid:durableId="1265573176">
    <w:abstractNumId w:val="26"/>
  </w:num>
  <w:num w:numId="14" w16cid:durableId="1190332757">
    <w:abstractNumId w:val="13"/>
  </w:num>
  <w:num w:numId="15" w16cid:durableId="1764916223">
    <w:abstractNumId w:val="16"/>
  </w:num>
  <w:num w:numId="16" w16cid:durableId="214975191">
    <w:abstractNumId w:val="17"/>
  </w:num>
  <w:num w:numId="17" w16cid:durableId="403338452">
    <w:abstractNumId w:val="0"/>
  </w:num>
  <w:num w:numId="18" w16cid:durableId="1444227460">
    <w:abstractNumId w:val="8"/>
    <w:lvlOverride w:ilvl="0">
      <w:startOverride w:val="1"/>
    </w:lvlOverride>
  </w:num>
  <w:num w:numId="19" w16cid:durableId="201871593">
    <w:abstractNumId w:val="8"/>
    <w:lvlOverride w:ilvl="0">
      <w:startOverride w:val="2"/>
    </w:lvlOverride>
  </w:num>
  <w:num w:numId="20" w16cid:durableId="1788966622">
    <w:abstractNumId w:val="22"/>
  </w:num>
  <w:num w:numId="21" w16cid:durableId="210773499">
    <w:abstractNumId w:val="24"/>
  </w:num>
  <w:num w:numId="22" w16cid:durableId="1221210817">
    <w:abstractNumId w:val="14"/>
  </w:num>
  <w:num w:numId="23" w16cid:durableId="792865191">
    <w:abstractNumId w:val="5"/>
    <w:lvlOverride w:ilvl="0">
      <w:startOverride w:val="1"/>
    </w:lvlOverride>
  </w:num>
  <w:num w:numId="24" w16cid:durableId="1440754735">
    <w:abstractNumId w:val="23"/>
  </w:num>
  <w:num w:numId="25" w16cid:durableId="1105227633">
    <w:abstractNumId w:val="4"/>
  </w:num>
  <w:num w:numId="26" w16cid:durableId="1517115588">
    <w:abstractNumId w:val="21"/>
  </w:num>
  <w:num w:numId="27" w16cid:durableId="672876287">
    <w:abstractNumId w:val="15"/>
  </w:num>
  <w:num w:numId="28" w16cid:durableId="1799031425">
    <w:abstractNumId w:val="6"/>
  </w:num>
  <w:num w:numId="29" w16cid:durableId="864174357">
    <w:abstractNumId w:val="12"/>
  </w:num>
  <w:num w:numId="30" w16cid:durableId="528761759">
    <w:abstractNumId w:val="19"/>
  </w:num>
  <w:num w:numId="31" w16cid:durableId="190579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CFA"/>
    <w:rsid w:val="000048ED"/>
    <w:rsid w:val="000111EF"/>
    <w:rsid w:val="00014915"/>
    <w:rsid w:val="00015945"/>
    <w:rsid w:val="0003235A"/>
    <w:rsid w:val="00035ECA"/>
    <w:rsid w:val="00041A66"/>
    <w:rsid w:val="00042D88"/>
    <w:rsid w:val="000438B1"/>
    <w:rsid w:val="0005176E"/>
    <w:rsid w:val="00052319"/>
    <w:rsid w:val="00052CA9"/>
    <w:rsid w:val="000608EA"/>
    <w:rsid w:val="0006263E"/>
    <w:rsid w:val="00063496"/>
    <w:rsid w:val="000765F7"/>
    <w:rsid w:val="00077AB7"/>
    <w:rsid w:val="00081CD8"/>
    <w:rsid w:val="0008336C"/>
    <w:rsid w:val="000921DE"/>
    <w:rsid w:val="000942A3"/>
    <w:rsid w:val="000943D3"/>
    <w:rsid w:val="00094986"/>
    <w:rsid w:val="000A5C8D"/>
    <w:rsid w:val="000A6BCB"/>
    <w:rsid w:val="000A7937"/>
    <w:rsid w:val="000A7F0E"/>
    <w:rsid w:val="000B1C8F"/>
    <w:rsid w:val="000B4E8C"/>
    <w:rsid w:val="000B57DE"/>
    <w:rsid w:val="000C0D61"/>
    <w:rsid w:val="000C5F71"/>
    <w:rsid w:val="000D5026"/>
    <w:rsid w:val="000E1788"/>
    <w:rsid w:val="000E5E4F"/>
    <w:rsid w:val="000F3710"/>
    <w:rsid w:val="000F3A3F"/>
    <w:rsid w:val="00102557"/>
    <w:rsid w:val="00105F20"/>
    <w:rsid w:val="00125677"/>
    <w:rsid w:val="00130F59"/>
    <w:rsid w:val="001341F9"/>
    <w:rsid w:val="00135E71"/>
    <w:rsid w:val="00137B8D"/>
    <w:rsid w:val="001419BC"/>
    <w:rsid w:val="0014412D"/>
    <w:rsid w:val="00147C82"/>
    <w:rsid w:val="00151E44"/>
    <w:rsid w:val="00160DF6"/>
    <w:rsid w:val="0016168D"/>
    <w:rsid w:val="00164D56"/>
    <w:rsid w:val="00167B10"/>
    <w:rsid w:val="00173941"/>
    <w:rsid w:val="0017402F"/>
    <w:rsid w:val="00177813"/>
    <w:rsid w:val="00182724"/>
    <w:rsid w:val="00187035"/>
    <w:rsid w:val="00190205"/>
    <w:rsid w:val="00194518"/>
    <w:rsid w:val="001963D5"/>
    <w:rsid w:val="00196C1B"/>
    <w:rsid w:val="001A6F2D"/>
    <w:rsid w:val="001B0F73"/>
    <w:rsid w:val="001B6E03"/>
    <w:rsid w:val="001C2550"/>
    <w:rsid w:val="001C2DB7"/>
    <w:rsid w:val="001C7053"/>
    <w:rsid w:val="001C769F"/>
    <w:rsid w:val="001D14FE"/>
    <w:rsid w:val="001D2B7C"/>
    <w:rsid w:val="001D5C04"/>
    <w:rsid w:val="001D6D1F"/>
    <w:rsid w:val="001D790F"/>
    <w:rsid w:val="001E454E"/>
    <w:rsid w:val="001F26CF"/>
    <w:rsid w:val="001F7CB0"/>
    <w:rsid w:val="002051ED"/>
    <w:rsid w:val="0020650E"/>
    <w:rsid w:val="00206F13"/>
    <w:rsid w:val="00211997"/>
    <w:rsid w:val="002226D7"/>
    <w:rsid w:val="00222A2D"/>
    <w:rsid w:val="00223029"/>
    <w:rsid w:val="00223722"/>
    <w:rsid w:val="002274E4"/>
    <w:rsid w:val="00231CDC"/>
    <w:rsid w:val="00232A54"/>
    <w:rsid w:val="00233842"/>
    <w:rsid w:val="00234745"/>
    <w:rsid w:val="002351A6"/>
    <w:rsid w:val="00237A6E"/>
    <w:rsid w:val="002407AF"/>
    <w:rsid w:val="00261617"/>
    <w:rsid w:val="0026221A"/>
    <w:rsid w:val="00263687"/>
    <w:rsid w:val="002636B5"/>
    <w:rsid w:val="00263F5D"/>
    <w:rsid w:val="00273CF0"/>
    <w:rsid w:val="0027466B"/>
    <w:rsid w:val="002838A5"/>
    <w:rsid w:val="002849BC"/>
    <w:rsid w:val="00285BB4"/>
    <w:rsid w:val="00286121"/>
    <w:rsid w:val="00292930"/>
    <w:rsid w:val="00294E1A"/>
    <w:rsid w:val="002A3293"/>
    <w:rsid w:val="002B0198"/>
    <w:rsid w:val="002B7D44"/>
    <w:rsid w:val="002C09E3"/>
    <w:rsid w:val="002C7725"/>
    <w:rsid w:val="002C7A67"/>
    <w:rsid w:val="002D0A53"/>
    <w:rsid w:val="002D1244"/>
    <w:rsid w:val="002D22A3"/>
    <w:rsid w:val="002E07EC"/>
    <w:rsid w:val="002E16F0"/>
    <w:rsid w:val="002E27DF"/>
    <w:rsid w:val="002E69CF"/>
    <w:rsid w:val="002F5057"/>
    <w:rsid w:val="00303180"/>
    <w:rsid w:val="00305A97"/>
    <w:rsid w:val="00313288"/>
    <w:rsid w:val="003264AE"/>
    <w:rsid w:val="00327C44"/>
    <w:rsid w:val="0033040F"/>
    <w:rsid w:val="003352F2"/>
    <w:rsid w:val="00337CEB"/>
    <w:rsid w:val="00344B58"/>
    <w:rsid w:val="0034539A"/>
    <w:rsid w:val="00345CB4"/>
    <w:rsid w:val="003515F5"/>
    <w:rsid w:val="00354A62"/>
    <w:rsid w:val="003567D8"/>
    <w:rsid w:val="003576B7"/>
    <w:rsid w:val="003619D6"/>
    <w:rsid w:val="003704F7"/>
    <w:rsid w:val="00375064"/>
    <w:rsid w:val="00375D42"/>
    <w:rsid w:val="00384B4D"/>
    <w:rsid w:val="003871D3"/>
    <w:rsid w:val="00387A4C"/>
    <w:rsid w:val="00390321"/>
    <w:rsid w:val="003A243C"/>
    <w:rsid w:val="003A2633"/>
    <w:rsid w:val="003A7DA1"/>
    <w:rsid w:val="003C1059"/>
    <w:rsid w:val="003C1D64"/>
    <w:rsid w:val="003C7F8F"/>
    <w:rsid w:val="003D069C"/>
    <w:rsid w:val="003D0A96"/>
    <w:rsid w:val="003D69B0"/>
    <w:rsid w:val="003D7646"/>
    <w:rsid w:val="003E0394"/>
    <w:rsid w:val="003E46C3"/>
    <w:rsid w:val="003F113A"/>
    <w:rsid w:val="003F3E63"/>
    <w:rsid w:val="003F4E99"/>
    <w:rsid w:val="003F6B72"/>
    <w:rsid w:val="003F7B53"/>
    <w:rsid w:val="003F7ED3"/>
    <w:rsid w:val="004053EC"/>
    <w:rsid w:val="00407480"/>
    <w:rsid w:val="00414643"/>
    <w:rsid w:val="00415AF2"/>
    <w:rsid w:val="00417A63"/>
    <w:rsid w:val="00420B4B"/>
    <w:rsid w:val="00426670"/>
    <w:rsid w:val="004421E5"/>
    <w:rsid w:val="00442254"/>
    <w:rsid w:val="00452284"/>
    <w:rsid w:val="00452A8F"/>
    <w:rsid w:val="004553C1"/>
    <w:rsid w:val="00457C8E"/>
    <w:rsid w:val="00464BB5"/>
    <w:rsid w:val="004772C6"/>
    <w:rsid w:val="004777AA"/>
    <w:rsid w:val="00480D10"/>
    <w:rsid w:val="004856CA"/>
    <w:rsid w:val="004859DD"/>
    <w:rsid w:val="00487536"/>
    <w:rsid w:val="00487E67"/>
    <w:rsid w:val="004919B3"/>
    <w:rsid w:val="0049497B"/>
    <w:rsid w:val="0049705E"/>
    <w:rsid w:val="004972C7"/>
    <w:rsid w:val="004A2875"/>
    <w:rsid w:val="004A34A0"/>
    <w:rsid w:val="004C7C82"/>
    <w:rsid w:val="004E1760"/>
    <w:rsid w:val="004E32CF"/>
    <w:rsid w:val="004E3374"/>
    <w:rsid w:val="004F06E9"/>
    <w:rsid w:val="004F0AB1"/>
    <w:rsid w:val="004F24E2"/>
    <w:rsid w:val="004F39DA"/>
    <w:rsid w:val="004F3A03"/>
    <w:rsid w:val="004F5150"/>
    <w:rsid w:val="004F5B51"/>
    <w:rsid w:val="005008A8"/>
    <w:rsid w:val="00503E9E"/>
    <w:rsid w:val="00510B68"/>
    <w:rsid w:val="00510D11"/>
    <w:rsid w:val="00516420"/>
    <w:rsid w:val="00517FD8"/>
    <w:rsid w:val="00520EE0"/>
    <w:rsid w:val="00525BDD"/>
    <w:rsid w:val="0052617D"/>
    <w:rsid w:val="005264CB"/>
    <w:rsid w:val="00526B7B"/>
    <w:rsid w:val="0053022C"/>
    <w:rsid w:val="0053048A"/>
    <w:rsid w:val="005308CE"/>
    <w:rsid w:val="00530A9C"/>
    <w:rsid w:val="0053318C"/>
    <w:rsid w:val="005333CF"/>
    <w:rsid w:val="00537E60"/>
    <w:rsid w:val="00542D90"/>
    <w:rsid w:val="00544CED"/>
    <w:rsid w:val="00547C27"/>
    <w:rsid w:val="00550552"/>
    <w:rsid w:val="005511EB"/>
    <w:rsid w:val="00562E35"/>
    <w:rsid w:val="00564391"/>
    <w:rsid w:val="005737A9"/>
    <w:rsid w:val="0057439C"/>
    <w:rsid w:val="00576982"/>
    <w:rsid w:val="00582FC2"/>
    <w:rsid w:val="00597B81"/>
    <w:rsid w:val="005A1029"/>
    <w:rsid w:val="005A613D"/>
    <w:rsid w:val="005A6966"/>
    <w:rsid w:val="005B0127"/>
    <w:rsid w:val="005B7A35"/>
    <w:rsid w:val="005C212B"/>
    <w:rsid w:val="005C368F"/>
    <w:rsid w:val="005C4B73"/>
    <w:rsid w:val="005C4E24"/>
    <w:rsid w:val="005D7015"/>
    <w:rsid w:val="005E1D2B"/>
    <w:rsid w:val="005E3605"/>
    <w:rsid w:val="005E3F85"/>
    <w:rsid w:val="005E7074"/>
    <w:rsid w:val="005F2BAF"/>
    <w:rsid w:val="005F47B6"/>
    <w:rsid w:val="005F60F3"/>
    <w:rsid w:val="005F66BB"/>
    <w:rsid w:val="00600D93"/>
    <w:rsid w:val="0062143E"/>
    <w:rsid w:val="00623AC1"/>
    <w:rsid w:val="0062402B"/>
    <w:rsid w:val="00626013"/>
    <w:rsid w:val="00626514"/>
    <w:rsid w:val="0062691B"/>
    <w:rsid w:val="00626BEA"/>
    <w:rsid w:val="00627768"/>
    <w:rsid w:val="006301AA"/>
    <w:rsid w:val="00630389"/>
    <w:rsid w:val="00630F43"/>
    <w:rsid w:val="0063300C"/>
    <w:rsid w:val="00633AE4"/>
    <w:rsid w:val="00634333"/>
    <w:rsid w:val="00642768"/>
    <w:rsid w:val="006466B6"/>
    <w:rsid w:val="00647552"/>
    <w:rsid w:val="00647E67"/>
    <w:rsid w:val="00651A5B"/>
    <w:rsid w:val="00653D87"/>
    <w:rsid w:val="00655736"/>
    <w:rsid w:val="00656A6B"/>
    <w:rsid w:val="00656A91"/>
    <w:rsid w:val="00660CBA"/>
    <w:rsid w:val="00661CAC"/>
    <w:rsid w:val="00663B8D"/>
    <w:rsid w:val="00664405"/>
    <w:rsid w:val="00674AC4"/>
    <w:rsid w:val="00677233"/>
    <w:rsid w:val="00677A60"/>
    <w:rsid w:val="00680CBF"/>
    <w:rsid w:val="006839D9"/>
    <w:rsid w:val="00684D39"/>
    <w:rsid w:val="00696C8D"/>
    <w:rsid w:val="006A2AC2"/>
    <w:rsid w:val="006A3421"/>
    <w:rsid w:val="006A3617"/>
    <w:rsid w:val="006B4452"/>
    <w:rsid w:val="006C4CCA"/>
    <w:rsid w:val="006D64BE"/>
    <w:rsid w:val="006E3D23"/>
    <w:rsid w:val="006E46E4"/>
    <w:rsid w:val="006E53B3"/>
    <w:rsid w:val="006E75EB"/>
    <w:rsid w:val="0070160A"/>
    <w:rsid w:val="007062C6"/>
    <w:rsid w:val="00712354"/>
    <w:rsid w:val="00716A91"/>
    <w:rsid w:val="00717DA5"/>
    <w:rsid w:val="00720D5A"/>
    <w:rsid w:val="007429AC"/>
    <w:rsid w:val="00744484"/>
    <w:rsid w:val="00747566"/>
    <w:rsid w:val="0075329E"/>
    <w:rsid w:val="007558DA"/>
    <w:rsid w:val="00762C3B"/>
    <w:rsid w:val="00773188"/>
    <w:rsid w:val="00777064"/>
    <w:rsid w:val="0078231E"/>
    <w:rsid w:val="00783782"/>
    <w:rsid w:val="00784B8C"/>
    <w:rsid w:val="00787826"/>
    <w:rsid w:val="007879E1"/>
    <w:rsid w:val="00794854"/>
    <w:rsid w:val="007A5097"/>
    <w:rsid w:val="007A5652"/>
    <w:rsid w:val="007A59D6"/>
    <w:rsid w:val="007A6CE1"/>
    <w:rsid w:val="007B0B1C"/>
    <w:rsid w:val="007B1B75"/>
    <w:rsid w:val="007B39E9"/>
    <w:rsid w:val="007B5D5E"/>
    <w:rsid w:val="007C5647"/>
    <w:rsid w:val="007C7352"/>
    <w:rsid w:val="007D29E9"/>
    <w:rsid w:val="007E13B5"/>
    <w:rsid w:val="007E5F06"/>
    <w:rsid w:val="007F41BC"/>
    <w:rsid w:val="007F4AC2"/>
    <w:rsid w:val="00801380"/>
    <w:rsid w:val="00804BF1"/>
    <w:rsid w:val="00804FFE"/>
    <w:rsid w:val="00821FFE"/>
    <w:rsid w:val="00823A11"/>
    <w:rsid w:val="008267DE"/>
    <w:rsid w:val="00841E09"/>
    <w:rsid w:val="00841F83"/>
    <w:rsid w:val="008460CA"/>
    <w:rsid w:val="00847267"/>
    <w:rsid w:val="008522D6"/>
    <w:rsid w:val="0085386D"/>
    <w:rsid w:val="0085405E"/>
    <w:rsid w:val="0085414A"/>
    <w:rsid w:val="00855473"/>
    <w:rsid w:val="00855A4A"/>
    <w:rsid w:val="00857EB9"/>
    <w:rsid w:val="0086069C"/>
    <w:rsid w:val="0086269D"/>
    <w:rsid w:val="0086543A"/>
    <w:rsid w:val="0087166B"/>
    <w:rsid w:val="008724E5"/>
    <w:rsid w:val="00872F87"/>
    <w:rsid w:val="00875A00"/>
    <w:rsid w:val="0088270B"/>
    <w:rsid w:val="00884A9D"/>
    <w:rsid w:val="00884B4E"/>
    <w:rsid w:val="0088512B"/>
    <w:rsid w:val="008967C6"/>
    <w:rsid w:val="008A2B2D"/>
    <w:rsid w:val="008A4E1E"/>
    <w:rsid w:val="008B5CC6"/>
    <w:rsid w:val="008B68AA"/>
    <w:rsid w:val="008C1133"/>
    <w:rsid w:val="008C296C"/>
    <w:rsid w:val="008C6D3B"/>
    <w:rsid w:val="008D4305"/>
    <w:rsid w:val="008D630F"/>
    <w:rsid w:val="008E1A85"/>
    <w:rsid w:val="009006FD"/>
    <w:rsid w:val="009020F4"/>
    <w:rsid w:val="00913AAE"/>
    <w:rsid w:val="00914637"/>
    <w:rsid w:val="00915F8C"/>
    <w:rsid w:val="009163A7"/>
    <w:rsid w:val="00921021"/>
    <w:rsid w:val="00926F68"/>
    <w:rsid w:val="009340CD"/>
    <w:rsid w:val="00934115"/>
    <w:rsid w:val="00943E5F"/>
    <w:rsid w:val="00946D0B"/>
    <w:rsid w:val="0095409D"/>
    <w:rsid w:val="0095517B"/>
    <w:rsid w:val="00955877"/>
    <w:rsid w:val="00962034"/>
    <w:rsid w:val="00967BAF"/>
    <w:rsid w:val="00967ED7"/>
    <w:rsid w:val="00973FEC"/>
    <w:rsid w:val="0098254B"/>
    <w:rsid w:val="009835DF"/>
    <w:rsid w:val="00995B9C"/>
    <w:rsid w:val="00996675"/>
    <w:rsid w:val="009A18CD"/>
    <w:rsid w:val="009B14A3"/>
    <w:rsid w:val="009C051A"/>
    <w:rsid w:val="009C1435"/>
    <w:rsid w:val="009C53B4"/>
    <w:rsid w:val="009C5B15"/>
    <w:rsid w:val="009D304E"/>
    <w:rsid w:val="009D4593"/>
    <w:rsid w:val="009D5428"/>
    <w:rsid w:val="009D5537"/>
    <w:rsid w:val="009D5AAD"/>
    <w:rsid w:val="009E4B10"/>
    <w:rsid w:val="009E6CE9"/>
    <w:rsid w:val="009F61F3"/>
    <w:rsid w:val="00A02161"/>
    <w:rsid w:val="00A02430"/>
    <w:rsid w:val="00A060EE"/>
    <w:rsid w:val="00A064C7"/>
    <w:rsid w:val="00A12558"/>
    <w:rsid w:val="00A1369C"/>
    <w:rsid w:val="00A13903"/>
    <w:rsid w:val="00A23D0F"/>
    <w:rsid w:val="00A253C7"/>
    <w:rsid w:val="00A34ED5"/>
    <w:rsid w:val="00A45DBF"/>
    <w:rsid w:val="00A50E50"/>
    <w:rsid w:val="00A50EEE"/>
    <w:rsid w:val="00A550AB"/>
    <w:rsid w:val="00A644BB"/>
    <w:rsid w:val="00A658DF"/>
    <w:rsid w:val="00A725CF"/>
    <w:rsid w:val="00A755A2"/>
    <w:rsid w:val="00A90859"/>
    <w:rsid w:val="00AA151D"/>
    <w:rsid w:val="00AA18CB"/>
    <w:rsid w:val="00AA2C0A"/>
    <w:rsid w:val="00AA6660"/>
    <w:rsid w:val="00AB2C36"/>
    <w:rsid w:val="00AB6DDE"/>
    <w:rsid w:val="00AB70B6"/>
    <w:rsid w:val="00AC636E"/>
    <w:rsid w:val="00AC7DAE"/>
    <w:rsid w:val="00AD0170"/>
    <w:rsid w:val="00AD1A86"/>
    <w:rsid w:val="00AD290B"/>
    <w:rsid w:val="00AD5B65"/>
    <w:rsid w:val="00AE103E"/>
    <w:rsid w:val="00AF0A07"/>
    <w:rsid w:val="00AF2656"/>
    <w:rsid w:val="00AF4AEC"/>
    <w:rsid w:val="00AF625E"/>
    <w:rsid w:val="00AF6B7F"/>
    <w:rsid w:val="00AF70EC"/>
    <w:rsid w:val="00B06347"/>
    <w:rsid w:val="00B06E16"/>
    <w:rsid w:val="00B139BE"/>
    <w:rsid w:val="00B156A3"/>
    <w:rsid w:val="00B2172B"/>
    <w:rsid w:val="00B23FB8"/>
    <w:rsid w:val="00B34631"/>
    <w:rsid w:val="00B42052"/>
    <w:rsid w:val="00B6417A"/>
    <w:rsid w:val="00B64EB9"/>
    <w:rsid w:val="00B70DBD"/>
    <w:rsid w:val="00B764DF"/>
    <w:rsid w:val="00B82401"/>
    <w:rsid w:val="00B917D2"/>
    <w:rsid w:val="00B942C3"/>
    <w:rsid w:val="00B94A62"/>
    <w:rsid w:val="00B965FB"/>
    <w:rsid w:val="00B97FC1"/>
    <w:rsid w:val="00BA241A"/>
    <w:rsid w:val="00BB04AF"/>
    <w:rsid w:val="00BB0B50"/>
    <w:rsid w:val="00BB5D6D"/>
    <w:rsid w:val="00BC241A"/>
    <w:rsid w:val="00BC5801"/>
    <w:rsid w:val="00BC7829"/>
    <w:rsid w:val="00BD2D26"/>
    <w:rsid w:val="00BD52C9"/>
    <w:rsid w:val="00BE2944"/>
    <w:rsid w:val="00BE6354"/>
    <w:rsid w:val="00BF0202"/>
    <w:rsid w:val="00C02886"/>
    <w:rsid w:val="00C109A2"/>
    <w:rsid w:val="00C138D1"/>
    <w:rsid w:val="00C17D1D"/>
    <w:rsid w:val="00C238B5"/>
    <w:rsid w:val="00C23A97"/>
    <w:rsid w:val="00C2566A"/>
    <w:rsid w:val="00C25D9A"/>
    <w:rsid w:val="00C27AC2"/>
    <w:rsid w:val="00C3733C"/>
    <w:rsid w:val="00C40B94"/>
    <w:rsid w:val="00C459F4"/>
    <w:rsid w:val="00C52EBE"/>
    <w:rsid w:val="00C5776D"/>
    <w:rsid w:val="00C61905"/>
    <w:rsid w:val="00C61C27"/>
    <w:rsid w:val="00C64855"/>
    <w:rsid w:val="00C70EA7"/>
    <w:rsid w:val="00C71C37"/>
    <w:rsid w:val="00C7433F"/>
    <w:rsid w:val="00C7516E"/>
    <w:rsid w:val="00C75374"/>
    <w:rsid w:val="00C75770"/>
    <w:rsid w:val="00C774ED"/>
    <w:rsid w:val="00C80F8B"/>
    <w:rsid w:val="00C96B99"/>
    <w:rsid w:val="00CA1BD1"/>
    <w:rsid w:val="00CA56BB"/>
    <w:rsid w:val="00CB0542"/>
    <w:rsid w:val="00CC3F51"/>
    <w:rsid w:val="00CC452A"/>
    <w:rsid w:val="00CD5896"/>
    <w:rsid w:val="00CD5AD9"/>
    <w:rsid w:val="00CE6077"/>
    <w:rsid w:val="00CF15CD"/>
    <w:rsid w:val="00D0058D"/>
    <w:rsid w:val="00D00B2B"/>
    <w:rsid w:val="00D20C03"/>
    <w:rsid w:val="00D22E25"/>
    <w:rsid w:val="00D24877"/>
    <w:rsid w:val="00D250BC"/>
    <w:rsid w:val="00D3036E"/>
    <w:rsid w:val="00D327CC"/>
    <w:rsid w:val="00D33E47"/>
    <w:rsid w:val="00D4660A"/>
    <w:rsid w:val="00D474D8"/>
    <w:rsid w:val="00D500A0"/>
    <w:rsid w:val="00D54D72"/>
    <w:rsid w:val="00D67378"/>
    <w:rsid w:val="00D7105A"/>
    <w:rsid w:val="00D8250F"/>
    <w:rsid w:val="00D8440A"/>
    <w:rsid w:val="00D844B7"/>
    <w:rsid w:val="00D86BB3"/>
    <w:rsid w:val="00D873D6"/>
    <w:rsid w:val="00D92626"/>
    <w:rsid w:val="00D95C4C"/>
    <w:rsid w:val="00DA0921"/>
    <w:rsid w:val="00DA36ED"/>
    <w:rsid w:val="00DB12AD"/>
    <w:rsid w:val="00DB48FE"/>
    <w:rsid w:val="00DE21DD"/>
    <w:rsid w:val="00DE34F1"/>
    <w:rsid w:val="00DE6160"/>
    <w:rsid w:val="00DF3052"/>
    <w:rsid w:val="00DF3FC7"/>
    <w:rsid w:val="00DF4942"/>
    <w:rsid w:val="00DF5888"/>
    <w:rsid w:val="00E000EE"/>
    <w:rsid w:val="00E01FD9"/>
    <w:rsid w:val="00E11FB7"/>
    <w:rsid w:val="00E14FAF"/>
    <w:rsid w:val="00E16415"/>
    <w:rsid w:val="00E16A79"/>
    <w:rsid w:val="00E16EFD"/>
    <w:rsid w:val="00E2125F"/>
    <w:rsid w:val="00E22E5E"/>
    <w:rsid w:val="00E244E1"/>
    <w:rsid w:val="00E26676"/>
    <w:rsid w:val="00E32805"/>
    <w:rsid w:val="00E343F7"/>
    <w:rsid w:val="00E4150C"/>
    <w:rsid w:val="00E4771D"/>
    <w:rsid w:val="00E51194"/>
    <w:rsid w:val="00E627B1"/>
    <w:rsid w:val="00E6428F"/>
    <w:rsid w:val="00E70169"/>
    <w:rsid w:val="00E71CBD"/>
    <w:rsid w:val="00E7242D"/>
    <w:rsid w:val="00E74250"/>
    <w:rsid w:val="00E81571"/>
    <w:rsid w:val="00E827C1"/>
    <w:rsid w:val="00E8526F"/>
    <w:rsid w:val="00E9376C"/>
    <w:rsid w:val="00E95AE2"/>
    <w:rsid w:val="00E95F55"/>
    <w:rsid w:val="00E97399"/>
    <w:rsid w:val="00EA335E"/>
    <w:rsid w:val="00EA528C"/>
    <w:rsid w:val="00EA580C"/>
    <w:rsid w:val="00EA6E4B"/>
    <w:rsid w:val="00EA7E0A"/>
    <w:rsid w:val="00EB1301"/>
    <w:rsid w:val="00EC1EF0"/>
    <w:rsid w:val="00EC6F8D"/>
    <w:rsid w:val="00ED39B2"/>
    <w:rsid w:val="00ED46F4"/>
    <w:rsid w:val="00EE2E09"/>
    <w:rsid w:val="00EE49F4"/>
    <w:rsid w:val="00EE7DE7"/>
    <w:rsid w:val="00EF2A6C"/>
    <w:rsid w:val="00EF34E2"/>
    <w:rsid w:val="00EF7D8C"/>
    <w:rsid w:val="00F00403"/>
    <w:rsid w:val="00F01C8B"/>
    <w:rsid w:val="00F05433"/>
    <w:rsid w:val="00F11395"/>
    <w:rsid w:val="00F11AD6"/>
    <w:rsid w:val="00F30DC6"/>
    <w:rsid w:val="00F32C23"/>
    <w:rsid w:val="00F452E4"/>
    <w:rsid w:val="00F45FBB"/>
    <w:rsid w:val="00F513AA"/>
    <w:rsid w:val="00F53DE9"/>
    <w:rsid w:val="00F5405A"/>
    <w:rsid w:val="00F56FA1"/>
    <w:rsid w:val="00F57107"/>
    <w:rsid w:val="00F576CB"/>
    <w:rsid w:val="00F642E6"/>
    <w:rsid w:val="00F7035D"/>
    <w:rsid w:val="00F71A02"/>
    <w:rsid w:val="00F71D0C"/>
    <w:rsid w:val="00F77563"/>
    <w:rsid w:val="00F83BA2"/>
    <w:rsid w:val="00F84A91"/>
    <w:rsid w:val="00F921C2"/>
    <w:rsid w:val="00F9311F"/>
    <w:rsid w:val="00F97169"/>
    <w:rsid w:val="00FA0D63"/>
    <w:rsid w:val="00FB1C72"/>
    <w:rsid w:val="00FB78E2"/>
    <w:rsid w:val="00FC254A"/>
    <w:rsid w:val="00FC2F12"/>
    <w:rsid w:val="00FD1226"/>
    <w:rsid w:val="00FD1E19"/>
    <w:rsid w:val="00FE4DFE"/>
    <w:rsid w:val="00FE51D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A283A2BD-F2C3-43E4-8CE4-8FC7474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64AE"/>
    <w:rPr>
      <w:rFonts w:ascii="Times New Roman" w:eastAsia="Times New Roman" w:hAnsi="Times New Roman"/>
      <w:sz w:val="24"/>
      <w:szCs w:val="24"/>
      <w:lang w:val="en-GB"/>
    </w:rPr>
  </w:style>
  <w:style w:type="paragraph" w:styleId="Titre1">
    <w:name w:val="heading 1"/>
    <w:basedOn w:val="Normal"/>
    <w:next w:val="Normal"/>
    <w:link w:val="Titre1Car"/>
    <w:uiPriority w:val="9"/>
    <w:rsid w:val="00E852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72F87"/>
    <w:rPr>
      <w:sz w:val="22"/>
      <w:szCs w:val="22"/>
      <w:lang w:val="en-GB" w:eastAsia="en-GB"/>
    </w:rPr>
  </w:style>
  <w:style w:type="character" w:styleId="Lienhypertexte">
    <w:name w:val="Hyperlink"/>
    <w:uiPriority w:val="99"/>
    <w:rsid w:val="00872F87"/>
    <w:rPr>
      <w:color w:val="0000FF"/>
      <w:u w:val="single"/>
      <w:lang w:val="en-GB" w:eastAsia="en-GB"/>
    </w:rPr>
  </w:style>
  <w:style w:type="character" w:styleId="Mentionnonrsolue">
    <w:name w:val="Unresolved Mention"/>
    <w:basedOn w:val="Policepardfaut"/>
    <w:uiPriority w:val="99"/>
    <w:semiHidden/>
    <w:unhideWhenUsed/>
    <w:rsid w:val="00872F87"/>
    <w:rPr>
      <w:color w:val="605E5C"/>
      <w:shd w:val="clear" w:color="auto" w:fill="E1DFDD"/>
    </w:rPr>
  </w:style>
  <w:style w:type="paragraph" w:styleId="Notedebasdepage">
    <w:name w:val="footnote text"/>
    <w:basedOn w:val="Normal"/>
    <w:link w:val="NotedebasdepageCar"/>
    <w:uiPriority w:val="99"/>
    <w:semiHidden/>
    <w:unhideWhenUsed/>
    <w:rsid w:val="00F97169"/>
    <w:rPr>
      <w:sz w:val="20"/>
      <w:szCs w:val="20"/>
    </w:rPr>
  </w:style>
  <w:style w:type="character" w:customStyle="1" w:styleId="NotedebasdepageCar">
    <w:name w:val="Note de bas de page Car"/>
    <w:basedOn w:val="Policepardfaut"/>
    <w:link w:val="Notedebasdepage"/>
    <w:uiPriority w:val="99"/>
    <w:semiHidden/>
    <w:rsid w:val="00F97169"/>
    <w:rPr>
      <w:rFonts w:ascii="Times New Roman" w:eastAsia="Times New Roman" w:hAnsi="Times New Roman"/>
    </w:rPr>
  </w:style>
  <w:style w:type="character" w:styleId="Appelnotedebasdep">
    <w:name w:val="footnote reference"/>
    <w:basedOn w:val="Policepardfaut"/>
    <w:uiPriority w:val="99"/>
    <w:semiHidden/>
    <w:unhideWhenUsed/>
    <w:rsid w:val="00F97169"/>
    <w:rPr>
      <w:vertAlign w:val="superscript"/>
    </w:rPr>
  </w:style>
  <w:style w:type="character" w:styleId="Marquedecommentaire">
    <w:name w:val="annotation reference"/>
    <w:basedOn w:val="Policepardfaut"/>
    <w:uiPriority w:val="99"/>
    <w:semiHidden/>
    <w:unhideWhenUsed/>
    <w:rsid w:val="0086069C"/>
    <w:rPr>
      <w:sz w:val="16"/>
      <w:szCs w:val="16"/>
    </w:rPr>
  </w:style>
  <w:style w:type="paragraph" w:styleId="Commentaire">
    <w:name w:val="annotation text"/>
    <w:basedOn w:val="Normal"/>
    <w:link w:val="CommentaireCar"/>
    <w:uiPriority w:val="99"/>
    <w:unhideWhenUsed/>
    <w:rsid w:val="0086069C"/>
    <w:rPr>
      <w:sz w:val="20"/>
      <w:szCs w:val="20"/>
    </w:rPr>
  </w:style>
  <w:style w:type="character" w:customStyle="1" w:styleId="CommentaireCar">
    <w:name w:val="Commentaire Car"/>
    <w:basedOn w:val="Policepardfaut"/>
    <w:link w:val="Commentaire"/>
    <w:uiPriority w:val="99"/>
    <w:rsid w:val="0086069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6069C"/>
    <w:rPr>
      <w:b/>
      <w:bCs/>
    </w:rPr>
  </w:style>
  <w:style w:type="character" w:customStyle="1" w:styleId="ObjetducommentaireCar">
    <w:name w:val="Objet du commentaire Car"/>
    <w:basedOn w:val="CommentaireCar"/>
    <w:link w:val="Objetducommentaire"/>
    <w:uiPriority w:val="99"/>
    <w:semiHidden/>
    <w:rsid w:val="0086069C"/>
    <w:rPr>
      <w:rFonts w:ascii="Times New Roman" w:eastAsia="Times New Roman" w:hAnsi="Times New Roman"/>
      <w:b/>
      <w:bCs/>
    </w:rPr>
  </w:style>
  <w:style w:type="character" w:styleId="Lienhypertextesuivivisit">
    <w:name w:val="FollowedHyperlink"/>
    <w:basedOn w:val="Policepardfaut"/>
    <w:uiPriority w:val="99"/>
    <w:semiHidden/>
    <w:unhideWhenUsed/>
    <w:rsid w:val="00510D11"/>
    <w:rPr>
      <w:color w:val="800080" w:themeColor="followedHyperlink"/>
      <w:u w:val="single"/>
    </w:rPr>
  </w:style>
  <w:style w:type="paragraph" w:styleId="NormalWeb">
    <w:name w:val="Normal (Web)"/>
    <w:basedOn w:val="Normal"/>
    <w:uiPriority w:val="99"/>
    <w:semiHidden/>
    <w:unhideWhenUsed/>
    <w:rsid w:val="003352F2"/>
  </w:style>
  <w:style w:type="character" w:customStyle="1" w:styleId="Titre1Car">
    <w:name w:val="Titre 1 Car"/>
    <w:basedOn w:val="Policepardfaut"/>
    <w:link w:val="Titre1"/>
    <w:uiPriority w:val="9"/>
    <w:rsid w:val="00E8526F"/>
    <w:rPr>
      <w:rFonts w:asciiTheme="majorHAnsi" w:eastAsiaTheme="majorEastAsia" w:hAnsiTheme="majorHAnsi" w:cstheme="majorBidi"/>
      <w:color w:val="365F91" w:themeColor="accent1" w:themeShade="BF"/>
      <w:sz w:val="32"/>
      <w:szCs w:val="32"/>
      <w:lang w:val="en-GB"/>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locked/>
    <w:rsid w:val="00787826"/>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5325">
      <w:bodyDiv w:val="1"/>
      <w:marLeft w:val="0"/>
      <w:marRight w:val="0"/>
      <w:marTop w:val="0"/>
      <w:marBottom w:val="0"/>
      <w:divBdr>
        <w:top w:val="none" w:sz="0" w:space="0" w:color="auto"/>
        <w:left w:val="none" w:sz="0" w:space="0" w:color="auto"/>
        <w:bottom w:val="none" w:sz="0" w:space="0" w:color="auto"/>
        <w:right w:val="none" w:sz="0" w:space="0" w:color="auto"/>
      </w:divBdr>
    </w:div>
    <w:div w:id="194001269">
      <w:bodyDiv w:val="1"/>
      <w:marLeft w:val="0"/>
      <w:marRight w:val="0"/>
      <w:marTop w:val="0"/>
      <w:marBottom w:val="0"/>
      <w:divBdr>
        <w:top w:val="none" w:sz="0" w:space="0" w:color="auto"/>
        <w:left w:val="none" w:sz="0" w:space="0" w:color="auto"/>
        <w:bottom w:val="none" w:sz="0" w:space="0" w:color="auto"/>
        <w:right w:val="none" w:sz="0" w:space="0" w:color="auto"/>
      </w:divBdr>
    </w:div>
    <w:div w:id="41382019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397585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30017263">
      <w:bodyDiv w:val="1"/>
      <w:marLeft w:val="0"/>
      <w:marRight w:val="0"/>
      <w:marTop w:val="0"/>
      <w:marBottom w:val="0"/>
      <w:divBdr>
        <w:top w:val="none" w:sz="0" w:space="0" w:color="auto"/>
        <w:left w:val="none" w:sz="0" w:space="0" w:color="auto"/>
        <w:bottom w:val="none" w:sz="0" w:space="0" w:color="auto"/>
        <w:right w:val="none" w:sz="0" w:space="0" w:color="auto"/>
      </w:divBdr>
    </w:div>
    <w:div w:id="136486239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50203946">
      <w:bodyDiv w:val="1"/>
      <w:marLeft w:val="0"/>
      <w:marRight w:val="0"/>
      <w:marTop w:val="0"/>
      <w:marBottom w:val="0"/>
      <w:divBdr>
        <w:top w:val="none" w:sz="0" w:space="0" w:color="auto"/>
        <w:left w:val="none" w:sz="0" w:space="0" w:color="auto"/>
        <w:bottom w:val="none" w:sz="0" w:space="0" w:color="auto"/>
        <w:right w:val="none" w:sz="0" w:space="0" w:color="auto"/>
      </w:divBdr>
    </w:div>
    <w:div w:id="167977016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2640170">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20318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0.COM/8" TargetMode="External"/><Relationship Id="rId13" Type="http://schemas.openxmlformats.org/officeDocument/2006/relationships/hyperlink" Target="https://ich.unesco.org/en/20com-bureau" TargetMode="External"/><Relationship Id="rId18" Type="http://schemas.openxmlformats.org/officeDocument/2006/relationships/hyperlink" Target="https://ich.unesco.org/en/USL/traditional-hand-puppetry-0137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ienarte.org/" TargetMode="External"/><Relationship Id="rId7" Type="http://schemas.openxmlformats.org/officeDocument/2006/relationships/endnotes" Target="endnotes.xml"/><Relationship Id="rId12" Type="http://schemas.openxmlformats.org/officeDocument/2006/relationships/hyperlink" Target="https://ich.unesco.org/en/RL/tango-00258" TargetMode="External"/><Relationship Id="rId17" Type="http://schemas.openxmlformats.org/officeDocument/2006/relationships/hyperlink" Target="https://ich.unesco.org/doc/download.php?versionID=6981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doc/download.php?versionID=69812" TargetMode="External"/><Relationship Id="rId20" Type="http://schemas.openxmlformats.org/officeDocument/2006/relationships/hyperlink" Target="https://ich.unesco.org/en/capacity-building-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USL/traditional-hand-puppetry-0137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ich.unesco.org/en/individual-case-study-art18-01377?id=12" TargetMode="External"/><Relationship Id="rId28" Type="http://schemas.openxmlformats.org/officeDocument/2006/relationships/theme" Target="theme/theme1.xml"/><Relationship Id="rId10" Type="http://schemas.openxmlformats.org/officeDocument/2006/relationships/hyperlink" Target="https://ich.unesco.org/doc/download.php?versionID=69812" TargetMode="External"/><Relationship Id="rId19" Type="http://schemas.openxmlformats.org/officeDocument/2006/relationships/hyperlink" Target="https://ich.unesco.org/doc/src/50279-EN.pdf" TargetMode="External"/><Relationship Id="rId4" Type="http://schemas.openxmlformats.org/officeDocument/2006/relationships/settings" Target="settings.xml"/><Relationship Id="rId9" Type="http://schemas.openxmlformats.org/officeDocument/2006/relationships/hyperlink" Target="https://ich.unesco.org/en/assistances/the-bandoneon-sound-of-tango-01634" TargetMode="External"/><Relationship Id="rId14" Type="http://schemas.openxmlformats.org/officeDocument/2006/relationships/hyperlink" Target="#Overview"/><Relationship Id="rId22" Type="http://schemas.openxmlformats.org/officeDocument/2006/relationships/hyperlink" Target="https://ich.unesco.org/en/assistances/the-bandoneon-sound-of-tango-0163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assistances/the-bandoneon-sound-of-tango-01634" TargetMode="External"/><Relationship Id="rId2" Type="http://schemas.openxmlformats.org/officeDocument/2006/relationships/hyperlink" Target="https://ich.unesco.org/en/assistances/documentation-promotion-and-dissemination-of-the-candombe-traditional-drum-calls-expressions-of-identity-of-the-sur-palermo-and-cordon-neighbourhoods-in-the-city-of-montevideo-00555" TargetMode="External"/><Relationship Id="rId1" Type="http://schemas.openxmlformats.org/officeDocument/2006/relationships/hyperlink" Target="https://ich.unesco.org/en/assistances/inventory-of-intangible-culture-of-craftsmanship-in-the-core-of-historic-cairo-016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5511</Words>
  <Characters>30315</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Ohinata, Fumiko</cp:lastModifiedBy>
  <cp:revision>3</cp:revision>
  <cp:lastPrinted>2011-08-06T10:22:00Z</cp:lastPrinted>
  <dcterms:created xsi:type="dcterms:W3CDTF">2025-10-09T10:14:00Z</dcterms:created>
  <dcterms:modified xsi:type="dcterms:W3CDTF">2025-10-09T11:51:00Z</dcterms:modified>
</cp:coreProperties>
</file>