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25" w14:textId="2A1E30CB" w:rsidR="00BC3420" w:rsidRPr="002C7FBC" w:rsidRDefault="00BC3420" w:rsidP="007A7A84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2C7FBC">
        <w:rPr>
          <w:rFonts w:ascii="Arial" w:hAnsi="Arial"/>
          <w:b/>
          <w:sz w:val="22"/>
        </w:rPr>
        <w:t>CONVENTION POUR LA SAUVEGARDE DU</w:t>
      </w:r>
      <w:r w:rsidRPr="002C7FBC">
        <w:rPr>
          <w:rFonts w:ascii="Arial" w:hAnsi="Arial"/>
          <w:b/>
          <w:sz w:val="22"/>
        </w:rPr>
        <w:br/>
        <w:t>PATRIMOINE CULTUREL IMMATÉRIEL</w:t>
      </w:r>
    </w:p>
    <w:p w14:paraId="2F1AD104" w14:textId="77777777" w:rsidR="00BC3420" w:rsidRPr="002C7FBC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2C7FBC">
        <w:rPr>
          <w:rFonts w:ascii="Arial" w:hAnsi="Arial"/>
          <w:b/>
          <w:sz w:val="22"/>
        </w:rPr>
        <w:t>COMITÉ INTERGOUVERNEMENTAL DE SAUVEGARDE</w:t>
      </w:r>
      <w:r w:rsidRPr="002C7FBC">
        <w:rPr>
          <w:rFonts w:ascii="Arial" w:hAnsi="Arial"/>
          <w:b/>
          <w:sz w:val="22"/>
        </w:rPr>
        <w:br/>
        <w:t>DU PATRIMOINE CULTUREL IMMATÉRIEL</w:t>
      </w:r>
    </w:p>
    <w:p w14:paraId="32D15B6C" w14:textId="27A686CC" w:rsidR="00BC3420" w:rsidRPr="002C7FBC" w:rsidRDefault="0034414F" w:rsidP="00F4581D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2C7FBC">
        <w:rPr>
          <w:rFonts w:ascii="Arial" w:hAnsi="Arial"/>
          <w:b/>
          <w:sz w:val="22"/>
        </w:rPr>
        <w:t>Vingtième session</w:t>
      </w:r>
    </w:p>
    <w:p w14:paraId="7309CEF6" w14:textId="402D56FC" w:rsidR="00F4581D" w:rsidRPr="002C7FBC" w:rsidRDefault="0034414F" w:rsidP="00F4581D">
      <w:pPr>
        <w:jc w:val="center"/>
        <w:rPr>
          <w:rFonts w:ascii="Arial" w:hAnsi="Arial"/>
          <w:b/>
          <w:sz w:val="22"/>
        </w:rPr>
      </w:pPr>
      <w:r w:rsidRPr="002C7FBC">
        <w:rPr>
          <w:rFonts w:ascii="Arial" w:hAnsi="Arial"/>
          <w:b/>
          <w:sz w:val="22"/>
        </w:rPr>
        <w:t>New Delhi, République de l’Inde</w:t>
      </w:r>
    </w:p>
    <w:p w14:paraId="552550E8" w14:textId="37A78E23" w:rsidR="00EF74E3" w:rsidRPr="002C7FBC" w:rsidRDefault="0034414F" w:rsidP="00F4581D">
      <w:pPr>
        <w:jc w:val="center"/>
        <w:rPr>
          <w:rFonts w:ascii="Arial" w:hAnsi="Arial"/>
          <w:b/>
          <w:sz w:val="22"/>
        </w:rPr>
      </w:pPr>
      <w:r w:rsidRPr="002C7FBC">
        <w:rPr>
          <w:rFonts w:ascii="Arial" w:hAnsi="Arial"/>
          <w:b/>
          <w:sz w:val="22"/>
        </w:rPr>
        <w:t>8 – 13 décembre 2025</w:t>
      </w:r>
    </w:p>
    <w:p w14:paraId="72EF57E2" w14:textId="013EC61A" w:rsidR="008F09EC" w:rsidRPr="002C7FBC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2C7FBC">
        <w:rPr>
          <w:rFonts w:ascii="Arial" w:hAnsi="Arial"/>
          <w:b/>
          <w:sz w:val="22"/>
          <w:u w:val="single"/>
        </w:rPr>
        <w:t>Point 3 de l’ordre du jour provisoire</w:t>
      </w:r>
      <w:r w:rsidRPr="002C7FBC">
        <w:rPr>
          <w:rFonts w:ascii="Arial" w:hAnsi="Arial"/>
          <w:b/>
          <w:sz w:val="22"/>
        </w:rPr>
        <w:t> :</w:t>
      </w:r>
    </w:p>
    <w:p w14:paraId="630B69F1" w14:textId="60C0B310" w:rsidR="008F09EC" w:rsidRPr="002C7FBC" w:rsidRDefault="004E255E" w:rsidP="00114C01">
      <w:pPr>
        <w:pStyle w:val="Sansinterligne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2C7FBC">
        <w:rPr>
          <w:rFonts w:ascii="Arial" w:hAnsi="Arial"/>
          <w:b/>
          <w:sz w:val="22"/>
        </w:rPr>
        <w:t>Observateurs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2C7FBC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08DD5C4D" w:rsidR="008F09EC" w:rsidRPr="002C7FBC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7FBC">
              <w:rPr>
                <w:rFonts w:ascii="Arial" w:hAnsi="Arial"/>
                <w:b/>
                <w:sz w:val="22"/>
              </w:rPr>
              <w:t xml:space="preserve">Décision requise : </w:t>
            </w:r>
            <w:r w:rsidRPr="002C7FBC">
              <w:rPr>
                <w:rFonts w:ascii="Arial" w:hAnsi="Arial"/>
                <w:sz w:val="22"/>
              </w:rPr>
              <w:t xml:space="preserve">paragraphe </w:t>
            </w:r>
            <w:r w:rsidR="00D92941">
              <w:rPr>
                <w:rFonts w:ascii="Arial" w:hAnsi="Arial"/>
                <w:sz w:val="22"/>
              </w:rPr>
              <w:t>6</w:t>
            </w:r>
          </w:p>
        </w:tc>
      </w:tr>
    </w:tbl>
    <w:p w14:paraId="5072A522" w14:textId="77777777" w:rsidR="009B5302" w:rsidRPr="002C7FBC" w:rsidRDefault="00BC3420" w:rsidP="007E60C6">
      <w:pPr>
        <w:pStyle w:val="COMTitleDecision"/>
        <w:spacing w:before="360" w:after="240"/>
        <w:ind w:left="0"/>
      </w:pPr>
      <w:r w:rsidRPr="002C7FBC">
        <w:br w:type="page"/>
      </w:r>
    </w:p>
    <w:p w14:paraId="27ACCA5A" w14:textId="35C30F36" w:rsidR="004E255E" w:rsidRPr="002C7FBC" w:rsidRDefault="004E255E" w:rsidP="004E255E">
      <w:pPr>
        <w:pStyle w:val="COMPara"/>
        <w:numPr>
          <w:ilvl w:val="0"/>
          <w:numId w:val="9"/>
        </w:numPr>
        <w:ind w:left="567" w:hanging="567"/>
        <w:jc w:val="both"/>
      </w:pPr>
      <w:r w:rsidRPr="002C7FBC">
        <w:lastRenderedPageBreak/>
        <w:t xml:space="preserve">Conformément à l'article 8 </w:t>
      </w:r>
      <w:r w:rsidR="00ED3643">
        <w:t>du Règlement intérieur</w:t>
      </w:r>
      <w:r w:rsidRPr="002C7FBC">
        <w:t xml:space="preserve"> du Comité, les entités suivantes peuvent assister aux sessions du Comité en </w:t>
      </w:r>
      <w:r w:rsidR="007A7A84">
        <w:t>qualité d’</w:t>
      </w:r>
      <w:r w:rsidRPr="002C7FBC">
        <w:t xml:space="preserve">observateurs : (a) les États parties à la Convention qui ne sont pas membres du Comité (article 8.1) et (b) les États </w:t>
      </w:r>
      <w:r w:rsidR="007A7A84">
        <w:t>qui ne sont pas</w:t>
      </w:r>
      <w:r w:rsidR="007A7A84" w:rsidRPr="002C7FBC">
        <w:t xml:space="preserve"> </w:t>
      </w:r>
      <w:r w:rsidRPr="002C7FBC">
        <w:t xml:space="preserve">parties à la Convention </w:t>
      </w:r>
      <w:r w:rsidR="007A7A84">
        <w:t xml:space="preserve">mais </w:t>
      </w:r>
      <w:r w:rsidRPr="002C7FBC">
        <w:t>qui sont membres de l'UNESCO ou des Nations Unies</w:t>
      </w:r>
      <w:r w:rsidR="007A7A84">
        <w:t>,</w:t>
      </w:r>
      <w:r w:rsidRPr="002C7FBC">
        <w:t xml:space="preserve"> les Membres associés de l'UNESCO</w:t>
      </w:r>
      <w:r w:rsidR="007A7A84">
        <w:t>,</w:t>
      </w:r>
      <w:r w:rsidRPr="002C7FBC">
        <w:t xml:space="preserve"> les </w:t>
      </w:r>
      <w:r w:rsidR="007A7A84">
        <w:t>m</w:t>
      </w:r>
      <w:r w:rsidRPr="002C7FBC">
        <w:t>issions permanentes d'observation auprès de l'UNESCO</w:t>
      </w:r>
      <w:r w:rsidR="007A7A84">
        <w:t>,</w:t>
      </w:r>
      <w:r w:rsidRPr="002C7FBC">
        <w:t xml:space="preserve"> les représentants des Nations Unies et des </w:t>
      </w:r>
      <w:r w:rsidR="007A7A84">
        <w:t>institutions</w:t>
      </w:r>
      <w:r w:rsidR="007A7A84" w:rsidRPr="002C7FBC">
        <w:t xml:space="preserve"> </w:t>
      </w:r>
      <w:r w:rsidRPr="002C7FBC">
        <w:t>du système des Nations Unies (article 8.2).</w:t>
      </w:r>
    </w:p>
    <w:p w14:paraId="2ADBB457" w14:textId="187989B0" w:rsidR="004E255E" w:rsidRPr="002C7FBC" w:rsidRDefault="004E255E" w:rsidP="004E255E">
      <w:pPr>
        <w:pStyle w:val="COMPara"/>
        <w:numPr>
          <w:ilvl w:val="0"/>
          <w:numId w:val="9"/>
        </w:numPr>
        <w:ind w:left="567" w:hanging="567"/>
        <w:jc w:val="both"/>
      </w:pPr>
      <w:r w:rsidRPr="002C7FBC">
        <w:t xml:space="preserve">Le Comité peut également autoriser des organisations intergouvernementales autres que celles mentionnées à l'article 8.2, ainsi que des organismes publics ou privés et des personnes </w:t>
      </w:r>
      <w:r w:rsidR="005F3953">
        <w:t>physiques</w:t>
      </w:r>
      <w:r w:rsidRPr="002C7FBC">
        <w:t xml:space="preserve">, ayant une compétence reconnue dans les différents domaines du patrimoine culturel immatériel, à </w:t>
      </w:r>
      <w:r w:rsidR="009461AE">
        <w:t>participer</w:t>
      </w:r>
      <w:r w:rsidR="009461AE" w:rsidRPr="002C7FBC">
        <w:t xml:space="preserve"> </w:t>
      </w:r>
      <w:r w:rsidRPr="002C7FBC">
        <w:t xml:space="preserve">à ses futures sessions en qualité d'observateurs, sur demande écrite (article 8.3). Le Comité peut en outre autoriser ces institutions, organisations ou personnes </w:t>
      </w:r>
      <w:r w:rsidR="00ED3643">
        <w:t>physiques</w:t>
      </w:r>
      <w:r w:rsidR="00ED3643" w:rsidRPr="002C7FBC">
        <w:t xml:space="preserve"> </w:t>
      </w:r>
      <w:r w:rsidRPr="002C7FBC">
        <w:t xml:space="preserve">à </w:t>
      </w:r>
      <w:r w:rsidR="009461AE">
        <w:t>participer</w:t>
      </w:r>
      <w:r w:rsidR="009461AE" w:rsidRPr="002C7FBC">
        <w:t xml:space="preserve"> </w:t>
      </w:r>
      <w:r w:rsidRPr="002C7FBC">
        <w:t>à une ou plusieurs de ses sessions, sans préjudice du droit du Comité de limiter le nombre de représentants par organisation ou institution (article 8.3).</w:t>
      </w:r>
    </w:p>
    <w:p w14:paraId="49A238AF" w14:textId="5C8E0589" w:rsidR="004E255E" w:rsidRPr="002C7FBC" w:rsidRDefault="004E255E" w:rsidP="004E255E">
      <w:pPr>
        <w:pStyle w:val="COMPara"/>
        <w:numPr>
          <w:ilvl w:val="0"/>
          <w:numId w:val="9"/>
        </w:numPr>
        <w:ind w:left="567" w:hanging="567"/>
        <w:jc w:val="both"/>
      </w:pPr>
      <w:r w:rsidRPr="002C7FBC">
        <w:t xml:space="preserve">Lors de sa dix-huitième session, le Comité a décidé d'autoriser le </w:t>
      </w:r>
      <w:hyperlink r:id="rId8" w:history="1">
        <w:r w:rsidRPr="002C7FBC">
          <w:rPr>
            <w:rStyle w:val="Lienhypertexte"/>
          </w:rPr>
          <w:t>Centre international d'études pour la conservation et la restauration des biens culturels</w:t>
        </w:r>
      </w:hyperlink>
      <w:r w:rsidRPr="002C7FBC">
        <w:t xml:space="preserve"> (ICCROM) à participer, en </w:t>
      </w:r>
      <w:r w:rsidR="009461AE">
        <w:t>qualité d</w:t>
      </w:r>
      <w:r w:rsidRPr="002C7FBC">
        <w:t xml:space="preserve">'observateur, à ses dix-neuvième, vingtième, vingt et unième et vingt-deuxième sessions en 2024, 2025, 2026 et 2027, respectivement (Décision </w:t>
      </w:r>
      <w:hyperlink r:id="rId9" w:history="1">
        <w:r w:rsidRPr="002C7FBC">
          <w:rPr>
            <w:rStyle w:val="Lienhypertexte"/>
          </w:rPr>
          <w:t>18.COM 3</w:t>
        </w:r>
      </w:hyperlink>
      <w:r w:rsidRPr="002C7FBC">
        <w:t>).</w:t>
      </w:r>
    </w:p>
    <w:p w14:paraId="6F656B8F" w14:textId="7EEEB777" w:rsidR="004E255E" w:rsidRPr="002C7FBC" w:rsidRDefault="004E255E" w:rsidP="004E255E">
      <w:pPr>
        <w:pStyle w:val="COMPara"/>
        <w:numPr>
          <w:ilvl w:val="0"/>
          <w:numId w:val="9"/>
        </w:numPr>
        <w:ind w:left="567" w:hanging="567"/>
        <w:jc w:val="both"/>
      </w:pPr>
      <w:r w:rsidRPr="002C7FBC">
        <w:t>Lors de sa dix-neuvième session, le Comité a décidé d'autoriser l’</w:t>
      </w:r>
      <w:hyperlink r:id="rId10" w:history="1">
        <w:r w:rsidRPr="002C7FBC">
          <w:rPr>
            <w:rStyle w:val="Lienhypertexte"/>
          </w:rPr>
          <w:t>Organisation arabe pour l'éducation, la culture et l</w:t>
        </w:r>
        <w:r w:rsidR="007A7A84">
          <w:rPr>
            <w:rStyle w:val="Lienhypertexte"/>
          </w:rPr>
          <w:t>es</w:t>
        </w:r>
        <w:r w:rsidRPr="002C7FBC">
          <w:rPr>
            <w:rStyle w:val="Lienhypertexte"/>
          </w:rPr>
          <w:t xml:space="preserve"> scienc</w:t>
        </w:r>
        <w:r w:rsidR="007A7A84">
          <w:rPr>
            <w:rStyle w:val="Lienhypertexte"/>
          </w:rPr>
          <w:t>es</w:t>
        </w:r>
      </w:hyperlink>
      <w:r w:rsidRPr="002C7FBC">
        <w:t xml:space="preserve"> (ALECSO) à participer, en </w:t>
      </w:r>
      <w:r w:rsidR="009461AE">
        <w:t>qualité d</w:t>
      </w:r>
      <w:r w:rsidRPr="002C7FBC">
        <w:t xml:space="preserve">'observateur, à ses vingtième, vingt et unième et vingt-deuxième sessions, en 2025, 2026 et 2027 respectivement (Décision </w:t>
      </w:r>
      <w:hyperlink r:id="rId11" w:history="1">
        <w:r w:rsidRPr="002C7FBC">
          <w:rPr>
            <w:rStyle w:val="Lienhypertexte"/>
          </w:rPr>
          <w:t>19.COM 3</w:t>
        </w:r>
      </w:hyperlink>
      <w:r w:rsidRPr="002C7FBC">
        <w:t>).</w:t>
      </w:r>
    </w:p>
    <w:p w14:paraId="3F65F8E2" w14:textId="657B3BD7" w:rsidR="004E255E" w:rsidRPr="002C7FBC" w:rsidRDefault="004E255E" w:rsidP="004E255E">
      <w:pPr>
        <w:pStyle w:val="COMPara"/>
        <w:numPr>
          <w:ilvl w:val="0"/>
          <w:numId w:val="9"/>
        </w:numPr>
        <w:ind w:left="567" w:hanging="567"/>
        <w:jc w:val="both"/>
      </w:pPr>
      <w:r w:rsidRPr="002C7FBC">
        <w:t xml:space="preserve">À ce jour, aucune autre entité ou personne </w:t>
      </w:r>
      <w:r w:rsidR="007A7A84">
        <w:t>physique</w:t>
      </w:r>
      <w:r w:rsidR="007A7A84" w:rsidRPr="002C7FBC">
        <w:t xml:space="preserve"> </w:t>
      </w:r>
      <w:r w:rsidRPr="002C7FBC">
        <w:t xml:space="preserve">n'a demandé par écrit à participer aux futures sessions du Comité en </w:t>
      </w:r>
      <w:r w:rsidR="007A7A84">
        <w:t>qualité d’</w:t>
      </w:r>
      <w:r w:rsidRPr="002C7FBC">
        <w:t>observateur.</w:t>
      </w:r>
    </w:p>
    <w:p w14:paraId="4609C513" w14:textId="77777777" w:rsidR="004E255E" w:rsidRPr="002C7FBC" w:rsidRDefault="004E255E" w:rsidP="004E255E">
      <w:pPr>
        <w:pStyle w:val="COMPara"/>
        <w:numPr>
          <w:ilvl w:val="0"/>
          <w:numId w:val="9"/>
        </w:numPr>
        <w:ind w:left="567" w:hanging="567"/>
      </w:pPr>
      <w:r w:rsidRPr="002C7FBC">
        <w:t>Le Comité souhaitera peut-être adopter la décision suivante :</w:t>
      </w:r>
    </w:p>
    <w:p w14:paraId="182ADC81" w14:textId="45478AC1" w:rsidR="007E60C6" w:rsidRPr="002C7FBC" w:rsidRDefault="007E60C6" w:rsidP="007E60C6">
      <w:pPr>
        <w:pStyle w:val="GATitleResolution"/>
      </w:pPr>
      <w:r w:rsidRPr="002C7FBC">
        <w:t>PROJET DE DÉCISION 20.COM 3</w:t>
      </w:r>
    </w:p>
    <w:p w14:paraId="3F5A1010" w14:textId="77777777" w:rsidR="007E60C6" w:rsidRPr="002C7FBC" w:rsidRDefault="007E60C6" w:rsidP="007E60C6">
      <w:pPr>
        <w:pStyle w:val="COMPreambulaDecision"/>
      </w:pPr>
      <w:r w:rsidRPr="002C7FBC">
        <w:t>Le Comité,</w:t>
      </w:r>
    </w:p>
    <w:p w14:paraId="78646868" w14:textId="77777777" w:rsidR="004E255E" w:rsidRPr="002C7FBC" w:rsidRDefault="004E255E" w:rsidP="004E255E">
      <w:pPr>
        <w:pStyle w:val="COMParaDecision"/>
      </w:pPr>
      <w:r w:rsidRPr="002C7FBC">
        <w:t>Ayant examiné</w:t>
      </w:r>
      <w:r w:rsidRPr="005F3953">
        <w:rPr>
          <w:u w:val="none"/>
        </w:rPr>
        <w:t xml:space="preserve"> </w:t>
      </w:r>
      <w:r w:rsidRPr="002C7FBC">
        <w:rPr>
          <w:u w:val="none"/>
        </w:rPr>
        <w:t>le document LHE/25/20.COM/3,</w:t>
      </w:r>
    </w:p>
    <w:p w14:paraId="3F065DFC" w14:textId="43B392A1" w:rsidR="004E255E" w:rsidRPr="002C7FBC" w:rsidRDefault="004E255E" w:rsidP="004E255E">
      <w:pPr>
        <w:pStyle w:val="COMParaDecision"/>
      </w:pPr>
      <w:r w:rsidRPr="002C7FBC">
        <w:t>Rappelant</w:t>
      </w:r>
      <w:r w:rsidRPr="002C7FBC">
        <w:rPr>
          <w:u w:val="none"/>
        </w:rPr>
        <w:t xml:space="preserve"> les articles 8.1, 8.2 et 8.3 d</w:t>
      </w:r>
      <w:r w:rsidR="009461AE">
        <w:rPr>
          <w:u w:val="none"/>
        </w:rPr>
        <w:t>u Règlement intérieur du Comité</w:t>
      </w:r>
      <w:r w:rsidRPr="005F3953">
        <w:rPr>
          <w:u w:val="none"/>
        </w:rPr>
        <w:t>,</w:t>
      </w:r>
    </w:p>
    <w:p w14:paraId="72505E4A" w14:textId="7E811776" w:rsidR="004E255E" w:rsidRPr="002C7FBC" w:rsidRDefault="004E255E" w:rsidP="004E255E">
      <w:pPr>
        <w:pStyle w:val="COMParaDecision"/>
      </w:pPr>
      <w:r w:rsidRPr="00B46C74">
        <w:t xml:space="preserve">Rappelant </w:t>
      </w:r>
      <w:r w:rsidRPr="002C7FBC">
        <w:t>en outre</w:t>
      </w:r>
      <w:r w:rsidRPr="002C7FBC">
        <w:rPr>
          <w:u w:val="none"/>
        </w:rPr>
        <w:t xml:space="preserve"> ses décisions </w:t>
      </w:r>
      <w:hyperlink r:id="rId12" w:history="1">
        <w:r w:rsidRPr="002C7FBC">
          <w:rPr>
            <w:rStyle w:val="Lienhypertexte"/>
          </w:rPr>
          <w:t>18.COM 3</w:t>
        </w:r>
      </w:hyperlink>
      <w:r w:rsidRPr="002C7FBC">
        <w:rPr>
          <w:u w:val="none"/>
        </w:rPr>
        <w:t xml:space="preserve"> et </w:t>
      </w:r>
      <w:hyperlink r:id="rId13" w:history="1">
        <w:r w:rsidRPr="002C7FBC">
          <w:rPr>
            <w:rStyle w:val="Lienhypertexte"/>
          </w:rPr>
          <w:t>19.COM 3</w:t>
        </w:r>
      </w:hyperlink>
      <w:r w:rsidRPr="002C7FBC">
        <w:rPr>
          <w:u w:val="none"/>
        </w:rPr>
        <w:t>,</w:t>
      </w:r>
    </w:p>
    <w:p w14:paraId="103E439B" w14:textId="5B0CF710" w:rsidR="004E255E" w:rsidRPr="002C7FBC" w:rsidRDefault="004E255E" w:rsidP="004E255E">
      <w:pPr>
        <w:pStyle w:val="COMParaDecision"/>
        <w:rPr>
          <w:u w:val="none"/>
        </w:rPr>
      </w:pPr>
      <w:r w:rsidRPr="002C7FBC">
        <w:t>Prend note</w:t>
      </w:r>
      <w:r w:rsidRPr="002C7FBC">
        <w:rPr>
          <w:u w:val="none"/>
        </w:rPr>
        <w:t xml:space="preserve"> des observateurs suivants, autorisés à participer à sa vingtième session, conformément aux décisions susmentionnées :</w:t>
      </w:r>
    </w:p>
    <w:p w14:paraId="3FB45B90" w14:textId="6A29E1F2" w:rsidR="004E255E" w:rsidRPr="002C7FBC" w:rsidRDefault="004E255E" w:rsidP="004E255E">
      <w:pPr>
        <w:pStyle w:val="COMParaDecision"/>
        <w:numPr>
          <w:ilvl w:val="1"/>
          <w:numId w:val="20"/>
        </w:numPr>
        <w:ind w:left="1701" w:hanging="567"/>
        <w:rPr>
          <w:u w:val="none"/>
        </w:rPr>
      </w:pPr>
      <w:r w:rsidRPr="002C7FBC">
        <w:rPr>
          <w:u w:val="none"/>
        </w:rPr>
        <w:t>Le Centre international d</w:t>
      </w:r>
      <w:r w:rsidR="002025C7">
        <w:rPr>
          <w:u w:val="none"/>
        </w:rPr>
        <w:t>’</w:t>
      </w:r>
      <w:r w:rsidRPr="002C7FBC">
        <w:rPr>
          <w:u w:val="none"/>
        </w:rPr>
        <w:t>études pour la conservation et la restauration des biens culturels (ICCROM) ;</w:t>
      </w:r>
    </w:p>
    <w:p w14:paraId="05297D61" w14:textId="14908A55" w:rsidR="004E255E" w:rsidRPr="002C7FBC" w:rsidRDefault="004E255E" w:rsidP="004E255E">
      <w:pPr>
        <w:pStyle w:val="COMParaDecision"/>
        <w:numPr>
          <w:ilvl w:val="1"/>
          <w:numId w:val="20"/>
        </w:numPr>
        <w:ind w:left="1701" w:hanging="567"/>
        <w:rPr>
          <w:u w:val="none"/>
        </w:rPr>
      </w:pPr>
      <w:r w:rsidRPr="002C7FBC">
        <w:rPr>
          <w:u w:val="none"/>
        </w:rPr>
        <w:t>L'Organisation arabe pour l</w:t>
      </w:r>
      <w:r w:rsidR="002025C7">
        <w:rPr>
          <w:u w:val="none"/>
        </w:rPr>
        <w:t>’</w:t>
      </w:r>
      <w:r w:rsidRPr="002C7FBC">
        <w:rPr>
          <w:u w:val="none"/>
        </w:rPr>
        <w:t>éducation, la culture et l</w:t>
      </w:r>
      <w:r w:rsidR="009461AE">
        <w:rPr>
          <w:u w:val="none"/>
        </w:rPr>
        <w:t>es</w:t>
      </w:r>
      <w:r w:rsidRPr="002C7FBC">
        <w:rPr>
          <w:u w:val="none"/>
        </w:rPr>
        <w:t xml:space="preserve"> science</w:t>
      </w:r>
      <w:r w:rsidR="009461AE">
        <w:rPr>
          <w:u w:val="none"/>
        </w:rPr>
        <w:t>s</w:t>
      </w:r>
      <w:r w:rsidRPr="002C7FBC">
        <w:rPr>
          <w:u w:val="none"/>
        </w:rPr>
        <w:t xml:space="preserve"> (ALECSO).</w:t>
      </w:r>
    </w:p>
    <w:p w14:paraId="65261340" w14:textId="4C7959EB" w:rsidR="002E2F53" w:rsidRPr="002C7FBC" w:rsidRDefault="002E2F53" w:rsidP="004E255E">
      <w:pPr>
        <w:pStyle w:val="COMParaDecision"/>
        <w:numPr>
          <w:ilvl w:val="0"/>
          <w:numId w:val="0"/>
        </w:numPr>
        <w:ind w:left="1134"/>
        <w:jc w:val="left"/>
        <w:rPr>
          <w:u w:val="none"/>
        </w:rPr>
      </w:pPr>
    </w:p>
    <w:sectPr w:rsidR="002E2F53" w:rsidRPr="002C7FBC" w:rsidSect="00655736">
      <w:headerReference w:type="even" r:id="rId14"/>
      <w:headerReference w:type="default" r:id="rId15"/>
      <w:headerReference w:type="first" r:id="rId16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410C" w14:textId="77777777" w:rsidR="00993211" w:rsidRDefault="00993211" w:rsidP="00655736">
      <w:r>
        <w:separator/>
      </w:r>
    </w:p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5C" w14:textId="6DFA6455" w:rsidR="006B5001" w:rsidRPr="002E58D4" w:rsidRDefault="008F09EC" w:rsidP="00461168">
    <w:pPr>
      <w:pStyle w:val="En-tte"/>
      <w:rPr>
        <w:rFonts w:ascii="Arial" w:hAnsi="Arial" w:cs="Arial"/>
      </w:rPr>
    </w:pPr>
    <w:r>
      <w:rPr>
        <w:rFonts w:ascii="Arial" w:hAnsi="Arial"/>
        <w:sz w:val="20"/>
      </w:rPr>
      <w:t>LHE/25/20.COM/</w:t>
    </w:r>
    <w:r w:rsidR="00D92941">
      <w:rPr>
        <w:rFonts w:ascii="Arial" w:hAnsi="Arial"/>
        <w:sz w:val="20"/>
      </w:rPr>
      <w:t xml:space="preserve">3 </w:t>
    </w:r>
    <w:r>
      <w:rPr>
        <w:rFonts w:ascii="Arial" w:hAnsi="Arial"/>
        <w:sz w:val="20"/>
      </w:rPr>
      <w:t xml:space="preserve">– page </w:t>
    </w:r>
    <w:r w:rsidR="00E9376C" w:rsidRPr="00EF563B">
      <w:rPr>
        <w:rStyle w:val="Numrodepage"/>
        <w:rFonts w:ascii="Arial" w:hAnsi="Arial" w:cs="Arial"/>
        <w:sz w:val="20"/>
      </w:rPr>
      <w:fldChar w:fldCharType="begin"/>
    </w:r>
    <w:r w:rsidR="00E9376C" w:rsidRPr="00EF563B">
      <w:rPr>
        <w:rStyle w:val="Numrodepage"/>
        <w:rFonts w:ascii="Arial" w:hAnsi="Arial" w:cs="Arial"/>
        <w:sz w:val="20"/>
      </w:rPr>
      <w:instrText xml:space="preserve"> </w:instrText>
    </w:r>
    <w:r w:rsidR="00E9376C">
      <w:rPr>
        <w:rStyle w:val="Numrodepage"/>
        <w:rFonts w:ascii="Arial" w:hAnsi="Arial" w:cs="Arial"/>
        <w:sz w:val="20"/>
      </w:rPr>
      <w:instrText>PAGE</w:instrText>
    </w:r>
    <w:r w:rsidR="00E9376C" w:rsidRPr="00EF563B">
      <w:rPr>
        <w:rStyle w:val="Numrodepage"/>
        <w:rFonts w:ascii="Arial" w:hAnsi="Arial" w:cs="Arial"/>
        <w:sz w:val="20"/>
      </w:rPr>
      <w:instrText xml:space="preserve"> </w:instrText>
    </w:r>
    <w:r w:rsidR="00E9376C" w:rsidRPr="00EF563B">
      <w:rPr>
        <w:rStyle w:val="Numrodepage"/>
        <w:rFonts w:ascii="Arial" w:hAnsi="Arial" w:cs="Arial"/>
        <w:sz w:val="20"/>
      </w:rPr>
      <w:fldChar w:fldCharType="separate"/>
    </w:r>
    <w:r w:rsidR="009B223B">
      <w:rPr>
        <w:rStyle w:val="Numrodepage"/>
        <w:rFonts w:ascii="Arial" w:hAnsi="Arial" w:cs="Arial"/>
        <w:sz w:val="20"/>
      </w:rPr>
      <w:t>2</w:t>
    </w:r>
    <w:r w:rsidR="00E9376C" w:rsidRPr="00EF563B">
      <w:rPr>
        <w:rStyle w:val="Numrodepage"/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CBE" w14:textId="20D819CF" w:rsidR="006B5001" w:rsidRPr="00BC3420" w:rsidRDefault="008F09EC" w:rsidP="00461168">
    <w:pPr>
      <w:pStyle w:val="En-tte"/>
      <w:jc w:val="right"/>
      <w:rPr>
        <w:rFonts w:ascii="Arial" w:hAnsi="Arial" w:cs="Arial"/>
      </w:rPr>
    </w:pPr>
    <w:r>
      <w:rPr>
        <w:rFonts w:ascii="Arial" w:hAnsi="Arial"/>
        <w:sz w:val="20"/>
      </w:rPr>
      <w:t>LHE/24/19.COM/</w:t>
    </w:r>
    <w:r>
      <w:rPr>
        <w:rFonts w:ascii="Arial" w:hAnsi="Arial"/>
        <w:sz w:val="20"/>
        <w:highlight w:val="yellow"/>
      </w:rPr>
      <w:t>xxx</w:t>
    </w:r>
    <w:r>
      <w:rPr>
        <w:rFonts w:ascii="Arial" w:hAnsi="Arial"/>
        <w:sz w:val="20"/>
      </w:rPr>
      <w:t xml:space="preserve"> – page </w:t>
    </w:r>
    <w:r w:rsidR="002C0D14" w:rsidRPr="00EF563B">
      <w:rPr>
        <w:rStyle w:val="Numrodepage"/>
        <w:rFonts w:ascii="Arial" w:hAnsi="Arial" w:cs="Arial"/>
        <w:sz w:val="20"/>
      </w:rPr>
      <w:fldChar w:fldCharType="begin"/>
    </w:r>
    <w:r w:rsidR="002C0D14" w:rsidRPr="00EF563B">
      <w:rPr>
        <w:rStyle w:val="Numrodepage"/>
        <w:rFonts w:ascii="Arial" w:hAnsi="Arial" w:cs="Arial"/>
        <w:sz w:val="20"/>
      </w:rPr>
      <w:instrText xml:space="preserve"> </w:instrText>
    </w:r>
    <w:r w:rsidR="002C0D14">
      <w:rPr>
        <w:rStyle w:val="Numrodepage"/>
        <w:rFonts w:ascii="Arial" w:hAnsi="Arial" w:cs="Arial"/>
        <w:sz w:val="20"/>
      </w:rPr>
      <w:instrText>PAGE</w:instrText>
    </w:r>
    <w:r w:rsidR="002C0D14" w:rsidRPr="00EF563B">
      <w:rPr>
        <w:rStyle w:val="Numrodepage"/>
        <w:rFonts w:ascii="Arial" w:hAnsi="Arial" w:cs="Arial"/>
        <w:sz w:val="20"/>
      </w:rPr>
      <w:instrText xml:space="preserve"> </w:instrText>
    </w:r>
    <w:r w:rsidR="002C0D14" w:rsidRPr="00EF563B">
      <w:rPr>
        <w:rStyle w:val="Numrodepage"/>
        <w:rFonts w:ascii="Arial" w:hAnsi="Arial" w:cs="Arial"/>
        <w:sz w:val="20"/>
      </w:rPr>
      <w:fldChar w:fldCharType="separate"/>
    </w:r>
    <w:r w:rsidR="007C354B">
      <w:rPr>
        <w:rStyle w:val="Numrodepage"/>
        <w:rFonts w:ascii="Arial" w:hAnsi="Arial" w:cs="Arial"/>
        <w:sz w:val="20"/>
      </w:rPr>
      <w:t>3</w:t>
    </w:r>
    <w:r w:rsidR="002C0D14" w:rsidRPr="00EF563B">
      <w:rPr>
        <w:rStyle w:val="Numrodepage"/>
        <w:rFonts w:ascii="Arial" w:hAnsi="Arial"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5A4" w14:textId="645F339E" w:rsidR="00E9376C" w:rsidRPr="008B64DF" w:rsidRDefault="00F84A0B">
    <w:pPr>
      <w:pStyle w:val="En-tte"/>
      <w:rPr>
        <w:sz w:val="22"/>
        <w:szCs w:val="22"/>
      </w:rPr>
    </w:pPr>
    <w:r>
      <w:rPr>
        <w:rFonts w:ascii="Arial" w:hAnsi="Arial"/>
        <w:b/>
        <w:noProof/>
        <w:sz w:val="44"/>
      </w:rPr>
      <w:drawing>
        <wp:anchor distT="0" distB="0" distL="114300" distR="114300" simplePos="0" relativeHeight="251659264" behindDoc="0" locked="0" layoutInCell="1" allowOverlap="1" wp14:anchorId="334C283D" wp14:editId="42A0A2A2">
          <wp:simplePos x="0" y="0"/>
          <wp:positionH relativeFrom="margin">
            <wp:align>left</wp:align>
          </wp:positionH>
          <wp:positionV relativeFrom="paragraph">
            <wp:posOffset>60960</wp:posOffset>
          </wp:positionV>
          <wp:extent cx="1710000" cy="1436138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000" cy="143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EAA2E" w14:textId="0589DF8F" w:rsidR="00E9376C" w:rsidRPr="002C7FBC" w:rsidRDefault="0034414F" w:rsidP="008F09EC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2C7FBC">
      <w:rPr>
        <w:rFonts w:ascii="Arial" w:hAnsi="Arial"/>
        <w:b/>
        <w:sz w:val="44"/>
        <w:lang w:val="pt-PT"/>
      </w:rPr>
      <w:t>20 COM</w:t>
    </w:r>
  </w:p>
  <w:p w14:paraId="4AD38C3D" w14:textId="39E7F01D" w:rsidR="00E9376C" w:rsidRPr="002C7FBC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2C7FBC">
      <w:rPr>
        <w:rFonts w:ascii="Arial" w:hAnsi="Arial"/>
        <w:b/>
        <w:sz w:val="22"/>
        <w:lang w:val="pt-PT"/>
      </w:rPr>
      <w:t>LHE/25/20.COM/</w:t>
    </w:r>
    <w:r w:rsidR="00D92941">
      <w:rPr>
        <w:rFonts w:ascii="Arial" w:hAnsi="Arial"/>
        <w:b/>
        <w:sz w:val="22"/>
        <w:lang w:val="pt-PT"/>
      </w:rPr>
      <w:t>3</w:t>
    </w:r>
  </w:p>
  <w:p w14:paraId="30B7DEB9" w14:textId="11F35D48" w:rsidR="00E9376C" w:rsidRPr="002C7FBC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/>
      </w:rPr>
    </w:pPr>
    <w:r w:rsidRPr="002C7FBC">
      <w:rPr>
        <w:rFonts w:ascii="Arial" w:hAnsi="Arial"/>
        <w:b/>
        <w:sz w:val="22"/>
        <w:lang w:val="pt-PT"/>
      </w:rPr>
      <w:t xml:space="preserve">Paris, le </w:t>
    </w:r>
    <w:r w:rsidR="00D92941">
      <w:rPr>
        <w:rFonts w:ascii="Arial" w:hAnsi="Arial"/>
        <w:b/>
        <w:sz w:val="22"/>
        <w:lang w:val="pt-PT"/>
      </w:rPr>
      <w:t>10 novembre</w:t>
    </w:r>
    <w:r w:rsidRPr="002C7FBC">
      <w:rPr>
        <w:rFonts w:ascii="Arial" w:hAnsi="Arial"/>
        <w:b/>
        <w:sz w:val="22"/>
        <w:lang w:val="pt-PT"/>
      </w:rPr>
      <w:t xml:space="preserve"> 2025</w:t>
    </w:r>
  </w:p>
  <w:p w14:paraId="18E81B87" w14:textId="06B81866" w:rsidR="00E9376C" w:rsidRPr="002C7FBC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2C7FBC">
      <w:rPr>
        <w:rFonts w:ascii="Arial" w:hAnsi="Arial"/>
        <w:b/>
        <w:sz w:val="22"/>
      </w:rPr>
      <w:t>Original : anglais</w:t>
    </w:r>
  </w:p>
  <w:p w14:paraId="1B74C5FD" w14:textId="77777777" w:rsidR="00E9376C" w:rsidRPr="004E255E" w:rsidRDefault="00E9376C">
    <w:pPr>
      <w:pStyle w:val="En-tte"/>
      <w:rPr>
        <w:vanish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4E47B5"/>
    <w:multiLevelType w:val="hybridMultilevel"/>
    <w:tmpl w:val="68FE4832"/>
    <w:lvl w:ilvl="0" w:tplc="1BC24516">
      <w:start w:val="1"/>
      <w:numFmt w:val="upperRoman"/>
      <w:pStyle w:val="Titre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FE"/>
    <w:multiLevelType w:val="hybridMultilevel"/>
    <w:tmpl w:val="1A1C2972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64FFC"/>
    <w:multiLevelType w:val="hybridMultilevel"/>
    <w:tmpl w:val="8FA2D8B6"/>
    <w:lvl w:ilvl="0" w:tplc="7CD8DD8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09C7C00"/>
    <w:multiLevelType w:val="hybridMultilevel"/>
    <w:tmpl w:val="E49CE51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98D0D670">
      <w:start w:val="19"/>
      <w:numFmt w:val="bullet"/>
      <w:lvlText w:val="-"/>
      <w:lvlJc w:val="left"/>
      <w:pPr>
        <w:ind w:left="2007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1643F"/>
    <w:multiLevelType w:val="hybridMultilevel"/>
    <w:tmpl w:val="1BB8B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332148">
    <w:abstractNumId w:val="13"/>
  </w:num>
  <w:num w:numId="2" w16cid:durableId="853350057">
    <w:abstractNumId w:val="7"/>
  </w:num>
  <w:num w:numId="3" w16cid:durableId="1589851626">
    <w:abstractNumId w:val="1"/>
  </w:num>
  <w:num w:numId="4" w16cid:durableId="1870560250">
    <w:abstractNumId w:val="18"/>
  </w:num>
  <w:num w:numId="5" w16cid:durableId="1596859225">
    <w:abstractNumId w:val="15"/>
  </w:num>
  <w:num w:numId="6" w16cid:durableId="2080975943">
    <w:abstractNumId w:val="0"/>
  </w:num>
  <w:num w:numId="7" w16cid:durableId="1851137970">
    <w:abstractNumId w:val="2"/>
  </w:num>
  <w:num w:numId="8" w16cid:durableId="1715739635">
    <w:abstractNumId w:val="10"/>
  </w:num>
  <w:num w:numId="9" w16cid:durableId="1954705027">
    <w:abstractNumId w:val="6"/>
  </w:num>
  <w:num w:numId="10" w16cid:durableId="1949507549">
    <w:abstractNumId w:val="8"/>
  </w:num>
  <w:num w:numId="11" w16cid:durableId="671029231">
    <w:abstractNumId w:val="5"/>
  </w:num>
  <w:num w:numId="12" w16cid:durableId="1165126896">
    <w:abstractNumId w:val="4"/>
  </w:num>
  <w:num w:numId="13" w16cid:durableId="90053317">
    <w:abstractNumId w:val="12"/>
  </w:num>
  <w:num w:numId="14" w16cid:durableId="1645357661">
    <w:abstractNumId w:val="3"/>
  </w:num>
  <w:num w:numId="15" w16cid:durableId="797996451">
    <w:abstractNumId w:val="17"/>
  </w:num>
  <w:num w:numId="16" w16cid:durableId="164127508">
    <w:abstractNumId w:val="11"/>
  </w:num>
  <w:num w:numId="17" w16cid:durableId="1405369454">
    <w:abstractNumId w:val="8"/>
    <w:lvlOverride w:ilvl="0">
      <w:startOverride w:val="1"/>
    </w:lvlOverride>
  </w:num>
  <w:num w:numId="18" w16cid:durableId="918949064">
    <w:abstractNumId w:val="16"/>
  </w:num>
  <w:num w:numId="19" w16cid:durableId="1916747193">
    <w:abstractNumId w:val="9"/>
  </w:num>
  <w:num w:numId="20" w16cid:durableId="1523517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10 COM_WORKING DOCUMENT_FR"/>
  </w:docVars>
  <w:rsids>
    <w:rsidRoot w:val="00EA602C"/>
    <w:rsid w:val="0001049E"/>
    <w:rsid w:val="00020BFC"/>
    <w:rsid w:val="00022428"/>
    <w:rsid w:val="000263BA"/>
    <w:rsid w:val="0003530D"/>
    <w:rsid w:val="0005176E"/>
    <w:rsid w:val="000573DC"/>
    <w:rsid w:val="00067DD7"/>
    <w:rsid w:val="00077AB7"/>
    <w:rsid w:val="00081CD8"/>
    <w:rsid w:val="0008329C"/>
    <w:rsid w:val="00084F78"/>
    <w:rsid w:val="000A7F0E"/>
    <w:rsid w:val="000C69BD"/>
    <w:rsid w:val="000E6CD7"/>
    <w:rsid w:val="000F3A3F"/>
    <w:rsid w:val="001003F7"/>
    <w:rsid w:val="00114C01"/>
    <w:rsid w:val="00164D56"/>
    <w:rsid w:val="00165170"/>
    <w:rsid w:val="00167B10"/>
    <w:rsid w:val="00171986"/>
    <w:rsid w:val="0019264E"/>
    <w:rsid w:val="00196C1B"/>
    <w:rsid w:val="001A766C"/>
    <w:rsid w:val="001B0F73"/>
    <w:rsid w:val="001B28AF"/>
    <w:rsid w:val="0020150F"/>
    <w:rsid w:val="002025C7"/>
    <w:rsid w:val="00222A2D"/>
    <w:rsid w:val="002407AF"/>
    <w:rsid w:val="00247AFC"/>
    <w:rsid w:val="00280D62"/>
    <w:rsid w:val="002A6C11"/>
    <w:rsid w:val="002A6F73"/>
    <w:rsid w:val="002C0D14"/>
    <w:rsid w:val="002C7FBC"/>
    <w:rsid w:val="002D4E0F"/>
    <w:rsid w:val="002E2F53"/>
    <w:rsid w:val="002E3D25"/>
    <w:rsid w:val="002E58D4"/>
    <w:rsid w:val="0032583C"/>
    <w:rsid w:val="0034414F"/>
    <w:rsid w:val="00350629"/>
    <w:rsid w:val="00364981"/>
    <w:rsid w:val="003732E4"/>
    <w:rsid w:val="003845BE"/>
    <w:rsid w:val="003C1678"/>
    <w:rsid w:val="003D069C"/>
    <w:rsid w:val="003E07D8"/>
    <w:rsid w:val="003E2A08"/>
    <w:rsid w:val="003F113A"/>
    <w:rsid w:val="004239C7"/>
    <w:rsid w:val="00440F9B"/>
    <w:rsid w:val="004417A7"/>
    <w:rsid w:val="004421E5"/>
    <w:rsid w:val="00443880"/>
    <w:rsid w:val="00452284"/>
    <w:rsid w:val="00461168"/>
    <w:rsid w:val="00467FBE"/>
    <w:rsid w:val="00486429"/>
    <w:rsid w:val="00486948"/>
    <w:rsid w:val="00495C25"/>
    <w:rsid w:val="0049705E"/>
    <w:rsid w:val="004E255E"/>
    <w:rsid w:val="005158FF"/>
    <w:rsid w:val="00526B7B"/>
    <w:rsid w:val="005308CE"/>
    <w:rsid w:val="005678AF"/>
    <w:rsid w:val="0057439C"/>
    <w:rsid w:val="005B0127"/>
    <w:rsid w:val="005C094D"/>
    <w:rsid w:val="005C4B73"/>
    <w:rsid w:val="005F3953"/>
    <w:rsid w:val="00600D93"/>
    <w:rsid w:val="006042C6"/>
    <w:rsid w:val="00616C7B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6F444F"/>
    <w:rsid w:val="00714518"/>
    <w:rsid w:val="00717AAB"/>
    <w:rsid w:val="00717DBD"/>
    <w:rsid w:val="00721570"/>
    <w:rsid w:val="00741016"/>
    <w:rsid w:val="00764CF9"/>
    <w:rsid w:val="00784B8C"/>
    <w:rsid w:val="007A000F"/>
    <w:rsid w:val="007A7A84"/>
    <w:rsid w:val="007C354B"/>
    <w:rsid w:val="007E60C6"/>
    <w:rsid w:val="008064F0"/>
    <w:rsid w:val="00823A11"/>
    <w:rsid w:val="00824EF7"/>
    <w:rsid w:val="00850505"/>
    <w:rsid w:val="0085414A"/>
    <w:rsid w:val="0086269D"/>
    <w:rsid w:val="00863302"/>
    <w:rsid w:val="008712A2"/>
    <w:rsid w:val="00871C8F"/>
    <w:rsid w:val="008724E5"/>
    <w:rsid w:val="00884A9D"/>
    <w:rsid w:val="008A4E1E"/>
    <w:rsid w:val="008B64DF"/>
    <w:rsid w:val="008C0E44"/>
    <w:rsid w:val="008C296C"/>
    <w:rsid w:val="008D4305"/>
    <w:rsid w:val="008D4D0D"/>
    <w:rsid w:val="008F09EC"/>
    <w:rsid w:val="008F5A4F"/>
    <w:rsid w:val="00913D86"/>
    <w:rsid w:val="009163A7"/>
    <w:rsid w:val="00922E3E"/>
    <w:rsid w:val="00933C6B"/>
    <w:rsid w:val="009461AE"/>
    <w:rsid w:val="00950F68"/>
    <w:rsid w:val="00962119"/>
    <w:rsid w:val="00974249"/>
    <w:rsid w:val="00993211"/>
    <w:rsid w:val="009A18CD"/>
    <w:rsid w:val="009B223B"/>
    <w:rsid w:val="009B5302"/>
    <w:rsid w:val="009E0E64"/>
    <w:rsid w:val="009E1B50"/>
    <w:rsid w:val="00A12558"/>
    <w:rsid w:val="00A13903"/>
    <w:rsid w:val="00A22951"/>
    <w:rsid w:val="00A34ED5"/>
    <w:rsid w:val="00A45DBF"/>
    <w:rsid w:val="00A61C6E"/>
    <w:rsid w:val="00A755A2"/>
    <w:rsid w:val="00A90761"/>
    <w:rsid w:val="00AB2C36"/>
    <w:rsid w:val="00AC35FB"/>
    <w:rsid w:val="00AD1A86"/>
    <w:rsid w:val="00AE103E"/>
    <w:rsid w:val="00AE3322"/>
    <w:rsid w:val="00AF0A07"/>
    <w:rsid w:val="00AF5AE5"/>
    <w:rsid w:val="00AF625E"/>
    <w:rsid w:val="00AF721B"/>
    <w:rsid w:val="00B152B1"/>
    <w:rsid w:val="00B21C95"/>
    <w:rsid w:val="00B43974"/>
    <w:rsid w:val="00B45750"/>
    <w:rsid w:val="00B46C74"/>
    <w:rsid w:val="00B675B6"/>
    <w:rsid w:val="00B90701"/>
    <w:rsid w:val="00B907C4"/>
    <w:rsid w:val="00BC14E4"/>
    <w:rsid w:val="00BC3420"/>
    <w:rsid w:val="00BD52C9"/>
    <w:rsid w:val="00BE6354"/>
    <w:rsid w:val="00C06C42"/>
    <w:rsid w:val="00C318BF"/>
    <w:rsid w:val="00C358C4"/>
    <w:rsid w:val="00C377F5"/>
    <w:rsid w:val="00C70EA7"/>
    <w:rsid w:val="00C7516E"/>
    <w:rsid w:val="00CD0D5A"/>
    <w:rsid w:val="00D02494"/>
    <w:rsid w:val="00D24877"/>
    <w:rsid w:val="00D520C1"/>
    <w:rsid w:val="00D5368D"/>
    <w:rsid w:val="00D75D42"/>
    <w:rsid w:val="00D92941"/>
    <w:rsid w:val="00DA36ED"/>
    <w:rsid w:val="00DB4A84"/>
    <w:rsid w:val="00DC0F3C"/>
    <w:rsid w:val="00DE34F1"/>
    <w:rsid w:val="00DF4942"/>
    <w:rsid w:val="00E22288"/>
    <w:rsid w:val="00E47AD3"/>
    <w:rsid w:val="00E60B9D"/>
    <w:rsid w:val="00E627B1"/>
    <w:rsid w:val="00E62B4C"/>
    <w:rsid w:val="00E9376C"/>
    <w:rsid w:val="00EA602C"/>
    <w:rsid w:val="00ED3643"/>
    <w:rsid w:val="00ED3691"/>
    <w:rsid w:val="00EF74E3"/>
    <w:rsid w:val="00F134B7"/>
    <w:rsid w:val="00F4581D"/>
    <w:rsid w:val="00F576CB"/>
    <w:rsid w:val="00F62542"/>
    <w:rsid w:val="00F84A0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fr-FR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Sansinterligne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auNormal"/>
    <w:next w:val="Grilledutableau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rsid w:val="00515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530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5A4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5A4F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8F5A4F"/>
    <w:rPr>
      <w:vertAlign w:val="superscript"/>
    </w:rPr>
  </w:style>
  <w:style w:type="paragraph" w:customStyle="1" w:styleId="COMPara">
    <w:name w:val="COM Para"/>
    <w:qFormat/>
    <w:rsid w:val="008F5A4F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62542"/>
    <w:rPr>
      <w:rFonts w:ascii="Times New Roman" w:eastAsia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A7A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rom.org/fr" TargetMode="External"/><Relationship Id="rId13" Type="http://schemas.openxmlformats.org/officeDocument/2006/relationships/hyperlink" Target="https://ich.unesco.org/fr/decisions/19.COM/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decisions/18.COM/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decisions/19.COM/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alecso.org/nsite/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fr/decisions/18.COM/3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31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Ohinata, Fumiko</cp:lastModifiedBy>
  <cp:revision>6</cp:revision>
  <cp:lastPrinted>2025-11-10T13:26:00Z</cp:lastPrinted>
  <dcterms:created xsi:type="dcterms:W3CDTF">2025-11-03T10:24:00Z</dcterms:created>
  <dcterms:modified xsi:type="dcterms:W3CDTF">2025-11-10T13:31:00Z</dcterms:modified>
</cp:coreProperties>
</file>