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9DD3A" w14:textId="77777777" w:rsidR="007F7A15" w:rsidRDefault="007F7A15" w:rsidP="00EC6F8D">
      <w:pPr>
        <w:spacing w:before="1440"/>
        <w:jc w:val="center"/>
        <w:rPr>
          <w:rFonts w:ascii="Arial" w:hAnsi="Arial"/>
          <w:b/>
          <w:sz w:val="22"/>
        </w:rPr>
      </w:pPr>
    </w:p>
    <w:p w14:paraId="2485E36E" w14:textId="6DA624AC" w:rsidR="00EC6F8D" w:rsidRPr="00293C60" w:rsidRDefault="00EC6F8D" w:rsidP="007F7A15">
      <w:pPr>
        <w:jc w:val="center"/>
        <w:rPr>
          <w:rFonts w:ascii="Arial" w:hAnsi="Arial" w:cs="Arial"/>
          <w:b/>
          <w:sz w:val="22"/>
          <w:szCs w:val="22"/>
        </w:rPr>
      </w:pPr>
      <w:r>
        <w:rPr>
          <w:rFonts w:ascii="Arial" w:hAnsi="Arial"/>
          <w:b/>
          <w:sz w:val="22"/>
        </w:rPr>
        <w:t>CONVENTION POUR LA SAUVEGARDE DU</w:t>
      </w:r>
      <w:r>
        <w:rPr>
          <w:rFonts w:ascii="Arial" w:hAnsi="Arial"/>
          <w:b/>
          <w:sz w:val="22"/>
        </w:rPr>
        <w:br/>
        <w:t>PATRIMOINE CULTUREL IMMATÉRIEL</w:t>
      </w:r>
    </w:p>
    <w:p w14:paraId="3F72B1D3" w14:textId="75F43ECD" w:rsidR="00EC6F8D" w:rsidRPr="00293C60" w:rsidRDefault="00EC6F8D" w:rsidP="00EC6F8D">
      <w:pPr>
        <w:spacing w:before="1200"/>
        <w:jc w:val="center"/>
        <w:rPr>
          <w:rFonts w:ascii="Arial" w:hAnsi="Arial" w:cs="Arial"/>
          <w:b/>
          <w:sz w:val="22"/>
          <w:szCs w:val="22"/>
        </w:rPr>
      </w:pPr>
      <w:r>
        <w:rPr>
          <w:rFonts w:ascii="Arial" w:hAnsi="Arial"/>
          <w:b/>
          <w:sz w:val="22"/>
        </w:rPr>
        <w:t>COMITÉ INTERGOUVERNEMENTAL DE SAUVEGARDE</w:t>
      </w:r>
      <w:r w:rsidR="00D97412">
        <w:rPr>
          <w:rFonts w:ascii="Arial" w:hAnsi="Arial"/>
          <w:b/>
          <w:sz w:val="22"/>
        </w:rPr>
        <w:br/>
      </w:r>
      <w:r>
        <w:rPr>
          <w:rFonts w:ascii="Arial" w:hAnsi="Arial"/>
          <w:b/>
          <w:sz w:val="22"/>
        </w:rPr>
        <w:t>DU PATRIMOINE CULTUREL IMMATÉRIEL</w:t>
      </w:r>
    </w:p>
    <w:p w14:paraId="75AF235F" w14:textId="77777777" w:rsidR="004E1760" w:rsidRPr="00232D65" w:rsidRDefault="004E1760" w:rsidP="004E1760">
      <w:pPr>
        <w:spacing w:before="840"/>
        <w:jc w:val="center"/>
        <w:rPr>
          <w:rFonts w:ascii="Arial" w:hAnsi="Arial" w:cs="Arial"/>
          <w:b/>
          <w:sz w:val="22"/>
          <w:szCs w:val="22"/>
        </w:rPr>
      </w:pPr>
      <w:r>
        <w:rPr>
          <w:rFonts w:ascii="Arial" w:hAnsi="Arial"/>
          <w:b/>
          <w:sz w:val="22"/>
        </w:rPr>
        <w:t>Réunion du Bureau</w:t>
      </w:r>
    </w:p>
    <w:p w14:paraId="1FD89575" w14:textId="1FAD0EAE" w:rsidR="00B2172B" w:rsidRPr="00B2172B" w:rsidRDefault="006D64BE" w:rsidP="004E1760">
      <w:pPr>
        <w:spacing w:before="840"/>
        <w:jc w:val="center"/>
        <w:rPr>
          <w:rFonts w:ascii="Arial" w:hAnsi="Arial" w:cs="Arial"/>
          <w:b/>
          <w:sz w:val="22"/>
          <w:szCs w:val="22"/>
        </w:rPr>
      </w:pPr>
      <w:r>
        <w:rPr>
          <w:rFonts w:ascii="Arial" w:hAnsi="Arial"/>
          <w:b/>
          <w:sz w:val="22"/>
        </w:rPr>
        <w:t>Siège de l’UNESCO, salle VI</w:t>
      </w:r>
    </w:p>
    <w:p w14:paraId="15705A60" w14:textId="6151E2D8" w:rsidR="004E1760" w:rsidRPr="00A54AF9" w:rsidRDefault="006D64BE" w:rsidP="004E1760">
      <w:pPr>
        <w:jc w:val="center"/>
        <w:rPr>
          <w:rFonts w:ascii="Arial" w:hAnsi="Arial" w:cs="Arial"/>
          <w:b/>
          <w:sz w:val="22"/>
          <w:szCs w:val="22"/>
        </w:rPr>
      </w:pPr>
      <w:r>
        <w:rPr>
          <w:rFonts w:ascii="Arial" w:hAnsi="Arial"/>
          <w:b/>
          <w:sz w:val="22"/>
        </w:rPr>
        <w:t>11 mars 2025</w:t>
      </w:r>
    </w:p>
    <w:p w14:paraId="1247CCBC" w14:textId="2E4650F1" w:rsidR="004E1760" w:rsidRPr="00A54AF9" w:rsidRDefault="006D64BE" w:rsidP="004E1760">
      <w:pPr>
        <w:jc w:val="center"/>
        <w:rPr>
          <w:rFonts w:ascii="Arial" w:hAnsi="Arial" w:cs="Arial"/>
          <w:b/>
          <w:sz w:val="22"/>
          <w:szCs w:val="22"/>
        </w:rPr>
      </w:pPr>
      <w:r>
        <w:rPr>
          <w:rFonts w:ascii="Arial" w:hAnsi="Arial"/>
          <w:b/>
          <w:sz w:val="22"/>
        </w:rPr>
        <w:t>14h00 – 17h00</w:t>
      </w:r>
    </w:p>
    <w:p w14:paraId="0365203A" w14:textId="1E11FA62" w:rsidR="00EC6F8D" w:rsidRPr="00293C60" w:rsidRDefault="00EC6F8D" w:rsidP="00EC6F8D">
      <w:pPr>
        <w:pStyle w:val="Sansinterligne2"/>
        <w:spacing w:before="1200"/>
        <w:jc w:val="center"/>
        <w:rPr>
          <w:rFonts w:ascii="Arial" w:hAnsi="Arial" w:cs="Arial"/>
          <w:b/>
          <w:sz w:val="22"/>
          <w:szCs w:val="22"/>
        </w:rPr>
      </w:pPr>
      <w:r>
        <w:rPr>
          <w:rFonts w:ascii="Arial" w:hAnsi="Arial"/>
          <w:b/>
          <w:sz w:val="22"/>
          <w:u w:val="single"/>
        </w:rPr>
        <w:t>Point </w:t>
      </w:r>
      <w:r w:rsidR="00AE3ECF">
        <w:rPr>
          <w:rFonts w:ascii="Arial" w:hAnsi="Arial"/>
          <w:b/>
          <w:sz w:val="22"/>
          <w:u w:val="single"/>
        </w:rPr>
        <w:t xml:space="preserve">3 </w:t>
      </w:r>
      <w:r>
        <w:rPr>
          <w:rFonts w:ascii="Arial" w:hAnsi="Arial"/>
          <w:b/>
          <w:sz w:val="22"/>
          <w:u w:val="single"/>
        </w:rPr>
        <w:t>de l’ordre du jour provisoire</w:t>
      </w:r>
      <w:r w:rsidRPr="007E399F">
        <w:rPr>
          <w:rFonts w:ascii="Arial" w:hAnsi="Arial"/>
          <w:b/>
          <w:sz w:val="22"/>
        </w:rPr>
        <w:t> :</w:t>
      </w:r>
    </w:p>
    <w:p w14:paraId="2F680254" w14:textId="294AD5BC" w:rsidR="00872F87" w:rsidRPr="007A16DD" w:rsidRDefault="00872F87">
      <w:pPr>
        <w:pStyle w:val="Sansinterligne2"/>
        <w:spacing w:after="960"/>
        <w:contextualSpacing/>
        <w:jc w:val="center"/>
        <w:rPr>
          <w:rFonts w:ascii="Arial" w:hAnsi="Arial" w:cs="Arial"/>
          <w:b/>
          <w:sz w:val="22"/>
          <w:szCs w:val="22"/>
        </w:rPr>
      </w:pPr>
      <w:r>
        <w:rPr>
          <w:rFonts w:ascii="Arial" w:hAnsi="Arial"/>
          <w:b/>
          <w:sz w:val="22"/>
        </w:rPr>
        <w:t>Examen d’une demande d’assistance internationale</w:t>
      </w:r>
    </w:p>
    <w:p w14:paraId="442E1DC4" w14:textId="32BF3A06" w:rsidR="00872F87" w:rsidRPr="007A16DD" w:rsidRDefault="00872F87" w:rsidP="00872F87">
      <w:pPr>
        <w:pStyle w:val="Sansinterligne2"/>
        <w:spacing w:after="960"/>
        <w:contextualSpacing/>
        <w:jc w:val="center"/>
        <w:rPr>
          <w:rFonts w:ascii="Arial" w:hAnsi="Arial" w:cs="Arial"/>
          <w:b/>
          <w:sz w:val="22"/>
          <w:szCs w:val="22"/>
        </w:rPr>
      </w:pPr>
      <w:r>
        <w:rPr>
          <w:rFonts w:ascii="Arial" w:hAnsi="Arial"/>
          <w:b/>
          <w:sz w:val="22"/>
        </w:rPr>
        <w:t>jusqu</w:t>
      </w:r>
      <w:r w:rsidR="00F67284">
        <w:rPr>
          <w:rFonts w:ascii="Arial" w:hAnsi="Arial"/>
          <w:b/>
          <w:sz w:val="22"/>
        </w:rPr>
        <w:t>’</w:t>
      </w:r>
      <w:r>
        <w:rPr>
          <w:rFonts w:ascii="Arial" w:hAnsi="Arial"/>
          <w:b/>
          <w:sz w:val="22"/>
        </w:rPr>
        <w:t>à 100 000 dollars des États-Unis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872F87" w14:paraId="75AC6221" w14:textId="77777777" w:rsidTr="00EC6F8D">
        <w:trPr>
          <w:jc w:val="center"/>
        </w:trPr>
        <w:tc>
          <w:tcPr>
            <w:tcW w:w="5670" w:type="dxa"/>
            <w:vAlign w:val="center"/>
          </w:tcPr>
          <w:p w14:paraId="51C260A9" w14:textId="77777777" w:rsidR="00EC6F8D" w:rsidRPr="00293C60" w:rsidRDefault="00EC6F8D" w:rsidP="00CA56BB">
            <w:pPr>
              <w:pStyle w:val="Sansinterligne1"/>
              <w:spacing w:before="200" w:after="200"/>
              <w:jc w:val="center"/>
              <w:rPr>
                <w:rFonts w:ascii="Arial" w:hAnsi="Arial" w:cs="Arial"/>
                <w:b/>
                <w:sz w:val="22"/>
                <w:szCs w:val="22"/>
              </w:rPr>
            </w:pPr>
            <w:r>
              <w:rPr>
                <w:rFonts w:ascii="Arial" w:hAnsi="Arial"/>
                <w:b/>
                <w:sz w:val="22"/>
              </w:rPr>
              <w:t>Résumé</w:t>
            </w:r>
          </w:p>
          <w:p w14:paraId="2469CC33" w14:textId="3E899273" w:rsidR="00872F87" w:rsidRPr="007A16DD" w:rsidRDefault="00872F87" w:rsidP="00872F87">
            <w:pPr>
              <w:jc w:val="both"/>
              <w:rPr>
                <w:rFonts w:ascii="Arial" w:hAnsi="Arial" w:cs="Arial"/>
                <w:sz w:val="22"/>
                <w:szCs w:val="22"/>
              </w:rPr>
            </w:pPr>
            <w:r>
              <w:rPr>
                <w:rFonts w:ascii="Arial" w:hAnsi="Arial"/>
                <w:sz w:val="22"/>
              </w:rPr>
              <w:t xml:space="preserve">En référence </w:t>
            </w:r>
            <w:r w:rsidR="00491C9A">
              <w:rPr>
                <w:rFonts w:ascii="Arial" w:hAnsi="Arial"/>
                <w:sz w:val="22"/>
              </w:rPr>
              <w:t>au Chapitre V</w:t>
            </w:r>
            <w:r>
              <w:rPr>
                <w:rFonts w:ascii="Arial" w:hAnsi="Arial"/>
                <w:sz w:val="22"/>
              </w:rPr>
              <w:t xml:space="preserve"> de la Convention et </w:t>
            </w:r>
            <w:r w:rsidR="00491C9A">
              <w:rPr>
                <w:rFonts w:ascii="Arial" w:hAnsi="Arial"/>
                <w:sz w:val="22"/>
              </w:rPr>
              <w:t xml:space="preserve">du sous-chapitre I.14 </w:t>
            </w:r>
            <w:r>
              <w:rPr>
                <w:rFonts w:ascii="Arial" w:hAnsi="Arial"/>
                <w:sz w:val="22"/>
              </w:rPr>
              <w:t xml:space="preserve">des Directives opérationnelles, ce document présente une demande d’assistance internationale </w:t>
            </w:r>
            <w:r w:rsidR="00F67284">
              <w:rPr>
                <w:rFonts w:ascii="Arial" w:hAnsi="Arial"/>
                <w:sz w:val="22"/>
              </w:rPr>
              <w:t>jusqu’à</w:t>
            </w:r>
            <w:r>
              <w:rPr>
                <w:rFonts w:ascii="Arial" w:hAnsi="Arial"/>
                <w:sz w:val="22"/>
              </w:rPr>
              <w:t xml:space="preserve"> 100 000 dollars des États-Unis. Le Bureau du Comité est invité à examiner cette demande, conformément au paragraphe 49 des Directives opérationnelles.</w:t>
            </w:r>
          </w:p>
          <w:p w14:paraId="290310E8" w14:textId="3EC41640" w:rsidR="00EC6F8D" w:rsidRPr="00293C60" w:rsidRDefault="00EC6F8D" w:rsidP="00CA56BB">
            <w:pPr>
              <w:pStyle w:val="Sansinterligne2"/>
              <w:spacing w:before="200" w:after="200"/>
              <w:jc w:val="both"/>
              <w:rPr>
                <w:rFonts w:ascii="Arial" w:hAnsi="Arial" w:cs="Arial"/>
                <w:b/>
                <w:sz w:val="22"/>
                <w:szCs w:val="22"/>
              </w:rPr>
            </w:pPr>
            <w:r>
              <w:rPr>
                <w:rFonts w:ascii="Arial" w:hAnsi="Arial"/>
                <w:b/>
                <w:sz w:val="22"/>
              </w:rPr>
              <w:t xml:space="preserve">Décision requise : </w:t>
            </w:r>
            <w:r w:rsidRPr="00F67284">
              <w:rPr>
                <w:rFonts w:ascii="Arial" w:hAnsi="Arial"/>
                <w:sz w:val="22"/>
              </w:rPr>
              <w:t>paragraphe </w:t>
            </w:r>
            <w:r w:rsidR="00F67284" w:rsidRPr="007E399F">
              <w:rPr>
                <w:rFonts w:ascii="Arial" w:hAnsi="Arial"/>
                <w:sz w:val="22"/>
              </w:rPr>
              <w:t>5</w:t>
            </w:r>
          </w:p>
        </w:tc>
      </w:tr>
    </w:tbl>
    <w:p w14:paraId="713D819F" w14:textId="77777777" w:rsidR="004A2875" w:rsidRPr="009B4638"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rPr>
      </w:pPr>
      <w:r>
        <w:br w:type="page"/>
      </w:r>
    </w:p>
    <w:p w14:paraId="7BE3C53B" w14:textId="4BA7D03A" w:rsidR="00872F87" w:rsidRPr="007A16DD" w:rsidRDefault="00491C9A" w:rsidP="00872F87">
      <w:pPr>
        <w:pStyle w:val="COMPara"/>
        <w:numPr>
          <w:ilvl w:val="0"/>
          <w:numId w:val="23"/>
        </w:numPr>
        <w:spacing w:before="120"/>
        <w:ind w:left="567" w:hanging="567"/>
        <w:jc w:val="both"/>
      </w:pPr>
      <w:r>
        <w:rPr>
          <w:snapToGrid/>
        </w:rPr>
        <w:lastRenderedPageBreak/>
        <w:t xml:space="preserve">Le </w:t>
      </w:r>
      <w:r w:rsidR="0023720F">
        <w:rPr>
          <w:snapToGrid/>
        </w:rPr>
        <w:t>C</w:t>
      </w:r>
      <w:r>
        <w:rPr>
          <w:snapToGrid/>
        </w:rPr>
        <w:t xml:space="preserve">hapitre V </w:t>
      </w:r>
      <w:r w:rsidR="00872F87">
        <w:rPr>
          <w:snapToGrid/>
        </w:rPr>
        <w:t xml:space="preserve">de la Convention </w:t>
      </w:r>
      <w:r>
        <w:rPr>
          <w:snapToGrid/>
        </w:rPr>
        <w:t xml:space="preserve">(article 20) </w:t>
      </w:r>
      <w:r w:rsidR="00872F87">
        <w:rPr>
          <w:snapToGrid/>
        </w:rPr>
        <w:t>stipule qu</w:t>
      </w:r>
      <w:r w:rsidR="00F67284">
        <w:rPr>
          <w:snapToGrid/>
        </w:rPr>
        <w:t>’</w:t>
      </w:r>
      <w:r w:rsidR="00872F87">
        <w:rPr>
          <w:snapToGrid/>
        </w:rPr>
        <w:t>une assistance internationale peut être accordée aux États parties pour les objectifs suivants : la sauvegarde éléments inscrits sur la Liste du patrimoine culturel immatériel nécessitant une sauvegarde urgente</w:t>
      </w:r>
      <w:r w:rsidR="00F67284">
        <w:rPr>
          <w:snapToGrid/>
        </w:rPr>
        <w:t xml:space="preserve"> ; </w:t>
      </w:r>
      <w:r w:rsidR="00872F87">
        <w:rPr>
          <w:snapToGrid/>
        </w:rPr>
        <w:t>la préparation d</w:t>
      </w:r>
      <w:r w:rsidR="0023720F">
        <w:rPr>
          <w:snapToGrid/>
        </w:rPr>
        <w:t>’</w:t>
      </w:r>
      <w:r w:rsidR="00872F87">
        <w:rPr>
          <w:snapToGrid/>
        </w:rPr>
        <w:t>inventaires au sens des articles 11 et 12</w:t>
      </w:r>
      <w:r w:rsidR="00F67284">
        <w:rPr>
          <w:snapToGrid/>
        </w:rPr>
        <w:t xml:space="preserve"> de la Convention ; </w:t>
      </w:r>
      <w:r w:rsidR="00872F87">
        <w:rPr>
          <w:snapToGrid/>
        </w:rPr>
        <w:t>l’appui à des programmes, projets et activités conduits aux niveaux national, sous-régional et régional, visant à la sauvegarde du patrimoine culturel immatériel</w:t>
      </w:r>
      <w:r w:rsidR="00F67284">
        <w:rPr>
          <w:snapToGrid/>
        </w:rPr>
        <w:t xml:space="preserve"> ; </w:t>
      </w:r>
      <w:r w:rsidR="00872F87">
        <w:rPr>
          <w:snapToGrid/>
        </w:rPr>
        <w:t xml:space="preserve">et tout autre objectif que le Comité jugerait nécessaire. Comme </w:t>
      </w:r>
      <w:r w:rsidR="00F67284">
        <w:rPr>
          <w:snapToGrid/>
        </w:rPr>
        <w:t xml:space="preserve">spécifié </w:t>
      </w:r>
      <w:r>
        <w:rPr>
          <w:snapToGrid/>
        </w:rPr>
        <w:t>dans le sous-chapitre I.14 des</w:t>
      </w:r>
      <w:r w:rsidR="00872F87">
        <w:rPr>
          <w:snapToGrid/>
        </w:rPr>
        <w:t xml:space="preserve"> Directives opérationnelles, les demandes d’assistance internationale </w:t>
      </w:r>
      <w:r w:rsidR="00F67284">
        <w:rPr>
          <w:snapToGrid/>
        </w:rPr>
        <w:t>jusqu’à</w:t>
      </w:r>
      <w:r w:rsidR="00872F87">
        <w:rPr>
          <w:snapToGrid/>
        </w:rPr>
        <w:t xml:space="preserve"> 100 000 dollars des États-Unis peuvent être soumises à tout moment (paragraphe 47) à l</w:t>
      </w:r>
      <w:r w:rsidR="00F67284">
        <w:rPr>
          <w:snapToGrid/>
        </w:rPr>
        <w:t>’</w:t>
      </w:r>
      <w:r w:rsidR="00872F87">
        <w:rPr>
          <w:snapToGrid/>
        </w:rPr>
        <w:t>examen et à l</w:t>
      </w:r>
      <w:r w:rsidR="00F67284">
        <w:rPr>
          <w:snapToGrid/>
        </w:rPr>
        <w:t>’</w:t>
      </w:r>
      <w:r w:rsidR="00872F87">
        <w:rPr>
          <w:snapToGrid/>
        </w:rPr>
        <w:t>approbation du Bureau du Comité (paragraphe 49).</w:t>
      </w:r>
    </w:p>
    <w:p w14:paraId="71E567D9" w14:textId="10E499E3" w:rsidR="00872F87" w:rsidRPr="007A16DD" w:rsidRDefault="00872F87" w:rsidP="00872F87">
      <w:pPr>
        <w:pStyle w:val="NoSpacing1"/>
        <w:keepNext/>
        <w:numPr>
          <w:ilvl w:val="0"/>
          <w:numId w:val="24"/>
        </w:numPr>
        <w:tabs>
          <w:tab w:val="left" w:pos="567"/>
        </w:tabs>
        <w:spacing w:before="360" w:after="240"/>
        <w:ind w:left="567" w:hanging="567"/>
        <w:jc w:val="both"/>
        <w:outlineLvl w:val="0"/>
        <w:rPr>
          <w:b/>
        </w:rPr>
      </w:pPr>
      <w:bookmarkStart w:id="0" w:name="Overview"/>
      <w:r>
        <w:rPr>
          <w:rFonts w:ascii="Arial" w:hAnsi="Arial"/>
          <w:b/>
        </w:rPr>
        <w:t>Présentation générale de la demande</w:t>
      </w:r>
    </w:p>
    <w:bookmarkEnd w:id="0"/>
    <w:p w14:paraId="41C34443" w14:textId="4D91ACC8" w:rsidR="00872F87" w:rsidRDefault="00872F87" w:rsidP="00872F87">
      <w:pPr>
        <w:pStyle w:val="COMPara"/>
        <w:spacing w:before="120"/>
        <w:jc w:val="both"/>
        <w:rPr>
          <w:snapToGrid/>
        </w:rPr>
      </w:pPr>
      <w:r>
        <w:rPr>
          <w:snapToGrid/>
        </w:rPr>
        <w:t xml:space="preserve">Le Bureau est invité à examiner la demande d’assistance internationale </w:t>
      </w:r>
      <w:r w:rsidR="0023720F">
        <w:rPr>
          <w:snapToGrid/>
        </w:rPr>
        <w:t>ne dépassant</w:t>
      </w:r>
      <w:r w:rsidR="00491C9A">
        <w:rPr>
          <w:snapToGrid/>
        </w:rPr>
        <w:t xml:space="preserve"> pas </w:t>
      </w:r>
      <w:r>
        <w:rPr>
          <w:snapToGrid/>
        </w:rPr>
        <w:t>100</w:t>
      </w:r>
      <w:r w:rsidR="00F67284">
        <w:rPr>
          <w:snapToGrid/>
        </w:rPr>
        <w:t> </w:t>
      </w:r>
      <w:r>
        <w:rPr>
          <w:snapToGrid/>
        </w:rPr>
        <w:t>000 dollars des États-Unis </w:t>
      </w:r>
      <w:r w:rsidR="00B24C1A">
        <w:rPr>
          <w:snapToGrid/>
        </w:rPr>
        <w:t>suivante :</w:t>
      </w:r>
    </w:p>
    <w:tbl>
      <w:tblPr>
        <w:tblW w:w="9067"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123"/>
        <w:gridCol w:w="1703"/>
        <w:gridCol w:w="3117"/>
        <w:gridCol w:w="1275"/>
        <w:gridCol w:w="849"/>
      </w:tblGrid>
      <w:tr w:rsidR="00872F87" w:rsidRPr="007A16DD" w14:paraId="2DAD64FF" w14:textId="77777777">
        <w:trPr>
          <w:cantSplit/>
          <w:trHeight w:val="743"/>
          <w:tblHeader/>
        </w:trPr>
        <w:tc>
          <w:tcPr>
            <w:tcW w:w="1170" w:type="pct"/>
            <w:tcBorders>
              <w:top w:val="single" w:sz="4" w:space="0" w:color="auto"/>
              <w:bottom w:val="single" w:sz="4" w:space="0" w:color="auto"/>
              <w:right w:val="nil"/>
            </w:tcBorders>
            <w:shd w:val="clear" w:color="auto" w:fill="BFBFBF"/>
            <w:vAlign w:val="center"/>
          </w:tcPr>
          <w:p w14:paraId="33A4187D" w14:textId="77777777" w:rsidR="00872F87" w:rsidRPr="007A16DD" w:rsidRDefault="00872F87">
            <w:pPr>
              <w:spacing w:before="120" w:after="120"/>
              <w:jc w:val="center"/>
              <w:rPr>
                <w:rFonts w:ascii="Arial" w:hAnsi="Arial" w:cs="Arial"/>
                <w:sz w:val="20"/>
                <w:szCs w:val="20"/>
              </w:rPr>
            </w:pPr>
            <w:r>
              <w:rPr>
                <w:rFonts w:ascii="Arial" w:hAnsi="Arial"/>
                <w:b/>
                <w:sz w:val="20"/>
              </w:rPr>
              <w:t>Projet de décision</w:t>
            </w:r>
          </w:p>
        </w:tc>
        <w:tc>
          <w:tcPr>
            <w:tcW w:w="939" w:type="pct"/>
            <w:tcBorders>
              <w:top w:val="single" w:sz="4" w:space="0" w:color="auto"/>
              <w:left w:val="nil"/>
              <w:bottom w:val="single" w:sz="4" w:space="0" w:color="auto"/>
            </w:tcBorders>
            <w:shd w:val="clear" w:color="auto" w:fill="BFBFBF"/>
            <w:vAlign w:val="center"/>
          </w:tcPr>
          <w:p w14:paraId="394C4CA7" w14:textId="77777777" w:rsidR="00872F87" w:rsidRPr="007A16DD" w:rsidRDefault="00872F87">
            <w:pPr>
              <w:spacing w:before="120" w:after="120"/>
              <w:jc w:val="center"/>
              <w:rPr>
                <w:rFonts w:ascii="Arial" w:hAnsi="Arial" w:cs="Arial"/>
                <w:sz w:val="20"/>
                <w:szCs w:val="20"/>
              </w:rPr>
            </w:pPr>
            <w:r>
              <w:rPr>
                <w:rFonts w:ascii="Arial" w:hAnsi="Arial"/>
                <w:b/>
                <w:sz w:val="20"/>
              </w:rPr>
              <w:t>État demandeur</w:t>
            </w:r>
          </w:p>
        </w:tc>
        <w:tc>
          <w:tcPr>
            <w:tcW w:w="1719" w:type="pct"/>
            <w:tcBorders>
              <w:top w:val="single" w:sz="4" w:space="0" w:color="auto"/>
              <w:bottom w:val="single" w:sz="4" w:space="0" w:color="auto"/>
            </w:tcBorders>
            <w:shd w:val="clear" w:color="auto" w:fill="BFBFBF"/>
            <w:vAlign w:val="center"/>
          </w:tcPr>
          <w:p w14:paraId="3F2562F5" w14:textId="77777777" w:rsidR="00872F87" w:rsidRPr="007A16DD" w:rsidRDefault="00872F87">
            <w:pPr>
              <w:spacing w:before="120" w:after="120"/>
              <w:jc w:val="center"/>
              <w:rPr>
                <w:rFonts w:ascii="Arial" w:hAnsi="Arial" w:cs="Arial"/>
                <w:sz w:val="20"/>
                <w:szCs w:val="20"/>
              </w:rPr>
            </w:pPr>
            <w:r>
              <w:rPr>
                <w:rFonts w:ascii="Arial" w:hAnsi="Arial"/>
                <w:b/>
                <w:sz w:val="20"/>
              </w:rPr>
              <w:t>Titre</w:t>
            </w:r>
          </w:p>
        </w:tc>
        <w:tc>
          <w:tcPr>
            <w:tcW w:w="703" w:type="pct"/>
            <w:tcBorders>
              <w:top w:val="single" w:sz="4" w:space="0" w:color="auto"/>
              <w:bottom w:val="single" w:sz="4" w:space="0" w:color="auto"/>
            </w:tcBorders>
            <w:shd w:val="clear" w:color="auto" w:fill="BFBFBF"/>
            <w:vAlign w:val="center"/>
          </w:tcPr>
          <w:p w14:paraId="18522500" w14:textId="77777777" w:rsidR="00872F87" w:rsidRPr="007A16DD" w:rsidRDefault="00872F87">
            <w:pPr>
              <w:spacing w:before="120" w:after="120"/>
              <w:jc w:val="center"/>
              <w:rPr>
                <w:rFonts w:ascii="Arial" w:hAnsi="Arial" w:cs="Arial"/>
                <w:b/>
                <w:bCs/>
                <w:sz w:val="20"/>
                <w:szCs w:val="20"/>
              </w:rPr>
            </w:pPr>
            <w:r>
              <w:rPr>
                <w:rFonts w:ascii="Arial" w:hAnsi="Arial"/>
                <w:b/>
                <w:sz w:val="20"/>
              </w:rPr>
              <w:t>Montant demandé</w:t>
            </w:r>
          </w:p>
        </w:tc>
        <w:tc>
          <w:tcPr>
            <w:tcW w:w="468" w:type="pct"/>
            <w:tcBorders>
              <w:top w:val="single" w:sz="4" w:space="0" w:color="auto"/>
              <w:bottom w:val="single" w:sz="4" w:space="0" w:color="auto"/>
            </w:tcBorders>
            <w:shd w:val="clear" w:color="auto" w:fill="BFBFBF"/>
            <w:vAlign w:val="center"/>
          </w:tcPr>
          <w:p w14:paraId="22623C3B" w14:textId="77777777" w:rsidR="00872F87" w:rsidRPr="007A16DD" w:rsidRDefault="00872F87">
            <w:pPr>
              <w:spacing w:before="120" w:after="120"/>
              <w:jc w:val="center"/>
              <w:rPr>
                <w:rFonts w:ascii="Arial" w:hAnsi="Arial" w:cs="Arial"/>
                <w:sz w:val="20"/>
                <w:szCs w:val="20"/>
              </w:rPr>
            </w:pPr>
            <w:r>
              <w:rPr>
                <w:rFonts w:ascii="Arial" w:hAnsi="Arial"/>
                <w:b/>
                <w:sz w:val="20"/>
              </w:rPr>
              <w:t>Dossier n°</w:t>
            </w:r>
          </w:p>
        </w:tc>
      </w:tr>
      <w:tr w:rsidR="00872F87" w:rsidRPr="007A16DD" w14:paraId="31F4423E" w14:textId="77777777">
        <w:trPr>
          <w:cantSplit/>
          <w:trHeight w:val="1222"/>
          <w:tblHeader/>
        </w:trPr>
        <w:tc>
          <w:tcPr>
            <w:tcW w:w="1170" w:type="pct"/>
            <w:tcBorders>
              <w:top w:val="single" w:sz="4" w:space="0" w:color="auto"/>
              <w:bottom w:val="single" w:sz="4" w:space="0" w:color="auto"/>
              <w:right w:val="nil"/>
            </w:tcBorders>
            <w:shd w:val="clear" w:color="auto" w:fill="auto"/>
            <w:vAlign w:val="center"/>
          </w:tcPr>
          <w:p w14:paraId="70086200" w14:textId="689E4487" w:rsidR="00872F87" w:rsidRPr="007A16DD" w:rsidRDefault="00872F87" w:rsidP="00872F87">
            <w:pPr>
              <w:spacing w:before="120" w:after="120"/>
              <w:jc w:val="center"/>
              <w:rPr>
                <w:rFonts w:asciiTheme="minorBidi" w:hAnsiTheme="minorBidi" w:cstheme="minorBidi"/>
                <w:sz w:val="20"/>
                <w:szCs w:val="20"/>
              </w:rPr>
            </w:pPr>
            <w:hyperlink w:anchor="Dec1" w:history="1">
              <w:r w:rsidRPr="00B24C1A">
                <w:rPr>
                  <w:rStyle w:val="Hyperlink"/>
                  <w:rFonts w:asciiTheme="minorBidi" w:hAnsiTheme="minorBidi"/>
                  <w:sz w:val="20"/>
                  <w:lang w:eastAsia="fr-FR"/>
                </w:rPr>
                <w:t xml:space="preserve">20.COM 2.BUR </w:t>
              </w:r>
              <w:r w:rsidR="003340F3" w:rsidRPr="00B24C1A">
                <w:rPr>
                  <w:rStyle w:val="Hyperlink"/>
                  <w:rFonts w:asciiTheme="minorBidi" w:hAnsiTheme="minorBidi"/>
                  <w:sz w:val="20"/>
                  <w:lang w:eastAsia="fr-FR"/>
                </w:rPr>
                <w:t>3</w:t>
              </w:r>
            </w:hyperlink>
          </w:p>
        </w:tc>
        <w:tc>
          <w:tcPr>
            <w:tcW w:w="939" w:type="pct"/>
            <w:tcBorders>
              <w:top w:val="single" w:sz="4" w:space="0" w:color="auto"/>
              <w:left w:val="nil"/>
              <w:bottom w:val="single" w:sz="4" w:space="0" w:color="auto"/>
            </w:tcBorders>
            <w:shd w:val="clear" w:color="auto" w:fill="auto"/>
            <w:vAlign w:val="center"/>
          </w:tcPr>
          <w:p w14:paraId="0CA49243" w14:textId="0A3E5F07" w:rsidR="00872F87" w:rsidRPr="007A16DD" w:rsidRDefault="00872F87">
            <w:pPr>
              <w:spacing w:before="120" w:after="120"/>
              <w:rPr>
                <w:rFonts w:asciiTheme="minorBidi" w:hAnsiTheme="minorBidi" w:cstheme="minorBidi"/>
                <w:sz w:val="20"/>
                <w:szCs w:val="20"/>
              </w:rPr>
            </w:pPr>
            <w:r>
              <w:rPr>
                <w:rFonts w:asciiTheme="minorBidi" w:hAnsiTheme="minorBidi"/>
                <w:sz w:val="20"/>
              </w:rPr>
              <w:t>Honduras</w:t>
            </w:r>
          </w:p>
        </w:tc>
        <w:tc>
          <w:tcPr>
            <w:tcW w:w="1719" w:type="pct"/>
            <w:tcBorders>
              <w:top w:val="single" w:sz="4" w:space="0" w:color="auto"/>
              <w:bottom w:val="single" w:sz="4" w:space="0" w:color="auto"/>
            </w:tcBorders>
            <w:shd w:val="clear" w:color="auto" w:fill="auto"/>
            <w:vAlign w:val="center"/>
          </w:tcPr>
          <w:p w14:paraId="208BDC59" w14:textId="5778791B" w:rsidR="00872F87" w:rsidRPr="007A16DD" w:rsidRDefault="00872F87" w:rsidP="00872F87">
            <w:pPr>
              <w:spacing w:before="120" w:after="120"/>
              <w:rPr>
                <w:rFonts w:asciiTheme="minorBidi" w:hAnsiTheme="minorBidi" w:cstheme="minorBidi"/>
                <w:sz w:val="20"/>
                <w:szCs w:val="20"/>
              </w:rPr>
            </w:pPr>
            <w:bookmarkStart w:id="1" w:name="_Hlk188977354"/>
            <w:r>
              <w:rPr>
                <w:rFonts w:asciiTheme="minorBidi" w:hAnsiTheme="minorBidi"/>
                <w:sz w:val="20"/>
              </w:rPr>
              <w:t>Préparation des inventaires du patrimoine culturel immatériel du Honduras avec la participation active des communautés</w:t>
            </w:r>
            <w:bookmarkEnd w:id="1"/>
          </w:p>
        </w:tc>
        <w:tc>
          <w:tcPr>
            <w:tcW w:w="703" w:type="pct"/>
            <w:tcBorders>
              <w:top w:val="single" w:sz="4" w:space="0" w:color="auto"/>
              <w:bottom w:val="single" w:sz="4" w:space="0" w:color="auto"/>
            </w:tcBorders>
            <w:shd w:val="clear" w:color="auto" w:fill="auto"/>
            <w:vAlign w:val="center"/>
          </w:tcPr>
          <w:p w14:paraId="30910B2A" w14:textId="0F7EE049" w:rsidR="00872F87" w:rsidRPr="007A16DD" w:rsidRDefault="00872F87">
            <w:pPr>
              <w:spacing w:before="120" w:after="120"/>
              <w:jc w:val="center"/>
              <w:rPr>
                <w:rFonts w:asciiTheme="minorBidi" w:hAnsiTheme="minorBidi" w:cstheme="minorBidi"/>
                <w:sz w:val="20"/>
                <w:szCs w:val="20"/>
              </w:rPr>
            </w:pPr>
            <w:r>
              <w:rPr>
                <w:rFonts w:asciiTheme="minorBidi" w:hAnsiTheme="minorBidi"/>
                <w:sz w:val="20"/>
              </w:rPr>
              <w:t>100 000 dollars des États-Unis</w:t>
            </w:r>
          </w:p>
        </w:tc>
        <w:tc>
          <w:tcPr>
            <w:tcW w:w="468" w:type="pct"/>
            <w:tcBorders>
              <w:top w:val="single" w:sz="4" w:space="0" w:color="auto"/>
              <w:bottom w:val="single" w:sz="4" w:space="0" w:color="auto"/>
            </w:tcBorders>
            <w:shd w:val="clear" w:color="auto" w:fill="auto"/>
            <w:vAlign w:val="center"/>
          </w:tcPr>
          <w:p w14:paraId="47661303" w14:textId="07BE9CC9" w:rsidR="00872F87" w:rsidRPr="007A16DD" w:rsidRDefault="00872F87">
            <w:pPr>
              <w:spacing w:before="120" w:after="120"/>
              <w:jc w:val="center"/>
              <w:rPr>
                <w:rFonts w:asciiTheme="minorBidi" w:hAnsiTheme="minorBidi" w:cstheme="minorBidi"/>
                <w:sz w:val="20"/>
                <w:szCs w:val="20"/>
              </w:rPr>
            </w:pPr>
            <w:r>
              <w:rPr>
                <w:rFonts w:asciiTheme="minorBidi" w:hAnsiTheme="minorBidi"/>
                <w:sz w:val="20"/>
              </w:rPr>
              <w:t>02209</w:t>
            </w:r>
          </w:p>
        </w:tc>
      </w:tr>
    </w:tbl>
    <w:p w14:paraId="6979A96F" w14:textId="6BE4588E" w:rsidR="00872F87" w:rsidRPr="00872F87" w:rsidRDefault="00872F87" w:rsidP="007E399F">
      <w:pPr>
        <w:pStyle w:val="COMPara"/>
        <w:spacing w:before="240"/>
        <w:jc w:val="both"/>
      </w:pPr>
      <w:r>
        <w:t xml:space="preserve">Conformément au paragraphe 48 des Directives opérationnelles, le Secrétariat a vérifié si la demande </w:t>
      </w:r>
      <w:r w:rsidR="00491C9A">
        <w:t>sou</w:t>
      </w:r>
      <w:r w:rsidR="00E800C2">
        <w:t>mise</w:t>
      </w:r>
      <w:r w:rsidR="00491C9A">
        <w:t xml:space="preserve"> par le Honduras </w:t>
      </w:r>
      <w:r>
        <w:t xml:space="preserve">était complète. </w:t>
      </w:r>
      <w:r w:rsidR="00F67284">
        <w:t xml:space="preserve">Considérant </w:t>
      </w:r>
      <w:r>
        <w:t xml:space="preserve">l’importance de l’assistance internationale pour atteindre l’objectif de la Convention, </w:t>
      </w:r>
      <w:r w:rsidR="00F67284">
        <w:t xml:space="preserve">qui est de </w:t>
      </w:r>
      <w:r>
        <w:t>promouvoir la coopération internationale, l’État demandeur a bénéficié d’une assistance technique</w:t>
      </w:r>
      <w:r w:rsidR="00E800C2">
        <w:t xml:space="preserve">, </w:t>
      </w:r>
      <w:r>
        <w:t>un mécanisme mis en place par le Comité pour aider les États parties en mettant à leur disposition des experts (Décision </w:t>
      </w:r>
      <w:hyperlink r:id="rId8" w:history="1">
        <w:r>
          <w:rPr>
            <w:rStyle w:val="Hyperlink"/>
          </w:rPr>
          <w:t>8.COM 7.c</w:t>
        </w:r>
      </w:hyperlink>
      <w:r>
        <w:t>). Dans ce cas, le Honduras a sélectionné un</w:t>
      </w:r>
      <w:r w:rsidR="00F67284">
        <w:t>e</w:t>
      </w:r>
      <w:r>
        <w:t xml:space="preserve"> expert</w:t>
      </w:r>
      <w:r w:rsidR="00F67284">
        <w:t>e</w:t>
      </w:r>
      <w:r>
        <w:t xml:space="preserve"> du Guatemala </w:t>
      </w:r>
      <w:r w:rsidR="00491C9A" w:rsidRPr="00491C9A">
        <w:t>ayant une connaissance approfondie du contexte régional et des questions liées à la sauvegarde du patrimoine culturel immatériel</w:t>
      </w:r>
      <w:r w:rsidR="00491C9A">
        <w:t>. Les parties prenantes ont bénéficié du</w:t>
      </w:r>
      <w:r>
        <w:t xml:space="preserve"> soutien et des conseils </w:t>
      </w:r>
      <w:r w:rsidR="00491C9A">
        <w:t xml:space="preserve">de l’experte, qui ont été </w:t>
      </w:r>
      <w:r w:rsidR="00E767A9">
        <w:t>dispensés</w:t>
      </w:r>
      <w:r w:rsidR="00491C9A">
        <w:t xml:space="preserve"> </w:t>
      </w:r>
      <w:r>
        <w:t xml:space="preserve">en espagnol. L’assistance technique a </w:t>
      </w:r>
      <w:r w:rsidR="00E767A9">
        <w:t xml:space="preserve">débuté </w:t>
      </w:r>
      <w:r w:rsidR="00491C9A">
        <w:t xml:space="preserve">en </w:t>
      </w:r>
      <w:r>
        <w:t xml:space="preserve">juillet 2024 </w:t>
      </w:r>
      <w:r w:rsidR="00E767A9">
        <w:t xml:space="preserve">et s’est achevée </w:t>
      </w:r>
      <w:r w:rsidR="00491C9A">
        <w:t xml:space="preserve">en </w:t>
      </w:r>
      <w:r>
        <w:t>janvier 2025, date à laquelle la demande d’assistance internationale a été officiellement soumise.</w:t>
      </w:r>
    </w:p>
    <w:p w14:paraId="48AA99FF" w14:textId="13AD49F3" w:rsidR="00872F87" w:rsidRPr="00B07C41" w:rsidRDefault="00872F87" w:rsidP="00872F87">
      <w:pPr>
        <w:pStyle w:val="COMPara"/>
        <w:spacing w:before="240"/>
        <w:jc w:val="both"/>
        <w:rPr>
          <w:rFonts w:eastAsia="SimSun"/>
          <w:u w:val="single"/>
        </w:rPr>
      </w:pPr>
      <w:r>
        <w:t xml:space="preserve">Le Secrétariat </w:t>
      </w:r>
      <w:r w:rsidRPr="007E399F">
        <w:t xml:space="preserve">transmet cette demande d’assistance internationale au Bureau, </w:t>
      </w:r>
      <w:r w:rsidR="00F67284" w:rsidRPr="007E399F">
        <w:t>ainsi qu’un</w:t>
      </w:r>
      <w:r w:rsidRPr="007E399F">
        <w:t xml:space="preserve"> projet de décision </w:t>
      </w:r>
      <w:r w:rsidR="00F67284" w:rsidRPr="007E399F">
        <w:t xml:space="preserve">incorporant </w:t>
      </w:r>
      <w:r w:rsidRPr="007E399F">
        <w:t xml:space="preserve">l’évaluation du Secrétariat sur la </w:t>
      </w:r>
      <w:r w:rsidR="00F67284" w:rsidRPr="007E399F">
        <w:t xml:space="preserve">manière </w:t>
      </w:r>
      <w:r w:rsidRPr="007E399F">
        <w:t xml:space="preserve">dont la demande répond aux critères d’admissibilité et de sélection énoncés au chapitre I.4 des Directives opérationnelles. La demande d’assistance internationale en question est disponible en ligne, en anglais et en français, à l’adresse suivante : </w:t>
      </w:r>
      <w:hyperlink r:id="rId9" w:history="1">
        <w:r w:rsidRPr="007E399F">
          <w:rPr>
            <w:rStyle w:val="Hyperlink"/>
          </w:rPr>
          <w:t>https://ich.unesco.org/fr/20com-bureau</w:t>
        </w:r>
      </w:hyperlink>
      <w:r w:rsidRPr="007E399F">
        <w:t xml:space="preserve">. </w:t>
      </w:r>
    </w:p>
    <w:p w14:paraId="1961C93B" w14:textId="0C242BEC" w:rsidR="00B07C41" w:rsidRPr="007A16DD" w:rsidRDefault="00B07C41" w:rsidP="00B07C41">
      <w:pPr>
        <w:pStyle w:val="NoSpacing1"/>
        <w:keepNext/>
        <w:numPr>
          <w:ilvl w:val="0"/>
          <w:numId w:val="24"/>
        </w:numPr>
        <w:tabs>
          <w:tab w:val="left" w:pos="567"/>
        </w:tabs>
        <w:spacing w:before="360" w:after="240"/>
        <w:ind w:left="567" w:hanging="567"/>
        <w:jc w:val="both"/>
        <w:outlineLvl w:val="0"/>
        <w:rPr>
          <w:b/>
        </w:rPr>
      </w:pPr>
      <w:r>
        <w:rPr>
          <w:rFonts w:ascii="Arial" w:hAnsi="Arial"/>
          <w:b/>
        </w:rPr>
        <w:t>Projet de décision</w:t>
      </w:r>
    </w:p>
    <w:p w14:paraId="50D3EAFF" w14:textId="3B3DFCF5" w:rsidR="00D95C4C" w:rsidRPr="007E399F" w:rsidRDefault="000B1C8F" w:rsidP="007E399F">
      <w:pPr>
        <w:pStyle w:val="COMPara"/>
        <w:jc w:val="both"/>
      </w:pPr>
      <w:r w:rsidRPr="007E399F">
        <w:t>Le Bureau du Comité intergouvernemental souhaitera peut-être adopter la décision suivante :</w:t>
      </w:r>
    </w:p>
    <w:p w14:paraId="6CEB1E9D" w14:textId="79FA9BEE" w:rsidR="00D95C4C" w:rsidRPr="007E399F" w:rsidRDefault="004A34A0" w:rsidP="001D14FE">
      <w:pPr>
        <w:pStyle w:val="COMTitleDecision"/>
      </w:pPr>
      <w:bookmarkStart w:id="2" w:name="Dec1"/>
      <w:r w:rsidRPr="007E399F">
        <w:t>PROJET DE DÉCISION 20.COM 2.BUR </w:t>
      </w:r>
      <w:r w:rsidR="00491C9A" w:rsidRPr="007E399F">
        <w:t>3</w:t>
      </w:r>
      <w:bookmarkEnd w:id="2"/>
      <w:r w:rsidR="00B24C1A" w:rsidRPr="007E399F">
        <w:tab/>
      </w:r>
      <w:r w:rsidR="00B24C1A" w:rsidRPr="007E399F">
        <w:rPr>
          <w:noProof/>
        </w:rPr>
        <w:drawing>
          <wp:inline distT="0" distB="0" distL="0" distR="0" wp14:anchorId="2CB682F9" wp14:editId="70CB4D84">
            <wp:extent cx="104140" cy="104140"/>
            <wp:effectExtent l="0" t="0" r="0" b="0"/>
            <wp:docPr id="2055047110" name="Picture 1" descr="Retour au débu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47110" name="Picture 1" descr="Retour au début">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p w14:paraId="2618BACF" w14:textId="77777777" w:rsidR="00F97169" w:rsidRPr="007E399F" w:rsidRDefault="00F97169" w:rsidP="00F97169">
      <w:pPr>
        <w:keepNext/>
        <w:spacing w:before="120" w:after="120"/>
        <w:ind w:left="1134" w:hanging="567"/>
        <w:jc w:val="both"/>
        <w:rPr>
          <w:rFonts w:asciiTheme="minorBidi" w:hAnsiTheme="minorBidi" w:cstheme="minorBidi"/>
          <w:sz w:val="22"/>
          <w:szCs w:val="22"/>
        </w:rPr>
      </w:pPr>
      <w:r w:rsidRPr="007E399F">
        <w:rPr>
          <w:rFonts w:asciiTheme="minorBidi" w:hAnsiTheme="minorBidi"/>
          <w:sz w:val="22"/>
        </w:rPr>
        <w:t>Le Bureau,</w:t>
      </w:r>
    </w:p>
    <w:p w14:paraId="1DC352EB" w14:textId="221B6294" w:rsidR="00F97169" w:rsidRPr="007E399F" w:rsidRDefault="00F97169" w:rsidP="00F97169">
      <w:pPr>
        <w:numPr>
          <w:ilvl w:val="0"/>
          <w:numId w:val="25"/>
        </w:numPr>
        <w:spacing w:before="120" w:after="120"/>
        <w:ind w:left="1134" w:hanging="567"/>
        <w:jc w:val="both"/>
        <w:rPr>
          <w:rFonts w:asciiTheme="minorBidi" w:hAnsiTheme="minorBidi" w:cstheme="minorBidi"/>
          <w:sz w:val="22"/>
          <w:szCs w:val="22"/>
        </w:rPr>
      </w:pPr>
      <w:r w:rsidRPr="007E399F">
        <w:rPr>
          <w:rFonts w:asciiTheme="minorBidi" w:hAnsiTheme="minorBidi"/>
          <w:sz w:val="22"/>
          <w:u w:val="single"/>
        </w:rPr>
        <w:t>Rappelant</w:t>
      </w:r>
      <w:r w:rsidRPr="007E399F">
        <w:rPr>
          <w:rFonts w:asciiTheme="minorBidi" w:hAnsiTheme="minorBidi"/>
          <w:sz w:val="22"/>
        </w:rPr>
        <w:t xml:space="preserve"> </w:t>
      </w:r>
      <w:r w:rsidR="00E767A9" w:rsidRPr="007E399F">
        <w:rPr>
          <w:rFonts w:asciiTheme="minorBidi" w:hAnsiTheme="minorBidi"/>
          <w:sz w:val="22"/>
        </w:rPr>
        <w:t xml:space="preserve">le Chapitre V </w:t>
      </w:r>
      <w:r w:rsidRPr="007E399F">
        <w:rPr>
          <w:rFonts w:asciiTheme="minorBidi" w:hAnsiTheme="minorBidi"/>
          <w:sz w:val="22"/>
        </w:rPr>
        <w:t>de la Convention, ainsi que le chapitre I.4 des Directives opérationnelles relatif aux critères d’admissibilité et de sélection des demandes d’assistance internationale,</w:t>
      </w:r>
    </w:p>
    <w:p w14:paraId="6950D24B" w14:textId="41E7C0D9" w:rsidR="00F97169" w:rsidRPr="007E399F" w:rsidRDefault="00F97169" w:rsidP="00F97169">
      <w:pPr>
        <w:numPr>
          <w:ilvl w:val="0"/>
          <w:numId w:val="25"/>
        </w:numPr>
        <w:spacing w:before="120" w:after="120"/>
        <w:ind w:left="1134" w:hanging="567"/>
        <w:jc w:val="both"/>
        <w:rPr>
          <w:rFonts w:asciiTheme="minorBidi" w:hAnsiTheme="minorBidi" w:cstheme="minorBidi"/>
          <w:sz w:val="22"/>
          <w:szCs w:val="22"/>
        </w:rPr>
      </w:pPr>
      <w:r w:rsidRPr="007E399F">
        <w:rPr>
          <w:rFonts w:asciiTheme="minorBidi" w:hAnsiTheme="minorBidi"/>
          <w:sz w:val="22"/>
          <w:u w:val="single"/>
        </w:rPr>
        <w:t>Ayant examiné</w:t>
      </w:r>
      <w:r w:rsidRPr="007E399F">
        <w:rPr>
          <w:rFonts w:asciiTheme="minorBidi" w:hAnsiTheme="minorBidi"/>
          <w:sz w:val="22"/>
        </w:rPr>
        <w:t xml:space="preserve"> le document LHE/25/20.COM 2.BUR/</w:t>
      </w:r>
      <w:r w:rsidR="00F67284" w:rsidRPr="007E399F">
        <w:rPr>
          <w:rFonts w:asciiTheme="minorBidi" w:hAnsiTheme="minorBidi"/>
          <w:sz w:val="22"/>
        </w:rPr>
        <w:t xml:space="preserve">3 </w:t>
      </w:r>
      <w:r w:rsidRPr="007E399F">
        <w:rPr>
          <w:rFonts w:asciiTheme="minorBidi" w:hAnsiTheme="minorBidi"/>
          <w:sz w:val="22"/>
        </w:rPr>
        <w:t>ainsi que la demande d’assistance internationale n° 02209 soumise par le Honduras,</w:t>
      </w:r>
    </w:p>
    <w:p w14:paraId="5CA067AD" w14:textId="003563B6" w:rsidR="00F97169" w:rsidRPr="00F97169" w:rsidRDefault="00F97169" w:rsidP="00F97169">
      <w:pPr>
        <w:numPr>
          <w:ilvl w:val="0"/>
          <w:numId w:val="25"/>
        </w:numPr>
        <w:spacing w:before="120" w:after="120"/>
        <w:ind w:left="1134" w:hanging="567"/>
        <w:jc w:val="both"/>
        <w:rPr>
          <w:rFonts w:asciiTheme="minorBidi" w:hAnsiTheme="minorBidi" w:cstheme="minorBidi"/>
          <w:sz w:val="22"/>
          <w:szCs w:val="22"/>
        </w:rPr>
      </w:pPr>
      <w:r>
        <w:rPr>
          <w:rFonts w:asciiTheme="minorBidi" w:hAnsiTheme="minorBidi"/>
          <w:sz w:val="22"/>
          <w:u w:val="single"/>
        </w:rPr>
        <w:t>Prend note</w:t>
      </w:r>
      <w:r>
        <w:rPr>
          <w:rFonts w:asciiTheme="minorBidi" w:hAnsiTheme="minorBidi"/>
          <w:sz w:val="22"/>
        </w:rPr>
        <w:t xml:space="preserve"> que le Honduras a demandé une assistance internationale pour le projet intitulé </w:t>
      </w:r>
      <w:r>
        <w:rPr>
          <w:rFonts w:asciiTheme="minorBidi" w:hAnsiTheme="minorBidi"/>
          <w:b/>
          <w:sz w:val="22"/>
        </w:rPr>
        <w:t>Préparation des inventaires du patrimoine culturel immatériel du Honduras avec la participation active des communautés</w:t>
      </w:r>
      <w:r>
        <w:rPr>
          <w:rFonts w:asciiTheme="minorBidi" w:hAnsiTheme="minorBidi"/>
          <w:sz w:val="22"/>
        </w:rPr>
        <w:t> :</w:t>
      </w:r>
    </w:p>
    <w:p w14:paraId="591F4333" w14:textId="69B63D5C" w:rsidR="00F97169" w:rsidRPr="007D29E9" w:rsidRDefault="002B0198" w:rsidP="00AE3ECF">
      <w:pPr>
        <w:spacing w:after="240"/>
        <w:ind w:left="1134"/>
        <w:jc w:val="both"/>
        <w:rPr>
          <w:rFonts w:asciiTheme="minorBidi" w:hAnsiTheme="minorBidi" w:cstheme="minorBidi"/>
          <w:sz w:val="22"/>
          <w:szCs w:val="22"/>
        </w:rPr>
      </w:pPr>
      <w:r>
        <w:rPr>
          <w:rFonts w:asciiTheme="minorBidi" w:hAnsiTheme="minorBidi"/>
          <w:sz w:val="22"/>
        </w:rPr>
        <w:lastRenderedPageBreak/>
        <w:t xml:space="preserve">Mis en œuvre par l’Institut hondurien d’anthropologie et d’histoire (IHAH), ce projet de vingt-six mois vise à renforcer les capacités nationales de sauvegarde du patrimoine culturel immatériel et à établir des inventaires </w:t>
      </w:r>
      <w:r w:rsidR="00E800C2">
        <w:rPr>
          <w:rFonts w:asciiTheme="minorBidi" w:hAnsiTheme="minorBidi"/>
          <w:sz w:val="22"/>
        </w:rPr>
        <w:t>complets</w:t>
      </w:r>
      <w:r w:rsidR="00E767A9">
        <w:rPr>
          <w:rFonts w:asciiTheme="minorBidi" w:hAnsiTheme="minorBidi"/>
          <w:sz w:val="22"/>
        </w:rPr>
        <w:t xml:space="preserve"> </w:t>
      </w:r>
      <w:r>
        <w:rPr>
          <w:rFonts w:asciiTheme="minorBidi" w:hAnsiTheme="minorBidi"/>
          <w:sz w:val="22"/>
        </w:rPr>
        <w:t xml:space="preserve">avec la participation active des communautés dans quatre municipalités du Honduras. </w:t>
      </w:r>
      <w:r w:rsidR="00E767A9" w:rsidRPr="00E767A9">
        <w:rPr>
          <w:rFonts w:asciiTheme="minorBidi" w:hAnsiTheme="minorBidi"/>
          <w:sz w:val="22"/>
        </w:rPr>
        <w:t xml:space="preserve">Le dernier </w:t>
      </w:r>
      <w:hyperlink r:id="rId12" w:history="1">
        <w:r w:rsidR="00E767A9" w:rsidRPr="00E767A9">
          <w:rPr>
            <w:rStyle w:val="Hyperlink"/>
            <w:rFonts w:asciiTheme="minorBidi" w:hAnsiTheme="minorBidi"/>
            <w:sz w:val="22"/>
            <w:lang w:eastAsia="fr-FR"/>
          </w:rPr>
          <w:t>rapport périodique</w:t>
        </w:r>
      </w:hyperlink>
      <w:r w:rsidR="00E767A9" w:rsidRPr="00E767A9">
        <w:rPr>
          <w:rFonts w:asciiTheme="minorBidi" w:hAnsiTheme="minorBidi"/>
          <w:sz w:val="22"/>
        </w:rPr>
        <w:t xml:space="preserve"> soumis par le Honduras en 2021 indique la nécessité de systématiser les informations recueillies </w:t>
      </w:r>
      <w:r w:rsidR="00E767A9">
        <w:rPr>
          <w:rFonts w:asciiTheme="minorBidi" w:hAnsiTheme="minorBidi"/>
          <w:sz w:val="22"/>
        </w:rPr>
        <w:t xml:space="preserve">durant des </w:t>
      </w:r>
      <w:r w:rsidR="00E767A9" w:rsidRPr="00E767A9">
        <w:rPr>
          <w:rFonts w:asciiTheme="minorBidi" w:hAnsiTheme="minorBidi"/>
          <w:sz w:val="22"/>
        </w:rPr>
        <w:t>décennies de recherche sous la forme d</w:t>
      </w:r>
      <w:r w:rsidR="00E767A9">
        <w:rPr>
          <w:rFonts w:asciiTheme="minorBidi" w:hAnsiTheme="minorBidi"/>
          <w:sz w:val="22"/>
        </w:rPr>
        <w:t>’</w:t>
      </w:r>
      <w:r w:rsidR="00E767A9" w:rsidRPr="00E767A9">
        <w:rPr>
          <w:rFonts w:asciiTheme="minorBidi" w:hAnsiTheme="minorBidi"/>
          <w:sz w:val="22"/>
        </w:rPr>
        <w:t xml:space="preserve">inventaires à développer avec une large participation </w:t>
      </w:r>
      <w:r w:rsidR="00E800C2">
        <w:rPr>
          <w:rFonts w:asciiTheme="minorBidi" w:hAnsiTheme="minorBidi"/>
          <w:sz w:val="22"/>
        </w:rPr>
        <w:t xml:space="preserve">des </w:t>
      </w:r>
      <w:r w:rsidR="00E767A9" w:rsidRPr="00E767A9">
        <w:rPr>
          <w:rFonts w:asciiTheme="minorBidi" w:hAnsiTheme="minorBidi"/>
          <w:sz w:val="22"/>
        </w:rPr>
        <w:t>communaut</w:t>
      </w:r>
      <w:r w:rsidR="00E800C2">
        <w:rPr>
          <w:rFonts w:asciiTheme="minorBidi" w:hAnsiTheme="minorBidi"/>
          <w:sz w:val="22"/>
        </w:rPr>
        <w:t>és</w:t>
      </w:r>
      <w:r w:rsidR="00E767A9" w:rsidRPr="00E767A9">
        <w:rPr>
          <w:rFonts w:asciiTheme="minorBidi" w:hAnsiTheme="minorBidi"/>
          <w:sz w:val="22"/>
        </w:rPr>
        <w:t>.</w:t>
      </w:r>
      <w:r w:rsidR="00E767A9">
        <w:rPr>
          <w:rFonts w:asciiTheme="minorBidi" w:hAnsiTheme="minorBidi"/>
          <w:sz w:val="22"/>
        </w:rPr>
        <w:t xml:space="preserve"> </w:t>
      </w:r>
      <w:r>
        <w:rPr>
          <w:rFonts w:asciiTheme="minorBidi" w:hAnsiTheme="minorBidi"/>
          <w:sz w:val="22"/>
        </w:rPr>
        <w:t>Le projet prévoit l</w:t>
      </w:r>
      <w:r w:rsidR="00E767A9">
        <w:rPr>
          <w:rFonts w:asciiTheme="minorBidi" w:hAnsiTheme="minorBidi"/>
          <w:sz w:val="22"/>
        </w:rPr>
        <w:t xml:space="preserve">e développement </w:t>
      </w:r>
      <w:r>
        <w:rPr>
          <w:rFonts w:asciiTheme="minorBidi" w:hAnsiTheme="minorBidi"/>
          <w:sz w:val="22"/>
        </w:rPr>
        <w:t>d’un guide méthodologique pour la préparation des inventaires, ainsi qu’une série d’ateliers de formation sur les principes de la Convention de 2003,</w:t>
      </w:r>
      <w:r w:rsidR="00E800C2">
        <w:rPr>
          <w:rFonts w:asciiTheme="minorBidi" w:hAnsiTheme="minorBidi"/>
          <w:sz w:val="22"/>
        </w:rPr>
        <w:t xml:space="preserve"> sur </w:t>
      </w:r>
      <w:r>
        <w:rPr>
          <w:rFonts w:asciiTheme="minorBidi" w:hAnsiTheme="minorBidi"/>
          <w:sz w:val="22"/>
        </w:rPr>
        <w:t xml:space="preserve">l’élaboration d’inventaires et </w:t>
      </w:r>
      <w:r w:rsidR="00E800C2">
        <w:rPr>
          <w:rFonts w:asciiTheme="minorBidi" w:hAnsiTheme="minorBidi"/>
          <w:sz w:val="22"/>
        </w:rPr>
        <w:t xml:space="preserve">sur la </w:t>
      </w:r>
      <w:r>
        <w:rPr>
          <w:rFonts w:asciiTheme="minorBidi" w:hAnsiTheme="minorBidi"/>
          <w:sz w:val="22"/>
        </w:rPr>
        <w:t xml:space="preserve">sauvegarde. </w:t>
      </w:r>
      <w:r w:rsidR="00E767A9">
        <w:rPr>
          <w:rFonts w:asciiTheme="minorBidi" w:hAnsiTheme="minorBidi"/>
          <w:sz w:val="22"/>
        </w:rPr>
        <w:t>Les activités prévoient également des</w:t>
      </w:r>
      <w:r>
        <w:rPr>
          <w:rFonts w:asciiTheme="minorBidi" w:hAnsiTheme="minorBidi"/>
          <w:sz w:val="22"/>
        </w:rPr>
        <w:t xml:space="preserve"> </w:t>
      </w:r>
      <w:r w:rsidR="00E767A9">
        <w:rPr>
          <w:rFonts w:asciiTheme="minorBidi" w:hAnsiTheme="minorBidi"/>
          <w:sz w:val="22"/>
        </w:rPr>
        <w:t xml:space="preserve">mesures </w:t>
      </w:r>
      <w:r>
        <w:rPr>
          <w:rFonts w:asciiTheme="minorBidi" w:hAnsiTheme="minorBidi"/>
          <w:sz w:val="22"/>
        </w:rPr>
        <w:t>de sensibilisation pour promouvoir le patrimoine vivant</w:t>
      </w:r>
      <w:r w:rsidR="00E767A9">
        <w:rPr>
          <w:rFonts w:asciiTheme="minorBidi" w:hAnsiTheme="minorBidi"/>
          <w:sz w:val="22"/>
        </w:rPr>
        <w:t>, en mettant l’accent sur l’importance de la sauvegarde des</w:t>
      </w:r>
      <w:r>
        <w:rPr>
          <w:rFonts w:asciiTheme="minorBidi" w:hAnsiTheme="minorBidi"/>
          <w:sz w:val="22"/>
        </w:rPr>
        <w:t xml:space="preserve"> éléments inventoriés. En outre, le projet devrait faciliter la mise en place d’un réseau </w:t>
      </w:r>
      <w:r w:rsidR="00E767A9">
        <w:rPr>
          <w:rFonts w:asciiTheme="minorBidi" w:hAnsiTheme="minorBidi"/>
          <w:sz w:val="22"/>
        </w:rPr>
        <w:t xml:space="preserve">impliquant </w:t>
      </w:r>
      <w:r>
        <w:rPr>
          <w:rFonts w:asciiTheme="minorBidi" w:hAnsiTheme="minorBidi"/>
          <w:sz w:val="22"/>
        </w:rPr>
        <w:t xml:space="preserve">les autorités locales, les communautés, les universités et l’IHAH pour la sauvegarde du patrimoine vivant, et potentiellement inspirer d’autres municipalités à adopter des pratiques similaires. À long terme, les résultats du projet contribueront à la révision </w:t>
      </w:r>
      <w:r w:rsidR="00374B24">
        <w:rPr>
          <w:rFonts w:asciiTheme="minorBidi" w:hAnsiTheme="minorBidi"/>
          <w:sz w:val="22"/>
        </w:rPr>
        <w:t xml:space="preserve">des dispositions </w:t>
      </w:r>
      <w:r>
        <w:rPr>
          <w:rFonts w:asciiTheme="minorBidi" w:hAnsiTheme="minorBidi"/>
          <w:sz w:val="22"/>
        </w:rPr>
        <w:t>de la Loi sur la protection du patrimoine culturel afin de garantir la protection juridique du patrimoine culturel immatériel et la reconnaissance des droits des communautés.</w:t>
      </w:r>
    </w:p>
    <w:p w14:paraId="3D0C6B87" w14:textId="77777777" w:rsidR="00F97169" w:rsidRPr="00F97169" w:rsidRDefault="00F97169" w:rsidP="00F97169">
      <w:pPr>
        <w:numPr>
          <w:ilvl w:val="0"/>
          <w:numId w:val="25"/>
        </w:numPr>
        <w:ind w:left="1134" w:hanging="567"/>
        <w:contextualSpacing/>
        <w:jc w:val="both"/>
        <w:rPr>
          <w:rFonts w:asciiTheme="minorBidi" w:hAnsiTheme="minorBidi" w:cstheme="minorBidi"/>
          <w:sz w:val="22"/>
          <w:szCs w:val="22"/>
        </w:rPr>
      </w:pPr>
      <w:r>
        <w:rPr>
          <w:rFonts w:asciiTheme="minorBidi" w:hAnsiTheme="minorBidi"/>
          <w:sz w:val="22"/>
          <w:u w:val="single"/>
        </w:rPr>
        <w:t>Prend note en outre</w:t>
      </w:r>
      <w:r>
        <w:rPr>
          <w:rFonts w:asciiTheme="minorBidi" w:hAnsiTheme="minorBidi"/>
          <w:sz w:val="22"/>
        </w:rPr>
        <w:t xml:space="preserve"> que cette assistance vise à soutenir un projet mis en œuvre au niveau national, conformément à l’article 20 (c) de la Convention, et qu’elle prend la forme d’</w:t>
      </w:r>
      <w:r>
        <w:rPr>
          <w:rFonts w:asciiTheme="minorBidi" w:hAnsiTheme="minorBidi"/>
          <w:b/>
          <w:bCs/>
          <w:sz w:val="22"/>
        </w:rPr>
        <w:t>octroi d’un don</w:t>
      </w:r>
      <w:r>
        <w:rPr>
          <w:rFonts w:asciiTheme="minorBidi" w:hAnsiTheme="minorBidi"/>
          <w:sz w:val="22"/>
        </w:rPr>
        <w:t>, conformément à l’article 21 (g) de la Convention ;</w:t>
      </w:r>
    </w:p>
    <w:p w14:paraId="2085E2E0" w14:textId="78057B2D" w:rsidR="00F97169" w:rsidRPr="00F97169" w:rsidRDefault="00F97169" w:rsidP="00F97169">
      <w:pPr>
        <w:keepNext/>
        <w:numPr>
          <w:ilvl w:val="0"/>
          <w:numId w:val="25"/>
        </w:numPr>
        <w:spacing w:before="120" w:after="120"/>
        <w:ind w:left="1134" w:hanging="567"/>
        <w:jc w:val="both"/>
        <w:rPr>
          <w:rFonts w:asciiTheme="minorBidi" w:hAnsiTheme="minorBidi" w:cstheme="minorBidi"/>
          <w:sz w:val="22"/>
          <w:szCs w:val="22"/>
        </w:rPr>
      </w:pPr>
      <w:r>
        <w:rPr>
          <w:rFonts w:asciiTheme="minorBidi" w:hAnsiTheme="minorBidi"/>
          <w:sz w:val="22"/>
          <w:u w:val="single"/>
        </w:rPr>
        <w:t>Prend également note</w:t>
      </w:r>
      <w:r>
        <w:rPr>
          <w:rFonts w:asciiTheme="minorBidi" w:hAnsiTheme="minorBidi"/>
          <w:sz w:val="22"/>
        </w:rPr>
        <w:t xml:space="preserve"> que le Honduras a demandé une allocation d’un montant de 100 000 dollars des États-Unis au Fonds du patrimoine culturel immatériel pour la mise en œuvre du projet ;</w:t>
      </w:r>
    </w:p>
    <w:p w14:paraId="4B5D7421" w14:textId="0C03542C" w:rsidR="00F97169" w:rsidRPr="00F97169" w:rsidRDefault="00F97169" w:rsidP="00F97169">
      <w:pPr>
        <w:numPr>
          <w:ilvl w:val="0"/>
          <w:numId w:val="25"/>
        </w:numPr>
        <w:spacing w:before="120" w:after="120"/>
        <w:ind w:left="1134" w:hanging="567"/>
        <w:jc w:val="both"/>
        <w:rPr>
          <w:rFonts w:asciiTheme="minorBidi" w:hAnsiTheme="minorBidi" w:cstheme="minorBidi"/>
          <w:sz w:val="22"/>
          <w:szCs w:val="22"/>
        </w:rPr>
      </w:pPr>
      <w:r>
        <w:rPr>
          <w:rFonts w:asciiTheme="minorBidi" w:hAnsiTheme="minorBidi"/>
          <w:sz w:val="22"/>
          <w:u w:val="single"/>
        </w:rPr>
        <w:t>Décide</w:t>
      </w:r>
      <w:r>
        <w:rPr>
          <w:rFonts w:asciiTheme="minorBidi" w:hAnsiTheme="minorBidi"/>
          <w:sz w:val="22"/>
        </w:rPr>
        <w:t xml:space="preserve"> que, d’après les informations contenues dans le dossier n° 02209, la demande satisfait aux critères d’octroi de l’assistance internationale énoncés aux paragraphes 10 et 12 des Directives opérationnelles comme suit :</w:t>
      </w:r>
    </w:p>
    <w:p w14:paraId="70964F52" w14:textId="7150033C" w:rsidR="000438B1" w:rsidRPr="007E399F" w:rsidRDefault="00F97169" w:rsidP="00374B24">
      <w:pPr>
        <w:spacing w:before="120" w:after="120"/>
        <w:ind w:left="1134"/>
        <w:jc w:val="both"/>
        <w:rPr>
          <w:rFonts w:asciiTheme="minorBidi" w:hAnsiTheme="minorBidi"/>
          <w:bCs/>
          <w:sz w:val="22"/>
        </w:rPr>
      </w:pPr>
      <w:r>
        <w:rPr>
          <w:rFonts w:asciiTheme="minorBidi" w:hAnsiTheme="minorBidi"/>
          <w:b/>
          <w:sz w:val="22"/>
        </w:rPr>
        <w:t xml:space="preserve">Critère A.1 : </w:t>
      </w:r>
      <w:r w:rsidR="00374B24" w:rsidRPr="00374B24">
        <w:rPr>
          <w:rFonts w:asciiTheme="minorBidi" w:hAnsiTheme="minorBidi"/>
          <w:bCs/>
          <w:sz w:val="22"/>
        </w:rPr>
        <w:t>Pour donner suite à</w:t>
      </w:r>
      <w:r w:rsidR="00374B24" w:rsidRPr="007E399F">
        <w:rPr>
          <w:rFonts w:asciiTheme="minorBidi" w:hAnsiTheme="minorBidi"/>
          <w:bCs/>
          <w:sz w:val="22"/>
        </w:rPr>
        <w:t xml:space="preserve"> la demande d</w:t>
      </w:r>
      <w:r w:rsidR="00374B24">
        <w:rPr>
          <w:rFonts w:asciiTheme="minorBidi" w:hAnsiTheme="minorBidi"/>
          <w:bCs/>
          <w:sz w:val="22"/>
        </w:rPr>
        <w:t>’</w:t>
      </w:r>
      <w:r w:rsidR="00374B24" w:rsidRPr="007E399F">
        <w:rPr>
          <w:rFonts w:asciiTheme="minorBidi" w:hAnsiTheme="minorBidi"/>
          <w:bCs/>
          <w:sz w:val="22"/>
        </w:rPr>
        <w:t xml:space="preserve">assistance technique </w:t>
      </w:r>
      <w:r w:rsidR="00374B24">
        <w:rPr>
          <w:rFonts w:asciiTheme="minorBidi" w:hAnsiTheme="minorBidi"/>
          <w:bCs/>
          <w:sz w:val="22"/>
        </w:rPr>
        <w:t>faite</w:t>
      </w:r>
      <w:r w:rsidR="00374B24" w:rsidRPr="007E399F">
        <w:rPr>
          <w:rFonts w:asciiTheme="minorBidi" w:hAnsiTheme="minorBidi"/>
          <w:bCs/>
          <w:sz w:val="22"/>
        </w:rPr>
        <w:t xml:space="preserve"> par les autorités nationales, un</w:t>
      </w:r>
      <w:r w:rsidR="00374B24">
        <w:rPr>
          <w:rFonts w:asciiTheme="minorBidi" w:hAnsiTheme="minorBidi"/>
          <w:bCs/>
          <w:sz w:val="22"/>
        </w:rPr>
        <w:t>e</w:t>
      </w:r>
      <w:r w:rsidR="00374B24" w:rsidRPr="007E399F">
        <w:rPr>
          <w:rFonts w:asciiTheme="minorBidi" w:hAnsiTheme="minorBidi"/>
          <w:bCs/>
          <w:sz w:val="22"/>
        </w:rPr>
        <w:t xml:space="preserve"> expert</w:t>
      </w:r>
      <w:r w:rsidR="00374B24">
        <w:rPr>
          <w:rFonts w:asciiTheme="minorBidi" w:hAnsiTheme="minorBidi"/>
          <w:bCs/>
          <w:sz w:val="22"/>
        </w:rPr>
        <w:t>e</w:t>
      </w:r>
      <w:r w:rsidR="00374B24" w:rsidRPr="007E399F">
        <w:rPr>
          <w:rFonts w:asciiTheme="minorBidi" w:hAnsiTheme="minorBidi"/>
          <w:bCs/>
          <w:sz w:val="22"/>
        </w:rPr>
        <w:t xml:space="preserve"> du Guatemala a effectué une mission dans le pays en juillet 2024.</w:t>
      </w:r>
      <w:r w:rsidR="00374B24">
        <w:rPr>
          <w:rFonts w:asciiTheme="minorBidi" w:hAnsiTheme="minorBidi"/>
          <w:bCs/>
          <w:sz w:val="22"/>
        </w:rPr>
        <w:t xml:space="preserve"> </w:t>
      </w:r>
      <w:r>
        <w:rPr>
          <w:rFonts w:asciiTheme="minorBidi" w:hAnsiTheme="minorBidi"/>
          <w:sz w:val="22"/>
        </w:rPr>
        <w:t>Au cours de cette mission, les autorités nationales ont organisé un certain nombre d’ateliers avec les communautés, qui ont fait part de leurs besoins en matière de sauvegarde et qui ont donné leur accord pour participer au projet. Les communautés concernées sont les communautés autochtones</w:t>
      </w:r>
      <w:r w:rsidR="00E800C2">
        <w:rPr>
          <w:rFonts w:asciiTheme="minorBidi" w:hAnsiTheme="minorBidi"/>
          <w:sz w:val="22"/>
        </w:rPr>
        <w:t xml:space="preserve"> de </w:t>
      </w:r>
      <w:r>
        <w:rPr>
          <w:rFonts w:asciiTheme="minorBidi" w:hAnsiTheme="minorBidi"/>
          <w:sz w:val="22"/>
        </w:rPr>
        <w:t xml:space="preserve">Lenca de San Francisco de </w:t>
      </w:r>
      <w:proofErr w:type="spellStart"/>
      <w:r>
        <w:rPr>
          <w:rFonts w:asciiTheme="minorBidi" w:hAnsiTheme="minorBidi"/>
          <w:sz w:val="22"/>
        </w:rPr>
        <w:t>Opalaca</w:t>
      </w:r>
      <w:proofErr w:type="spellEnd"/>
      <w:r>
        <w:rPr>
          <w:rFonts w:asciiTheme="minorBidi" w:hAnsiTheme="minorBidi"/>
          <w:sz w:val="22"/>
        </w:rPr>
        <w:t>, d’</w:t>
      </w:r>
      <w:proofErr w:type="spellStart"/>
      <w:r>
        <w:rPr>
          <w:rFonts w:asciiTheme="minorBidi" w:hAnsiTheme="minorBidi"/>
          <w:sz w:val="22"/>
        </w:rPr>
        <w:t>Opatoro</w:t>
      </w:r>
      <w:proofErr w:type="spellEnd"/>
      <w:r>
        <w:rPr>
          <w:rFonts w:asciiTheme="minorBidi" w:hAnsiTheme="minorBidi"/>
          <w:sz w:val="22"/>
        </w:rPr>
        <w:t xml:space="preserve">, de </w:t>
      </w:r>
      <w:proofErr w:type="spellStart"/>
      <w:r>
        <w:rPr>
          <w:rFonts w:asciiTheme="minorBidi" w:hAnsiTheme="minorBidi"/>
          <w:sz w:val="22"/>
        </w:rPr>
        <w:t>Guajiquiro</w:t>
      </w:r>
      <w:proofErr w:type="spellEnd"/>
      <w:r>
        <w:rPr>
          <w:rFonts w:asciiTheme="minorBidi" w:hAnsiTheme="minorBidi"/>
          <w:sz w:val="22"/>
        </w:rPr>
        <w:t xml:space="preserve"> et la communauté </w:t>
      </w:r>
      <w:proofErr w:type="spellStart"/>
      <w:r>
        <w:rPr>
          <w:rFonts w:asciiTheme="minorBidi" w:hAnsiTheme="minorBidi"/>
          <w:sz w:val="22"/>
        </w:rPr>
        <w:t>Yarumela</w:t>
      </w:r>
      <w:proofErr w:type="spellEnd"/>
      <w:r>
        <w:rPr>
          <w:rFonts w:asciiTheme="minorBidi" w:hAnsiTheme="minorBidi"/>
          <w:sz w:val="22"/>
        </w:rPr>
        <w:t xml:space="preserve"> (à </w:t>
      </w:r>
      <w:proofErr w:type="spellStart"/>
      <w:r>
        <w:rPr>
          <w:rFonts w:asciiTheme="minorBidi" w:hAnsiTheme="minorBidi"/>
          <w:sz w:val="22"/>
        </w:rPr>
        <w:t>Yarumela</w:t>
      </w:r>
      <w:proofErr w:type="spellEnd"/>
      <w:r>
        <w:rPr>
          <w:rFonts w:asciiTheme="minorBidi" w:hAnsiTheme="minorBidi"/>
          <w:sz w:val="22"/>
        </w:rPr>
        <w:t xml:space="preserve">). En outre, une série de réunions </w:t>
      </w:r>
      <w:r w:rsidR="00374B24">
        <w:rPr>
          <w:rFonts w:asciiTheme="minorBidi" w:hAnsiTheme="minorBidi"/>
          <w:sz w:val="22"/>
        </w:rPr>
        <w:t xml:space="preserve">de consultation </w:t>
      </w:r>
      <w:r>
        <w:rPr>
          <w:rFonts w:asciiTheme="minorBidi" w:hAnsiTheme="minorBidi"/>
          <w:sz w:val="22"/>
        </w:rPr>
        <w:t xml:space="preserve">a été organisée d’août à novembre 2024 avec </w:t>
      </w:r>
      <w:r w:rsidR="00374B24">
        <w:rPr>
          <w:rFonts w:asciiTheme="minorBidi" w:hAnsiTheme="minorBidi"/>
          <w:sz w:val="22"/>
        </w:rPr>
        <w:t>ces</w:t>
      </w:r>
      <w:r>
        <w:rPr>
          <w:rFonts w:asciiTheme="minorBidi" w:hAnsiTheme="minorBidi"/>
          <w:sz w:val="22"/>
        </w:rPr>
        <w:t xml:space="preserve"> communautés pour élaborer la demande</w:t>
      </w:r>
      <w:r w:rsidR="00DC2385">
        <w:rPr>
          <w:rFonts w:asciiTheme="minorBidi" w:hAnsiTheme="minorBidi"/>
          <w:sz w:val="22"/>
        </w:rPr>
        <w:t xml:space="preserve"> d’assistance internationale</w:t>
      </w:r>
      <w:r>
        <w:rPr>
          <w:rFonts w:asciiTheme="minorBidi" w:hAnsiTheme="minorBidi"/>
          <w:sz w:val="22"/>
        </w:rPr>
        <w:t xml:space="preserve"> </w:t>
      </w:r>
      <w:r w:rsidR="00374B24">
        <w:rPr>
          <w:rFonts w:asciiTheme="minorBidi" w:hAnsiTheme="minorBidi"/>
          <w:sz w:val="22"/>
        </w:rPr>
        <w:t xml:space="preserve">en question, qui sera </w:t>
      </w:r>
      <w:r>
        <w:rPr>
          <w:rFonts w:asciiTheme="minorBidi" w:hAnsiTheme="minorBidi"/>
          <w:sz w:val="22"/>
        </w:rPr>
        <w:t>mis</w:t>
      </w:r>
      <w:r w:rsidR="00374B24">
        <w:rPr>
          <w:rFonts w:asciiTheme="minorBidi" w:hAnsiTheme="minorBidi"/>
          <w:sz w:val="22"/>
        </w:rPr>
        <w:t>e</w:t>
      </w:r>
      <w:r>
        <w:rPr>
          <w:rFonts w:asciiTheme="minorBidi" w:hAnsiTheme="minorBidi"/>
          <w:sz w:val="22"/>
        </w:rPr>
        <w:t xml:space="preserve"> en œuvre selon des approches inclusives et participatives. </w:t>
      </w:r>
      <w:r w:rsidR="00374B24">
        <w:rPr>
          <w:rFonts w:asciiTheme="minorBidi" w:hAnsiTheme="minorBidi"/>
          <w:sz w:val="22"/>
        </w:rPr>
        <w:t>Par conséquent</w:t>
      </w:r>
      <w:r>
        <w:rPr>
          <w:rFonts w:asciiTheme="minorBidi" w:hAnsiTheme="minorBidi"/>
          <w:sz w:val="22"/>
        </w:rPr>
        <w:t>, les communautés seront impliquées dans le développement du guide méthodologique et l’élaboration des inventaires, et bénéficieront des différentes sessions de formation. Elles participeront également à la planification</w:t>
      </w:r>
      <w:r w:rsidR="00E800C2">
        <w:rPr>
          <w:rFonts w:asciiTheme="minorBidi" w:hAnsiTheme="minorBidi"/>
          <w:sz w:val="22"/>
        </w:rPr>
        <w:t xml:space="preserve"> </w:t>
      </w:r>
      <w:r>
        <w:rPr>
          <w:rFonts w:asciiTheme="minorBidi" w:hAnsiTheme="minorBidi"/>
          <w:sz w:val="22"/>
        </w:rPr>
        <w:t xml:space="preserve">et au suivi du projet. La demande souligne l’importance de l’égalité des genres et de l’inclusion sociale, en garantissant la participation de plusieurs groupes, y compris les femmes et les jeunes, </w:t>
      </w:r>
      <w:r w:rsidR="00374B24">
        <w:rPr>
          <w:rFonts w:asciiTheme="minorBidi" w:hAnsiTheme="minorBidi"/>
          <w:sz w:val="22"/>
        </w:rPr>
        <w:t xml:space="preserve">dans toutes les composantes du projet. </w:t>
      </w:r>
    </w:p>
    <w:p w14:paraId="4DEE70FC" w14:textId="77777777" w:rsidR="00F97169" w:rsidRPr="00F97169" w:rsidRDefault="00F97169" w:rsidP="00F97169">
      <w:pPr>
        <w:spacing w:before="120" w:after="120"/>
        <w:ind w:left="1134"/>
        <w:jc w:val="both"/>
        <w:rPr>
          <w:rFonts w:asciiTheme="minorBidi" w:hAnsiTheme="minorBidi" w:cstheme="minorBidi"/>
          <w:bCs/>
          <w:sz w:val="22"/>
          <w:szCs w:val="22"/>
        </w:rPr>
      </w:pPr>
      <w:r>
        <w:rPr>
          <w:rFonts w:asciiTheme="minorBidi" w:hAnsiTheme="minorBidi"/>
          <w:b/>
          <w:sz w:val="22"/>
        </w:rPr>
        <w:t>Critère A.2 :</w:t>
      </w:r>
      <w:r>
        <w:rPr>
          <w:rFonts w:asciiTheme="minorBidi" w:hAnsiTheme="minorBidi"/>
          <w:sz w:val="22"/>
        </w:rPr>
        <w:t xml:space="preserve"> La ventilation du budget et le calendrier proposé sont bien structurés et conformes aux activités décrites dans la demande. Le montant de l’assistance demandé est considéré comme approprié.</w:t>
      </w:r>
    </w:p>
    <w:p w14:paraId="4F715F71" w14:textId="1C046D43" w:rsidR="00F97169" w:rsidRPr="00F97169" w:rsidRDefault="00F97169" w:rsidP="00AD290B">
      <w:pPr>
        <w:spacing w:before="120" w:after="120"/>
        <w:ind w:left="1134"/>
        <w:jc w:val="both"/>
        <w:rPr>
          <w:rFonts w:asciiTheme="minorBidi" w:hAnsiTheme="minorBidi" w:cstheme="minorBidi"/>
          <w:bCs/>
          <w:sz w:val="22"/>
          <w:szCs w:val="22"/>
        </w:rPr>
      </w:pPr>
      <w:r>
        <w:rPr>
          <w:rFonts w:asciiTheme="minorBidi" w:hAnsiTheme="minorBidi"/>
          <w:b/>
          <w:sz w:val="22"/>
        </w:rPr>
        <w:t>Critère A.3 :</w:t>
      </w:r>
      <w:r>
        <w:rPr>
          <w:rFonts w:asciiTheme="minorBidi" w:hAnsiTheme="minorBidi"/>
          <w:sz w:val="22"/>
        </w:rPr>
        <w:t xml:space="preserve"> La demande présente quatre activités principales : (a) </w:t>
      </w:r>
      <w:r w:rsidR="00374B24">
        <w:rPr>
          <w:rFonts w:asciiTheme="minorBidi" w:hAnsiTheme="minorBidi"/>
          <w:sz w:val="22"/>
        </w:rPr>
        <w:t xml:space="preserve">le développement </w:t>
      </w:r>
      <w:r>
        <w:rPr>
          <w:rFonts w:asciiTheme="minorBidi" w:hAnsiTheme="minorBidi"/>
          <w:sz w:val="22"/>
        </w:rPr>
        <w:t>d’un guide méthodologique pour la préparation d</w:t>
      </w:r>
      <w:r w:rsidR="0094451C">
        <w:rPr>
          <w:rFonts w:asciiTheme="minorBidi" w:hAnsiTheme="minorBidi"/>
          <w:sz w:val="22"/>
        </w:rPr>
        <w:t xml:space="preserve">es </w:t>
      </w:r>
      <w:r>
        <w:rPr>
          <w:rFonts w:asciiTheme="minorBidi" w:hAnsiTheme="minorBidi"/>
          <w:sz w:val="22"/>
        </w:rPr>
        <w:t xml:space="preserve">inventaires ; (b) des ateliers de renforcement des capacités pour les communautés et les </w:t>
      </w:r>
      <w:r w:rsidR="00374B24">
        <w:rPr>
          <w:rFonts w:asciiTheme="minorBidi" w:hAnsiTheme="minorBidi"/>
          <w:sz w:val="22"/>
        </w:rPr>
        <w:t>responsables gouvernementaux </w:t>
      </w:r>
      <w:r>
        <w:rPr>
          <w:rFonts w:asciiTheme="minorBidi" w:hAnsiTheme="minorBidi"/>
          <w:sz w:val="22"/>
        </w:rPr>
        <w:t>; (c) des inventaires basés sur les communautés ; et (d) des activités de sensibilisation et la diffusion des résultats du projet. Les activités sont présentées dans un ordre logique et correspondent aux objectifs et aux résultats attendus décrits dans la demande.</w:t>
      </w:r>
    </w:p>
    <w:p w14:paraId="6E87D74C" w14:textId="504706F9" w:rsidR="00286121" w:rsidRPr="009C53B4" w:rsidRDefault="00F97169" w:rsidP="00FF51C6">
      <w:pPr>
        <w:snapToGrid w:val="0"/>
        <w:spacing w:before="120" w:after="120"/>
        <w:ind w:left="1134"/>
        <w:jc w:val="both"/>
        <w:rPr>
          <w:rFonts w:asciiTheme="minorBidi" w:hAnsiTheme="minorBidi" w:cstheme="minorBidi"/>
          <w:sz w:val="22"/>
          <w:szCs w:val="22"/>
        </w:rPr>
      </w:pPr>
      <w:r>
        <w:rPr>
          <w:rFonts w:asciiTheme="minorBidi" w:hAnsiTheme="minorBidi"/>
          <w:b/>
          <w:sz w:val="22"/>
        </w:rPr>
        <w:t>Critère A.4 :</w:t>
      </w:r>
      <w:r>
        <w:rPr>
          <w:rFonts w:asciiTheme="minorBidi" w:hAnsiTheme="minorBidi"/>
          <w:sz w:val="22"/>
        </w:rPr>
        <w:t xml:space="preserve"> Le projet vise à établir une base durable pour la sauvegarde du patrimoine vivant au Honduras. Il </w:t>
      </w:r>
      <w:r w:rsidRPr="00864CA9">
        <w:rPr>
          <w:rFonts w:asciiTheme="minorBidi" w:hAnsiTheme="minorBidi"/>
          <w:sz w:val="22"/>
        </w:rPr>
        <w:t xml:space="preserve">contribuera </w:t>
      </w:r>
      <w:r w:rsidR="00374B24" w:rsidRPr="00864CA9">
        <w:rPr>
          <w:rFonts w:asciiTheme="minorBidi" w:hAnsiTheme="minorBidi"/>
          <w:sz w:val="22"/>
        </w:rPr>
        <w:t xml:space="preserve">au développement </w:t>
      </w:r>
      <w:r w:rsidRPr="00864CA9">
        <w:rPr>
          <w:rFonts w:asciiTheme="minorBidi" w:hAnsiTheme="minorBidi"/>
          <w:sz w:val="22"/>
        </w:rPr>
        <w:t>d’un guide méthodologique pour les inventaires basés sur les communautés, qui servira d’outil</w:t>
      </w:r>
      <w:r w:rsidR="00FF51C6" w:rsidRPr="00864CA9">
        <w:rPr>
          <w:rFonts w:asciiTheme="minorBidi" w:hAnsiTheme="minorBidi"/>
          <w:sz w:val="22"/>
        </w:rPr>
        <w:t xml:space="preserve"> </w:t>
      </w:r>
      <w:r w:rsidR="00864CA9" w:rsidRPr="007E399F">
        <w:rPr>
          <w:rFonts w:asciiTheme="minorBidi" w:hAnsiTheme="minorBidi"/>
          <w:sz w:val="22"/>
        </w:rPr>
        <w:t xml:space="preserve">pour l’inventaire et pour la </w:t>
      </w:r>
      <w:r w:rsidRPr="00864CA9">
        <w:rPr>
          <w:rFonts w:asciiTheme="minorBidi" w:hAnsiTheme="minorBidi"/>
          <w:sz w:val="22"/>
        </w:rPr>
        <w:t>sauvegarde</w:t>
      </w:r>
      <w:r w:rsidR="00FF51C6" w:rsidRPr="00864CA9">
        <w:rPr>
          <w:rFonts w:asciiTheme="minorBidi" w:hAnsiTheme="minorBidi"/>
          <w:sz w:val="22"/>
        </w:rPr>
        <w:t xml:space="preserve"> </w:t>
      </w:r>
      <w:r w:rsidRPr="00864CA9">
        <w:rPr>
          <w:rFonts w:asciiTheme="minorBidi" w:hAnsiTheme="minorBidi"/>
          <w:sz w:val="22"/>
        </w:rPr>
        <w:t xml:space="preserve">du patrimoine culturel immatériel </w:t>
      </w:r>
      <w:r w:rsidR="00FF51C6" w:rsidRPr="00864CA9">
        <w:rPr>
          <w:rFonts w:asciiTheme="minorBidi" w:hAnsiTheme="minorBidi"/>
          <w:sz w:val="22"/>
        </w:rPr>
        <w:t>dans les quatre communautés, dans le cadre du projet.</w:t>
      </w:r>
      <w:r w:rsidR="00FF51C6" w:rsidRPr="00864CA9">
        <w:t xml:space="preserve"> </w:t>
      </w:r>
      <w:r w:rsidR="00FF51C6" w:rsidRPr="00864CA9">
        <w:rPr>
          <w:rFonts w:asciiTheme="minorBidi" w:hAnsiTheme="minorBidi"/>
          <w:sz w:val="22"/>
        </w:rPr>
        <w:t>La méthodologie établie</w:t>
      </w:r>
      <w:r w:rsidR="00FF51C6" w:rsidRPr="00FF51C6">
        <w:rPr>
          <w:rFonts w:asciiTheme="minorBidi" w:hAnsiTheme="minorBidi"/>
          <w:sz w:val="22"/>
        </w:rPr>
        <w:t xml:space="preserve"> sera appliquée à l</w:t>
      </w:r>
      <w:r w:rsidR="00FF51C6">
        <w:rPr>
          <w:rFonts w:asciiTheme="minorBidi" w:hAnsiTheme="minorBidi"/>
          <w:sz w:val="22"/>
        </w:rPr>
        <w:t>’</w:t>
      </w:r>
      <w:r w:rsidR="00FF51C6" w:rsidRPr="00FF51C6">
        <w:rPr>
          <w:rFonts w:asciiTheme="minorBidi" w:hAnsiTheme="minorBidi"/>
          <w:sz w:val="22"/>
        </w:rPr>
        <w:t>inventaire du patrimoine vivant d</w:t>
      </w:r>
      <w:r w:rsidR="00FF51C6">
        <w:rPr>
          <w:rFonts w:asciiTheme="minorBidi" w:hAnsiTheme="minorBidi"/>
          <w:sz w:val="22"/>
        </w:rPr>
        <w:t>’</w:t>
      </w:r>
      <w:r w:rsidR="00FF51C6" w:rsidRPr="00FF51C6">
        <w:rPr>
          <w:rFonts w:asciiTheme="minorBidi" w:hAnsiTheme="minorBidi"/>
          <w:sz w:val="22"/>
        </w:rPr>
        <w:t xml:space="preserve">autres communautés à travers le pays, </w:t>
      </w:r>
      <w:r w:rsidR="000350A6">
        <w:rPr>
          <w:rFonts w:asciiTheme="minorBidi" w:hAnsiTheme="minorBidi"/>
          <w:sz w:val="22"/>
        </w:rPr>
        <w:t>au-</w:t>
      </w:r>
      <w:r w:rsidR="000350A6" w:rsidRPr="00FF51C6">
        <w:rPr>
          <w:rFonts w:asciiTheme="minorBidi" w:hAnsiTheme="minorBidi"/>
          <w:sz w:val="22"/>
        </w:rPr>
        <w:t>delà</w:t>
      </w:r>
      <w:r w:rsidR="00FF51C6" w:rsidRPr="00FF51C6">
        <w:rPr>
          <w:rFonts w:asciiTheme="minorBidi" w:hAnsiTheme="minorBidi"/>
          <w:sz w:val="22"/>
        </w:rPr>
        <w:t xml:space="preserve"> de l</w:t>
      </w:r>
      <w:r w:rsidR="00FF51C6">
        <w:rPr>
          <w:rFonts w:asciiTheme="minorBidi" w:hAnsiTheme="minorBidi"/>
          <w:sz w:val="22"/>
        </w:rPr>
        <w:t>’</w:t>
      </w:r>
      <w:r w:rsidR="00FF51C6" w:rsidRPr="00FF51C6">
        <w:rPr>
          <w:rFonts w:asciiTheme="minorBidi" w:hAnsiTheme="minorBidi"/>
          <w:sz w:val="22"/>
        </w:rPr>
        <w:t>achèvement du projet.</w:t>
      </w:r>
      <w:r w:rsidR="00FF51C6">
        <w:rPr>
          <w:rFonts w:asciiTheme="minorBidi" w:hAnsiTheme="minorBidi"/>
          <w:sz w:val="22"/>
        </w:rPr>
        <w:t xml:space="preserve"> </w:t>
      </w:r>
      <w:r>
        <w:rPr>
          <w:rFonts w:asciiTheme="minorBidi" w:hAnsiTheme="minorBidi"/>
          <w:sz w:val="22"/>
        </w:rPr>
        <w:t xml:space="preserve">En outre, le projet favorisera la création de réseaux entre l’IHAH, les communautés, les </w:t>
      </w:r>
      <w:r w:rsidR="00FF51C6">
        <w:rPr>
          <w:rFonts w:asciiTheme="minorBidi" w:hAnsiTheme="minorBidi"/>
          <w:sz w:val="22"/>
        </w:rPr>
        <w:t xml:space="preserve">organisations non gouvernementales </w:t>
      </w:r>
      <w:r>
        <w:rPr>
          <w:rFonts w:asciiTheme="minorBidi" w:hAnsiTheme="minorBidi"/>
          <w:sz w:val="22"/>
        </w:rPr>
        <w:t xml:space="preserve">et les universités afin de promouvoir </w:t>
      </w:r>
      <w:r w:rsidR="0094451C">
        <w:rPr>
          <w:rFonts w:asciiTheme="minorBidi" w:hAnsiTheme="minorBidi"/>
          <w:sz w:val="22"/>
        </w:rPr>
        <w:t xml:space="preserve">ses </w:t>
      </w:r>
      <w:r>
        <w:rPr>
          <w:rFonts w:asciiTheme="minorBidi" w:hAnsiTheme="minorBidi"/>
          <w:sz w:val="22"/>
        </w:rPr>
        <w:t xml:space="preserve">résultats. Il </w:t>
      </w:r>
      <w:r w:rsidR="00FF51C6">
        <w:rPr>
          <w:rFonts w:asciiTheme="minorBidi" w:hAnsiTheme="minorBidi"/>
          <w:sz w:val="22"/>
        </w:rPr>
        <w:t xml:space="preserve">permettra </w:t>
      </w:r>
      <w:r>
        <w:rPr>
          <w:rFonts w:asciiTheme="minorBidi" w:hAnsiTheme="minorBidi"/>
          <w:sz w:val="22"/>
        </w:rPr>
        <w:t xml:space="preserve">également </w:t>
      </w:r>
      <w:r w:rsidR="00FF51C6">
        <w:rPr>
          <w:rFonts w:asciiTheme="minorBidi" w:hAnsiTheme="minorBidi"/>
          <w:sz w:val="22"/>
        </w:rPr>
        <w:t xml:space="preserve">d’engager </w:t>
      </w:r>
      <w:r>
        <w:rPr>
          <w:rFonts w:asciiTheme="minorBidi" w:hAnsiTheme="minorBidi"/>
          <w:sz w:val="22"/>
        </w:rPr>
        <w:t>une réflexion sur la dynamique des genres dans la</w:t>
      </w:r>
      <w:r w:rsidR="00FF51C6">
        <w:rPr>
          <w:rFonts w:asciiTheme="minorBidi" w:hAnsiTheme="minorBidi"/>
          <w:sz w:val="22"/>
        </w:rPr>
        <w:t xml:space="preserve"> mise en œuvre </w:t>
      </w:r>
      <w:r>
        <w:rPr>
          <w:rFonts w:asciiTheme="minorBidi" w:hAnsiTheme="minorBidi"/>
          <w:sz w:val="22"/>
        </w:rPr>
        <w:t xml:space="preserve">du patrimoine culturel immatériel et sur la manière dont </w:t>
      </w:r>
      <w:r w:rsidR="0094451C">
        <w:rPr>
          <w:rFonts w:asciiTheme="minorBidi" w:hAnsiTheme="minorBidi"/>
          <w:sz w:val="22"/>
        </w:rPr>
        <w:t>cette dynamique</w:t>
      </w:r>
      <w:r>
        <w:rPr>
          <w:rFonts w:asciiTheme="minorBidi" w:hAnsiTheme="minorBidi"/>
          <w:sz w:val="22"/>
        </w:rPr>
        <w:t xml:space="preserve"> peut influencer sa sauvegarde</w:t>
      </w:r>
      <w:r w:rsidR="00FF51C6">
        <w:rPr>
          <w:rFonts w:asciiTheme="minorBidi" w:hAnsiTheme="minorBidi"/>
          <w:sz w:val="22"/>
        </w:rPr>
        <w:t>, y compris sa transmission</w:t>
      </w:r>
      <w:r>
        <w:rPr>
          <w:rFonts w:asciiTheme="minorBidi" w:hAnsiTheme="minorBidi"/>
          <w:sz w:val="22"/>
        </w:rPr>
        <w:t xml:space="preserve">. À long terme, le projet contribuera à la mise en place de mécanismes durables, dont l’un des </w:t>
      </w:r>
      <w:r w:rsidR="00A11CC7">
        <w:rPr>
          <w:rFonts w:asciiTheme="minorBidi" w:hAnsiTheme="minorBidi"/>
          <w:sz w:val="22"/>
        </w:rPr>
        <w:t xml:space="preserve">éléments clés sera le travail de </w:t>
      </w:r>
      <w:r>
        <w:rPr>
          <w:rFonts w:asciiTheme="minorBidi" w:hAnsiTheme="minorBidi"/>
          <w:sz w:val="22"/>
        </w:rPr>
        <w:t xml:space="preserve">l’IHAH sur la réglementation de la Loi pour la protection du patrimoine culturel (décret 220-97) afin d’assurer la protection juridique du patrimoine culturel immatériel et la reconnaissance des droits des communautés. La réglementation actuelle ne fait que définir le patrimoine culturel immatériel, mais elle ne réglemente pas les aspects liés à sa sauvegarde ou le rôle des communautés et des autorités locales et nationales. </w:t>
      </w:r>
    </w:p>
    <w:p w14:paraId="58131641" w14:textId="36DFB682" w:rsidR="00F97169" w:rsidRPr="00F97169" w:rsidRDefault="00F97169" w:rsidP="00F97169">
      <w:pPr>
        <w:spacing w:before="120" w:after="120"/>
        <w:ind w:left="1134"/>
        <w:jc w:val="both"/>
        <w:rPr>
          <w:rFonts w:asciiTheme="minorBidi" w:eastAsia="SimSun" w:hAnsiTheme="minorBidi" w:cstheme="minorBidi"/>
          <w:sz w:val="22"/>
          <w:szCs w:val="22"/>
        </w:rPr>
      </w:pPr>
      <w:r>
        <w:rPr>
          <w:rFonts w:asciiTheme="minorBidi" w:hAnsiTheme="minorBidi"/>
          <w:b/>
          <w:sz w:val="22"/>
        </w:rPr>
        <w:t>Critère A.5 :</w:t>
      </w:r>
      <w:r>
        <w:rPr>
          <w:rFonts w:asciiTheme="minorBidi" w:hAnsiTheme="minorBidi"/>
          <w:sz w:val="22"/>
        </w:rPr>
        <w:t xml:space="preserve"> L’État partie demandeur contribuera à hauteur de 28 pour cent (39 290 dollars des États-Unis) du montant total du budget du projet (139 290 dollars des États-Unis). Par conséquent, une assistance internationale est demandée au Fonds du patrimoine culturel immatériel pour les 72 pour cent restants du montant total du projet.</w:t>
      </w:r>
    </w:p>
    <w:p w14:paraId="6E0D5EF5" w14:textId="2AE5B996" w:rsidR="005333CF" w:rsidRPr="005333CF" w:rsidRDefault="00F97169" w:rsidP="005333CF">
      <w:pPr>
        <w:spacing w:before="120" w:after="120"/>
        <w:ind w:left="1134"/>
        <w:jc w:val="both"/>
        <w:rPr>
          <w:rFonts w:asciiTheme="minorBidi" w:hAnsiTheme="minorBidi" w:cstheme="minorBidi"/>
          <w:sz w:val="22"/>
          <w:szCs w:val="22"/>
        </w:rPr>
      </w:pPr>
      <w:r>
        <w:rPr>
          <w:rFonts w:asciiTheme="minorBidi" w:hAnsiTheme="minorBidi"/>
          <w:b/>
          <w:sz w:val="22"/>
        </w:rPr>
        <w:t>Critère A.6 :</w:t>
      </w:r>
      <w:r>
        <w:rPr>
          <w:rFonts w:asciiTheme="minorBidi" w:hAnsiTheme="minorBidi"/>
          <w:sz w:val="22"/>
        </w:rPr>
        <w:t xml:space="preserve"> Le projet comporte un important volet de renforcement des capacités qui inclut deux programmes de formation. Le premier porte sur la formation des formateurs, qui formera un groupe de douze personnes-ressources dans le domaine du patrimoine culturel immatériel. Ces formateurs seront </w:t>
      </w:r>
      <w:r w:rsidR="0094451C">
        <w:rPr>
          <w:rFonts w:asciiTheme="minorBidi" w:hAnsiTheme="minorBidi"/>
          <w:sz w:val="22"/>
        </w:rPr>
        <w:t xml:space="preserve">identifiés parmi </w:t>
      </w:r>
      <w:r>
        <w:rPr>
          <w:rFonts w:asciiTheme="minorBidi" w:hAnsiTheme="minorBidi"/>
          <w:sz w:val="22"/>
        </w:rPr>
        <w:t xml:space="preserve">l’équipe du projet et des quatre communautés concernées, qui formeront à leur tour les </w:t>
      </w:r>
      <w:r w:rsidR="00A11CC7">
        <w:rPr>
          <w:rFonts w:asciiTheme="minorBidi" w:hAnsiTheme="minorBidi"/>
          <w:sz w:val="22"/>
        </w:rPr>
        <w:t xml:space="preserve">membres des </w:t>
      </w:r>
      <w:r>
        <w:rPr>
          <w:rFonts w:asciiTheme="minorBidi" w:hAnsiTheme="minorBidi"/>
          <w:sz w:val="22"/>
        </w:rPr>
        <w:t xml:space="preserve">communautés. Le second </w:t>
      </w:r>
      <w:r w:rsidR="0094451C">
        <w:rPr>
          <w:rFonts w:asciiTheme="minorBidi" w:hAnsiTheme="minorBidi"/>
          <w:sz w:val="22"/>
        </w:rPr>
        <w:t xml:space="preserve">volet </w:t>
      </w:r>
      <w:r>
        <w:rPr>
          <w:rFonts w:asciiTheme="minorBidi" w:hAnsiTheme="minorBidi"/>
          <w:sz w:val="22"/>
        </w:rPr>
        <w:t>consiste en une série de huit ateliers destinés à former les communautés, les détenteurs et le</w:t>
      </w:r>
      <w:r w:rsidR="00A11CC7">
        <w:rPr>
          <w:rFonts w:asciiTheme="minorBidi" w:hAnsiTheme="minorBidi"/>
          <w:sz w:val="22"/>
        </w:rPr>
        <w:t xml:space="preserve">s représentants </w:t>
      </w:r>
      <w:r>
        <w:rPr>
          <w:rFonts w:asciiTheme="minorBidi" w:hAnsiTheme="minorBidi"/>
          <w:sz w:val="22"/>
        </w:rPr>
        <w:t xml:space="preserve">des autorités locales aux principes clés de la Convention de 2003 et aux méthodologies de préparation d’inventaires basés sur les communautés. </w:t>
      </w:r>
      <w:r w:rsidR="00A11CC7">
        <w:rPr>
          <w:rFonts w:asciiTheme="minorBidi" w:hAnsiTheme="minorBidi"/>
          <w:sz w:val="22"/>
        </w:rPr>
        <w:t>E</w:t>
      </w:r>
      <w:r>
        <w:rPr>
          <w:rFonts w:asciiTheme="minorBidi" w:hAnsiTheme="minorBidi"/>
          <w:sz w:val="22"/>
        </w:rPr>
        <w:t>nviron 200 personnes bénéficieront des activités de renforcement des capacités aux niveaux institutionnel et communautaire. Le projet contribuera également à diffuser les connaissances auprès des communautés concernées et à soutenir l’élaboration de futurs inventaires aux niveaux local et national.</w:t>
      </w:r>
    </w:p>
    <w:p w14:paraId="61C2FA99" w14:textId="0360582A" w:rsidR="00647552" w:rsidRPr="00647552" w:rsidRDefault="00F97169" w:rsidP="00647552">
      <w:pPr>
        <w:spacing w:after="120"/>
        <w:ind w:left="1134"/>
        <w:jc w:val="both"/>
        <w:rPr>
          <w:rFonts w:asciiTheme="minorBidi" w:hAnsiTheme="minorBidi" w:cstheme="minorBidi"/>
          <w:snapToGrid w:val="0"/>
          <w:sz w:val="22"/>
          <w:szCs w:val="22"/>
          <w:shd w:val="clear" w:color="auto" w:fill="FFFFFF"/>
        </w:rPr>
      </w:pPr>
      <w:r>
        <w:rPr>
          <w:rFonts w:asciiTheme="minorBidi" w:hAnsiTheme="minorBidi"/>
          <w:b/>
          <w:snapToGrid w:val="0"/>
          <w:sz w:val="22"/>
        </w:rPr>
        <w:t>Critère A.7 </w:t>
      </w:r>
      <w:r>
        <w:rPr>
          <w:rFonts w:asciiTheme="minorBidi" w:hAnsiTheme="minorBidi"/>
          <w:b/>
          <w:snapToGrid w:val="0"/>
          <w:sz w:val="22"/>
          <w:shd w:val="clear" w:color="auto" w:fill="FFFFFF"/>
        </w:rPr>
        <w:t xml:space="preserve">: </w:t>
      </w:r>
      <w:r>
        <w:rPr>
          <w:rFonts w:asciiTheme="minorBidi" w:hAnsiTheme="minorBidi"/>
          <w:snapToGrid w:val="0"/>
          <w:sz w:val="22"/>
          <w:shd w:val="clear" w:color="auto" w:fill="FFFFFF"/>
        </w:rPr>
        <w:t>Le Honduras a bénéficié d’une assistance internationale du Fonds du patrimoine culturel immatériel par le biais d’un projet d’assistance préparatoire et de deux projets multinationaux d’assistance internationale</w:t>
      </w:r>
      <w:r w:rsidR="004F3A03">
        <w:rPr>
          <w:rStyle w:val="FootnoteReference"/>
          <w:rFonts w:asciiTheme="minorBidi" w:hAnsiTheme="minorBidi" w:cstheme="minorBidi"/>
          <w:snapToGrid w:val="0"/>
          <w:sz w:val="22"/>
          <w:szCs w:val="22"/>
          <w:shd w:val="clear" w:color="auto" w:fill="FFFFFF"/>
          <w:lang w:val="en-US" w:eastAsia="en-US"/>
        </w:rPr>
        <w:footnoteReference w:id="1"/>
      </w:r>
      <w:r>
        <w:rPr>
          <w:rFonts w:asciiTheme="minorBidi" w:hAnsiTheme="minorBidi"/>
          <w:snapToGrid w:val="0"/>
          <w:sz w:val="22"/>
          <w:shd w:val="clear" w:color="auto" w:fill="FFFFFF"/>
        </w:rPr>
        <w:t>. Les travaux stipulés dans les contrats relatifs à ces projets ont été réalisés conformément aux règlements de l</w:t>
      </w:r>
      <w:r w:rsidR="000350A6">
        <w:rPr>
          <w:rFonts w:asciiTheme="minorBidi" w:hAnsiTheme="minorBidi"/>
          <w:snapToGrid w:val="0"/>
          <w:sz w:val="22"/>
          <w:shd w:val="clear" w:color="auto" w:fill="FFFFFF"/>
        </w:rPr>
        <w:t>’</w:t>
      </w:r>
      <w:r>
        <w:rPr>
          <w:rFonts w:asciiTheme="minorBidi" w:hAnsiTheme="minorBidi"/>
          <w:snapToGrid w:val="0"/>
          <w:sz w:val="22"/>
          <w:shd w:val="clear" w:color="auto" w:fill="FFFFFF"/>
        </w:rPr>
        <w:t>UNESCO.</w:t>
      </w:r>
    </w:p>
    <w:p w14:paraId="02A44A1D" w14:textId="3503E758" w:rsidR="00F97169" w:rsidRPr="00B156A3" w:rsidRDefault="00F97169" w:rsidP="00B156A3">
      <w:pPr>
        <w:ind w:left="1134"/>
        <w:contextualSpacing/>
        <w:jc w:val="both"/>
        <w:rPr>
          <w:rFonts w:asciiTheme="minorBidi" w:hAnsiTheme="minorBidi" w:cstheme="minorBidi"/>
          <w:bCs/>
          <w:sz w:val="22"/>
          <w:szCs w:val="22"/>
        </w:rPr>
      </w:pPr>
      <w:r>
        <w:rPr>
          <w:rFonts w:asciiTheme="minorBidi" w:hAnsiTheme="minorBidi"/>
          <w:b/>
          <w:sz w:val="22"/>
        </w:rPr>
        <w:t>Paragraphe 10(a) :</w:t>
      </w:r>
      <w:r>
        <w:rPr>
          <w:rFonts w:asciiTheme="minorBidi" w:hAnsiTheme="minorBidi"/>
          <w:sz w:val="22"/>
        </w:rPr>
        <w:t xml:space="preserve"> Le projet sera mis en œuvre dans deux départements du Honduras, mais il a une portée nationale. Il implique des partenaires nationaux tels que l’IHAH, les autorités locales, et des organisations autochtones telles que l’Association des femmes Lenca, le Conseil environnemental Lenca du Honduras (ILECH) et la Plateforme environnementale autochtone Lenca de </w:t>
      </w:r>
      <w:proofErr w:type="spellStart"/>
      <w:r>
        <w:rPr>
          <w:rFonts w:asciiTheme="minorBidi" w:hAnsiTheme="minorBidi"/>
          <w:sz w:val="22"/>
        </w:rPr>
        <w:t>Guajiquiro</w:t>
      </w:r>
      <w:proofErr w:type="spellEnd"/>
      <w:r>
        <w:rPr>
          <w:rFonts w:asciiTheme="minorBidi" w:hAnsiTheme="minorBidi"/>
          <w:sz w:val="22"/>
        </w:rPr>
        <w:t xml:space="preserve"> (PALAGUA).</w:t>
      </w:r>
    </w:p>
    <w:p w14:paraId="73BBEC36" w14:textId="2222F04B" w:rsidR="00F97169" w:rsidRPr="00B07C41" w:rsidRDefault="00F97169" w:rsidP="004F5B51">
      <w:pPr>
        <w:spacing w:before="120" w:after="120"/>
        <w:ind w:left="1134"/>
        <w:jc w:val="both"/>
        <w:rPr>
          <w:rFonts w:asciiTheme="minorBidi" w:hAnsiTheme="minorBidi" w:cstheme="minorBidi"/>
          <w:bCs/>
          <w:snapToGrid w:val="0"/>
          <w:sz w:val="22"/>
          <w:szCs w:val="22"/>
        </w:rPr>
      </w:pPr>
      <w:r>
        <w:rPr>
          <w:rFonts w:asciiTheme="minorBidi" w:hAnsiTheme="minorBidi"/>
          <w:b/>
          <w:snapToGrid w:val="0"/>
          <w:sz w:val="22"/>
        </w:rPr>
        <w:t xml:space="preserve">Paragraphe 10(b) : </w:t>
      </w:r>
      <w:r>
        <w:rPr>
          <w:rFonts w:asciiTheme="minorBidi" w:hAnsiTheme="minorBidi"/>
          <w:sz w:val="22"/>
        </w:rPr>
        <w:t xml:space="preserve">L’État partie demandeur disposera de personnes-ressources formées dans le domaine du patrimoine culturel immatériel, au-delà de l’achèvement du projet. En outre, </w:t>
      </w:r>
      <w:r>
        <w:rPr>
          <w:rFonts w:asciiTheme="minorBidi" w:hAnsiTheme="minorBidi"/>
          <w:snapToGrid w:val="0"/>
          <w:sz w:val="22"/>
        </w:rPr>
        <w:t xml:space="preserve">les supports de communication qui seront développés au cours du projet contribueront à sensibiliser les communautés et le grand public à l’importance de la sauvegarde de leur </w:t>
      </w:r>
      <w:r w:rsidRPr="00B07C41">
        <w:rPr>
          <w:rFonts w:asciiTheme="minorBidi" w:hAnsiTheme="minorBidi" w:cstheme="minorBidi"/>
          <w:snapToGrid w:val="0"/>
          <w:sz w:val="22"/>
          <w:szCs w:val="22"/>
        </w:rPr>
        <w:t xml:space="preserve">patrimoine vivant. Enfin, les communautés et les autres parties prenantes disposeront des connaissances et des outils nécessaires pour développer des initiatives similaires dans d’autres régions du Honduras, avec la participation </w:t>
      </w:r>
      <w:r w:rsidR="00A11CC7" w:rsidRPr="00B07C41">
        <w:rPr>
          <w:rFonts w:asciiTheme="minorBidi" w:hAnsiTheme="minorBidi" w:cstheme="minorBidi"/>
          <w:snapToGrid w:val="0"/>
          <w:sz w:val="22"/>
          <w:szCs w:val="22"/>
        </w:rPr>
        <w:t xml:space="preserve">des </w:t>
      </w:r>
      <w:r w:rsidRPr="00B07C41">
        <w:rPr>
          <w:rFonts w:asciiTheme="minorBidi" w:hAnsiTheme="minorBidi" w:cstheme="minorBidi"/>
          <w:snapToGrid w:val="0"/>
          <w:sz w:val="22"/>
          <w:szCs w:val="22"/>
        </w:rPr>
        <w:t>communautés</w:t>
      </w:r>
      <w:r w:rsidR="00A11CC7" w:rsidRPr="00B07C41">
        <w:rPr>
          <w:rFonts w:asciiTheme="minorBidi" w:hAnsiTheme="minorBidi" w:cstheme="minorBidi"/>
          <w:snapToGrid w:val="0"/>
          <w:sz w:val="22"/>
          <w:szCs w:val="22"/>
        </w:rPr>
        <w:t xml:space="preserve"> concernées</w:t>
      </w:r>
      <w:r w:rsidRPr="00B07C41">
        <w:rPr>
          <w:rFonts w:asciiTheme="minorBidi" w:hAnsiTheme="minorBidi" w:cstheme="minorBidi"/>
          <w:snapToGrid w:val="0"/>
          <w:sz w:val="22"/>
          <w:szCs w:val="22"/>
        </w:rPr>
        <w:t xml:space="preserve">. </w:t>
      </w:r>
    </w:p>
    <w:p w14:paraId="0B61BDDF" w14:textId="62EFFBD5" w:rsidR="00F97169" w:rsidRPr="00B07C41" w:rsidRDefault="00F97169" w:rsidP="00F97169">
      <w:pPr>
        <w:numPr>
          <w:ilvl w:val="0"/>
          <w:numId w:val="25"/>
        </w:numPr>
        <w:spacing w:before="120" w:after="120"/>
        <w:ind w:left="1134" w:hanging="567"/>
        <w:jc w:val="both"/>
        <w:rPr>
          <w:rFonts w:asciiTheme="minorBidi" w:hAnsiTheme="minorBidi" w:cstheme="minorBidi"/>
          <w:sz w:val="22"/>
          <w:szCs w:val="22"/>
        </w:rPr>
      </w:pPr>
      <w:r w:rsidRPr="00B07C41">
        <w:rPr>
          <w:rFonts w:asciiTheme="minorBidi" w:hAnsiTheme="minorBidi" w:cstheme="minorBidi"/>
          <w:sz w:val="22"/>
          <w:szCs w:val="22"/>
          <w:u w:val="single"/>
        </w:rPr>
        <w:t>Approuve</w:t>
      </w:r>
      <w:r w:rsidRPr="00B07C41">
        <w:rPr>
          <w:rFonts w:asciiTheme="minorBidi" w:hAnsiTheme="minorBidi" w:cstheme="minorBidi"/>
          <w:sz w:val="22"/>
          <w:szCs w:val="22"/>
        </w:rPr>
        <w:t xml:space="preserve"> la demande d’assistance internationale du Honduras pour le projet intitulé </w:t>
      </w:r>
      <w:r w:rsidRPr="00B07C41">
        <w:rPr>
          <w:rFonts w:asciiTheme="minorBidi" w:hAnsiTheme="minorBidi" w:cstheme="minorBidi"/>
          <w:b/>
          <w:sz w:val="22"/>
          <w:szCs w:val="22"/>
        </w:rPr>
        <w:t>Préparation des inventaires du patrimoine culturel immatériel du Honduras avec la participation active des communautés</w:t>
      </w:r>
      <w:r w:rsidRPr="00B07C41">
        <w:rPr>
          <w:rFonts w:asciiTheme="minorBidi" w:hAnsiTheme="minorBidi" w:cstheme="minorBidi"/>
          <w:sz w:val="22"/>
          <w:szCs w:val="22"/>
        </w:rPr>
        <w:t>,</w:t>
      </w:r>
      <w:r w:rsidRPr="00B07C41">
        <w:rPr>
          <w:rFonts w:asciiTheme="minorBidi" w:hAnsiTheme="minorBidi" w:cstheme="minorBidi"/>
          <w:b/>
          <w:sz w:val="22"/>
          <w:szCs w:val="22"/>
        </w:rPr>
        <w:t xml:space="preserve"> </w:t>
      </w:r>
      <w:r w:rsidRPr="00B07C41">
        <w:rPr>
          <w:rFonts w:asciiTheme="minorBidi" w:hAnsiTheme="minorBidi" w:cstheme="minorBidi"/>
          <w:sz w:val="22"/>
          <w:szCs w:val="22"/>
        </w:rPr>
        <w:t xml:space="preserve">et </w:t>
      </w:r>
      <w:r w:rsidR="00AE3ECF" w:rsidRPr="00B07C41">
        <w:rPr>
          <w:rFonts w:asciiTheme="minorBidi" w:hAnsiTheme="minorBidi" w:cstheme="minorBidi"/>
          <w:sz w:val="22"/>
          <w:szCs w:val="22"/>
          <w:u w:val="single"/>
        </w:rPr>
        <w:t>accorde</w:t>
      </w:r>
      <w:r w:rsidR="00AE3ECF" w:rsidRPr="00B07C41">
        <w:rPr>
          <w:rFonts w:asciiTheme="minorBidi" w:hAnsiTheme="minorBidi" w:cstheme="minorBidi"/>
          <w:sz w:val="22"/>
          <w:szCs w:val="22"/>
        </w:rPr>
        <w:t xml:space="preserve"> un </w:t>
      </w:r>
      <w:r w:rsidRPr="00B07C41">
        <w:rPr>
          <w:rFonts w:asciiTheme="minorBidi" w:hAnsiTheme="minorBidi" w:cstheme="minorBidi"/>
          <w:sz w:val="22"/>
          <w:szCs w:val="22"/>
        </w:rPr>
        <w:t>montant de 100 000 dollars des États-Unis pour la mise en œuvre de ce projet ;</w:t>
      </w:r>
    </w:p>
    <w:p w14:paraId="0A7731EA" w14:textId="1F86AA84" w:rsidR="006839D9" w:rsidRPr="00B07C41" w:rsidRDefault="006839D9" w:rsidP="000350A6">
      <w:pPr>
        <w:numPr>
          <w:ilvl w:val="0"/>
          <w:numId w:val="25"/>
        </w:numPr>
        <w:spacing w:before="120" w:after="120"/>
        <w:ind w:left="1134" w:hanging="567"/>
        <w:jc w:val="both"/>
        <w:rPr>
          <w:rFonts w:asciiTheme="minorBidi" w:hAnsiTheme="minorBidi" w:cstheme="minorBidi"/>
          <w:sz w:val="22"/>
          <w:szCs w:val="22"/>
        </w:rPr>
      </w:pPr>
      <w:r w:rsidRPr="00B07C41">
        <w:rPr>
          <w:rFonts w:asciiTheme="minorBidi" w:hAnsiTheme="minorBidi" w:cstheme="minorBidi"/>
          <w:sz w:val="22"/>
          <w:szCs w:val="22"/>
          <w:u w:val="single"/>
        </w:rPr>
        <w:t>Encourage</w:t>
      </w:r>
      <w:r w:rsidRPr="00B07C41">
        <w:rPr>
          <w:rFonts w:asciiTheme="minorBidi" w:hAnsiTheme="minorBidi" w:cstheme="minorBidi"/>
          <w:sz w:val="22"/>
          <w:szCs w:val="22"/>
        </w:rPr>
        <w:t xml:space="preserve"> l’État partie demandeur à consulter la </w:t>
      </w:r>
      <w:hyperlink r:id="rId13" w:history="1">
        <w:r w:rsidRPr="00B07C41">
          <w:rPr>
            <w:rStyle w:val="Hyperlink"/>
            <w:rFonts w:asciiTheme="minorBidi" w:hAnsiTheme="minorBidi" w:cstheme="minorBidi"/>
            <w:sz w:val="22"/>
            <w:szCs w:val="22"/>
          </w:rPr>
          <w:t>Note d’orientation</w:t>
        </w:r>
      </w:hyperlink>
      <w:r w:rsidRPr="00B07C41">
        <w:rPr>
          <w:rFonts w:asciiTheme="minorBidi" w:hAnsiTheme="minorBidi" w:cstheme="minorBidi"/>
          <w:sz w:val="22"/>
          <w:szCs w:val="22"/>
        </w:rPr>
        <w:t xml:space="preserve"> (2021) pour la réalisation d’inventaires du patrimoine culturel immatériel, qui fournit une liste de questions à examiner avant et pendant le processus d’inventaire, ainsi que le </w:t>
      </w:r>
      <w:hyperlink r:id="rId14" w:history="1">
        <w:r w:rsidRPr="00B07C41">
          <w:rPr>
            <w:rStyle w:val="Hyperlink"/>
            <w:rFonts w:asciiTheme="minorBidi" w:hAnsiTheme="minorBidi" w:cstheme="minorBidi"/>
            <w:sz w:val="22"/>
            <w:szCs w:val="22"/>
          </w:rPr>
          <w:t>Répertoire des matériels de renforcement des capacités</w:t>
        </w:r>
      </w:hyperlink>
      <w:r w:rsidRPr="00B07C41">
        <w:rPr>
          <w:rFonts w:asciiTheme="minorBidi" w:hAnsiTheme="minorBidi" w:cstheme="minorBidi"/>
          <w:sz w:val="22"/>
          <w:szCs w:val="22"/>
        </w:rPr>
        <w:t xml:space="preserve"> de la Convention sur la préparation des inventaires, qui peut également fournir des informations supplémentaires ; </w:t>
      </w:r>
    </w:p>
    <w:p w14:paraId="5108099D" w14:textId="67D2110A" w:rsidR="00F97169" w:rsidRPr="00B07C41" w:rsidRDefault="00F97169" w:rsidP="000350A6">
      <w:pPr>
        <w:numPr>
          <w:ilvl w:val="0"/>
          <w:numId w:val="25"/>
        </w:numPr>
        <w:spacing w:before="120" w:after="120"/>
        <w:ind w:left="1134" w:hanging="567"/>
        <w:jc w:val="both"/>
        <w:rPr>
          <w:rFonts w:asciiTheme="minorBidi" w:hAnsiTheme="minorBidi" w:cstheme="minorBidi"/>
          <w:sz w:val="22"/>
          <w:szCs w:val="22"/>
          <w:u w:val="single"/>
        </w:rPr>
      </w:pPr>
      <w:r w:rsidRPr="00B07C41">
        <w:rPr>
          <w:rFonts w:asciiTheme="minorBidi" w:hAnsiTheme="minorBidi" w:cstheme="minorBidi"/>
          <w:sz w:val="22"/>
          <w:szCs w:val="22"/>
          <w:u w:val="single"/>
        </w:rPr>
        <w:t>Demande</w:t>
      </w:r>
      <w:r w:rsidRPr="00B07C41">
        <w:rPr>
          <w:rFonts w:asciiTheme="minorBidi" w:hAnsiTheme="minorBidi" w:cstheme="minorBidi"/>
          <w:sz w:val="22"/>
          <w:szCs w:val="22"/>
        </w:rPr>
        <w:t xml:space="preserve"> au Secrétariat de se mettre d’accord avec l’État partie demandeur sur les détails techniques de l’assistance, en accordant une attention particulière à ce que le budget et le plan de travail détaillé des activités à couvrir par le Fonds du patrimoine culturel immatériel soit suffisamment précis pour justifier les dépenses ;</w:t>
      </w:r>
    </w:p>
    <w:p w14:paraId="3C65BA8E" w14:textId="2B9D0873" w:rsidR="00F97169" w:rsidRPr="00B07C41" w:rsidRDefault="00F97169" w:rsidP="000350A6">
      <w:pPr>
        <w:numPr>
          <w:ilvl w:val="0"/>
          <w:numId w:val="25"/>
        </w:numPr>
        <w:spacing w:before="120" w:after="120"/>
        <w:ind w:left="1134" w:hanging="567"/>
        <w:jc w:val="both"/>
        <w:rPr>
          <w:rFonts w:asciiTheme="minorBidi" w:hAnsiTheme="minorBidi" w:cstheme="minorBidi"/>
          <w:sz w:val="22"/>
          <w:szCs w:val="22"/>
        </w:rPr>
      </w:pPr>
      <w:r w:rsidRPr="00B07C41">
        <w:rPr>
          <w:rFonts w:asciiTheme="minorBidi" w:hAnsiTheme="minorBidi" w:cstheme="minorBidi"/>
          <w:sz w:val="22"/>
          <w:szCs w:val="22"/>
          <w:u w:val="single"/>
        </w:rPr>
        <w:t>Invite</w:t>
      </w:r>
      <w:r w:rsidRPr="00B07C41">
        <w:rPr>
          <w:rFonts w:asciiTheme="minorBidi" w:hAnsiTheme="minorBidi" w:cstheme="minorBidi"/>
          <w:sz w:val="22"/>
          <w:szCs w:val="22"/>
        </w:rPr>
        <w:t xml:space="preserve"> l’État partie demandeur à utiliser le </w:t>
      </w:r>
      <w:r w:rsidR="000350A6" w:rsidRPr="00B07C41">
        <w:rPr>
          <w:rFonts w:asciiTheme="minorBidi" w:hAnsiTheme="minorBidi" w:cstheme="minorBidi"/>
          <w:sz w:val="22"/>
          <w:szCs w:val="22"/>
        </w:rPr>
        <w:t>formulaire ICH-04-Rapport</w:t>
      </w:r>
      <w:r w:rsidRPr="00B07C41">
        <w:rPr>
          <w:rFonts w:asciiTheme="minorBidi" w:hAnsiTheme="minorBidi" w:cstheme="minorBidi"/>
          <w:sz w:val="22"/>
          <w:szCs w:val="22"/>
        </w:rPr>
        <w:t xml:space="preserve"> pour rendre compte de l’utilisation de l’assistance accordée.</w:t>
      </w:r>
    </w:p>
    <w:p w14:paraId="0FF8DA74" w14:textId="77777777" w:rsidR="00F97169" w:rsidRPr="00FD624F" w:rsidRDefault="00F97169" w:rsidP="001D14FE">
      <w:pPr>
        <w:pStyle w:val="COMTitleDecision"/>
        <w:rPr>
          <w:rFonts w:eastAsia="SimSun"/>
        </w:rPr>
      </w:pPr>
    </w:p>
    <w:sectPr w:rsidR="00F97169" w:rsidRPr="00FD624F" w:rsidSect="00655736">
      <w:headerReference w:type="even" r:id="rId15"/>
      <w:headerReference w:type="default" r:id="rId16"/>
      <w:headerReference w:type="first" r:id="rId1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E08D6" w14:textId="77777777" w:rsidR="003F6B72" w:rsidRDefault="003F6B72" w:rsidP="00655736">
      <w:r>
        <w:separator/>
      </w:r>
    </w:p>
  </w:endnote>
  <w:endnote w:type="continuationSeparator" w:id="0">
    <w:p w14:paraId="5B501430" w14:textId="77777777" w:rsidR="003F6B72" w:rsidRDefault="003F6B7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0D300" w14:textId="77777777" w:rsidR="003F6B72" w:rsidRDefault="003F6B72" w:rsidP="00655736">
      <w:r>
        <w:separator/>
      </w:r>
    </w:p>
  </w:footnote>
  <w:footnote w:type="continuationSeparator" w:id="0">
    <w:p w14:paraId="0B4BFEEB" w14:textId="77777777" w:rsidR="003F6B72" w:rsidRDefault="003F6B72" w:rsidP="00655736">
      <w:r>
        <w:continuationSeparator/>
      </w:r>
    </w:p>
  </w:footnote>
  <w:footnote w:id="1">
    <w:p w14:paraId="4D181ADA" w14:textId="49F51AE3" w:rsidR="004F3A03" w:rsidRPr="004F3A03" w:rsidRDefault="004F3A03" w:rsidP="00626013">
      <w:pPr>
        <w:pStyle w:val="FootnoteText"/>
        <w:jc w:val="both"/>
        <w:rPr>
          <w:rFonts w:asciiTheme="minorBidi" w:hAnsiTheme="minorBidi" w:cstheme="minorBidi"/>
        </w:rPr>
      </w:pPr>
      <w:r>
        <w:rPr>
          <w:rStyle w:val="FootnoteReference"/>
          <w:rFonts w:asciiTheme="minorBidi" w:hAnsiTheme="minorBidi" w:cstheme="minorBidi"/>
          <w:sz w:val="18"/>
          <w:szCs w:val="18"/>
        </w:rPr>
        <w:footnoteRef/>
      </w:r>
      <w:r>
        <w:rPr>
          <w:rFonts w:asciiTheme="minorBidi" w:hAnsiTheme="minorBidi"/>
          <w:sz w:val="18"/>
        </w:rPr>
        <w:t xml:space="preserve"> (a) Assistance préparatoire (Liste du patrimoine culturel immatériel nécessitant une sauvegarde urgente) pour le projet intitulé « Mythes, contes et langue du peuple Tolupan, Montaña de la Flor, Honduras » (10 000 dollars des États-Unis ; mars 2012 – mars 2013) ; (b) « Renforcement des capacités des dirigeants communautaires et des gestionnaires publics pour sauvegarder le patrimoine vivant des communautés afro-descendantes dans la région SICA et à Cuba » (Phase I) (99 986 dollars des États-Unis ; février 2023 – août 2024) ; et (c) « Partage d’expériences et échanges culturels sur la sauvegarde du patrimoine culturel immatériel des communautés afro-descendantes dans le cadre de la préparation des inventaires dans la région SICA et à Cuba » (Phase II) (99 990 dollars des États-Unis ; juin 2024 – contrat en cours d’établissement).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A055" w14:textId="10695353" w:rsidR="00D95C4C" w:rsidRPr="004E1760" w:rsidRDefault="00C5776D" w:rsidP="00C5776D">
    <w:pPr>
      <w:pStyle w:val="Header"/>
      <w:rPr>
        <w:rFonts w:ascii="Arial" w:hAnsi="Arial" w:cs="Arial"/>
      </w:rPr>
    </w:pPr>
    <w:r>
      <w:rPr>
        <w:rFonts w:ascii="Arial" w:hAnsi="Arial"/>
        <w:sz w:val="20"/>
      </w:rPr>
      <w:t>LHE/25/20.COM 2.BUR/</w:t>
    </w:r>
    <w:r w:rsidR="00AE3ECF">
      <w:rPr>
        <w:rFonts w:ascii="Arial" w:hAnsi="Arial"/>
        <w:sz w:val="20"/>
      </w:rPr>
      <w:t xml:space="preserve">3 </w:t>
    </w:r>
    <w:r>
      <w:rPr>
        <w:rFonts w:ascii="Arial" w:hAnsi="Arial"/>
        <w:sz w:val="20"/>
      </w:rPr>
      <w:t xml:space="preserve">– page </w:t>
    </w:r>
    <w:r w:rsidR="00D95C4C" w:rsidRPr="00C23A97">
      <w:rPr>
        <w:rStyle w:val="PageNumber"/>
        <w:rFonts w:ascii="Arial" w:hAnsi="Arial" w:cs="Arial"/>
        <w:sz w:val="20"/>
      </w:rPr>
      <w:fldChar w:fldCharType="begin"/>
    </w:r>
    <w:r w:rsidR="00D95C4C" w:rsidRPr="004E1760">
      <w:rPr>
        <w:rStyle w:val="PageNumber"/>
        <w:rFonts w:ascii="Arial" w:hAnsi="Arial" w:cs="Arial"/>
        <w:sz w:val="20"/>
      </w:rPr>
      <w:instrText xml:space="preserve"> PAGE </w:instrText>
    </w:r>
    <w:r w:rsidR="00D95C4C" w:rsidRPr="00C23A97">
      <w:rPr>
        <w:rStyle w:val="PageNumber"/>
        <w:rFonts w:ascii="Arial" w:hAnsi="Arial" w:cs="Arial"/>
        <w:sz w:val="20"/>
      </w:rPr>
      <w:fldChar w:fldCharType="separate"/>
    </w:r>
    <w:r w:rsidR="006E75EB" w:rsidRPr="004E1760">
      <w:rPr>
        <w:rStyle w:val="PageNumber"/>
        <w:rFonts w:ascii="Arial" w:hAnsi="Arial" w:cs="Arial"/>
        <w:sz w:val="20"/>
      </w:rPr>
      <w:t>2</w:t>
    </w:r>
    <w:r w:rsidR="00D95C4C" w:rsidRPr="00C23A97">
      <w:rPr>
        <w:rStyle w:val="PageNumber"/>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231B" w14:textId="425D5E0C" w:rsidR="00D95C4C" w:rsidRPr="0063300C" w:rsidRDefault="00C5776D" w:rsidP="00C5776D">
    <w:pPr>
      <w:pStyle w:val="Header"/>
      <w:jc w:val="right"/>
      <w:rPr>
        <w:rFonts w:ascii="Arial" w:hAnsi="Arial" w:cs="Arial"/>
      </w:rPr>
    </w:pPr>
    <w:r>
      <w:rPr>
        <w:rFonts w:ascii="Arial" w:hAnsi="Arial"/>
        <w:sz w:val="20"/>
      </w:rPr>
      <w:t>LHE/25/20.COM 2.BUR/</w:t>
    </w:r>
    <w:r w:rsidR="00AE3ECF">
      <w:rPr>
        <w:rFonts w:ascii="Arial" w:hAnsi="Arial"/>
        <w:sz w:val="20"/>
      </w:rPr>
      <w:t xml:space="preserve">3 </w:t>
    </w:r>
    <w:r>
      <w:rPr>
        <w:rFonts w:ascii="Arial" w:hAnsi="Arial"/>
        <w:sz w:val="20"/>
      </w:rPr>
      <w:t xml:space="preserve">– page </w:t>
    </w:r>
    <w:r w:rsidR="004A34A0" w:rsidRPr="0063300C">
      <w:rPr>
        <w:rStyle w:val="PageNumber"/>
        <w:rFonts w:ascii="Arial" w:hAnsi="Arial" w:cs="Arial"/>
        <w:sz w:val="20"/>
      </w:rPr>
      <w:fldChar w:fldCharType="begin"/>
    </w:r>
    <w:r w:rsidR="004A34A0" w:rsidRPr="0063300C">
      <w:rPr>
        <w:rStyle w:val="PageNumber"/>
        <w:rFonts w:ascii="Arial" w:hAnsi="Arial" w:cs="Arial"/>
        <w:sz w:val="20"/>
      </w:rPr>
      <w:instrText xml:space="preserve"> PAGE </w:instrText>
    </w:r>
    <w:r w:rsidR="004A34A0" w:rsidRPr="0063300C">
      <w:rPr>
        <w:rStyle w:val="PageNumber"/>
        <w:rFonts w:ascii="Arial" w:hAnsi="Arial" w:cs="Arial"/>
        <w:sz w:val="20"/>
      </w:rPr>
      <w:fldChar w:fldCharType="separate"/>
    </w:r>
    <w:r w:rsidR="00190205">
      <w:rPr>
        <w:rStyle w:val="PageNumber"/>
        <w:rFonts w:ascii="Arial" w:hAnsi="Arial" w:cs="Arial"/>
        <w:sz w:val="20"/>
      </w:rPr>
      <w:t>3</w:t>
    </w:r>
    <w:r w:rsidR="004A34A0" w:rsidRPr="0063300C">
      <w:rPr>
        <w:rStyle w:val="PageNumbe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B9E0" w14:textId="1007450C" w:rsidR="00D95C4C" w:rsidRPr="00E95AE2" w:rsidRDefault="00D97412">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068026BB" wp14:editId="1BD21CCA">
          <wp:simplePos x="0" y="0"/>
          <wp:positionH relativeFrom="column">
            <wp:posOffset>0</wp:posOffset>
          </wp:positionH>
          <wp:positionV relativeFrom="paragraph">
            <wp:posOffset>159385</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6B70D48C" w:rsidR="004E1760" w:rsidRPr="00B07C41" w:rsidRDefault="00C27AC2" w:rsidP="004E1760">
    <w:pPr>
      <w:pStyle w:val="Header"/>
      <w:spacing w:after="520"/>
      <w:jc w:val="right"/>
      <w:rPr>
        <w:rFonts w:ascii="Arial" w:hAnsi="Arial" w:cs="Arial"/>
        <w:b/>
        <w:sz w:val="44"/>
        <w:szCs w:val="44"/>
        <w:lang w:val="en-GB"/>
      </w:rPr>
    </w:pPr>
    <w:r w:rsidRPr="00B07C41">
      <w:rPr>
        <w:rFonts w:ascii="Arial" w:hAnsi="Arial"/>
        <w:b/>
        <w:sz w:val="44"/>
        <w:lang w:val="en-GB"/>
      </w:rPr>
      <w:t>20 COM 2 BUR</w:t>
    </w:r>
  </w:p>
  <w:p w14:paraId="6D1B3489" w14:textId="12EDBD97" w:rsidR="004E1760" w:rsidRPr="00B07C41" w:rsidRDefault="004E1760" w:rsidP="004E1760">
    <w:pPr>
      <w:jc w:val="right"/>
      <w:rPr>
        <w:rFonts w:ascii="Arial" w:hAnsi="Arial" w:cs="Arial"/>
        <w:b/>
        <w:sz w:val="22"/>
        <w:szCs w:val="22"/>
        <w:lang w:val="en-GB"/>
      </w:rPr>
    </w:pPr>
    <w:r w:rsidRPr="00B07C41">
      <w:rPr>
        <w:rFonts w:ascii="Arial" w:hAnsi="Arial"/>
        <w:b/>
        <w:sz w:val="22"/>
        <w:lang w:val="en-GB"/>
      </w:rPr>
      <w:t>LHE/25/</w:t>
    </w:r>
    <w:bookmarkStart w:id="3" w:name="_Hlk94624970"/>
    <w:r w:rsidRPr="00B07C41">
      <w:rPr>
        <w:rFonts w:ascii="Arial" w:hAnsi="Arial"/>
        <w:b/>
        <w:sz w:val="22"/>
        <w:lang w:val="en-GB"/>
      </w:rPr>
      <w:t>20.COM 2.BUR/</w:t>
    </w:r>
    <w:r w:rsidR="00AE3ECF" w:rsidRPr="00B07C41">
      <w:rPr>
        <w:rFonts w:ascii="Arial" w:hAnsi="Arial"/>
        <w:b/>
        <w:sz w:val="22"/>
        <w:lang w:val="en-GB"/>
      </w:rPr>
      <w:t>3</w:t>
    </w:r>
  </w:p>
  <w:bookmarkEnd w:id="3"/>
  <w:p w14:paraId="1B4446C3" w14:textId="11C583D3" w:rsidR="00D95C4C" w:rsidRPr="00D7105A" w:rsidRDefault="00D95C4C" w:rsidP="00655736">
    <w:pPr>
      <w:jc w:val="right"/>
      <w:rPr>
        <w:rFonts w:ascii="Arial" w:eastAsiaTheme="minorEastAsia" w:hAnsi="Arial" w:cs="Arial"/>
        <w:b/>
        <w:sz w:val="22"/>
        <w:szCs w:val="22"/>
      </w:rPr>
    </w:pPr>
    <w:r>
      <w:rPr>
        <w:rFonts w:ascii="Arial" w:hAnsi="Arial"/>
        <w:b/>
        <w:sz w:val="22"/>
      </w:rPr>
      <w:t>Paris, le 25 février 2025</w:t>
    </w:r>
  </w:p>
  <w:p w14:paraId="255B57FF" w14:textId="1CFC7C62" w:rsidR="00D95C4C" w:rsidRPr="00151E44" w:rsidRDefault="00D95C4C" w:rsidP="00962034">
    <w:pPr>
      <w:spacing w:after="120"/>
      <w:jc w:val="right"/>
      <w:rPr>
        <w:rFonts w:ascii="Arial" w:hAnsi="Arial" w:cs="Arial"/>
        <w:b/>
        <w:sz w:val="22"/>
        <w:szCs w:val="22"/>
      </w:rPr>
    </w:pPr>
    <w:r>
      <w:rPr>
        <w:rFonts w:ascii="Arial" w:hAnsi="Arial"/>
        <w:b/>
        <w:sz w:val="22"/>
      </w:rPr>
      <w:t xml:space="preserve">Original : </w:t>
    </w:r>
    <w:r w:rsidR="00B24C1A">
      <w:rPr>
        <w:rFonts w:ascii="Arial" w:hAnsi="Arial"/>
        <w:b/>
        <w:sz w:val="22"/>
      </w:rPr>
      <w:t>anglais</w:t>
    </w:r>
  </w:p>
  <w:p w14:paraId="3C4B8B1B" w14:textId="77777777" w:rsidR="00D95C4C" w:rsidRPr="007E399F"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2C69"/>
    <w:multiLevelType w:val="hybridMultilevel"/>
    <w:tmpl w:val="82F80BCC"/>
    <w:lvl w:ilvl="0" w:tplc="8278D03E">
      <w:numFmt w:val="bullet"/>
      <w:lvlText w:val=""/>
      <w:lvlJc w:val="left"/>
      <w:pPr>
        <w:ind w:left="720" w:hanging="360"/>
      </w:pPr>
      <w:rPr>
        <w:rFonts w:ascii="Wingdings" w:eastAsia="SimSu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BE2D83"/>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5"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486E5F02"/>
    <w:multiLevelType w:val="hybridMultilevel"/>
    <w:tmpl w:val="3342C80C"/>
    <w:lvl w:ilvl="0" w:tplc="7C1E27D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192E03"/>
    <w:multiLevelType w:val="hybridMultilevel"/>
    <w:tmpl w:val="E77AF18E"/>
    <w:lvl w:ilvl="0" w:tplc="C9DC744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3" w15:restartNumberingAfterBreak="0">
    <w:nsid w:val="5ABE6C73"/>
    <w:multiLevelType w:val="hybridMultilevel"/>
    <w:tmpl w:val="0BE6DCC4"/>
    <w:lvl w:ilvl="0" w:tplc="592A269C">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4A5050"/>
    <w:multiLevelType w:val="hybridMultilevel"/>
    <w:tmpl w:val="159EB4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F1D776A"/>
    <w:multiLevelType w:val="hybridMultilevel"/>
    <w:tmpl w:val="DB6A072C"/>
    <w:lvl w:ilvl="0" w:tplc="592A269C">
      <w:start w:val="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140640"/>
    <w:multiLevelType w:val="hybridMultilevel"/>
    <w:tmpl w:val="DBCE11C2"/>
    <w:lvl w:ilvl="0" w:tplc="B836894A">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C35A7"/>
    <w:multiLevelType w:val="hybridMultilevel"/>
    <w:tmpl w:val="1E4A475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5821758">
    <w:abstractNumId w:val="15"/>
  </w:num>
  <w:num w:numId="2" w16cid:durableId="1740521844">
    <w:abstractNumId w:val="6"/>
  </w:num>
  <w:num w:numId="3" w16cid:durableId="154499100">
    <w:abstractNumId w:val="2"/>
  </w:num>
  <w:num w:numId="4" w16cid:durableId="490800752">
    <w:abstractNumId w:val="20"/>
  </w:num>
  <w:num w:numId="5" w16cid:durableId="83308445">
    <w:abstractNumId w:val="16"/>
  </w:num>
  <w:num w:numId="6" w16cid:durableId="1815296126">
    <w:abstractNumId w:val="1"/>
  </w:num>
  <w:num w:numId="7" w16cid:durableId="1613434782">
    <w:abstractNumId w:val="3"/>
  </w:num>
  <w:num w:numId="8" w16cid:durableId="657420574">
    <w:abstractNumId w:val="10"/>
  </w:num>
  <w:num w:numId="9" w16cid:durableId="204947263">
    <w:abstractNumId w:val="5"/>
  </w:num>
  <w:num w:numId="10" w16cid:durableId="808859970">
    <w:abstractNumId w:val="7"/>
  </w:num>
  <w:num w:numId="11" w16cid:durableId="901789577">
    <w:abstractNumId w:val="9"/>
  </w:num>
  <w:num w:numId="12" w16cid:durableId="259723626">
    <w:abstractNumId w:val="8"/>
  </w:num>
  <w:num w:numId="13" w16cid:durableId="1265573176">
    <w:abstractNumId w:val="21"/>
  </w:num>
  <w:num w:numId="14" w16cid:durableId="1190332757">
    <w:abstractNumId w:val="11"/>
  </w:num>
  <w:num w:numId="15" w16cid:durableId="1764916223">
    <w:abstractNumId w:val="13"/>
  </w:num>
  <w:num w:numId="16" w16cid:durableId="214975191">
    <w:abstractNumId w:val="14"/>
  </w:num>
  <w:num w:numId="17" w16cid:durableId="403338452">
    <w:abstractNumId w:val="0"/>
  </w:num>
  <w:num w:numId="18" w16cid:durableId="1444227460">
    <w:abstractNumId w:val="7"/>
    <w:lvlOverride w:ilvl="0">
      <w:startOverride w:val="1"/>
    </w:lvlOverride>
  </w:num>
  <w:num w:numId="19" w16cid:durableId="201871593">
    <w:abstractNumId w:val="7"/>
    <w:lvlOverride w:ilvl="0">
      <w:startOverride w:val="2"/>
    </w:lvlOverride>
  </w:num>
  <w:num w:numId="20" w16cid:durableId="1788966622">
    <w:abstractNumId w:val="17"/>
  </w:num>
  <w:num w:numId="21" w16cid:durableId="210773499">
    <w:abstractNumId w:val="19"/>
  </w:num>
  <w:num w:numId="22" w16cid:durableId="1221210817">
    <w:abstractNumId w:val="12"/>
  </w:num>
  <w:num w:numId="23" w16cid:durableId="792865191">
    <w:abstractNumId w:val="5"/>
    <w:lvlOverride w:ilvl="0">
      <w:startOverride w:val="1"/>
    </w:lvlOverride>
  </w:num>
  <w:num w:numId="24" w16cid:durableId="1440754735">
    <w:abstractNumId w:val="18"/>
  </w:num>
  <w:num w:numId="25" w16cid:durableId="1105227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350A6"/>
    <w:rsid w:val="00035ECA"/>
    <w:rsid w:val="00041A66"/>
    <w:rsid w:val="00042D88"/>
    <w:rsid w:val="000438B1"/>
    <w:rsid w:val="0005176E"/>
    <w:rsid w:val="00052319"/>
    <w:rsid w:val="000608EA"/>
    <w:rsid w:val="000765F7"/>
    <w:rsid w:val="00077AB7"/>
    <w:rsid w:val="00081CD8"/>
    <w:rsid w:val="0008336C"/>
    <w:rsid w:val="000942A3"/>
    <w:rsid w:val="000A6BCB"/>
    <w:rsid w:val="000A7F0E"/>
    <w:rsid w:val="000B1C8F"/>
    <w:rsid w:val="000C0D61"/>
    <w:rsid w:val="000D5026"/>
    <w:rsid w:val="000F3710"/>
    <w:rsid w:val="000F3A3F"/>
    <w:rsid w:val="00102557"/>
    <w:rsid w:val="00137B8D"/>
    <w:rsid w:val="001419BC"/>
    <w:rsid w:val="0014412D"/>
    <w:rsid w:val="00151E44"/>
    <w:rsid w:val="00164D56"/>
    <w:rsid w:val="00167B10"/>
    <w:rsid w:val="00173941"/>
    <w:rsid w:val="0017402F"/>
    <w:rsid w:val="00177813"/>
    <w:rsid w:val="00190205"/>
    <w:rsid w:val="001963D5"/>
    <w:rsid w:val="00196C1B"/>
    <w:rsid w:val="001A6F2D"/>
    <w:rsid w:val="001B0F73"/>
    <w:rsid w:val="001C2DB7"/>
    <w:rsid w:val="001D14FE"/>
    <w:rsid w:val="001D5C04"/>
    <w:rsid w:val="001E454E"/>
    <w:rsid w:val="001F26CF"/>
    <w:rsid w:val="00222A2D"/>
    <w:rsid w:val="00223029"/>
    <w:rsid w:val="00233842"/>
    <w:rsid w:val="00234745"/>
    <w:rsid w:val="002351A6"/>
    <w:rsid w:val="0023720F"/>
    <w:rsid w:val="00237A6E"/>
    <w:rsid w:val="002407AF"/>
    <w:rsid w:val="00240AEF"/>
    <w:rsid w:val="0026221A"/>
    <w:rsid w:val="00263687"/>
    <w:rsid w:val="00273CF0"/>
    <w:rsid w:val="0027466B"/>
    <w:rsid w:val="002838A5"/>
    <w:rsid w:val="00285BB4"/>
    <w:rsid w:val="00286121"/>
    <w:rsid w:val="00294E1A"/>
    <w:rsid w:val="002A3293"/>
    <w:rsid w:val="002B0198"/>
    <w:rsid w:val="002B7D44"/>
    <w:rsid w:val="002C09E3"/>
    <w:rsid w:val="002D1244"/>
    <w:rsid w:val="002E16F0"/>
    <w:rsid w:val="00305A97"/>
    <w:rsid w:val="00313288"/>
    <w:rsid w:val="0033040F"/>
    <w:rsid w:val="003340F3"/>
    <w:rsid w:val="00337CEB"/>
    <w:rsid w:val="00344B58"/>
    <w:rsid w:val="0034539A"/>
    <w:rsid w:val="00345CB4"/>
    <w:rsid w:val="003515F5"/>
    <w:rsid w:val="00354A62"/>
    <w:rsid w:val="003567D8"/>
    <w:rsid w:val="00374B24"/>
    <w:rsid w:val="00375D42"/>
    <w:rsid w:val="003871D3"/>
    <w:rsid w:val="003A7DA1"/>
    <w:rsid w:val="003C1059"/>
    <w:rsid w:val="003D069C"/>
    <w:rsid w:val="003D7646"/>
    <w:rsid w:val="003F113A"/>
    <w:rsid w:val="003F3E63"/>
    <w:rsid w:val="003F6B72"/>
    <w:rsid w:val="003F7ED3"/>
    <w:rsid w:val="00407480"/>
    <w:rsid w:val="00414643"/>
    <w:rsid w:val="00420B4B"/>
    <w:rsid w:val="004421E5"/>
    <w:rsid w:val="0044356E"/>
    <w:rsid w:val="00452284"/>
    <w:rsid w:val="004553C1"/>
    <w:rsid w:val="00457C8E"/>
    <w:rsid w:val="00467961"/>
    <w:rsid w:val="00480D10"/>
    <w:rsid w:val="004856CA"/>
    <w:rsid w:val="00487E67"/>
    <w:rsid w:val="00491C9A"/>
    <w:rsid w:val="0049497B"/>
    <w:rsid w:val="0049705E"/>
    <w:rsid w:val="004A2875"/>
    <w:rsid w:val="004A34A0"/>
    <w:rsid w:val="004C7C82"/>
    <w:rsid w:val="004E1760"/>
    <w:rsid w:val="004E32CF"/>
    <w:rsid w:val="004F24E2"/>
    <w:rsid w:val="004F39DA"/>
    <w:rsid w:val="004F3A03"/>
    <w:rsid w:val="004F5B51"/>
    <w:rsid w:val="005008A8"/>
    <w:rsid w:val="00506D35"/>
    <w:rsid w:val="00510D11"/>
    <w:rsid w:val="00517FD8"/>
    <w:rsid w:val="00520EE0"/>
    <w:rsid w:val="00525BDD"/>
    <w:rsid w:val="0052617D"/>
    <w:rsid w:val="00526B7B"/>
    <w:rsid w:val="0053022C"/>
    <w:rsid w:val="0053048A"/>
    <w:rsid w:val="005308CE"/>
    <w:rsid w:val="0053318C"/>
    <w:rsid w:val="005333CF"/>
    <w:rsid w:val="00550552"/>
    <w:rsid w:val="0057439C"/>
    <w:rsid w:val="00576982"/>
    <w:rsid w:val="005B0127"/>
    <w:rsid w:val="005B7A35"/>
    <w:rsid w:val="005C4B73"/>
    <w:rsid w:val="005E1D2B"/>
    <w:rsid w:val="005E7074"/>
    <w:rsid w:val="005F2BAF"/>
    <w:rsid w:val="005F66BB"/>
    <w:rsid w:val="00600D93"/>
    <w:rsid w:val="00623AC1"/>
    <w:rsid w:val="00626013"/>
    <w:rsid w:val="0062691B"/>
    <w:rsid w:val="00626BEA"/>
    <w:rsid w:val="00627768"/>
    <w:rsid w:val="0063300C"/>
    <w:rsid w:val="00634333"/>
    <w:rsid w:val="00647552"/>
    <w:rsid w:val="00651A5B"/>
    <w:rsid w:val="00653D87"/>
    <w:rsid w:val="00655736"/>
    <w:rsid w:val="00656A6B"/>
    <w:rsid w:val="00663B8D"/>
    <w:rsid w:val="00674AC4"/>
    <w:rsid w:val="00680CBF"/>
    <w:rsid w:val="006839D9"/>
    <w:rsid w:val="00696C8D"/>
    <w:rsid w:val="006A2AC2"/>
    <w:rsid w:val="006A3617"/>
    <w:rsid w:val="006B32D6"/>
    <w:rsid w:val="006B4452"/>
    <w:rsid w:val="006B49D2"/>
    <w:rsid w:val="006D64BE"/>
    <w:rsid w:val="006E3D23"/>
    <w:rsid w:val="006E46E4"/>
    <w:rsid w:val="006E75EB"/>
    <w:rsid w:val="0070160A"/>
    <w:rsid w:val="00705654"/>
    <w:rsid w:val="00717DA5"/>
    <w:rsid w:val="00736E86"/>
    <w:rsid w:val="00744484"/>
    <w:rsid w:val="00747566"/>
    <w:rsid w:val="0075329E"/>
    <w:rsid w:val="007558DA"/>
    <w:rsid w:val="00773188"/>
    <w:rsid w:val="00783782"/>
    <w:rsid w:val="00784B8C"/>
    <w:rsid w:val="007879E1"/>
    <w:rsid w:val="007A5097"/>
    <w:rsid w:val="007A5652"/>
    <w:rsid w:val="007A59D6"/>
    <w:rsid w:val="007B1B75"/>
    <w:rsid w:val="007B26AA"/>
    <w:rsid w:val="007B39E9"/>
    <w:rsid w:val="007B5D5E"/>
    <w:rsid w:val="007D29E9"/>
    <w:rsid w:val="007E399F"/>
    <w:rsid w:val="007F41BC"/>
    <w:rsid w:val="007F4AC2"/>
    <w:rsid w:val="007F7A15"/>
    <w:rsid w:val="008106D4"/>
    <w:rsid w:val="00821FFE"/>
    <w:rsid w:val="00823A11"/>
    <w:rsid w:val="00841E09"/>
    <w:rsid w:val="0085386D"/>
    <w:rsid w:val="0085405E"/>
    <w:rsid w:val="0085414A"/>
    <w:rsid w:val="00855A4A"/>
    <w:rsid w:val="00857EB9"/>
    <w:rsid w:val="0086069C"/>
    <w:rsid w:val="0086269D"/>
    <w:rsid w:val="00864CA9"/>
    <w:rsid w:val="0086543A"/>
    <w:rsid w:val="0087166B"/>
    <w:rsid w:val="008724E5"/>
    <w:rsid w:val="00872F87"/>
    <w:rsid w:val="0088270B"/>
    <w:rsid w:val="00884A9D"/>
    <w:rsid w:val="0088512B"/>
    <w:rsid w:val="008967C6"/>
    <w:rsid w:val="008A2B2D"/>
    <w:rsid w:val="008A4E1E"/>
    <w:rsid w:val="008C296C"/>
    <w:rsid w:val="008C6D3B"/>
    <w:rsid w:val="008D4305"/>
    <w:rsid w:val="008D630F"/>
    <w:rsid w:val="008E1A85"/>
    <w:rsid w:val="009006FD"/>
    <w:rsid w:val="009163A7"/>
    <w:rsid w:val="00921021"/>
    <w:rsid w:val="00926F68"/>
    <w:rsid w:val="00943E5F"/>
    <w:rsid w:val="0094451C"/>
    <w:rsid w:val="00946D0B"/>
    <w:rsid w:val="0095409D"/>
    <w:rsid w:val="0095517B"/>
    <w:rsid w:val="00955877"/>
    <w:rsid w:val="00962034"/>
    <w:rsid w:val="0096344D"/>
    <w:rsid w:val="0098254B"/>
    <w:rsid w:val="009A18CD"/>
    <w:rsid w:val="009C53B4"/>
    <w:rsid w:val="009C5B15"/>
    <w:rsid w:val="009D5428"/>
    <w:rsid w:val="009D5AAD"/>
    <w:rsid w:val="009F61F3"/>
    <w:rsid w:val="00A02430"/>
    <w:rsid w:val="00A060EE"/>
    <w:rsid w:val="00A064C7"/>
    <w:rsid w:val="00A11CC7"/>
    <w:rsid w:val="00A12558"/>
    <w:rsid w:val="00A1369C"/>
    <w:rsid w:val="00A13903"/>
    <w:rsid w:val="00A253C7"/>
    <w:rsid w:val="00A34ED5"/>
    <w:rsid w:val="00A45DBF"/>
    <w:rsid w:val="00A50EEE"/>
    <w:rsid w:val="00A644BB"/>
    <w:rsid w:val="00A658DF"/>
    <w:rsid w:val="00A725CF"/>
    <w:rsid w:val="00A755A2"/>
    <w:rsid w:val="00AA151D"/>
    <w:rsid w:val="00AA6660"/>
    <w:rsid w:val="00AB2C36"/>
    <w:rsid w:val="00AB6DDE"/>
    <w:rsid w:val="00AB70B6"/>
    <w:rsid w:val="00AD1A86"/>
    <w:rsid w:val="00AD290B"/>
    <w:rsid w:val="00AE103E"/>
    <w:rsid w:val="00AE3ECF"/>
    <w:rsid w:val="00AF0A07"/>
    <w:rsid w:val="00AF1594"/>
    <w:rsid w:val="00AF4AEC"/>
    <w:rsid w:val="00AF625E"/>
    <w:rsid w:val="00AF6B7F"/>
    <w:rsid w:val="00AF70EC"/>
    <w:rsid w:val="00B06E16"/>
    <w:rsid w:val="00B07C41"/>
    <w:rsid w:val="00B139BE"/>
    <w:rsid w:val="00B156A3"/>
    <w:rsid w:val="00B2172B"/>
    <w:rsid w:val="00B24C1A"/>
    <w:rsid w:val="00B34631"/>
    <w:rsid w:val="00B42052"/>
    <w:rsid w:val="00B4730E"/>
    <w:rsid w:val="00B6417A"/>
    <w:rsid w:val="00B70DBD"/>
    <w:rsid w:val="00B917D2"/>
    <w:rsid w:val="00B94A62"/>
    <w:rsid w:val="00B965FB"/>
    <w:rsid w:val="00BA241A"/>
    <w:rsid w:val="00BB04AF"/>
    <w:rsid w:val="00BB0B50"/>
    <w:rsid w:val="00BC4D3F"/>
    <w:rsid w:val="00BD52C9"/>
    <w:rsid w:val="00BE6354"/>
    <w:rsid w:val="00BF0202"/>
    <w:rsid w:val="00C02886"/>
    <w:rsid w:val="00C138D1"/>
    <w:rsid w:val="00C23A97"/>
    <w:rsid w:val="00C27AC2"/>
    <w:rsid w:val="00C459F4"/>
    <w:rsid w:val="00C52EBE"/>
    <w:rsid w:val="00C5776D"/>
    <w:rsid w:val="00C64855"/>
    <w:rsid w:val="00C70EA7"/>
    <w:rsid w:val="00C7433F"/>
    <w:rsid w:val="00C7516E"/>
    <w:rsid w:val="00C75374"/>
    <w:rsid w:val="00C75770"/>
    <w:rsid w:val="00C774ED"/>
    <w:rsid w:val="00CA56BB"/>
    <w:rsid w:val="00CB0542"/>
    <w:rsid w:val="00CC3F51"/>
    <w:rsid w:val="00CC452A"/>
    <w:rsid w:val="00CD5AD9"/>
    <w:rsid w:val="00D00B2B"/>
    <w:rsid w:val="00D20C03"/>
    <w:rsid w:val="00D24877"/>
    <w:rsid w:val="00D327CC"/>
    <w:rsid w:val="00D33E47"/>
    <w:rsid w:val="00D500A0"/>
    <w:rsid w:val="00D7105A"/>
    <w:rsid w:val="00D8250F"/>
    <w:rsid w:val="00D837CC"/>
    <w:rsid w:val="00D8440A"/>
    <w:rsid w:val="00D844B7"/>
    <w:rsid w:val="00D86BB3"/>
    <w:rsid w:val="00D95C4C"/>
    <w:rsid w:val="00D97412"/>
    <w:rsid w:val="00DA0921"/>
    <w:rsid w:val="00DA36ED"/>
    <w:rsid w:val="00DB48FE"/>
    <w:rsid w:val="00DC2385"/>
    <w:rsid w:val="00DE34F1"/>
    <w:rsid w:val="00DE6160"/>
    <w:rsid w:val="00DF3052"/>
    <w:rsid w:val="00DF4942"/>
    <w:rsid w:val="00E000EE"/>
    <w:rsid w:val="00E16EFD"/>
    <w:rsid w:val="00E2125F"/>
    <w:rsid w:val="00E244E1"/>
    <w:rsid w:val="00E32805"/>
    <w:rsid w:val="00E343F7"/>
    <w:rsid w:val="00E4150C"/>
    <w:rsid w:val="00E627B1"/>
    <w:rsid w:val="00E70169"/>
    <w:rsid w:val="00E71CBD"/>
    <w:rsid w:val="00E7242D"/>
    <w:rsid w:val="00E74250"/>
    <w:rsid w:val="00E767A9"/>
    <w:rsid w:val="00E800C2"/>
    <w:rsid w:val="00E827C1"/>
    <w:rsid w:val="00E9376C"/>
    <w:rsid w:val="00E95AE2"/>
    <w:rsid w:val="00EA335E"/>
    <w:rsid w:val="00EA528C"/>
    <w:rsid w:val="00EA580C"/>
    <w:rsid w:val="00EA6E4B"/>
    <w:rsid w:val="00EC156A"/>
    <w:rsid w:val="00EC1EF0"/>
    <w:rsid w:val="00EC6F8D"/>
    <w:rsid w:val="00ED39B2"/>
    <w:rsid w:val="00EE49F4"/>
    <w:rsid w:val="00EF34E2"/>
    <w:rsid w:val="00F30DC6"/>
    <w:rsid w:val="00F32C23"/>
    <w:rsid w:val="00F513AA"/>
    <w:rsid w:val="00F53DE9"/>
    <w:rsid w:val="00F56FA1"/>
    <w:rsid w:val="00F576CB"/>
    <w:rsid w:val="00F67284"/>
    <w:rsid w:val="00F7035D"/>
    <w:rsid w:val="00F70EDC"/>
    <w:rsid w:val="00F71A02"/>
    <w:rsid w:val="00F84A91"/>
    <w:rsid w:val="00F9311F"/>
    <w:rsid w:val="00F97169"/>
    <w:rsid w:val="00FA0D63"/>
    <w:rsid w:val="00FA4584"/>
    <w:rsid w:val="00FC254A"/>
    <w:rsid w:val="00FD1226"/>
    <w:rsid w:val="00FE4DFE"/>
    <w:rsid w:val="00FF4830"/>
    <w:rsid w:val="00FF51C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A283A2BD-F2C3-43E4-8CE4-8FC74741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Table of contents numbered,Normal bullet 2,Bullet list,Numbered List,1st level - Bullet List Paragraph,Lettre d'introduction,lp1,Farbige Liste - Akzent 11,List Paragraph compact,Paragraphe de liste 2,Reference list"/>
    <w:basedOn w:val="Normal"/>
    <w:uiPriority w:val="34"/>
    <w:qFormat/>
    <w:rsid w:val="004A2875"/>
    <w:pPr>
      <w:ind w:left="720"/>
      <w:contextualSpacing/>
    </w:pPr>
  </w:style>
  <w:style w:type="paragraph" w:styleId="Revision">
    <w:name w:val="Revision"/>
    <w:hidden/>
    <w:uiPriority w:val="99"/>
    <w:semiHidden/>
    <w:rsid w:val="00674AC4"/>
    <w:rPr>
      <w:rFonts w:ascii="Times New Roman" w:eastAsia="Times New Roman" w:hAnsi="Times New Roman"/>
      <w:sz w:val="24"/>
      <w:szCs w:val="24"/>
    </w:rPr>
  </w:style>
  <w:style w:type="paragraph" w:customStyle="1" w:styleId="NoSpacing1">
    <w:name w:val="No Spacing1"/>
    <w:uiPriority w:val="99"/>
    <w:qFormat/>
    <w:rsid w:val="00872F87"/>
    <w:rPr>
      <w:sz w:val="22"/>
      <w:szCs w:val="22"/>
      <w:lang w:eastAsia="en-GB"/>
    </w:rPr>
  </w:style>
  <w:style w:type="character" w:styleId="Hyperlink">
    <w:name w:val="Hyperlink"/>
    <w:uiPriority w:val="99"/>
    <w:rsid w:val="00872F87"/>
    <w:rPr>
      <w:color w:val="0000FF"/>
      <w:u w:val="single"/>
      <w:lang w:val="fr-FR" w:eastAsia="en-GB"/>
    </w:rPr>
  </w:style>
  <w:style w:type="character" w:styleId="UnresolvedMention">
    <w:name w:val="Unresolved Mention"/>
    <w:basedOn w:val="DefaultParagraphFont"/>
    <w:uiPriority w:val="99"/>
    <w:semiHidden/>
    <w:unhideWhenUsed/>
    <w:rsid w:val="00872F87"/>
    <w:rPr>
      <w:color w:val="605E5C"/>
      <w:shd w:val="clear" w:color="auto" w:fill="E1DFDD"/>
    </w:rPr>
  </w:style>
  <w:style w:type="paragraph" w:styleId="FootnoteText">
    <w:name w:val="footnote text"/>
    <w:basedOn w:val="Normal"/>
    <w:link w:val="FootnoteTextChar"/>
    <w:uiPriority w:val="99"/>
    <w:semiHidden/>
    <w:unhideWhenUsed/>
    <w:rsid w:val="00F97169"/>
    <w:rPr>
      <w:sz w:val="20"/>
      <w:szCs w:val="20"/>
    </w:rPr>
  </w:style>
  <w:style w:type="character" w:customStyle="1" w:styleId="FootnoteTextChar">
    <w:name w:val="Footnote Text Char"/>
    <w:basedOn w:val="DefaultParagraphFont"/>
    <w:link w:val="FootnoteText"/>
    <w:uiPriority w:val="99"/>
    <w:semiHidden/>
    <w:rsid w:val="00F97169"/>
    <w:rPr>
      <w:rFonts w:ascii="Times New Roman" w:eastAsia="Times New Roman" w:hAnsi="Times New Roman"/>
    </w:rPr>
  </w:style>
  <w:style w:type="character" w:styleId="FootnoteReference">
    <w:name w:val="footnote reference"/>
    <w:basedOn w:val="DefaultParagraphFont"/>
    <w:uiPriority w:val="99"/>
    <w:semiHidden/>
    <w:unhideWhenUsed/>
    <w:rsid w:val="00F97169"/>
    <w:rPr>
      <w:vertAlign w:val="superscript"/>
    </w:rPr>
  </w:style>
  <w:style w:type="character" w:styleId="CommentReference">
    <w:name w:val="annotation reference"/>
    <w:basedOn w:val="DefaultParagraphFont"/>
    <w:uiPriority w:val="99"/>
    <w:semiHidden/>
    <w:unhideWhenUsed/>
    <w:rsid w:val="0086069C"/>
    <w:rPr>
      <w:sz w:val="16"/>
      <w:szCs w:val="16"/>
    </w:rPr>
  </w:style>
  <w:style w:type="paragraph" w:styleId="CommentText">
    <w:name w:val="annotation text"/>
    <w:basedOn w:val="Normal"/>
    <w:link w:val="CommentTextChar"/>
    <w:uiPriority w:val="99"/>
    <w:unhideWhenUsed/>
    <w:rsid w:val="0086069C"/>
    <w:rPr>
      <w:sz w:val="20"/>
      <w:szCs w:val="20"/>
    </w:rPr>
  </w:style>
  <w:style w:type="character" w:customStyle="1" w:styleId="CommentTextChar">
    <w:name w:val="Comment Text Char"/>
    <w:basedOn w:val="DefaultParagraphFont"/>
    <w:link w:val="CommentText"/>
    <w:uiPriority w:val="99"/>
    <w:rsid w:val="0086069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6069C"/>
    <w:rPr>
      <w:b/>
      <w:bCs/>
    </w:rPr>
  </w:style>
  <w:style w:type="character" w:customStyle="1" w:styleId="CommentSubjectChar">
    <w:name w:val="Comment Subject Char"/>
    <w:basedOn w:val="CommentTextChar"/>
    <w:link w:val="CommentSubject"/>
    <w:uiPriority w:val="99"/>
    <w:semiHidden/>
    <w:rsid w:val="0086069C"/>
    <w:rPr>
      <w:rFonts w:ascii="Times New Roman" w:eastAsia="Times New Roman" w:hAnsi="Times New Roman"/>
      <w:b/>
      <w:bCs/>
    </w:rPr>
  </w:style>
  <w:style w:type="character" w:styleId="FollowedHyperlink">
    <w:name w:val="FollowedHyperlink"/>
    <w:basedOn w:val="DefaultParagraphFont"/>
    <w:uiPriority w:val="99"/>
    <w:semiHidden/>
    <w:unhideWhenUsed/>
    <w:rsid w:val="00510D11"/>
    <w:rPr>
      <w:color w:val="800080" w:themeColor="followedHyperlink"/>
      <w:u w:val="single"/>
    </w:rPr>
  </w:style>
  <w:style w:type="paragraph" w:styleId="NormalWeb">
    <w:name w:val="Normal (Web)"/>
    <w:basedOn w:val="Normal"/>
    <w:uiPriority w:val="99"/>
    <w:semiHidden/>
    <w:unhideWhenUsed/>
    <w:rsid w:val="00E76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817544">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913975856">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307514461">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5020394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7220318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8.COM/7.C" TargetMode="External"/><Relationship Id="rId13" Type="http://schemas.openxmlformats.org/officeDocument/2006/relationships/hyperlink" Target="https://ich.unesco.org/doc/src/50279-F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fr/7b-rapports-periodiques-lr-0120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Overview"/><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fr/20com-bureau" TargetMode="External"/><Relationship Id="rId14" Type="http://schemas.openxmlformats.org/officeDocument/2006/relationships/hyperlink" Target="https://ich.unesco.org/fr/materiel-renforcement-capacit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122</TotalTime>
  <Pages>5</Pages>
  <Words>2147</Words>
  <Characters>11810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d.kim@unesco.org</dc:creator>
  <cp:keywords/>
  <dc:description/>
  <cp:lastModifiedBy>Nakata Glenat, Keiichi Julien</cp:lastModifiedBy>
  <cp:revision>16</cp:revision>
  <cp:lastPrinted>2011-08-06T10:22:00Z</cp:lastPrinted>
  <dcterms:created xsi:type="dcterms:W3CDTF">2025-02-24T14:54:00Z</dcterms:created>
  <dcterms:modified xsi:type="dcterms:W3CDTF">2025-02-25T18:44:00Z</dcterms:modified>
</cp:coreProperties>
</file>