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D025" w14:textId="77777777" w:rsidR="00BC3420" w:rsidRPr="00FB2DEE" w:rsidRDefault="00BC3420" w:rsidP="00BC3420">
      <w:pPr>
        <w:spacing w:before="1440"/>
        <w:jc w:val="center"/>
        <w:rPr>
          <w:rFonts w:ascii="Arial" w:hAnsi="Arial" w:cs="Arial"/>
          <w:b/>
          <w:sz w:val="22"/>
          <w:szCs w:val="22"/>
        </w:rPr>
      </w:pPr>
      <w:r w:rsidRPr="00FB2DEE">
        <w:rPr>
          <w:rFonts w:ascii="Arial" w:hAnsi="Arial" w:cs="Arial"/>
          <w:b/>
          <w:sz w:val="22"/>
          <w:szCs w:val="22"/>
        </w:rPr>
        <w:t>CONVENTION POUR LA SAUVEGARDE DU</w:t>
      </w:r>
      <w:r w:rsidRPr="00FB2DEE">
        <w:rPr>
          <w:rFonts w:ascii="Arial" w:hAnsi="Arial" w:cs="Arial"/>
          <w:b/>
          <w:sz w:val="22"/>
          <w:szCs w:val="22"/>
        </w:rPr>
        <w:br/>
        <w:t>PATRIMOINE CULTUREL IMMATÉRIEL</w:t>
      </w:r>
    </w:p>
    <w:p w14:paraId="2F1AD104" w14:textId="77777777" w:rsidR="00BC3420" w:rsidRPr="00FB2DEE" w:rsidRDefault="00BC3420" w:rsidP="00BC3420">
      <w:pPr>
        <w:spacing w:before="1200"/>
        <w:jc w:val="center"/>
        <w:rPr>
          <w:rFonts w:ascii="Arial" w:hAnsi="Arial" w:cs="Arial"/>
          <w:b/>
          <w:sz w:val="22"/>
          <w:szCs w:val="22"/>
        </w:rPr>
      </w:pPr>
      <w:r w:rsidRPr="00FB2DEE">
        <w:rPr>
          <w:rFonts w:ascii="Arial" w:hAnsi="Arial" w:cs="Arial"/>
          <w:b/>
          <w:sz w:val="22"/>
          <w:szCs w:val="22"/>
        </w:rPr>
        <w:t>COMITÉ INTERGOUVERNEMENTAL DE SAUVEGARDE</w:t>
      </w:r>
      <w:r w:rsidRPr="00FB2DEE">
        <w:rPr>
          <w:rFonts w:ascii="Arial" w:hAnsi="Arial" w:cs="Arial"/>
          <w:b/>
          <w:sz w:val="22"/>
          <w:szCs w:val="22"/>
        </w:rPr>
        <w:br/>
        <w:t>DU PATRIMOINE CULTUREL IMMATÉRIEL</w:t>
      </w:r>
    </w:p>
    <w:p w14:paraId="040EDB3A" w14:textId="77777777" w:rsidR="00AC4027" w:rsidRPr="00FB2DEE" w:rsidRDefault="00AC4027" w:rsidP="00AC4027">
      <w:pPr>
        <w:spacing w:before="840" w:after="840"/>
        <w:jc w:val="center"/>
        <w:rPr>
          <w:rFonts w:ascii="Arial" w:hAnsi="Arial" w:cs="Arial"/>
          <w:b/>
          <w:sz w:val="22"/>
          <w:szCs w:val="22"/>
        </w:rPr>
      </w:pPr>
      <w:r w:rsidRPr="00FB2DEE">
        <w:rPr>
          <w:rFonts w:ascii="Arial" w:hAnsi="Arial" w:cs="Arial"/>
          <w:b/>
          <w:sz w:val="22"/>
          <w:szCs w:val="22"/>
        </w:rPr>
        <w:t>Réunion du Bureau</w:t>
      </w:r>
    </w:p>
    <w:p w14:paraId="342A8D74" w14:textId="3CF2FF79" w:rsidR="00AC4027" w:rsidRPr="00FB2DEE" w:rsidRDefault="00AC4027" w:rsidP="00AC4027">
      <w:pPr>
        <w:jc w:val="center"/>
        <w:rPr>
          <w:rFonts w:ascii="Arial" w:hAnsi="Arial"/>
          <w:b/>
          <w:sz w:val="22"/>
        </w:rPr>
      </w:pPr>
      <w:r w:rsidRPr="00FB2DEE">
        <w:rPr>
          <w:rFonts w:ascii="Arial" w:hAnsi="Arial"/>
          <w:b/>
          <w:sz w:val="22"/>
        </w:rPr>
        <w:t>Siège de l</w:t>
      </w:r>
      <w:r w:rsidR="00C608C6" w:rsidRPr="00FB2DEE">
        <w:rPr>
          <w:rFonts w:ascii="Arial" w:hAnsi="Arial"/>
          <w:b/>
          <w:sz w:val="22"/>
        </w:rPr>
        <w:t>’</w:t>
      </w:r>
      <w:r w:rsidRPr="00FB2DEE">
        <w:rPr>
          <w:rFonts w:ascii="Arial" w:hAnsi="Arial"/>
          <w:b/>
          <w:sz w:val="22"/>
        </w:rPr>
        <w:t xml:space="preserve">UNESCO, </w:t>
      </w:r>
      <w:r w:rsidR="00130D3D" w:rsidRPr="00FB2DEE">
        <w:rPr>
          <w:rFonts w:ascii="Arial" w:hAnsi="Arial"/>
          <w:b/>
          <w:sz w:val="22"/>
        </w:rPr>
        <w:t>Salle V</w:t>
      </w:r>
      <w:r w:rsidR="00034D0C" w:rsidRPr="00FB2DEE">
        <w:rPr>
          <w:rFonts w:ascii="Arial" w:hAnsi="Arial"/>
          <w:b/>
          <w:sz w:val="22"/>
        </w:rPr>
        <w:t>II</w:t>
      </w:r>
      <w:r w:rsidR="00130D3D" w:rsidRPr="00FB2DEE">
        <w:rPr>
          <w:rFonts w:ascii="Arial" w:hAnsi="Arial"/>
          <w:b/>
          <w:sz w:val="22"/>
        </w:rPr>
        <w:t>I</w:t>
      </w:r>
    </w:p>
    <w:p w14:paraId="5F817A00" w14:textId="096CE681" w:rsidR="00AC4027" w:rsidRPr="00FB2DEE" w:rsidRDefault="00B607FC" w:rsidP="00AC4027">
      <w:pPr>
        <w:jc w:val="center"/>
        <w:rPr>
          <w:rFonts w:ascii="Arial" w:hAnsi="Arial"/>
          <w:b/>
          <w:sz w:val="22"/>
        </w:rPr>
      </w:pPr>
      <w:r w:rsidRPr="00FB2DEE">
        <w:rPr>
          <w:rFonts w:ascii="Arial" w:hAnsi="Arial"/>
          <w:b/>
          <w:sz w:val="22"/>
        </w:rPr>
        <w:t>1</w:t>
      </w:r>
      <w:r w:rsidRPr="00FB2DEE">
        <w:rPr>
          <w:rFonts w:ascii="Arial" w:hAnsi="Arial"/>
          <w:b/>
          <w:sz w:val="22"/>
          <w:vertAlign w:val="superscript"/>
        </w:rPr>
        <w:t>er</w:t>
      </w:r>
      <w:r w:rsidRPr="00FB2DEE">
        <w:rPr>
          <w:rFonts w:ascii="Arial" w:hAnsi="Arial"/>
          <w:b/>
          <w:sz w:val="22"/>
        </w:rPr>
        <w:t xml:space="preserve"> octobre </w:t>
      </w:r>
      <w:r w:rsidR="00AC4027" w:rsidRPr="00FB2DEE">
        <w:rPr>
          <w:rFonts w:ascii="Arial" w:hAnsi="Arial"/>
          <w:b/>
          <w:sz w:val="22"/>
        </w:rPr>
        <w:t>202</w:t>
      </w:r>
      <w:r w:rsidR="00B1630F" w:rsidRPr="00FB2DEE">
        <w:rPr>
          <w:rFonts w:ascii="Arial" w:hAnsi="Arial"/>
          <w:b/>
          <w:sz w:val="22"/>
        </w:rPr>
        <w:t>4</w:t>
      </w:r>
    </w:p>
    <w:p w14:paraId="05322A32" w14:textId="7C7A3F6C" w:rsidR="00AC4027" w:rsidRPr="00FB2DEE" w:rsidRDefault="00130D3D" w:rsidP="00AC4027">
      <w:pPr>
        <w:jc w:val="center"/>
        <w:rPr>
          <w:rFonts w:ascii="Arial" w:hAnsi="Arial"/>
          <w:b/>
          <w:sz w:val="22"/>
        </w:rPr>
      </w:pPr>
      <w:r w:rsidRPr="00FB2DEE">
        <w:rPr>
          <w:rFonts w:ascii="Arial" w:hAnsi="Arial"/>
          <w:b/>
          <w:sz w:val="22"/>
        </w:rPr>
        <w:t>1</w:t>
      </w:r>
      <w:r w:rsidR="00A64363" w:rsidRPr="00FB2DEE">
        <w:rPr>
          <w:rFonts w:ascii="Arial" w:hAnsi="Arial"/>
          <w:b/>
          <w:sz w:val="22"/>
        </w:rPr>
        <w:t>0</w:t>
      </w:r>
      <w:r w:rsidR="00AC4027" w:rsidRPr="00FB2DEE">
        <w:rPr>
          <w:rFonts w:ascii="Arial" w:hAnsi="Arial"/>
          <w:b/>
          <w:sz w:val="22"/>
        </w:rPr>
        <w:t xml:space="preserve">h00 – </w:t>
      </w:r>
      <w:r w:rsidRPr="00FB2DEE">
        <w:rPr>
          <w:rFonts w:ascii="Arial" w:hAnsi="Arial"/>
          <w:b/>
          <w:sz w:val="22"/>
        </w:rPr>
        <w:t>13</w:t>
      </w:r>
      <w:r w:rsidR="00AC4027" w:rsidRPr="00FB2DEE">
        <w:rPr>
          <w:rFonts w:ascii="Arial" w:hAnsi="Arial"/>
          <w:b/>
          <w:sz w:val="22"/>
        </w:rPr>
        <w:t xml:space="preserve">h00 </w:t>
      </w:r>
    </w:p>
    <w:p w14:paraId="72EF57E2" w14:textId="513FA670" w:rsidR="008F09EC" w:rsidRPr="00FB2DEE" w:rsidRDefault="008F09EC" w:rsidP="008F09EC">
      <w:pPr>
        <w:pStyle w:val="Sansinterligne2"/>
        <w:spacing w:before="1200"/>
        <w:jc w:val="center"/>
        <w:rPr>
          <w:rFonts w:ascii="Arial" w:hAnsi="Arial" w:cs="Arial"/>
          <w:b/>
          <w:sz w:val="22"/>
          <w:szCs w:val="22"/>
        </w:rPr>
      </w:pPr>
      <w:r w:rsidRPr="00FB2DEE">
        <w:rPr>
          <w:rFonts w:ascii="Arial" w:hAnsi="Arial" w:cs="Arial"/>
          <w:b/>
          <w:sz w:val="22"/>
          <w:szCs w:val="22"/>
          <w:u w:val="single"/>
        </w:rPr>
        <w:t>Point</w:t>
      </w:r>
      <w:r w:rsidR="005518C7" w:rsidRPr="00FB2DEE">
        <w:rPr>
          <w:rFonts w:ascii="Arial" w:hAnsi="Arial" w:cs="Arial"/>
          <w:b/>
          <w:sz w:val="22"/>
          <w:szCs w:val="22"/>
          <w:u w:val="single"/>
        </w:rPr>
        <w:t xml:space="preserve"> 6</w:t>
      </w:r>
      <w:r w:rsidRPr="00FB2DEE">
        <w:rPr>
          <w:rFonts w:ascii="Arial" w:hAnsi="Arial" w:cs="Arial"/>
          <w:b/>
          <w:sz w:val="22"/>
          <w:szCs w:val="22"/>
          <w:u w:val="single"/>
        </w:rPr>
        <w:t xml:space="preserve"> de l</w:t>
      </w:r>
      <w:r w:rsidR="00C608C6" w:rsidRPr="00FB2DEE">
        <w:rPr>
          <w:rFonts w:ascii="Arial" w:hAnsi="Arial" w:cs="Arial"/>
          <w:b/>
          <w:sz w:val="22"/>
          <w:szCs w:val="22"/>
          <w:u w:val="single"/>
        </w:rPr>
        <w:t>’</w:t>
      </w:r>
      <w:r w:rsidRPr="00FB2DEE">
        <w:rPr>
          <w:rFonts w:ascii="Arial" w:hAnsi="Arial" w:cs="Arial"/>
          <w:b/>
          <w:sz w:val="22"/>
          <w:szCs w:val="22"/>
          <w:u w:val="single"/>
        </w:rPr>
        <w:t>ordre du jour provisoire</w:t>
      </w:r>
      <w:r w:rsidRPr="00FB2DEE">
        <w:rPr>
          <w:rFonts w:ascii="Arial" w:hAnsi="Arial" w:cs="Arial"/>
          <w:b/>
          <w:sz w:val="22"/>
          <w:szCs w:val="22"/>
        </w:rPr>
        <w:t> :</w:t>
      </w:r>
    </w:p>
    <w:p w14:paraId="630B69F1" w14:textId="11E0FC98" w:rsidR="008F09EC" w:rsidRPr="00FB2DEE" w:rsidRDefault="005518C7" w:rsidP="005518C7">
      <w:pPr>
        <w:pStyle w:val="NoSpacing"/>
        <w:tabs>
          <w:tab w:val="left" w:pos="4410"/>
          <w:tab w:val="center" w:pos="4819"/>
        </w:tabs>
        <w:spacing w:after="1080"/>
        <w:jc w:val="center"/>
        <w:rPr>
          <w:rFonts w:ascii="Arial" w:hAnsi="Arial" w:cs="Arial"/>
          <w:b/>
          <w:sz w:val="22"/>
          <w:szCs w:val="22"/>
        </w:rPr>
      </w:pPr>
      <w:r w:rsidRPr="00FB2DEE">
        <w:rPr>
          <w:rFonts w:ascii="Arial" w:hAnsi="Arial" w:cs="Arial"/>
          <w:b/>
          <w:sz w:val="22"/>
          <w:szCs w:val="22"/>
        </w:rPr>
        <w:t>Utilisation de l</w:t>
      </w:r>
      <w:r w:rsidR="00C608C6" w:rsidRPr="00FB2DEE">
        <w:rPr>
          <w:rFonts w:ascii="Arial" w:hAnsi="Arial" w:cs="Arial"/>
          <w:b/>
          <w:sz w:val="22"/>
          <w:szCs w:val="22"/>
        </w:rPr>
        <w:t>’</w:t>
      </w:r>
      <w:r w:rsidRPr="00FB2DEE">
        <w:rPr>
          <w:rFonts w:ascii="Arial" w:hAnsi="Arial" w:cs="Arial"/>
          <w:b/>
          <w:sz w:val="22"/>
          <w:szCs w:val="22"/>
        </w:rPr>
        <w:t xml:space="preserve">emblème de la Convention </w:t>
      </w:r>
      <w:r w:rsidR="00484466" w:rsidRPr="00FB2DEE">
        <w:rPr>
          <w:rFonts w:ascii="Arial" w:hAnsi="Arial" w:cs="Arial"/>
          <w:b/>
          <w:sz w:val="22"/>
          <w:szCs w:val="22"/>
        </w:rPr>
        <w:t>de 2003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FB2DEE" w14:paraId="730CE323" w14:textId="77777777" w:rsidTr="00FF2F30">
        <w:trPr>
          <w:jc w:val="center"/>
        </w:trPr>
        <w:tc>
          <w:tcPr>
            <w:tcW w:w="7825" w:type="dxa"/>
            <w:vAlign w:val="center"/>
          </w:tcPr>
          <w:p w14:paraId="47EC31AB" w14:textId="77777777" w:rsidR="008F09EC" w:rsidRPr="00FB2DEE" w:rsidRDefault="008F09EC" w:rsidP="00FF2F30">
            <w:pPr>
              <w:pStyle w:val="Sansinterligne1"/>
              <w:spacing w:before="200" w:after="200"/>
              <w:jc w:val="center"/>
              <w:rPr>
                <w:rFonts w:ascii="Arial" w:hAnsi="Arial" w:cs="Arial"/>
                <w:b/>
                <w:sz w:val="22"/>
                <w:szCs w:val="22"/>
              </w:rPr>
            </w:pPr>
            <w:r w:rsidRPr="00FB2DEE">
              <w:rPr>
                <w:rFonts w:ascii="Arial" w:hAnsi="Arial" w:cs="Arial"/>
                <w:b/>
                <w:sz w:val="22"/>
                <w:szCs w:val="22"/>
              </w:rPr>
              <w:t>Résumé</w:t>
            </w:r>
          </w:p>
          <w:p w14:paraId="4B3A5545" w14:textId="6306AA44" w:rsidR="008F09EC" w:rsidRPr="00FB2DEE" w:rsidRDefault="005518C7" w:rsidP="00FF2F30">
            <w:pPr>
              <w:pStyle w:val="Sansinterligne1"/>
              <w:jc w:val="both"/>
              <w:rPr>
                <w:rFonts w:ascii="Arial" w:hAnsi="Arial" w:cs="Arial"/>
                <w:bCs/>
                <w:sz w:val="22"/>
                <w:szCs w:val="22"/>
              </w:rPr>
            </w:pPr>
            <w:r w:rsidRPr="00FB2DEE">
              <w:rPr>
                <w:rFonts w:ascii="Arial" w:hAnsi="Arial" w:cs="Arial"/>
                <w:bCs/>
                <w:sz w:val="22"/>
                <w:szCs w:val="22"/>
              </w:rPr>
              <w:t>En réponse aux demandes croissantes des parties prenantes souhaitant utiliser l</w:t>
            </w:r>
            <w:r w:rsidR="00C608C6" w:rsidRPr="00FB2DEE">
              <w:rPr>
                <w:rFonts w:ascii="Arial" w:hAnsi="Arial" w:cs="Arial"/>
                <w:bCs/>
                <w:sz w:val="22"/>
                <w:szCs w:val="22"/>
              </w:rPr>
              <w:t>’</w:t>
            </w:r>
            <w:r w:rsidRPr="00FB2DEE">
              <w:rPr>
                <w:rFonts w:ascii="Arial" w:hAnsi="Arial" w:cs="Arial"/>
                <w:bCs/>
                <w:sz w:val="22"/>
                <w:szCs w:val="22"/>
              </w:rPr>
              <w:t xml:space="preserve">emblème de la Convention de 2003 pour leurs activités de sauvegarde et événements spéciaux visant à sauvegarder et promouvoir leur patrimoine culturel immatériel, le présent document propose des moyens </w:t>
            </w:r>
            <w:r w:rsidR="00484466" w:rsidRPr="00FB2DEE">
              <w:rPr>
                <w:rFonts w:ascii="Arial" w:hAnsi="Arial" w:cs="Arial"/>
                <w:bCs/>
                <w:sz w:val="22"/>
                <w:szCs w:val="22"/>
              </w:rPr>
              <w:t xml:space="preserve">pour </w:t>
            </w:r>
            <w:r w:rsidRPr="00FB2DEE">
              <w:rPr>
                <w:rFonts w:ascii="Arial" w:hAnsi="Arial" w:cs="Arial"/>
                <w:bCs/>
                <w:sz w:val="22"/>
                <w:szCs w:val="22"/>
              </w:rPr>
              <w:t>faciliter l</w:t>
            </w:r>
            <w:r w:rsidR="00C608C6" w:rsidRPr="00FB2DEE">
              <w:rPr>
                <w:rFonts w:ascii="Arial" w:hAnsi="Arial" w:cs="Arial"/>
                <w:bCs/>
                <w:sz w:val="22"/>
                <w:szCs w:val="22"/>
              </w:rPr>
              <w:t>’</w:t>
            </w:r>
            <w:r w:rsidRPr="00FB2DEE">
              <w:rPr>
                <w:rFonts w:ascii="Arial" w:hAnsi="Arial" w:cs="Arial"/>
                <w:bCs/>
                <w:sz w:val="22"/>
                <w:szCs w:val="22"/>
              </w:rPr>
              <w:t>accès à son utilisation.</w:t>
            </w:r>
          </w:p>
          <w:p w14:paraId="17E62457" w14:textId="02FAC3B0" w:rsidR="008F09EC" w:rsidRPr="00FB2DEE" w:rsidRDefault="008F09EC" w:rsidP="00FF2F30">
            <w:pPr>
              <w:pStyle w:val="Sansinterligne2"/>
              <w:spacing w:before="200" w:after="200"/>
              <w:ind w:right="284"/>
              <w:jc w:val="both"/>
              <w:rPr>
                <w:rFonts w:ascii="Arial" w:hAnsi="Arial" w:cs="Arial"/>
                <w:b/>
                <w:sz w:val="22"/>
                <w:szCs w:val="22"/>
              </w:rPr>
            </w:pPr>
            <w:r w:rsidRPr="00FB2DEE">
              <w:rPr>
                <w:rFonts w:ascii="Arial" w:hAnsi="Arial" w:cs="Arial"/>
                <w:b/>
                <w:sz w:val="22"/>
                <w:szCs w:val="22"/>
              </w:rPr>
              <w:t xml:space="preserve">Décision requise : </w:t>
            </w:r>
            <w:r w:rsidRPr="00FB2DEE">
              <w:rPr>
                <w:rFonts w:ascii="Arial" w:hAnsi="Arial" w:cs="Arial"/>
                <w:bCs/>
                <w:sz w:val="22"/>
                <w:szCs w:val="22"/>
              </w:rPr>
              <w:t>paragraphe</w:t>
            </w:r>
            <w:r w:rsidR="005518C7" w:rsidRPr="00FB2DEE">
              <w:rPr>
                <w:rFonts w:ascii="Arial" w:hAnsi="Arial" w:cs="Arial"/>
                <w:bCs/>
                <w:sz w:val="22"/>
                <w:szCs w:val="22"/>
              </w:rPr>
              <w:t xml:space="preserve"> 8</w:t>
            </w:r>
          </w:p>
        </w:tc>
      </w:tr>
    </w:tbl>
    <w:p w14:paraId="5072A522" w14:textId="77777777" w:rsidR="009B5302" w:rsidRPr="00FB2DEE" w:rsidRDefault="00BC3420" w:rsidP="007E60C6">
      <w:pPr>
        <w:pStyle w:val="COMTitleDecision"/>
        <w:spacing w:before="360" w:after="240"/>
        <w:ind w:left="0"/>
      </w:pPr>
      <w:r w:rsidRPr="00FB2DEE">
        <w:br w:type="page"/>
      </w:r>
    </w:p>
    <w:p w14:paraId="12E1A6EF" w14:textId="09B8AAE7" w:rsidR="005518C7" w:rsidRPr="00FB2DEE" w:rsidRDefault="005518C7" w:rsidP="005518C7">
      <w:pPr>
        <w:pStyle w:val="COMParabodytext"/>
        <w:numPr>
          <w:ilvl w:val="0"/>
          <w:numId w:val="0"/>
        </w:numPr>
        <w:rPr>
          <w:b/>
          <w:bCs/>
          <w:lang w:val="fr-FR"/>
        </w:rPr>
      </w:pPr>
      <w:r w:rsidRPr="00FB2DEE">
        <w:rPr>
          <w:b/>
          <w:bCs/>
          <w:lang w:val="fr-FR"/>
        </w:rPr>
        <w:lastRenderedPageBreak/>
        <w:t xml:space="preserve">Introduction </w:t>
      </w:r>
    </w:p>
    <w:p w14:paraId="3CC1284F" w14:textId="0C379E5C" w:rsidR="005518C7" w:rsidRPr="00FB2DEE" w:rsidRDefault="005518C7" w:rsidP="005518C7">
      <w:pPr>
        <w:pStyle w:val="COMParabodytext"/>
        <w:rPr>
          <w:lang w:val="fr-FR"/>
        </w:rPr>
      </w:pPr>
      <w:r w:rsidRPr="00FB2DEE">
        <w:rPr>
          <w:lang w:val="fr-FR"/>
        </w:rPr>
        <w:t>L</w:t>
      </w:r>
      <w:r w:rsidR="00C608C6" w:rsidRPr="00FB2DEE">
        <w:rPr>
          <w:lang w:val="fr-FR"/>
        </w:rPr>
        <w:t>’</w:t>
      </w:r>
      <w:r w:rsidRPr="00FB2DEE">
        <w:rPr>
          <w:lang w:val="fr-FR"/>
        </w:rPr>
        <w:t>emblème de la Convention de 2003 a été adopté en 2010 (</w:t>
      </w:r>
      <w:r w:rsidR="00492747" w:rsidRPr="00FB2DEE">
        <w:rPr>
          <w:lang w:val="fr-FR"/>
        </w:rPr>
        <w:t>r</w:t>
      </w:r>
      <w:r w:rsidRPr="00FB2DEE">
        <w:rPr>
          <w:lang w:val="fr-FR"/>
        </w:rPr>
        <w:t xml:space="preserve">ésolution </w:t>
      </w:r>
      <w:hyperlink r:id="rId8" w:history="1">
        <w:r w:rsidRPr="00FB2DEE">
          <w:rPr>
            <w:rStyle w:val="Hyperlink"/>
            <w:lang w:val="fr-FR"/>
          </w:rPr>
          <w:t>3.GA 5</w:t>
        </w:r>
      </w:hyperlink>
      <w:r w:rsidRPr="00FB2DEE">
        <w:rPr>
          <w:lang w:val="fr-FR"/>
        </w:rPr>
        <w:t>) pour soutenir les activités du Comité et des États parties dans la promotion des objectifs de la Convention (</w:t>
      </w:r>
      <w:r w:rsidR="00492747" w:rsidRPr="00FB2DEE">
        <w:rPr>
          <w:lang w:val="fr-FR"/>
        </w:rPr>
        <w:t>d</w:t>
      </w:r>
      <w:r w:rsidRPr="00FB2DEE">
        <w:rPr>
          <w:lang w:val="fr-FR"/>
        </w:rPr>
        <w:t xml:space="preserve">écision </w:t>
      </w:r>
      <w:hyperlink r:id="rId9" w:history="1">
        <w:r w:rsidRPr="00FB2DEE">
          <w:rPr>
            <w:rStyle w:val="Hyperlink"/>
            <w:lang w:val="fr-FR"/>
          </w:rPr>
          <w:t>1.EXT.COM 8</w:t>
        </w:r>
      </w:hyperlink>
      <w:r w:rsidRPr="00FB2DEE">
        <w:rPr>
          <w:lang w:val="fr-FR"/>
        </w:rPr>
        <w:t xml:space="preserve">, </w:t>
      </w:r>
      <w:r w:rsidR="00492747" w:rsidRPr="00FB2DEE">
        <w:rPr>
          <w:lang w:val="fr-FR"/>
        </w:rPr>
        <w:t>d</w:t>
      </w:r>
      <w:r w:rsidRPr="00FB2DEE">
        <w:rPr>
          <w:lang w:val="fr-FR"/>
        </w:rPr>
        <w:t xml:space="preserve">écision </w:t>
      </w:r>
      <w:hyperlink r:id="rId10" w:history="1">
        <w:r w:rsidRPr="00FB2DEE">
          <w:rPr>
            <w:rStyle w:val="Hyperlink"/>
            <w:lang w:val="fr-FR"/>
          </w:rPr>
          <w:t>2.COM 13</w:t>
        </w:r>
      </w:hyperlink>
      <w:r w:rsidRPr="00FB2DEE">
        <w:rPr>
          <w:lang w:val="fr-FR"/>
        </w:rPr>
        <w:t xml:space="preserve"> et </w:t>
      </w:r>
      <w:r w:rsidR="00492747" w:rsidRPr="00FB2DEE">
        <w:rPr>
          <w:lang w:val="fr-FR"/>
        </w:rPr>
        <w:t>r</w:t>
      </w:r>
      <w:r w:rsidRPr="00FB2DEE">
        <w:rPr>
          <w:lang w:val="fr-FR"/>
        </w:rPr>
        <w:t xml:space="preserve">ésolution </w:t>
      </w:r>
      <w:hyperlink r:id="rId11" w:history="1">
        <w:r w:rsidR="00492747" w:rsidRPr="00FB2DEE">
          <w:rPr>
            <w:rStyle w:val="Hyperlink"/>
            <w:lang w:val="fr-FR"/>
          </w:rPr>
          <w:t>2.GA 9bis</w:t>
        </w:r>
      </w:hyperlink>
      <w:r w:rsidR="00492747" w:rsidRPr="00FB2DEE">
        <w:rPr>
          <w:rStyle w:val="Hyperlink"/>
          <w:color w:val="auto"/>
          <w:u w:val="none"/>
          <w:lang w:val="fr-FR"/>
        </w:rPr>
        <w:t>).</w:t>
      </w:r>
      <w:r w:rsidRPr="00FB2DEE">
        <w:rPr>
          <w:lang w:val="fr-FR"/>
        </w:rPr>
        <w:t xml:space="preserve"> Comme stipulé au chapitre IV.2 des Directives opérationnelles, l</w:t>
      </w:r>
      <w:r w:rsidR="00C608C6" w:rsidRPr="00FB2DEE">
        <w:rPr>
          <w:lang w:val="fr-FR"/>
        </w:rPr>
        <w:t>’</w:t>
      </w:r>
      <w:r w:rsidRPr="00FB2DEE">
        <w:rPr>
          <w:lang w:val="fr-FR"/>
        </w:rPr>
        <w:t>emblème de la Convention est accompagné de l</w:t>
      </w:r>
      <w:r w:rsidR="00C608C6" w:rsidRPr="00FB2DEE">
        <w:rPr>
          <w:lang w:val="fr-FR"/>
        </w:rPr>
        <w:t>’</w:t>
      </w:r>
      <w:r w:rsidRPr="00FB2DEE">
        <w:rPr>
          <w:lang w:val="fr-FR"/>
        </w:rPr>
        <w:t>emblème de l</w:t>
      </w:r>
      <w:r w:rsidR="00C608C6" w:rsidRPr="00FB2DEE">
        <w:rPr>
          <w:lang w:val="fr-FR"/>
        </w:rPr>
        <w:t>’</w:t>
      </w:r>
      <w:r w:rsidRPr="00FB2DEE">
        <w:rPr>
          <w:lang w:val="fr-FR"/>
        </w:rPr>
        <w:t>UNESCO et ne peut être utilisé isolément, étant entendu que chacun d</w:t>
      </w:r>
      <w:r w:rsidR="00C608C6" w:rsidRPr="00FB2DEE">
        <w:rPr>
          <w:lang w:val="fr-FR"/>
        </w:rPr>
        <w:t>’</w:t>
      </w:r>
      <w:r w:rsidRPr="00FB2DEE">
        <w:rPr>
          <w:lang w:val="fr-FR"/>
        </w:rPr>
        <w:t>entre eux est régi par un ensemble de règles distinct et que toute utilisation doit avoir été préalablement autorisée conformément à l</w:t>
      </w:r>
      <w:r w:rsidR="00C608C6" w:rsidRPr="00FB2DEE">
        <w:rPr>
          <w:lang w:val="fr-FR"/>
        </w:rPr>
        <w:t>’</w:t>
      </w:r>
      <w:r w:rsidRPr="00FB2DEE">
        <w:rPr>
          <w:lang w:val="fr-FR"/>
        </w:rPr>
        <w:t>ensemble de règles respectif. Les dispositions des Directives opérationnelles ne s</w:t>
      </w:r>
      <w:r w:rsidR="00C608C6" w:rsidRPr="00FB2DEE">
        <w:rPr>
          <w:lang w:val="fr-FR"/>
        </w:rPr>
        <w:t>’</w:t>
      </w:r>
      <w:r w:rsidRPr="00FB2DEE">
        <w:rPr>
          <w:lang w:val="fr-FR"/>
        </w:rPr>
        <w:t>appliquent qu</w:t>
      </w:r>
      <w:r w:rsidR="00C608C6" w:rsidRPr="00FB2DEE">
        <w:rPr>
          <w:lang w:val="fr-FR"/>
        </w:rPr>
        <w:t>’</w:t>
      </w:r>
      <w:r w:rsidRPr="00FB2DEE">
        <w:rPr>
          <w:lang w:val="fr-FR"/>
        </w:rPr>
        <w:t>à l</w:t>
      </w:r>
      <w:r w:rsidR="00C608C6" w:rsidRPr="00FB2DEE">
        <w:rPr>
          <w:lang w:val="fr-FR"/>
        </w:rPr>
        <w:t>’</w:t>
      </w:r>
      <w:r w:rsidRPr="00FB2DEE">
        <w:rPr>
          <w:lang w:val="fr-FR"/>
        </w:rPr>
        <w:t>utilisation de l</w:t>
      </w:r>
      <w:r w:rsidR="00C608C6" w:rsidRPr="00FB2DEE">
        <w:rPr>
          <w:lang w:val="fr-FR"/>
        </w:rPr>
        <w:t>’</w:t>
      </w:r>
      <w:r w:rsidRPr="00FB2DEE">
        <w:rPr>
          <w:lang w:val="fr-FR"/>
        </w:rPr>
        <w:t>emblème de la Convention, tandis que la version la plus récente des Directives concernant l</w:t>
      </w:r>
      <w:r w:rsidR="00C608C6" w:rsidRPr="00FB2DEE">
        <w:rPr>
          <w:lang w:val="fr-FR"/>
        </w:rPr>
        <w:t>’</w:t>
      </w:r>
      <w:r w:rsidRPr="00FB2DEE">
        <w:rPr>
          <w:lang w:val="fr-FR"/>
        </w:rPr>
        <w:t>utilisation du nom, de l</w:t>
      </w:r>
      <w:r w:rsidR="00C608C6" w:rsidRPr="00FB2DEE">
        <w:rPr>
          <w:lang w:val="fr-FR"/>
        </w:rPr>
        <w:t>’</w:t>
      </w:r>
      <w:r w:rsidRPr="00FB2DEE">
        <w:rPr>
          <w:lang w:val="fr-FR"/>
        </w:rPr>
        <w:t>acronyme, de l</w:t>
      </w:r>
      <w:r w:rsidR="00C608C6" w:rsidRPr="00FB2DEE">
        <w:rPr>
          <w:lang w:val="fr-FR"/>
        </w:rPr>
        <w:t>’</w:t>
      </w:r>
      <w:r w:rsidRPr="00FB2DEE">
        <w:rPr>
          <w:lang w:val="fr-FR"/>
        </w:rPr>
        <w:t>emblème et des noms de domaine Internet de l</w:t>
      </w:r>
      <w:r w:rsidR="00C608C6" w:rsidRPr="00FB2DEE">
        <w:rPr>
          <w:lang w:val="fr-FR"/>
        </w:rPr>
        <w:t>’</w:t>
      </w:r>
      <w:r w:rsidRPr="00FB2DEE">
        <w:rPr>
          <w:lang w:val="fr-FR"/>
        </w:rPr>
        <w:t>UNESCO figure en annexe à la Résolution 86 de la 34e session de la Conférence générale (</w:t>
      </w:r>
      <w:hyperlink r:id="rId12" w:anchor="%5B%7B%22num%22%3A814%2C%22gen%22%3A0%7D%2C%7B%22name%22%3A%22XYZ%22%7D%2C57%2C578%2Cnull%5D" w:history="1">
        <w:r w:rsidR="00492747" w:rsidRPr="00FB2DEE">
          <w:rPr>
            <w:rStyle w:val="Hyperlink"/>
            <w:lang w:val="fr-FR"/>
          </w:rPr>
          <w:t>résolution 34C/86</w:t>
        </w:r>
      </w:hyperlink>
      <w:r w:rsidRPr="00FB2DEE">
        <w:rPr>
          <w:lang w:val="fr-FR"/>
        </w:rPr>
        <w:t>).</w:t>
      </w:r>
    </w:p>
    <w:p w14:paraId="59342D99" w14:textId="7AE688C2" w:rsidR="005518C7" w:rsidRPr="00FB2DEE" w:rsidRDefault="005518C7" w:rsidP="005518C7">
      <w:pPr>
        <w:pStyle w:val="COMParabodytext"/>
        <w:rPr>
          <w:lang w:val="fr-FR"/>
        </w:rPr>
      </w:pPr>
      <w:r w:rsidRPr="00FB2DEE">
        <w:rPr>
          <w:lang w:val="fr-FR"/>
        </w:rPr>
        <w:t>En référence au</w:t>
      </w:r>
      <w:r w:rsidR="00FB2DEE" w:rsidRPr="00FB2DEE">
        <w:rPr>
          <w:lang w:val="fr-FR"/>
        </w:rPr>
        <w:t>x provisions mentionnées ci-dessus, en particulier</w:t>
      </w:r>
      <w:r w:rsidRPr="00FB2DEE">
        <w:rPr>
          <w:lang w:val="fr-FR"/>
        </w:rPr>
        <w:t xml:space="preserve"> paragraphe 133 des Directives opérationnelles, l</w:t>
      </w:r>
      <w:r w:rsidR="00C608C6" w:rsidRPr="00FB2DEE">
        <w:rPr>
          <w:lang w:val="fr-FR"/>
        </w:rPr>
        <w:t>’</w:t>
      </w:r>
      <w:r w:rsidRPr="00FB2DEE">
        <w:rPr>
          <w:lang w:val="fr-FR"/>
        </w:rPr>
        <w:t>utilisation de l</w:t>
      </w:r>
      <w:r w:rsidR="00C608C6" w:rsidRPr="00FB2DEE">
        <w:rPr>
          <w:lang w:val="fr-FR"/>
        </w:rPr>
        <w:t>’</w:t>
      </w:r>
      <w:r w:rsidRPr="00FB2DEE">
        <w:rPr>
          <w:lang w:val="fr-FR"/>
        </w:rPr>
        <w:t>emblème de la Convention a été autorisée notamment dans le cadre des trois arrangements suivants :</w:t>
      </w:r>
    </w:p>
    <w:p w14:paraId="41C62AB0" w14:textId="7B4CBD02" w:rsidR="005518C7" w:rsidRPr="00FB2DEE" w:rsidRDefault="005518C7" w:rsidP="00DA284E">
      <w:pPr>
        <w:pStyle w:val="COMParabodytext"/>
        <w:numPr>
          <w:ilvl w:val="1"/>
          <w:numId w:val="9"/>
        </w:numPr>
        <w:ind w:left="993"/>
        <w:rPr>
          <w:lang w:val="fr-FR"/>
        </w:rPr>
      </w:pPr>
      <w:r w:rsidRPr="00FB2DEE">
        <w:rPr>
          <w:lang w:val="fr-FR"/>
        </w:rPr>
        <w:t xml:space="preserve">Le </w:t>
      </w:r>
      <w:r w:rsidRPr="00FB2DEE">
        <w:rPr>
          <w:u w:val="single"/>
          <w:lang w:val="fr-FR"/>
        </w:rPr>
        <w:t>patronage</w:t>
      </w:r>
      <w:r w:rsidRPr="00FB2DEE">
        <w:rPr>
          <w:lang w:val="fr-FR"/>
        </w:rPr>
        <w:t xml:space="preserve"> de la Convention peut être accordé à un événement ou à une activité ad hoc. Ces activités peuvent inclure des spectacles, des congrès, des réunions, des conférences ou d</w:t>
      </w:r>
      <w:r w:rsidR="00C608C6" w:rsidRPr="00FB2DEE">
        <w:rPr>
          <w:lang w:val="fr-FR"/>
        </w:rPr>
        <w:t>’</w:t>
      </w:r>
      <w:r w:rsidRPr="00FB2DEE">
        <w:rPr>
          <w:lang w:val="fr-FR"/>
        </w:rPr>
        <w:t>autres événements nationaux et internationaux, ainsi que des efforts qui incarnent le patrimoine culturel immatériel, à l</w:t>
      </w:r>
      <w:r w:rsidR="00C608C6" w:rsidRPr="00FB2DEE">
        <w:rPr>
          <w:lang w:val="fr-FR"/>
        </w:rPr>
        <w:t>’</w:t>
      </w:r>
      <w:r w:rsidRPr="00FB2DEE">
        <w:rPr>
          <w:lang w:val="fr-FR"/>
        </w:rPr>
        <w:t>exception de ceux qui sont produits principalement à des fins lucratives.</w:t>
      </w:r>
    </w:p>
    <w:p w14:paraId="6A606F30" w14:textId="633E8FF6" w:rsidR="005518C7" w:rsidRPr="00FB2DEE" w:rsidRDefault="005518C7" w:rsidP="00DA284E">
      <w:pPr>
        <w:pStyle w:val="COMParabodytext"/>
        <w:numPr>
          <w:ilvl w:val="1"/>
          <w:numId w:val="9"/>
        </w:numPr>
        <w:ind w:left="993"/>
        <w:rPr>
          <w:lang w:val="fr-FR"/>
        </w:rPr>
      </w:pPr>
      <w:r w:rsidRPr="00FB2DEE">
        <w:rPr>
          <w:lang w:val="fr-FR"/>
        </w:rPr>
        <w:t xml:space="preserve">Un </w:t>
      </w:r>
      <w:r w:rsidRPr="00FB2DEE">
        <w:rPr>
          <w:u w:val="single"/>
          <w:lang w:val="fr-FR"/>
        </w:rPr>
        <w:t>arrangement contractuel</w:t>
      </w:r>
      <w:r w:rsidRPr="00FB2DEE">
        <w:rPr>
          <w:lang w:val="fr-FR"/>
        </w:rPr>
        <w:t xml:space="preserve"> peut être conclu entre l</w:t>
      </w:r>
      <w:r w:rsidR="00C608C6" w:rsidRPr="00FB2DEE">
        <w:rPr>
          <w:lang w:val="fr-FR"/>
        </w:rPr>
        <w:t>’</w:t>
      </w:r>
      <w:r w:rsidRPr="00FB2DEE">
        <w:rPr>
          <w:lang w:val="fr-FR"/>
        </w:rPr>
        <w:t>UNESCO et des organisations extérieures dans le cadre de partenariats, d</w:t>
      </w:r>
      <w:r w:rsidR="00C608C6" w:rsidRPr="00FB2DEE">
        <w:rPr>
          <w:lang w:val="fr-FR"/>
        </w:rPr>
        <w:t>’</w:t>
      </w:r>
      <w:r w:rsidRPr="00FB2DEE">
        <w:rPr>
          <w:lang w:val="fr-FR"/>
        </w:rPr>
        <w:t>accords de co-publication et de co-production.</w:t>
      </w:r>
    </w:p>
    <w:p w14:paraId="109668B2" w14:textId="13002E67" w:rsidR="005518C7" w:rsidRPr="00FB2DEE" w:rsidRDefault="005518C7" w:rsidP="00DA284E">
      <w:pPr>
        <w:pStyle w:val="COMParabodytext"/>
        <w:numPr>
          <w:ilvl w:val="1"/>
          <w:numId w:val="9"/>
        </w:numPr>
        <w:ind w:left="993"/>
        <w:rPr>
          <w:lang w:val="fr-FR"/>
        </w:rPr>
      </w:pPr>
      <w:r w:rsidRPr="00FB2DEE">
        <w:rPr>
          <w:lang w:val="fr-FR"/>
        </w:rPr>
        <w:t xml:space="preserve">Des </w:t>
      </w:r>
      <w:r w:rsidRPr="00FB2DEE">
        <w:rPr>
          <w:u w:val="single"/>
          <w:lang w:val="fr-FR"/>
        </w:rPr>
        <w:t>activités promotionnelles</w:t>
      </w:r>
      <w:r w:rsidRPr="00FB2DEE">
        <w:rPr>
          <w:lang w:val="fr-FR"/>
        </w:rPr>
        <w:t xml:space="preserve"> spécifiques entreprises par les parties prenantes de la Convention ont également été reconnues.</w:t>
      </w:r>
    </w:p>
    <w:p w14:paraId="753B297C" w14:textId="6E442F85" w:rsidR="005518C7" w:rsidRPr="00FB2DEE" w:rsidRDefault="005518C7" w:rsidP="005518C7">
      <w:pPr>
        <w:pStyle w:val="COMParabodytext"/>
        <w:rPr>
          <w:lang w:val="fr-FR"/>
        </w:rPr>
      </w:pPr>
      <w:r w:rsidRPr="00FB2DEE">
        <w:rPr>
          <w:lang w:val="fr-FR"/>
        </w:rPr>
        <w:t>Parallèlement, le paragraphe 139 des Directives opérationnelles prévoit que « Les communautés,</w:t>
      </w:r>
      <w:r w:rsidR="00D958E6" w:rsidRPr="00FB2DEE">
        <w:rPr>
          <w:lang w:val="fr-FR"/>
        </w:rPr>
        <w:t xml:space="preserve"> les</w:t>
      </w:r>
      <w:r w:rsidRPr="00FB2DEE">
        <w:rPr>
          <w:lang w:val="fr-FR"/>
        </w:rPr>
        <w:t xml:space="preserve"> groupes</w:t>
      </w:r>
      <w:r w:rsidR="00D958E6" w:rsidRPr="00FB2DEE">
        <w:rPr>
          <w:lang w:val="fr-FR"/>
        </w:rPr>
        <w:t xml:space="preserve"> et</w:t>
      </w:r>
      <w:r w:rsidRPr="00FB2DEE">
        <w:rPr>
          <w:lang w:val="fr-FR"/>
        </w:rPr>
        <w:t>, le cas échéant,</w:t>
      </w:r>
      <w:r w:rsidR="00D958E6" w:rsidRPr="00FB2DEE">
        <w:rPr>
          <w:lang w:val="fr-FR"/>
        </w:rPr>
        <w:t xml:space="preserve"> les</w:t>
      </w:r>
      <w:r w:rsidRPr="00FB2DEE">
        <w:rPr>
          <w:lang w:val="fr-FR"/>
        </w:rPr>
        <w:t xml:space="preserve"> individus concernés sont encouragés à utiliser l</w:t>
      </w:r>
      <w:r w:rsidR="00C608C6" w:rsidRPr="00FB2DEE">
        <w:rPr>
          <w:lang w:val="fr-FR"/>
        </w:rPr>
        <w:t>’</w:t>
      </w:r>
      <w:r w:rsidRPr="00FB2DEE">
        <w:rPr>
          <w:lang w:val="fr-FR"/>
        </w:rPr>
        <w:t xml:space="preserve">emblème de la Convention dans le cadre de leurs activités </w:t>
      </w:r>
      <w:r w:rsidR="00D958E6" w:rsidRPr="00FB2DEE">
        <w:rPr>
          <w:lang w:val="fr-FR"/>
        </w:rPr>
        <w:t xml:space="preserve">ou manifestations </w:t>
      </w:r>
      <w:r w:rsidRPr="00FB2DEE">
        <w:rPr>
          <w:lang w:val="fr-FR"/>
        </w:rPr>
        <w:t>spécia</w:t>
      </w:r>
      <w:r w:rsidR="00D958E6" w:rsidRPr="00FB2DEE">
        <w:rPr>
          <w:lang w:val="fr-FR"/>
        </w:rPr>
        <w:t>les</w:t>
      </w:r>
      <w:r w:rsidRPr="00FB2DEE">
        <w:rPr>
          <w:lang w:val="fr-FR"/>
        </w:rPr>
        <w:t xml:space="preserve"> </w:t>
      </w:r>
      <w:r w:rsidR="00D958E6" w:rsidRPr="00FB2DEE">
        <w:rPr>
          <w:lang w:val="fr-FR"/>
        </w:rPr>
        <w:t xml:space="preserve">destinées à </w:t>
      </w:r>
      <w:r w:rsidRPr="00FB2DEE">
        <w:rPr>
          <w:lang w:val="fr-FR"/>
        </w:rPr>
        <w:t>sauvegarder et promouvoir leur patrimoine culturel inscrit sur la Liste du patrimoine culturel immatériel nécessitant une sauvegarde urgente ou sur la Liste représentative du patrimoine culturel immatériel de l</w:t>
      </w:r>
      <w:r w:rsidR="00C608C6" w:rsidRPr="00FB2DEE">
        <w:rPr>
          <w:lang w:val="fr-FR"/>
        </w:rPr>
        <w:t>’</w:t>
      </w:r>
      <w:r w:rsidRPr="00FB2DEE">
        <w:rPr>
          <w:lang w:val="fr-FR"/>
        </w:rPr>
        <w:t xml:space="preserve">humanité, </w:t>
      </w:r>
      <w:r w:rsidR="00D958E6" w:rsidRPr="00FB2DEE">
        <w:rPr>
          <w:lang w:val="fr-FR"/>
        </w:rPr>
        <w:t xml:space="preserve">selon </w:t>
      </w:r>
      <w:r w:rsidRPr="00FB2DEE">
        <w:rPr>
          <w:lang w:val="fr-FR"/>
        </w:rPr>
        <w:t xml:space="preserve">les conditions spécifiées dans les présentes Directives opérationnelles ». </w:t>
      </w:r>
      <w:r w:rsidR="00D958E6" w:rsidRPr="00FB2DEE">
        <w:rPr>
          <w:lang w:val="fr-FR"/>
        </w:rPr>
        <w:t>À la s</w:t>
      </w:r>
      <w:r w:rsidRPr="00FB2DEE">
        <w:rPr>
          <w:lang w:val="fr-FR"/>
        </w:rPr>
        <w:t xml:space="preserve">uite </w:t>
      </w:r>
      <w:r w:rsidR="00D958E6" w:rsidRPr="00FB2DEE">
        <w:rPr>
          <w:lang w:val="fr-FR"/>
        </w:rPr>
        <w:t>de</w:t>
      </w:r>
      <w:r w:rsidRPr="00FB2DEE">
        <w:rPr>
          <w:lang w:val="fr-FR"/>
        </w:rPr>
        <w:t xml:space="preserve"> l</w:t>
      </w:r>
      <w:r w:rsidR="00C608C6" w:rsidRPr="00FB2DEE">
        <w:rPr>
          <w:lang w:val="fr-FR"/>
        </w:rPr>
        <w:t>’</w:t>
      </w:r>
      <w:r w:rsidRPr="00FB2DEE">
        <w:rPr>
          <w:lang w:val="fr-FR"/>
        </w:rPr>
        <w:t>inscription d</w:t>
      </w:r>
      <w:r w:rsidR="00C608C6" w:rsidRPr="00FB2DEE">
        <w:rPr>
          <w:lang w:val="fr-FR"/>
        </w:rPr>
        <w:t>’</w:t>
      </w:r>
      <w:r w:rsidRPr="00FB2DEE">
        <w:rPr>
          <w:lang w:val="fr-FR"/>
        </w:rPr>
        <w:t>éléments sur les listes, les parties prenantes de la Convention cherchent naturellement à promouvoir leurs pratiques du patrimoine vivant en utilisant l</w:t>
      </w:r>
      <w:r w:rsidR="00C608C6" w:rsidRPr="00FB2DEE">
        <w:rPr>
          <w:lang w:val="fr-FR"/>
        </w:rPr>
        <w:t>’</w:t>
      </w:r>
      <w:r w:rsidRPr="00FB2DEE">
        <w:rPr>
          <w:lang w:val="fr-FR"/>
        </w:rPr>
        <w:t>emblème de la Convention, par exemple sur des panneaux utilisés dans les lieux et espaces physiques associés. Ces utilisations permanentes de l</w:t>
      </w:r>
      <w:r w:rsidR="00C608C6" w:rsidRPr="00FB2DEE">
        <w:rPr>
          <w:lang w:val="fr-FR"/>
        </w:rPr>
        <w:t>’</w:t>
      </w:r>
      <w:r w:rsidRPr="00FB2DEE">
        <w:rPr>
          <w:lang w:val="fr-FR"/>
        </w:rPr>
        <w:t xml:space="preserve">emblème ne sont pas considérées comme des événements spécifiques et des activités ad hoc limitées dans le temps, et ne peuvent pas non plus être réglementées par des accords contractuels. </w:t>
      </w:r>
    </w:p>
    <w:p w14:paraId="79B37C6B" w14:textId="4B07213A" w:rsidR="005518C7" w:rsidRPr="00FB2DEE" w:rsidRDefault="005518C7" w:rsidP="005518C7">
      <w:pPr>
        <w:pStyle w:val="COMParabodytext"/>
        <w:rPr>
          <w:lang w:val="fr-FR"/>
        </w:rPr>
      </w:pPr>
      <w:r w:rsidRPr="00FB2DEE">
        <w:rPr>
          <w:lang w:val="fr-FR"/>
        </w:rPr>
        <w:t>Comme cela a été souligné lorsque la question a été portée à l</w:t>
      </w:r>
      <w:r w:rsidR="00C608C6" w:rsidRPr="00FB2DEE">
        <w:rPr>
          <w:lang w:val="fr-FR"/>
        </w:rPr>
        <w:t>’</w:t>
      </w:r>
      <w:r w:rsidRPr="00FB2DEE">
        <w:rPr>
          <w:lang w:val="fr-FR"/>
        </w:rPr>
        <w:t xml:space="preserve">attention du Comité (document </w:t>
      </w:r>
      <w:hyperlink r:id="rId13" w:history="1">
        <w:r w:rsidRPr="00FB2DEE">
          <w:rPr>
            <w:rStyle w:val="Hyperlink"/>
            <w:lang w:val="fr-FR"/>
          </w:rPr>
          <w:t>ITH/12/7.COM/13.d</w:t>
        </w:r>
      </w:hyperlink>
      <w:r w:rsidRPr="00FB2DEE">
        <w:rPr>
          <w:lang w:val="fr-FR"/>
        </w:rPr>
        <w:t xml:space="preserve"> et décision </w:t>
      </w:r>
      <w:hyperlink r:id="rId14" w:history="1">
        <w:r w:rsidRPr="00FB2DEE">
          <w:rPr>
            <w:rStyle w:val="Hyperlink"/>
            <w:lang w:val="fr-FR"/>
          </w:rPr>
          <w:t>7.COM 13.d</w:t>
        </w:r>
      </w:hyperlink>
      <w:r w:rsidRPr="00FB2DEE">
        <w:rPr>
          <w:lang w:val="fr-FR"/>
        </w:rPr>
        <w:t>), le Secrétariat est donc contraint de refuser de nombreuses demandes valables afin de respecter les règles régissant l</w:t>
      </w:r>
      <w:r w:rsidR="00C608C6" w:rsidRPr="00FB2DEE">
        <w:rPr>
          <w:lang w:val="fr-FR"/>
        </w:rPr>
        <w:t>’</w:t>
      </w:r>
      <w:r w:rsidRPr="00FB2DEE">
        <w:rPr>
          <w:lang w:val="fr-FR"/>
        </w:rPr>
        <w:t>utilisation de l</w:t>
      </w:r>
      <w:r w:rsidR="00C608C6" w:rsidRPr="00FB2DEE">
        <w:rPr>
          <w:lang w:val="fr-FR"/>
        </w:rPr>
        <w:t>’</w:t>
      </w:r>
      <w:r w:rsidRPr="00FB2DEE">
        <w:rPr>
          <w:lang w:val="fr-FR"/>
        </w:rPr>
        <w:t>emblème de la Convention et de l</w:t>
      </w:r>
      <w:r w:rsidR="00C608C6" w:rsidRPr="00FB2DEE">
        <w:rPr>
          <w:lang w:val="fr-FR"/>
        </w:rPr>
        <w:t>’</w:t>
      </w:r>
      <w:r w:rsidRPr="00FB2DEE">
        <w:rPr>
          <w:lang w:val="fr-FR"/>
        </w:rPr>
        <w:t>emblème de l</w:t>
      </w:r>
      <w:r w:rsidR="00C608C6" w:rsidRPr="00FB2DEE">
        <w:rPr>
          <w:lang w:val="fr-FR"/>
        </w:rPr>
        <w:t>’</w:t>
      </w:r>
      <w:r w:rsidRPr="00FB2DEE">
        <w:rPr>
          <w:lang w:val="fr-FR"/>
        </w:rPr>
        <w:t xml:space="preserve">UNESCO. Cette situation crée des frustrations car les communautés, </w:t>
      </w:r>
      <w:r w:rsidR="00F72719" w:rsidRPr="00FB2DEE">
        <w:rPr>
          <w:lang w:val="fr-FR"/>
        </w:rPr>
        <w:t xml:space="preserve">les </w:t>
      </w:r>
      <w:r w:rsidRPr="00FB2DEE">
        <w:rPr>
          <w:lang w:val="fr-FR"/>
        </w:rPr>
        <w:t xml:space="preserve">groupes et </w:t>
      </w:r>
      <w:r w:rsidR="00F72719" w:rsidRPr="00FB2DEE">
        <w:rPr>
          <w:lang w:val="fr-FR"/>
        </w:rPr>
        <w:t xml:space="preserve">les </w:t>
      </w:r>
      <w:r w:rsidRPr="00FB2DEE">
        <w:rPr>
          <w:lang w:val="fr-FR"/>
        </w:rPr>
        <w:t>individus ne sont pas pleinement conscients des conditions spécifiques d</w:t>
      </w:r>
      <w:r w:rsidR="00C608C6" w:rsidRPr="00FB2DEE">
        <w:rPr>
          <w:lang w:val="fr-FR"/>
        </w:rPr>
        <w:t>’</w:t>
      </w:r>
      <w:r w:rsidRPr="00FB2DEE">
        <w:rPr>
          <w:lang w:val="fr-FR"/>
        </w:rPr>
        <w:t>utilisation de l</w:t>
      </w:r>
      <w:r w:rsidR="00C608C6" w:rsidRPr="00FB2DEE">
        <w:rPr>
          <w:lang w:val="fr-FR"/>
        </w:rPr>
        <w:t>’</w:t>
      </w:r>
      <w:r w:rsidRPr="00FB2DEE">
        <w:rPr>
          <w:lang w:val="fr-FR"/>
        </w:rPr>
        <w:t>emblème de la Convention. De plus, dans de nombreux cas, les communautés utilisent l</w:t>
      </w:r>
      <w:r w:rsidR="00C608C6" w:rsidRPr="00FB2DEE">
        <w:rPr>
          <w:lang w:val="fr-FR"/>
        </w:rPr>
        <w:t>’</w:t>
      </w:r>
      <w:r w:rsidRPr="00FB2DEE">
        <w:rPr>
          <w:lang w:val="fr-FR"/>
        </w:rPr>
        <w:t>emblème de la Convention avec le logo de l</w:t>
      </w:r>
      <w:r w:rsidR="00C608C6" w:rsidRPr="00FB2DEE">
        <w:rPr>
          <w:lang w:val="fr-FR"/>
        </w:rPr>
        <w:t>’</w:t>
      </w:r>
      <w:r w:rsidRPr="00FB2DEE">
        <w:rPr>
          <w:lang w:val="fr-FR"/>
        </w:rPr>
        <w:t>UNESCO pour promouvoir les éléments inscrits sans demander l</w:t>
      </w:r>
      <w:r w:rsidR="00C608C6" w:rsidRPr="00FB2DEE">
        <w:rPr>
          <w:lang w:val="fr-FR"/>
        </w:rPr>
        <w:t>’</w:t>
      </w:r>
      <w:r w:rsidRPr="00FB2DEE">
        <w:rPr>
          <w:lang w:val="fr-FR"/>
        </w:rPr>
        <w:t>autorisation préalable de l</w:t>
      </w:r>
      <w:r w:rsidR="00C608C6" w:rsidRPr="00FB2DEE">
        <w:rPr>
          <w:lang w:val="fr-FR"/>
        </w:rPr>
        <w:t>’</w:t>
      </w:r>
      <w:r w:rsidRPr="00FB2DEE">
        <w:rPr>
          <w:lang w:val="fr-FR"/>
        </w:rPr>
        <w:t>UNESCO. Considérant l</w:t>
      </w:r>
      <w:r w:rsidR="00C608C6" w:rsidRPr="00FB2DEE">
        <w:rPr>
          <w:lang w:val="fr-FR"/>
        </w:rPr>
        <w:t>’</w:t>
      </w:r>
      <w:r w:rsidRPr="00FB2DEE">
        <w:rPr>
          <w:lang w:val="fr-FR"/>
        </w:rPr>
        <w:t>importance de cette question pour le développement futur de la Convention, le Bureau du Comité a demandé au Secrétariat de rechercher les moyens possibles de faciliter l</w:t>
      </w:r>
      <w:r w:rsidR="00C608C6" w:rsidRPr="00FB2DEE">
        <w:rPr>
          <w:lang w:val="fr-FR"/>
        </w:rPr>
        <w:t>’</w:t>
      </w:r>
      <w:r w:rsidRPr="00FB2DEE">
        <w:rPr>
          <w:lang w:val="fr-FR"/>
        </w:rPr>
        <w:t>accès à l</w:t>
      </w:r>
      <w:r w:rsidR="00C608C6" w:rsidRPr="00FB2DEE">
        <w:rPr>
          <w:lang w:val="fr-FR"/>
        </w:rPr>
        <w:t>’</w:t>
      </w:r>
      <w:r w:rsidRPr="00FB2DEE">
        <w:rPr>
          <w:lang w:val="fr-FR"/>
        </w:rPr>
        <w:t>emblème de la Convention pour les communautés, les groupes et les individus qui souhaitent sauvegarder et promouvoir leurs éléments du patrimoine vivant inscrits sur les Listes de la Convention.</w:t>
      </w:r>
    </w:p>
    <w:p w14:paraId="5630B1B4" w14:textId="77777777" w:rsidR="00135495" w:rsidRPr="00FB2DEE" w:rsidRDefault="00135495" w:rsidP="005518C7">
      <w:pPr>
        <w:pStyle w:val="COMParabodytext"/>
        <w:numPr>
          <w:ilvl w:val="0"/>
          <w:numId w:val="0"/>
        </w:numPr>
        <w:rPr>
          <w:b/>
          <w:bCs/>
          <w:lang w:val="fr-FR"/>
        </w:rPr>
      </w:pPr>
    </w:p>
    <w:p w14:paraId="49C1C81B" w14:textId="77777777" w:rsidR="00135495" w:rsidRPr="00FB2DEE" w:rsidRDefault="00135495" w:rsidP="005518C7">
      <w:pPr>
        <w:pStyle w:val="COMParabodytext"/>
        <w:numPr>
          <w:ilvl w:val="0"/>
          <w:numId w:val="0"/>
        </w:numPr>
        <w:rPr>
          <w:b/>
          <w:bCs/>
          <w:lang w:val="fr-FR"/>
        </w:rPr>
      </w:pPr>
    </w:p>
    <w:p w14:paraId="75B9172B" w14:textId="6B929B8A" w:rsidR="005518C7" w:rsidRPr="00FB2DEE" w:rsidRDefault="005518C7" w:rsidP="005518C7">
      <w:pPr>
        <w:pStyle w:val="COMParabodytext"/>
        <w:numPr>
          <w:ilvl w:val="0"/>
          <w:numId w:val="0"/>
        </w:numPr>
        <w:rPr>
          <w:b/>
          <w:bCs/>
          <w:lang w:val="fr-FR"/>
        </w:rPr>
      </w:pPr>
      <w:r w:rsidRPr="00FB2DEE">
        <w:rPr>
          <w:b/>
          <w:bCs/>
          <w:lang w:val="fr-FR"/>
        </w:rPr>
        <w:lastRenderedPageBreak/>
        <w:t>Expériences d</w:t>
      </w:r>
      <w:r w:rsidR="00C608C6" w:rsidRPr="00FB2DEE">
        <w:rPr>
          <w:b/>
          <w:bCs/>
          <w:lang w:val="fr-FR"/>
        </w:rPr>
        <w:t>’</w:t>
      </w:r>
      <w:r w:rsidRPr="00FB2DEE">
        <w:rPr>
          <w:b/>
          <w:bCs/>
          <w:lang w:val="fr-FR"/>
        </w:rPr>
        <w:t>activités mondiales récentes</w:t>
      </w:r>
    </w:p>
    <w:p w14:paraId="58BAC807" w14:textId="73B0F1D6" w:rsidR="005518C7" w:rsidRPr="00FB2DEE" w:rsidRDefault="005518C7" w:rsidP="005518C7">
      <w:pPr>
        <w:pStyle w:val="COMParabodytext"/>
        <w:rPr>
          <w:lang w:val="fr-FR"/>
        </w:rPr>
      </w:pPr>
      <w:r w:rsidRPr="00FB2DEE">
        <w:rPr>
          <w:lang w:val="fr-FR"/>
        </w:rPr>
        <w:t>Les expériences récentes acquises dans le cadre de campagnes de communication visant à promouvoir des activités spécifiques pour deux événements mondiaux peuvent fournir des inspirations utiles pour le cas présent :</w:t>
      </w:r>
    </w:p>
    <w:p w14:paraId="109894AE" w14:textId="496ACA13" w:rsidR="005518C7" w:rsidRPr="00FB2DEE" w:rsidRDefault="005518C7" w:rsidP="00DA284E">
      <w:pPr>
        <w:pStyle w:val="COMParabodytext"/>
        <w:numPr>
          <w:ilvl w:val="1"/>
          <w:numId w:val="9"/>
        </w:numPr>
        <w:ind w:left="993"/>
        <w:rPr>
          <w:lang w:val="fr-FR"/>
        </w:rPr>
      </w:pPr>
      <w:r w:rsidRPr="00FB2DEE">
        <w:rPr>
          <w:u w:val="single"/>
          <w:lang w:val="fr-FR"/>
        </w:rPr>
        <w:t>Vingtième anniversaire</w:t>
      </w:r>
      <w:r w:rsidR="00DA284E" w:rsidRPr="00FB2DEE">
        <w:rPr>
          <w:lang w:val="fr-FR"/>
        </w:rPr>
        <w:t xml:space="preserve"> </w:t>
      </w:r>
      <w:r w:rsidRPr="00FB2DEE">
        <w:rPr>
          <w:lang w:val="fr-FR"/>
        </w:rPr>
        <w:t>: Conformément aux encouragements donnés par la neuvième session de l</w:t>
      </w:r>
      <w:r w:rsidR="00C608C6" w:rsidRPr="00FB2DEE">
        <w:rPr>
          <w:lang w:val="fr-FR"/>
        </w:rPr>
        <w:t>’</w:t>
      </w:r>
      <w:r w:rsidRPr="00FB2DEE">
        <w:rPr>
          <w:lang w:val="fr-FR"/>
        </w:rPr>
        <w:t xml:space="preserve">Assemblée générale en juillet 2022 (résolution </w:t>
      </w:r>
      <w:hyperlink r:id="rId15" w:history="1">
        <w:r w:rsidRPr="00FB2DEE">
          <w:rPr>
            <w:rStyle w:val="Hyperlink"/>
            <w:lang w:val="fr-FR"/>
          </w:rPr>
          <w:t>9.GA</w:t>
        </w:r>
        <w:r w:rsidR="000C3AAF" w:rsidRPr="00FB2DEE">
          <w:rPr>
            <w:rStyle w:val="Hyperlink"/>
            <w:lang w:val="fr-FR"/>
          </w:rPr>
          <w:t> </w:t>
        </w:r>
        <w:r w:rsidRPr="00FB2DEE">
          <w:rPr>
            <w:rStyle w:val="Hyperlink"/>
            <w:lang w:val="fr-FR"/>
          </w:rPr>
          <w:t>13</w:t>
        </w:r>
      </w:hyperlink>
      <w:r w:rsidRPr="00FB2DEE">
        <w:rPr>
          <w:lang w:val="fr-FR"/>
        </w:rPr>
        <w:t>), les parties prenantes de la Convention ont organisé une série d</w:t>
      </w:r>
      <w:r w:rsidR="00C608C6" w:rsidRPr="00FB2DEE">
        <w:rPr>
          <w:lang w:val="fr-FR"/>
        </w:rPr>
        <w:t>’</w:t>
      </w:r>
      <w:r w:rsidRPr="00FB2DEE">
        <w:rPr>
          <w:lang w:val="fr-FR"/>
        </w:rPr>
        <w:t>événements dans le monde entier pour célébrer l</w:t>
      </w:r>
      <w:r w:rsidR="00C608C6" w:rsidRPr="00FB2DEE">
        <w:rPr>
          <w:lang w:val="fr-FR"/>
        </w:rPr>
        <w:t>’</w:t>
      </w:r>
      <w:r w:rsidRPr="00FB2DEE">
        <w:rPr>
          <w:lang w:val="fr-FR"/>
        </w:rPr>
        <w:t>anniversaire de la Convention. Ces célébrations ont été présentées sur la</w:t>
      </w:r>
      <w:r w:rsidR="003A0776" w:rsidRPr="00FB2DEE">
        <w:rPr>
          <w:lang w:val="fr-FR"/>
        </w:rPr>
        <w:t xml:space="preserve"> </w:t>
      </w:r>
      <w:hyperlink r:id="rId16" w:history="1">
        <w:r w:rsidR="003A0776" w:rsidRPr="00FB2DEE">
          <w:rPr>
            <w:rStyle w:val="Hyperlink"/>
            <w:lang w:val="fr-FR"/>
          </w:rPr>
          <w:t>page web dédiée</w:t>
        </w:r>
      </w:hyperlink>
      <w:r w:rsidRPr="00FB2DEE">
        <w:rPr>
          <w:lang w:val="fr-FR"/>
        </w:rPr>
        <w:t xml:space="preserve"> </w:t>
      </w:r>
      <w:r w:rsidR="003A0776" w:rsidRPr="00FB2DEE">
        <w:rPr>
          <w:lang w:val="fr-FR"/>
        </w:rPr>
        <w:t xml:space="preserve">à la </w:t>
      </w:r>
      <w:r w:rsidRPr="00FB2DEE">
        <w:rPr>
          <w:lang w:val="fr-FR"/>
        </w:rPr>
        <w:t>Convention. Un logo du vingtième anniversaire, intégrant le texte «</w:t>
      </w:r>
      <w:r w:rsidR="00C608C6" w:rsidRPr="00FB2DEE">
        <w:rPr>
          <w:lang w:val="fr-FR"/>
        </w:rPr>
        <w:t> </w:t>
      </w:r>
      <w:r w:rsidRPr="00FB2DEE">
        <w:rPr>
          <w:lang w:val="fr-FR"/>
        </w:rPr>
        <w:t>en soutien au 20e anniversaire de la Convention de 2003 » (voir ci-dessous), a été mis à disposition (sur demande, en utilisant un formulaire désigné) et adapté dans les langues demandées pour soutenir ces initiatives. L</w:t>
      </w:r>
      <w:r w:rsidR="00C608C6" w:rsidRPr="00FB2DEE">
        <w:rPr>
          <w:lang w:val="fr-FR"/>
        </w:rPr>
        <w:t>’</w:t>
      </w:r>
      <w:r w:rsidRPr="00FB2DEE">
        <w:rPr>
          <w:lang w:val="fr-FR"/>
        </w:rPr>
        <w:t xml:space="preserve">administration directe par le Secrétariat de la Convention a permis un traitement rapide des demandes. Au total, 180 activités ont été présentées sur la </w:t>
      </w:r>
      <w:hyperlink r:id="rId17" w:history="1">
        <w:r w:rsidRPr="00FB2DEE">
          <w:rPr>
            <w:rStyle w:val="Hyperlink"/>
            <w:lang w:val="fr-FR"/>
          </w:rPr>
          <w:t>page web</w:t>
        </w:r>
      </w:hyperlink>
      <w:r w:rsidRPr="00FB2DEE">
        <w:rPr>
          <w:lang w:val="fr-FR"/>
        </w:rPr>
        <w:t>.</w:t>
      </w:r>
    </w:p>
    <w:p w14:paraId="488C8C69" w14:textId="14C2BCFA" w:rsidR="005518C7" w:rsidRPr="00FB2DEE" w:rsidRDefault="005518C7" w:rsidP="00DA284E">
      <w:pPr>
        <w:pStyle w:val="COMParabodytext"/>
        <w:numPr>
          <w:ilvl w:val="1"/>
          <w:numId w:val="9"/>
        </w:numPr>
        <w:ind w:left="993"/>
        <w:rPr>
          <w:lang w:val="fr-FR"/>
        </w:rPr>
      </w:pPr>
      <w:r w:rsidRPr="00FB2DEE">
        <w:rPr>
          <w:u w:val="single"/>
          <w:lang w:val="fr-FR"/>
        </w:rPr>
        <w:t>Journée internationale du patrimoine culturel immatériel</w:t>
      </w:r>
      <w:r w:rsidR="00DA284E" w:rsidRPr="00FB2DEE">
        <w:rPr>
          <w:lang w:val="fr-FR"/>
        </w:rPr>
        <w:t xml:space="preserve"> </w:t>
      </w:r>
      <w:r w:rsidRPr="00FB2DEE">
        <w:rPr>
          <w:lang w:val="fr-FR"/>
        </w:rPr>
        <w:t>: La 42e session de la Conférence générale en novembre 2023 a proclamé le 17 octobre</w:t>
      </w:r>
      <w:r w:rsidR="00C608C6" w:rsidRPr="00FB2DEE">
        <w:rPr>
          <w:lang w:val="fr-FR"/>
        </w:rPr>
        <w:t>,</w:t>
      </w:r>
      <w:r w:rsidRPr="00FB2DEE">
        <w:rPr>
          <w:lang w:val="fr-FR"/>
        </w:rPr>
        <w:t xml:space="preserve"> Journée internationale du patrimoine culturel immatériel (</w:t>
      </w:r>
      <w:hyperlink r:id="rId18" w:anchor="%5B%7B%22num%22%3A87%2C%22gen%22%3A0%7D%2C%7B%22name%22%3A%22XYZ%22%7D%2C54%2C771%2C0%5D" w:history="1">
        <w:r w:rsidRPr="00FB2DEE">
          <w:rPr>
            <w:rStyle w:val="Hyperlink"/>
            <w:lang w:val="fr-FR"/>
          </w:rPr>
          <w:t>résolution 42 C/34</w:t>
        </w:r>
      </w:hyperlink>
      <w:r w:rsidRPr="00FB2DEE">
        <w:rPr>
          <w:lang w:val="fr-FR"/>
        </w:rPr>
        <w:t>). Conformément à la résolution de la dixième session de l</w:t>
      </w:r>
      <w:r w:rsidR="00C608C6" w:rsidRPr="00FB2DEE">
        <w:rPr>
          <w:lang w:val="fr-FR"/>
        </w:rPr>
        <w:t>’</w:t>
      </w:r>
      <w:r w:rsidRPr="00FB2DEE">
        <w:rPr>
          <w:lang w:val="fr-FR"/>
        </w:rPr>
        <w:t>Assemblée générale de la Convention de 2003 (</w:t>
      </w:r>
      <w:r w:rsidR="003A0776" w:rsidRPr="00FB2DEE">
        <w:rPr>
          <w:lang w:val="fr-FR"/>
        </w:rPr>
        <w:t>r</w:t>
      </w:r>
      <w:r w:rsidRPr="00FB2DEE">
        <w:rPr>
          <w:lang w:val="fr-FR"/>
        </w:rPr>
        <w:t xml:space="preserve">ésolution </w:t>
      </w:r>
      <w:hyperlink r:id="rId19" w:history="1">
        <w:r w:rsidRPr="00FB2DEE">
          <w:rPr>
            <w:rStyle w:val="Hyperlink"/>
            <w:lang w:val="fr-FR"/>
          </w:rPr>
          <w:t>10.GA</w:t>
        </w:r>
        <w:r w:rsidR="00C608C6" w:rsidRPr="00FB2DEE">
          <w:rPr>
            <w:rStyle w:val="Hyperlink"/>
            <w:lang w:val="fr-FR"/>
          </w:rPr>
          <w:t> </w:t>
        </w:r>
        <w:r w:rsidRPr="00FB2DEE">
          <w:rPr>
            <w:rStyle w:val="Hyperlink"/>
            <w:lang w:val="fr-FR"/>
          </w:rPr>
          <w:t>10</w:t>
        </w:r>
      </w:hyperlink>
      <w:r w:rsidRPr="00FB2DEE">
        <w:rPr>
          <w:lang w:val="fr-FR"/>
        </w:rPr>
        <w:t xml:space="preserve">), une </w:t>
      </w:r>
      <w:hyperlink r:id="rId20" w:history="1">
        <w:r w:rsidRPr="00FB2DEE">
          <w:rPr>
            <w:rStyle w:val="Hyperlink"/>
            <w:lang w:val="fr-FR"/>
          </w:rPr>
          <w:t>campagne en ligne</w:t>
        </w:r>
      </w:hyperlink>
      <w:r w:rsidRPr="00FB2DEE">
        <w:rPr>
          <w:lang w:val="fr-FR"/>
        </w:rPr>
        <w:t xml:space="preserve"> a été lancée en septembre 2024 pour marquer la première édition de cette Journée internationale et reconnaître les événements organisés par les parties prenantes de la Convention en septembre, octobre et novembre 2024. Les parties prenantes de la Convention recevront le logo « en soutien à la Journée internationale du patrimoine culturel immatériel » (voir ci-dessous) lorsqu</w:t>
      </w:r>
      <w:r w:rsidR="00C608C6" w:rsidRPr="00FB2DEE">
        <w:rPr>
          <w:lang w:val="fr-FR"/>
        </w:rPr>
        <w:t>’</w:t>
      </w:r>
      <w:r w:rsidRPr="00FB2DEE">
        <w:rPr>
          <w:lang w:val="fr-FR"/>
        </w:rPr>
        <w:t>elles en feront la demande à l</w:t>
      </w:r>
      <w:r w:rsidR="00C608C6" w:rsidRPr="00FB2DEE">
        <w:rPr>
          <w:lang w:val="fr-FR"/>
        </w:rPr>
        <w:t>’</w:t>
      </w:r>
      <w:r w:rsidRPr="00FB2DEE">
        <w:rPr>
          <w:lang w:val="fr-FR"/>
        </w:rPr>
        <w:t>aide du formulaire prévu à cet effet.</w:t>
      </w:r>
    </w:p>
    <w:tbl>
      <w:tblPr>
        <w:tblStyle w:val="TableGrid"/>
        <w:tblW w:w="0" w:type="auto"/>
        <w:tblInd w:w="1129" w:type="dxa"/>
        <w:tblLook w:val="04A0" w:firstRow="1" w:lastRow="0" w:firstColumn="1" w:lastColumn="0" w:noHBand="0" w:noVBand="1"/>
      </w:tblPr>
      <w:tblGrid>
        <w:gridCol w:w="4249"/>
        <w:gridCol w:w="4250"/>
      </w:tblGrid>
      <w:tr w:rsidR="005518C7" w:rsidRPr="00FB2DEE" w14:paraId="46918746" w14:textId="77777777" w:rsidTr="00503B25">
        <w:trPr>
          <w:trHeight w:val="2436"/>
        </w:trPr>
        <w:tc>
          <w:tcPr>
            <w:tcW w:w="4249" w:type="dxa"/>
          </w:tcPr>
          <w:p w14:paraId="01049FCE" w14:textId="77777777" w:rsidR="005518C7" w:rsidRPr="00FB2DEE" w:rsidRDefault="005518C7" w:rsidP="00503B25">
            <w:pPr>
              <w:pStyle w:val="COMPara"/>
              <w:ind w:left="0" w:firstLine="0"/>
              <w:jc w:val="both"/>
              <w:rPr>
                <w:lang w:val="fr-FR"/>
              </w:rPr>
            </w:pPr>
            <w:r w:rsidRPr="00FB2DEE">
              <w:rPr>
                <w:noProof/>
                <w:lang w:val="fr-FR"/>
              </w:rPr>
              <w:drawing>
                <wp:inline distT="0" distB="0" distL="0" distR="0" wp14:anchorId="57FF5C16" wp14:editId="68F8836E">
                  <wp:extent cx="1368000" cy="1472367"/>
                  <wp:effectExtent l="0" t="0" r="0" b="0"/>
                  <wp:docPr id="19515585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58582" name="Imag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8000" cy="1472367"/>
                          </a:xfrm>
                          <a:prstGeom prst="rect">
                            <a:avLst/>
                          </a:prstGeom>
                        </pic:spPr>
                      </pic:pic>
                    </a:graphicData>
                  </a:graphic>
                </wp:inline>
              </w:drawing>
            </w:r>
          </w:p>
        </w:tc>
        <w:tc>
          <w:tcPr>
            <w:tcW w:w="4250" w:type="dxa"/>
          </w:tcPr>
          <w:p w14:paraId="297347AD" w14:textId="77777777" w:rsidR="005518C7" w:rsidRPr="00FB2DEE" w:rsidRDefault="005518C7" w:rsidP="00503B25">
            <w:pPr>
              <w:pStyle w:val="COMPara"/>
              <w:ind w:left="0" w:firstLine="0"/>
              <w:jc w:val="both"/>
              <w:rPr>
                <w:lang w:val="fr-FR"/>
              </w:rPr>
            </w:pPr>
            <w:r w:rsidRPr="00FB2DEE">
              <w:rPr>
                <w:rFonts w:ascii="Calibri Light" w:hAnsi="Calibri Light" w:cs="Calibri Light"/>
                <w:noProof/>
                <w:lang w:val="fr-FR"/>
              </w:rPr>
              <w:drawing>
                <wp:inline distT="0" distB="0" distL="0" distR="0" wp14:anchorId="19B0F602" wp14:editId="6E3E5966">
                  <wp:extent cx="1368000" cy="1465830"/>
                  <wp:effectExtent l="0" t="0" r="3810" b="0"/>
                  <wp:docPr id="372329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2946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368000" cy="1465830"/>
                          </a:xfrm>
                          <a:prstGeom prst="rect">
                            <a:avLst/>
                          </a:prstGeom>
                          <a:noFill/>
                          <a:ln>
                            <a:noFill/>
                          </a:ln>
                        </pic:spPr>
                      </pic:pic>
                    </a:graphicData>
                  </a:graphic>
                </wp:inline>
              </w:drawing>
            </w:r>
          </w:p>
        </w:tc>
      </w:tr>
    </w:tbl>
    <w:p w14:paraId="32C2DFD3" w14:textId="2548CAC8" w:rsidR="005518C7" w:rsidRPr="00FB2DEE" w:rsidRDefault="005518C7" w:rsidP="000C3AAF">
      <w:pPr>
        <w:pStyle w:val="COMParabodytext"/>
        <w:spacing w:before="120"/>
        <w:rPr>
          <w:lang w:val="fr-FR"/>
        </w:rPr>
      </w:pPr>
      <w:r w:rsidRPr="00FB2DEE">
        <w:rPr>
          <w:lang w:val="fr-FR"/>
        </w:rPr>
        <w:t>Ces logos «</w:t>
      </w:r>
      <w:r w:rsidR="00D958E6" w:rsidRPr="00FB2DEE">
        <w:rPr>
          <w:lang w:val="fr-FR"/>
        </w:rPr>
        <w:t xml:space="preserve"> en soutien </w:t>
      </w:r>
      <w:r w:rsidR="005162EC" w:rsidRPr="00FB2DEE">
        <w:rPr>
          <w:lang w:val="fr-FR"/>
        </w:rPr>
        <w:t>à</w:t>
      </w:r>
      <w:r w:rsidR="00D958E6" w:rsidRPr="00FB2DEE">
        <w:rPr>
          <w:lang w:val="fr-FR"/>
        </w:rPr>
        <w:t xml:space="preserve"> </w:t>
      </w:r>
      <w:r w:rsidRPr="00FB2DEE">
        <w:rPr>
          <w:lang w:val="fr-FR"/>
        </w:rPr>
        <w:t xml:space="preserve">» pour les initiatives susmentionnées ont été mis à disposition en référence aux </w:t>
      </w:r>
      <w:hyperlink r:id="rId23" w:history="1">
        <w:r w:rsidR="00ED34A5" w:rsidRPr="00FB2DEE">
          <w:rPr>
            <w:rStyle w:val="Hyperlink"/>
            <w:lang w:val="fr-FR"/>
          </w:rPr>
          <w:t>Normes graphiques et utilisation du logo de l</w:t>
        </w:r>
        <w:r w:rsidR="00C608C6" w:rsidRPr="00FB2DEE">
          <w:rPr>
            <w:rStyle w:val="Hyperlink"/>
            <w:lang w:val="fr-FR"/>
          </w:rPr>
          <w:t>’</w:t>
        </w:r>
        <w:r w:rsidR="00ED34A5" w:rsidRPr="00FB2DEE">
          <w:rPr>
            <w:rStyle w:val="Hyperlink"/>
            <w:lang w:val="fr-FR"/>
          </w:rPr>
          <w:t>UNESCO</w:t>
        </w:r>
      </w:hyperlink>
      <w:r w:rsidRPr="00FB2DEE">
        <w:rPr>
          <w:lang w:val="fr-FR"/>
        </w:rPr>
        <w:t xml:space="preserve"> (publié</w:t>
      </w:r>
      <w:r w:rsidR="002833B1" w:rsidRPr="00FB2DEE">
        <w:rPr>
          <w:lang w:val="fr-FR"/>
        </w:rPr>
        <w:t>e</w:t>
      </w:r>
      <w:r w:rsidRPr="00FB2DEE">
        <w:rPr>
          <w:lang w:val="fr-FR"/>
        </w:rPr>
        <w:t>s en 2021 pour compléter la résolution 34C/86), qui indique que «</w:t>
      </w:r>
      <w:r w:rsidR="002833B1" w:rsidRPr="00FB2DEE">
        <w:rPr>
          <w:lang w:val="fr-FR"/>
        </w:rPr>
        <w:t>Lorsqu</w:t>
      </w:r>
      <w:r w:rsidR="00C608C6" w:rsidRPr="00FB2DEE">
        <w:rPr>
          <w:lang w:val="fr-FR"/>
        </w:rPr>
        <w:t>’</w:t>
      </w:r>
      <w:r w:rsidR="002833B1" w:rsidRPr="00FB2DEE">
        <w:rPr>
          <w:lang w:val="fr-FR"/>
        </w:rPr>
        <w:t>un organisme ou une marque extérieure souhaite soutenir une initiative de l</w:t>
      </w:r>
      <w:r w:rsidR="00C608C6" w:rsidRPr="00FB2DEE">
        <w:rPr>
          <w:lang w:val="fr-FR"/>
        </w:rPr>
        <w:t>’</w:t>
      </w:r>
      <w:r w:rsidR="002833B1" w:rsidRPr="00FB2DEE">
        <w:rPr>
          <w:lang w:val="fr-FR"/>
        </w:rPr>
        <w:t>UNESCO, elle peut utiliser le bloc logo de l</w:t>
      </w:r>
      <w:r w:rsidR="00C608C6" w:rsidRPr="00FB2DEE">
        <w:rPr>
          <w:lang w:val="fr-FR"/>
        </w:rPr>
        <w:t>’</w:t>
      </w:r>
      <w:r w:rsidR="002833B1" w:rsidRPr="00FB2DEE">
        <w:rPr>
          <w:lang w:val="fr-FR"/>
        </w:rPr>
        <w:t>Organisation à condition d</w:t>
      </w:r>
      <w:r w:rsidR="00C608C6" w:rsidRPr="00FB2DEE">
        <w:rPr>
          <w:lang w:val="fr-FR"/>
        </w:rPr>
        <w:t>’</w:t>
      </w:r>
      <w:r w:rsidR="002833B1" w:rsidRPr="00FB2DEE">
        <w:rPr>
          <w:lang w:val="fr-FR"/>
        </w:rPr>
        <w:t>en avoir préalablement obtenu l</w:t>
      </w:r>
      <w:r w:rsidR="00C608C6" w:rsidRPr="00FB2DEE">
        <w:rPr>
          <w:lang w:val="fr-FR"/>
        </w:rPr>
        <w:t>’</w:t>
      </w:r>
      <w:r w:rsidR="002833B1" w:rsidRPr="00FB2DEE">
        <w:rPr>
          <w:lang w:val="fr-FR"/>
        </w:rPr>
        <w:t>autorisation auprès du Secrétariat. Il lui faudra néanmoins ajouter une mention, telle que définie par l</w:t>
      </w:r>
      <w:r w:rsidR="00C608C6" w:rsidRPr="00FB2DEE">
        <w:rPr>
          <w:lang w:val="fr-FR"/>
        </w:rPr>
        <w:t>’</w:t>
      </w:r>
      <w:r w:rsidR="002833B1" w:rsidRPr="00FB2DEE">
        <w:rPr>
          <w:lang w:val="fr-FR"/>
        </w:rPr>
        <w:t xml:space="preserve">accord (par exemple, </w:t>
      </w:r>
      <w:r w:rsidR="00C608C6" w:rsidRPr="00FB2DEE">
        <w:rPr>
          <w:lang w:val="fr-FR"/>
        </w:rPr>
        <w:t>« </w:t>
      </w:r>
      <w:r w:rsidR="002833B1" w:rsidRPr="00FB2DEE">
        <w:rPr>
          <w:lang w:val="fr-FR"/>
        </w:rPr>
        <w:t>en soutien à l</w:t>
      </w:r>
      <w:r w:rsidR="00C608C6" w:rsidRPr="00FB2DEE">
        <w:rPr>
          <w:lang w:val="fr-FR"/>
        </w:rPr>
        <w:t>’</w:t>
      </w:r>
      <w:r w:rsidR="002833B1" w:rsidRPr="00FB2DEE">
        <w:rPr>
          <w:lang w:val="fr-FR"/>
        </w:rPr>
        <w:t>UNESCO</w:t>
      </w:r>
      <w:r w:rsidR="0058171E" w:rsidRPr="00FB2DEE">
        <w:rPr>
          <w:lang w:val="fr-FR"/>
        </w:rPr>
        <w:t> »</w:t>
      </w:r>
      <w:r w:rsidR="002833B1" w:rsidRPr="00FB2DEE">
        <w:rPr>
          <w:lang w:val="fr-FR"/>
        </w:rPr>
        <w:t xml:space="preserve">. </w:t>
      </w:r>
      <w:r w:rsidRPr="00FB2DEE">
        <w:rPr>
          <w:lang w:val="fr-FR"/>
        </w:rPr>
        <w:t>Le logo «</w:t>
      </w:r>
      <w:r w:rsidR="0058171E" w:rsidRPr="00FB2DEE">
        <w:rPr>
          <w:lang w:val="fr-FR"/>
        </w:rPr>
        <w:t xml:space="preserve"> </w:t>
      </w:r>
      <w:r w:rsidRPr="00FB2DEE">
        <w:rPr>
          <w:lang w:val="fr-FR"/>
        </w:rPr>
        <w:t xml:space="preserve">en soutien </w:t>
      </w:r>
      <w:r w:rsidR="0058171E" w:rsidRPr="00FB2DEE">
        <w:rPr>
          <w:lang w:val="fr-FR"/>
        </w:rPr>
        <w:t>à</w:t>
      </w:r>
      <w:r w:rsidRPr="00FB2DEE">
        <w:rPr>
          <w:lang w:val="fr-FR"/>
        </w:rPr>
        <w:t xml:space="preserve"> », comme son nom l</w:t>
      </w:r>
      <w:r w:rsidR="00C608C6" w:rsidRPr="00FB2DEE">
        <w:rPr>
          <w:lang w:val="fr-FR"/>
        </w:rPr>
        <w:t>’</w:t>
      </w:r>
      <w:r w:rsidRPr="00FB2DEE">
        <w:rPr>
          <w:lang w:val="fr-FR"/>
        </w:rPr>
        <w:t>indique, permet aux entités autorisées à l</w:t>
      </w:r>
      <w:r w:rsidR="00C608C6" w:rsidRPr="00FB2DEE">
        <w:rPr>
          <w:lang w:val="fr-FR"/>
        </w:rPr>
        <w:t>’</w:t>
      </w:r>
      <w:r w:rsidRPr="00FB2DEE">
        <w:rPr>
          <w:lang w:val="fr-FR"/>
        </w:rPr>
        <w:t>utiliser d</w:t>
      </w:r>
      <w:r w:rsidR="00C608C6" w:rsidRPr="00FB2DEE">
        <w:rPr>
          <w:lang w:val="fr-FR"/>
        </w:rPr>
        <w:t>’</w:t>
      </w:r>
      <w:r w:rsidRPr="00FB2DEE">
        <w:rPr>
          <w:lang w:val="fr-FR"/>
        </w:rPr>
        <w:t>exprimer leur soutien aux programmes et activités de la Convention de 2003. Il ne signifie pas que l</w:t>
      </w:r>
      <w:r w:rsidR="00C608C6" w:rsidRPr="00FB2DEE">
        <w:rPr>
          <w:lang w:val="fr-FR"/>
        </w:rPr>
        <w:t>’</w:t>
      </w:r>
      <w:r w:rsidRPr="00FB2DEE">
        <w:rPr>
          <w:lang w:val="fr-FR"/>
        </w:rPr>
        <w:t>UNESCO approuve les activités couvertes par le logo. En outre, il ne doit pas être utilisé pour obtenir des gains commerciaux ou financiers.</w:t>
      </w:r>
    </w:p>
    <w:p w14:paraId="79116589" w14:textId="77777777" w:rsidR="005518C7" w:rsidRPr="00FB2DEE" w:rsidRDefault="005518C7" w:rsidP="005518C7">
      <w:pPr>
        <w:pStyle w:val="COMParabodytext"/>
        <w:numPr>
          <w:ilvl w:val="0"/>
          <w:numId w:val="0"/>
        </w:numPr>
        <w:rPr>
          <w:b/>
          <w:bCs/>
          <w:lang w:val="fr-FR"/>
        </w:rPr>
      </w:pPr>
      <w:r w:rsidRPr="00FB2DEE">
        <w:rPr>
          <w:b/>
          <w:bCs/>
          <w:lang w:val="fr-FR"/>
        </w:rPr>
        <w:t>Voies à suivre</w:t>
      </w:r>
    </w:p>
    <w:p w14:paraId="314B52A7" w14:textId="24AD6D17" w:rsidR="00A24C78" w:rsidRPr="00FB2DEE" w:rsidRDefault="00FB2DEE" w:rsidP="005518C7">
      <w:pPr>
        <w:pStyle w:val="COMParabodytext"/>
        <w:rPr>
          <w:lang w:val="fr-FR"/>
        </w:rPr>
      </w:pPr>
      <w:r>
        <w:rPr>
          <w:lang w:val="fr-FR"/>
        </w:rPr>
        <w:t xml:space="preserve">Sur la base des expériences mentionnées ci-dessus, le Bureau pourrait souhaiter encourager le Secrétariat à explorer davantage </w:t>
      </w:r>
      <w:r w:rsidR="00A24C78" w:rsidRPr="00FB2DEE">
        <w:rPr>
          <w:lang w:val="fr-FR"/>
        </w:rPr>
        <w:t>les conditions d</w:t>
      </w:r>
      <w:r w:rsidR="00C608C6" w:rsidRPr="00FB2DEE">
        <w:rPr>
          <w:lang w:val="fr-FR"/>
        </w:rPr>
        <w:t>’</w:t>
      </w:r>
      <w:r w:rsidR="00A24C78" w:rsidRPr="00FB2DEE">
        <w:rPr>
          <w:lang w:val="fr-FR"/>
        </w:rPr>
        <w:t>utilisation</w:t>
      </w:r>
      <w:r>
        <w:rPr>
          <w:lang w:val="fr-FR"/>
        </w:rPr>
        <w:t xml:space="preserve"> permanente</w:t>
      </w:r>
      <w:r w:rsidR="00A24C78" w:rsidRPr="00FB2DEE">
        <w:rPr>
          <w:lang w:val="fr-FR"/>
        </w:rPr>
        <w:t xml:space="preserve"> de l</w:t>
      </w:r>
      <w:r w:rsidR="00C608C6" w:rsidRPr="00FB2DEE">
        <w:rPr>
          <w:lang w:val="fr-FR"/>
        </w:rPr>
        <w:t>’</w:t>
      </w:r>
      <w:r w:rsidR="00A24C78" w:rsidRPr="00FB2DEE">
        <w:rPr>
          <w:lang w:val="fr-FR"/>
        </w:rPr>
        <w:t>emblème de la Convention par les communautés, les groupes et, le cas échéant, les individus souhaitant entreprendre des programmes et des activités de sauvegarde et de promotion de leur patrimoine culturel, en particulier ceux inscrits sur la Liste de sauvegarde urgente ou sur la Liste représentative et au sens des paragraphes 133 et 139 des Directives opérationnelles de la Convention. Une telle initiative permettrait de bénéficier des enseignements tirés des autres conventions et programmes de l</w:t>
      </w:r>
      <w:r w:rsidR="00C608C6" w:rsidRPr="00FB2DEE">
        <w:rPr>
          <w:lang w:val="fr-FR"/>
        </w:rPr>
        <w:t>’</w:t>
      </w:r>
      <w:r w:rsidR="00A24C78" w:rsidRPr="00FB2DEE">
        <w:rPr>
          <w:lang w:val="fr-FR"/>
        </w:rPr>
        <w:t>UNESCO dans le domaine de la culture et au-delà.</w:t>
      </w:r>
    </w:p>
    <w:p w14:paraId="13073FE4" w14:textId="0CC7262D" w:rsidR="007E60C6" w:rsidRPr="00FB2DEE" w:rsidRDefault="007E60C6" w:rsidP="007E60C6">
      <w:pPr>
        <w:pStyle w:val="COMParabodytext"/>
        <w:rPr>
          <w:lang w:val="fr-FR"/>
        </w:rPr>
      </w:pPr>
      <w:r w:rsidRPr="00FB2DEE">
        <w:rPr>
          <w:rFonts w:eastAsia="SimSun"/>
          <w:lang w:val="fr-FR"/>
        </w:rPr>
        <w:t xml:space="preserve">Le </w:t>
      </w:r>
      <w:r w:rsidR="000968FB" w:rsidRPr="00FB2DEE">
        <w:rPr>
          <w:rFonts w:eastAsia="SimSun"/>
          <w:lang w:val="fr-FR"/>
        </w:rPr>
        <w:t>Bureau</w:t>
      </w:r>
      <w:r w:rsidRPr="00FB2DEE">
        <w:rPr>
          <w:rFonts w:eastAsia="SimSun"/>
          <w:lang w:val="fr-FR"/>
        </w:rPr>
        <w:t xml:space="preserve"> </w:t>
      </w:r>
      <w:r w:rsidR="002C1011" w:rsidRPr="00FB2DEE">
        <w:rPr>
          <w:lang w:val="fr-FR"/>
        </w:rPr>
        <w:t xml:space="preserve">du Comité intergouvernemental </w:t>
      </w:r>
      <w:r w:rsidRPr="00FB2DEE">
        <w:rPr>
          <w:rFonts w:eastAsia="SimSun"/>
          <w:lang w:val="fr-FR"/>
        </w:rPr>
        <w:t>souhaitera peut-être adopter la décision suivante :</w:t>
      </w:r>
    </w:p>
    <w:p w14:paraId="182ADC81" w14:textId="6929B14B" w:rsidR="007E60C6" w:rsidRPr="00FB2DEE" w:rsidRDefault="007E60C6" w:rsidP="007E60C6">
      <w:pPr>
        <w:pStyle w:val="GATitleResolution"/>
      </w:pPr>
      <w:r w:rsidRPr="00FB2DEE">
        <w:t>PROJET DE DÉCISION 1</w:t>
      </w:r>
      <w:r w:rsidR="002137DD" w:rsidRPr="00FB2DEE">
        <w:t>9</w:t>
      </w:r>
      <w:r w:rsidRPr="00FB2DEE">
        <w:t>.</w:t>
      </w:r>
      <w:r w:rsidR="00AC4027" w:rsidRPr="00FB2DEE">
        <w:t>COM </w:t>
      </w:r>
      <w:r w:rsidR="00B607FC" w:rsidRPr="00FB2DEE">
        <w:t>3</w:t>
      </w:r>
      <w:r w:rsidR="00AC4027" w:rsidRPr="00FB2DEE">
        <w:t>.BUR</w:t>
      </w:r>
      <w:r w:rsidR="005518C7" w:rsidRPr="00FB2DEE">
        <w:t xml:space="preserve"> 6</w:t>
      </w:r>
    </w:p>
    <w:p w14:paraId="3F5A1010" w14:textId="1D90C0B9" w:rsidR="007E60C6" w:rsidRPr="00FB2DEE" w:rsidRDefault="007E60C6" w:rsidP="007E60C6">
      <w:pPr>
        <w:pStyle w:val="COMPreambulaDecision"/>
      </w:pPr>
      <w:r w:rsidRPr="00FB2DEE">
        <w:t xml:space="preserve">Le </w:t>
      </w:r>
      <w:r w:rsidR="000968FB" w:rsidRPr="00FB2DEE">
        <w:t>Bureau</w:t>
      </w:r>
      <w:r w:rsidRPr="00FB2DEE">
        <w:t>,</w:t>
      </w:r>
    </w:p>
    <w:p w14:paraId="7D270F6C" w14:textId="1D18FDC2" w:rsidR="007E60C6" w:rsidRPr="00FB2DEE" w:rsidRDefault="007E60C6" w:rsidP="007E60C6">
      <w:pPr>
        <w:pStyle w:val="COMParaDecision"/>
        <w:jc w:val="left"/>
      </w:pPr>
      <w:r w:rsidRPr="00FB2DEE">
        <w:t>Ayant examiné</w:t>
      </w:r>
      <w:r w:rsidRPr="00FB2DEE">
        <w:rPr>
          <w:u w:val="none"/>
        </w:rPr>
        <w:t xml:space="preserve"> le document LHE/</w:t>
      </w:r>
      <w:r w:rsidR="00D520C1" w:rsidRPr="00FB2DEE">
        <w:rPr>
          <w:u w:val="none"/>
        </w:rPr>
        <w:t>2</w:t>
      </w:r>
      <w:r w:rsidR="002137DD" w:rsidRPr="00FB2DEE">
        <w:rPr>
          <w:u w:val="none"/>
        </w:rPr>
        <w:t>4</w:t>
      </w:r>
      <w:r w:rsidRPr="00FB2DEE">
        <w:rPr>
          <w:u w:val="none"/>
        </w:rPr>
        <w:t>/1</w:t>
      </w:r>
      <w:r w:rsidR="002137DD" w:rsidRPr="00FB2DEE">
        <w:rPr>
          <w:u w:val="none"/>
        </w:rPr>
        <w:t>9</w:t>
      </w:r>
      <w:r w:rsidRPr="00FB2DEE">
        <w:rPr>
          <w:u w:val="none"/>
        </w:rPr>
        <w:t>.</w:t>
      </w:r>
      <w:r w:rsidR="00AC4027" w:rsidRPr="00FB2DEE">
        <w:rPr>
          <w:u w:val="none"/>
        </w:rPr>
        <w:t>COM </w:t>
      </w:r>
      <w:r w:rsidR="00B607FC" w:rsidRPr="00FB2DEE">
        <w:rPr>
          <w:u w:val="none"/>
        </w:rPr>
        <w:t>3</w:t>
      </w:r>
      <w:r w:rsidR="00AC4027" w:rsidRPr="00FB2DEE">
        <w:rPr>
          <w:u w:val="none"/>
        </w:rPr>
        <w:t>.BUR/</w:t>
      </w:r>
      <w:r w:rsidR="005518C7" w:rsidRPr="00FB2DEE">
        <w:rPr>
          <w:u w:val="none"/>
        </w:rPr>
        <w:t>6</w:t>
      </w:r>
      <w:r w:rsidR="009B223B" w:rsidRPr="00FB2DEE">
        <w:rPr>
          <w:u w:val="none"/>
        </w:rPr>
        <w:t>,</w:t>
      </w:r>
    </w:p>
    <w:p w14:paraId="301BCEC7" w14:textId="4CA77661" w:rsidR="005518C7" w:rsidRPr="00FB2DEE" w:rsidRDefault="005518C7" w:rsidP="005518C7">
      <w:pPr>
        <w:pStyle w:val="COMParaDecision"/>
        <w:rPr>
          <w:u w:val="none"/>
        </w:rPr>
      </w:pPr>
      <w:r w:rsidRPr="00FB2DEE">
        <w:t>Rappelant</w:t>
      </w:r>
      <w:r w:rsidRPr="00FB2DEE">
        <w:rPr>
          <w:u w:val="none"/>
        </w:rPr>
        <w:t xml:space="preserve"> la résolution 34C/86 et </w:t>
      </w:r>
      <w:r w:rsidR="00C608C6" w:rsidRPr="00FB2DEE">
        <w:rPr>
          <w:u w:val="none"/>
        </w:rPr>
        <w:t>les</w:t>
      </w:r>
      <w:r w:rsidRPr="00FB2DEE">
        <w:rPr>
          <w:u w:val="none"/>
        </w:rPr>
        <w:t xml:space="preserve"> normes graphiques et </w:t>
      </w:r>
      <w:r w:rsidR="00C608C6" w:rsidRPr="00FB2DEE">
        <w:rPr>
          <w:u w:val="none"/>
        </w:rPr>
        <w:t xml:space="preserve">utilisation </w:t>
      </w:r>
      <w:r w:rsidRPr="00FB2DEE">
        <w:rPr>
          <w:u w:val="none"/>
        </w:rPr>
        <w:t>du logo (2021) ainsi que le sous-chapitre IV (en particulier les paragraphes 133 et 139) des Directives opérationnelles,</w:t>
      </w:r>
    </w:p>
    <w:p w14:paraId="35D872EC" w14:textId="18A77793" w:rsidR="005518C7" w:rsidRPr="00FB2DEE" w:rsidRDefault="005518C7" w:rsidP="005518C7">
      <w:pPr>
        <w:pStyle w:val="COMParaDecision"/>
      </w:pPr>
      <w:r w:rsidRPr="00FB2DEE">
        <w:t xml:space="preserve">Rappelant </w:t>
      </w:r>
      <w:r w:rsidR="00A24C78" w:rsidRPr="00FB2DEE">
        <w:t>en outre</w:t>
      </w:r>
      <w:r w:rsidR="00A24C78" w:rsidRPr="00FB2DEE">
        <w:rPr>
          <w:u w:val="none"/>
        </w:rPr>
        <w:t xml:space="preserve"> </w:t>
      </w:r>
      <w:r w:rsidRPr="00FB2DEE">
        <w:rPr>
          <w:u w:val="none"/>
        </w:rPr>
        <w:t xml:space="preserve">les résolutions </w:t>
      </w:r>
      <w:hyperlink r:id="rId24" w:history="1">
        <w:r w:rsidRPr="00FB2DEE">
          <w:rPr>
            <w:rStyle w:val="Hyperlink"/>
          </w:rPr>
          <w:t>2</w:t>
        </w:r>
        <w:r w:rsidR="00A24C78" w:rsidRPr="00FB2DEE">
          <w:rPr>
            <w:rStyle w:val="Hyperlink"/>
          </w:rPr>
          <w:t>.</w:t>
        </w:r>
        <w:r w:rsidRPr="00FB2DEE">
          <w:rPr>
            <w:rStyle w:val="Hyperlink"/>
          </w:rPr>
          <w:t>GA 9.bis</w:t>
        </w:r>
      </w:hyperlink>
      <w:r w:rsidRPr="00FB2DEE">
        <w:rPr>
          <w:u w:val="none"/>
        </w:rPr>
        <w:t xml:space="preserve">, </w:t>
      </w:r>
      <w:hyperlink r:id="rId25" w:history="1">
        <w:r w:rsidRPr="00FB2DEE">
          <w:rPr>
            <w:rStyle w:val="Hyperlink"/>
          </w:rPr>
          <w:t>9.GA 13</w:t>
        </w:r>
      </w:hyperlink>
      <w:r w:rsidRPr="00FB2DEE">
        <w:rPr>
          <w:u w:val="none"/>
        </w:rPr>
        <w:t xml:space="preserve"> et </w:t>
      </w:r>
      <w:hyperlink r:id="rId26" w:history="1">
        <w:r w:rsidRPr="00FB2DEE">
          <w:rPr>
            <w:rStyle w:val="Hyperlink"/>
          </w:rPr>
          <w:t>10.GA 10</w:t>
        </w:r>
      </w:hyperlink>
      <w:r w:rsidRPr="00FB2DEE">
        <w:rPr>
          <w:u w:val="none"/>
        </w:rPr>
        <w:t xml:space="preserve">, et les décisions </w:t>
      </w:r>
      <w:hyperlink r:id="rId27" w:history="1">
        <w:r w:rsidRPr="00FB2DEE">
          <w:rPr>
            <w:rStyle w:val="Hyperlink"/>
          </w:rPr>
          <w:t>1.EXT.COM 8</w:t>
        </w:r>
      </w:hyperlink>
      <w:r w:rsidRPr="00FB2DEE">
        <w:rPr>
          <w:u w:val="none"/>
        </w:rPr>
        <w:t xml:space="preserve">, </w:t>
      </w:r>
      <w:hyperlink r:id="rId28" w:history="1">
        <w:r w:rsidRPr="00FB2DEE">
          <w:rPr>
            <w:rStyle w:val="Hyperlink"/>
          </w:rPr>
          <w:t>2.COM 13</w:t>
        </w:r>
      </w:hyperlink>
      <w:r w:rsidRPr="00FB2DEE">
        <w:rPr>
          <w:u w:val="none"/>
        </w:rPr>
        <w:t xml:space="preserve"> et </w:t>
      </w:r>
      <w:hyperlink r:id="rId29" w:history="1">
        <w:r w:rsidRPr="00FB2DEE">
          <w:rPr>
            <w:rStyle w:val="Hyperlink"/>
          </w:rPr>
          <w:t>7.COM 13.d</w:t>
        </w:r>
      </w:hyperlink>
      <w:r w:rsidRPr="00FB2DEE">
        <w:rPr>
          <w:u w:val="none"/>
        </w:rPr>
        <w:t>,</w:t>
      </w:r>
    </w:p>
    <w:p w14:paraId="4BBD9E47" w14:textId="6851CCCB" w:rsidR="005518C7" w:rsidRPr="00FB2DEE" w:rsidRDefault="005518C7" w:rsidP="005518C7">
      <w:pPr>
        <w:pStyle w:val="COMParaDecision"/>
      </w:pPr>
      <w:r w:rsidRPr="00FB2DEE">
        <w:t>Prenant note</w:t>
      </w:r>
      <w:r w:rsidRPr="00FB2DEE">
        <w:rPr>
          <w:u w:val="none"/>
        </w:rPr>
        <w:t xml:space="preserve"> des demandes régulières de</w:t>
      </w:r>
      <w:r w:rsidR="00977324" w:rsidRPr="00FB2DEE">
        <w:rPr>
          <w:u w:val="none"/>
        </w:rPr>
        <w:t>s</w:t>
      </w:r>
      <w:r w:rsidRPr="00FB2DEE">
        <w:rPr>
          <w:u w:val="none"/>
        </w:rPr>
        <w:t xml:space="preserve"> communautés, groupes et individus souhaitant utiliser l</w:t>
      </w:r>
      <w:r w:rsidR="00C608C6" w:rsidRPr="00FB2DEE">
        <w:rPr>
          <w:u w:val="none"/>
        </w:rPr>
        <w:t>’</w:t>
      </w:r>
      <w:r w:rsidRPr="00FB2DEE">
        <w:rPr>
          <w:u w:val="none"/>
        </w:rPr>
        <w:t>emblème de la Convention pour sauvegarder et promouvoir leur patrimoine culturel immatériel, en particulier en ce qui concerne les éléments inscrits sur la Liste de sauvegarde urgente ou la Liste représentative</w:t>
      </w:r>
      <w:r w:rsidR="00C608C6" w:rsidRPr="00FB2DEE">
        <w:rPr>
          <w:u w:val="none"/>
        </w:rPr>
        <w:t>,</w:t>
      </w:r>
    </w:p>
    <w:p w14:paraId="446DDBC4" w14:textId="252A7093" w:rsidR="005518C7" w:rsidRPr="00FB2DEE" w:rsidRDefault="005518C7" w:rsidP="005518C7">
      <w:pPr>
        <w:pStyle w:val="COMParaDecision"/>
        <w:rPr>
          <w:u w:val="none"/>
        </w:rPr>
      </w:pPr>
      <w:r w:rsidRPr="00FB2DEE">
        <w:t>Considère</w:t>
      </w:r>
      <w:r w:rsidRPr="00FB2DEE">
        <w:rPr>
          <w:u w:val="none"/>
        </w:rPr>
        <w:t xml:space="preserve"> que les expériences acquises à travers les campagnes de communication menées dans le cadre du vingtième anniversaire de la Convention en 2023 et de la première Journée internationale du patrimoine culturel immatériel fournissent des exemples précieux de logos « en soutien à » qui incluent l</w:t>
      </w:r>
      <w:r w:rsidR="00C608C6" w:rsidRPr="00FB2DEE">
        <w:rPr>
          <w:u w:val="none"/>
        </w:rPr>
        <w:t>’</w:t>
      </w:r>
      <w:r w:rsidRPr="00FB2DEE">
        <w:rPr>
          <w:u w:val="none"/>
        </w:rPr>
        <w:t>emblème de la Convention ;</w:t>
      </w:r>
    </w:p>
    <w:p w14:paraId="4CE790BE" w14:textId="031C8A27" w:rsidR="005518C7" w:rsidRPr="00FB2DEE" w:rsidRDefault="00A24C78" w:rsidP="00A24C78">
      <w:pPr>
        <w:pStyle w:val="COMParaDecision"/>
        <w:tabs>
          <w:tab w:val="left" w:pos="3240"/>
        </w:tabs>
        <w:rPr>
          <w:u w:val="none"/>
        </w:rPr>
      </w:pPr>
      <w:r w:rsidRPr="00FB2DEE">
        <w:t>Encourage</w:t>
      </w:r>
      <w:r w:rsidRPr="00FB2DEE">
        <w:rPr>
          <w:u w:val="none"/>
        </w:rPr>
        <w:t xml:space="preserve"> le Secrétariat à continuer d</w:t>
      </w:r>
      <w:r w:rsidR="00C608C6" w:rsidRPr="00FB2DEE">
        <w:rPr>
          <w:u w:val="none"/>
        </w:rPr>
        <w:t>’</w:t>
      </w:r>
      <w:r w:rsidRPr="00FB2DEE">
        <w:rPr>
          <w:u w:val="none"/>
        </w:rPr>
        <w:t>explorer les moyens d</w:t>
      </w:r>
      <w:r w:rsidR="00C608C6" w:rsidRPr="00FB2DEE">
        <w:rPr>
          <w:u w:val="none"/>
        </w:rPr>
        <w:t>’</w:t>
      </w:r>
      <w:r w:rsidRPr="00FB2DEE">
        <w:rPr>
          <w:u w:val="none"/>
        </w:rPr>
        <w:t>améliorer l</w:t>
      </w:r>
      <w:r w:rsidR="00C608C6" w:rsidRPr="00FB2DEE">
        <w:rPr>
          <w:u w:val="none"/>
        </w:rPr>
        <w:t>’</w:t>
      </w:r>
      <w:r w:rsidRPr="00FB2DEE">
        <w:rPr>
          <w:u w:val="none"/>
        </w:rPr>
        <w:t>accessibilité de l</w:t>
      </w:r>
      <w:r w:rsidR="00C608C6" w:rsidRPr="00FB2DEE">
        <w:rPr>
          <w:u w:val="none"/>
        </w:rPr>
        <w:t>’</w:t>
      </w:r>
      <w:r w:rsidRPr="00FB2DEE">
        <w:rPr>
          <w:u w:val="none"/>
        </w:rPr>
        <w:t xml:space="preserve">emblème de la Convention et </w:t>
      </w:r>
      <w:r w:rsidRPr="00FB2DEE">
        <w:t>demande</w:t>
      </w:r>
      <w:r w:rsidRPr="00FB2DEE">
        <w:rPr>
          <w:u w:val="none"/>
        </w:rPr>
        <w:t xml:space="preserve"> qu</w:t>
      </w:r>
      <w:r w:rsidR="00C608C6" w:rsidRPr="00FB2DEE">
        <w:rPr>
          <w:u w:val="none"/>
        </w:rPr>
        <w:t>’</w:t>
      </w:r>
      <w:r w:rsidRPr="00FB2DEE">
        <w:rPr>
          <w:u w:val="none"/>
        </w:rPr>
        <w:t xml:space="preserve">il soit fait rapport des progrès en la </w:t>
      </w:r>
      <w:r w:rsidR="00FB2DEE" w:rsidRPr="00FB2DEE">
        <w:rPr>
          <w:u w:val="none"/>
        </w:rPr>
        <w:t>matière lors</w:t>
      </w:r>
      <w:r w:rsidRPr="00FB2DEE">
        <w:rPr>
          <w:u w:val="none"/>
        </w:rPr>
        <w:t xml:space="preserve"> d</w:t>
      </w:r>
      <w:r w:rsidR="00C608C6" w:rsidRPr="00FB2DEE">
        <w:rPr>
          <w:u w:val="none"/>
        </w:rPr>
        <w:t>’</w:t>
      </w:r>
      <w:r w:rsidRPr="00FB2DEE">
        <w:rPr>
          <w:u w:val="none"/>
        </w:rPr>
        <w:t>une prochaine réunion du Bureau.</w:t>
      </w:r>
    </w:p>
    <w:sectPr w:rsidR="005518C7" w:rsidRPr="00FB2DEE" w:rsidSect="00655736">
      <w:headerReference w:type="even" r:id="rId30"/>
      <w:headerReference w:type="default" r:id="rId31"/>
      <w:headerReference w:type="first" r:id="rId3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5C5C" w14:textId="6E52FCE7" w:rsidR="006B5001" w:rsidRPr="00AC4027" w:rsidRDefault="008F09EC" w:rsidP="00461168">
    <w:pPr>
      <w:pStyle w:val="Header"/>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2137DD">
      <w:rPr>
        <w:rFonts w:ascii="Arial" w:hAnsi="Arial" w:cs="Arial"/>
        <w:sz w:val="20"/>
        <w:szCs w:val="20"/>
      </w:rPr>
      <w:t>4</w:t>
    </w:r>
    <w:r w:rsidRPr="00AC4027">
      <w:rPr>
        <w:rFonts w:ascii="Arial" w:hAnsi="Arial" w:cs="Arial"/>
        <w:sz w:val="20"/>
        <w:szCs w:val="20"/>
      </w:rPr>
      <w:t>/1</w:t>
    </w:r>
    <w:r w:rsidR="002137DD">
      <w:rPr>
        <w:rFonts w:ascii="Arial" w:hAnsi="Arial" w:cs="Arial"/>
        <w:sz w:val="20"/>
        <w:szCs w:val="20"/>
      </w:rPr>
      <w:t>9</w:t>
    </w:r>
    <w:r w:rsidRPr="00AC4027">
      <w:rPr>
        <w:rFonts w:ascii="Arial" w:hAnsi="Arial" w:cs="Arial"/>
        <w:sz w:val="20"/>
        <w:szCs w:val="20"/>
      </w:rPr>
      <w:t>.</w:t>
    </w:r>
    <w:r w:rsidR="00AC4027">
      <w:rPr>
        <w:rFonts w:ascii="Arial" w:hAnsi="Arial" w:cs="Arial"/>
        <w:sz w:val="20"/>
        <w:szCs w:val="20"/>
      </w:rPr>
      <w:t>COM </w:t>
    </w:r>
    <w:r w:rsidR="00B607FC">
      <w:rPr>
        <w:rFonts w:ascii="Arial" w:hAnsi="Arial" w:cs="Arial"/>
        <w:sz w:val="20"/>
        <w:szCs w:val="20"/>
      </w:rPr>
      <w:t>3</w:t>
    </w:r>
    <w:r w:rsidR="00AC4027" w:rsidRPr="0036787A">
      <w:rPr>
        <w:rFonts w:ascii="Arial" w:hAnsi="Arial" w:cs="Arial"/>
        <w:sz w:val="20"/>
        <w:szCs w:val="20"/>
      </w:rPr>
      <w:t>.BUR/</w:t>
    </w:r>
    <w:r w:rsidR="00DA284E">
      <w:rPr>
        <w:rFonts w:ascii="Arial" w:hAnsi="Arial" w:cs="Arial"/>
        <w:sz w:val="20"/>
        <w:szCs w:val="20"/>
      </w:rPr>
      <w:t>6</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PageNumber"/>
        <w:rFonts w:ascii="Arial" w:hAnsi="Arial" w:cs="Arial"/>
        <w:sz w:val="20"/>
        <w:szCs w:val="20"/>
      </w:rPr>
      <w:fldChar w:fldCharType="begin"/>
    </w:r>
    <w:r w:rsidR="00E9376C" w:rsidRPr="00AC4027">
      <w:rPr>
        <w:rStyle w:val="PageNumber"/>
        <w:rFonts w:ascii="Arial" w:hAnsi="Arial" w:cs="Arial"/>
        <w:sz w:val="20"/>
        <w:szCs w:val="20"/>
      </w:rPr>
      <w:instrText xml:space="preserve"> PAGE </w:instrText>
    </w:r>
    <w:r w:rsidR="00E9376C" w:rsidRPr="00EF563B">
      <w:rPr>
        <w:rStyle w:val="PageNumber"/>
        <w:rFonts w:ascii="Arial" w:hAnsi="Arial" w:cs="Arial"/>
        <w:sz w:val="20"/>
        <w:szCs w:val="20"/>
      </w:rPr>
      <w:fldChar w:fldCharType="separate"/>
    </w:r>
    <w:r w:rsidR="009B223B" w:rsidRPr="00AC4027">
      <w:rPr>
        <w:rStyle w:val="PageNumber"/>
        <w:rFonts w:ascii="Arial" w:hAnsi="Arial" w:cs="Arial"/>
        <w:noProof/>
        <w:sz w:val="20"/>
        <w:szCs w:val="20"/>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0CBE" w14:textId="5F1ABA29"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DC2A0B">
      <w:rPr>
        <w:rFonts w:ascii="Arial" w:hAnsi="Arial" w:cs="Arial"/>
        <w:sz w:val="20"/>
        <w:szCs w:val="20"/>
        <w:lang w:val="en-US"/>
      </w:rPr>
      <w:t>24</w:t>
    </w:r>
    <w:r w:rsidR="00EF74E3">
      <w:rPr>
        <w:rFonts w:ascii="Arial" w:hAnsi="Arial" w:cs="Arial"/>
        <w:sz w:val="20"/>
        <w:szCs w:val="20"/>
        <w:lang w:val="en-US"/>
      </w:rPr>
      <w:t>/1</w:t>
    </w:r>
    <w:r w:rsidR="002137DD">
      <w:rPr>
        <w:rFonts w:ascii="Arial" w:hAnsi="Arial" w:cs="Arial"/>
        <w:sz w:val="20"/>
        <w:szCs w:val="20"/>
        <w:lang w:val="en-US"/>
      </w:rPr>
      <w:t>9</w:t>
    </w:r>
    <w:r>
      <w:rPr>
        <w:rFonts w:ascii="Arial" w:hAnsi="Arial" w:cs="Arial"/>
        <w:sz w:val="20"/>
        <w:szCs w:val="20"/>
        <w:lang w:val="en-US"/>
      </w:rPr>
      <w:t>.COM</w:t>
    </w:r>
    <w:r w:rsidR="00130D3D">
      <w:rPr>
        <w:rFonts w:ascii="Arial" w:hAnsi="Arial" w:cs="Arial"/>
        <w:sz w:val="20"/>
        <w:szCs w:val="20"/>
      </w:rPr>
      <w:t> </w:t>
    </w:r>
    <w:r w:rsidR="00C608C6">
      <w:rPr>
        <w:rFonts w:ascii="Arial" w:hAnsi="Arial" w:cs="Arial"/>
        <w:sz w:val="20"/>
        <w:szCs w:val="20"/>
      </w:rPr>
      <w:t>3</w:t>
    </w:r>
    <w:r w:rsidR="00130D3D" w:rsidRPr="0036787A">
      <w:rPr>
        <w:rFonts w:ascii="Arial" w:hAnsi="Arial" w:cs="Arial"/>
        <w:sz w:val="20"/>
        <w:szCs w:val="20"/>
      </w:rPr>
      <w:t>.BUR</w:t>
    </w:r>
    <w:r w:rsidR="002C0D14">
      <w:rPr>
        <w:rFonts w:ascii="Arial" w:hAnsi="Arial" w:cs="Arial"/>
        <w:sz w:val="20"/>
        <w:szCs w:val="20"/>
        <w:lang w:val="en-US"/>
      </w:rPr>
      <w:t>/</w:t>
    </w:r>
    <w:r w:rsidR="00DA284E">
      <w:rPr>
        <w:rFonts w:ascii="Arial" w:hAnsi="Arial" w:cs="Arial"/>
        <w:sz w:val="20"/>
        <w:szCs w:val="20"/>
        <w:lang w:val="en-US"/>
      </w:rPr>
      <w:t>6</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38EC575D" w:rsidR="00AC4027" w:rsidRPr="00D7105A" w:rsidRDefault="00AC4027" w:rsidP="00AC4027">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F13192">
      <w:rPr>
        <w:rFonts w:ascii="Arial" w:hAnsi="Arial" w:cs="Arial"/>
        <w:b/>
        <w:sz w:val="44"/>
        <w:szCs w:val="44"/>
        <w:lang w:val="pt-PT"/>
      </w:rPr>
      <w:t>9</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B607FC">
      <w:rPr>
        <w:rFonts w:ascii="Arial" w:hAnsi="Arial" w:cs="Arial"/>
        <w:b/>
        <w:sz w:val="44"/>
        <w:szCs w:val="44"/>
        <w:lang w:val="pt-PT"/>
      </w:rPr>
      <w:t>3</w:t>
    </w:r>
    <w:r w:rsidRPr="00232D65">
      <w:rPr>
        <w:rFonts w:ascii="Arial" w:hAnsi="Arial" w:cs="Arial"/>
        <w:b/>
        <w:sz w:val="44"/>
        <w:szCs w:val="44"/>
        <w:lang w:val="pt-PT"/>
      </w:rPr>
      <w:t xml:space="preserve"> BUR</w:t>
    </w:r>
  </w:p>
  <w:p w14:paraId="4AD38C3D" w14:textId="3CDD738E"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F13192">
      <w:rPr>
        <w:rFonts w:ascii="Arial" w:hAnsi="Arial" w:cs="Arial"/>
        <w:b/>
        <w:sz w:val="22"/>
        <w:szCs w:val="22"/>
        <w:lang w:val="pt-PT"/>
      </w:rPr>
      <w:t>24</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2B0CB6">
      <w:rPr>
        <w:rFonts w:ascii="Arial" w:hAnsi="Arial" w:cs="Arial"/>
        <w:b/>
        <w:sz w:val="22"/>
        <w:szCs w:val="22"/>
        <w:lang w:val="pt-PT"/>
      </w:rPr>
      <w:t>9</w:t>
    </w:r>
    <w:r w:rsidR="00E9376C" w:rsidRPr="00C318BF">
      <w:rPr>
        <w:rFonts w:ascii="Arial" w:hAnsi="Arial" w:cs="Arial"/>
        <w:b/>
        <w:sz w:val="22"/>
        <w:szCs w:val="22"/>
        <w:lang w:val="pt-PT"/>
      </w:rPr>
      <w:t>.</w:t>
    </w:r>
    <w:r w:rsidR="00AC4027" w:rsidRPr="00F72876">
      <w:rPr>
        <w:rFonts w:ascii="Arial" w:hAnsi="Arial" w:cs="Arial"/>
        <w:b/>
        <w:sz w:val="22"/>
        <w:szCs w:val="22"/>
        <w:lang w:val="pt-PT"/>
      </w:rPr>
      <w:t>COM </w:t>
    </w:r>
    <w:r w:rsidR="00B607FC">
      <w:rPr>
        <w:rFonts w:ascii="Arial" w:hAnsi="Arial" w:cs="Arial"/>
        <w:b/>
        <w:sz w:val="22"/>
        <w:szCs w:val="22"/>
        <w:lang w:val="pt-PT"/>
      </w:rPr>
      <w:t>3</w:t>
    </w:r>
    <w:r w:rsidR="00AC4027" w:rsidRPr="00F72876">
      <w:rPr>
        <w:rFonts w:ascii="Arial" w:hAnsi="Arial" w:cs="Arial"/>
        <w:b/>
        <w:sz w:val="22"/>
        <w:szCs w:val="22"/>
        <w:lang w:val="pt-PT"/>
      </w:rPr>
      <w:t>.</w:t>
    </w:r>
    <w:r w:rsidR="00AC4027" w:rsidRPr="00DA284E">
      <w:rPr>
        <w:rFonts w:ascii="Arial" w:hAnsi="Arial" w:cs="Arial"/>
        <w:b/>
        <w:sz w:val="22"/>
        <w:szCs w:val="22"/>
        <w:lang w:val="pt-PT"/>
      </w:rPr>
      <w:t>BUR/</w:t>
    </w:r>
    <w:r w:rsidR="005518C7" w:rsidRPr="00DA284E">
      <w:rPr>
        <w:rFonts w:ascii="Arial" w:hAnsi="Arial" w:cs="Arial"/>
        <w:b/>
        <w:sz w:val="22"/>
        <w:szCs w:val="22"/>
        <w:lang w:val="pt-PT"/>
      </w:rPr>
      <w:t>6</w:t>
    </w:r>
  </w:p>
  <w:p w14:paraId="30B7DEB9" w14:textId="6FC69154"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C318BF">
      <w:rPr>
        <w:rFonts w:ascii="Arial" w:hAnsi="Arial" w:cs="Arial"/>
        <w:b/>
        <w:sz w:val="22"/>
        <w:szCs w:val="22"/>
        <w:lang w:val="pt-PT"/>
      </w:rPr>
      <w:t xml:space="preserve">le </w:t>
    </w:r>
    <w:r w:rsidR="00454FEA">
      <w:rPr>
        <w:rFonts w:ascii="Arial" w:hAnsi="Arial" w:cs="Arial"/>
        <w:b/>
        <w:sz w:val="22"/>
        <w:szCs w:val="22"/>
        <w:lang w:val="pt-PT"/>
      </w:rPr>
      <w:t xml:space="preserve">27 </w:t>
    </w:r>
    <w:r w:rsidR="00B607FC">
      <w:rPr>
        <w:rFonts w:ascii="Arial" w:hAnsi="Arial" w:cs="Arial"/>
        <w:b/>
        <w:sz w:val="22"/>
        <w:szCs w:val="22"/>
        <w:lang w:val="pt-PT"/>
      </w:rPr>
      <w:t>septembre</w:t>
    </w:r>
    <w:r w:rsidR="00CC70DC">
      <w:rPr>
        <w:rFonts w:ascii="Arial" w:hAnsi="Arial" w:cs="Arial"/>
        <w:b/>
        <w:sz w:val="22"/>
        <w:szCs w:val="22"/>
        <w:lang w:val="pt-PT"/>
      </w:rPr>
      <w:t xml:space="preserve"> </w:t>
    </w:r>
    <w:r w:rsidR="00495C25" w:rsidRPr="00C318BF">
      <w:rPr>
        <w:rFonts w:ascii="Arial" w:hAnsi="Arial" w:cs="Arial"/>
        <w:b/>
        <w:sz w:val="22"/>
        <w:szCs w:val="22"/>
        <w:lang w:val="pt-PT"/>
      </w:rPr>
      <w:t>20</w:t>
    </w:r>
    <w:r w:rsidR="00D520C1">
      <w:rPr>
        <w:rFonts w:ascii="Arial" w:hAnsi="Arial" w:cs="Arial"/>
        <w:b/>
        <w:sz w:val="22"/>
        <w:szCs w:val="22"/>
        <w:lang w:val="pt-PT"/>
      </w:rPr>
      <w:t>2</w:t>
    </w:r>
    <w:r w:rsidR="002B0CB6">
      <w:rPr>
        <w:rFonts w:ascii="Arial" w:hAnsi="Arial" w:cs="Arial"/>
        <w:b/>
        <w:sz w:val="22"/>
        <w:szCs w:val="22"/>
        <w:lang w:val="pt-PT"/>
      </w:rPr>
      <w:t>4</w:t>
    </w:r>
  </w:p>
  <w:p w14:paraId="18E81B87" w14:textId="68A95AFE"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2B0CB6">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9189010">
    <w:abstractNumId w:val="12"/>
  </w:num>
  <w:num w:numId="2" w16cid:durableId="1636250750">
    <w:abstractNumId w:val="7"/>
  </w:num>
  <w:num w:numId="3" w16cid:durableId="449670136">
    <w:abstractNumId w:val="1"/>
  </w:num>
  <w:num w:numId="4" w16cid:durableId="1849517735">
    <w:abstractNumId w:val="15"/>
  </w:num>
  <w:num w:numId="5" w16cid:durableId="2019426326">
    <w:abstractNumId w:val="13"/>
  </w:num>
  <w:num w:numId="6" w16cid:durableId="65031867">
    <w:abstractNumId w:val="0"/>
  </w:num>
  <w:num w:numId="7" w16cid:durableId="1649242412">
    <w:abstractNumId w:val="2"/>
  </w:num>
  <w:num w:numId="8" w16cid:durableId="913710126">
    <w:abstractNumId w:val="9"/>
  </w:num>
  <w:num w:numId="9" w16cid:durableId="1759131835">
    <w:abstractNumId w:val="6"/>
  </w:num>
  <w:num w:numId="10" w16cid:durableId="1966619608">
    <w:abstractNumId w:val="8"/>
  </w:num>
  <w:num w:numId="11" w16cid:durableId="1455564123">
    <w:abstractNumId w:val="5"/>
  </w:num>
  <w:num w:numId="12" w16cid:durableId="1828742323">
    <w:abstractNumId w:val="4"/>
  </w:num>
  <w:num w:numId="13" w16cid:durableId="49302815">
    <w:abstractNumId w:val="11"/>
  </w:num>
  <w:num w:numId="14" w16cid:durableId="998508841">
    <w:abstractNumId w:val="3"/>
  </w:num>
  <w:num w:numId="15" w16cid:durableId="153885044">
    <w:abstractNumId w:val="14"/>
  </w:num>
  <w:num w:numId="16" w16cid:durableId="909190638">
    <w:abstractNumId w:val="10"/>
  </w:num>
  <w:num w:numId="17" w16cid:durableId="59906983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4D0C"/>
    <w:rsid w:val="0003530D"/>
    <w:rsid w:val="0005176E"/>
    <w:rsid w:val="00070580"/>
    <w:rsid w:val="00077AB7"/>
    <w:rsid w:val="00081CD8"/>
    <w:rsid w:val="0008329C"/>
    <w:rsid w:val="00086ACB"/>
    <w:rsid w:val="000968FB"/>
    <w:rsid w:val="000A7F0E"/>
    <w:rsid w:val="000B51E1"/>
    <w:rsid w:val="000B5868"/>
    <w:rsid w:val="000C3AAF"/>
    <w:rsid w:val="000E6CD7"/>
    <w:rsid w:val="000F15AE"/>
    <w:rsid w:val="000F3A3F"/>
    <w:rsid w:val="001105D5"/>
    <w:rsid w:val="00130D3D"/>
    <w:rsid w:val="00135495"/>
    <w:rsid w:val="00164D56"/>
    <w:rsid w:val="00165170"/>
    <w:rsid w:val="00167B10"/>
    <w:rsid w:val="0019264E"/>
    <w:rsid w:val="00196C1B"/>
    <w:rsid w:val="001A2FC9"/>
    <w:rsid w:val="001A766C"/>
    <w:rsid w:val="001B0F73"/>
    <w:rsid w:val="0020150F"/>
    <w:rsid w:val="002137DD"/>
    <w:rsid w:val="00222A2D"/>
    <w:rsid w:val="0023315C"/>
    <w:rsid w:val="002407AF"/>
    <w:rsid w:val="00265ADD"/>
    <w:rsid w:val="00280D62"/>
    <w:rsid w:val="002833B1"/>
    <w:rsid w:val="002A6C11"/>
    <w:rsid w:val="002A6F73"/>
    <w:rsid w:val="002B0CB6"/>
    <w:rsid w:val="002B0F69"/>
    <w:rsid w:val="002C0D14"/>
    <w:rsid w:val="002C1011"/>
    <w:rsid w:val="002E2F53"/>
    <w:rsid w:val="002E3D25"/>
    <w:rsid w:val="002E58D4"/>
    <w:rsid w:val="0032583C"/>
    <w:rsid w:val="003732E4"/>
    <w:rsid w:val="00377A88"/>
    <w:rsid w:val="003845BE"/>
    <w:rsid w:val="003A0776"/>
    <w:rsid w:val="003A0C87"/>
    <w:rsid w:val="003A5D94"/>
    <w:rsid w:val="003C1678"/>
    <w:rsid w:val="003D069C"/>
    <w:rsid w:val="003E07D8"/>
    <w:rsid w:val="003E2A08"/>
    <w:rsid w:val="003F113A"/>
    <w:rsid w:val="003F3974"/>
    <w:rsid w:val="004239C7"/>
    <w:rsid w:val="00440F9B"/>
    <w:rsid w:val="004421E5"/>
    <w:rsid w:val="00443880"/>
    <w:rsid w:val="00452284"/>
    <w:rsid w:val="00454FEA"/>
    <w:rsid w:val="00461168"/>
    <w:rsid w:val="00467FBE"/>
    <w:rsid w:val="00484466"/>
    <w:rsid w:val="00486948"/>
    <w:rsid w:val="00492747"/>
    <w:rsid w:val="00495C25"/>
    <w:rsid w:val="0049705E"/>
    <w:rsid w:val="004C456A"/>
    <w:rsid w:val="005158FF"/>
    <w:rsid w:val="005162EC"/>
    <w:rsid w:val="00526B7B"/>
    <w:rsid w:val="005308CE"/>
    <w:rsid w:val="005518C7"/>
    <w:rsid w:val="00557A0B"/>
    <w:rsid w:val="005678AF"/>
    <w:rsid w:val="0057439C"/>
    <w:rsid w:val="0058171E"/>
    <w:rsid w:val="005B0127"/>
    <w:rsid w:val="005C094D"/>
    <w:rsid w:val="005C4B73"/>
    <w:rsid w:val="00600D93"/>
    <w:rsid w:val="00616C7B"/>
    <w:rsid w:val="00627C5C"/>
    <w:rsid w:val="00655736"/>
    <w:rsid w:val="00663B8D"/>
    <w:rsid w:val="00681416"/>
    <w:rsid w:val="006923BD"/>
    <w:rsid w:val="00694FEA"/>
    <w:rsid w:val="00696C8D"/>
    <w:rsid w:val="006A2AC2"/>
    <w:rsid w:val="006A3317"/>
    <w:rsid w:val="006A3617"/>
    <w:rsid w:val="006B5001"/>
    <w:rsid w:val="006D21D9"/>
    <w:rsid w:val="006D2536"/>
    <w:rsid w:val="006E2BE8"/>
    <w:rsid w:val="006E46E4"/>
    <w:rsid w:val="00717AAB"/>
    <w:rsid w:val="00717DBD"/>
    <w:rsid w:val="00741016"/>
    <w:rsid w:val="00764CF9"/>
    <w:rsid w:val="00784B8C"/>
    <w:rsid w:val="007A000F"/>
    <w:rsid w:val="007C354B"/>
    <w:rsid w:val="007E60C6"/>
    <w:rsid w:val="007F283F"/>
    <w:rsid w:val="007F41BC"/>
    <w:rsid w:val="008064F0"/>
    <w:rsid w:val="00823A11"/>
    <w:rsid w:val="00824EF7"/>
    <w:rsid w:val="0085414A"/>
    <w:rsid w:val="0086269D"/>
    <w:rsid w:val="00863302"/>
    <w:rsid w:val="008712A2"/>
    <w:rsid w:val="00871C8F"/>
    <w:rsid w:val="008724E5"/>
    <w:rsid w:val="00884A9D"/>
    <w:rsid w:val="008A4E1E"/>
    <w:rsid w:val="008B64DF"/>
    <w:rsid w:val="008C0E44"/>
    <w:rsid w:val="008C296C"/>
    <w:rsid w:val="008D4305"/>
    <w:rsid w:val="008D4D0D"/>
    <w:rsid w:val="008E67D8"/>
    <w:rsid w:val="008F09EC"/>
    <w:rsid w:val="00913D86"/>
    <w:rsid w:val="009163A7"/>
    <w:rsid w:val="00922E3E"/>
    <w:rsid w:val="00932E14"/>
    <w:rsid w:val="00933C6B"/>
    <w:rsid w:val="00950F68"/>
    <w:rsid w:val="00962119"/>
    <w:rsid w:val="00974249"/>
    <w:rsid w:val="00977324"/>
    <w:rsid w:val="00993211"/>
    <w:rsid w:val="009A18CD"/>
    <w:rsid w:val="009A6CF7"/>
    <w:rsid w:val="009B223B"/>
    <w:rsid w:val="009B5302"/>
    <w:rsid w:val="009E1B50"/>
    <w:rsid w:val="00A12558"/>
    <w:rsid w:val="00A13903"/>
    <w:rsid w:val="00A15FFC"/>
    <w:rsid w:val="00A22951"/>
    <w:rsid w:val="00A24C78"/>
    <w:rsid w:val="00A34ED5"/>
    <w:rsid w:val="00A379A2"/>
    <w:rsid w:val="00A45DBF"/>
    <w:rsid w:val="00A61C6E"/>
    <w:rsid w:val="00A64363"/>
    <w:rsid w:val="00A755A2"/>
    <w:rsid w:val="00A90761"/>
    <w:rsid w:val="00AB2C36"/>
    <w:rsid w:val="00AC4027"/>
    <w:rsid w:val="00AD1A86"/>
    <w:rsid w:val="00AD4CE0"/>
    <w:rsid w:val="00AE0961"/>
    <w:rsid w:val="00AE103E"/>
    <w:rsid w:val="00AE3322"/>
    <w:rsid w:val="00AF0A07"/>
    <w:rsid w:val="00AF5AE5"/>
    <w:rsid w:val="00AF625E"/>
    <w:rsid w:val="00AF721B"/>
    <w:rsid w:val="00B152B1"/>
    <w:rsid w:val="00B1630F"/>
    <w:rsid w:val="00B43974"/>
    <w:rsid w:val="00B43CEB"/>
    <w:rsid w:val="00B45750"/>
    <w:rsid w:val="00B607FC"/>
    <w:rsid w:val="00B90701"/>
    <w:rsid w:val="00BC3420"/>
    <w:rsid w:val="00BD52C9"/>
    <w:rsid w:val="00BE6354"/>
    <w:rsid w:val="00C02886"/>
    <w:rsid w:val="00C06C42"/>
    <w:rsid w:val="00C109FD"/>
    <w:rsid w:val="00C318BF"/>
    <w:rsid w:val="00C358C4"/>
    <w:rsid w:val="00C377F5"/>
    <w:rsid w:val="00C4434C"/>
    <w:rsid w:val="00C608C6"/>
    <w:rsid w:val="00C70EA7"/>
    <w:rsid w:val="00C7516E"/>
    <w:rsid w:val="00CC70DC"/>
    <w:rsid w:val="00CE0682"/>
    <w:rsid w:val="00D02494"/>
    <w:rsid w:val="00D24877"/>
    <w:rsid w:val="00D520C1"/>
    <w:rsid w:val="00D74F02"/>
    <w:rsid w:val="00D75D42"/>
    <w:rsid w:val="00D77464"/>
    <w:rsid w:val="00D958E6"/>
    <w:rsid w:val="00DA284E"/>
    <w:rsid w:val="00DA36ED"/>
    <w:rsid w:val="00DB4A84"/>
    <w:rsid w:val="00DC0F3C"/>
    <w:rsid w:val="00DC2A0B"/>
    <w:rsid w:val="00DE34F1"/>
    <w:rsid w:val="00DF4942"/>
    <w:rsid w:val="00E22288"/>
    <w:rsid w:val="00E60B9D"/>
    <w:rsid w:val="00E627B1"/>
    <w:rsid w:val="00E62B4C"/>
    <w:rsid w:val="00E86828"/>
    <w:rsid w:val="00E9376C"/>
    <w:rsid w:val="00EA602C"/>
    <w:rsid w:val="00ED34A5"/>
    <w:rsid w:val="00ED3691"/>
    <w:rsid w:val="00ED3F92"/>
    <w:rsid w:val="00EF00FA"/>
    <w:rsid w:val="00EF0DCC"/>
    <w:rsid w:val="00EF74E3"/>
    <w:rsid w:val="00F13192"/>
    <w:rsid w:val="00F134B7"/>
    <w:rsid w:val="00F4581D"/>
    <w:rsid w:val="00F576CB"/>
    <w:rsid w:val="00F62B05"/>
    <w:rsid w:val="00F72719"/>
    <w:rsid w:val="00F84A0B"/>
    <w:rsid w:val="00FA5705"/>
    <w:rsid w:val="00FB2DEE"/>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uiPriority w:val="99"/>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Revision">
    <w:name w:val="Revision"/>
    <w:hidden/>
    <w:uiPriority w:val="99"/>
    <w:semiHidden/>
    <w:rsid w:val="00DC2A0B"/>
    <w:rPr>
      <w:rFonts w:ascii="Times New Roman" w:eastAsia="Times New Roman" w:hAnsi="Times New Roman"/>
      <w:sz w:val="24"/>
      <w:szCs w:val="24"/>
    </w:rPr>
  </w:style>
  <w:style w:type="paragraph" w:styleId="NormalWeb">
    <w:name w:val="Normal (Web)"/>
    <w:basedOn w:val="Normal"/>
    <w:uiPriority w:val="99"/>
    <w:semiHidden/>
    <w:unhideWhenUsed/>
    <w:rsid w:val="005518C7"/>
    <w:pPr>
      <w:spacing w:before="100" w:beforeAutospacing="1" w:after="100" w:afterAutospacing="1"/>
    </w:pPr>
  </w:style>
  <w:style w:type="paragraph" w:customStyle="1" w:styleId="COMPara">
    <w:name w:val="COM Para"/>
    <w:qFormat/>
    <w:rsid w:val="005518C7"/>
    <w:pPr>
      <w:spacing w:after="120"/>
      <w:ind w:left="720" w:hanging="360"/>
    </w:pPr>
    <w:rPr>
      <w:rFonts w:ascii="Arial" w:eastAsia="Times New Roman" w:hAnsi="Arial" w:cs="Arial"/>
      <w:snapToGrid w:val="0"/>
      <w:sz w:val="22"/>
      <w:szCs w:val="22"/>
      <w:lang w:val="en-GB" w:eastAsia="en-US"/>
    </w:rPr>
  </w:style>
  <w:style w:type="character" w:styleId="FollowedHyperlink">
    <w:name w:val="FollowedHyperlink"/>
    <w:basedOn w:val="DefaultParagraphFont"/>
    <w:uiPriority w:val="99"/>
    <w:semiHidden/>
    <w:unhideWhenUsed/>
    <w:rsid w:val="00D958E6"/>
    <w:rPr>
      <w:color w:val="800080" w:themeColor="followedHyperlink"/>
      <w:u w:val="single"/>
    </w:rPr>
  </w:style>
  <w:style w:type="character" w:styleId="UnresolvedMention">
    <w:name w:val="Unresolved Mention"/>
    <w:basedOn w:val="DefaultParagraphFont"/>
    <w:uiPriority w:val="99"/>
    <w:semiHidden/>
    <w:unhideWhenUsed/>
    <w:rsid w:val="003A0776"/>
    <w:rPr>
      <w:color w:val="605E5C"/>
      <w:shd w:val="clear" w:color="auto" w:fill="E1DFDD"/>
    </w:rPr>
  </w:style>
  <w:style w:type="character" w:styleId="CommentReference">
    <w:name w:val="annotation reference"/>
    <w:basedOn w:val="DefaultParagraphFont"/>
    <w:uiPriority w:val="99"/>
    <w:semiHidden/>
    <w:unhideWhenUsed/>
    <w:rsid w:val="00CE0682"/>
    <w:rPr>
      <w:sz w:val="16"/>
      <w:szCs w:val="16"/>
    </w:rPr>
  </w:style>
  <w:style w:type="paragraph" w:styleId="CommentText">
    <w:name w:val="annotation text"/>
    <w:basedOn w:val="Normal"/>
    <w:link w:val="CommentTextChar"/>
    <w:uiPriority w:val="99"/>
    <w:unhideWhenUsed/>
    <w:rsid w:val="00CE0682"/>
    <w:rPr>
      <w:sz w:val="20"/>
      <w:szCs w:val="20"/>
    </w:rPr>
  </w:style>
  <w:style w:type="character" w:customStyle="1" w:styleId="CommentTextChar">
    <w:name w:val="Comment Text Char"/>
    <w:basedOn w:val="DefaultParagraphFont"/>
    <w:link w:val="CommentText"/>
    <w:uiPriority w:val="99"/>
    <w:rsid w:val="00CE06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0682"/>
    <w:rPr>
      <w:b/>
      <w:bCs/>
    </w:rPr>
  </w:style>
  <w:style w:type="character" w:customStyle="1" w:styleId="CommentSubjectChar">
    <w:name w:val="Comment Subject Char"/>
    <w:basedOn w:val="CommentTextChar"/>
    <w:link w:val="CommentSubject"/>
    <w:uiPriority w:val="99"/>
    <w:semiHidden/>
    <w:rsid w:val="00CE068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77149">
      <w:bodyDiv w:val="1"/>
      <w:marLeft w:val="0"/>
      <w:marRight w:val="0"/>
      <w:marTop w:val="0"/>
      <w:marBottom w:val="0"/>
      <w:divBdr>
        <w:top w:val="none" w:sz="0" w:space="0" w:color="auto"/>
        <w:left w:val="none" w:sz="0" w:space="0" w:color="auto"/>
        <w:bottom w:val="none" w:sz="0" w:space="0" w:color="auto"/>
        <w:right w:val="none" w:sz="0" w:space="0" w:color="auto"/>
      </w:divBdr>
    </w:div>
    <w:div w:id="23031089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R%C3%A9solutions/3.GA/5" TargetMode="External"/><Relationship Id="rId13" Type="http://schemas.openxmlformats.org/officeDocument/2006/relationships/hyperlink" Target="https://ich.unesco.org/doc/src/ITH-12-7.COM-13.d-EN.doc" TargetMode="External"/><Relationship Id="rId18" Type="http://schemas.openxmlformats.org/officeDocument/2006/relationships/hyperlink" Target="https://unesdoc.unesco.org/in/documentViewer.xhtml?v=2.1.196&amp;id=p::usmarcdef_0000388394_fre&amp;file=/in/rest/annotationSVC/DownloadWatermarkedAttachment/attach_import_3d5c8ca1-25d7-4719-b979-186cff2b0a30%3F_%3D388394fre.pdf&amp;locale=en&amp;multi=true&amp;ark=/ark:/48223/pf0000388394_fre/PDF/388394fre.pdf" TargetMode="External"/><Relationship Id="rId26" Type="http://schemas.openxmlformats.org/officeDocument/2006/relationships/hyperlink" Target="https://ich.unesco.org/fr/r%C3%A9solutions/10.ga/10"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esdoc.unesco.org/in/documentViewer.xhtml?v=2.1.196&amp;id=p::usmarcdef_0000156046_fre&amp;file=/in/rest/annotationSVC/DownloadWatermarkedAttachment/attach_import_55d50972-37c4-4e64-8a95-85065151a9f8%3F_%3D156046fre.pdf&amp;locale=en&amp;multi=true&amp;ark=/ark:/48223/pf0000156046_fre/PDF/156046fre.pdf" TargetMode="External"/><Relationship Id="rId17" Type="http://schemas.openxmlformats.org/officeDocument/2006/relationships/hyperlink" Target="https://ich.unesco.org/fr/activities" TargetMode="External"/><Relationship Id="rId25" Type="http://schemas.openxmlformats.org/officeDocument/2006/relationships/hyperlink" Target="https://ich.unesco.org/fr/r%C3%A9solutions/9.GA/1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fr/anniversary" TargetMode="External"/><Relationship Id="rId20" Type="http://schemas.openxmlformats.org/officeDocument/2006/relationships/hyperlink" Target="https://ich.unesco.org/fr/journee-internationale-patrimoine-culturel-immater" TargetMode="External"/><Relationship Id="rId29" Type="http://schemas.openxmlformats.org/officeDocument/2006/relationships/hyperlink" Target="https://ich.unesco.org/fr/decisions/7.COM/1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Resolutions/2.GA/9Bis" TargetMode="External"/><Relationship Id="rId24" Type="http://schemas.openxmlformats.org/officeDocument/2006/relationships/hyperlink" Target="https://ich.unesco.org/fr/r%C3%A9solutions/2.GA/9BI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fr/Decisions/9.GA/13" TargetMode="External"/><Relationship Id="rId23" Type="http://schemas.openxmlformats.org/officeDocument/2006/relationships/hyperlink" Target="https://unesco.sharepoint.com/sites/cpe/Toolkit/Forms/AllItems.aspx?id=%2Fsites%2Fcpe%2FToolkit%2Fsecretariat%5Ftoolkit%5F20210909%5Ffre%2Epdf&amp;parent=%2Fsites%2Fcpe%2FToolkit" TargetMode="External"/><Relationship Id="rId28" Type="http://schemas.openxmlformats.org/officeDocument/2006/relationships/hyperlink" Target="https://ich.unesco.org/fr/decisions/2.COM/13" TargetMode="External"/><Relationship Id="rId10" Type="http://schemas.openxmlformats.org/officeDocument/2006/relationships/hyperlink" Target="https://ich.unesco.org/fr/Decisions/2.COM/13" TargetMode="External"/><Relationship Id="rId19" Type="http://schemas.openxmlformats.org/officeDocument/2006/relationships/hyperlink" Target="https://ich.unesco.org/fr/decisions/10.GA/1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fr/decisions/1.EXT.COM/8" TargetMode="External"/><Relationship Id="rId14" Type="http://schemas.openxmlformats.org/officeDocument/2006/relationships/hyperlink" Target="https://ich.unesco.org/doc/src/ITH-12-7.COM-13.d-FR.doc" TargetMode="External"/><Relationship Id="rId22" Type="http://schemas.openxmlformats.org/officeDocument/2006/relationships/image" Target="media/image2.png"/><Relationship Id="rId27" Type="http://schemas.openxmlformats.org/officeDocument/2006/relationships/hyperlink" Target="https://ich.unesco.org/doc/src/00192-FR-PDF.pdf" TargetMode="External"/><Relationship Id="rId3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283</TotalTime>
  <Pages>4</Pages>
  <Words>1810</Words>
  <Characters>9957</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Nakata Glenat, Keiichi Julien</cp:lastModifiedBy>
  <cp:revision>56</cp:revision>
  <cp:lastPrinted>2011-08-06T10:22:00Z</cp:lastPrinted>
  <dcterms:created xsi:type="dcterms:W3CDTF">2021-07-19T09:20:00Z</dcterms:created>
  <dcterms:modified xsi:type="dcterms:W3CDTF">2024-09-27T17:54:00Z</dcterms:modified>
</cp:coreProperties>
</file>