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3C505422" w:rsidR="00EC6F8D" w:rsidRPr="00553B84" w:rsidRDefault="00EC6F8D" w:rsidP="00EC6F8D">
      <w:pPr>
        <w:spacing w:before="1440"/>
        <w:jc w:val="center"/>
        <w:rPr>
          <w:rFonts w:ascii="Arial" w:hAnsi="Arial" w:cs="Arial"/>
          <w:b/>
          <w:sz w:val="22"/>
          <w:szCs w:val="22"/>
        </w:rPr>
      </w:pPr>
      <w:r>
        <w:rPr>
          <w:rFonts w:ascii="Arial" w:hAnsi="Arial"/>
          <w:b/>
          <w:sz w:val="22"/>
        </w:rPr>
        <w:t>CONVENTION POUR LA SAUVEGARDE DU</w:t>
      </w:r>
      <w:r w:rsidR="003C6FDB">
        <w:rPr>
          <w:rFonts w:ascii="Arial" w:hAnsi="Arial"/>
          <w:b/>
          <w:sz w:val="22"/>
        </w:rPr>
        <w:br/>
      </w:r>
      <w:r>
        <w:rPr>
          <w:rFonts w:ascii="Arial" w:hAnsi="Arial"/>
          <w:b/>
          <w:sz w:val="22"/>
        </w:rPr>
        <w:t>PATRIMOINE CULTUREL IMMATÉRIEL</w:t>
      </w:r>
    </w:p>
    <w:p w14:paraId="3F72B1D3" w14:textId="6CA4299D" w:rsidR="00EC6F8D" w:rsidRPr="00553B84" w:rsidRDefault="00EC6F8D" w:rsidP="00EC6F8D">
      <w:pPr>
        <w:spacing w:before="1200"/>
        <w:jc w:val="center"/>
        <w:rPr>
          <w:rFonts w:ascii="Arial" w:hAnsi="Arial" w:cs="Arial"/>
          <w:b/>
          <w:sz w:val="22"/>
          <w:szCs w:val="22"/>
        </w:rPr>
      </w:pPr>
      <w:r>
        <w:rPr>
          <w:rFonts w:ascii="Arial" w:hAnsi="Arial"/>
          <w:b/>
          <w:sz w:val="22"/>
        </w:rPr>
        <w:t>COMITÉ INTERGOUVERNEMENTAL DE SAUVEGARDE</w:t>
      </w:r>
      <w:r w:rsidR="003C6FDB">
        <w:rPr>
          <w:rFonts w:ascii="Arial" w:hAnsi="Arial"/>
          <w:b/>
          <w:sz w:val="22"/>
        </w:rPr>
        <w:br/>
      </w:r>
      <w:r>
        <w:rPr>
          <w:rFonts w:ascii="Arial" w:hAnsi="Arial"/>
          <w:b/>
          <w:sz w:val="22"/>
        </w:rPr>
        <w:t>DU PATRIMOINE CULTUREL IMMATÉRIEL</w:t>
      </w:r>
    </w:p>
    <w:p w14:paraId="2E1CD4B4" w14:textId="7E2B2016" w:rsidR="00EC6F8D" w:rsidRPr="00553B84" w:rsidRDefault="00D03C2A" w:rsidP="001D14FE">
      <w:pPr>
        <w:spacing w:before="840"/>
        <w:jc w:val="center"/>
        <w:rPr>
          <w:rFonts w:ascii="Arial" w:hAnsi="Arial" w:cs="Arial"/>
          <w:b/>
          <w:sz w:val="22"/>
          <w:szCs w:val="22"/>
        </w:rPr>
      </w:pPr>
      <w:r>
        <w:rPr>
          <w:rFonts w:ascii="Arial" w:hAnsi="Arial"/>
          <w:b/>
          <w:sz w:val="22"/>
        </w:rPr>
        <w:t>Dix-neuvième session</w:t>
      </w:r>
    </w:p>
    <w:p w14:paraId="1FD89575" w14:textId="64831094" w:rsidR="00B2172B" w:rsidRPr="00553B84" w:rsidRDefault="00D03C2A" w:rsidP="00B2172B">
      <w:pPr>
        <w:jc w:val="center"/>
        <w:rPr>
          <w:rFonts w:ascii="Arial" w:hAnsi="Arial" w:cs="Arial"/>
          <w:b/>
          <w:sz w:val="22"/>
          <w:szCs w:val="22"/>
        </w:rPr>
      </w:pPr>
      <w:r>
        <w:rPr>
          <w:rFonts w:ascii="Arial" w:hAnsi="Arial"/>
          <w:b/>
          <w:sz w:val="22"/>
        </w:rPr>
        <w:t>Asunción, République du Paraguay</w:t>
      </w:r>
    </w:p>
    <w:p w14:paraId="52EA6D50" w14:textId="52CBB300" w:rsidR="00B2172B" w:rsidRPr="00553B84" w:rsidRDefault="00D03C2A" w:rsidP="00B2172B">
      <w:pPr>
        <w:jc w:val="center"/>
        <w:rPr>
          <w:rFonts w:ascii="Arial" w:hAnsi="Arial" w:cs="Arial"/>
          <w:b/>
          <w:sz w:val="22"/>
          <w:szCs w:val="22"/>
        </w:rPr>
      </w:pPr>
      <w:r>
        <w:rPr>
          <w:rFonts w:ascii="Arial" w:hAnsi="Arial"/>
          <w:b/>
          <w:sz w:val="22"/>
        </w:rPr>
        <w:t>2 </w:t>
      </w:r>
      <w:r w:rsidR="002F3166">
        <w:rPr>
          <w:rFonts w:ascii="Arial" w:hAnsi="Arial"/>
          <w:b/>
          <w:sz w:val="22"/>
        </w:rPr>
        <w:t>–</w:t>
      </w:r>
      <w:r>
        <w:rPr>
          <w:rFonts w:ascii="Arial" w:hAnsi="Arial"/>
          <w:b/>
          <w:sz w:val="22"/>
        </w:rPr>
        <w:t> 7</w:t>
      </w:r>
      <w:r w:rsidR="002F3166">
        <w:rPr>
          <w:rFonts w:ascii="Arial" w:hAnsi="Arial"/>
          <w:b/>
          <w:sz w:val="22"/>
        </w:rPr>
        <w:t xml:space="preserve"> </w:t>
      </w:r>
      <w:r>
        <w:rPr>
          <w:rFonts w:ascii="Arial" w:hAnsi="Arial"/>
          <w:b/>
          <w:sz w:val="22"/>
        </w:rPr>
        <w:t>décembre 2024</w:t>
      </w:r>
    </w:p>
    <w:p w14:paraId="0365203A" w14:textId="3CE8A8FC" w:rsidR="00EC6F8D" w:rsidRPr="00553B84" w:rsidRDefault="00EC6F8D" w:rsidP="00EC6F8D">
      <w:pPr>
        <w:pStyle w:val="Sansinterligne2"/>
        <w:spacing w:before="1200"/>
        <w:jc w:val="center"/>
        <w:rPr>
          <w:rFonts w:ascii="Arial" w:hAnsi="Arial" w:cs="Arial"/>
          <w:b/>
          <w:sz w:val="22"/>
          <w:szCs w:val="22"/>
        </w:rPr>
      </w:pPr>
      <w:r>
        <w:rPr>
          <w:rFonts w:ascii="Arial" w:hAnsi="Arial"/>
          <w:b/>
          <w:sz w:val="22"/>
          <w:u w:val="single"/>
        </w:rPr>
        <w:t>Point 6.c de l</w:t>
      </w:r>
      <w:r w:rsidR="007C6BDF">
        <w:rPr>
          <w:rFonts w:ascii="Arial" w:hAnsi="Arial"/>
          <w:b/>
          <w:sz w:val="22"/>
          <w:u w:val="single"/>
        </w:rPr>
        <w:t>’</w:t>
      </w:r>
      <w:r>
        <w:rPr>
          <w:rFonts w:ascii="Arial" w:hAnsi="Arial"/>
          <w:b/>
          <w:sz w:val="22"/>
          <w:u w:val="single"/>
        </w:rPr>
        <w:t>ordre du jour provisoire</w:t>
      </w:r>
      <w:r w:rsidRPr="007E1FE1">
        <w:rPr>
          <w:rFonts w:ascii="Arial" w:hAnsi="Arial"/>
          <w:b/>
          <w:sz w:val="22"/>
        </w:rPr>
        <w:t> </w:t>
      </w:r>
      <w:r>
        <w:rPr>
          <w:rFonts w:ascii="Arial" w:hAnsi="Arial"/>
          <w:b/>
          <w:sz w:val="22"/>
        </w:rPr>
        <w:t>:</w:t>
      </w:r>
    </w:p>
    <w:p w14:paraId="59920478" w14:textId="0B1FA61F" w:rsidR="004A2875" w:rsidRPr="00553B84" w:rsidRDefault="008F6168" w:rsidP="004A2875">
      <w:pPr>
        <w:pStyle w:val="Sansinterligne2"/>
        <w:spacing w:after="960"/>
        <w:jc w:val="center"/>
        <w:rPr>
          <w:rFonts w:ascii="Arial" w:hAnsi="Arial" w:cs="Arial"/>
          <w:bCs/>
          <w:sz w:val="22"/>
          <w:szCs w:val="22"/>
        </w:rPr>
      </w:pPr>
      <w:r>
        <w:rPr>
          <w:rFonts w:ascii="Arial" w:hAnsi="Arial"/>
          <w:b/>
          <w:sz w:val="22"/>
        </w:rPr>
        <w:t>Point sur les cycle</w:t>
      </w:r>
      <w:r w:rsidR="00925CC7">
        <w:rPr>
          <w:rFonts w:ascii="Arial" w:hAnsi="Arial"/>
          <w:b/>
          <w:sz w:val="22"/>
        </w:rPr>
        <w:t>s</w:t>
      </w:r>
      <w:r>
        <w:rPr>
          <w:rFonts w:ascii="Arial" w:hAnsi="Arial"/>
          <w:b/>
          <w:sz w:val="22"/>
        </w:rPr>
        <w:t xml:space="preserve"> régiona</w:t>
      </w:r>
      <w:r w:rsidR="00925CC7">
        <w:rPr>
          <w:rFonts w:ascii="Arial" w:hAnsi="Arial"/>
          <w:b/>
          <w:sz w:val="22"/>
        </w:rPr>
        <w:t>ux</w:t>
      </w:r>
      <w:r>
        <w:rPr>
          <w:rFonts w:ascii="Arial" w:hAnsi="Arial"/>
          <w:b/>
          <w:sz w:val="22"/>
        </w:rPr>
        <w:t xml:space="preserve"> de </w:t>
      </w:r>
      <w:r w:rsidR="00234781">
        <w:rPr>
          <w:rFonts w:ascii="Arial" w:hAnsi="Arial"/>
          <w:b/>
          <w:sz w:val="22"/>
        </w:rPr>
        <w:t xml:space="preserve">rapports </w:t>
      </w:r>
      <w:r>
        <w:rPr>
          <w:rFonts w:ascii="Arial" w:hAnsi="Arial"/>
          <w:b/>
          <w:sz w:val="22"/>
        </w:rPr>
        <w:t>périodique</w:t>
      </w:r>
      <w:r w:rsidR="00234781">
        <w:rPr>
          <w:rFonts w:ascii="Arial" w:hAnsi="Arial"/>
          <w:b/>
          <w:sz w:val="22"/>
        </w:rPr>
        <w:t>s</w:t>
      </w:r>
      <w:r>
        <w:rPr>
          <w:rFonts w:ascii="Arial" w:hAnsi="Arial"/>
          <w:b/>
          <w:sz w:val="22"/>
        </w:rPr>
        <w:t xml:space="preserve"> </w:t>
      </w:r>
      <w:r w:rsidR="00925CC7">
        <w:rPr>
          <w:rFonts w:ascii="Arial" w:hAnsi="Arial"/>
          <w:b/>
          <w:sz w:val="22"/>
        </w:rPr>
        <w:t>de</w:t>
      </w:r>
      <w:r>
        <w:rPr>
          <w:rFonts w:ascii="Arial" w:hAnsi="Arial"/>
          <w:b/>
          <w:sz w:val="22"/>
        </w:rPr>
        <w:t xml:space="preserve"> la Convention</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553B84" w14:paraId="75AC6221" w14:textId="77777777" w:rsidTr="00EC6F8D">
        <w:trPr>
          <w:jc w:val="center"/>
        </w:trPr>
        <w:tc>
          <w:tcPr>
            <w:tcW w:w="5670" w:type="dxa"/>
            <w:vAlign w:val="center"/>
          </w:tcPr>
          <w:p w14:paraId="51C260A9" w14:textId="77777777" w:rsidR="00EC6F8D" w:rsidRPr="00553B84" w:rsidRDefault="00EC6F8D" w:rsidP="00CA56BB">
            <w:pPr>
              <w:pStyle w:val="Sansinterligne1"/>
              <w:spacing w:before="200" w:after="200"/>
              <w:jc w:val="center"/>
              <w:rPr>
                <w:rFonts w:ascii="Arial" w:hAnsi="Arial" w:cs="Arial"/>
                <w:b/>
                <w:sz w:val="22"/>
                <w:szCs w:val="22"/>
              </w:rPr>
            </w:pPr>
            <w:r>
              <w:rPr>
                <w:rFonts w:ascii="Arial" w:hAnsi="Arial"/>
                <w:b/>
                <w:sz w:val="22"/>
              </w:rPr>
              <w:t>Résumé</w:t>
            </w:r>
          </w:p>
          <w:p w14:paraId="07CCC2B6" w14:textId="01AC8D1D" w:rsidR="00D94423" w:rsidRPr="00553B84" w:rsidRDefault="00FA35D4" w:rsidP="00D94423">
            <w:pPr>
              <w:pStyle w:val="Sansinterligne2"/>
              <w:spacing w:before="200" w:after="200"/>
              <w:jc w:val="both"/>
              <w:rPr>
                <w:rFonts w:ascii="Arial" w:hAnsi="Arial" w:cs="Arial"/>
                <w:bCs/>
                <w:sz w:val="22"/>
                <w:szCs w:val="22"/>
              </w:rPr>
            </w:pPr>
            <w:r>
              <w:rPr>
                <w:rFonts w:ascii="Arial" w:hAnsi="Arial"/>
                <w:sz w:val="22"/>
              </w:rPr>
              <w:t xml:space="preserve">Le présent document donne un aperçu de </w:t>
            </w:r>
            <w:r w:rsidR="00234781">
              <w:rPr>
                <w:rFonts w:ascii="Arial" w:hAnsi="Arial"/>
                <w:sz w:val="22"/>
              </w:rPr>
              <w:t>l’état</w:t>
            </w:r>
            <w:r>
              <w:rPr>
                <w:rFonts w:ascii="Arial" w:hAnsi="Arial"/>
                <w:sz w:val="22"/>
              </w:rPr>
              <w:t xml:space="preserve"> de mise en œuvre du premier cycle de rapports périodiques dans différentes régions</w:t>
            </w:r>
            <w:r w:rsidR="00234781">
              <w:rPr>
                <w:rFonts w:ascii="Arial" w:hAnsi="Arial"/>
                <w:sz w:val="22"/>
              </w:rPr>
              <w:t>. Il</w:t>
            </w:r>
            <w:r>
              <w:rPr>
                <w:rFonts w:ascii="Arial" w:hAnsi="Arial"/>
                <w:sz w:val="22"/>
              </w:rPr>
              <w:t xml:space="preserve"> </w:t>
            </w:r>
            <w:r w:rsidR="00234781">
              <w:rPr>
                <w:rFonts w:ascii="Arial" w:hAnsi="Arial"/>
                <w:sz w:val="22"/>
              </w:rPr>
              <w:t>fait également</w:t>
            </w:r>
            <w:r>
              <w:rPr>
                <w:rFonts w:ascii="Arial" w:hAnsi="Arial"/>
                <w:sz w:val="22"/>
              </w:rPr>
              <w:t xml:space="preserve"> le point sur la proposition visant à rationaliser les cycles </w:t>
            </w:r>
            <w:r w:rsidR="008252A6">
              <w:rPr>
                <w:rFonts w:ascii="Arial" w:hAnsi="Arial"/>
                <w:sz w:val="22"/>
              </w:rPr>
              <w:t xml:space="preserve">de soumission </w:t>
            </w:r>
            <w:r>
              <w:rPr>
                <w:rFonts w:ascii="Arial" w:hAnsi="Arial"/>
                <w:sz w:val="22"/>
              </w:rPr>
              <w:t>des mécanismes de rapports périodiques dans l</w:t>
            </w:r>
            <w:r w:rsidR="007C6BDF">
              <w:rPr>
                <w:rFonts w:ascii="Arial" w:hAnsi="Arial"/>
                <w:sz w:val="22"/>
              </w:rPr>
              <w:t>’</w:t>
            </w:r>
            <w:r>
              <w:rPr>
                <w:rFonts w:ascii="Arial" w:hAnsi="Arial"/>
                <w:sz w:val="22"/>
              </w:rPr>
              <w:t>ensemble des conventions et recommandations de l</w:t>
            </w:r>
            <w:r w:rsidR="007C6BDF">
              <w:rPr>
                <w:rFonts w:ascii="Arial" w:hAnsi="Arial"/>
                <w:sz w:val="22"/>
              </w:rPr>
              <w:t>’</w:t>
            </w:r>
            <w:r>
              <w:rPr>
                <w:rFonts w:ascii="Arial" w:hAnsi="Arial"/>
                <w:sz w:val="22"/>
              </w:rPr>
              <w:t>UNESCO relatives à la culture, conformément à la Déclaration MONDIACULT</w:t>
            </w:r>
            <w:r w:rsidR="007C6BDF">
              <w:rPr>
                <w:rFonts w:ascii="Arial" w:hAnsi="Arial"/>
                <w:sz w:val="22"/>
              </w:rPr>
              <w:t> </w:t>
            </w:r>
            <w:r>
              <w:rPr>
                <w:rFonts w:ascii="Arial" w:hAnsi="Arial"/>
                <w:sz w:val="22"/>
              </w:rPr>
              <w:t>2022.</w:t>
            </w:r>
          </w:p>
          <w:p w14:paraId="290310E8" w14:textId="606C10C3" w:rsidR="00EC6F8D" w:rsidRPr="00553B84" w:rsidRDefault="00EC6F8D" w:rsidP="00CA56BB">
            <w:pPr>
              <w:pStyle w:val="Sansinterligne2"/>
              <w:spacing w:before="200" w:after="200"/>
              <w:jc w:val="both"/>
              <w:rPr>
                <w:rFonts w:ascii="Arial" w:hAnsi="Arial" w:cs="Arial"/>
                <w:b/>
                <w:sz w:val="22"/>
                <w:szCs w:val="22"/>
              </w:rPr>
            </w:pPr>
            <w:r>
              <w:rPr>
                <w:rFonts w:ascii="Arial" w:hAnsi="Arial"/>
                <w:b/>
                <w:sz w:val="22"/>
              </w:rPr>
              <w:t>Décision requise</w:t>
            </w:r>
            <w:r w:rsidR="007C6BDF">
              <w:rPr>
                <w:rFonts w:ascii="Arial" w:hAnsi="Arial"/>
                <w:b/>
                <w:sz w:val="22"/>
              </w:rPr>
              <w:t> </w:t>
            </w:r>
            <w:r>
              <w:rPr>
                <w:rFonts w:ascii="Arial" w:hAnsi="Arial"/>
                <w:b/>
                <w:sz w:val="22"/>
              </w:rPr>
              <w:t xml:space="preserve">: </w:t>
            </w:r>
            <w:r>
              <w:rPr>
                <w:rFonts w:ascii="Arial" w:hAnsi="Arial"/>
                <w:sz w:val="22"/>
              </w:rPr>
              <w:t>paragraphe</w:t>
            </w:r>
            <w:r w:rsidR="007C6BDF">
              <w:rPr>
                <w:rFonts w:ascii="Arial" w:hAnsi="Arial"/>
                <w:sz w:val="22"/>
              </w:rPr>
              <w:t> </w:t>
            </w:r>
            <w:r>
              <w:rPr>
                <w:rFonts w:ascii="Arial" w:hAnsi="Arial"/>
                <w:sz w:val="22"/>
              </w:rPr>
              <w:t>19</w:t>
            </w:r>
          </w:p>
        </w:tc>
      </w:tr>
    </w:tbl>
    <w:p w14:paraId="713D819F" w14:textId="77777777" w:rsidR="004A2875" w:rsidRPr="00553B84" w:rsidRDefault="00655736" w:rsidP="00400582">
      <w:pPr>
        <w:pStyle w:val="Paragraphedeliste"/>
        <w:keepLines/>
        <w:numPr>
          <w:ilvl w:val="0"/>
          <w:numId w:val="5"/>
        </w:numPr>
        <w:spacing w:after="240"/>
        <w:ind w:left="567" w:hanging="567"/>
        <w:contextualSpacing w:val="0"/>
        <w:rPr>
          <w:rFonts w:ascii="Arial" w:hAnsi="Arial" w:cs="Arial"/>
          <w:b/>
          <w:snapToGrid w:val="0"/>
          <w:sz w:val="22"/>
          <w:szCs w:val="22"/>
        </w:rPr>
      </w:pPr>
      <w:r>
        <w:br w:type="page"/>
      </w:r>
    </w:p>
    <w:p w14:paraId="6C62585F" w14:textId="42065C20" w:rsidR="00F70CC5" w:rsidRPr="00553B84" w:rsidRDefault="008F6168" w:rsidP="008F6168">
      <w:pPr>
        <w:pStyle w:val="COMPara"/>
        <w:numPr>
          <w:ilvl w:val="0"/>
          <w:numId w:val="0"/>
        </w:numPr>
        <w:ind w:left="567"/>
        <w:jc w:val="both"/>
        <w:rPr>
          <w:b/>
          <w:bCs/>
        </w:rPr>
      </w:pPr>
      <w:bookmarkStart w:id="0" w:name="_Hlk124351255"/>
      <w:r>
        <w:rPr>
          <w:b/>
        </w:rPr>
        <w:lastRenderedPageBreak/>
        <w:t>Introduction</w:t>
      </w:r>
    </w:p>
    <w:bookmarkEnd w:id="0"/>
    <w:p w14:paraId="00743995" w14:textId="6E35FC58" w:rsidR="0057439C" w:rsidRPr="00553B84" w:rsidRDefault="008F6168" w:rsidP="008F6168">
      <w:pPr>
        <w:pStyle w:val="COMPara"/>
        <w:ind w:left="567" w:hanging="567"/>
        <w:jc w:val="both"/>
        <w:rPr>
          <w:rStyle w:val="Lienhypertexte"/>
          <w:color w:val="auto"/>
          <w:u w:val="none"/>
        </w:rPr>
      </w:pPr>
      <w:r>
        <w:t>Le mécanisme de rapport</w:t>
      </w:r>
      <w:r w:rsidR="006771C6">
        <w:t>s</w:t>
      </w:r>
      <w:r>
        <w:t xml:space="preserve"> périodique</w:t>
      </w:r>
      <w:r w:rsidR="006771C6">
        <w:t>s</w:t>
      </w:r>
      <w:r>
        <w:t xml:space="preserve"> de la </w:t>
      </w:r>
      <w:r w:rsidR="006771C6">
        <w:t>C</w:t>
      </w:r>
      <w:r>
        <w:t>onvention de 2003 a été réformé afin d</w:t>
      </w:r>
      <w:r w:rsidR="007C6BDF">
        <w:t>’</w:t>
      </w:r>
      <w:r>
        <w:t>en améliorer la qualité, l</w:t>
      </w:r>
      <w:r w:rsidR="007C6BDF">
        <w:t>’</w:t>
      </w:r>
      <w:r>
        <w:t>utilité et l</w:t>
      </w:r>
      <w:r w:rsidR="007C6BDF">
        <w:t>’</w:t>
      </w:r>
      <w:r>
        <w:t xml:space="preserve">opportunité, ainsi que pour remédier au faible taux de </w:t>
      </w:r>
      <w:r w:rsidR="008252A6">
        <w:t xml:space="preserve">soumission </w:t>
      </w:r>
      <w:r>
        <w:t>observé (décision</w:t>
      </w:r>
      <w:r w:rsidR="007C6BDF">
        <w:t> </w:t>
      </w:r>
      <w:hyperlink r:id="rId8" w:history="1">
        <w:r>
          <w:rPr>
            <w:rStyle w:val="Lienhypertexte"/>
          </w:rPr>
          <w:t>12.COM 10)</w:t>
        </w:r>
      </w:hyperlink>
      <w:r>
        <w:t xml:space="preserve">. Le mécanisme a ainsi été aligné sur le </w:t>
      </w:r>
      <w:r w:rsidR="006771C6">
        <w:t>C</w:t>
      </w:r>
      <w:r>
        <w:t xml:space="preserve">adre </w:t>
      </w:r>
      <w:r w:rsidR="006771C6">
        <w:t xml:space="preserve">global </w:t>
      </w:r>
      <w:r>
        <w:t xml:space="preserve">des résultats de la </w:t>
      </w:r>
      <w:r w:rsidR="006771C6">
        <w:t>C</w:t>
      </w:r>
      <w:r>
        <w:t xml:space="preserve">onvention afin de garantir </w:t>
      </w:r>
      <w:r w:rsidR="006771C6">
        <w:t xml:space="preserve">que le processus est cohérent </w:t>
      </w:r>
      <w:r>
        <w:t xml:space="preserve">les objectifs généraux de la </w:t>
      </w:r>
      <w:r w:rsidR="006771C6">
        <w:t>C</w:t>
      </w:r>
      <w:r>
        <w:t>onvention et de permettre un suivi plus efficace pour atteindre ces objectifs (résolution</w:t>
      </w:r>
      <w:r w:rsidR="007C6BDF">
        <w:t> </w:t>
      </w:r>
      <w:hyperlink r:id="rId9" w:history="1">
        <w:r>
          <w:rPr>
            <w:rStyle w:val="Lienhypertexte"/>
          </w:rPr>
          <w:t>7.GA</w:t>
        </w:r>
        <w:r w:rsidR="007C6BDF">
          <w:rPr>
            <w:rStyle w:val="Lienhypertexte"/>
          </w:rPr>
          <w:t> </w:t>
        </w:r>
        <w:r>
          <w:rPr>
            <w:rStyle w:val="Lienhypertexte"/>
          </w:rPr>
          <w:t>9</w:t>
        </w:r>
      </w:hyperlink>
      <w:r>
        <w:t xml:space="preserve">). </w:t>
      </w:r>
      <w:r w:rsidR="006771C6" w:rsidRPr="00F8556B">
        <w:t xml:space="preserve">D’autres ajustements ont été apportés afin que les rapports soient </w:t>
      </w:r>
      <w:r w:rsidR="0064743A">
        <w:t>établis</w:t>
      </w:r>
      <w:r w:rsidR="006771C6" w:rsidRPr="00F8556B">
        <w:t xml:space="preserve"> sur une base régionale tous les six ans</w:t>
      </w:r>
      <w:r>
        <w:t xml:space="preserve"> (décisions</w:t>
      </w:r>
      <w:r w:rsidR="007C6BDF">
        <w:t> </w:t>
      </w:r>
      <w:hyperlink r:id="rId10" w:history="1">
        <w:r>
          <w:rPr>
            <w:rStyle w:val="Lienhypertexte"/>
          </w:rPr>
          <w:t>13.COM 8</w:t>
        </w:r>
      </w:hyperlink>
      <w:r>
        <w:t xml:space="preserve"> et </w:t>
      </w:r>
      <w:hyperlink r:id="rId11" w:history="1">
        <w:r>
          <w:rPr>
            <w:rStyle w:val="Lienhypertexte"/>
          </w:rPr>
          <w:t>14.COM 8</w:t>
        </w:r>
      </w:hyperlink>
      <w:r>
        <w:rPr>
          <w:rStyle w:val="Lienhypertexte"/>
          <w:color w:val="000000" w:themeColor="text1"/>
          <w:u w:val="none"/>
        </w:rPr>
        <w:t>)</w:t>
      </w:r>
      <w:r>
        <w:t>.</w:t>
      </w:r>
      <w:r>
        <w:rPr>
          <w:rStyle w:val="Lienhypertexte"/>
          <w:color w:val="000000" w:themeColor="text1"/>
          <w:u w:val="none"/>
        </w:rPr>
        <w:t xml:space="preserve"> En conséquence,</w:t>
      </w:r>
      <w:r w:rsidR="006771C6">
        <w:rPr>
          <w:rStyle w:val="Lienhypertexte"/>
          <w:color w:val="000000" w:themeColor="text1"/>
          <w:u w:val="none"/>
        </w:rPr>
        <w:t xml:space="preserve"> depuis 2021, toutes</w:t>
      </w:r>
      <w:r>
        <w:rPr>
          <w:rStyle w:val="Lienhypertexte"/>
          <w:color w:val="000000" w:themeColor="text1"/>
          <w:u w:val="none"/>
        </w:rPr>
        <w:t xml:space="preserve"> les régions </w:t>
      </w:r>
      <w:r w:rsidR="006771C6">
        <w:rPr>
          <w:rStyle w:val="Lienhypertexte"/>
          <w:color w:val="000000" w:themeColor="text1"/>
          <w:u w:val="none"/>
        </w:rPr>
        <w:t>ont</w:t>
      </w:r>
      <w:r>
        <w:rPr>
          <w:rStyle w:val="Lienhypertexte"/>
          <w:color w:val="000000" w:themeColor="text1"/>
          <w:u w:val="none"/>
        </w:rPr>
        <w:t xml:space="preserve"> </w:t>
      </w:r>
      <w:r w:rsidR="006771C6">
        <w:rPr>
          <w:rStyle w:val="Lienhypertexte"/>
          <w:color w:val="000000" w:themeColor="text1"/>
          <w:u w:val="none"/>
        </w:rPr>
        <w:t xml:space="preserve">entrepris </w:t>
      </w:r>
      <w:r>
        <w:rPr>
          <w:rStyle w:val="Lienhypertexte"/>
          <w:color w:val="000000" w:themeColor="text1"/>
          <w:u w:val="none"/>
        </w:rPr>
        <w:t xml:space="preserve">ou </w:t>
      </w:r>
      <w:r w:rsidR="006771C6">
        <w:rPr>
          <w:rStyle w:val="Lienhypertexte"/>
          <w:color w:val="000000" w:themeColor="text1"/>
          <w:u w:val="none"/>
        </w:rPr>
        <w:t>sont en train d’entreprendre</w:t>
      </w:r>
      <w:r>
        <w:rPr>
          <w:rStyle w:val="Lienhypertexte"/>
          <w:color w:val="000000" w:themeColor="text1"/>
          <w:u w:val="none"/>
        </w:rPr>
        <w:t xml:space="preserve"> </w:t>
      </w:r>
      <w:r w:rsidR="006771C6">
        <w:rPr>
          <w:rStyle w:val="Lienhypertexte"/>
          <w:color w:val="000000" w:themeColor="text1"/>
          <w:u w:val="none"/>
        </w:rPr>
        <w:t>l’exercice du rapport périodique</w:t>
      </w:r>
      <w:r>
        <w:rPr>
          <w:rStyle w:val="Lienhypertexte"/>
          <w:color w:val="000000" w:themeColor="text1"/>
          <w:u w:val="none"/>
        </w:rPr>
        <w:t>.</w:t>
      </w:r>
      <w:r w:rsidR="006771C6">
        <w:rPr>
          <w:rStyle w:val="Lienhypertexte"/>
          <w:color w:val="000000" w:themeColor="text1"/>
          <w:u w:val="none"/>
        </w:rPr>
        <w:t xml:space="preserve"> </w:t>
      </w:r>
    </w:p>
    <w:p w14:paraId="6547E266" w14:textId="36DBBB7C" w:rsidR="00051783" w:rsidRPr="00553B84" w:rsidRDefault="000C03E5" w:rsidP="00850179">
      <w:pPr>
        <w:pStyle w:val="COMPara"/>
        <w:ind w:left="567" w:hanging="567"/>
        <w:jc w:val="both"/>
        <w:rPr>
          <w:rStyle w:val="Lienhypertexte"/>
          <w:color w:val="auto"/>
          <w:u w:val="none"/>
        </w:rPr>
      </w:pPr>
      <w:r>
        <w:rPr>
          <w:rStyle w:val="Lienhypertexte"/>
          <w:color w:val="auto"/>
          <w:u w:val="none"/>
        </w:rPr>
        <w:t>Parallèlement, l</w:t>
      </w:r>
      <w:r w:rsidR="007C6BDF">
        <w:rPr>
          <w:rStyle w:val="Lienhypertexte"/>
          <w:color w:val="auto"/>
          <w:u w:val="none"/>
        </w:rPr>
        <w:t>’</w:t>
      </w:r>
      <w:r>
        <w:rPr>
          <w:rStyle w:val="Lienhypertexte"/>
          <w:color w:val="auto"/>
          <w:u w:val="none"/>
        </w:rPr>
        <w:t>adoption à l</w:t>
      </w:r>
      <w:r w:rsidR="007C6BDF">
        <w:rPr>
          <w:rStyle w:val="Lienhypertexte"/>
          <w:color w:val="auto"/>
          <w:u w:val="none"/>
        </w:rPr>
        <w:t>’</w:t>
      </w:r>
      <w:r>
        <w:rPr>
          <w:rStyle w:val="Lienhypertexte"/>
          <w:color w:val="auto"/>
          <w:u w:val="none"/>
        </w:rPr>
        <w:t xml:space="preserve">unanimité de la </w:t>
      </w:r>
      <w:hyperlink r:id="rId12" w:history="1">
        <w:r w:rsidR="00EB7EEE">
          <w:rPr>
            <w:rStyle w:val="Lienhypertexte"/>
          </w:rPr>
          <w:t>D</w:t>
        </w:r>
        <w:r>
          <w:rPr>
            <w:rStyle w:val="Lienhypertexte"/>
          </w:rPr>
          <w:t>éclaration</w:t>
        </w:r>
      </w:hyperlink>
      <w:r>
        <w:rPr>
          <w:rStyle w:val="Lienhypertexte"/>
          <w:color w:val="auto"/>
          <w:u w:val="none"/>
        </w:rPr>
        <w:t xml:space="preserve"> MONDIACULT</w:t>
      </w:r>
      <w:r w:rsidR="007C6BDF">
        <w:rPr>
          <w:rStyle w:val="Lienhypertexte"/>
          <w:color w:val="auto"/>
          <w:u w:val="none"/>
        </w:rPr>
        <w:t> </w:t>
      </w:r>
      <w:r>
        <w:rPr>
          <w:rFonts w:asciiTheme="minorBidi" w:hAnsiTheme="minorBidi"/>
        </w:rPr>
        <w:t>2022</w:t>
      </w:r>
      <w:r>
        <w:rPr>
          <w:rStyle w:val="Lienhypertexte"/>
          <w:color w:val="auto"/>
          <w:u w:val="none"/>
        </w:rPr>
        <w:t xml:space="preserve"> lors de la </w:t>
      </w:r>
      <w:r w:rsidR="00280001">
        <w:rPr>
          <w:rStyle w:val="Lienhypertexte"/>
          <w:color w:val="auto"/>
          <w:u w:val="none"/>
        </w:rPr>
        <w:t>C</w:t>
      </w:r>
      <w:r>
        <w:rPr>
          <w:rStyle w:val="Lienhypertexte"/>
          <w:color w:val="auto"/>
          <w:u w:val="none"/>
        </w:rPr>
        <w:t>onférence mondiale de l</w:t>
      </w:r>
      <w:r w:rsidR="007C6BDF">
        <w:rPr>
          <w:rStyle w:val="Lienhypertexte"/>
          <w:color w:val="auto"/>
          <w:u w:val="none"/>
        </w:rPr>
        <w:t>’</w:t>
      </w:r>
      <w:r>
        <w:rPr>
          <w:rStyle w:val="Lienhypertexte"/>
          <w:color w:val="auto"/>
          <w:u w:val="none"/>
        </w:rPr>
        <w:t xml:space="preserve">UNESCO sur les </w:t>
      </w:r>
      <w:r>
        <w:rPr>
          <w:rFonts w:asciiTheme="minorBidi" w:hAnsiTheme="minorBidi"/>
        </w:rPr>
        <w:t xml:space="preserve">politiques culturelles et le développement durable </w:t>
      </w:r>
      <w:r w:rsidR="007C6BDF">
        <w:rPr>
          <w:rFonts w:asciiTheme="minorBidi" w:hAnsiTheme="minorBidi"/>
        </w:rPr>
        <w:t>—</w:t>
      </w:r>
      <w:r>
        <w:rPr>
          <w:rFonts w:asciiTheme="minorBidi" w:hAnsiTheme="minorBidi"/>
        </w:rPr>
        <w:t xml:space="preserve"> MONDIACULT</w:t>
      </w:r>
      <w:r w:rsidR="007C6BDF">
        <w:rPr>
          <w:rFonts w:asciiTheme="minorBidi" w:hAnsiTheme="minorBidi"/>
        </w:rPr>
        <w:t> </w:t>
      </w:r>
      <w:r>
        <w:rPr>
          <w:rFonts w:asciiTheme="minorBidi" w:hAnsiTheme="minorBidi"/>
        </w:rPr>
        <w:t xml:space="preserve">2022 </w:t>
      </w:r>
      <w:r w:rsidR="007C6BDF">
        <w:rPr>
          <w:rFonts w:asciiTheme="minorBidi" w:hAnsiTheme="minorBidi"/>
        </w:rPr>
        <w:t>—</w:t>
      </w:r>
      <w:r>
        <w:rPr>
          <w:rFonts w:asciiTheme="minorBidi" w:hAnsiTheme="minorBidi"/>
        </w:rPr>
        <w:t xml:space="preserve"> a invité l</w:t>
      </w:r>
      <w:r w:rsidR="007C6BDF">
        <w:rPr>
          <w:rFonts w:asciiTheme="minorBidi" w:hAnsiTheme="minorBidi"/>
        </w:rPr>
        <w:t>’</w:t>
      </w:r>
      <w:r>
        <w:rPr>
          <w:rFonts w:asciiTheme="minorBidi" w:hAnsiTheme="minorBidi"/>
        </w:rPr>
        <w:t xml:space="preserve">UNESCO à produire un </w:t>
      </w:r>
      <w:r w:rsidR="00280001">
        <w:rPr>
          <w:rFonts w:asciiTheme="minorBidi" w:hAnsiTheme="minorBidi"/>
        </w:rPr>
        <w:t>R</w:t>
      </w:r>
      <w:r>
        <w:rPr>
          <w:rFonts w:asciiTheme="minorBidi" w:hAnsiTheme="minorBidi"/>
        </w:rPr>
        <w:t>apport global sur les politiques culturelles, sur une base quadriennale, en s</w:t>
      </w:r>
      <w:r w:rsidR="007C6BDF">
        <w:rPr>
          <w:rFonts w:asciiTheme="minorBidi" w:hAnsiTheme="minorBidi"/>
        </w:rPr>
        <w:t>’</w:t>
      </w:r>
      <w:r>
        <w:rPr>
          <w:rFonts w:asciiTheme="minorBidi" w:hAnsiTheme="minorBidi"/>
        </w:rPr>
        <w:t>appuyant sur les informations, les données et les indicateurs existants fournis par ses États membres</w:t>
      </w:r>
      <w:r>
        <w:t xml:space="preserve">. </w:t>
      </w:r>
      <w:r w:rsidR="007C6BDF">
        <w:t>Bien que</w:t>
      </w:r>
      <w:r>
        <w:t xml:space="preserve"> les mécanismes de rapport périodique de chaque convention et recommandation </w:t>
      </w:r>
      <w:r w:rsidR="0064743A">
        <w:t xml:space="preserve">dans le domaine de la culture </w:t>
      </w:r>
      <w:r>
        <w:t>constitueraient la principale source d</w:t>
      </w:r>
      <w:r w:rsidR="007C6BDF">
        <w:t>’</w:t>
      </w:r>
      <w:r>
        <w:t xml:space="preserve">information pour préparer ce rapport, cette initiative nécessite des ajustements </w:t>
      </w:r>
      <w:r w:rsidR="00280001">
        <w:t xml:space="preserve">considérables </w:t>
      </w:r>
      <w:r>
        <w:t>en termes d</w:t>
      </w:r>
      <w:r w:rsidR="0064743A">
        <w:t>’établissement</w:t>
      </w:r>
      <w:r>
        <w:t>, d</w:t>
      </w:r>
      <w:r w:rsidR="007C6BDF">
        <w:t>’</w:t>
      </w:r>
      <w:r>
        <w:t>analyse et de visualisation des rapports périodiques</w:t>
      </w:r>
      <w:r w:rsidR="00280001">
        <w:t xml:space="preserve">, afin de fournir un aperçu </w:t>
      </w:r>
      <w:r w:rsidR="00925CC7">
        <w:t>global</w:t>
      </w:r>
      <w:r w:rsidR="00280001">
        <w:t xml:space="preserve"> de la contribution de la culture au développement durable </w:t>
      </w:r>
      <w:r w:rsidR="006D66D5">
        <w:t xml:space="preserve">dans toutes les régions et </w:t>
      </w:r>
      <w:r w:rsidR="00EB7EEE">
        <w:t xml:space="preserve">tous les </w:t>
      </w:r>
      <w:r w:rsidR="006D66D5">
        <w:t>domaines culturels</w:t>
      </w:r>
      <w:r>
        <w:t>.</w:t>
      </w:r>
    </w:p>
    <w:p w14:paraId="4B7B1203" w14:textId="3B264EFB" w:rsidR="00615F6E" w:rsidRPr="00553B84" w:rsidRDefault="008F6168" w:rsidP="008F6168">
      <w:pPr>
        <w:pStyle w:val="COMPara"/>
        <w:ind w:left="567" w:hanging="567"/>
        <w:jc w:val="both"/>
      </w:pPr>
      <w:r>
        <w:t xml:space="preserve">Le présent document vise à </w:t>
      </w:r>
      <w:r w:rsidR="0064743A">
        <w:t>faire le point</w:t>
      </w:r>
      <w:r>
        <w:t xml:space="preserve"> sur le cycle en cours du système de rapports périodiques sur la mise en œuvre de la Convention et l</w:t>
      </w:r>
      <w:r w:rsidR="007C6BDF">
        <w:t>’</w:t>
      </w:r>
      <w:r>
        <w:t>état actuel des éléments inscrits sur la Liste représentative du patrimoine culturel immatériel de l</w:t>
      </w:r>
      <w:r w:rsidR="007C6BDF">
        <w:t>’</w:t>
      </w:r>
      <w:r>
        <w:t xml:space="preserve">humanité (Section A). Ce document </w:t>
      </w:r>
      <w:r w:rsidR="0064743A">
        <w:t>apporte également des informations actualisées sur</w:t>
      </w:r>
      <w:r>
        <w:t xml:space="preserve"> la proposition de rationaliser les cycles </w:t>
      </w:r>
      <w:r w:rsidR="0064743A">
        <w:t xml:space="preserve">d’établissement </w:t>
      </w:r>
      <w:r>
        <w:t>des rapports périodiques, en vue d</w:t>
      </w:r>
      <w:r w:rsidR="007C6BDF">
        <w:t>’</w:t>
      </w:r>
      <w:r>
        <w:t xml:space="preserve">un </w:t>
      </w:r>
      <w:r w:rsidR="0064743A">
        <w:t xml:space="preserve">calendrier </w:t>
      </w:r>
      <w:r>
        <w:t xml:space="preserve">unique </w:t>
      </w:r>
      <w:r w:rsidR="008252A6">
        <w:t xml:space="preserve">de soumission </w:t>
      </w:r>
      <w:r>
        <w:t>mondial des rapports périodiques</w:t>
      </w:r>
      <w:r w:rsidR="0064743A">
        <w:t>,</w:t>
      </w:r>
      <w:r>
        <w:t xml:space="preserve"> commun aux conventions et recommandations de l</w:t>
      </w:r>
      <w:r w:rsidR="007C6BDF">
        <w:t>’</w:t>
      </w:r>
      <w:r>
        <w:t xml:space="preserve">UNESCO </w:t>
      </w:r>
      <w:r w:rsidR="0064743A">
        <w:t>dans le domaine de la culture</w:t>
      </w:r>
      <w:r>
        <w:t>, y compris en préparation du Rapport mondial quadriennal sur les politiques culturelles, comme le demande la Déclaration de MONDIACULT</w:t>
      </w:r>
      <w:r w:rsidR="007C6BDF">
        <w:t> </w:t>
      </w:r>
      <w:r>
        <w:t xml:space="preserve">2022 </w:t>
      </w:r>
      <w:r>
        <w:rPr>
          <w:rFonts w:asciiTheme="minorBidi" w:hAnsiTheme="minorBidi"/>
        </w:rPr>
        <w:t>(Section B).</w:t>
      </w:r>
    </w:p>
    <w:p w14:paraId="05D1C79F" w14:textId="47B0BA97" w:rsidR="0057439C" w:rsidRPr="00553B84" w:rsidRDefault="008F6168" w:rsidP="00400582">
      <w:pPr>
        <w:pStyle w:val="COMPara"/>
        <w:numPr>
          <w:ilvl w:val="0"/>
          <w:numId w:val="6"/>
        </w:numPr>
        <w:spacing w:before="240"/>
        <w:ind w:left="567" w:hanging="567"/>
        <w:jc w:val="both"/>
        <w:rPr>
          <w:b/>
          <w:bCs/>
        </w:rPr>
      </w:pPr>
      <w:r>
        <w:rPr>
          <w:b/>
        </w:rPr>
        <w:t xml:space="preserve">Point sur le cycle en cours des rapports périodiques </w:t>
      </w:r>
      <w:r w:rsidR="00EB7EEE">
        <w:rPr>
          <w:b/>
        </w:rPr>
        <w:t xml:space="preserve">sur </w:t>
      </w:r>
      <w:r>
        <w:rPr>
          <w:b/>
        </w:rPr>
        <w:t>la mise en œuvre de la Convention</w:t>
      </w:r>
    </w:p>
    <w:p w14:paraId="41CD264D" w14:textId="7BE2ED40" w:rsidR="002814F6" w:rsidRPr="00553B84" w:rsidRDefault="005C3492" w:rsidP="00AC18C1">
      <w:pPr>
        <w:pStyle w:val="COMPara"/>
        <w:ind w:left="567" w:hanging="567"/>
      </w:pPr>
      <w:r>
        <w:t>Le cycle actuel de rapports périodiques progresse selon le calendrier suivant</w:t>
      </w:r>
      <w:r w:rsidR="007C6BDF">
        <w:t> </w:t>
      </w:r>
      <w:r>
        <w:t>:</w:t>
      </w:r>
    </w:p>
    <w:p w14:paraId="2C0054EA" w14:textId="026D4524" w:rsidR="005C3492" w:rsidRPr="00553B84" w:rsidRDefault="005C3492" w:rsidP="003C6FDB">
      <w:pPr>
        <w:pStyle w:val="COMPara"/>
        <w:numPr>
          <w:ilvl w:val="0"/>
          <w:numId w:val="7"/>
        </w:numPr>
        <w:ind w:left="1134" w:hanging="567"/>
        <w:jc w:val="both"/>
      </w:pPr>
      <w:r>
        <w:rPr>
          <w:b/>
        </w:rPr>
        <w:t>Amérique latine et Caraïbes</w:t>
      </w:r>
      <w:r w:rsidR="007C6BDF">
        <w:t> </w:t>
      </w:r>
      <w:r>
        <w:t>: les rapports soumis avant le 15</w:t>
      </w:r>
      <w:r w:rsidR="007C6BDF">
        <w:t> </w:t>
      </w:r>
      <w:r>
        <w:t>décembre 2020 ont été examinés par le Comité lors de sa seizième session en 2021.</w:t>
      </w:r>
    </w:p>
    <w:p w14:paraId="46391820" w14:textId="2FAD7680" w:rsidR="005C3492" w:rsidRPr="00553B84" w:rsidRDefault="005C3492" w:rsidP="003C6FDB">
      <w:pPr>
        <w:pStyle w:val="Sansinterligne2"/>
        <w:numPr>
          <w:ilvl w:val="0"/>
          <w:numId w:val="7"/>
        </w:numPr>
        <w:spacing w:after="120"/>
        <w:ind w:left="1134" w:hanging="567"/>
        <w:jc w:val="both"/>
        <w:rPr>
          <w:rFonts w:asciiTheme="minorBidi" w:hAnsiTheme="minorBidi" w:cstheme="minorBidi"/>
          <w:sz w:val="22"/>
          <w:szCs w:val="22"/>
        </w:rPr>
      </w:pPr>
      <w:r>
        <w:rPr>
          <w:rFonts w:asciiTheme="minorBidi" w:hAnsiTheme="minorBidi"/>
          <w:b/>
          <w:sz w:val="22"/>
        </w:rPr>
        <w:t>Europe</w:t>
      </w:r>
      <w:r w:rsidR="007C6BDF">
        <w:rPr>
          <w:rFonts w:asciiTheme="minorBidi" w:hAnsiTheme="minorBidi"/>
          <w:sz w:val="22"/>
        </w:rPr>
        <w:t> </w:t>
      </w:r>
      <w:r>
        <w:rPr>
          <w:rFonts w:asciiTheme="minorBidi" w:hAnsiTheme="minorBidi"/>
          <w:sz w:val="22"/>
        </w:rPr>
        <w:t>: les rapports soumis avant le 15</w:t>
      </w:r>
      <w:r w:rsidR="007C6BDF">
        <w:rPr>
          <w:rFonts w:asciiTheme="minorBidi" w:hAnsiTheme="minorBidi"/>
          <w:sz w:val="22"/>
        </w:rPr>
        <w:t> </w:t>
      </w:r>
      <w:r>
        <w:rPr>
          <w:rFonts w:asciiTheme="minorBidi" w:hAnsiTheme="minorBidi"/>
          <w:sz w:val="22"/>
        </w:rPr>
        <w:t>décembre 2021 ont été examinés par le Comité lors de sa dix-septième session en 2022.</w:t>
      </w:r>
    </w:p>
    <w:p w14:paraId="175F5394" w14:textId="410E3FD6" w:rsidR="005C3492" w:rsidRPr="00553B84" w:rsidRDefault="005C3492" w:rsidP="003C6FDB">
      <w:pPr>
        <w:pStyle w:val="Sansinterligne2"/>
        <w:numPr>
          <w:ilvl w:val="0"/>
          <w:numId w:val="7"/>
        </w:numPr>
        <w:spacing w:after="120"/>
        <w:ind w:left="1134" w:hanging="567"/>
        <w:jc w:val="both"/>
        <w:rPr>
          <w:rFonts w:asciiTheme="minorBidi" w:hAnsiTheme="minorBidi" w:cstheme="minorBidi"/>
          <w:sz w:val="22"/>
          <w:szCs w:val="22"/>
        </w:rPr>
      </w:pPr>
      <w:r>
        <w:rPr>
          <w:rFonts w:asciiTheme="minorBidi" w:hAnsiTheme="minorBidi"/>
          <w:b/>
          <w:sz w:val="22"/>
        </w:rPr>
        <w:t>États arabes</w:t>
      </w:r>
      <w:r w:rsidR="007C6BDF">
        <w:rPr>
          <w:rFonts w:asciiTheme="minorBidi" w:hAnsiTheme="minorBidi"/>
          <w:sz w:val="22"/>
        </w:rPr>
        <w:t> </w:t>
      </w:r>
      <w:r>
        <w:rPr>
          <w:rFonts w:asciiTheme="minorBidi" w:hAnsiTheme="minorBidi"/>
          <w:sz w:val="22"/>
        </w:rPr>
        <w:t>: les rapports soumis avant le 15</w:t>
      </w:r>
      <w:r w:rsidR="007C6BDF">
        <w:rPr>
          <w:rFonts w:asciiTheme="minorBidi" w:hAnsiTheme="minorBidi"/>
          <w:sz w:val="22"/>
        </w:rPr>
        <w:t> </w:t>
      </w:r>
      <w:r>
        <w:rPr>
          <w:rFonts w:asciiTheme="minorBidi" w:hAnsiTheme="minorBidi"/>
          <w:sz w:val="22"/>
        </w:rPr>
        <w:t>décembre 2022 ont été examinés par le Comité lors de sa dix-huitième session en 2023.</w:t>
      </w:r>
    </w:p>
    <w:p w14:paraId="3F1600F9" w14:textId="3FE0921A" w:rsidR="005C3492" w:rsidRPr="00553B84" w:rsidRDefault="005C3492" w:rsidP="003C6FDB">
      <w:pPr>
        <w:pStyle w:val="Sansinterligne2"/>
        <w:numPr>
          <w:ilvl w:val="0"/>
          <w:numId w:val="7"/>
        </w:numPr>
        <w:spacing w:after="120"/>
        <w:ind w:left="1134" w:hanging="567"/>
        <w:jc w:val="both"/>
        <w:rPr>
          <w:rFonts w:asciiTheme="minorBidi" w:hAnsiTheme="minorBidi" w:cstheme="minorBidi"/>
          <w:sz w:val="22"/>
          <w:szCs w:val="22"/>
        </w:rPr>
      </w:pPr>
      <w:r>
        <w:rPr>
          <w:rFonts w:asciiTheme="minorBidi" w:hAnsiTheme="minorBidi"/>
          <w:b/>
          <w:sz w:val="22"/>
        </w:rPr>
        <w:t>Afrique</w:t>
      </w:r>
      <w:r w:rsidR="007C6BDF">
        <w:rPr>
          <w:rFonts w:asciiTheme="minorBidi" w:hAnsiTheme="minorBidi"/>
          <w:sz w:val="22"/>
        </w:rPr>
        <w:t> </w:t>
      </w:r>
      <w:r>
        <w:rPr>
          <w:rFonts w:asciiTheme="minorBidi" w:hAnsiTheme="minorBidi"/>
          <w:sz w:val="22"/>
        </w:rPr>
        <w:t>: les rapports soumis avant le 15</w:t>
      </w:r>
      <w:r w:rsidR="007C6BDF">
        <w:rPr>
          <w:rFonts w:asciiTheme="minorBidi" w:hAnsiTheme="minorBidi"/>
          <w:sz w:val="22"/>
        </w:rPr>
        <w:t> </w:t>
      </w:r>
      <w:r>
        <w:rPr>
          <w:rFonts w:asciiTheme="minorBidi" w:hAnsiTheme="minorBidi"/>
          <w:sz w:val="22"/>
        </w:rPr>
        <w:t>décembre 2023 seront examinés par le Comité lors de sa dix-neuvième session en 2024.</w:t>
      </w:r>
    </w:p>
    <w:p w14:paraId="7D2D1986" w14:textId="4D3F2BB8" w:rsidR="005C3492" w:rsidRPr="00553B84" w:rsidRDefault="005C3492" w:rsidP="003C6FDB">
      <w:pPr>
        <w:pStyle w:val="COMPara"/>
        <w:numPr>
          <w:ilvl w:val="0"/>
          <w:numId w:val="7"/>
        </w:numPr>
        <w:ind w:left="1134" w:hanging="567"/>
        <w:jc w:val="both"/>
      </w:pPr>
      <w:r>
        <w:rPr>
          <w:rFonts w:asciiTheme="minorBidi" w:hAnsiTheme="minorBidi"/>
          <w:b/>
        </w:rPr>
        <w:t>Asie et Pacifique</w:t>
      </w:r>
      <w:r w:rsidR="007C6BDF">
        <w:rPr>
          <w:rFonts w:asciiTheme="minorBidi" w:hAnsiTheme="minorBidi"/>
        </w:rPr>
        <w:t> </w:t>
      </w:r>
      <w:r>
        <w:rPr>
          <w:rFonts w:asciiTheme="minorBidi" w:hAnsiTheme="minorBidi"/>
        </w:rPr>
        <w:t>: les rapports soumis avant le 15</w:t>
      </w:r>
      <w:r w:rsidR="007C6BDF">
        <w:rPr>
          <w:rFonts w:asciiTheme="minorBidi" w:hAnsiTheme="minorBidi"/>
        </w:rPr>
        <w:t> </w:t>
      </w:r>
      <w:r>
        <w:rPr>
          <w:rFonts w:asciiTheme="minorBidi" w:hAnsiTheme="minorBidi"/>
        </w:rPr>
        <w:t>décembre 2024 seront examinés par le Comité lors de sa vingtième session en 2025.</w:t>
      </w:r>
    </w:p>
    <w:p w14:paraId="20F8008E" w14:textId="2FE8CDEA" w:rsidR="00527782" w:rsidRPr="00553B84" w:rsidRDefault="000D7088" w:rsidP="003C6FDB">
      <w:pPr>
        <w:pStyle w:val="COMPara"/>
        <w:numPr>
          <w:ilvl w:val="0"/>
          <w:numId w:val="7"/>
        </w:numPr>
        <w:ind w:left="1134" w:hanging="567"/>
        <w:jc w:val="both"/>
      </w:pPr>
      <w:r>
        <w:rPr>
          <w:rFonts w:asciiTheme="minorBidi" w:hAnsiTheme="minorBidi"/>
        </w:rPr>
        <w:t>Il est prévu que ce processus s</w:t>
      </w:r>
      <w:r w:rsidR="007C6BDF">
        <w:rPr>
          <w:rFonts w:asciiTheme="minorBidi" w:hAnsiTheme="minorBidi"/>
        </w:rPr>
        <w:t>’</w:t>
      </w:r>
      <w:r>
        <w:rPr>
          <w:rFonts w:asciiTheme="minorBidi" w:hAnsiTheme="minorBidi"/>
        </w:rPr>
        <w:t>achève par une année de réflexion en 2026.</w:t>
      </w:r>
    </w:p>
    <w:p w14:paraId="720AE058" w14:textId="148F3DC5" w:rsidR="00527782" w:rsidRPr="00553B84" w:rsidRDefault="00527782" w:rsidP="006D44DF">
      <w:pPr>
        <w:pStyle w:val="COMPara"/>
        <w:ind w:left="567" w:hanging="567"/>
        <w:jc w:val="both"/>
      </w:pPr>
      <w:r>
        <w:rPr>
          <w:rFonts w:asciiTheme="minorBidi" w:hAnsiTheme="minorBidi"/>
        </w:rPr>
        <w:t>Pour chaque région, l</w:t>
      </w:r>
      <w:r w:rsidR="007C6BDF">
        <w:rPr>
          <w:rFonts w:asciiTheme="minorBidi" w:hAnsiTheme="minorBidi"/>
        </w:rPr>
        <w:t>’</w:t>
      </w:r>
      <w:r>
        <w:rPr>
          <w:rFonts w:asciiTheme="minorBidi" w:hAnsiTheme="minorBidi"/>
        </w:rPr>
        <w:t>exercice de rapport périodique se déroule en quatre phases sur une période de quatre ans (voir également le tableau</w:t>
      </w:r>
      <w:r w:rsidR="007C6BDF">
        <w:rPr>
          <w:rFonts w:asciiTheme="minorBidi" w:hAnsiTheme="minorBidi"/>
        </w:rPr>
        <w:t> </w:t>
      </w:r>
      <w:r>
        <w:rPr>
          <w:rFonts w:asciiTheme="minorBidi" w:hAnsiTheme="minorBidi"/>
        </w:rPr>
        <w:t>1)</w:t>
      </w:r>
      <w:r w:rsidR="007C6BDF">
        <w:rPr>
          <w:rFonts w:asciiTheme="minorBidi" w:hAnsiTheme="minorBidi"/>
        </w:rPr>
        <w:t> </w:t>
      </w:r>
      <w:r>
        <w:rPr>
          <w:rFonts w:asciiTheme="minorBidi" w:hAnsiTheme="minorBidi"/>
        </w:rPr>
        <w:t>:</w:t>
      </w:r>
    </w:p>
    <w:p w14:paraId="578F6947" w14:textId="28E1A910" w:rsidR="00527782" w:rsidRPr="00553B84" w:rsidRDefault="00527782" w:rsidP="003C6FDB">
      <w:pPr>
        <w:pStyle w:val="Sansinterligne2"/>
        <w:numPr>
          <w:ilvl w:val="0"/>
          <w:numId w:val="7"/>
        </w:numPr>
        <w:spacing w:after="120"/>
        <w:ind w:left="1134" w:hanging="567"/>
        <w:jc w:val="both"/>
        <w:rPr>
          <w:rFonts w:ascii="Arial" w:hAnsi="Arial" w:cs="Arial"/>
          <w:sz w:val="22"/>
          <w:szCs w:val="22"/>
        </w:rPr>
      </w:pPr>
      <w:r>
        <w:rPr>
          <w:rFonts w:ascii="Arial" w:hAnsi="Arial"/>
          <w:sz w:val="22"/>
        </w:rPr>
        <w:t xml:space="preserve">La </w:t>
      </w:r>
      <w:r>
        <w:rPr>
          <w:rFonts w:ascii="Arial" w:hAnsi="Arial"/>
          <w:sz w:val="22"/>
          <w:u w:val="single"/>
        </w:rPr>
        <w:t>phase</w:t>
      </w:r>
      <w:r w:rsidR="007C6BDF">
        <w:rPr>
          <w:rFonts w:ascii="Arial" w:hAnsi="Arial"/>
          <w:sz w:val="22"/>
          <w:u w:val="single"/>
        </w:rPr>
        <w:t> </w:t>
      </w:r>
      <w:r>
        <w:rPr>
          <w:rFonts w:ascii="Arial" w:hAnsi="Arial"/>
          <w:sz w:val="22"/>
          <w:u w:val="single"/>
        </w:rPr>
        <w:t>1</w:t>
      </w:r>
      <w:r>
        <w:rPr>
          <w:rFonts w:ascii="Arial" w:hAnsi="Arial"/>
          <w:sz w:val="22"/>
        </w:rPr>
        <w:t xml:space="preserve"> (première année) correspond au lancement de l</w:t>
      </w:r>
      <w:r w:rsidR="007C6BDF">
        <w:rPr>
          <w:rFonts w:ascii="Arial" w:hAnsi="Arial"/>
          <w:sz w:val="22"/>
        </w:rPr>
        <w:t>’</w:t>
      </w:r>
      <w:r>
        <w:rPr>
          <w:rFonts w:ascii="Arial" w:hAnsi="Arial"/>
          <w:sz w:val="22"/>
        </w:rPr>
        <w:t>exercice, avec la désignation par les États parties de points focaux nationaux pour l</w:t>
      </w:r>
      <w:r w:rsidR="007C6BDF">
        <w:rPr>
          <w:rFonts w:ascii="Arial" w:hAnsi="Arial"/>
          <w:sz w:val="22"/>
        </w:rPr>
        <w:t>’</w:t>
      </w:r>
      <w:r>
        <w:rPr>
          <w:rFonts w:ascii="Arial" w:hAnsi="Arial"/>
          <w:sz w:val="22"/>
        </w:rPr>
        <w:t>exercice de présentation de rapports périodiques et la formation de facilitateurs chargés d</w:t>
      </w:r>
      <w:r w:rsidR="007C6BDF">
        <w:rPr>
          <w:rFonts w:ascii="Arial" w:hAnsi="Arial"/>
          <w:sz w:val="22"/>
        </w:rPr>
        <w:t>’</w:t>
      </w:r>
      <w:r>
        <w:rPr>
          <w:rFonts w:ascii="Arial" w:hAnsi="Arial"/>
          <w:sz w:val="22"/>
        </w:rPr>
        <w:t>accompagner les points focaux nationaux.</w:t>
      </w:r>
    </w:p>
    <w:p w14:paraId="33C6A27C" w14:textId="44D3337B" w:rsidR="00527782" w:rsidRPr="00553B84" w:rsidRDefault="00527782" w:rsidP="003C6FDB">
      <w:pPr>
        <w:pStyle w:val="Sansinterligne2"/>
        <w:numPr>
          <w:ilvl w:val="0"/>
          <w:numId w:val="7"/>
        </w:numPr>
        <w:spacing w:after="120"/>
        <w:ind w:left="1134" w:hanging="567"/>
        <w:jc w:val="both"/>
        <w:rPr>
          <w:rFonts w:ascii="Arial" w:hAnsi="Arial" w:cs="Arial"/>
          <w:sz w:val="22"/>
          <w:szCs w:val="22"/>
        </w:rPr>
      </w:pPr>
      <w:r>
        <w:rPr>
          <w:rFonts w:ascii="Arial" w:hAnsi="Arial"/>
          <w:sz w:val="22"/>
        </w:rPr>
        <w:lastRenderedPageBreak/>
        <w:t xml:space="preserve">La </w:t>
      </w:r>
      <w:r>
        <w:rPr>
          <w:rFonts w:ascii="Arial" w:hAnsi="Arial"/>
          <w:sz w:val="22"/>
          <w:u w:val="single"/>
        </w:rPr>
        <w:t>phase</w:t>
      </w:r>
      <w:r w:rsidR="007C6BDF">
        <w:rPr>
          <w:rFonts w:ascii="Arial" w:hAnsi="Arial"/>
          <w:sz w:val="22"/>
          <w:u w:val="single"/>
        </w:rPr>
        <w:t> </w:t>
      </w:r>
      <w:r>
        <w:rPr>
          <w:rFonts w:ascii="Arial" w:hAnsi="Arial"/>
          <w:sz w:val="22"/>
          <w:u w:val="single"/>
        </w:rPr>
        <w:t>2</w:t>
      </w:r>
      <w:r>
        <w:rPr>
          <w:rFonts w:ascii="Arial" w:hAnsi="Arial"/>
          <w:sz w:val="22"/>
        </w:rPr>
        <w:t xml:space="preserve"> (deuxième année) comprend la formation des points focaux nationaux aux niveaux régional et sous-régional, ainsi que la préparation et l</w:t>
      </w:r>
      <w:r w:rsidR="008252A6">
        <w:rPr>
          <w:rFonts w:ascii="Arial" w:hAnsi="Arial"/>
          <w:sz w:val="22"/>
        </w:rPr>
        <w:t>a</w:t>
      </w:r>
      <w:r>
        <w:rPr>
          <w:rFonts w:ascii="Arial" w:hAnsi="Arial"/>
          <w:sz w:val="22"/>
        </w:rPr>
        <w:t xml:space="preserve"> </w:t>
      </w:r>
      <w:r w:rsidR="008252A6">
        <w:rPr>
          <w:rFonts w:ascii="Arial" w:hAnsi="Arial"/>
          <w:sz w:val="22"/>
        </w:rPr>
        <w:t>soumission</w:t>
      </w:r>
      <w:r>
        <w:rPr>
          <w:rFonts w:ascii="Arial" w:hAnsi="Arial"/>
          <w:sz w:val="22"/>
        </w:rPr>
        <w:t xml:space="preserve"> en ligne des rapports.</w:t>
      </w:r>
    </w:p>
    <w:p w14:paraId="665432C8" w14:textId="756ADAD5" w:rsidR="00527782" w:rsidRPr="00553B84" w:rsidRDefault="00527782" w:rsidP="003C6FDB">
      <w:pPr>
        <w:pStyle w:val="Sansinterligne2"/>
        <w:numPr>
          <w:ilvl w:val="0"/>
          <w:numId w:val="7"/>
        </w:numPr>
        <w:spacing w:after="120"/>
        <w:ind w:left="1134" w:hanging="567"/>
        <w:jc w:val="both"/>
        <w:rPr>
          <w:rFonts w:ascii="Arial" w:hAnsi="Arial" w:cs="Arial"/>
          <w:sz w:val="22"/>
          <w:szCs w:val="22"/>
        </w:rPr>
      </w:pPr>
      <w:r>
        <w:rPr>
          <w:rFonts w:ascii="Arial" w:hAnsi="Arial"/>
          <w:sz w:val="22"/>
        </w:rPr>
        <w:t xml:space="preserve">La </w:t>
      </w:r>
      <w:r>
        <w:rPr>
          <w:rFonts w:ascii="Arial" w:hAnsi="Arial"/>
          <w:sz w:val="22"/>
          <w:u w:val="single"/>
        </w:rPr>
        <w:t>phase</w:t>
      </w:r>
      <w:r w:rsidR="007C6BDF">
        <w:rPr>
          <w:rFonts w:ascii="Arial" w:hAnsi="Arial"/>
          <w:sz w:val="22"/>
          <w:u w:val="single"/>
        </w:rPr>
        <w:t> </w:t>
      </w:r>
      <w:r>
        <w:rPr>
          <w:rFonts w:ascii="Arial" w:hAnsi="Arial"/>
          <w:sz w:val="22"/>
          <w:u w:val="single"/>
        </w:rPr>
        <w:t>3</w:t>
      </w:r>
      <w:r>
        <w:rPr>
          <w:rFonts w:ascii="Arial" w:hAnsi="Arial"/>
          <w:sz w:val="22"/>
        </w:rPr>
        <w:t xml:space="preserve"> (troisième année) comprend l</w:t>
      </w:r>
      <w:r w:rsidR="007C6BDF">
        <w:rPr>
          <w:rFonts w:ascii="Arial" w:hAnsi="Arial"/>
          <w:sz w:val="22"/>
        </w:rPr>
        <w:t>’</w:t>
      </w:r>
      <w:r>
        <w:rPr>
          <w:rFonts w:ascii="Arial" w:hAnsi="Arial"/>
          <w:sz w:val="22"/>
        </w:rPr>
        <w:t>analyse préliminaire, par une équipe mise en place par le Secrétariat, des rapports soumis, présentés sous la forme d</w:t>
      </w:r>
      <w:r w:rsidR="007C6BDF">
        <w:rPr>
          <w:rFonts w:ascii="Arial" w:hAnsi="Arial"/>
          <w:sz w:val="22"/>
        </w:rPr>
        <w:t>’</w:t>
      </w:r>
      <w:r>
        <w:rPr>
          <w:rFonts w:ascii="Arial" w:hAnsi="Arial"/>
          <w:sz w:val="22"/>
        </w:rPr>
        <w:t>un «</w:t>
      </w:r>
      <w:r w:rsidR="007C6BDF">
        <w:rPr>
          <w:rFonts w:ascii="Arial" w:hAnsi="Arial"/>
          <w:sz w:val="22"/>
        </w:rPr>
        <w:t> </w:t>
      </w:r>
      <w:r>
        <w:rPr>
          <w:rFonts w:ascii="Arial" w:hAnsi="Arial"/>
          <w:sz w:val="22"/>
        </w:rPr>
        <w:t>résumé analytique</w:t>
      </w:r>
      <w:r w:rsidR="007C6BDF">
        <w:rPr>
          <w:rFonts w:ascii="Arial" w:hAnsi="Arial"/>
          <w:sz w:val="22"/>
        </w:rPr>
        <w:t> </w:t>
      </w:r>
      <w:r>
        <w:rPr>
          <w:rFonts w:ascii="Arial" w:hAnsi="Arial"/>
          <w:sz w:val="22"/>
        </w:rPr>
        <w:t>» pour examen par le Comité dans l</w:t>
      </w:r>
      <w:r w:rsidR="007C6BDF">
        <w:rPr>
          <w:rFonts w:ascii="Arial" w:hAnsi="Arial"/>
          <w:sz w:val="22"/>
        </w:rPr>
        <w:t>’</w:t>
      </w:r>
      <w:r>
        <w:rPr>
          <w:rFonts w:ascii="Arial" w:hAnsi="Arial"/>
          <w:sz w:val="22"/>
        </w:rPr>
        <w:t xml:space="preserve">année qui suit </w:t>
      </w:r>
      <w:r w:rsidR="008252A6">
        <w:rPr>
          <w:rFonts w:ascii="Arial" w:hAnsi="Arial"/>
          <w:sz w:val="22"/>
        </w:rPr>
        <w:t>la soumission</w:t>
      </w:r>
      <w:r>
        <w:rPr>
          <w:rFonts w:ascii="Arial" w:hAnsi="Arial"/>
          <w:sz w:val="22"/>
        </w:rPr>
        <w:t>.</w:t>
      </w:r>
    </w:p>
    <w:p w14:paraId="32BEAA13" w14:textId="1F5A25D3" w:rsidR="00527782" w:rsidRPr="00553B84" w:rsidRDefault="00527782" w:rsidP="003C6FDB">
      <w:pPr>
        <w:pStyle w:val="Sansinterligne2"/>
        <w:numPr>
          <w:ilvl w:val="0"/>
          <w:numId w:val="7"/>
        </w:numPr>
        <w:spacing w:after="120"/>
        <w:ind w:left="1134" w:hanging="567"/>
        <w:jc w:val="both"/>
        <w:rPr>
          <w:rFonts w:ascii="Arial" w:hAnsi="Arial" w:cs="Arial"/>
          <w:sz w:val="22"/>
          <w:szCs w:val="22"/>
        </w:rPr>
      </w:pPr>
      <w:r>
        <w:rPr>
          <w:rFonts w:ascii="Arial" w:hAnsi="Arial"/>
          <w:sz w:val="22"/>
        </w:rPr>
        <w:t xml:space="preserve">La </w:t>
      </w:r>
      <w:r>
        <w:rPr>
          <w:rFonts w:ascii="Arial" w:hAnsi="Arial"/>
          <w:sz w:val="22"/>
          <w:u w:val="single"/>
        </w:rPr>
        <w:t>phase</w:t>
      </w:r>
      <w:r w:rsidR="007C6BDF">
        <w:rPr>
          <w:rFonts w:ascii="Arial" w:hAnsi="Arial"/>
          <w:sz w:val="22"/>
          <w:u w:val="single"/>
        </w:rPr>
        <w:t> </w:t>
      </w:r>
      <w:r>
        <w:rPr>
          <w:rFonts w:ascii="Arial" w:hAnsi="Arial"/>
          <w:sz w:val="22"/>
          <w:u w:val="single"/>
        </w:rPr>
        <w:t>4</w:t>
      </w:r>
      <w:r>
        <w:rPr>
          <w:rFonts w:ascii="Arial" w:hAnsi="Arial"/>
          <w:sz w:val="22"/>
        </w:rPr>
        <w:t xml:space="preserve"> (quatrième année) comprend une analyse complète des données extraites des rapports soumis, qui sera présentée sous la forme d</w:t>
      </w:r>
      <w:r w:rsidR="007C6BDF">
        <w:rPr>
          <w:rFonts w:ascii="Arial" w:hAnsi="Arial"/>
          <w:sz w:val="22"/>
        </w:rPr>
        <w:t>’</w:t>
      </w:r>
      <w:r>
        <w:rPr>
          <w:rFonts w:ascii="Arial" w:hAnsi="Arial"/>
          <w:sz w:val="22"/>
        </w:rPr>
        <w:t>un «</w:t>
      </w:r>
      <w:r w:rsidR="007C6BDF">
        <w:rPr>
          <w:rFonts w:ascii="Arial" w:hAnsi="Arial"/>
          <w:sz w:val="22"/>
        </w:rPr>
        <w:t> </w:t>
      </w:r>
      <w:r>
        <w:rPr>
          <w:rFonts w:ascii="Arial" w:hAnsi="Arial"/>
          <w:sz w:val="22"/>
        </w:rPr>
        <w:t>rapport analytique</w:t>
      </w:r>
      <w:r w:rsidR="007C6BDF">
        <w:rPr>
          <w:rFonts w:ascii="Arial" w:hAnsi="Arial"/>
          <w:sz w:val="22"/>
        </w:rPr>
        <w:t> </w:t>
      </w:r>
      <w:r>
        <w:rPr>
          <w:rFonts w:ascii="Arial" w:hAnsi="Arial"/>
          <w:sz w:val="22"/>
        </w:rPr>
        <w:t xml:space="preserve">» deux ans après </w:t>
      </w:r>
      <w:r w:rsidR="008252A6">
        <w:rPr>
          <w:rFonts w:ascii="Arial" w:hAnsi="Arial"/>
          <w:sz w:val="22"/>
        </w:rPr>
        <w:t>la soumission</w:t>
      </w:r>
      <w:r>
        <w:rPr>
          <w:rFonts w:ascii="Arial" w:hAnsi="Arial"/>
          <w:sz w:val="22"/>
        </w:rPr>
        <w:t xml:space="preserve"> des rapports.</w:t>
      </w:r>
    </w:p>
    <w:p w14:paraId="2EA4B2BF" w14:textId="3962CFB2" w:rsidR="00527782" w:rsidRDefault="00623B97" w:rsidP="003C6FDB">
      <w:pPr>
        <w:pStyle w:val="Sansinterligne2"/>
        <w:spacing w:after="120"/>
        <w:ind w:left="567"/>
        <w:jc w:val="both"/>
        <w:rPr>
          <w:rFonts w:ascii="Arial" w:hAnsi="Arial"/>
          <w:b/>
          <w:color w:val="365F91" w:themeColor="accent1" w:themeShade="BF"/>
          <w:sz w:val="22"/>
        </w:rPr>
      </w:pPr>
      <w:r>
        <w:rPr>
          <w:rFonts w:ascii="Arial" w:hAnsi="Arial"/>
          <w:b/>
          <w:color w:val="365F91" w:themeColor="accent1" w:themeShade="BF"/>
          <w:sz w:val="22"/>
        </w:rPr>
        <w:t>Tableau</w:t>
      </w:r>
      <w:r w:rsidR="007C6BDF">
        <w:rPr>
          <w:rFonts w:ascii="Arial" w:hAnsi="Arial"/>
          <w:b/>
          <w:color w:val="365F91" w:themeColor="accent1" w:themeShade="BF"/>
          <w:sz w:val="22"/>
        </w:rPr>
        <w:t> </w:t>
      </w:r>
      <w:r w:rsidR="00527782" w:rsidRPr="00553B84">
        <w:rPr>
          <w:rFonts w:ascii="Arial" w:hAnsi="Arial" w:cs="Arial"/>
          <w:b/>
          <w:i/>
          <w:color w:val="365F91" w:themeColor="accent1" w:themeShade="BF"/>
          <w:sz w:val="22"/>
        </w:rPr>
        <w:fldChar w:fldCharType="begin"/>
      </w:r>
      <w:r w:rsidR="00527782" w:rsidRPr="00553B84">
        <w:rPr>
          <w:rFonts w:ascii="Arial" w:hAnsi="Arial" w:cs="Arial"/>
          <w:b/>
          <w:color w:val="365F91" w:themeColor="accent1" w:themeShade="BF"/>
          <w:sz w:val="22"/>
        </w:rPr>
        <w:instrText xml:space="preserve"> SEQ Table \* ARABIC </w:instrText>
      </w:r>
      <w:r w:rsidR="00527782" w:rsidRPr="00553B84">
        <w:rPr>
          <w:rFonts w:ascii="Arial" w:hAnsi="Arial" w:cs="Arial"/>
          <w:b/>
          <w:i/>
          <w:color w:val="365F91" w:themeColor="accent1" w:themeShade="BF"/>
          <w:sz w:val="22"/>
        </w:rPr>
        <w:fldChar w:fldCharType="separate"/>
      </w:r>
      <w:r w:rsidR="00034E04" w:rsidRPr="00553B84">
        <w:rPr>
          <w:rFonts w:ascii="Arial" w:hAnsi="Arial" w:cs="Arial"/>
          <w:b/>
          <w:color w:val="365F91" w:themeColor="accent1" w:themeShade="BF"/>
          <w:sz w:val="22"/>
        </w:rPr>
        <w:t>1</w:t>
      </w:r>
      <w:r w:rsidR="00527782" w:rsidRPr="00553B84">
        <w:rPr>
          <w:rFonts w:ascii="Arial" w:hAnsi="Arial" w:cs="Arial"/>
          <w:b/>
          <w:i/>
          <w:color w:val="365F91" w:themeColor="accent1" w:themeShade="BF"/>
          <w:sz w:val="22"/>
        </w:rPr>
        <w:fldChar w:fldCharType="end"/>
      </w:r>
      <w:r w:rsidR="007C6BDF">
        <w:rPr>
          <w:rFonts w:ascii="Arial" w:hAnsi="Arial" w:cs="Arial"/>
          <w:b/>
          <w:i/>
          <w:color w:val="365F91" w:themeColor="accent1" w:themeShade="BF"/>
          <w:sz w:val="22"/>
        </w:rPr>
        <w:t> </w:t>
      </w:r>
      <w:r>
        <w:rPr>
          <w:rFonts w:ascii="Arial" w:hAnsi="Arial"/>
          <w:b/>
          <w:color w:val="365F91" w:themeColor="accent1" w:themeShade="BF"/>
          <w:sz w:val="22"/>
        </w:rPr>
        <w:t>: Phases de l</w:t>
      </w:r>
      <w:r w:rsidR="007C6BDF">
        <w:rPr>
          <w:rFonts w:ascii="Arial" w:hAnsi="Arial"/>
          <w:b/>
          <w:color w:val="365F91" w:themeColor="accent1" w:themeShade="BF"/>
          <w:sz w:val="22"/>
        </w:rPr>
        <w:t>’</w:t>
      </w:r>
      <w:r>
        <w:rPr>
          <w:rFonts w:ascii="Arial" w:hAnsi="Arial"/>
          <w:b/>
          <w:color w:val="365F91" w:themeColor="accent1" w:themeShade="BF"/>
          <w:sz w:val="22"/>
        </w:rPr>
        <w:t>exercice de rapport périodique</w:t>
      </w:r>
    </w:p>
    <w:p w14:paraId="2E7ADFA4" w14:textId="31D774F3" w:rsidR="00F0155F" w:rsidRPr="00553B84" w:rsidRDefault="00F0155F" w:rsidP="003C6FDB">
      <w:pPr>
        <w:pStyle w:val="Sansinterligne2"/>
        <w:spacing w:after="120"/>
        <w:jc w:val="right"/>
        <w:rPr>
          <w:rFonts w:ascii="Arial" w:hAnsi="Arial" w:cs="Arial"/>
          <w:color w:val="365F91" w:themeColor="accent1" w:themeShade="BF"/>
          <w:sz w:val="22"/>
          <w:szCs w:val="22"/>
          <w:u w:val="single"/>
        </w:rPr>
      </w:pPr>
      <w:r>
        <w:rPr>
          <w:noProof/>
        </w:rPr>
        <w:drawing>
          <wp:inline distT="0" distB="0" distL="0" distR="0" wp14:anchorId="31AE492C" wp14:editId="793F73CF">
            <wp:extent cx="5756976" cy="2099170"/>
            <wp:effectExtent l="0" t="0" r="0" b="0"/>
            <wp:docPr id="1951780643"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80643" name="Picture 1" descr="A screenshot of a computer program&#10;&#10;Description automatically generated"/>
                    <pic:cNvPicPr/>
                  </pic:nvPicPr>
                  <pic:blipFill>
                    <a:blip r:embed="rId13"/>
                    <a:stretch>
                      <a:fillRect/>
                    </a:stretch>
                  </pic:blipFill>
                  <pic:spPr>
                    <a:xfrm>
                      <a:off x="0" y="0"/>
                      <a:ext cx="5787927" cy="2110456"/>
                    </a:xfrm>
                    <a:prstGeom prst="rect">
                      <a:avLst/>
                    </a:prstGeom>
                  </pic:spPr>
                </pic:pic>
              </a:graphicData>
            </a:graphic>
          </wp:inline>
        </w:drawing>
      </w:r>
    </w:p>
    <w:p w14:paraId="4A9DA3B1" w14:textId="1B47DC8E" w:rsidR="00E66A26" w:rsidRPr="00553B84" w:rsidRDefault="00E66A26" w:rsidP="003C6FDB">
      <w:pPr>
        <w:pStyle w:val="Sansinterligne2"/>
        <w:spacing w:before="360" w:after="120"/>
        <w:ind w:left="567"/>
        <w:jc w:val="both"/>
        <w:rPr>
          <w:rFonts w:ascii="Arial" w:hAnsi="Arial" w:cs="Arial"/>
          <w:u w:val="single"/>
        </w:rPr>
      </w:pPr>
      <w:r>
        <w:rPr>
          <w:rFonts w:ascii="Arial" w:hAnsi="Arial"/>
          <w:sz w:val="22"/>
          <w:u w:val="single"/>
        </w:rPr>
        <w:t>Cycle</w:t>
      </w:r>
      <w:r w:rsidR="007C6BDF">
        <w:rPr>
          <w:rFonts w:ascii="Arial" w:hAnsi="Arial"/>
          <w:sz w:val="22"/>
          <w:u w:val="single"/>
        </w:rPr>
        <w:t> </w:t>
      </w:r>
      <w:r>
        <w:rPr>
          <w:rFonts w:ascii="Arial" w:hAnsi="Arial"/>
          <w:sz w:val="22"/>
          <w:u w:val="single"/>
        </w:rPr>
        <w:t xml:space="preserve">2021 </w:t>
      </w:r>
      <w:r w:rsidR="007C6BDF">
        <w:rPr>
          <w:rFonts w:ascii="Arial" w:hAnsi="Arial"/>
          <w:sz w:val="22"/>
          <w:u w:val="single"/>
        </w:rPr>
        <w:t>—</w:t>
      </w:r>
      <w:r>
        <w:rPr>
          <w:rFonts w:ascii="Arial" w:hAnsi="Arial"/>
          <w:sz w:val="22"/>
          <w:u w:val="single"/>
        </w:rPr>
        <w:t xml:space="preserve"> Amérique latine et Caraïbes.</w:t>
      </w:r>
    </w:p>
    <w:p w14:paraId="6BA76C7E" w14:textId="37495457" w:rsidR="00E66A26" w:rsidRPr="00553B84" w:rsidRDefault="00E66A26" w:rsidP="00A47E4A">
      <w:pPr>
        <w:pStyle w:val="COMPara"/>
        <w:ind w:left="567" w:hanging="567"/>
        <w:jc w:val="both"/>
      </w:pPr>
      <w:r>
        <w:t>Les États parties d</w:t>
      </w:r>
      <w:r w:rsidR="007C6BDF">
        <w:t>’</w:t>
      </w:r>
      <w:r>
        <w:t xml:space="preserve">Amérique latine et des Caraïbes ont </w:t>
      </w:r>
      <w:r w:rsidR="00F0155F">
        <w:t xml:space="preserve">répondu </w:t>
      </w:r>
      <w:r>
        <w:t>positivement au système réformé</w:t>
      </w:r>
      <w:r w:rsidR="00F0155F">
        <w:t xml:space="preserve">, </w:t>
      </w:r>
      <w:r w:rsidR="007E1FE1">
        <w:t>puisque, malgré</w:t>
      </w:r>
      <w:r>
        <w:t xml:space="preserve"> la pandémie de COVID-19, vingt-huit des trente-deux </w:t>
      </w:r>
      <w:r w:rsidR="00F0155F">
        <w:t>attendus</w:t>
      </w:r>
      <w:r>
        <w:t xml:space="preserve"> (87,5</w:t>
      </w:r>
      <w:r w:rsidR="007C6BDF">
        <w:t> </w:t>
      </w:r>
      <w:r w:rsidR="00F0155F">
        <w:t xml:space="preserve">pour cent) ont </w:t>
      </w:r>
      <w:r>
        <w:t xml:space="preserve">t soumis </w:t>
      </w:r>
      <w:r w:rsidR="00F0155F">
        <w:t xml:space="preserve">un </w:t>
      </w:r>
      <w:r>
        <w:t>rapport.</w:t>
      </w:r>
      <w:r w:rsidR="003D0672">
        <w:rPr>
          <w:rStyle w:val="Appelnotedebasdep"/>
        </w:rPr>
        <w:footnoteReference w:id="1"/>
      </w:r>
      <w:r>
        <w:t xml:space="preserve"> L</w:t>
      </w:r>
      <w:r w:rsidR="007C6BDF">
        <w:t>’</w:t>
      </w:r>
      <w:r>
        <w:t xml:space="preserve">approche du Secrétariat en matière de renforcement des capacités a été soutenue par le </w:t>
      </w:r>
      <w:bookmarkStart w:id="1" w:name="_Hlk149743147"/>
      <w:r>
        <w:t xml:space="preserve">Centre régional pour la sauvegarde du patrimoine culturel immatériel en Amérique latine (CRESPIAL), </w:t>
      </w:r>
      <w:bookmarkEnd w:id="1"/>
      <w:r>
        <w:t>un centre de catégorie</w:t>
      </w:r>
      <w:r w:rsidR="007C6BDF">
        <w:t> </w:t>
      </w:r>
      <w:r>
        <w:t>2 placé sous l</w:t>
      </w:r>
      <w:r w:rsidR="007C6BDF">
        <w:t>’</w:t>
      </w:r>
      <w:r>
        <w:t>égide de l</w:t>
      </w:r>
      <w:r w:rsidR="007C6BDF">
        <w:t>’</w:t>
      </w:r>
      <w:r>
        <w:t>UNESCO.</w:t>
      </w:r>
    </w:p>
    <w:p w14:paraId="6FAD37BE" w14:textId="2235B7CF" w:rsidR="00D863CD" w:rsidRPr="00553B84" w:rsidRDefault="00D863CD" w:rsidP="003C6FDB">
      <w:pPr>
        <w:pStyle w:val="COMPara"/>
        <w:numPr>
          <w:ilvl w:val="0"/>
          <w:numId w:val="0"/>
        </w:numPr>
        <w:ind w:left="567"/>
        <w:jc w:val="both"/>
        <w:rPr>
          <w:rFonts w:asciiTheme="minorBidi" w:hAnsiTheme="minorBidi" w:cstheme="minorBidi"/>
          <w:color w:val="000000" w:themeColor="text1"/>
          <w:u w:val="single"/>
        </w:rPr>
      </w:pPr>
      <w:r>
        <w:rPr>
          <w:rFonts w:asciiTheme="minorBidi" w:hAnsiTheme="minorBidi"/>
          <w:color w:val="000000" w:themeColor="text1"/>
          <w:u w:val="single"/>
        </w:rPr>
        <w:t>Cycle</w:t>
      </w:r>
      <w:r w:rsidR="007C6BDF">
        <w:rPr>
          <w:rFonts w:asciiTheme="minorBidi" w:hAnsiTheme="minorBidi"/>
          <w:color w:val="000000" w:themeColor="text1"/>
          <w:u w:val="single"/>
        </w:rPr>
        <w:t> </w:t>
      </w:r>
      <w:r>
        <w:rPr>
          <w:rFonts w:asciiTheme="minorBidi" w:hAnsiTheme="minorBidi"/>
          <w:color w:val="000000" w:themeColor="text1"/>
          <w:u w:val="single"/>
        </w:rPr>
        <w:t xml:space="preserve">2022 </w:t>
      </w:r>
      <w:r w:rsidR="007C6BDF">
        <w:rPr>
          <w:rFonts w:asciiTheme="minorBidi" w:hAnsiTheme="minorBidi"/>
          <w:color w:val="000000" w:themeColor="text1"/>
          <w:u w:val="single"/>
        </w:rPr>
        <w:t>—</w:t>
      </w:r>
      <w:r>
        <w:rPr>
          <w:rFonts w:asciiTheme="minorBidi" w:hAnsiTheme="minorBidi"/>
          <w:color w:val="000000" w:themeColor="text1"/>
          <w:u w:val="single"/>
        </w:rPr>
        <w:t xml:space="preserve"> Europe</w:t>
      </w:r>
    </w:p>
    <w:p w14:paraId="0F321DB0" w14:textId="39605528" w:rsidR="00D863CD" w:rsidRPr="00553B84" w:rsidRDefault="00D863CD" w:rsidP="00D863CD">
      <w:pPr>
        <w:pStyle w:val="COMPara"/>
        <w:ind w:left="567" w:hanging="567"/>
        <w:jc w:val="both"/>
        <w:rPr>
          <w:u w:val="single"/>
        </w:rPr>
      </w:pPr>
      <w:r>
        <w:t>L</w:t>
      </w:r>
      <w:r w:rsidR="007C6BDF">
        <w:t>’</w:t>
      </w:r>
      <w:r>
        <w:t>engagement des États parties en Europe s</w:t>
      </w:r>
      <w:r w:rsidR="007C6BDF">
        <w:t>’</w:t>
      </w:r>
      <w:r>
        <w:t xml:space="preserve">est manifesté par </w:t>
      </w:r>
      <w:r w:rsidR="008252A6">
        <w:t>la soumission</w:t>
      </w:r>
      <w:r>
        <w:t xml:space="preserve"> de quarante-quatre rapports périodiques (100</w:t>
      </w:r>
      <w:r w:rsidR="007C6BDF">
        <w:t> </w:t>
      </w:r>
      <w:r w:rsidR="00597961">
        <w:t>pour cent</w:t>
      </w:r>
      <w:r>
        <w:t>). Ce résultat a été rendu possible grâce au programme de renforcement des capacités mis en place par le Secrétariat en coopération avec le Centre régional pour la sauvegarde du patrimoine culturel immatériel en Europe du Sud-Est, un centre de catégorie</w:t>
      </w:r>
      <w:r w:rsidR="007C6BDF">
        <w:t> </w:t>
      </w:r>
      <w:r>
        <w:t>2 placé sous l</w:t>
      </w:r>
      <w:r w:rsidR="007C6BDF">
        <w:t>’</w:t>
      </w:r>
      <w:r>
        <w:t>égide de l</w:t>
      </w:r>
      <w:r w:rsidR="007C6BDF">
        <w:t>’</w:t>
      </w:r>
      <w:r>
        <w:t>UNESCO.</w:t>
      </w:r>
      <w:r w:rsidR="00597961">
        <w:rPr>
          <w:rStyle w:val="Appelnotedebasdep"/>
        </w:rPr>
        <w:footnoteReference w:id="2"/>
      </w:r>
    </w:p>
    <w:p w14:paraId="67260ED5" w14:textId="07B9A1D4" w:rsidR="00E66A26" w:rsidRPr="00553B84" w:rsidRDefault="00F40627" w:rsidP="003C6FDB">
      <w:pPr>
        <w:pStyle w:val="COMPara"/>
        <w:numPr>
          <w:ilvl w:val="0"/>
          <w:numId w:val="0"/>
        </w:numPr>
        <w:ind w:left="567"/>
        <w:rPr>
          <w:u w:val="single"/>
        </w:rPr>
      </w:pPr>
      <w:r>
        <w:rPr>
          <w:u w:val="single"/>
        </w:rPr>
        <w:t>Cycle</w:t>
      </w:r>
      <w:r w:rsidR="007C6BDF">
        <w:rPr>
          <w:u w:val="single"/>
        </w:rPr>
        <w:t> </w:t>
      </w:r>
      <w:r>
        <w:rPr>
          <w:u w:val="single"/>
        </w:rPr>
        <w:t>2023</w:t>
      </w:r>
      <w:r w:rsidR="007C6BDF">
        <w:rPr>
          <w:u w:val="single"/>
        </w:rPr>
        <w:t xml:space="preserve"> —</w:t>
      </w:r>
      <w:r>
        <w:rPr>
          <w:u w:val="single"/>
        </w:rPr>
        <w:t xml:space="preserve"> États arabes.</w:t>
      </w:r>
    </w:p>
    <w:p w14:paraId="5415C3BB" w14:textId="0B137F81" w:rsidR="00E66A26" w:rsidRPr="00553B84" w:rsidRDefault="00CB15BB" w:rsidP="00346115">
      <w:pPr>
        <w:pStyle w:val="COMPara"/>
        <w:ind w:left="567" w:hanging="567"/>
        <w:jc w:val="both"/>
        <w:rPr>
          <w:u w:val="single"/>
        </w:rPr>
      </w:pPr>
      <w:r>
        <w:t>Les d</w:t>
      </w:r>
      <w:r w:rsidR="00D76BF7">
        <w:t xml:space="preserve">ix-huit États parties </w:t>
      </w:r>
      <w:r>
        <w:t xml:space="preserve">dans </w:t>
      </w:r>
      <w:r w:rsidR="00D76BF7">
        <w:t>les États arabes (100</w:t>
      </w:r>
      <w:r w:rsidR="007C6BDF">
        <w:t> </w:t>
      </w:r>
      <w:r w:rsidR="001A2BA7">
        <w:t>pour cent</w:t>
      </w:r>
      <w:r w:rsidR="00D76BF7">
        <w:t>) ont soumis leurs rapports périodiques.</w:t>
      </w:r>
      <w:r w:rsidR="001A2BA7">
        <w:rPr>
          <w:rStyle w:val="Appelnotedebasdep"/>
        </w:rPr>
        <w:footnoteReference w:id="3"/>
      </w:r>
      <w:r w:rsidR="00D76BF7">
        <w:t xml:space="preserve"> </w:t>
      </w:r>
      <w:r>
        <w:t xml:space="preserve">Afin de mettre en place des activités de renforcement des capacités dans la </w:t>
      </w:r>
      <w:r>
        <w:lastRenderedPageBreak/>
        <w:t>région, l</w:t>
      </w:r>
      <w:r w:rsidR="00D76BF7">
        <w:t>e Secrétariat a collaboré avec l</w:t>
      </w:r>
      <w:r w:rsidR="007C6BDF">
        <w:t>’</w:t>
      </w:r>
      <w:r w:rsidR="00D76BF7">
        <w:t xml:space="preserve">Institut du patrimoine de Sharjah, </w:t>
      </w:r>
      <w:r>
        <w:t xml:space="preserve">qui accueille le Centre international pour le renforcement des capacités en matière de patrimoine culturel immatériel dans les États arabes, </w:t>
      </w:r>
      <w:r w:rsidR="00D76BF7">
        <w:t>un centre de catégorie</w:t>
      </w:r>
      <w:r w:rsidR="007C6BDF">
        <w:t> </w:t>
      </w:r>
      <w:r w:rsidR="00D76BF7">
        <w:t>2 sous l</w:t>
      </w:r>
      <w:r w:rsidR="007C6BDF">
        <w:t>’</w:t>
      </w:r>
      <w:r w:rsidR="00D76BF7">
        <w:t>égide de l</w:t>
      </w:r>
      <w:r w:rsidR="007C6BDF">
        <w:t>’</w:t>
      </w:r>
      <w:r w:rsidR="00D76BF7">
        <w:t>UNESCO.</w:t>
      </w:r>
    </w:p>
    <w:p w14:paraId="030354D8" w14:textId="51A7F4EF" w:rsidR="00901E86" w:rsidRPr="00553B84" w:rsidRDefault="00901E86" w:rsidP="003C6FDB">
      <w:pPr>
        <w:pStyle w:val="COMPara"/>
        <w:keepNext/>
        <w:numPr>
          <w:ilvl w:val="0"/>
          <w:numId w:val="0"/>
        </w:numPr>
        <w:ind w:left="567"/>
        <w:rPr>
          <w:u w:val="single"/>
        </w:rPr>
      </w:pPr>
      <w:r>
        <w:rPr>
          <w:u w:val="single"/>
        </w:rPr>
        <w:t>Cycle</w:t>
      </w:r>
      <w:r w:rsidR="007C6BDF">
        <w:rPr>
          <w:u w:val="single"/>
        </w:rPr>
        <w:t> </w:t>
      </w:r>
      <w:r>
        <w:rPr>
          <w:u w:val="single"/>
        </w:rPr>
        <w:t xml:space="preserve">2024 </w:t>
      </w:r>
      <w:r w:rsidR="007C6BDF">
        <w:rPr>
          <w:u w:val="single"/>
        </w:rPr>
        <w:t>—</w:t>
      </w:r>
      <w:r>
        <w:rPr>
          <w:u w:val="single"/>
        </w:rPr>
        <w:t xml:space="preserve"> Afrique</w:t>
      </w:r>
    </w:p>
    <w:p w14:paraId="3BA40EBB" w14:textId="7DCE2340" w:rsidR="00ED3862" w:rsidRPr="00553B84" w:rsidRDefault="006F65B1" w:rsidP="006C03CE">
      <w:pPr>
        <w:pStyle w:val="COMPara"/>
        <w:keepNext/>
        <w:ind w:left="567" w:hanging="567"/>
        <w:jc w:val="both"/>
        <w:rPr>
          <w:u w:val="single"/>
        </w:rPr>
      </w:pPr>
      <w:r>
        <w:t>Les q</w:t>
      </w:r>
      <w:r w:rsidR="00623B97">
        <w:t>uarante-quatre États parties d</w:t>
      </w:r>
      <w:r w:rsidR="007C6BDF">
        <w:t>’</w:t>
      </w:r>
      <w:r w:rsidR="00623B97">
        <w:t>Afrique (100</w:t>
      </w:r>
      <w:r w:rsidR="007C6BDF">
        <w:t> </w:t>
      </w:r>
      <w:r>
        <w:t xml:space="preserve">pour cent) </w:t>
      </w:r>
      <w:r w:rsidR="00623B97">
        <w:t>ont soumis leurs rapports périodiques.</w:t>
      </w:r>
      <w:r>
        <w:rPr>
          <w:rStyle w:val="Appelnotedebasdep"/>
        </w:rPr>
        <w:footnoteReference w:id="4"/>
      </w:r>
      <w:r w:rsidR="00623B97">
        <w:t xml:space="preserve"> Le Centre régional pour la sauvegarde du patrimoine culturel immatériel en Afrique (CRESPIAF), </w:t>
      </w:r>
      <w:r w:rsidR="006B21E7">
        <w:t xml:space="preserve">un </w:t>
      </w:r>
      <w:r w:rsidR="00623B97">
        <w:t>centre de catégorie</w:t>
      </w:r>
      <w:r w:rsidR="007C6BDF">
        <w:t> </w:t>
      </w:r>
      <w:r w:rsidR="00623B97">
        <w:t>2 placé sous l</w:t>
      </w:r>
      <w:r w:rsidR="007C6BDF">
        <w:t>’</w:t>
      </w:r>
      <w:r w:rsidR="00623B97">
        <w:t>égide de l</w:t>
      </w:r>
      <w:r w:rsidR="007C6BDF">
        <w:t>’</w:t>
      </w:r>
      <w:r w:rsidR="00623B97">
        <w:t>UNESCO</w:t>
      </w:r>
      <w:r w:rsidR="00DF3D2A">
        <w:t xml:space="preserve"> et le Gouvernement du Brésil</w:t>
      </w:r>
      <w:r w:rsidR="00623B97">
        <w:t xml:space="preserve">, </w:t>
      </w:r>
      <w:r w:rsidR="00DF3D2A">
        <w:t>ont</w:t>
      </w:r>
      <w:r w:rsidR="00623B97">
        <w:t xml:space="preserve"> collaboré avec le Secrétariat </w:t>
      </w:r>
      <w:r w:rsidR="006B21E7">
        <w:t>pour</w:t>
      </w:r>
      <w:r w:rsidR="00623B97">
        <w:t xml:space="preserve"> la mise en œuvre d</w:t>
      </w:r>
      <w:r w:rsidR="007C6BDF">
        <w:t>’</w:t>
      </w:r>
      <w:r w:rsidR="00623B97">
        <w:t>activités de formation</w:t>
      </w:r>
      <w:r w:rsidR="006B21E7">
        <w:t xml:space="preserve"> (notamment un atelier présentiel de cinq jours)</w:t>
      </w:r>
      <w:r w:rsidR="00623B97">
        <w:t xml:space="preserve"> destinées aux facilitateurs et aux points focaux nationaux. En outre, l</w:t>
      </w:r>
      <w:r w:rsidR="007C6BDF">
        <w:t>’</w:t>
      </w:r>
      <w:r w:rsidR="00623B97">
        <w:t>UNESCO a mis en œuvre le projet «</w:t>
      </w:r>
      <w:r w:rsidR="007C6BDF">
        <w:t> </w:t>
      </w:r>
      <w:r w:rsidR="00623B97">
        <w:t>Renforcement des capacités pour l</w:t>
      </w:r>
      <w:r w:rsidR="007C6BDF">
        <w:t>’</w:t>
      </w:r>
      <w:r w:rsidR="00623B97">
        <w:t>établissement de rapports périodiques dans le cadre de la Convention de 2003 pour la sauvegarde du patrimoine culturel immatériel en Afrique</w:t>
      </w:r>
      <w:r w:rsidR="007C6BDF">
        <w:t> </w:t>
      </w:r>
      <w:r w:rsidR="00623B97">
        <w:t>», avec le soutien généreux du Royaume d</w:t>
      </w:r>
      <w:r w:rsidR="007C6BDF">
        <w:t>’</w:t>
      </w:r>
      <w:r w:rsidR="00623B97">
        <w:t>Arabie saoudite.</w:t>
      </w:r>
    </w:p>
    <w:p w14:paraId="1DE85312" w14:textId="60E3F575" w:rsidR="00E66A26" w:rsidRPr="00553B84" w:rsidRDefault="00094843" w:rsidP="003C6FDB">
      <w:pPr>
        <w:pStyle w:val="COMPara"/>
        <w:numPr>
          <w:ilvl w:val="0"/>
          <w:numId w:val="0"/>
        </w:numPr>
        <w:ind w:left="567"/>
        <w:rPr>
          <w:u w:val="single"/>
        </w:rPr>
      </w:pPr>
      <w:r>
        <w:rPr>
          <w:u w:val="single"/>
        </w:rPr>
        <w:t>Cycle</w:t>
      </w:r>
      <w:r w:rsidR="007C6BDF">
        <w:rPr>
          <w:u w:val="single"/>
        </w:rPr>
        <w:t> </w:t>
      </w:r>
      <w:r>
        <w:rPr>
          <w:u w:val="single"/>
        </w:rPr>
        <w:t xml:space="preserve">2025 </w:t>
      </w:r>
      <w:r w:rsidR="007C6BDF">
        <w:rPr>
          <w:u w:val="single"/>
        </w:rPr>
        <w:t>—</w:t>
      </w:r>
      <w:r>
        <w:rPr>
          <w:u w:val="single"/>
        </w:rPr>
        <w:t xml:space="preserve"> Asie et Pacifique</w:t>
      </w:r>
    </w:p>
    <w:p w14:paraId="70D3D81D" w14:textId="341F05CF" w:rsidR="005B037D" w:rsidRPr="00553B84" w:rsidRDefault="00ED3862" w:rsidP="00094843">
      <w:pPr>
        <w:pStyle w:val="COMPara"/>
        <w:ind w:left="567" w:hanging="567"/>
        <w:jc w:val="both"/>
        <w:rPr>
          <w:u w:val="single"/>
        </w:rPr>
      </w:pPr>
      <w:r>
        <w:t>Les États parties d</w:t>
      </w:r>
      <w:r w:rsidR="007C6BDF">
        <w:t>’</w:t>
      </w:r>
      <w:r>
        <w:t>Asie et du Pacifique doivent soumettre leurs rapports périodiques avant le 15</w:t>
      </w:r>
      <w:r w:rsidR="007C6BDF">
        <w:t> </w:t>
      </w:r>
      <w:r>
        <w:t>décembre 2024 (un</w:t>
      </w:r>
      <w:r w:rsidR="008252A6">
        <w:t>e</w:t>
      </w:r>
      <w:r>
        <w:t xml:space="preserve"> </w:t>
      </w:r>
      <w:r w:rsidR="008252A6">
        <w:t xml:space="preserve">soumission </w:t>
      </w:r>
      <w:r>
        <w:t>anticipé</w:t>
      </w:r>
      <w:r w:rsidR="008252A6">
        <w:t>e</w:t>
      </w:r>
      <w:r>
        <w:t xml:space="preserve"> a</w:t>
      </w:r>
      <w:r w:rsidR="000F73C2">
        <w:t xml:space="preserve"> par ailleurs</w:t>
      </w:r>
      <w:r>
        <w:t xml:space="preserve"> été sollicité</w:t>
      </w:r>
      <w:r w:rsidR="008252A6">
        <w:t>e</w:t>
      </w:r>
      <w:r w:rsidR="007C6BDF">
        <w:t>—</w:t>
      </w:r>
      <w:r>
        <w:t xml:space="preserve"> voir le paragraphe</w:t>
      </w:r>
      <w:r w:rsidR="007C6BDF">
        <w:t> </w:t>
      </w:r>
      <w:r>
        <w:t>16). Le Secrétariat a collaboré avec le Centre international de formation sur le patrimoine culturel immatériel dans la région Asie-Pacifique (CRIHAP) ainsi qu’avec le Centre international d</w:t>
      </w:r>
      <w:r w:rsidR="007C6BDF">
        <w:t>’</w:t>
      </w:r>
      <w:r>
        <w:t xml:space="preserve">information et </w:t>
      </w:r>
      <w:r w:rsidR="000F73C2">
        <w:t>de travail en réseau</w:t>
      </w:r>
      <w:r>
        <w:t xml:space="preserve"> </w:t>
      </w:r>
      <w:r w:rsidR="000F73C2">
        <w:t xml:space="preserve">sur </w:t>
      </w:r>
      <w:r>
        <w:t>le patrimoine culturel immatériel dans la région Asie-Pacifique (ICHCAP), deux centres de catégorie</w:t>
      </w:r>
      <w:r w:rsidR="007C6BDF">
        <w:t> </w:t>
      </w:r>
      <w:r>
        <w:t>2 placés sous l</w:t>
      </w:r>
      <w:r w:rsidR="007C6BDF">
        <w:t>’</w:t>
      </w:r>
      <w:r>
        <w:t>égide de l</w:t>
      </w:r>
      <w:r w:rsidR="007C6BDF">
        <w:t>’</w:t>
      </w:r>
      <w:r>
        <w:t>UNESCO, pour concevoir et mettre en œuvre un programme de renforcement des capacités adapté au contexte régional.</w:t>
      </w:r>
    </w:p>
    <w:p w14:paraId="1E9CC664" w14:textId="083E087F" w:rsidR="00094843" w:rsidRPr="00553B84" w:rsidRDefault="005B037D" w:rsidP="00094843">
      <w:pPr>
        <w:pStyle w:val="COMPara"/>
        <w:ind w:left="567" w:hanging="567"/>
        <w:jc w:val="both"/>
        <w:rPr>
          <w:u w:val="single"/>
        </w:rPr>
      </w:pPr>
      <w:r>
        <w:t>Ce processus a été divisé en quatre étapes</w:t>
      </w:r>
      <w:r w:rsidR="007C6BDF">
        <w:t> </w:t>
      </w:r>
      <w:r>
        <w:t>:</w:t>
      </w:r>
    </w:p>
    <w:p w14:paraId="08B39498" w14:textId="057F51EA" w:rsidR="005B037D" w:rsidRPr="00553B84" w:rsidRDefault="00640015" w:rsidP="003C6FDB">
      <w:pPr>
        <w:pStyle w:val="COMPara"/>
        <w:numPr>
          <w:ilvl w:val="0"/>
          <w:numId w:val="8"/>
        </w:numPr>
        <w:ind w:left="1134" w:hanging="567"/>
        <w:jc w:val="both"/>
        <w:rPr>
          <w:u w:val="single"/>
        </w:rPr>
      </w:pPr>
      <w:r>
        <w:t xml:space="preserve">Une formation des formateurs </w:t>
      </w:r>
      <w:r w:rsidR="009B0B0C">
        <w:t xml:space="preserve">en ligne </w:t>
      </w:r>
      <w:r>
        <w:t>sur l</w:t>
      </w:r>
      <w:r w:rsidR="009B0B0C">
        <w:t>’établissement de rapports</w:t>
      </w:r>
      <w:r>
        <w:t xml:space="preserve"> </w:t>
      </w:r>
      <w:r w:rsidR="009B0B0C">
        <w:t xml:space="preserve">basés </w:t>
      </w:r>
      <w:r>
        <w:t xml:space="preserve">sur les résultats, le système réformé de rapports périodiques et le </w:t>
      </w:r>
      <w:r w:rsidR="009B0B0C">
        <w:t>C</w:t>
      </w:r>
      <w:r>
        <w:t xml:space="preserve">adre général de résultats pour douze facilitateurs du réseau </w:t>
      </w:r>
      <w:r w:rsidR="009B0B0C">
        <w:t xml:space="preserve">global </w:t>
      </w:r>
      <w:r>
        <w:t>de renforcement des capacités de l</w:t>
      </w:r>
      <w:r w:rsidR="007C6BDF">
        <w:t>’</w:t>
      </w:r>
      <w:r>
        <w:t>UNESCO en Asie et dans le Pacifique, qui s’est tenue du 25 au 27</w:t>
      </w:r>
      <w:r w:rsidR="007C6BDF">
        <w:t> </w:t>
      </w:r>
      <w:r>
        <w:t>septembre et du 10 au 11</w:t>
      </w:r>
      <w:r w:rsidR="007C6BDF">
        <w:t> </w:t>
      </w:r>
      <w:r>
        <w:t>octobre 2023.</w:t>
      </w:r>
    </w:p>
    <w:p w14:paraId="163246D5" w14:textId="00762F17" w:rsidR="00883364" w:rsidRPr="00553B84" w:rsidRDefault="00883364" w:rsidP="003C6FDB">
      <w:pPr>
        <w:pStyle w:val="COMPara"/>
        <w:numPr>
          <w:ilvl w:val="0"/>
          <w:numId w:val="8"/>
        </w:numPr>
        <w:ind w:left="1134" w:hanging="567"/>
        <w:jc w:val="both"/>
        <w:rPr>
          <w:u w:val="single"/>
        </w:rPr>
      </w:pPr>
      <w:r>
        <w:t>Une session d</w:t>
      </w:r>
      <w:r w:rsidR="007C6BDF">
        <w:t>’</w:t>
      </w:r>
      <w:r>
        <w:t xml:space="preserve">information ainsi qu’une formation introductive au système réformé de rapports périodiques de la Convention et au </w:t>
      </w:r>
      <w:r w:rsidR="00067476">
        <w:t>C</w:t>
      </w:r>
      <w:r>
        <w:t>adre général de résultats pour les points focaux nationaux en Asie et dans le Pacifique. La session d</w:t>
      </w:r>
      <w:r w:rsidR="007C6BDF">
        <w:t>’</w:t>
      </w:r>
      <w:r>
        <w:t>information a eu lieu en ligne le 23</w:t>
      </w:r>
      <w:r w:rsidR="007C6BDF">
        <w:t> </w:t>
      </w:r>
      <w:r>
        <w:t>novembre 2023, tandis que la formation d</w:t>
      </w:r>
      <w:r w:rsidR="007C6BDF">
        <w:t>’</w:t>
      </w:r>
      <w:r>
        <w:t>introduction s’est tenue le 19</w:t>
      </w:r>
      <w:r w:rsidR="007C6BDF">
        <w:t> </w:t>
      </w:r>
      <w:r>
        <w:t>décembre 2023.</w:t>
      </w:r>
    </w:p>
    <w:p w14:paraId="57DB1FF2" w14:textId="03E0B6BD" w:rsidR="00883364" w:rsidRPr="00553B84" w:rsidRDefault="00883364" w:rsidP="003C6FDB">
      <w:pPr>
        <w:pStyle w:val="COMPara"/>
        <w:numPr>
          <w:ilvl w:val="0"/>
          <w:numId w:val="8"/>
        </w:numPr>
        <w:ind w:left="1134" w:hanging="567"/>
        <w:jc w:val="both"/>
        <w:rPr>
          <w:u w:val="single"/>
        </w:rPr>
      </w:pPr>
      <w:r>
        <w:t>Un atelier présentiel pour les points focaux nationaux en Asie et dans le Pacifique (qui s’est tenu à Jeonju, en République de Corée, du 26</w:t>
      </w:r>
      <w:r w:rsidR="007C6BDF">
        <w:t> </w:t>
      </w:r>
      <w:r>
        <w:t>février au 1</w:t>
      </w:r>
      <w:r>
        <w:rPr>
          <w:vertAlign w:val="superscript"/>
        </w:rPr>
        <w:t>er</w:t>
      </w:r>
      <w:r w:rsidR="007C6BDF">
        <w:t> </w:t>
      </w:r>
      <w:r>
        <w:t>mars 2024), organisé par le Centre international d</w:t>
      </w:r>
      <w:r w:rsidR="007C6BDF">
        <w:t>’</w:t>
      </w:r>
      <w:r>
        <w:t xml:space="preserve">information et de </w:t>
      </w:r>
      <w:r w:rsidR="00067476">
        <w:t xml:space="preserve">travail </w:t>
      </w:r>
      <w:r>
        <w:t>en réseau pour le patrimoine culturel immatériel dans la région Asie-Pacifique (ICHCAP).</w:t>
      </w:r>
    </w:p>
    <w:p w14:paraId="737E59D0" w14:textId="33EFE134" w:rsidR="00C37946" w:rsidRPr="00553B84" w:rsidRDefault="00C37946" w:rsidP="003C6FDB">
      <w:pPr>
        <w:pStyle w:val="COMPara"/>
        <w:numPr>
          <w:ilvl w:val="0"/>
          <w:numId w:val="8"/>
        </w:numPr>
        <w:ind w:left="1134" w:hanging="567"/>
        <w:jc w:val="both"/>
        <w:rPr>
          <w:u w:val="single"/>
        </w:rPr>
      </w:pPr>
      <w:r>
        <w:t xml:space="preserve">Deux sessions régionales de suivi en ligne </w:t>
      </w:r>
      <w:bookmarkStart w:id="2" w:name="_Hlk149743464"/>
      <w:r>
        <w:t>(le 14</w:t>
      </w:r>
      <w:r w:rsidR="007C6BDF">
        <w:t> </w:t>
      </w:r>
      <w:r>
        <w:t>mai et le 8</w:t>
      </w:r>
      <w:r w:rsidR="007C6BDF">
        <w:t> </w:t>
      </w:r>
      <w:r>
        <w:t xml:space="preserve">octobre 2024) ainsi que des sessions sous-régionales mensuelles dirigées par des facilitateurs formés </w:t>
      </w:r>
      <w:bookmarkEnd w:id="2"/>
      <w:r>
        <w:t>(entre mars et juillet 2024).</w:t>
      </w:r>
    </w:p>
    <w:p w14:paraId="4EF6E0C1" w14:textId="0F394800" w:rsidR="00E32DE6" w:rsidRPr="00553B84" w:rsidRDefault="00E32DE6" w:rsidP="007E1FE1">
      <w:pPr>
        <w:pStyle w:val="COMPara"/>
        <w:numPr>
          <w:ilvl w:val="0"/>
          <w:numId w:val="0"/>
        </w:numPr>
        <w:ind w:firstLine="567"/>
        <w:jc w:val="both"/>
        <w:rPr>
          <w:u w:val="single"/>
        </w:rPr>
      </w:pPr>
      <w:r>
        <w:rPr>
          <w:u w:val="single"/>
        </w:rPr>
        <w:t>Enseignements tirés</w:t>
      </w:r>
    </w:p>
    <w:p w14:paraId="3E95788D" w14:textId="5B02876F" w:rsidR="00CB2B3C" w:rsidRPr="00553B84" w:rsidRDefault="006A55B9" w:rsidP="004D65F1">
      <w:pPr>
        <w:pStyle w:val="COMPara"/>
        <w:ind w:left="567" w:hanging="567"/>
        <w:jc w:val="both"/>
        <w:rPr>
          <w:u w:val="single"/>
        </w:rPr>
      </w:pPr>
      <w:r>
        <w:t xml:space="preserve">À ce jour, le mécanisme de rapport périodique, aligné sur le </w:t>
      </w:r>
      <w:r w:rsidR="007D5EEC">
        <w:t>C</w:t>
      </w:r>
      <w:r>
        <w:t xml:space="preserve">adre général des résultats de la </w:t>
      </w:r>
      <w:r w:rsidR="007D5EEC">
        <w:t>C</w:t>
      </w:r>
      <w:r>
        <w:t xml:space="preserve">onvention, a permis d’obtenir des informations et des données significatives sur la mise en œuvre de la </w:t>
      </w:r>
      <w:r w:rsidR="007D5EEC">
        <w:t>C</w:t>
      </w:r>
      <w:r>
        <w:t>onvention aux niveaux national et régional. La transmission de rapports périodiques s</w:t>
      </w:r>
      <w:r w:rsidR="007C6BDF">
        <w:t>’</w:t>
      </w:r>
      <w:r>
        <w:t>est avérée être un outil pertinent pour les États parties afin de faire le point sur les résultats obtenus au niveau national, d</w:t>
      </w:r>
      <w:r w:rsidR="007C6BDF">
        <w:t>’</w:t>
      </w:r>
      <w:r>
        <w:t xml:space="preserve">identifier les défis et les domaines à améliorer, ainsi </w:t>
      </w:r>
      <w:r>
        <w:lastRenderedPageBreak/>
        <w:t>que déterminer quelles parties prenantes clés devraient être impliquées dans la sauvegarde du patrimoine vivant</w:t>
      </w:r>
      <w:r>
        <w:rPr>
          <w:color w:val="000000" w:themeColor="text1"/>
        </w:rPr>
        <w:t xml:space="preserve">. </w:t>
      </w:r>
      <w:r>
        <w:t>L</w:t>
      </w:r>
      <w:r w:rsidR="007C6BDF">
        <w:t>’</w:t>
      </w:r>
      <w:r>
        <w:t xml:space="preserve">exercice de rapport périodique, associé au programme de renforcement des capacités des points focaux nationaux et des facilitateurs, a également servi de </w:t>
      </w:r>
      <w:r w:rsidR="007C6BDF">
        <w:t>plate-forme</w:t>
      </w:r>
      <w:r>
        <w:t xml:space="preserve"> de dialogue et d</w:t>
      </w:r>
      <w:r w:rsidR="007C6BDF">
        <w:t>’</w:t>
      </w:r>
      <w:r>
        <w:t xml:space="preserve">échange entre pairs au sein des pays et entre </w:t>
      </w:r>
      <w:r w:rsidR="007D5EEC">
        <w:t>les pays</w:t>
      </w:r>
      <w:r>
        <w:t>.</w:t>
      </w:r>
    </w:p>
    <w:p w14:paraId="59B2E364" w14:textId="0B129A80" w:rsidR="00923AF7" w:rsidRPr="00553B84" w:rsidRDefault="007D5EEC" w:rsidP="004D65F1">
      <w:pPr>
        <w:pStyle w:val="COMPara"/>
        <w:ind w:left="567" w:hanging="567"/>
        <w:jc w:val="both"/>
        <w:rPr>
          <w:u w:val="single"/>
        </w:rPr>
      </w:pPr>
      <w:r>
        <w:rPr>
          <w:rFonts w:asciiTheme="minorBidi" w:hAnsiTheme="minorBidi"/>
        </w:rPr>
        <w:t>Les e</w:t>
      </w:r>
      <w:r w:rsidR="00923AF7">
        <w:rPr>
          <w:rFonts w:asciiTheme="minorBidi" w:hAnsiTheme="minorBidi"/>
        </w:rPr>
        <w:t xml:space="preserve">nseignements clés </w:t>
      </w:r>
      <w:r>
        <w:rPr>
          <w:rFonts w:asciiTheme="minorBidi" w:hAnsiTheme="minorBidi"/>
        </w:rPr>
        <w:t xml:space="preserve">suivants, </w:t>
      </w:r>
      <w:r w:rsidR="00923AF7">
        <w:rPr>
          <w:rFonts w:asciiTheme="minorBidi" w:hAnsiTheme="minorBidi"/>
        </w:rPr>
        <w:t>tirés de la mise en œuvre du système réformé de rapports périodiques en Amérique latine et dans les Caraïbes, en Europe, dans les États arabes et en Afrique, méritent d’être mis en avant</w:t>
      </w:r>
      <w:r w:rsidR="007C6BDF">
        <w:rPr>
          <w:rFonts w:asciiTheme="minorBidi" w:hAnsiTheme="minorBidi"/>
        </w:rPr>
        <w:t> </w:t>
      </w:r>
      <w:r w:rsidR="00923AF7">
        <w:rPr>
          <w:rFonts w:asciiTheme="minorBidi" w:hAnsiTheme="minorBidi"/>
        </w:rPr>
        <w:t>:</w:t>
      </w:r>
    </w:p>
    <w:p w14:paraId="5AF60AD0" w14:textId="63BDC690" w:rsidR="002E054E" w:rsidRPr="00553B84" w:rsidRDefault="00EF40A1" w:rsidP="003C6FDB">
      <w:pPr>
        <w:pStyle w:val="COMPara"/>
        <w:numPr>
          <w:ilvl w:val="0"/>
          <w:numId w:val="8"/>
        </w:numPr>
        <w:ind w:left="1134" w:hanging="567"/>
        <w:jc w:val="both"/>
        <w:rPr>
          <w:u w:val="single"/>
        </w:rPr>
      </w:pPr>
      <w:r>
        <w:t>L</w:t>
      </w:r>
      <w:r w:rsidR="007C6BDF">
        <w:t>’</w:t>
      </w:r>
      <w:r>
        <w:t>exercice de rapport périodique encourage les États parties à assurer la participation la plus large possible de toutes les parties prenantes impliquées dans la sauvegarde du patrimoine culturel immatériel tout au long de l</w:t>
      </w:r>
      <w:r w:rsidR="007C6BDF">
        <w:t>’</w:t>
      </w:r>
      <w:r>
        <w:t>exercice, en accordant une attention particulière aux communautés, amplifiant ainsi leur</w:t>
      </w:r>
      <w:r w:rsidR="007370A7">
        <w:t>s</w:t>
      </w:r>
      <w:r>
        <w:t xml:space="preserve"> </w:t>
      </w:r>
      <w:r w:rsidR="007370A7">
        <w:t>voix</w:t>
      </w:r>
      <w:r>
        <w:t xml:space="preserve"> et donnant de la visibilité à leurs activités de sauvegarde.</w:t>
      </w:r>
    </w:p>
    <w:p w14:paraId="084E60C2" w14:textId="5564118C" w:rsidR="0069066C" w:rsidRPr="00553B84" w:rsidRDefault="002A6A22" w:rsidP="003C6FDB">
      <w:pPr>
        <w:pStyle w:val="COMPara"/>
        <w:numPr>
          <w:ilvl w:val="0"/>
          <w:numId w:val="8"/>
        </w:numPr>
        <w:ind w:left="1134" w:hanging="567"/>
        <w:jc w:val="both"/>
        <w:rPr>
          <w:u w:val="single"/>
        </w:rPr>
      </w:pPr>
      <w:r>
        <w:t xml:space="preserve">Les États parties sont encouragés à rendre compte des politiques et </w:t>
      </w:r>
      <w:r w:rsidR="007370A7">
        <w:t xml:space="preserve">des </w:t>
      </w:r>
      <w:r>
        <w:t>mesures relatives au patrimoine culturel immatériel en général mises en œuvre, sans se limiter à celles qui concernent les éléments inventoriés et inscrits. Cela permet une plus grande variété d</w:t>
      </w:r>
      <w:r w:rsidR="007C6BDF">
        <w:t>’</w:t>
      </w:r>
      <w:r>
        <w:t>exemples d</w:t>
      </w:r>
      <w:r w:rsidR="007C6BDF">
        <w:t>’</w:t>
      </w:r>
      <w:r>
        <w:t>activités de sauvegarde.</w:t>
      </w:r>
    </w:p>
    <w:p w14:paraId="511C7604" w14:textId="39A983BC" w:rsidR="00110995" w:rsidRPr="00553B84" w:rsidRDefault="00AF2CFC" w:rsidP="003C6FDB">
      <w:pPr>
        <w:pStyle w:val="COMPara"/>
        <w:numPr>
          <w:ilvl w:val="0"/>
          <w:numId w:val="8"/>
        </w:numPr>
        <w:ind w:left="1134" w:hanging="567"/>
        <w:jc w:val="both"/>
        <w:rPr>
          <w:u w:val="single"/>
        </w:rPr>
      </w:pPr>
      <w:r>
        <w:t>Le recours à une approche factuelle, visant à étayer les affirmations contenues dans les rapports, notamment par l</w:t>
      </w:r>
      <w:r w:rsidR="007C6BDF">
        <w:t>’</w:t>
      </w:r>
      <w:r>
        <w:t xml:space="preserve">utilisation de liens </w:t>
      </w:r>
      <w:r w:rsidR="007370A7">
        <w:t>web</w:t>
      </w:r>
      <w:r>
        <w:t>, accroît la qualité et l</w:t>
      </w:r>
      <w:r w:rsidR="007C6BDF">
        <w:t>’</w:t>
      </w:r>
      <w:r>
        <w:t>utilité des rapports pour le suivi, l</w:t>
      </w:r>
      <w:r w:rsidR="007C6BDF">
        <w:t>’</w:t>
      </w:r>
      <w:r>
        <w:t xml:space="preserve">élaboration des politiques et le partage des connaissances au sein des pays et </w:t>
      </w:r>
      <w:r w:rsidR="007370A7">
        <w:t>parmi</w:t>
      </w:r>
      <w:r>
        <w:t xml:space="preserve"> eux.</w:t>
      </w:r>
    </w:p>
    <w:p w14:paraId="3F1A5138" w14:textId="2D687C72" w:rsidR="002A6A22" w:rsidRPr="00553B84" w:rsidRDefault="000F4FF9" w:rsidP="003C6FDB">
      <w:pPr>
        <w:pStyle w:val="COMPara"/>
        <w:numPr>
          <w:ilvl w:val="0"/>
          <w:numId w:val="8"/>
        </w:numPr>
        <w:ind w:left="1134" w:hanging="567"/>
        <w:jc w:val="both"/>
        <w:rPr>
          <w:u w:val="single"/>
        </w:rPr>
      </w:pPr>
      <w:r>
        <w:t xml:space="preserve">Les États parties sont encouragés à concevoir des cadres opérationnels nationaux pour </w:t>
      </w:r>
      <w:r w:rsidR="007370A7">
        <w:t>les</w:t>
      </w:r>
      <w:r>
        <w:t xml:space="preserve"> rapports périodiques, </w:t>
      </w:r>
      <w:r w:rsidR="007370A7">
        <w:t>qui</w:t>
      </w:r>
      <w:r>
        <w:t xml:space="preserve"> peuvent comprendre des consignes sur la supervision générale du processus d</w:t>
      </w:r>
      <w:r w:rsidR="007C6BDF">
        <w:t>’</w:t>
      </w:r>
      <w:r>
        <w:t xml:space="preserve">établissement des rapports, notamment la méthodologie, les étapes et le calendrier, les </w:t>
      </w:r>
      <w:r w:rsidR="007370A7">
        <w:t xml:space="preserve">acteurs </w:t>
      </w:r>
      <w:r>
        <w:t>concernés, la participation et le consentement des parties prenantes, la collecte et la gestion des données, ainsi que les ressources et la logistique disponibles</w:t>
      </w:r>
      <w:r w:rsidR="007370A7">
        <w:t>, entre autres</w:t>
      </w:r>
      <w:r>
        <w:t>.</w:t>
      </w:r>
    </w:p>
    <w:p w14:paraId="77321678" w14:textId="18DB88ED" w:rsidR="00D63318" w:rsidRPr="00553B84" w:rsidRDefault="00474ED9" w:rsidP="00400582">
      <w:pPr>
        <w:pStyle w:val="COMPara"/>
        <w:numPr>
          <w:ilvl w:val="0"/>
          <w:numId w:val="6"/>
        </w:numPr>
        <w:spacing w:before="240"/>
        <w:ind w:left="567" w:hanging="567"/>
        <w:jc w:val="both"/>
        <w:rPr>
          <w:b/>
          <w:bCs/>
        </w:rPr>
      </w:pPr>
      <w:r>
        <w:rPr>
          <w:b/>
        </w:rPr>
        <w:t>Nouveaux éléments concernant le</w:t>
      </w:r>
      <w:r w:rsidR="00431381">
        <w:rPr>
          <w:b/>
        </w:rPr>
        <w:t xml:space="preserve"> plan de préparation </w:t>
      </w:r>
      <w:r>
        <w:rPr>
          <w:b/>
        </w:rPr>
        <w:t>d’</w:t>
      </w:r>
      <w:r w:rsidR="00431381">
        <w:rPr>
          <w:b/>
        </w:rPr>
        <w:t>un système</w:t>
      </w:r>
      <w:r w:rsidR="008252A6">
        <w:rPr>
          <w:b/>
        </w:rPr>
        <w:t xml:space="preserve"> unique</w:t>
      </w:r>
      <w:r w:rsidR="00431381">
        <w:rPr>
          <w:b/>
        </w:rPr>
        <w:t xml:space="preserve"> de </w:t>
      </w:r>
      <w:r w:rsidR="008252A6">
        <w:rPr>
          <w:b/>
        </w:rPr>
        <w:t xml:space="preserve">soumission </w:t>
      </w:r>
      <w:r>
        <w:rPr>
          <w:b/>
        </w:rPr>
        <w:t>des rapports</w:t>
      </w:r>
      <w:r w:rsidR="00A6160F">
        <w:rPr>
          <w:b/>
        </w:rPr>
        <w:t xml:space="preserve"> à l’échelle mondiale</w:t>
      </w:r>
    </w:p>
    <w:p w14:paraId="5F646D61" w14:textId="509CED0C" w:rsidR="00A653AA" w:rsidRPr="00553B84" w:rsidRDefault="00EF40A1" w:rsidP="0041413B">
      <w:pPr>
        <w:pStyle w:val="COMPara"/>
        <w:ind w:left="567" w:hanging="567"/>
        <w:jc w:val="both"/>
      </w:pPr>
      <w:r>
        <w:t>Entre juillet 2023 et mars 2024, La Division des services de contrôle interne (IOS) de l</w:t>
      </w:r>
      <w:r w:rsidR="007C6BDF">
        <w:t>’</w:t>
      </w:r>
      <w:r>
        <w:t xml:space="preserve">UNESCO a mené une </w:t>
      </w:r>
      <w:hyperlink r:id="rId14" w:history="1">
        <w:r>
          <w:rPr>
            <w:rStyle w:val="Lienhypertexte"/>
          </w:rPr>
          <w:t>évaluation des rapports périodiques de l</w:t>
        </w:r>
        <w:r w:rsidR="007C6BDF">
          <w:rPr>
            <w:rStyle w:val="Lienhypertexte"/>
          </w:rPr>
          <w:t>’</w:t>
        </w:r>
        <w:r>
          <w:rPr>
            <w:rStyle w:val="Lienhypertexte"/>
          </w:rPr>
          <w:t xml:space="preserve">UNESCO sur les conventions et recommandations </w:t>
        </w:r>
        <w:r w:rsidR="00510DBB">
          <w:rPr>
            <w:rStyle w:val="Lienhypertexte"/>
          </w:rPr>
          <w:t xml:space="preserve">relevant </w:t>
        </w:r>
        <w:r>
          <w:rPr>
            <w:rStyle w:val="Lienhypertexte"/>
          </w:rPr>
          <w:t>du secteur de la Culture</w:t>
        </w:r>
      </w:hyperlink>
      <w:r>
        <w:rPr>
          <w:rStyle w:val="Lienhypertexte"/>
          <w:color w:val="000000" w:themeColor="text1"/>
          <w:u w:val="none"/>
        </w:rPr>
        <w:t xml:space="preserve"> </w:t>
      </w:r>
      <w:r>
        <w:t>afin d</w:t>
      </w:r>
      <w:r w:rsidR="007C6BDF">
        <w:t>’</w:t>
      </w:r>
      <w:r>
        <w:t>évaluer l</w:t>
      </w:r>
      <w:r w:rsidR="007C6BDF">
        <w:t>’</w:t>
      </w:r>
      <w:r>
        <w:t>efficacité des mécanismes de rapports périodiques. Cette évaluation a montré que la rationalisation des mécanismes de toutes les conventions et recommandations de l</w:t>
      </w:r>
      <w:r w:rsidR="007C6BDF">
        <w:t>’</w:t>
      </w:r>
      <w:r>
        <w:t xml:space="preserve">UNESCO </w:t>
      </w:r>
      <w:r w:rsidR="00510DBB">
        <w:t>dans le domaine</w:t>
      </w:r>
      <w:r>
        <w:t xml:space="preserve"> de</w:t>
      </w:r>
      <w:r w:rsidR="00510DBB">
        <w:t xml:space="preserve"> la</w:t>
      </w:r>
      <w:r>
        <w:t xml:space="preserve"> culture contribuerait à faire avancer les priorités identifiées par les ministres de la culture dans la </w:t>
      </w:r>
      <w:r w:rsidR="00510DBB">
        <w:t>D</w:t>
      </w:r>
      <w:r>
        <w:t>éclaration MONDIACULT</w:t>
      </w:r>
      <w:r w:rsidR="007C6BDF">
        <w:t> </w:t>
      </w:r>
      <w:r>
        <w:t>2022, y compris l</w:t>
      </w:r>
      <w:r w:rsidR="007C6BDF">
        <w:t>’</w:t>
      </w:r>
      <w:r>
        <w:t xml:space="preserve">élaboration du </w:t>
      </w:r>
      <w:r w:rsidR="00510DBB">
        <w:t>R</w:t>
      </w:r>
      <w:r>
        <w:t xml:space="preserve">apport mondial </w:t>
      </w:r>
      <w:r w:rsidR="00510DBB">
        <w:t xml:space="preserve">quadriennal </w:t>
      </w:r>
      <w:r>
        <w:t>sur les politiques culturelles. Cela pourrait impliquer d</w:t>
      </w:r>
      <w:r w:rsidR="007C6BDF">
        <w:t>’</w:t>
      </w:r>
      <w:r>
        <w:t xml:space="preserve">aligner les calendriers de </w:t>
      </w:r>
      <w:r w:rsidR="008252A6">
        <w:t xml:space="preserve">soumission </w:t>
      </w:r>
      <w:r>
        <w:t xml:space="preserve">des rapports pour tous les instruments et d’adopter une date de </w:t>
      </w:r>
      <w:r w:rsidR="008252A6">
        <w:t xml:space="preserve">soumission </w:t>
      </w:r>
      <w:r>
        <w:t>unique pour tous les États.</w:t>
      </w:r>
    </w:p>
    <w:p w14:paraId="11281A9F" w14:textId="6DD50195" w:rsidR="00650F99" w:rsidRPr="00553B84" w:rsidRDefault="00D460B6" w:rsidP="00850179">
      <w:pPr>
        <w:pStyle w:val="COMPara"/>
        <w:ind w:left="567" w:hanging="567"/>
        <w:jc w:val="both"/>
      </w:pPr>
      <w:r>
        <w:rPr>
          <w:rStyle w:val="Lienhypertexte"/>
          <w:color w:val="000000" w:themeColor="text1"/>
          <w:u w:val="none"/>
        </w:rPr>
        <w:t>Conformément à la décision du Conseil exécutif</w:t>
      </w:r>
      <w:r w:rsidR="00D840E6">
        <w:rPr>
          <w:rStyle w:val="Lienhypertexte"/>
          <w:color w:val="000000" w:themeColor="text1"/>
          <w:u w:val="none"/>
        </w:rPr>
        <w:t>,</w:t>
      </w:r>
      <w:r w:rsidR="00E20374">
        <w:rPr>
          <w:rStyle w:val="Appelnotedebasdep"/>
          <w:color w:val="000000" w:themeColor="text1"/>
        </w:rPr>
        <w:footnoteReference w:id="5"/>
      </w:r>
      <w:r>
        <w:rPr>
          <w:rStyle w:val="Lienhypertexte"/>
          <w:color w:val="000000" w:themeColor="text1"/>
          <w:u w:val="none"/>
        </w:rPr>
        <w:t xml:space="preserve"> la dixième session de l</w:t>
      </w:r>
      <w:r w:rsidR="007C6BDF">
        <w:rPr>
          <w:rStyle w:val="Lienhypertexte"/>
          <w:color w:val="000000" w:themeColor="text1"/>
          <w:u w:val="none"/>
        </w:rPr>
        <w:t>’</w:t>
      </w:r>
      <w:r>
        <w:rPr>
          <w:rStyle w:val="Lienhypertexte"/>
          <w:color w:val="000000" w:themeColor="text1"/>
          <w:u w:val="none"/>
        </w:rPr>
        <w:t>Assemblée générale en juin 2024 a pris note de l</w:t>
      </w:r>
      <w:r w:rsidR="007C6BDF">
        <w:rPr>
          <w:rStyle w:val="Lienhypertexte"/>
          <w:color w:val="000000" w:themeColor="text1"/>
          <w:u w:val="none"/>
        </w:rPr>
        <w:t>’</w:t>
      </w:r>
      <w:r>
        <w:rPr>
          <w:rStyle w:val="Lienhypertexte"/>
          <w:color w:val="000000" w:themeColor="text1"/>
          <w:u w:val="none"/>
        </w:rPr>
        <w:t xml:space="preserve">évaluation de l’IOS ainsi que des propositions faites lors de la dix-huitième session </w:t>
      </w:r>
      <w:r>
        <w:rPr>
          <w:color w:val="000000" w:themeColor="text1"/>
        </w:rPr>
        <w:t>du Comité sur l</w:t>
      </w:r>
      <w:r w:rsidR="007C6BDF">
        <w:rPr>
          <w:color w:val="000000" w:themeColor="text1"/>
        </w:rPr>
        <w:t>’</w:t>
      </w:r>
      <w:r>
        <w:rPr>
          <w:color w:val="000000" w:themeColor="text1"/>
        </w:rPr>
        <w:t>alignement proposé des mécanismes de rapports périodiques</w:t>
      </w:r>
      <w:r>
        <w:rPr>
          <w:rStyle w:val="Lienhypertexte"/>
          <w:color w:val="000000" w:themeColor="text1"/>
          <w:u w:val="none"/>
        </w:rPr>
        <w:t xml:space="preserve"> (résolutions</w:t>
      </w:r>
      <w:r w:rsidR="007C6BDF">
        <w:rPr>
          <w:rStyle w:val="Lienhypertexte"/>
          <w:color w:val="000000" w:themeColor="text1"/>
          <w:u w:val="none"/>
        </w:rPr>
        <w:t> </w:t>
      </w:r>
      <w:hyperlink r:id="rId15" w:history="1">
        <w:r>
          <w:rPr>
            <w:rStyle w:val="Lienhypertexte"/>
          </w:rPr>
          <w:t>10.</w:t>
        </w:r>
        <w:r w:rsidR="007C6BDF">
          <w:rPr>
            <w:rStyle w:val="Lienhypertexte"/>
          </w:rPr>
          <w:t xml:space="preserve"> </w:t>
        </w:r>
        <w:r>
          <w:rPr>
            <w:rStyle w:val="Lienhypertexte"/>
          </w:rPr>
          <w:t>GA</w:t>
        </w:r>
        <w:r w:rsidR="007C6BDF">
          <w:rPr>
            <w:rStyle w:val="Lienhypertexte"/>
          </w:rPr>
          <w:t> </w:t>
        </w:r>
        <w:r>
          <w:rPr>
            <w:rStyle w:val="Lienhypertexte"/>
          </w:rPr>
          <w:t>5</w:t>
        </w:r>
      </w:hyperlink>
      <w:r>
        <w:t xml:space="preserve">, </w:t>
      </w:r>
      <w:hyperlink r:id="rId16" w:history="1">
        <w:r>
          <w:rPr>
            <w:rStyle w:val="Lienhypertexte"/>
          </w:rPr>
          <w:t>10.</w:t>
        </w:r>
        <w:r w:rsidR="007C6BDF">
          <w:rPr>
            <w:rStyle w:val="Lienhypertexte"/>
          </w:rPr>
          <w:t xml:space="preserve"> </w:t>
        </w:r>
        <w:r>
          <w:rPr>
            <w:rStyle w:val="Lienhypertexte"/>
          </w:rPr>
          <w:t>GA</w:t>
        </w:r>
        <w:r w:rsidR="007C6BDF">
          <w:rPr>
            <w:rStyle w:val="Lienhypertexte"/>
          </w:rPr>
          <w:t> </w:t>
        </w:r>
        <w:r>
          <w:rPr>
            <w:rStyle w:val="Lienhypertexte"/>
          </w:rPr>
          <w:t>6</w:t>
        </w:r>
      </w:hyperlink>
      <w:r>
        <w:t xml:space="preserve"> et décision</w:t>
      </w:r>
      <w:r w:rsidR="007C6BDF">
        <w:t> </w:t>
      </w:r>
      <w:hyperlink r:id="rId17" w:history="1">
        <w:r>
          <w:rPr>
            <w:rStyle w:val="Lienhypertexte"/>
          </w:rPr>
          <w:t>18.COM 7.c</w:t>
        </w:r>
      </w:hyperlink>
      <w:r>
        <w:rPr>
          <w:color w:val="000000" w:themeColor="text1"/>
        </w:rPr>
        <w:t xml:space="preserve">). </w:t>
      </w:r>
      <w:r>
        <w:t xml:space="preserve">Par </w:t>
      </w:r>
      <w:r w:rsidR="00D840E6">
        <w:t>conséquent</w:t>
      </w:r>
      <w:r>
        <w:t xml:space="preserve">, le calendrier des rapports périodiques adoptera la </w:t>
      </w:r>
      <w:r>
        <w:rPr>
          <w:u w:val="single"/>
        </w:rPr>
        <w:t xml:space="preserve">date unique de </w:t>
      </w:r>
      <w:r w:rsidR="008252A6">
        <w:rPr>
          <w:u w:val="single"/>
        </w:rPr>
        <w:t xml:space="preserve">soumission </w:t>
      </w:r>
      <w:r w:rsidR="00A6160F">
        <w:rPr>
          <w:u w:val="single"/>
        </w:rPr>
        <w:t xml:space="preserve">à l’échelle </w:t>
      </w:r>
      <w:r>
        <w:rPr>
          <w:u w:val="single"/>
        </w:rPr>
        <w:t>mondial</w:t>
      </w:r>
      <w:r w:rsidR="008252A6">
        <w:rPr>
          <w:u w:val="single"/>
        </w:rPr>
        <w:t>e</w:t>
      </w:r>
      <w:r>
        <w:t xml:space="preserve"> du 30</w:t>
      </w:r>
      <w:r w:rsidR="007C6BDF">
        <w:t> </w:t>
      </w:r>
      <w:r>
        <w:t xml:space="preserve">juin 2027 et tous les quatre ans par la suite pour tous les États parties, couvrant tous les mécanismes </w:t>
      </w:r>
      <w:r w:rsidR="00D840E6">
        <w:t xml:space="preserve">de Listes </w:t>
      </w:r>
      <w:r>
        <w:t>de la Convention qui font actuellement l</w:t>
      </w:r>
      <w:r w:rsidR="007C6BDF">
        <w:t>’</w:t>
      </w:r>
      <w:r>
        <w:t xml:space="preserve">objet de </w:t>
      </w:r>
      <w:r>
        <w:lastRenderedPageBreak/>
        <w:t>rapports selon des calendriers différents. Ce changement s</w:t>
      </w:r>
      <w:r w:rsidR="007C6BDF">
        <w:t>’</w:t>
      </w:r>
      <w:r>
        <w:t>effectuera selon une feuille de route qui inclut</w:t>
      </w:r>
      <w:r w:rsidR="007C6BDF">
        <w:t> </w:t>
      </w:r>
      <w:r>
        <w:t xml:space="preserve">: (a) des mesures transitoires </w:t>
      </w:r>
      <w:r w:rsidR="00D840E6">
        <w:t>pour</w:t>
      </w:r>
      <w:r>
        <w:t xml:space="preserve"> la première édition du Rapport mondial sur les politiques culturelles à paraître en 2025</w:t>
      </w:r>
      <w:r w:rsidR="007C6BDF">
        <w:t> </w:t>
      </w:r>
      <w:r>
        <w:t xml:space="preserve">; et (b) des ajustements à apporter en vue </w:t>
      </w:r>
      <w:r w:rsidR="00D840E6">
        <w:t xml:space="preserve">des éditions suivantes </w:t>
      </w:r>
      <w:r>
        <w:t>du Rapport mondial sur les politiques culturelles</w:t>
      </w:r>
      <w:r w:rsidR="00D840E6">
        <w:t>,</w:t>
      </w:r>
      <w:r>
        <w:t xml:space="preserve"> à paraître en 2029, ainsi que tous les quatre ans par la suite. </w:t>
      </w:r>
    </w:p>
    <w:p w14:paraId="48C6A80C" w14:textId="1FAAAE7C" w:rsidR="00F404D5" w:rsidRPr="00553B84" w:rsidRDefault="00785741" w:rsidP="006C03CE">
      <w:pPr>
        <w:pStyle w:val="COMPara"/>
        <w:numPr>
          <w:ilvl w:val="0"/>
          <w:numId w:val="0"/>
        </w:numPr>
        <w:spacing w:before="240"/>
        <w:ind w:left="567"/>
        <w:jc w:val="both"/>
        <w:rPr>
          <w:u w:val="single"/>
        </w:rPr>
      </w:pPr>
      <w:r>
        <w:rPr>
          <w:u w:val="single"/>
        </w:rPr>
        <w:t xml:space="preserve">a) Mesures transitoires </w:t>
      </w:r>
      <w:r w:rsidR="00D840E6">
        <w:rPr>
          <w:u w:val="single"/>
        </w:rPr>
        <w:t>pour</w:t>
      </w:r>
      <w:r>
        <w:rPr>
          <w:u w:val="single"/>
        </w:rPr>
        <w:t xml:space="preserve"> la première édition du Rapport mondial sur les politiques culturelles en 2025</w:t>
      </w:r>
    </w:p>
    <w:p w14:paraId="05999E82" w14:textId="550AC5E6" w:rsidR="00C0616A" w:rsidRPr="00553B84" w:rsidRDefault="00332D8B" w:rsidP="00883DAD">
      <w:pPr>
        <w:pStyle w:val="COMPara"/>
        <w:ind w:left="567" w:hanging="567"/>
        <w:jc w:val="both"/>
        <w:rPr>
          <w:u w:val="single"/>
        </w:rPr>
      </w:pPr>
      <w:r>
        <w:t>Les informations contenues dans les rapports périodiques soumis par les États parties d</w:t>
      </w:r>
      <w:r w:rsidR="007C6BDF">
        <w:t>’</w:t>
      </w:r>
      <w:r>
        <w:t>Amérique latine et des Caraïbes (cycle 2021), d</w:t>
      </w:r>
      <w:r w:rsidR="007C6BDF">
        <w:t>’</w:t>
      </w:r>
      <w:r>
        <w:t>Europe (cycle 2022), des États arabes (cycle 2023) et d</w:t>
      </w:r>
      <w:r w:rsidR="007C6BDF">
        <w:t>’</w:t>
      </w:r>
      <w:r>
        <w:t>Afrique (cycle 2024) seront reflétées dans la première édition du Rapport mondial sur les politiques culturelles qui sera publié au cours du second semestre</w:t>
      </w:r>
      <w:r w:rsidR="007C6BDF">
        <w:t> </w:t>
      </w:r>
      <w:r>
        <w:t>2025. En tant que dernière région à participer au premier cycle régional de rapports (cycle 2025), les États parties d</w:t>
      </w:r>
      <w:r w:rsidR="007C6BDF">
        <w:t>’</w:t>
      </w:r>
      <w:r>
        <w:t xml:space="preserve">Asie et du Pacifique ont été invités à </w:t>
      </w:r>
      <w:r>
        <w:rPr>
          <w:rFonts w:asciiTheme="minorBidi" w:hAnsiTheme="minorBidi"/>
        </w:rPr>
        <w:t xml:space="preserve">soumettre leurs rapports périodiques complets ou </w:t>
      </w:r>
      <w:r w:rsidR="000C33D4">
        <w:rPr>
          <w:rFonts w:asciiTheme="minorBidi" w:hAnsiTheme="minorBidi"/>
        </w:rPr>
        <w:t>partiels</w:t>
      </w:r>
      <w:r>
        <w:rPr>
          <w:rFonts w:asciiTheme="minorBidi" w:hAnsiTheme="minorBidi"/>
        </w:rPr>
        <w:t xml:space="preserve"> avant le 15</w:t>
      </w:r>
      <w:r w:rsidR="007C6BDF">
        <w:rPr>
          <w:rFonts w:asciiTheme="minorBidi" w:hAnsiTheme="minorBidi"/>
        </w:rPr>
        <w:t> </w:t>
      </w:r>
      <w:r>
        <w:rPr>
          <w:rFonts w:asciiTheme="minorBidi" w:hAnsiTheme="minorBidi"/>
        </w:rPr>
        <w:t>juin 2024</w:t>
      </w:r>
      <w:r w:rsidR="000C33D4">
        <w:rPr>
          <w:rFonts w:asciiTheme="minorBidi" w:hAnsiTheme="minorBidi"/>
        </w:rPr>
        <w:t>,</w:t>
      </w:r>
      <w:r>
        <w:rPr>
          <w:rFonts w:asciiTheme="minorBidi" w:hAnsiTheme="minorBidi"/>
        </w:rPr>
        <w:t xml:space="preserve"> afin que leur situation soit prise en compte dans la première édition du Rapport mondial. Vingt-quatre des quarante-deux États </w:t>
      </w:r>
      <w:r w:rsidR="000C33D4">
        <w:rPr>
          <w:rFonts w:asciiTheme="minorBidi" w:hAnsiTheme="minorBidi"/>
        </w:rPr>
        <w:t xml:space="preserve">(57 pour cent) </w:t>
      </w:r>
      <w:r>
        <w:rPr>
          <w:rFonts w:asciiTheme="minorBidi" w:hAnsiTheme="minorBidi"/>
        </w:rPr>
        <w:t xml:space="preserve">de la région </w:t>
      </w:r>
      <w:r w:rsidR="000C33D4">
        <w:rPr>
          <w:rFonts w:asciiTheme="minorBidi" w:hAnsiTheme="minorBidi"/>
        </w:rPr>
        <w:t xml:space="preserve">soumettant un rapport </w:t>
      </w:r>
      <w:r>
        <w:rPr>
          <w:rFonts w:asciiTheme="minorBidi" w:hAnsiTheme="minorBidi"/>
        </w:rPr>
        <w:t>ont répondu à l</w:t>
      </w:r>
      <w:r w:rsidR="007C6BDF">
        <w:rPr>
          <w:rFonts w:asciiTheme="minorBidi" w:hAnsiTheme="minorBidi"/>
        </w:rPr>
        <w:t>’</w:t>
      </w:r>
      <w:r>
        <w:rPr>
          <w:rFonts w:asciiTheme="minorBidi" w:hAnsiTheme="minorBidi"/>
        </w:rPr>
        <w:t xml:space="preserve">appel en </w:t>
      </w:r>
      <w:r w:rsidR="000C33D4">
        <w:rPr>
          <w:rFonts w:asciiTheme="minorBidi" w:hAnsiTheme="minorBidi"/>
        </w:rPr>
        <w:t xml:space="preserve">présentant </w:t>
      </w:r>
      <w:r>
        <w:rPr>
          <w:rFonts w:asciiTheme="minorBidi" w:hAnsiTheme="minorBidi"/>
        </w:rPr>
        <w:t>leur rapport avant l</w:t>
      </w:r>
      <w:r w:rsidR="007C6BDF">
        <w:rPr>
          <w:rFonts w:asciiTheme="minorBidi" w:hAnsiTheme="minorBidi"/>
        </w:rPr>
        <w:t>’</w:t>
      </w:r>
      <w:r>
        <w:rPr>
          <w:rFonts w:asciiTheme="minorBidi" w:hAnsiTheme="minorBidi"/>
        </w:rPr>
        <w:t>échéance statutaire.</w:t>
      </w:r>
    </w:p>
    <w:p w14:paraId="57579DAA" w14:textId="234F6729" w:rsidR="007048FD" w:rsidRPr="00553B84" w:rsidRDefault="00785741" w:rsidP="006C03CE">
      <w:pPr>
        <w:pStyle w:val="COMPara"/>
        <w:keepNext/>
        <w:numPr>
          <w:ilvl w:val="0"/>
          <w:numId w:val="0"/>
        </w:numPr>
        <w:ind w:left="567"/>
        <w:jc w:val="both"/>
        <w:rPr>
          <w:u w:val="single"/>
        </w:rPr>
      </w:pPr>
      <w:r>
        <w:rPr>
          <w:u w:val="single"/>
        </w:rPr>
        <w:t>b) Ajustements pour soutenir la deuxième édition du Rapport mondial sur les politiques culturelles en 2029, et tous les quatre ans par la suite</w:t>
      </w:r>
    </w:p>
    <w:p w14:paraId="60EEF7AA" w14:textId="4077A901" w:rsidR="007048FD" w:rsidRPr="00553B84" w:rsidRDefault="00B96592" w:rsidP="006C03CE">
      <w:pPr>
        <w:pStyle w:val="COMPara"/>
        <w:keepNext/>
        <w:ind w:left="567" w:hanging="567"/>
        <w:jc w:val="both"/>
        <w:rPr>
          <w:u w:val="single"/>
        </w:rPr>
      </w:pPr>
      <w:r>
        <w:t>L</w:t>
      </w:r>
      <w:r w:rsidR="007C6BDF">
        <w:t>’</w:t>
      </w:r>
      <w:r>
        <w:t xml:space="preserve">évolution vers </w:t>
      </w:r>
      <w:r w:rsidR="006D0631">
        <w:t>une soumission</w:t>
      </w:r>
      <w:r w:rsidR="00A6160F">
        <w:t xml:space="preserve"> unique à l’échelle</w:t>
      </w:r>
      <w:r>
        <w:t xml:space="preserve"> mondial</w:t>
      </w:r>
      <w:r w:rsidR="006D0631">
        <w:t>e</w:t>
      </w:r>
      <w:r>
        <w:t xml:space="preserve"> nécessiterait un alignement minutieux des systèmes de rapports périodiques à travers les six conventions et les recommandations </w:t>
      </w:r>
      <w:r w:rsidR="006D0631">
        <w:t>dans le domaine de la culture</w:t>
      </w:r>
      <w:r>
        <w:t>. Les principaux progrès réalisés à ce jour et les projets pour l</w:t>
      </w:r>
      <w:r w:rsidR="007C6BDF">
        <w:t>’</w:t>
      </w:r>
      <w:r>
        <w:t>avenir peuvent être résumés comme suit</w:t>
      </w:r>
      <w:r w:rsidR="007C6BDF">
        <w:t> </w:t>
      </w:r>
      <w:r>
        <w:t>:</w:t>
      </w:r>
    </w:p>
    <w:p w14:paraId="3D5ECC62" w14:textId="751AA691" w:rsidR="0024270C" w:rsidRPr="00553B84" w:rsidRDefault="00D26F1A" w:rsidP="003C6FDB">
      <w:pPr>
        <w:pStyle w:val="COMPara"/>
        <w:numPr>
          <w:ilvl w:val="0"/>
          <w:numId w:val="8"/>
        </w:numPr>
        <w:ind w:left="1134" w:hanging="567"/>
        <w:jc w:val="both"/>
        <w:rPr>
          <w:u w:val="single"/>
        </w:rPr>
      </w:pPr>
      <w:r>
        <w:rPr>
          <w:u w:val="single"/>
        </w:rPr>
        <w:t>L</w:t>
      </w:r>
      <w:r w:rsidR="007C6BDF">
        <w:rPr>
          <w:u w:val="single"/>
        </w:rPr>
        <w:t>’</w:t>
      </w:r>
      <w:r>
        <w:rPr>
          <w:u w:val="single"/>
        </w:rPr>
        <w:t xml:space="preserve">élaboration de formulaires de </w:t>
      </w:r>
      <w:r w:rsidR="00EA6DEA">
        <w:rPr>
          <w:u w:val="single"/>
        </w:rPr>
        <w:t xml:space="preserve">rapport </w:t>
      </w:r>
      <w:r>
        <w:rPr>
          <w:u w:val="single"/>
        </w:rPr>
        <w:t>simplifiés</w:t>
      </w:r>
      <w:r w:rsidR="007C6BDF">
        <w:rPr>
          <w:u w:val="single"/>
        </w:rPr>
        <w:t> </w:t>
      </w:r>
      <w:r>
        <w:t xml:space="preserve">: Les cycles de </w:t>
      </w:r>
      <w:r w:rsidR="00EA6DEA">
        <w:t xml:space="preserve">rapport </w:t>
      </w:r>
      <w:r>
        <w:t xml:space="preserve">qui ont été menés dans le cadre de la </w:t>
      </w:r>
      <w:r w:rsidR="00EA6DEA">
        <w:t>C</w:t>
      </w:r>
      <w:r>
        <w:t>onvention de 2003 ont également souligné la nécessité de simplifier les formulaires de notification (formulaires</w:t>
      </w:r>
      <w:r w:rsidR="007C6BDF">
        <w:t> </w:t>
      </w:r>
      <w:r>
        <w:t>ICH-10 et ICH-11) afin d</w:t>
      </w:r>
      <w:r w:rsidR="007C6BDF">
        <w:t>’</w:t>
      </w:r>
      <w:r>
        <w:t xml:space="preserve">alléger la charge de travail des États </w:t>
      </w:r>
      <w:r w:rsidR="00EA6DEA">
        <w:t>soumissionnaires</w:t>
      </w:r>
      <w:r>
        <w:t xml:space="preserve">. Le </w:t>
      </w:r>
      <w:r w:rsidR="00EA6DEA">
        <w:t>processus révisé</w:t>
      </w:r>
      <w:r>
        <w:t xml:space="preserve"> de rapport nécessiterait </w:t>
      </w:r>
      <w:r w:rsidR="00EA6DEA">
        <w:t xml:space="preserve">aussi </w:t>
      </w:r>
      <w:r>
        <w:t>d</w:t>
      </w:r>
      <w:r w:rsidR="007C6BDF">
        <w:t>’</w:t>
      </w:r>
      <w:r>
        <w:t>aligner le calendrier des trois mécanismes de rapports périodiques de la Convention de 2003.</w:t>
      </w:r>
      <w:r w:rsidR="00EA6DEA">
        <w:rPr>
          <w:rStyle w:val="Appelnotedebasdep"/>
        </w:rPr>
        <w:footnoteReference w:id="6"/>
      </w:r>
      <w:r>
        <w:t xml:space="preserve"> L</w:t>
      </w:r>
      <w:r w:rsidR="007C6BDF">
        <w:t>’</w:t>
      </w:r>
      <w:r>
        <w:t>année de réflexion prévue en 2026 (et les étapes préparatoires à suivre à partir de 2025) serait l</w:t>
      </w:r>
      <w:r w:rsidR="007C6BDF">
        <w:t>’</w:t>
      </w:r>
      <w:r>
        <w:t>occasion de simplifier ces formulaires afin d</w:t>
      </w:r>
      <w:r w:rsidR="007C6BDF">
        <w:t>’</w:t>
      </w:r>
      <w:r>
        <w:t>éviter la collecte d’une multitude d</w:t>
      </w:r>
      <w:r w:rsidR="007C6BDF">
        <w:t>’</w:t>
      </w:r>
      <w:r>
        <w:t>informations similaires. L</w:t>
      </w:r>
      <w:r w:rsidR="007C6BDF">
        <w:t>’</w:t>
      </w:r>
      <w:r>
        <w:t xml:space="preserve">objectif global serait de maintenir les approches et le contenu spécifiques à la Convention tout en permettant </w:t>
      </w:r>
      <w:r w:rsidR="00DA3E6E">
        <w:t xml:space="preserve">une analyse exhaustive de l’information </w:t>
      </w:r>
      <w:r>
        <w:t>dans tous les domaines culturels.</w:t>
      </w:r>
    </w:p>
    <w:p w14:paraId="7B565B40" w14:textId="43D25321" w:rsidR="00882630" w:rsidRPr="00553B84" w:rsidRDefault="00EC248A" w:rsidP="003C6FDB">
      <w:pPr>
        <w:pStyle w:val="COMPara"/>
        <w:numPr>
          <w:ilvl w:val="0"/>
          <w:numId w:val="8"/>
        </w:numPr>
        <w:ind w:left="1134" w:hanging="567"/>
        <w:jc w:val="both"/>
      </w:pPr>
      <w:r>
        <w:rPr>
          <w:u w:val="single"/>
        </w:rPr>
        <w:t>La création d</w:t>
      </w:r>
      <w:r w:rsidR="007C6BDF">
        <w:rPr>
          <w:u w:val="single"/>
        </w:rPr>
        <w:t>’</w:t>
      </w:r>
      <w:r>
        <w:rPr>
          <w:u w:val="single"/>
        </w:rPr>
        <w:t xml:space="preserve">une </w:t>
      </w:r>
      <w:r w:rsidR="007C6BDF">
        <w:rPr>
          <w:u w:val="single"/>
        </w:rPr>
        <w:t>plate-forme</w:t>
      </w:r>
      <w:r>
        <w:rPr>
          <w:u w:val="single"/>
        </w:rPr>
        <w:t xml:space="preserve"> commune de </w:t>
      </w:r>
      <w:r w:rsidR="00A02AD5">
        <w:rPr>
          <w:u w:val="single"/>
        </w:rPr>
        <w:t>rapport </w:t>
      </w:r>
      <w:r>
        <w:t>: S</w:t>
      </w:r>
      <w:r w:rsidR="007C6BDF">
        <w:t>’</w:t>
      </w:r>
      <w:r>
        <w:t>appuyant sur</w:t>
      </w:r>
      <w:r w:rsidR="00A02AD5">
        <w:t xml:space="preserve"> les recommandations de l’évaluation de la Division des services de contrôle interne de l’UNESCO et sur</w:t>
      </w:r>
      <w:r>
        <w:t xml:space="preserve"> la décision du Conseil exécutif</w:t>
      </w:r>
      <w:r w:rsidR="007C6BDF">
        <w:t> </w:t>
      </w:r>
      <w:hyperlink r:id="rId18" w:anchor="%5B%7B%22num%22%3A58%2C%22gen%22%3A0%7D%2C%7B%22name%22%3A%22XYZ%22%7D%2C54%2C226%2C0%5D" w:history="1">
        <w:r>
          <w:rPr>
            <w:rStyle w:val="Lienhypertexte"/>
          </w:rPr>
          <w:t>219 EX/Décision 11</w:t>
        </w:r>
      </w:hyperlink>
      <w:r>
        <w:t>, la création d</w:t>
      </w:r>
      <w:r w:rsidR="007C6BDF">
        <w:t>’</w:t>
      </w:r>
      <w:r>
        <w:t>un «</w:t>
      </w:r>
      <w:r w:rsidR="007C6BDF">
        <w:t> </w:t>
      </w:r>
      <w:r>
        <w:t xml:space="preserve">Portail </w:t>
      </w:r>
      <w:r w:rsidR="00A02AD5">
        <w:t xml:space="preserve">intégré </w:t>
      </w:r>
      <w:r>
        <w:t>de données culturelles</w:t>
      </w:r>
      <w:r w:rsidR="007C6BDF">
        <w:t> </w:t>
      </w:r>
      <w:r>
        <w:t>», en cours de préparation, vise à placer les utilisateurs finaux de l</w:t>
      </w:r>
      <w:r w:rsidR="007C6BDF">
        <w:t>’</w:t>
      </w:r>
      <w:r>
        <w:t>information au centre, à faciliter la soumission de rapports périodiques pour les États membres, à fournir une visualisation conviviale des données ainsi qu’à améliorer les capacités d</w:t>
      </w:r>
      <w:r w:rsidR="007C6BDF">
        <w:t>’</w:t>
      </w:r>
      <w:r>
        <w:t>analyse des données</w:t>
      </w:r>
      <w:r w:rsidR="00A02AD5">
        <w:t xml:space="preserve">, </w:t>
      </w:r>
      <w:r w:rsidR="00A02AD5" w:rsidRPr="00A02AD5">
        <w:t>dans le plein respect de l’autorité des organes directeurs des conventions de l’UNESCO dans le domaine de la culture</w:t>
      </w:r>
      <w:r>
        <w:t xml:space="preserve">. En simplifiant le processus de collecte des données, la </w:t>
      </w:r>
      <w:r w:rsidR="007C6BDF">
        <w:t>plate-forme</w:t>
      </w:r>
      <w:r>
        <w:t xml:space="preserve"> vise également à offrir aux États membres un point d</w:t>
      </w:r>
      <w:r w:rsidR="007C6BDF">
        <w:t>’</w:t>
      </w:r>
      <w:r>
        <w:t>entrée unique pour l</w:t>
      </w:r>
      <w:r w:rsidR="007C6BDF">
        <w:t>’</w:t>
      </w:r>
      <w:r>
        <w:t>accès, l</w:t>
      </w:r>
      <w:r w:rsidR="008252A6">
        <w:t>a</w:t>
      </w:r>
      <w:r>
        <w:t xml:space="preserve"> </w:t>
      </w:r>
      <w:r w:rsidR="008252A6">
        <w:t xml:space="preserve">soumission </w:t>
      </w:r>
      <w:r>
        <w:t>et la consultation de leurs informations, conformément au principe du «</w:t>
      </w:r>
      <w:r w:rsidR="007C6BDF">
        <w:t> </w:t>
      </w:r>
      <w:r>
        <w:t>guichet unique</w:t>
      </w:r>
      <w:r w:rsidR="007C6BDF">
        <w:t> </w:t>
      </w:r>
      <w:r>
        <w:t>» pour le suivi et l</w:t>
      </w:r>
      <w:r w:rsidR="007C6BDF">
        <w:t>’</w:t>
      </w:r>
      <w:r>
        <w:t xml:space="preserve">évaluation de la mise en œuvre des instruments </w:t>
      </w:r>
      <w:r>
        <w:lastRenderedPageBreak/>
        <w:t>normatifs.</w:t>
      </w:r>
      <w:r w:rsidR="00A02AD5">
        <w:rPr>
          <w:rStyle w:val="Appelnotedebasdep"/>
        </w:rPr>
        <w:footnoteReference w:id="7"/>
      </w:r>
      <w:r>
        <w:t xml:space="preserve"> Le secrétariat de la Convention de 2003 a participé aux réunions du groupe de travail du secteur de la culture afin de discuter des spécifications techniques </w:t>
      </w:r>
      <w:r w:rsidR="00E73598">
        <w:t xml:space="preserve">pour le développement </w:t>
      </w:r>
      <w:r>
        <w:t>de la plateforme.</w:t>
      </w:r>
    </w:p>
    <w:p w14:paraId="730F11C4" w14:textId="587CA5C1" w:rsidR="00707B90" w:rsidRPr="00553B84" w:rsidRDefault="007D5E42" w:rsidP="003C6FDB">
      <w:pPr>
        <w:pStyle w:val="COMPara"/>
        <w:numPr>
          <w:ilvl w:val="0"/>
          <w:numId w:val="8"/>
        </w:numPr>
        <w:ind w:left="1134" w:hanging="567"/>
        <w:jc w:val="both"/>
      </w:pPr>
      <w:r>
        <w:rPr>
          <w:u w:val="single"/>
        </w:rPr>
        <w:t>Une approche commune de renforcement des capacités</w:t>
      </w:r>
      <w:r w:rsidR="007C6BDF">
        <w:rPr>
          <w:u w:val="single"/>
        </w:rPr>
        <w:t> </w:t>
      </w:r>
      <w:r>
        <w:rPr>
          <w:u w:val="single"/>
        </w:rPr>
        <w:t>:</w:t>
      </w:r>
      <w:r>
        <w:t xml:space="preserve"> L</w:t>
      </w:r>
      <w:r w:rsidR="007C6BDF">
        <w:t>’</w:t>
      </w:r>
      <w:r w:rsidR="00E73598">
        <w:t xml:space="preserve">un des piliers sur lesquels reposent les taux de soumission significatifs </w:t>
      </w:r>
      <w:r w:rsidR="00EF6AF2">
        <w:t>réguliers constatés, a été</w:t>
      </w:r>
      <w:r w:rsidR="00E73598">
        <w:t xml:space="preserve"> </w:t>
      </w:r>
      <w:r w:rsidR="00EF6AF2">
        <w:t>l’</w:t>
      </w:r>
      <w:r>
        <w:t>approche de renforcement des capacités à forte intensité de main-d</w:t>
      </w:r>
      <w:r w:rsidR="007C6BDF">
        <w:t>’</w:t>
      </w:r>
      <w:r>
        <w:t xml:space="preserve">œuvre qui a accompagné chaque État soumissionnaire tout au long du processus. Le passage à un système unique de </w:t>
      </w:r>
      <w:r w:rsidR="00EF6AF2">
        <w:t>soumission</w:t>
      </w:r>
      <w:r w:rsidR="00A6160F">
        <w:t xml:space="preserve"> à l’échelle</w:t>
      </w:r>
      <w:r w:rsidR="00EF6AF2">
        <w:t xml:space="preserve"> </w:t>
      </w:r>
      <w:r>
        <w:t>mondial</w:t>
      </w:r>
      <w:r w:rsidR="008252A6">
        <w:t>e</w:t>
      </w:r>
      <w:r>
        <w:t xml:space="preserve"> implique une planification minutieuse des ressources financières et humaines nécessaires pour permettre la mise en œuvre d</w:t>
      </w:r>
      <w:r w:rsidR="007C6BDF">
        <w:t>’</w:t>
      </w:r>
      <w:r>
        <w:t>activités ciblées de renforcement des capacités au cours des années précédant immédiatement la soumission et l</w:t>
      </w:r>
      <w:r w:rsidR="007C6BDF">
        <w:t>’</w:t>
      </w:r>
      <w:r>
        <w:t xml:space="preserve">analyse pertinente </w:t>
      </w:r>
      <w:r w:rsidR="00EF6AF2">
        <w:t xml:space="preserve">après la soumission </w:t>
      </w:r>
      <w:r>
        <w:t xml:space="preserve">des rapports périodiques. Dans ce processus, les réseaux et les contacts établis au cours du premier cycle régional de rapports seront privilégiés, de même que la collaboration avec les autres conventions </w:t>
      </w:r>
      <w:r w:rsidR="00EF6AF2">
        <w:t xml:space="preserve">dans le domaine de </w:t>
      </w:r>
      <w:r>
        <w:t>la culture.</w:t>
      </w:r>
    </w:p>
    <w:p w14:paraId="0A53FFCD" w14:textId="1956ED56" w:rsidR="00707B90" w:rsidRPr="00553B84" w:rsidRDefault="00707B90" w:rsidP="003C6FDB">
      <w:pPr>
        <w:pStyle w:val="COMPara"/>
        <w:numPr>
          <w:ilvl w:val="0"/>
          <w:numId w:val="18"/>
        </w:numPr>
        <w:ind w:left="1134" w:hanging="567"/>
        <w:jc w:val="both"/>
      </w:pPr>
      <w:r>
        <w:rPr>
          <w:u w:val="single"/>
        </w:rPr>
        <w:t>Rapport aux organes directeurs de la Convention de 2003</w:t>
      </w:r>
      <w:r w:rsidR="007C6BDF">
        <w:rPr>
          <w:u w:val="single"/>
        </w:rPr>
        <w:t> </w:t>
      </w:r>
      <w:r>
        <w:rPr>
          <w:u w:val="single"/>
        </w:rPr>
        <w:t>:</w:t>
      </w:r>
      <w:r>
        <w:t xml:space="preserve"> Conformément aux dispositions de l</w:t>
      </w:r>
      <w:r w:rsidR="007C6BDF">
        <w:t>’</w:t>
      </w:r>
      <w:r>
        <w:t>article</w:t>
      </w:r>
      <w:r w:rsidR="007C6BDF">
        <w:t> </w:t>
      </w:r>
      <w:r>
        <w:t>29 de la Convention</w:t>
      </w:r>
      <w:r>
        <w:rPr>
          <w:rFonts w:asciiTheme="minorBidi" w:hAnsiTheme="minorBidi"/>
        </w:rPr>
        <w:t xml:space="preserve">, en vertu duquel </w:t>
      </w:r>
      <w:r>
        <w:t>les États parties sont tenus de présenter au Comité des rapports sur les mesures législatives, réglementaires et autres, prises pour la mise en œuvre de la Convention de 2003, en respectant les formes et la périodicité définies, le Comité continuera d</w:t>
      </w:r>
      <w:r w:rsidR="007C6BDF">
        <w:t>’</w:t>
      </w:r>
      <w:r>
        <w:t xml:space="preserve">examiner les </w:t>
      </w:r>
      <w:r>
        <w:rPr>
          <w:rFonts w:asciiTheme="minorBidi" w:hAnsiTheme="minorBidi"/>
        </w:rPr>
        <w:t>analyses</w:t>
      </w:r>
      <w:r>
        <w:t xml:space="preserve"> </w:t>
      </w:r>
      <w:r w:rsidR="008926B2">
        <w:t>conduites par le Secrétariat</w:t>
      </w:r>
      <w:r>
        <w:rPr>
          <w:rFonts w:asciiTheme="minorBidi" w:hAnsiTheme="minorBidi"/>
        </w:rPr>
        <w:t>. Compte tenu du volume d</w:t>
      </w:r>
      <w:r w:rsidR="007C6BDF">
        <w:rPr>
          <w:rFonts w:asciiTheme="minorBidi" w:hAnsiTheme="minorBidi"/>
        </w:rPr>
        <w:t>’</w:t>
      </w:r>
      <w:r>
        <w:rPr>
          <w:rFonts w:asciiTheme="minorBidi" w:hAnsiTheme="minorBidi"/>
        </w:rPr>
        <w:t xml:space="preserve">informations </w:t>
      </w:r>
      <w:r w:rsidR="008926B2">
        <w:rPr>
          <w:rFonts w:asciiTheme="minorBidi" w:hAnsiTheme="minorBidi"/>
        </w:rPr>
        <w:t xml:space="preserve">attendu </w:t>
      </w:r>
      <w:r>
        <w:rPr>
          <w:rFonts w:asciiTheme="minorBidi" w:hAnsiTheme="minorBidi"/>
        </w:rPr>
        <w:t>simultanément, une solution pourrait consister à se concentrer sur</w:t>
      </w:r>
      <w:r w:rsidR="007C6BDF">
        <w:rPr>
          <w:rFonts w:asciiTheme="minorBidi" w:hAnsiTheme="minorBidi"/>
        </w:rPr>
        <w:t> </w:t>
      </w:r>
      <w:r>
        <w:rPr>
          <w:rFonts w:asciiTheme="minorBidi" w:hAnsiTheme="minorBidi"/>
        </w:rPr>
        <w:t>: (a) la production d</w:t>
      </w:r>
      <w:r w:rsidR="007C6BDF">
        <w:rPr>
          <w:rFonts w:asciiTheme="minorBidi" w:hAnsiTheme="minorBidi"/>
        </w:rPr>
        <w:t>’</w:t>
      </w:r>
      <w:r>
        <w:rPr>
          <w:rFonts w:asciiTheme="minorBidi" w:hAnsiTheme="minorBidi"/>
        </w:rPr>
        <w:t>un rapport équivalent au «</w:t>
      </w:r>
      <w:r w:rsidR="007C6BDF">
        <w:rPr>
          <w:rFonts w:asciiTheme="minorBidi" w:hAnsiTheme="minorBidi"/>
        </w:rPr>
        <w:t> </w:t>
      </w:r>
      <w:r>
        <w:rPr>
          <w:rFonts w:asciiTheme="minorBidi" w:hAnsiTheme="minorBidi"/>
        </w:rPr>
        <w:t>rapport analytique</w:t>
      </w:r>
      <w:r w:rsidR="007C6BDF">
        <w:rPr>
          <w:rFonts w:asciiTheme="minorBidi" w:hAnsiTheme="minorBidi"/>
        </w:rPr>
        <w:t> </w:t>
      </w:r>
      <w:r>
        <w:rPr>
          <w:rFonts w:asciiTheme="minorBidi" w:hAnsiTheme="minorBidi"/>
        </w:rPr>
        <w:t>» (sans passer par la rédaction d</w:t>
      </w:r>
      <w:r w:rsidR="007C6BDF">
        <w:rPr>
          <w:rFonts w:asciiTheme="minorBidi" w:hAnsiTheme="minorBidi"/>
        </w:rPr>
        <w:t>’</w:t>
      </w:r>
      <w:r>
        <w:rPr>
          <w:rFonts w:asciiTheme="minorBidi" w:hAnsiTheme="minorBidi"/>
        </w:rPr>
        <w:t>un rapport équivalent au «</w:t>
      </w:r>
      <w:r w:rsidR="007C6BDF">
        <w:rPr>
          <w:rFonts w:asciiTheme="minorBidi" w:hAnsiTheme="minorBidi"/>
        </w:rPr>
        <w:t> </w:t>
      </w:r>
      <w:r>
        <w:rPr>
          <w:rFonts w:asciiTheme="minorBidi" w:hAnsiTheme="minorBidi"/>
        </w:rPr>
        <w:t>résumé analytique</w:t>
      </w:r>
      <w:r w:rsidR="007C6BDF">
        <w:rPr>
          <w:rFonts w:asciiTheme="minorBidi" w:hAnsiTheme="minorBidi"/>
        </w:rPr>
        <w:t> </w:t>
      </w:r>
      <w:r>
        <w:rPr>
          <w:rFonts w:asciiTheme="minorBidi" w:hAnsiTheme="minorBidi"/>
        </w:rPr>
        <w:t>», comme cela a été le cas)</w:t>
      </w:r>
      <w:r w:rsidR="007C6BDF">
        <w:rPr>
          <w:rFonts w:asciiTheme="minorBidi" w:hAnsiTheme="minorBidi"/>
        </w:rPr>
        <w:t> </w:t>
      </w:r>
      <w:r>
        <w:rPr>
          <w:rFonts w:asciiTheme="minorBidi" w:hAnsiTheme="minorBidi"/>
        </w:rPr>
        <w:t>; et (b) fournir l</w:t>
      </w:r>
      <w:r w:rsidR="007C6BDF">
        <w:rPr>
          <w:rFonts w:asciiTheme="minorBidi" w:hAnsiTheme="minorBidi"/>
        </w:rPr>
        <w:t>’</w:t>
      </w:r>
      <w:r>
        <w:rPr>
          <w:rFonts w:asciiTheme="minorBidi" w:hAnsiTheme="minorBidi"/>
        </w:rPr>
        <w:t xml:space="preserve">analyse </w:t>
      </w:r>
      <w:r w:rsidRPr="00A573D9">
        <w:rPr>
          <w:rFonts w:asciiTheme="minorBidi" w:hAnsiTheme="minorBidi"/>
        </w:rPr>
        <w:t xml:space="preserve">au Comité sur deux sessions (par exemple, un rapport couvrant deux régions en </w:t>
      </w:r>
      <w:r w:rsidRPr="00553766">
        <w:rPr>
          <w:rFonts w:asciiTheme="minorBidi" w:hAnsiTheme="minorBidi"/>
        </w:rPr>
        <w:t>2028</w:t>
      </w:r>
      <w:r w:rsidRPr="00A573D9">
        <w:rPr>
          <w:rFonts w:asciiTheme="minorBidi" w:hAnsiTheme="minorBidi"/>
        </w:rPr>
        <w:t xml:space="preserve"> et un autre rapport couvrant trois régions en </w:t>
      </w:r>
      <w:r w:rsidRPr="00553766">
        <w:rPr>
          <w:rFonts w:asciiTheme="minorBidi" w:hAnsiTheme="minorBidi"/>
        </w:rPr>
        <w:t>2029</w:t>
      </w:r>
      <w:r w:rsidRPr="00A573D9">
        <w:rPr>
          <w:rFonts w:asciiTheme="minorBidi" w:hAnsiTheme="minorBidi"/>
        </w:rPr>
        <w:t>).</w:t>
      </w:r>
      <w:r>
        <w:rPr>
          <w:rFonts w:asciiTheme="minorBidi" w:hAnsiTheme="minorBidi"/>
        </w:rPr>
        <w:t> </w:t>
      </w:r>
    </w:p>
    <w:p w14:paraId="49FA27CB" w14:textId="4447C44E" w:rsidR="00F863F1" w:rsidRPr="00553B84" w:rsidRDefault="00C15359" w:rsidP="00D402BE">
      <w:pPr>
        <w:pStyle w:val="COMPara"/>
        <w:ind w:left="567" w:hanging="567"/>
        <w:jc w:val="both"/>
      </w:pPr>
      <w:r>
        <w:t xml:space="preserve">La feuille de route initialement présentée lors de la dix-huitième session du Comité a été adaptée pour refléter les plans futurs susmentionnés (voir annexe). Parallèlement, </w:t>
      </w:r>
      <w:r>
        <w:rPr>
          <w:rFonts w:asciiTheme="minorBidi" w:hAnsiTheme="minorBidi"/>
        </w:rPr>
        <w:t>l’objectif statutaire ultime resterait inchangé,</w:t>
      </w:r>
      <w:r>
        <w:t xml:space="preserve"> à savoir une révision des paragraphes pertinents concernant les </w:t>
      </w:r>
      <w:r w:rsidR="00A573D9">
        <w:t>D</w:t>
      </w:r>
      <w:r>
        <w:t xml:space="preserve">irectives opérationnelles afin de soutenir la transition vers un système </w:t>
      </w:r>
      <w:r w:rsidR="008252A6">
        <w:t xml:space="preserve">unique </w:t>
      </w:r>
      <w:r>
        <w:t xml:space="preserve">de </w:t>
      </w:r>
      <w:r w:rsidR="00A573D9">
        <w:t xml:space="preserve">soumission </w:t>
      </w:r>
      <w:r w:rsidR="00A6160F">
        <w:t xml:space="preserve">à l’échelle </w:t>
      </w:r>
      <w:r>
        <w:t>mondial</w:t>
      </w:r>
      <w:r w:rsidR="008252A6">
        <w:t>e</w:t>
      </w:r>
      <w:r>
        <w:t>. Les projets d</w:t>
      </w:r>
      <w:r w:rsidR="007C6BDF">
        <w:t>’</w:t>
      </w:r>
      <w:r>
        <w:t xml:space="preserve">amendements aux </w:t>
      </w:r>
      <w:r w:rsidR="00A573D9">
        <w:t>D</w:t>
      </w:r>
      <w:r>
        <w:t>irectives opérationnelles doivent être présentés à la vingtième session du Comité pour examen en 2025, qui pourrait alors recommander leur adoption par la onzième session de l</w:t>
      </w:r>
      <w:r w:rsidR="007C6BDF">
        <w:t>’</w:t>
      </w:r>
      <w:r>
        <w:t>Assemblée générale à la mi-2026.</w:t>
      </w:r>
    </w:p>
    <w:p w14:paraId="50D3EAFF" w14:textId="775FE7C9" w:rsidR="00D95C4C" w:rsidRPr="00553B84" w:rsidRDefault="000B1C8F" w:rsidP="00AC18C1">
      <w:pPr>
        <w:pStyle w:val="COMPara"/>
        <w:ind w:left="567" w:hanging="567"/>
      </w:pPr>
      <w:r>
        <w:t>Le Comité souhaitera peut-être adopter la décision suivante</w:t>
      </w:r>
      <w:r w:rsidR="007C6BDF">
        <w:t> </w:t>
      </w:r>
      <w:r>
        <w:t>:</w:t>
      </w:r>
    </w:p>
    <w:p w14:paraId="6CEB1E9D" w14:textId="5D3137CC" w:rsidR="00D95C4C" w:rsidRPr="008531C1" w:rsidRDefault="004A34A0" w:rsidP="001D14FE">
      <w:pPr>
        <w:pStyle w:val="COMTitleDecision"/>
        <w:rPr>
          <w:rFonts w:eastAsia="SimSun"/>
        </w:rPr>
      </w:pPr>
      <w:r>
        <w:t>PROJET DE D</w:t>
      </w:r>
      <w:r w:rsidR="007C6BDF">
        <w:t>É</w:t>
      </w:r>
      <w:r>
        <w:t>CISION</w:t>
      </w:r>
      <w:r w:rsidR="007C6BDF">
        <w:t> </w:t>
      </w:r>
      <w:r>
        <w:t>19.COM 6.c</w:t>
      </w:r>
    </w:p>
    <w:p w14:paraId="13024F0B" w14:textId="77777777" w:rsidR="00D95C4C" w:rsidRPr="008531C1" w:rsidRDefault="00285BB4" w:rsidP="00285BB4">
      <w:pPr>
        <w:pStyle w:val="COMPreambulaDecisions"/>
        <w:rPr>
          <w:rFonts w:eastAsia="SimSun"/>
        </w:rPr>
      </w:pPr>
      <w:r>
        <w:t>Le Comité</w:t>
      </w:r>
    </w:p>
    <w:p w14:paraId="5A9F22F3" w14:textId="0268DC6A" w:rsidR="0057439C" w:rsidRPr="00553B84" w:rsidRDefault="00D95C4C" w:rsidP="007F35D2">
      <w:pPr>
        <w:pStyle w:val="COMParaDecision"/>
        <w:ind w:left="1134" w:hanging="567"/>
      </w:pPr>
      <w:r>
        <w:t>Ayant examiné</w:t>
      </w:r>
      <w:r>
        <w:rPr>
          <w:u w:val="none"/>
        </w:rPr>
        <w:t xml:space="preserve"> le document </w:t>
      </w:r>
      <w:r w:rsidR="008252A6">
        <w:rPr>
          <w:u w:val="none"/>
        </w:rPr>
        <w:t xml:space="preserve">LHE/24/19.COM/6.c </w:t>
      </w:r>
      <w:r>
        <w:rPr>
          <w:u w:val="none"/>
        </w:rPr>
        <w:t>ainsi que s</w:t>
      </w:r>
      <w:r w:rsidR="007E1FE1">
        <w:rPr>
          <w:u w:val="none"/>
        </w:rPr>
        <w:t>on</w:t>
      </w:r>
      <w:r>
        <w:rPr>
          <w:u w:val="none"/>
        </w:rPr>
        <w:t xml:space="preserve"> annexe,</w:t>
      </w:r>
    </w:p>
    <w:p w14:paraId="260CA8D5" w14:textId="6B326CDE" w:rsidR="0057439C" w:rsidRPr="00553B84" w:rsidRDefault="0057439C" w:rsidP="007F35D2">
      <w:pPr>
        <w:pStyle w:val="COMParaDecision"/>
        <w:ind w:left="1134" w:hanging="567"/>
      </w:pPr>
      <w:r>
        <w:t>Rappelant</w:t>
      </w:r>
      <w:r>
        <w:rPr>
          <w:u w:val="none"/>
        </w:rPr>
        <w:t xml:space="preserve"> la décision</w:t>
      </w:r>
      <w:r w:rsidR="007C6BDF">
        <w:rPr>
          <w:u w:val="none"/>
        </w:rPr>
        <w:t> </w:t>
      </w:r>
      <w:hyperlink r:id="rId19" w:history="1">
        <w:r>
          <w:rPr>
            <w:rStyle w:val="Lienhypertexte"/>
          </w:rPr>
          <w:t>18.COM 7.c</w:t>
        </w:r>
      </w:hyperlink>
      <w:r>
        <w:rPr>
          <w:u w:val="none"/>
        </w:rPr>
        <w:t xml:space="preserve"> ainsi que les résolutions</w:t>
      </w:r>
      <w:r w:rsidR="007C6BDF">
        <w:rPr>
          <w:u w:val="none"/>
        </w:rPr>
        <w:t> </w:t>
      </w:r>
      <w:hyperlink r:id="rId20" w:history="1">
        <w:r>
          <w:rPr>
            <w:rStyle w:val="Lienhypertexte"/>
          </w:rPr>
          <w:t>10.GA</w:t>
        </w:r>
        <w:r w:rsidR="007C6BDF">
          <w:rPr>
            <w:rStyle w:val="Lienhypertexte"/>
          </w:rPr>
          <w:t> </w:t>
        </w:r>
        <w:r>
          <w:rPr>
            <w:rStyle w:val="Lienhypertexte"/>
          </w:rPr>
          <w:t>5</w:t>
        </w:r>
      </w:hyperlink>
      <w:r>
        <w:rPr>
          <w:u w:val="none"/>
        </w:rPr>
        <w:t xml:space="preserve"> et </w:t>
      </w:r>
      <w:hyperlink r:id="rId21" w:history="1">
        <w:r>
          <w:rPr>
            <w:rStyle w:val="Lienhypertexte"/>
          </w:rPr>
          <w:t>10.GA</w:t>
        </w:r>
        <w:r w:rsidR="007C6BDF">
          <w:rPr>
            <w:rStyle w:val="Lienhypertexte"/>
          </w:rPr>
          <w:t> </w:t>
        </w:r>
        <w:r>
          <w:rPr>
            <w:rStyle w:val="Lienhypertexte"/>
          </w:rPr>
          <w:t>6</w:t>
        </w:r>
        <w:r w:rsidRPr="007E1FE1">
          <w:rPr>
            <w:rStyle w:val="Lienhypertexte"/>
            <w:color w:val="auto"/>
            <w:u w:val="none"/>
          </w:rPr>
          <w:t>,</w:t>
        </w:r>
      </w:hyperlink>
    </w:p>
    <w:p w14:paraId="7D3DC8E3" w14:textId="6DFC19B2" w:rsidR="00B4498C" w:rsidRPr="00553B84" w:rsidRDefault="00B4498C" w:rsidP="007F35D2">
      <w:pPr>
        <w:pStyle w:val="COMParaDecision"/>
        <w:ind w:left="1134" w:hanging="567"/>
      </w:pPr>
      <w:r>
        <w:t>Rappelant en outre</w:t>
      </w:r>
      <w:r>
        <w:rPr>
          <w:u w:val="none"/>
        </w:rPr>
        <w:t xml:space="preserve"> les décisions</w:t>
      </w:r>
      <w:r w:rsidR="007C6BDF">
        <w:rPr>
          <w:u w:val="none"/>
        </w:rPr>
        <w:t> </w:t>
      </w:r>
      <w:hyperlink r:id="rId22" w:anchor="%5B%7B%22num%22%3A58%2C%22gen%22%3A0%7D%2C%7B%22name%22%3A%22XYZ%22%7D%2C54%2C226%2C0%5D" w:history="1">
        <w:r>
          <w:rPr>
            <w:rStyle w:val="Lienhypertexte"/>
          </w:rPr>
          <w:t>219 EX/11</w:t>
        </w:r>
      </w:hyperlink>
      <w:r>
        <w:rPr>
          <w:u w:val="none"/>
        </w:rPr>
        <w:t xml:space="preserve"> et </w:t>
      </w:r>
      <w:hyperlink r:id="rId23" w:anchor="%5B%7B%22num%22%3A64%2C%22gen%22%3A0%7D%2C%7B%22name%22%3A%22XYZ%22%7D%2C54%2C771%2C0%5D" w:history="1">
        <w:r>
          <w:rPr>
            <w:rStyle w:val="Lienhypertexte"/>
          </w:rPr>
          <w:t>219 EX/13</w:t>
        </w:r>
      </w:hyperlink>
      <w:r>
        <w:rPr>
          <w:u w:val="none"/>
        </w:rPr>
        <w:t xml:space="preserve"> du Conseil exécutif de l</w:t>
      </w:r>
      <w:r w:rsidR="007C6BDF">
        <w:rPr>
          <w:u w:val="none"/>
        </w:rPr>
        <w:t>’</w:t>
      </w:r>
      <w:r>
        <w:rPr>
          <w:u w:val="none"/>
        </w:rPr>
        <w:t>UNESCO et la Déclaration MONDIACULT</w:t>
      </w:r>
      <w:r w:rsidR="007C6BDF">
        <w:rPr>
          <w:u w:val="none"/>
        </w:rPr>
        <w:t> </w:t>
      </w:r>
      <w:r>
        <w:rPr>
          <w:u w:val="none"/>
        </w:rPr>
        <w:t>2022, ainsi que l</w:t>
      </w:r>
      <w:r w:rsidR="007C6BDF">
        <w:rPr>
          <w:u w:val="none"/>
        </w:rPr>
        <w:t>’</w:t>
      </w:r>
      <w:r>
        <w:rPr>
          <w:u w:val="none"/>
        </w:rPr>
        <w:t>évaluation par IOS en 2024 des rapports périodiques de l</w:t>
      </w:r>
      <w:r w:rsidR="007C6BDF">
        <w:rPr>
          <w:u w:val="none"/>
        </w:rPr>
        <w:t>’</w:t>
      </w:r>
      <w:r>
        <w:rPr>
          <w:u w:val="none"/>
        </w:rPr>
        <w:t xml:space="preserve">UNESCO sur les conventions et recommandations </w:t>
      </w:r>
      <w:r w:rsidR="00E52492">
        <w:rPr>
          <w:u w:val="none"/>
        </w:rPr>
        <w:t xml:space="preserve">relevant </w:t>
      </w:r>
      <w:r>
        <w:rPr>
          <w:u w:val="none"/>
        </w:rPr>
        <w:t>du Secteur de la culture,</w:t>
      </w:r>
    </w:p>
    <w:p w14:paraId="4EB5C413" w14:textId="010DEA53" w:rsidR="00D95C4C" w:rsidRPr="00553B84" w:rsidRDefault="00B4498C" w:rsidP="00B4498C">
      <w:pPr>
        <w:pStyle w:val="COMParaDecision"/>
        <w:numPr>
          <w:ilvl w:val="0"/>
          <w:numId w:val="0"/>
        </w:numPr>
        <w:ind w:left="567"/>
        <w:rPr>
          <w:b/>
          <w:bCs/>
          <w:u w:val="none"/>
        </w:rPr>
      </w:pPr>
      <w:r>
        <w:rPr>
          <w:b/>
          <w:u w:val="none"/>
        </w:rPr>
        <w:t>Cycle régional de rapports</w:t>
      </w:r>
      <w:r w:rsidR="00E52492">
        <w:rPr>
          <w:b/>
          <w:u w:val="none"/>
        </w:rPr>
        <w:t xml:space="preserve"> en cours</w:t>
      </w:r>
      <w:r>
        <w:rPr>
          <w:b/>
          <w:u w:val="none"/>
        </w:rPr>
        <w:t xml:space="preserve"> </w:t>
      </w:r>
      <w:r w:rsidR="007C6BDF">
        <w:rPr>
          <w:b/>
          <w:u w:val="none"/>
        </w:rPr>
        <w:t>—</w:t>
      </w:r>
      <w:r>
        <w:rPr>
          <w:b/>
          <w:u w:val="none"/>
        </w:rPr>
        <w:t xml:space="preserve"> généralités</w:t>
      </w:r>
    </w:p>
    <w:p w14:paraId="2E2FFECB" w14:textId="0DE32D20" w:rsidR="00D95C4C" w:rsidRPr="00553B84" w:rsidRDefault="00B4498C" w:rsidP="007F35D2">
      <w:pPr>
        <w:pStyle w:val="COMParaDecision"/>
        <w:ind w:left="1134" w:hanging="567"/>
      </w:pPr>
      <w:r>
        <w:t>Prend note avec satisfaction</w:t>
      </w:r>
      <w:r>
        <w:rPr>
          <w:u w:val="none"/>
        </w:rPr>
        <w:t xml:space="preserve"> de l</w:t>
      </w:r>
      <w:r w:rsidR="007C6BDF">
        <w:rPr>
          <w:u w:val="none"/>
        </w:rPr>
        <w:t>’</w:t>
      </w:r>
      <w:r>
        <w:rPr>
          <w:u w:val="none"/>
        </w:rPr>
        <w:t xml:space="preserve">efficacité du système de rapports périodiques, qui a augmenté de manière significative les taux de </w:t>
      </w:r>
      <w:r w:rsidR="00E52492">
        <w:rPr>
          <w:u w:val="none"/>
        </w:rPr>
        <w:t>soumission</w:t>
      </w:r>
      <w:r>
        <w:rPr>
          <w:u w:val="none"/>
        </w:rPr>
        <w:t xml:space="preserve">, et </w:t>
      </w:r>
      <w:r>
        <w:t>apprécie</w:t>
      </w:r>
      <w:r>
        <w:rPr>
          <w:u w:val="none"/>
        </w:rPr>
        <w:t xml:space="preserve"> l’engagement, y </w:t>
      </w:r>
      <w:r>
        <w:rPr>
          <w:u w:val="none"/>
        </w:rPr>
        <w:lastRenderedPageBreak/>
        <w:t>compris les contributions financières, de toutes les parties prenantes impliquées dans le processus de rapports périodiques</w:t>
      </w:r>
      <w:r w:rsidR="007C6BDF">
        <w:rPr>
          <w:u w:val="none"/>
        </w:rPr>
        <w:t> </w:t>
      </w:r>
      <w:r>
        <w:rPr>
          <w:u w:val="none"/>
        </w:rPr>
        <w:t>;</w:t>
      </w:r>
    </w:p>
    <w:p w14:paraId="024E8F30" w14:textId="39C0F10D" w:rsidR="00D95C4C" w:rsidRPr="00553B84" w:rsidRDefault="004A6833" w:rsidP="007F35D2">
      <w:pPr>
        <w:pStyle w:val="COMParaDecision"/>
        <w:ind w:left="1134" w:hanging="567"/>
      </w:pPr>
      <w:r>
        <w:t>Reconnaît</w:t>
      </w:r>
      <w:r>
        <w:rPr>
          <w:u w:val="none"/>
        </w:rPr>
        <w:t xml:space="preserve"> le travail du Secrétariat qui fournit un soutien continu et pertinent aux États parties dans le cadre de leur processus d</w:t>
      </w:r>
      <w:r w:rsidR="007C6BDF">
        <w:rPr>
          <w:u w:val="none"/>
        </w:rPr>
        <w:t>’</w:t>
      </w:r>
      <w:r>
        <w:rPr>
          <w:u w:val="none"/>
        </w:rPr>
        <w:t>établissement de rapports périodiques par le biais d</w:t>
      </w:r>
      <w:r w:rsidR="007C6BDF">
        <w:rPr>
          <w:u w:val="none"/>
        </w:rPr>
        <w:t>’</w:t>
      </w:r>
      <w:r>
        <w:rPr>
          <w:u w:val="none"/>
        </w:rPr>
        <w:t>activités de renforcement des capacités et de suivi continu</w:t>
      </w:r>
      <w:r w:rsidR="007C6BDF">
        <w:rPr>
          <w:u w:val="none"/>
        </w:rPr>
        <w:t> </w:t>
      </w:r>
      <w:r>
        <w:rPr>
          <w:u w:val="none"/>
        </w:rPr>
        <w:t>;</w:t>
      </w:r>
    </w:p>
    <w:p w14:paraId="46125F2A" w14:textId="5FE84E27" w:rsidR="00977577" w:rsidRPr="00553B84" w:rsidRDefault="00977577" w:rsidP="007F35D2">
      <w:pPr>
        <w:pStyle w:val="COMParaDecision"/>
        <w:ind w:left="1134" w:hanging="567"/>
      </w:pPr>
      <w:r>
        <w:t>Prend note avec intérêt</w:t>
      </w:r>
      <w:r>
        <w:rPr>
          <w:u w:val="none"/>
        </w:rPr>
        <w:t xml:space="preserve"> du «</w:t>
      </w:r>
      <w:r w:rsidR="007C6BDF">
        <w:rPr>
          <w:u w:val="none"/>
        </w:rPr>
        <w:t> </w:t>
      </w:r>
      <w:r>
        <w:rPr>
          <w:u w:val="none"/>
        </w:rPr>
        <w:t>Rapport analytique du premier cycle de rapports périodiques sur la mise en œuvre de la Convention et sur l</w:t>
      </w:r>
      <w:r w:rsidR="007C6BDF">
        <w:rPr>
          <w:u w:val="none"/>
        </w:rPr>
        <w:t>’</w:t>
      </w:r>
      <w:r>
        <w:rPr>
          <w:u w:val="none"/>
        </w:rPr>
        <w:t>état actuel des éléments inscrits sur la Liste représentative du patrimoine culturel immatériel de l</w:t>
      </w:r>
      <w:r w:rsidR="007C6BDF">
        <w:rPr>
          <w:u w:val="none"/>
        </w:rPr>
        <w:t>’</w:t>
      </w:r>
      <w:r>
        <w:rPr>
          <w:u w:val="none"/>
        </w:rPr>
        <w:t>humanité par les États parties dans les États arabes</w:t>
      </w:r>
      <w:r w:rsidR="007C6BDF">
        <w:rPr>
          <w:u w:val="none"/>
        </w:rPr>
        <w:t> </w:t>
      </w:r>
      <w:r>
        <w:rPr>
          <w:u w:val="none"/>
        </w:rPr>
        <w:t>» tel qu</w:t>
      </w:r>
      <w:r w:rsidR="007C6BDF">
        <w:rPr>
          <w:u w:val="none"/>
        </w:rPr>
        <w:t>’</w:t>
      </w:r>
      <w:r>
        <w:rPr>
          <w:u w:val="none"/>
        </w:rPr>
        <w:t xml:space="preserve">il figure dans le document </w:t>
      </w:r>
      <w:hyperlink r:id="rId24" w:history="1">
        <w:r w:rsidRPr="003C6FDB">
          <w:rPr>
            <w:rStyle w:val="Lienhypertexte"/>
          </w:rPr>
          <w:t>LHE/24/19.COM/INF.6.c</w:t>
        </w:r>
      </w:hyperlink>
      <w:r w:rsidRPr="003C6FDB">
        <w:rPr>
          <w:u w:val="none"/>
        </w:rPr>
        <w:t>,</w:t>
      </w:r>
      <w:r>
        <w:rPr>
          <w:u w:val="none"/>
        </w:rPr>
        <w:t xml:space="preserve"> et </w:t>
      </w:r>
      <w:r w:rsidRPr="00553766">
        <w:t>se félicite</w:t>
      </w:r>
      <w:r>
        <w:rPr>
          <w:u w:val="none"/>
        </w:rPr>
        <w:t xml:space="preserve"> des principales conclusions mises en évidence dans le rapport, des informations détaillées sur la mesure dans laquelle les États parties ayant soumis un rapport ont atteint les indicateurs de base, et des objectifs fixés pour le prochain cycle de rapports</w:t>
      </w:r>
      <w:r w:rsidR="007C6BDF">
        <w:rPr>
          <w:u w:val="none"/>
        </w:rPr>
        <w:t> </w:t>
      </w:r>
      <w:r>
        <w:rPr>
          <w:u w:val="none"/>
        </w:rPr>
        <w:t>;</w:t>
      </w:r>
    </w:p>
    <w:p w14:paraId="36B373D0" w14:textId="61F0C6BF" w:rsidR="00977577" w:rsidRPr="00553B84" w:rsidRDefault="00977577" w:rsidP="007F35D2">
      <w:pPr>
        <w:pStyle w:val="COMParaDecision"/>
        <w:ind w:left="1134" w:hanging="567"/>
        <w:rPr>
          <w:u w:val="none"/>
        </w:rPr>
      </w:pPr>
      <w:r>
        <w:t>Demande</w:t>
      </w:r>
      <w:r>
        <w:rPr>
          <w:u w:val="none"/>
        </w:rPr>
        <w:t xml:space="preserve"> que le Secrétariat fasse un rapport sur l</w:t>
      </w:r>
      <w:r w:rsidR="007C6BDF">
        <w:rPr>
          <w:u w:val="none"/>
        </w:rPr>
        <w:t>’</w:t>
      </w:r>
      <w:r>
        <w:rPr>
          <w:u w:val="none"/>
        </w:rPr>
        <w:t>avancement de l</w:t>
      </w:r>
      <w:r w:rsidR="007C6BDF">
        <w:rPr>
          <w:u w:val="none"/>
        </w:rPr>
        <w:t>’</w:t>
      </w:r>
      <w:r>
        <w:rPr>
          <w:u w:val="none"/>
        </w:rPr>
        <w:t>exercice de</w:t>
      </w:r>
      <w:r w:rsidR="00005F1C">
        <w:rPr>
          <w:u w:val="none"/>
        </w:rPr>
        <w:t>s</w:t>
      </w:r>
      <w:r>
        <w:rPr>
          <w:u w:val="none"/>
        </w:rPr>
        <w:t xml:space="preserve"> rapport</w:t>
      </w:r>
      <w:r w:rsidR="00005F1C">
        <w:rPr>
          <w:u w:val="none"/>
        </w:rPr>
        <w:t>s</w:t>
      </w:r>
      <w:r>
        <w:rPr>
          <w:u w:val="none"/>
        </w:rPr>
        <w:t xml:space="preserve"> périodique</w:t>
      </w:r>
      <w:r w:rsidR="00005F1C">
        <w:rPr>
          <w:u w:val="none"/>
        </w:rPr>
        <w:t>s</w:t>
      </w:r>
      <w:r>
        <w:rPr>
          <w:u w:val="none"/>
        </w:rPr>
        <w:t xml:space="preserve"> sur la mise en œuvre de la Convention et sur l</w:t>
      </w:r>
      <w:r w:rsidR="007C6BDF">
        <w:rPr>
          <w:u w:val="none"/>
        </w:rPr>
        <w:t>’</w:t>
      </w:r>
      <w:r>
        <w:rPr>
          <w:u w:val="none"/>
        </w:rPr>
        <w:t>état actuel des éléments inscrits sur la Liste représentative du patrimoine culturel immatériel de l</w:t>
      </w:r>
      <w:r w:rsidR="007C6BDF">
        <w:rPr>
          <w:u w:val="none"/>
        </w:rPr>
        <w:t>’</w:t>
      </w:r>
      <w:r>
        <w:rPr>
          <w:u w:val="none"/>
        </w:rPr>
        <w:t>humanité, pour examen par la vingtième session du Comité</w:t>
      </w:r>
      <w:r w:rsidR="007E1FE1">
        <w:rPr>
          <w:u w:val="none"/>
        </w:rPr>
        <w:t> ;</w:t>
      </w:r>
    </w:p>
    <w:p w14:paraId="1AD7C4F5" w14:textId="39781E10" w:rsidR="00D95C4C" w:rsidRPr="00553B84" w:rsidRDefault="00A21AD9" w:rsidP="006C03CE">
      <w:pPr>
        <w:pStyle w:val="COMParaDecision"/>
        <w:keepNext/>
        <w:numPr>
          <w:ilvl w:val="0"/>
          <w:numId w:val="0"/>
        </w:numPr>
        <w:ind w:left="567"/>
        <w:rPr>
          <w:b/>
          <w:bCs/>
          <w:u w:val="none"/>
        </w:rPr>
      </w:pPr>
      <w:r>
        <w:rPr>
          <w:b/>
          <w:u w:val="none"/>
        </w:rPr>
        <w:t>Rationalisation du mécanisme de</w:t>
      </w:r>
      <w:r w:rsidR="00005F1C">
        <w:rPr>
          <w:b/>
          <w:u w:val="none"/>
        </w:rPr>
        <w:t>s</w:t>
      </w:r>
      <w:r>
        <w:rPr>
          <w:b/>
          <w:u w:val="none"/>
        </w:rPr>
        <w:t xml:space="preserve"> rapport</w:t>
      </w:r>
      <w:r w:rsidR="00005F1C">
        <w:rPr>
          <w:b/>
          <w:u w:val="none"/>
        </w:rPr>
        <w:t>s</w:t>
      </w:r>
      <w:r>
        <w:rPr>
          <w:b/>
          <w:u w:val="none"/>
        </w:rPr>
        <w:t xml:space="preserve"> périodique</w:t>
      </w:r>
      <w:r w:rsidR="00005F1C">
        <w:rPr>
          <w:b/>
          <w:u w:val="none"/>
        </w:rPr>
        <w:t>s</w:t>
      </w:r>
    </w:p>
    <w:p w14:paraId="62ABBE66" w14:textId="58705D93" w:rsidR="0057439C" w:rsidRPr="00553B84" w:rsidRDefault="00A21AD9" w:rsidP="007F35D2">
      <w:pPr>
        <w:pStyle w:val="COMParaDecision"/>
        <w:keepNext/>
        <w:ind w:left="1134" w:hanging="567"/>
      </w:pPr>
      <w:r>
        <w:t>Prend note avec gratitude</w:t>
      </w:r>
      <w:r>
        <w:rPr>
          <w:u w:val="none"/>
        </w:rPr>
        <w:t xml:space="preserve"> du fait que les États parties d</w:t>
      </w:r>
      <w:r w:rsidR="007C6BDF">
        <w:rPr>
          <w:u w:val="none"/>
        </w:rPr>
        <w:t>’</w:t>
      </w:r>
      <w:r>
        <w:rPr>
          <w:u w:val="none"/>
        </w:rPr>
        <w:t>Asie et du Pacifique ont soumis des rapports partiels ou complets avant la date limite anticipée du 15</w:t>
      </w:r>
      <w:r w:rsidR="007C6BDF">
        <w:rPr>
          <w:u w:val="none"/>
        </w:rPr>
        <w:t> </w:t>
      </w:r>
      <w:r>
        <w:rPr>
          <w:u w:val="none"/>
        </w:rPr>
        <w:t>juin 2024 de sorte à contribuer à la première édition (2025) du Rapport mondial sur les politiques culturelles</w:t>
      </w:r>
      <w:r w:rsidR="007C6BDF">
        <w:rPr>
          <w:u w:val="none"/>
        </w:rPr>
        <w:t> </w:t>
      </w:r>
      <w:r>
        <w:rPr>
          <w:u w:val="none"/>
        </w:rPr>
        <w:t>;</w:t>
      </w:r>
    </w:p>
    <w:p w14:paraId="0B063EC5" w14:textId="5961FF01" w:rsidR="007A0714" w:rsidRPr="00553B84" w:rsidRDefault="003C66D1" w:rsidP="007F35D2">
      <w:pPr>
        <w:pStyle w:val="COMParaDecision"/>
        <w:ind w:left="1134" w:hanging="567"/>
      </w:pPr>
      <w:r>
        <w:t>Prend</w:t>
      </w:r>
      <w:r w:rsidR="007E1FE1">
        <w:t xml:space="preserve"> </w:t>
      </w:r>
      <w:r>
        <w:t>note</w:t>
      </w:r>
      <w:r w:rsidR="007E1FE1">
        <w:t xml:space="preserve"> en outre</w:t>
      </w:r>
      <w:r>
        <w:rPr>
          <w:u w:val="none"/>
        </w:rPr>
        <w:t xml:space="preserve"> de l’évaluation par l’IOS du rapport périodique de l</w:t>
      </w:r>
      <w:r w:rsidR="007C6BDF">
        <w:rPr>
          <w:u w:val="none"/>
        </w:rPr>
        <w:t>’</w:t>
      </w:r>
      <w:r>
        <w:rPr>
          <w:u w:val="none"/>
        </w:rPr>
        <w:t xml:space="preserve">UNESCO sur les conventions et recommandations </w:t>
      </w:r>
      <w:r w:rsidR="008B0D69">
        <w:rPr>
          <w:u w:val="none"/>
        </w:rPr>
        <w:t xml:space="preserve">relevant </w:t>
      </w:r>
      <w:r>
        <w:rPr>
          <w:u w:val="none"/>
        </w:rPr>
        <w:t>du secteur de la culture, y compris ses conclusions et recommandations</w:t>
      </w:r>
      <w:r w:rsidR="007C6BDF">
        <w:rPr>
          <w:u w:val="none"/>
        </w:rPr>
        <w:t> </w:t>
      </w:r>
      <w:r>
        <w:rPr>
          <w:u w:val="none"/>
        </w:rPr>
        <w:t>;</w:t>
      </w:r>
    </w:p>
    <w:p w14:paraId="18BD977F" w14:textId="2D97DD31" w:rsidR="003C66D1" w:rsidRPr="00553B84" w:rsidRDefault="008B0D69" w:rsidP="007F35D2">
      <w:pPr>
        <w:pStyle w:val="COMParaDecision"/>
        <w:keepNext/>
        <w:ind w:left="1134" w:hanging="567"/>
      </w:pPr>
      <w:r>
        <w:t>Approuve</w:t>
      </w:r>
      <w:r w:rsidR="007C6BDF">
        <w:rPr>
          <w:u w:val="none"/>
        </w:rPr>
        <w:t> </w:t>
      </w:r>
      <w:r w:rsidR="003C66D1">
        <w:rPr>
          <w:u w:val="none"/>
        </w:rPr>
        <w:t xml:space="preserve">: </w:t>
      </w:r>
    </w:p>
    <w:p w14:paraId="71B44643" w14:textId="0BF792FA" w:rsidR="0057439C" w:rsidRPr="00553B84" w:rsidRDefault="00FC6D23" w:rsidP="003C6FDB">
      <w:pPr>
        <w:pStyle w:val="COMParaDecision"/>
        <w:keepNext/>
        <w:numPr>
          <w:ilvl w:val="0"/>
          <w:numId w:val="21"/>
        </w:numPr>
        <w:ind w:left="1701" w:hanging="567"/>
        <w:rPr>
          <w:u w:val="none"/>
        </w:rPr>
      </w:pPr>
      <w:r>
        <w:rPr>
          <w:u w:val="none"/>
        </w:rPr>
        <w:t>la méthodologie et l</w:t>
      </w:r>
      <w:r w:rsidR="007C6BDF">
        <w:rPr>
          <w:u w:val="none"/>
        </w:rPr>
        <w:t>’</w:t>
      </w:r>
      <w:r>
        <w:rPr>
          <w:u w:val="none"/>
        </w:rPr>
        <w:t>utilisation des données</w:t>
      </w:r>
      <w:r w:rsidR="008B0D69">
        <w:rPr>
          <w:u w:val="none"/>
        </w:rPr>
        <w:t>,</w:t>
      </w:r>
      <w:r>
        <w:rPr>
          <w:u w:val="none"/>
        </w:rPr>
        <w:t xml:space="preserve"> qui devrait alléger la charge de travail des États parties grâce à </w:t>
      </w:r>
      <w:r w:rsidR="008B0D69">
        <w:rPr>
          <w:u w:val="none"/>
        </w:rPr>
        <w:t xml:space="preserve">des </w:t>
      </w:r>
      <w:r>
        <w:rPr>
          <w:u w:val="none"/>
        </w:rPr>
        <w:t xml:space="preserve">mécanismes </w:t>
      </w:r>
      <w:r w:rsidR="008B0D69">
        <w:rPr>
          <w:u w:val="none"/>
        </w:rPr>
        <w:t xml:space="preserve">simplifiés </w:t>
      </w:r>
      <w:r>
        <w:rPr>
          <w:u w:val="none"/>
        </w:rPr>
        <w:t>de rapport périodique des instruments normatifs de l</w:t>
      </w:r>
      <w:r w:rsidR="007C6BDF">
        <w:rPr>
          <w:u w:val="none"/>
        </w:rPr>
        <w:t>’</w:t>
      </w:r>
      <w:r>
        <w:rPr>
          <w:u w:val="none"/>
        </w:rPr>
        <w:t>UNESCO dans le secteur de la culture, tout en conservant la spécificité de chaque instrument</w:t>
      </w:r>
      <w:r w:rsidR="007C6BDF">
        <w:rPr>
          <w:u w:val="none"/>
        </w:rPr>
        <w:t> </w:t>
      </w:r>
      <w:r>
        <w:rPr>
          <w:u w:val="none"/>
        </w:rPr>
        <w:t xml:space="preserve">; </w:t>
      </w:r>
    </w:p>
    <w:p w14:paraId="49036D8A" w14:textId="57A83388" w:rsidR="003C66D1" w:rsidRPr="00553B84" w:rsidRDefault="00FE53F5" w:rsidP="003C6FDB">
      <w:pPr>
        <w:pStyle w:val="COMParaDecision"/>
        <w:numPr>
          <w:ilvl w:val="0"/>
          <w:numId w:val="21"/>
        </w:numPr>
        <w:ind w:left="1701" w:hanging="567"/>
      </w:pPr>
      <w:proofErr w:type="gramStart"/>
      <w:r>
        <w:rPr>
          <w:u w:val="none"/>
        </w:rPr>
        <w:t>la</w:t>
      </w:r>
      <w:proofErr w:type="gramEnd"/>
      <w:r>
        <w:rPr>
          <w:u w:val="none"/>
        </w:rPr>
        <w:t xml:space="preserve"> feuille de route </w:t>
      </w:r>
      <w:r w:rsidRPr="00553766">
        <w:rPr>
          <w:u w:val="none"/>
        </w:rPr>
        <w:t xml:space="preserve">actualisée </w:t>
      </w:r>
      <w:r w:rsidRPr="003C6FDB">
        <w:rPr>
          <w:u w:val="none"/>
        </w:rPr>
        <w:t>annexée</w:t>
      </w:r>
      <w:r>
        <w:rPr>
          <w:u w:val="none"/>
        </w:rPr>
        <w:t xml:space="preserve"> au document </w:t>
      </w:r>
      <w:r w:rsidRPr="00351BAD">
        <w:rPr>
          <w:u w:val="none"/>
        </w:rPr>
        <w:t>LHE/24/19.COM/6.c,</w:t>
      </w:r>
      <w:r>
        <w:rPr>
          <w:u w:val="none"/>
        </w:rPr>
        <w:t xml:space="preserve"> qui présente un calendrier pour le passage au système </w:t>
      </w:r>
      <w:r w:rsidR="008B0D69">
        <w:rPr>
          <w:u w:val="none"/>
        </w:rPr>
        <w:t xml:space="preserve">unique </w:t>
      </w:r>
      <w:r>
        <w:rPr>
          <w:u w:val="none"/>
        </w:rPr>
        <w:t xml:space="preserve">de </w:t>
      </w:r>
      <w:r w:rsidR="008B0D69">
        <w:rPr>
          <w:u w:val="none"/>
        </w:rPr>
        <w:t>soumission</w:t>
      </w:r>
      <w:r>
        <w:rPr>
          <w:u w:val="none"/>
        </w:rPr>
        <w:t xml:space="preserve"> à l</w:t>
      </w:r>
      <w:r w:rsidR="007C6BDF">
        <w:rPr>
          <w:u w:val="none"/>
        </w:rPr>
        <w:t>’</w:t>
      </w:r>
      <w:r>
        <w:rPr>
          <w:u w:val="none"/>
        </w:rPr>
        <w:t>échelle mondiale</w:t>
      </w:r>
      <w:r w:rsidR="007C6BDF">
        <w:rPr>
          <w:u w:val="none"/>
        </w:rPr>
        <w:t> </w:t>
      </w:r>
      <w:r>
        <w:rPr>
          <w:u w:val="none"/>
        </w:rPr>
        <w:t>;</w:t>
      </w:r>
    </w:p>
    <w:p w14:paraId="7626DEF6" w14:textId="00C44676" w:rsidR="00D95C4C" w:rsidRPr="00553B84" w:rsidRDefault="00D95C4C" w:rsidP="007F35D2">
      <w:pPr>
        <w:pStyle w:val="COMParaDecision"/>
        <w:ind w:left="1134" w:hanging="567"/>
      </w:pPr>
      <w:r>
        <w:t>Demande en outre</w:t>
      </w:r>
      <w:r>
        <w:rPr>
          <w:u w:val="none"/>
        </w:rPr>
        <w:t xml:space="preserve"> au Secrétariat de</w:t>
      </w:r>
      <w:r w:rsidR="007C6BDF">
        <w:rPr>
          <w:u w:val="none"/>
        </w:rPr>
        <w:t> </w:t>
      </w:r>
      <w:r>
        <w:rPr>
          <w:u w:val="none"/>
        </w:rPr>
        <w:t>:</w:t>
      </w:r>
    </w:p>
    <w:p w14:paraId="35D7CD28" w14:textId="33C9D281" w:rsidR="00651FDF" w:rsidRPr="00553B84" w:rsidRDefault="003C66D1" w:rsidP="003C6FDB">
      <w:pPr>
        <w:pStyle w:val="COMParaDecision"/>
        <w:numPr>
          <w:ilvl w:val="0"/>
          <w:numId w:val="0"/>
        </w:numPr>
        <w:ind w:left="1701" w:hanging="567"/>
        <w:rPr>
          <w:u w:val="none"/>
        </w:rPr>
      </w:pPr>
      <w:r>
        <w:rPr>
          <w:u w:val="none"/>
        </w:rPr>
        <w:t xml:space="preserve">a) </w:t>
      </w:r>
      <w:r w:rsidR="008B0D69">
        <w:rPr>
          <w:u w:val="none"/>
        </w:rPr>
        <w:tab/>
      </w:r>
      <w:r>
        <w:rPr>
          <w:u w:val="none"/>
        </w:rPr>
        <w:t xml:space="preserve">fournir un rapport </w:t>
      </w:r>
      <w:r w:rsidR="008B0D69">
        <w:rPr>
          <w:u w:val="none"/>
        </w:rPr>
        <w:t xml:space="preserve">actualisé sur </w:t>
      </w:r>
      <w:r>
        <w:rPr>
          <w:u w:val="none"/>
        </w:rPr>
        <w:t>l</w:t>
      </w:r>
      <w:r w:rsidR="007C6BDF">
        <w:rPr>
          <w:u w:val="none"/>
        </w:rPr>
        <w:t>’</w:t>
      </w:r>
      <w:r>
        <w:rPr>
          <w:u w:val="none"/>
        </w:rPr>
        <w:t xml:space="preserve">évolution vers un système de date unique de </w:t>
      </w:r>
      <w:r w:rsidR="008B0D69">
        <w:rPr>
          <w:u w:val="none"/>
        </w:rPr>
        <w:t xml:space="preserve">soumission </w:t>
      </w:r>
      <w:r>
        <w:rPr>
          <w:u w:val="none"/>
        </w:rPr>
        <w:t>des rapports périodiques pour examen par la vingtième session du Comité, et</w:t>
      </w:r>
    </w:p>
    <w:p w14:paraId="568E8EF5" w14:textId="0A189746" w:rsidR="00047CE9" w:rsidRPr="00553B84" w:rsidRDefault="003C66D1" w:rsidP="003C6FDB">
      <w:pPr>
        <w:pStyle w:val="COMParaDecision"/>
        <w:numPr>
          <w:ilvl w:val="0"/>
          <w:numId w:val="0"/>
        </w:numPr>
        <w:ind w:left="1701" w:hanging="567"/>
        <w:rPr>
          <w:u w:val="none"/>
        </w:rPr>
      </w:pPr>
      <w:r>
        <w:rPr>
          <w:u w:val="none"/>
        </w:rPr>
        <w:t xml:space="preserve">b) </w:t>
      </w:r>
      <w:r w:rsidR="008B0D69">
        <w:rPr>
          <w:u w:val="none"/>
        </w:rPr>
        <w:tab/>
      </w:r>
      <w:r>
        <w:rPr>
          <w:u w:val="none"/>
        </w:rPr>
        <w:t>présenter les projets d</w:t>
      </w:r>
      <w:r w:rsidR="007C6BDF">
        <w:rPr>
          <w:u w:val="none"/>
        </w:rPr>
        <w:t>’</w:t>
      </w:r>
      <w:r>
        <w:rPr>
          <w:u w:val="none"/>
        </w:rPr>
        <w:t>amendements aux Directives opérationnelles à cet effet pour examen par la vingtième session du Comité en novembre/décembre 2025</w:t>
      </w:r>
      <w:r w:rsidR="008B0D69">
        <w:rPr>
          <w:u w:val="none"/>
        </w:rPr>
        <w:t>,</w:t>
      </w:r>
      <w:r>
        <w:rPr>
          <w:u w:val="none"/>
        </w:rPr>
        <w:t xml:space="preserve"> afin que </w:t>
      </w:r>
      <w:r w:rsidR="008B0D69">
        <w:rPr>
          <w:u w:val="none"/>
        </w:rPr>
        <w:t xml:space="preserve">ce </w:t>
      </w:r>
      <w:r>
        <w:rPr>
          <w:u w:val="none"/>
        </w:rPr>
        <w:t>dernier soit en mesure de recommander ces amendements en vue de leur examen par la onzième session de l</w:t>
      </w:r>
      <w:r w:rsidR="007C6BDF">
        <w:rPr>
          <w:u w:val="none"/>
        </w:rPr>
        <w:t>’</w:t>
      </w:r>
      <w:r>
        <w:rPr>
          <w:u w:val="none"/>
        </w:rPr>
        <w:t>Assemblée générale à la mi-2026.</w:t>
      </w:r>
    </w:p>
    <w:p w14:paraId="0C600E95" w14:textId="77777777" w:rsidR="00AE7737" w:rsidRPr="00553B84" w:rsidRDefault="00AE7737">
      <w:pPr>
        <w:rPr>
          <w:rFonts w:ascii="Arial" w:eastAsia="SimSun" w:hAnsi="Arial" w:cs="Arial"/>
          <w:b/>
          <w:bCs/>
          <w:sz w:val="22"/>
          <w:szCs w:val="22"/>
        </w:rPr>
      </w:pPr>
      <w:bookmarkStart w:id="3" w:name="_Hlk147855837"/>
      <w:r>
        <w:br w:type="page"/>
      </w:r>
    </w:p>
    <w:p w14:paraId="551218FB" w14:textId="34D741DD" w:rsidR="00553D7A" w:rsidRDefault="00C82E3A" w:rsidP="00C82E3A">
      <w:pPr>
        <w:pStyle w:val="COMParaDecision"/>
        <w:numPr>
          <w:ilvl w:val="0"/>
          <w:numId w:val="0"/>
        </w:numPr>
        <w:ind w:left="1287" w:hanging="360"/>
        <w:jc w:val="center"/>
        <w:rPr>
          <w:b/>
          <w:bCs/>
          <w:u w:val="none"/>
        </w:rPr>
      </w:pPr>
      <w:r>
        <w:rPr>
          <w:b/>
          <w:u w:val="none"/>
        </w:rPr>
        <w:lastRenderedPageBreak/>
        <w:t>Annexe</w:t>
      </w:r>
      <w:r w:rsidR="007C6BDF">
        <w:rPr>
          <w:b/>
          <w:u w:val="none"/>
        </w:rPr>
        <w:t> </w:t>
      </w:r>
      <w:r>
        <w:rPr>
          <w:b/>
          <w:u w:val="none"/>
        </w:rPr>
        <w:t>:</w:t>
      </w:r>
    </w:p>
    <w:p w14:paraId="7069AAA7" w14:textId="609D7853" w:rsidR="00C82E3A" w:rsidRPr="00553B84" w:rsidRDefault="007A1A6F" w:rsidP="00C82E3A">
      <w:pPr>
        <w:pStyle w:val="COMParaDecision"/>
        <w:numPr>
          <w:ilvl w:val="0"/>
          <w:numId w:val="0"/>
        </w:numPr>
        <w:ind w:left="1287" w:hanging="360"/>
        <w:jc w:val="center"/>
        <w:rPr>
          <w:b/>
          <w:bCs/>
        </w:rPr>
      </w:pPr>
      <w:r>
        <w:rPr>
          <w:b/>
          <w:u w:val="none"/>
        </w:rPr>
        <w:t xml:space="preserve">Actualisation du </w:t>
      </w:r>
      <w:r>
        <w:rPr>
          <w:rFonts w:asciiTheme="minorBidi" w:hAnsiTheme="minorBidi"/>
          <w:b/>
          <w:u w:val="none"/>
        </w:rPr>
        <w:t xml:space="preserve">calendrier proposé pour rationaliser les cycles de </w:t>
      </w:r>
      <w:r w:rsidR="00F5057A">
        <w:rPr>
          <w:rFonts w:asciiTheme="minorBidi" w:hAnsiTheme="minorBidi"/>
          <w:b/>
          <w:u w:val="none"/>
        </w:rPr>
        <w:t xml:space="preserve">soumission </w:t>
      </w:r>
      <w:r>
        <w:rPr>
          <w:rFonts w:asciiTheme="minorBidi" w:hAnsiTheme="minorBidi"/>
          <w:b/>
          <w:u w:val="none"/>
        </w:rPr>
        <w:t>des mécanismes de rapports périodiques dans les conventions culturelles de l</w:t>
      </w:r>
      <w:r w:rsidR="007C6BDF">
        <w:rPr>
          <w:rFonts w:asciiTheme="minorBidi" w:hAnsiTheme="minorBidi"/>
          <w:b/>
          <w:u w:val="none"/>
        </w:rPr>
        <w:t>’</w:t>
      </w:r>
      <w:r>
        <w:rPr>
          <w:rFonts w:asciiTheme="minorBidi" w:hAnsiTheme="minorBidi"/>
          <w:b/>
          <w:u w:val="none"/>
        </w:rPr>
        <w:t>UNESCO</w:t>
      </w:r>
    </w:p>
    <w:tbl>
      <w:tblPr>
        <w:tblStyle w:val="Grilledutableau"/>
        <w:tblW w:w="9066" w:type="dxa"/>
        <w:tblInd w:w="562" w:type="dxa"/>
        <w:tblLook w:val="04A0" w:firstRow="1" w:lastRow="0" w:firstColumn="1" w:lastColumn="0" w:noHBand="0" w:noVBand="1"/>
      </w:tblPr>
      <w:tblGrid>
        <w:gridCol w:w="851"/>
        <w:gridCol w:w="8215"/>
      </w:tblGrid>
      <w:tr w:rsidR="00C82E3A" w:rsidRPr="00553B84" w14:paraId="107A5A39" w14:textId="77777777" w:rsidTr="0036040E">
        <w:tc>
          <w:tcPr>
            <w:tcW w:w="851" w:type="dxa"/>
            <w:shd w:val="clear" w:color="auto" w:fill="F2F2F2" w:themeFill="background1" w:themeFillShade="F2"/>
          </w:tcPr>
          <w:p w14:paraId="20C4B790" w14:textId="77777777" w:rsidR="00C82E3A" w:rsidRPr="00553B84" w:rsidRDefault="00C82E3A" w:rsidP="00407E38">
            <w:pPr>
              <w:pStyle w:val="Marge"/>
              <w:spacing w:beforeLines="20" w:before="48" w:after="0"/>
              <w:rPr>
                <w:rFonts w:asciiTheme="minorBidi" w:hAnsiTheme="minorBidi" w:cstheme="minorBidi"/>
                <w:b/>
                <w:bCs/>
                <w:sz w:val="20"/>
                <w:szCs w:val="20"/>
              </w:rPr>
            </w:pPr>
            <w:r>
              <w:rPr>
                <w:rFonts w:asciiTheme="minorBidi" w:hAnsiTheme="minorBidi"/>
                <w:b/>
                <w:sz w:val="20"/>
              </w:rPr>
              <w:t>Année</w:t>
            </w:r>
          </w:p>
        </w:tc>
        <w:tc>
          <w:tcPr>
            <w:tcW w:w="8215" w:type="dxa"/>
            <w:shd w:val="clear" w:color="auto" w:fill="F2F2F2" w:themeFill="background1" w:themeFillShade="F2"/>
          </w:tcPr>
          <w:p w14:paraId="35C2E28F" w14:textId="77777777" w:rsidR="00C82E3A" w:rsidRPr="00553B84" w:rsidRDefault="00C82E3A" w:rsidP="00407E38">
            <w:pPr>
              <w:pStyle w:val="Marge"/>
              <w:spacing w:beforeLines="20" w:before="48" w:after="0"/>
              <w:rPr>
                <w:rFonts w:asciiTheme="minorBidi" w:hAnsiTheme="minorBidi" w:cstheme="minorBidi"/>
                <w:b/>
                <w:bCs/>
                <w:sz w:val="20"/>
                <w:szCs w:val="20"/>
              </w:rPr>
            </w:pPr>
            <w:r>
              <w:rPr>
                <w:rFonts w:asciiTheme="minorBidi" w:hAnsiTheme="minorBidi"/>
                <w:b/>
                <w:sz w:val="20"/>
              </w:rPr>
              <w:t>Étapes clés</w:t>
            </w:r>
          </w:p>
        </w:tc>
      </w:tr>
      <w:tr w:rsidR="00C82E3A" w:rsidRPr="00A77C74" w14:paraId="1F7B646F" w14:textId="77777777" w:rsidTr="0036040E">
        <w:tc>
          <w:tcPr>
            <w:tcW w:w="851" w:type="dxa"/>
          </w:tcPr>
          <w:p w14:paraId="369C70F6" w14:textId="77777777" w:rsidR="00C82E3A" w:rsidRPr="00553B84" w:rsidRDefault="00C82E3A" w:rsidP="00407E38">
            <w:pPr>
              <w:pStyle w:val="Marge"/>
              <w:spacing w:beforeLines="20" w:before="48" w:after="0"/>
              <w:rPr>
                <w:rFonts w:asciiTheme="minorBidi" w:hAnsiTheme="minorBidi" w:cstheme="minorBidi"/>
                <w:b/>
                <w:bCs/>
                <w:sz w:val="20"/>
                <w:szCs w:val="20"/>
              </w:rPr>
            </w:pPr>
            <w:r>
              <w:rPr>
                <w:rFonts w:asciiTheme="minorBidi" w:hAnsiTheme="minorBidi"/>
                <w:b/>
                <w:sz w:val="20"/>
              </w:rPr>
              <w:t>2024</w:t>
            </w:r>
          </w:p>
        </w:tc>
        <w:tc>
          <w:tcPr>
            <w:tcW w:w="8215" w:type="dxa"/>
          </w:tcPr>
          <w:p w14:paraId="3422A8BC" w14:textId="77777777" w:rsidR="007E1FE1" w:rsidRDefault="00A7143D" w:rsidP="003C6FDB">
            <w:pPr>
              <w:pStyle w:val="Marge"/>
              <w:spacing w:beforeLines="20" w:before="48" w:after="0"/>
              <w:rPr>
                <w:rFonts w:asciiTheme="minorBidi" w:hAnsiTheme="minorBidi"/>
                <w:b/>
                <w:color w:val="365F91" w:themeColor="accent1" w:themeShade="BF"/>
                <w:sz w:val="20"/>
              </w:rPr>
            </w:pPr>
            <w:r>
              <w:rPr>
                <w:rFonts w:asciiTheme="minorBidi" w:hAnsiTheme="minorBidi"/>
                <w:b/>
                <w:color w:val="365F91" w:themeColor="accent1" w:themeShade="BF"/>
                <w:sz w:val="20"/>
              </w:rPr>
              <w:t>Mars 2024</w:t>
            </w:r>
          </w:p>
          <w:p w14:paraId="1474F38F" w14:textId="3937FE46" w:rsidR="00A7143D" w:rsidRPr="00553B84" w:rsidRDefault="00A7143D" w:rsidP="003C6FDB">
            <w:pPr>
              <w:pStyle w:val="Marge"/>
              <w:spacing w:beforeLines="20" w:before="48" w:after="0"/>
              <w:rPr>
                <w:rFonts w:asciiTheme="minorBidi" w:hAnsiTheme="minorBidi" w:cstheme="minorBidi"/>
                <w:color w:val="000000" w:themeColor="text1"/>
                <w:sz w:val="20"/>
                <w:szCs w:val="20"/>
              </w:rPr>
            </w:pPr>
            <w:r>
              <w:rPr>
                <w:rFonts w:asciiTheme="minorBidi" w:hAnsiTheme="minorBidi"/>
                <w:color w:val="000000" w:themeColor="text1"/>
                <w:sz w:val="20"/>
              </w:rPr>
              <w:t xml:space="preserve">Publication de </w:t>
            </w:r>
            <w:r w:rsidR="00F5057A">
              <w:rPr>
                <w:rFonts w:asciiTheme="minorBidi" w:hAnsiTheme="minorBidi"/>
                <w:color w:val="000000" w:themeColor="text1"/>
                <w:sz w:val="20"/>
              </w:rPr>
              <w:t>l’</w:t>
            </w:r>
            <w:r>
              <w:rPr>
                <w:rFonts w:asciiTheme="minorBidi" w:hAnsiTheme="minorBidi"/>
                <w:color w:val="000000" w:themeColor="text1"/>
                <w:sz w:val="20"/>
              </w:rPr>
              <w:t>«</w:t>
            </w:r>
            <w:r w:rsidR="007C6BDF">
              <w:rPr>
                <w:rFonts w:asciiTheme="minorBidi" w:hAnsiTheme="minorBidi"/>
                <w:color w:val="000000" w:themeColor="text1"/>
                <w:sz w:val="20"/>
              </w:rPr>
              <w:t> </w:t>
            </w:r>
            <w:r>
              <w:rPr>
                <w:rFonts w:asciiTheme="minorBidi" w:hAnsiTheme="minorBidi"/>
                <w:color w:val="000000" w:themeColor="text1"/>
                <w:sz w:val="20"/>
              </w:rPr>
              <w:t>Évaluation des rapports périodiques de l</w:t>
            </w:r>
            <w:r w:rsidR="007C6BDF">
              <w:rPr>
                <w:rFonts w:asciiTheme="minorBidi" w:hAnsiTheme="minorBidi"/>
                <w:color w:val="000000" w:themeColor="text1"/>
                <w:sz w:val="20"/>
              </w:rPr>
              <w:t>’</w:t>
            </w:r>
            <w:r>
              <w:rPr>
                <w:rFonts w:asciiTheme="minorBidi" w:hAnsiTheme="minorBidi"/>
                <w:color w:val="000000" w:themeColor="text1"/>
                <w:sz w:val="20"/>
              </w:rPr>
              <w:t>UNESCO sur les conventions et recommandations</w:t>
            </w:r>
            <w:r w:rsidR="00F5057A">
              <w:rPr>
                <w:rFonts w:asciiTheme="minorBidi" w:hAnsiTheme="minorBidi"/>
                <w:color w:val="000000" w:themeColor="text1"/>
                <w:sz w:val="20"/>
              </w:rPr>
              <w:t xml:space="preserve"> relevant</w:t>
            </w:r>
            <w:r>
              <w:rPr>
                <w:rFonts w:asciiTheme="minorBidi" w:hAnsiTheme="minorBidi"/>
                <w:color w:val="000000" w:themeColor="text1"/>
                <w:sz w:val="20"/>
              </w:rPr>
              <w:t xml:space="preserve"> du secteur de la culture</w:t>
            </w:r>
            <w:r w:rsidR="007C6BDF">
              <w:rPr>
                <w:rFonts w:asciiTheme="minorBidi" w:hAnsiTheme="minorBidi"/>
                <w:color w:val="000000" w:themeColor="text1"/>
                <w:sz w:val="20"/>
              </w:rPr>
              <w:t> </w:t>
            </w:r>
            <w:r>
              <w:rPr>
                <w:rFonts w:asciiTheme="minorBidi" w:hAnsiTheme="minorBidi"/>
                <w:color w:val="000000" w:themeColor="text1"/>
                <w:sz w:val="20"/>
              </w:rPr>
              <w:t>»</w:t>
            </w:r>
            <w:r w:rsidR="00F5057A">
              <w:rPr>
                <w:rFonts w:asciiTheme="minorBidi" w:hAnsiTheme="minorBidi"/>
                <w:color w:val="000000" w:themeColor="text1"/>
                <w:sz w:val="20"/>
              </w:rPr>
              <w:t xml:space="preserve"> de l’IOS</w:t>
            </w:r>
          </w:p>
          <w:p w14:paraId="7EAA3021" w14:textId="43010B85" w:rsidR="004C3784" w:rsidRPr="00553B84" w:rsidRDefault="004C3784" w:rsidP="00407E38">
            <w:pPr>
              <w:pStyle w:val="Marge"/>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219</w:t>
            </w:r>
            <w:r>
              <w:rPr>
                <w:rFonts w:asciiTheme="minorBidi" w:hAnsiTheme="minorBidi"/>
                <w:b/>
                <w:color w:val="365F91" w:themeColor="accent1" w:themeShade="BF"/>
                <w:sz w:val="20"/>
                <w:vertAlign w:val="superscript"/>
              </w:rPr>
              <w:t>e</w:t>
            </w:r>
            <w:r w:rsidR="007C6BDF">
              <w:rPr>
                <w:rFonts w:asciiTheme="minorBidi" w:hAnsiTheme="minorBidi"/>
                <w:b/>
                <w:color w:val="365F91" w:themeColor="accent1" w:themeShade="BF"/>
                <w:sz w:val="20"/>
              </w:rPr>
              <w:t> </w:t>
            </w:r>
            <w:r>
              <w:rPr>
                <w:rFonts w:asciiTheme="minorBidi" w:hAnsiTheme="minorBidi"/>
                <w:b/>
                <w:color w:val="365F91" w:themeColor="accent1" w:themeShade="BF"/>
                <w:sz w:val="20"/>
              </w:rPr>
              <w:t>session du Conseil exécutif (13-27</w:t>
            </w:r>
            <w:r w:rsidR="007C6BDF">
              <w:rPr>
                <w:rFonts w:asciiTheme="minorBidi" w:hAnsiTheme="minorBidi"/>
                <w:b/>
                <w:color w:val="365F91" w:themeColor="accent1" w:themeShade="BF"/>
                <w:sz w:val="20"/>
              </w:rPr>
              <w:t> </w:t>
            </w:r>
            <w:r>
              <w:rPr>
                <w:rFonts w:asciiTheme="minorBidi" w:hAnsiTheme="minorBidi"/>
                <w:b/>
                <w:color w:val="365F91" w:themeColor="accent1" w:themeShade="BF"/>
                <w:sz w:val="20"/>
              </w:rPr>
              <w:t>mars 2024)</w:t>
            </w:r>
          </w:p>
          <w:p w14:paraId="7481D92B" w14:textId="765A6010" w:rsidR="00400582" w:rsidRPr="00553B84" w:rsidRDefault="004C3784" w:rsidP="007E1FE1">
            <w:pPr>
              <w:pStyle w:val="Marge"/>
              <w:tabs>
                <w:tab w:val="clear" w:pos="567"/>
              </w:tabs>
              <w:spacing w:beforeLines="20" w:before="48" w:after="0"/>
              <w:rPr>
                <w:rFonts w:asciiTheme="minorBidi" w:hAnsiTheme="minorBidi" w:cstheme="minorBidi"/>
                <w:color w:val="000000" w:themeColor="text1"/>
                <w:sz w:val="20"/>
                <w:szCs w:val="20"/>
              </w:rPr>
            </w:pPr>
            <w:r>
              <w:rPr>
                <w:rFonts w:asciiTheme="minorBidi" w:hAnsiTheme="minorBidi"/>
                <w:color w:val="000000" w:themeColor="text1"/>
                <w:sz w:val="20"/>
              </w:rPr>
              <w:t xml:space="preserve">Adoption de la </w:t>
            </w:r>
            <w:r w:rsidR="00F5057A">
              <w:rPr>
                <w:rFonts w:asciiTheme="minorBidi" w:hAnsiTheme="minorBidi"/>
                <w:color w:val="000000" w:themeColor="text1"/>
                <w:sz w:val="20"/>
              </w:rPr>
              <w:t>D</w:t>
            </w:r>
            <w:r>
              <w:rPr>
                <w:rFonts w:asciiTheme="minorBidi" w:hAnsiTheme="minorBidi"/>
                <w:color w:val="000000" w:themeColor="text1"/>
                <w:sz w:val="20"/>
              </w:rPr>
              <w:t>écision</w:t>
            </w:r>
            <w:r w:rsidR="007C6BDF">
              <w:rPr>
                <w:rFonts w:asciiTheme="minorBidi" w:hAnsiTheme="minorBidi"/>
                <w:color w:val="000000" w:themeColor="text1"/>
                <w:sz w:val="20"/>
              </w:rPr>
              <w:t> </w:t>
            </w:r>
            <w:r>
              <w:rPr>
                <w:rFonts w:asciiTheme="minorBidi" w:hAnsiTheme="minorBidi"/>
                <w:color w:val="000000" w:themeColor="text1"/>
                <w:sz w:val="20"/>
              </w:rPr>
              <w:t>219 EX/</w:t>
            </w:r>
            <w:r w:rsidR="00F5057A">
              <w:rPr>
                <w:rFonts w:asciiTheme="minorBidi" w:hAnsiTheme="minorBidi"/>
                <w:color w:val="000000" w:themeColor="text1"/>
                <w:sz w:val="20"/>
              </w:rPr>
              <w:t xml:space="preserve">Décision </w:t>
            </w:r>
            <w:r>
              <w:rPr>
                <w:rFonts w:asciiTheme="minorBidi" w:hAnsiTheme="minorBidi"/>
                <w:color w:val="000000" w:themeColor="text1"/>
                <w:sz w:val="20"/>
              </w:rPr>
              <w:t>11 relative à la «</w:t>
            </w:r>
            <w:r w:rsidR="007C6BDF">
              <w:rPr>
                <w:rFonts w:asciiTheme="minorBidi" w:hAnsiTheme="minorBidi"/>
                <w:color w:val="000000" w:themeColor="text1"/>
                <w:sz w:val="20"/>
              </w:rPr>
              <w:t> </w:t>
            </w:r>
            <w:r>
              <w:rPr>
                <w:rFonts w:asciiTheme="minorBidi" w:hAnsiTheme="minorBidi"/>
                <w:color w:val="000000" w:themeColor="text1"/>
                <w:sz w:val="20"/>
              </w:rPr>
              <w:t>Conférence mondiale de l</w:t>
            </w:r>
            <w:r w:rsidR="007C6BDF">
              <w:rPr>
                <w:rFonts w:asciiTheme="minorBidi" w:hAnsiTheme="minorBidi"/>
                <w:color w:val="000000" w:themeColor="text1"/>
                <w:sz w:val="20"/>
              </w:rPr>
              <w:t>’</w:t>
            </w:r>
            <w:r>
              <w:rPr>
                <w:rFonts w:asciiTheme="minorBidi" w:hAnsiTheme="minorBidi"/>
                <w:color w:val="000000" w:themeColor="text1"/>
                <w:sz w:val="20"/>
              </w:rPr>
              <w:t xml:space="preserve">UNESCO sur les politiques culturelles et le développement durable </w:t>
            </w:r>
            <w:r w:rsidR="007C6BDF">
              <w:rPr>
                <w:rFonts w:asciiTheme="minorBidi" w:hAnsiTheme="minorBidi"/>
                <w:color w:val="000000" w:themeColor="text1"/>
                <w:sz w:val="20"/>
              </w:rPr>
              <w:t>—</w:t>
            </w:r>
            <w:r>
              <w:rPr>
                <w:rFonts w:asciiTheme="minorBidi" w:hAnsiTheme="minorBidi"/>
                <w:color w:val="000000" w:themeColor="text1"/>
                <w:sz w:val="20"/>
              </w:rPr>
              <w:t xml:space="preserve"> MONDIACULT</w:t>
            </w:r>
            <w:r w:rsidR="007C6BDF">
              <w:rPr>
                <w:rFonts w:asciiTheme="minorBidi" w:hAnsiTheme="minorBidi"/>
                <w:color w:val="000000" w:themeColor="text1"/>
                <w:sz w:val="20"/>
              </w:rPr>
              <w:t> </w:t>
            </w:r>
            <w:r>
              <w:rPr>
                <w:rFonts w:asciiTheme="minorBidi" w:hAnsiTheme="minorBidi"/>
                <w:color w:val="000000" w:themeColor="text1"/>
                <w:sz w:val="20"/>
              </w:rPr>
              <w:t>2022</w:t>
            </w:r>
            <w:r w:rsidR="007C6BDF">
              <w:rPr>
                <w:rFonts w:asciiTheme="minorBidi" w:hAnsiTheme="minorBidi"/>
                <w:color w:val="000000" w:themeColor="text1"/>
                <w:sz w:val="20"/>
              </w:rPr>
              <w:t> </w:t>
            </w:r>
            <w:r>
              <w:rPr>
                <w:rFonts w:asciiTheme="minorBidi" w:hAnsiTheme="minorBidi"/>
                <w:color w:val="000000" w:themeColor="text1"/>
                <w:sz w:val="20"/>
              </w:rPr>
              <w:t xml:space="preserve">», et de la </w:t>
            </w:r>
            <w:r w:rsidR="00F5057A">
              <w:rPr>
                <w:rFonts w:asciiTheme="minorBidi" w:hAnsiTheme="minorBidi"/>
                <w:color w:val="000000" w:themeColor="text1"/>
                <w:sz w:val="20"/>
              </w:rPr>
              <w:t>D</w:t>
            </w:r>
            <w:r>
              <w:rPr>
                <w:rFonts w:asciiTheme="minorBidi" w:hAnsiTheme="minorBidi"/>
                <w:color w:val="000000" w:themeColor="text1"/>
                <w:sz w:val="20"/>
              </w:rPr>
              <w:t>écision</w:t>
            </w:r>
            <w:r w:rsidR="007C6BDF">
              <w:rPr>
                <w:rFonts w:asciiTheme="minorBidi" w:hAnsiTheme="minorBidi"/>
                <w:color w:val="000000" w:themeColor="text1"/>
                <w:sz w:val="20"/>
              </w:rPr>
              <w:t> </w:t>
            </w:r>
            <w:r>
              <w:rPr>
                <w:rFonts w:asciiTheme="minorBidi" w:hAnsiTheme="minorBidi"/>
                <w:color w:val="000000" w:themeColor="text1"/>
                <w:sz w:val="20"/>
              </w:rPr>
              <w:t>219 EX/</w:t>
            </w:r>
            <w:r w:rsidR="00F5057A">
              <w:rPr>
                <w:rFonts w:asciiTheme="minorBidi" w:hAnsiTheme="minorBidi"/>
                <w:color w:val="000000" w:themeColor="text1"/>
                <w:sz w:val="20"/>
              </w:rPr>
              <w:t xml:space="preserve">Décision </w:t>
            </w:r>
            <w:r>
              <w:rPr>
                <w:rFonts w:asciiTheme="minorBidi" w:hAnsiTheme="minorBidi"/>
                <w:color w:val="000000" w:themeColor="text1"/>
                <w:sz w:val="20"/>
              </w:rPr>
              <w:t>13 relative à «</w:t>
            </w:r>
            <w:r w:rsidR="007C6BDF">
              <w:rPr>
                <w:rFonts w:asciiTheme="minorBidi" w:hAnsiTheme="minorBidi"/>
                <w:color w:val="000000" w:themeColor="text1"/>
                <w:sz w:val="20"/>
              </w:rPr>
              <w:t> </w:t>
            </w:r>
            <w:r>
              <w:rPr>
                <w:rFonts w:asciiTheme="minorBidi" w:hAnsiTheme="minorBidi"/>
                <w:color w:val="000000" w:themeColor="text1"/>
                <w:sz w:val="20"/>
              </w:rPr>
              <w:t>l</w:t>
            </w:r>
            <w:r w:rsidR="007C6BDF">
              <w:rPr>
                <w:rFonts w:asciiTheme="minorBidi" w:hAnsiTheme="minorBidi"/>
                <w:color w:val="000000" w:themeColor="text1"/>
                <w:sz w:val="20"/>
              </w:rPr>
              <w:t>’</w:t>
            </w:r>
            <w:r>
              <w:rPr>
                <w:rFonts w:asciiTheme="minorBidi" w:hAnsiTheme="minorBidi"/>
                <w:color w:val="000000" w:themeColor="text1"/>
                <w:sz w:val="20"/>
              </w:rPr>
              <w:t xml:space="preserve">Évaluation par la Division des services </w:t>
            </w:r>
            <w:r w:rsidR="00F5057A">
              <w:rPr>
                <w:rFonts w:asciiTheme="minorBidi" w:hAnsiTheme="minorBidi"/>
                <w:color w:val="000000" w:themeColor="text1"/>
                <w:sz w:val="20"/>
              </w:rPr>
              <w:t>de contrôle interne</w:t>
            </w:r>
            <w:r>
              <w:rPr>
                <w:rFonts w:asciiTheme="minorBidi" w:hAnsiTheme="minorBidi"/>
                <w:color w:val="000000" w:themeColor="text1"/>
                <w:sz w:val="20"/>
              </w:rPr>
              <w:t xml:space="preserve"> (IOS) des rapports périodiques de l</w:t>
            </w:r>
            <w:r w:rsidR="007C6BDF">
              <w:rPr>
                <w:rFonts w:asciiTheme="minorBidi" w:hAnsiTheme="minorBidi"/>
                <w:color w:val="000000" w:themeColor="text1"/>
                <w:sz w:val="20"/>
              </w:rPr>
              <w:t>’</w:t>
            </w:r>
            <w:r>
              <w:rPr>
                <w:rFonts w:asciiTheme="minorBidi" w:hAnsiTheme="minorBidi"/>
                <w:color w:val="000000" w:themeColor="text1"/>
                <w:sz w:val="20"/>
              </w:rPr>
              <w:t xml:space="preserve">UNESCO sur les conventions et recommandations </w:t>
            </w:r>
            <w:r w:rsidR="00F5057A">
              <w:rPr>
                <w:rFonts w:asciiTheme="minorBidi" w:hAnsiTheme="minorBidi"/>
                <w:color w:val="000000" w:themeColor="text1"/>
                <w:sz w:val="20"/>
              </w:rPr>
              <w:t xml:space="preserve">relevant </w:t>
            </w:r>
            <w:r>
              <w:rPr>
                <w:rFonts w:asciiTheme="minorBidi" w:hAnsiTheme="minorBidi"/>
                <w:color w:val="000000" w:themeColor="text1"/>
                <w:sz w:val="20"/>
              </w:rPr>
              <w:t>du Secteur de la culture</w:t>
            </w:r>
            <w:r w:rsidR="007C6BDF">
              <w:rPr>
                <w:rFonts w:asciiTheme="minorBidi" w:hAnsiTheme="minorBidi"/>
                <w:color w:val="000000" w:themeColor="text1"/>
                <w:sz w:val="20"/>
              </w:rPr>
              <w:t> </w:t>
            </w:r>
            <w:r>
              <w:rPr>
                <w:rFonts w:asciiTheme="minorBidi" w:hAnsiTheme="minorBidi"/>
                <w:color w:val="000000" w:themeColor="text1"/>
                <w:sz w:val="20"/>
              </w:rPr>
              <w:t>»</w:t>
            </w:r>
          </w:p>
          <w:p w14:paraId="02A592E1" w14:textId="5E89691E" w:rsidR="00400582" w:rsidRPr="00553B84" w:rsidRDefault="00400582" w:rsidP="00407E38">
            <w:pPr>
              <w:pStyle w:val="Marge"/>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Dixième session de l</w:t>
            </w:r>
            <w:r w:rsidR="007C6BDF">
              <w:rPr>
                <w:rFonts w:asciiTheme="minorBidi" w:hAnsiTheme="minorBidi"/>
                <w:b/>
                <w:color w:val="365F91" w:themeColor="accent1" w:themeShade="BF"/>
                <w:sz w:val="20"/>
              </w:rPr>
              <w:t>’</w:t>
            </w:r>
            <w:r>
              <w:rPr>
                <w:rFonts w:asciiTheme="minorBidi" w:hAnsiTheme="minorBidi"/>
                <w:b/>
                <w:color w:val="365F91" w:themeColor="accent1" w:themeShade="BF"/>
                <w:sz w:val="20"/>
              </w:rPr>
              <w:t>Assemblée générale (11-12</w:t>
            </w:r>
            <w:r w:rsidR="007C6BDF">
              <w:rPr>
                <w:rFonts w:asciiTheme="minorBidi" w:hAnsiTheme="minorBidi"/>
                <w:b/>
                <w:color w:val="365F91" w:themeColor="accent1" w:themeShade="BF"/>
                <w:sz w:val="20"/>
              </w:rPr>
              <w:t> </w:t>
            </w:r>
            <w:r>
              <w:rPr>
                <w:rFonts w:asciiTheme="minorBidi" w:hAnsiTheme="minorBidi"/>
                <w:b/>
                <w:color w:val="365F91" w:themeColor="accent1" w:themeShade="BF"/>
                <w:sz w:val="20"/>
              </w:rPr>
              <w:t>juin 2024)</w:t>
            </w:r>
          </w:p>
          <w:p w14:paraId="25006B07" w14:textId="05994744" w:rsidR="00400582" w:rsidRPr="00553B84" w:rsidRDefault="00400582" w:rsidP="007E1FE1">
            <w:pPr>
              <w:pStyle w:val="Marge"/>
              <w:tabs>
                <w:tab w:val="clear" w:pos="567"/>
              </w:tabs>
              <w:spacing w:beforeLines="20" w:before="48" w:after="0"/>
              <w:rPr>
                <w:rFonts w:asciiTheme="minorBidi" w:hAnsiTheme="minorBidi" w:cstheme="minorBidi"/>
                <w:color w:val="000000" w:themeColor="text1"/>
                <w:sz w:val="20"/>
                <w:szCs w:val="20"/>
              </w:rPr>
            </w:pPr>
            <w:r>
              <w:rPr>
                <w:rFonts w:asciiTheme="minorBidi" w:hAnsiTheme="minorBidi"/>
                <w:color w:val="000000" w:themeColor="text1"/>
                <w:sz w:val="20"/>
              </w:rPr>
              <w:t>Adoption de la Résolution</w:t>
            </w:r>
            <w:r w:rsidR="007C6BDF">
              <w:rPr>
                <w:rFonts w:asciiTheme="minorBidi" w:hAnsiTheme="minorBidi"/>
                <w:color w:val="000000" w:themeColor="text1"/>
                <w:sz w:val="20"/>
              </w:rPr>
              <w:t> </w:t>
            </w:r>
            <w:r>
              <w:rPr>
                <w:rFonts w:asciiTheme="minorBidi" w:hAnsiTheme="minorBidi"/>
                <w:color w:val="000000" w:themeColor="text1"/>
                <w:sz w:val="20"/>
              </w:rPr>
              <w:t>10.GA</w:t>
            </w:r>
            <w:r w:rsidR="007C6BDF">
              <w:rPr>
                <w:rFonts w:asciiTheme="minorBidi" w:hAnsiTheme="minorBidi"/>
                <w:color w:val="000000" w:themeColor="text1"/>
                <w:sz w:val="20"/>
              </w:rPr>
              <w:t> </w:t>
            </w:r>
            <w:r>
              <w:rPr>
                <w:rFonts w:asciiTheme="minorBidi" w:hAnsiTheme="minorBidi"/>
                <w:color w:val="000000" w:themeColor="text1"/>
                <w:sz w:val="20"/>
              </w:rPr>
              <w:t>5 et de la Résolution</w:t>
            </w:r>
            <w:r w:rsidR="007C6BDF">
              <w:rPr>
                <w:rFonts w:asciiTheme="minorBidi" w:hAnsiTheme="minorBidi"/>
                <w:color w:val="000000" w:themeColor="text1"/>
                <w:sz w:val="20"/>
              </w:rPr>
              <w:t> </w:t>
            </w:r>
            <w:r>
              <w:rPr>
                <w:rFonts w:asciiTheme="minorBidi" w:hAnsiTheme="minorBidi"/>
                <w:color w:val="000000" w:themeColor="text1"/>
                <w:sz w:val="20"/>
              </w:rPr>
              <w:t>10.GA</w:t>
            </w:r>
            <w:r w:rsidR="007C6BDF">
              <w:rPr>
                <w:rFonts w:asciiTheme="minorBidi" w:hAnsiTheme="minorBidi"/>
                <w:color w:val="000000" w:themeColor="text1"/>
                <w:sz w:val="20"/>
              </w:rPr>
              <w:t> </w:t>
            </w:r>
            <w:r>
              <w:rPr>
                <w:rFonts w:asciiTheme="minorBidi" w:hAnsiTheme="minorBidi"/>
                <w:color w:val="000000" w:themeColor="text1"/>
                <w:sz w:val="20"/>
              </w:rPr>
              <w:t xml:space="preserve">6 dans le cadre de la discussion préliminaire sur la proposition de rationaliser les cycles de </w:t>
            </w:r>
            <w:r w:rsidR="00F5057A">
              <w:rPr>
                <w:rFonts w:asciiTheme="minorBidi" w:hAnsiTheme="minorBidi"/>
                <w:color w:val="000000" w:themeColor="text1"/>
                <w:sz w:val="20"/>
              </w:rPr>
              <w:t xml:space="preserve">soumission </w:t>
            </w:r>
            <w:r>
              <w:rPr>
                <w:rFonts w:asciiTheme="minorBidi" w:hAnsiTheme="minorBidi"/>
                <w:color w:val="000000" w:themeColor="text1"/>
                <w:sz w:val="20"/>
              </w:rPr>
              <w:t>des rapports périodiques</w:t>
            </w:r>
          </w:p>
          <w:p w14:paraId="2AA64EB5" w14:textId="07D1A31E" w:rsidR="00C82E3A" w:rsidRPr="00553B84" w:rsidRDefault="00C82E3A" w:rsidP="00407E38">
            <w:pPr>
              <w:pStyle w:val="Marge"/>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Avant le 15</w:t>
            </w:r>
            <w:r w:rsidR="007C6BDF">
              <w:rPr>
                <w:rFonts w:asciiTheme="minorBidi" w:hAnsiTheme="minorBidi"/>
                <w:b/>
                <w:color w:val="365F91" w:themeColor="accent1" w:themeShade="BF"/>
                <w:sz w:val="20"/>
              </w:rPr>
              <w:t> </w:t>
            </w:r>
            <w:r>
              <w:rPr>
                <w:rFonts w:asciiTheme="minorBidi" w:hAnsiTheme="minorBidi"/>
                <w:b/>
                <w:color w:val="365F91" w:themeColor="accent1" w:themeShade="BF"/>
                <w:sz w:val="20"/>
              </w:rPr>
              <w:t>juin 2024</w:t>
            </w:r>
          </w:p>
          <w:p w14:paraId="49263837" w14:textId="5F0354C3" w:rsidR="00C82E3A" w:rsidRPr="00553B84" w:rsidRDefault="00F5057A" w:rsidP="00407E38">
            <w:pPr>
              <w:pStyle w:val="Marge"/>
              <w:spacing w:beforeLines="20" w:before="48" w:after="0"/>
              <w:rPr>
                <w:rFonts w:asciiTheme="minorBidi" w:hAnsiTheme="minorBidi" w:cstheme="minorBidi"/>
                <w:b/>
                <w:bCs/>
                <w:color w:val="365F91" w:themeColor="accent1" w:themeShade="BF"/>
                <w:sz w:val="20"/>
                <w:szCs w:val="20"/>
              </w:rPr>
            </w:pPr>
            <w:r>
              <w:rPr>
                <w:rFonts w:asciiTheme="minorBidi" w:hAnsiTheme="minorBidi"/>
                <w:sz w:val="20"/>
              </w:rPr>
              <w:t xml:space="preserve">Soumission </w:t>
            </w:r>
            <w:r w:rsidR="00C82E3A">
              <w:rPr>
                <w:rFonts w:asciiTheme="minorBidi" w:hAnsiTheme="minorBidi"/>
                <w:sz w:val="20"/>
              </w:rPr>
              <w:t>partiel</w:t>
            </w:r>
            <w:r>
              <w:rPr>
                <w:rFonts w:asciiTheme="minorBidi" w:hAnsiTheme="minorBidi"/>
                <w:sz w:val="20"/>
              </w:rPr>
              <w:t>le</w:t>
            </w:r>
            <w:r w:rsidR="00C82E3A">
              <w:rPr>
                <w:rFonts w:asciiTheme="minorBidi" w:hAnsiTheme="minorBidi"/>
                <w:sz w:val="20"/>
              </w:rPr>
              <w:t xml:space="preserve"> ou </w:t>
            </w:r>
            <w:r>
              <w:rPr>
                <w:rFonts w:asciiTheme="minorBidi" w:hAnsiTheme="minorBidi"/>
                <w:sz w:val="20"/>
              </w:rPr>
              <w:t>complète</w:t>
            </w:r>
            <w:r w:rsidR="00C82E3A">
              <w:rPr>
                <w:rFonts w:asciiTheme="minorBidi" w:hAnsiTheme="minorBidi"/>
                <w:sz w:val="20"/>
              </w:rPr>
              <w:t xml:space="preserve"> «</w:t>
            </w:r>
            <w:r w:rsidR="007C6BDF">
              <w:rPr>
                <w:rFonts w:asciiTheme="minorBidi" w:hAnsiTheme="minorBidi"/>
                <w:sz w:val="20"/>
              </w:rPr>
              <w:t> </w:t>
            </w:r>
            <w:r w:rsidR="00C82E3A">
              <w:rPr>
                <w:rFonts w:asciiTheme="minorBidi" w:hAnsiTheme="minorBidi"/>
                <w:sz w:val="20"/>
              </w:rPr>
              <w:t>anticipé</w:t>
            </w:r>
            <w:r>
              <w:rPr>
                <w:rFonts w:asciiTheme="minorBidi" w:hAnsiTheme="minorBidi"/>
                <w:sz w:val="20"/>
              </w:rPr>
              <w:t>e</w:t>
            </w:r>
            <w:r w:rsidR="007C6BDF">
              <w:rPr>
                <w:rFonts w:asciiTheme="minorBidi" w:hAnsiTheme="minorBidi"/>
                <w:sz w:val="20"/>
              </w:rPr>
              <w:t> </w:t>
            </w:r>
            <w:r w:rsidR="00C82E3A">
              <w:rPr>
                <w:rFonts w:asciiTheme="minorBidi" w:hAnsiTheme="minorBidi"/>
                <w:sz w:val="20"/>
              </w:rPr>
              <w:t>» des «</w:t>
            </w:r>
            <w:r w:rsidR="007C6BDF">
              <w:rPr>
                <w:rFonts w:asciiTheme="minorBidi" w:hAnsiTheme="minorBidi"/>
                <w:sz w:val="20"/>
              </w:rPr>
              <w:t> </w:t>
            </w:r>
            <w:r w:rsidR="00C82E3A">
              <w:rPr>
                <w:rFonts w:asciiTheme="minorBidi" w:hAnsiTheme="minorBidi"/>
                <w:sz w:val="20"/>
              </w:rPr>
              <w:t xml:space="preserve">rapports </w:t>
            </w:r>
            <w:r>
              <w:rPr>
                <w:rFonts w:asciiTheme="minorBidi" w:hAnsiTheme="minorBidi"/>
                <w:sz w:val="20"/>
              </w:rPr>
              <w:t>d’</w:t>
            </w:r>
            <w:r w:rsidR="00C82E3A">
              <w:rPr>
                <w:rFonts w:asciiTheme="minorBidi" w:hAnsiTheme="minorBidi"/>
                <w:sz w:val="20"/>
              </w:rPr>
              <w:t xml:space="preserve">Asie et </w:t>
            </w:r>
            <w:r>
              <w:rPr>
                <w:rFonts w:asciiTheme="minorBidi" w:hAnsiTheme="minorBidi"/>
                <w:sz w:val="20"/>
              </w:rPr>
              <w:t xml:space="preserve">du </w:t>
            </w:r>
            <w:r w:rsidR="00C82E3A">
              <w:rPr>
                <w:rFonts w:asciiTheme="minorBidi" w:hAnsiTheme="minorBidi"/>
                <w:sz w:val="20"/>
              </w:rPr>
              <w:t>Pacifique</w:t>
            </w:r>
            <w:r w:rsidR="007C6BDF">
              <w:rPr>
                <w:rFonts w:asciiTheme="minorBidi" w:hAnsiTheme="minorBidi"/>
                <w:sz w:val="20"/>
              </w:rPr>
              <w:t> </w:t>
            </w:r>
            <w:r w:rsidR="00C82E3A">
              <w:rPr>
                <w:rFonts w:asciiTheme="minorBidi" w:hAnsiTheme="minorBidi"/>
                <w:sz w:val="20"/>
              </w:rPr>
              <w:t>»</w:t>
            </w:r>
          </w:p>
          <w:p w14:paraId="6761CA4E" w14:textId="06991850" w:rsidR="00C82E3A" w:rsidRPr="00553B84" w:rsidRDefault="00C82E3A" w:rsidP="00407E38">
            <w:pPr>
              <w:pStyle w:val="Marge"/>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Dix-neuvième session du Comité (2-7</w:t>
            </w:r>
            <w:r w:rsidR="007C6BDF">
              <w:rPr>
                <w:rFonts w:asciiTheme="minorBidi" w:hAnsiTheme="minorBidi"/>
                <w:b/>
                <w:color w:val="365F91" w:themeColor="accent1" w:themeShade="BF"/>
                <w:sz w:val="20"/>
              </w:rPr>
              <w:t> </w:t>
            </w:r>
            <w:r>
              <w:rPr>
                <w:rFonts w:asciiTheme="minorBidi" w:hAnsiTheme="minorBidi"/>
                <w:b/>
                <w:color w:val="365F91" w:themeColor="accent1" w:themeShade="BF"/>
                <w:sz w:val="20"/>
              </w:rPr>
              <w:t>décembre 2024)</w:t>
            </w:r>
          </w:p>
          <w:p w14:paraId="2D9AF6AB" w14:textId="1DD7A79D" w:rsidR="00C82E3A" w:rsidRPr="00553B84" w:rsidRDefault="00C82E3A"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rPr>
            </w:pPr>
            <w:r>
              <w:rPr>
                <w:rFonts w:asciiTheme="minorBidi" w:hAnsiTheme="minorBidi"/>
                <w:sz w:val="20"/>
              </w:rPr>
              <w:t>Examen des «</w:t>
            </w:r>
            <w:r w:rsidR="007C6BDF">
              <w:rPr>
                <w:rFonts w:asciiTheme="minorBidi" w:hAnsiTheme="minorBidi"/>
                <w:sz w:val="20"/>
              </w:rPr>
              <w:t> </w:t>
            </w:r>
            <w:r>
              <w:rPr>
                <w:rFonts w:asciiTheme="minorBidi" w:hAnsiTheme="minorBidi"/>
                <w:sz w:val="20"/>
              </w:rPr>
              <w:t xml:space="preserve">rapports </w:t>
            </w:r>
            <w:r w:rsidR="00A6160F">
              <w:rPr>
                <w:rFonts w:asciiTheme="minorBidi" w:hAnsiTheme="minorBidi"/>
                <w:sz w:val="20"/>
              </w:rPr>
              <w:t>d</w:t>
            </w:r>
            <w:r w:rsidR="007C6BDF">
              <w:rPr>
                <w:rFonts w:asciiTheme="minorBidi" w:hAnsiTheme="minorBidi"/>
                <w:sz w:val="20"/>
              </w:rPr>
              <w:t>’</w:t>
            </w:r>
            <w:r>
              <w:rPr>
                <w:rFonts w:asciiTheme="minorBidi" w:hAnsiTheme="minorBidi"/>
                <w:sz w:val="20"/>
              </w:rPr>
              <w:t>Afrique</w:t>
            </w:r>
            <w:r w:rsidR="007C6BDF">
              <w:rPr>
                <w:rFonts w:asciiTheme="minorBidi" w:hAnsiTheme="minorBidi"/>
                <w:sz w:val="20"/>
              </w:rPr>
              <w:t> </w:t>
            </w:r>
            <w:r>
              <w:rPr>
                <w:rFonts w:asciiTheme="minorBidi" w:hAnsiTheme="minorBidi"/>
                <w:sz w:val="20"/>
              </w:rPr>
              <w:t>»</w:t>
            </w:r>
          </w:p>
          <w:p w14:paraId="2CF5D0EB" w14:textId="59976069" w:rsidR="00C82E3A" w:rsidRPr="00A6160F" w:rsidRDefault="00C82E3A"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rPr>
            </w:pPr>
            <w:r w:rsidRPr="00A6160F">
              <w:rPr>
                <w:rFonts w:asciiTheme="minorBidi" w:hAnsiTheme="minorBidi"/>
                <w:sz w:val="20"/>
              </w:rPr>
              <w:t>Examen des «</w:t>
            </w:r>
            <w:r w:rsidR="007C6BDF" w:rsidRPr="00A6160F">
              <w:rPr>
                <w:rFonts w:asciiTheme="minorBidi" w:hAnsiTheme="minorBidi"/>
                <w:sz w:val="20"/>
              </w:rPr>
              <w:t> </w:t>
            </w:r>
            <w:r w:rsidRPr="00A6160F">
              <w:rPr>
                <w:rFonts w:asciiTheme="minorBidi" w:hAnsiTheme="minorBidi"/>
                <w:sz w:val="20"/>
              </w:rPr>
              <w:t xml:space="preserve">rapports de la </w:t>
            </w:r>
            <w:r w:rsidR="007E1FE1">
              <w:rPr>
                <w:rFonts w:asciiTheme="minorBidi" w:hAnsiTheme="minorBidi"/>
                <w:sz w:val="20"/>
              </w:rPr>
              <w:t>L</w:t>
            </w:r>
            <w:r w:rsidRPr="00A6160F">
              <w:rPr>
                <w:rFonts w:asciiTheme="minorBidi" w:hAnsiTheme="minorBidi"/>
                <w:sz w:val="20"/>
              </w:rPr>
              <w:t>iste de sauvegarde urgente</w:t>
            </w:r>
            <w:r w:rsidR="007C6BDF" w:rsidRPr="00A6160F">
              <w:rPr>
                <w:rFonts w:asciiTheme="minorBidi" w:hAnsiTheme="minorBidi"/>
                <w:sz w:val="20"/>
              </w:rPr>
              <w:t> </w:t>
            </w:r>
            <w:r w:rsidRPr="00A6160F">
              <w:rPr>
                <w:rFonts w:asciiTheme="minorBidi" w:hAnsiTheme="minorBidi"/>
                <w:sz w:val="20"/>
              </w:rPr>
              <w:t>»</w:t>
            </w:r>
          </w:p>
          <w:p w14:paraId="6D5C9631" w14:textId="5B688CD1" w:rsidR="00C82E3A" w:rsidRPr="00A6160F" w:rsidRDefault="007E1FE1"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rPr>
            </w:pPr>
            <w:r>
              <w:rPr>
                <w:rFonts w:asciiTheme="minorBidi" w:hAnsiTheme="minorBidi"/>
                <w:sz w:val="20"/>
              </w:rPr>
              <w:t>Point concernant la proposition de rationalisation des cycles de soumission des rapports périodiques</w:t>
            </w:r>
            <w:r w:rsidR="00A6160F" w:rsidRPr="00A6160F">
              <w:rPr>
                <w:rFonts w:asciiTheme="minorBidi" w:hAnsiTheme="minorBidi"/>
                <w:sz w:val="20"/>
              </w:rPr>
              <w:t xml:space="preserve"> </w:t>
            </w:r>
          </w:p>
          <w:p w14:paraId="13FAD94E" w14:textId="3C55CE96" w:rsidR="00C82E3A" w:rsidRPr="00553B84" w:rsidRDefault="00C82E3A" w:rsidP="00407E38">
            <w:pPr>
              <w:pStyle w:val="Marge"/>
              <w:spacing w:beforeLines="20" w:before="48" w:after="0"/>
              <w:rPr>
                <w:rFonts w:asciiTheme="minorBidi" w:hAnsiTheme="minorBidi" w:cstheme="minorBidi"/>
                <w:b/>
                <w:bCs/>
                <w:color w:val="365F91" w:themeColor="accent1" w:themeShade="BF"/>
                <w:sz w:val="20"/>
                <w:szCs w:val="20"/>
              </w:rPr>
            </w:pPr>
            <w:r w:rsidRPr="00A6160F">
              <w:rPr>
                <w:rFonts w:asciiTheme="minorBidi" w:hAnsiTheme="minorBidi"/>
                <w:b/>
                <w:color w:val="365F91" w:themeColor="accent1" w:themeShade="BF"/>
                <w:sz w:val="20"/>
              </w:rPr>
              <w:t>Avant le 15</w:t>
            </w:r>
            <w:r w:rsidR="007C6BDF" w:rsidRPr="00A6160F">
              <w:rPr>
                <w:rFonts w:asciiTheme="minorBidi" w:hAnsiTheme="minorBidi"/>
                <w:b/>
                <w:color w:val="365F91" w:themeColor="accent1" w:themeShade="BF"/>
                <w:sz w:val="20"/>
              </w:rPr>
              <w:t> </w:t>
            </w:r>
            <w:r w:rsidRPr="00A6160F">
              <w:rPr>
                <w:rFonts w:asciiTheme="minorBidi" w:hAnsiTheme="minorBidi"/>
                <w:b/>
                <w:color w:val="365F91" w:themeColor="accent1" w:themeShade="BF"/>
                <w:sz w:val="20"/>
              </w:rPr>
              <w:t>décembre 2024</w:t>
            </w:r>
          </w:p>
          <w:p w14:paraId="196F306C" w14:textId="11B75605" w:rsidR="00C82E3A" w:rsidRPr="00553B84" w:rsidRDefault="00A6160F"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rPr>
            </w:pPr>
            <w:r>
              <w:rPr>
                <w:rFonts w:asciiTheme="minorBidi" w:hAnsiTheme="minorBidi"/>
                <w:sz w:val="20"/>
              </w:rPr>
              <w:t xml:space="preserve">Soumission </w:t>
            </w:r>
            <w:r w:rsidR="00C82E3A">
              <w:rPr>
                <w:rFonts w:asciiTheme="minorBidi" w:hAnsiTheme="minorBidi"/>
                <w:sz w:val="20"/>
              </w:rPr>
              <w:t>des «</w:t>
            </w:r>
            <w:r w:rsidR="007C6BDF">
              <w:rPr>
                <w:rFonts w:asciiTheme="minorBidi" w:hAnsiTheme="minorBidi"/>
                <w:sz w:val="20"/>
              </w:rPr>
              <w:t> </w:t>
            </w:r>
            <w:r w:rsidR="00C82E3A">
              <w:rPr>
                <w:rFonts w:asciiTheme="minorBidi" w:hAnsiTheme="minorBidi"/>
                <w:sz w:val="20"/>
              </w:rPr>
              <w:t xml:space="preserve">rapports </w:t>
            </w:r>
            <w:r>
              <w:rPr>
                <w:rFonts w:asciiTheme="minorBidi" w:hAnsiTheme="minorBidi"/>
                <w:sz w:val="20"/>
              </w:rPr>
              <w:t>d</w:t>
            </w:r>
            <w:r w:rsidR="007C6BDF">
              <w:rPr>
                <w:rFonts w:asciiTheme="minorBidi" w:hAnsiTheme="minorBidi"/>
                <w:sz w:val="20"/>
              </w:rPr>
              <w:t>’</w:t>
            </w:r>
            <w:r w:rsidR="00C82E3A">
              <w:rPr>
                <w:rFonts w:asciiTheme="minorBidi" w:hAnsiTheme="minorBidi"/>
                <w:sz w:val="20"/>
              </w:rPr>
              <w:t xml:space="preserve">Asie et </w:t>
            </w:r>
            <w:r>
              <w:rPr>
                <w:rFonts w:asciiTheme="minorBidi" w:hAnsiTheme="minorBidi"/>
                <w:sz w:val="20"/>
              </w:rPr>
              <w:t>du</w:t>
            </w:r>
            <w:r w:rsidR="00C82E3A">
              <w:rPr>
                <w:rFonts w:asciiTheme="minorBidi" w:hAnsiTheme="minorBidi"/>
                <w:sz w:val="20"/>
              </w:rPr>
              <w:t xml:space="preserve"> Pacifique</w:t>
            </w:r>
            <w:r w:rsidR="007C6BDF">
              <w:rPr>
                <w:rFonts w:asciiTheme="minorBidi" w:hAnsiTheme="minorBidi"/>
                <w:sz w:val="20"/>
              </w:rPr>
              <w:t> </w:t>
            </w:r>
            <w:r w:rsidR="00C82E3A">
              <w:rPr>
                <w:rFonts w:asciiTheme="minorBidi" w:hAnsiTheme="minorBidi"/>
                <w:sz w:val="20"/>
              </w:rPr>
              <w:t>»</w:t>
            </w:r>
          </w:p>
          <w:p w14:paraId="59A163B8" w14:textId="6BDD5CAF" w:rsidR="00C82E3A" w:rsidRPr="00553B84" w:rsidRDefault="00A6160F" w:rsidP="00407E38">
            <w:pPr>
              <w:pStyle w:val="Marge"/>
              <w:numPr>
                <w:ilvl w:val="0"/>
                <w:numId w:val="10"/>
              </w:numPr>
              <w:tabs>
                <w:tab w:val="clear" w:pos="567"/>
                <w:tab w:val="left" w:pos="178"/>
              </w:tabs>
              <w:spacing w:beforeLines="20" w:before="48" w:after="0"/>
              <w:ind w:left="460" w:hanging="284"/>
              <w:rPr>
                <w:rFonts w:asciiTheme="minorBidi" w:hAnsiTheme="minorBidi" w:cstheme="minorBidi"/>
                <w:sz w:val="20"/>
                <w:szCs w:val="20"/>
              </w:rPr>
            </w:pPr>
            <w:r>
              <w:rPr>
                <w:rFonts w:asciiTheme="minorBidi" w:hAnsiTheme="minorBidi"/>
                <w:sz w:val="20"/>
              </w:rPr>
              <w:t xml:space="preserve">Soumission </w:t>
            </w:r>
            <w:r w:rsidR="00C82E3A">
              <w:rPr>
                <w:rFonts w:asciiTheme="minorBidi" w:hAnsiTheme="minorBidi"/>
                <w:sz w:val="20"/>
              </w:rPr>
              <w:t>des «</w:t>
            </w:r>
            <w:r w:rsidR="007C6BDF">
              <w:rPr>
                <w:rFonts w:asciiTheme="minorBidi" w:hAnsiTheme="minorBidi"/>
                <w:sz w:val="20"/>
              </w:rPr>
              <w:t> </w:t>
            </w:r>
            <w:r w:rsidR="00C82E3A">
              <w:rPr>
                <w:rFonts w:asciiTheme="minorBidi" w:hAnsiTheme="minorBidi"/>
                <w:sz w:val="20"/>
              </w:rPr>
              <w:t xml:space="preserve">rapports sur la </w:t>
            </w:r>
            <w:r w:rsidR="007E1FE1">
              <w:rPr>
                <w:rFonts w:asciiTheme="minorBidi" w:hAnsiTheme="minorBidi"/>
                <w:sz w:val="20"/>
              </w:rPr>
              <w:t>L</w:t>
            </w:r>
            <w:r w:rsidR="00C82E3A">
              <w:rPr>
                <w:rFonts w:asciiTheme="minorBidi" w:hAnsiTheme="minorBidi"/>
                <w:sz w:val="20"/>
              </w:rPr>
              <w:t>iste de sauvegarde urgente</w:t>
            </w:r>
            <w:r w:rsidR="007C6BDF">
              <w:rPr>
                <w:rFonts w:asciiTheme="minorBidi" w:hAnsiTheme="minorBidi"/>
                <w:sz w:val="20"/>
              </w:rPr>
              <w:t> </w:t>
            </w:r>
            <w:r w:rsidR="00C82E3A">
              <w:rPr>
                <w:rFonts w:asciiTheme="minorBidi" w:hAnsiTheme="minorBidi"/>
                <w:sz w:val="20"/>
              </w:rPr>
              <w:t>»</w:t>
            </w:r>
          </w:p>
        </w:tc>
      </w:tr>
      <w:tr w:rsidR="00C82E3A" w:rsidRPr="00A77C74" w14:paraId="70D48342" w14:textId="77777777" w:rsidTr="00A77C74">
        <w:tc>
          <w:tcPr>
            <w:tcW w:w="851" w:type="dxa"/>
            <w:vMerge w:val="restart"/>
          </w:tcPr>
          <w:p w14:paraId="5BC8C0F4" w14:textId="77777777" w:rsidR="00C82E3A" w:rsidRPr="00553B84" w:rsidRDefault="00C82E3A" w:rsidP="00407E38">
            <w:pPr>
              <w:pStyle w:val="Marge"/>
              <w:spacing w:beforeLines="20" w:before="48" w:after="0"/>
              <w:rPr>
                <w:rFonts w:asciiTheme="minorBidi" w:hAnsiTheme="minorBidi" w:cstheme="minorBidi"/>
                <w:b/>
                <w:bCs/>
                <w:sz w:val="20"/>
                <w:szCs w:val="20"/>
              </w:rPr>
            </w:pPr>
            <w:r>
              <w:rPr>
                <w:rFonts w:asciiTheme="minorBidi" w:hAnsiTheme="minorBidi"/>
                <w:b/>
                <w:sz w:val="20"/>
              </w:rPr>
              <w:t>2025</w:t>
            </w:r>
          </w:p>
        </w:tc>
        <w:tc>
          <w:tcPr>
            <w:tcW w:w="8215" w:type="dxa"/>
            <w:shd w:val="clear" w:color="auto" w:fill="auto"/>
          </w:tcPr>
          <w:p w14:paraId="284825AE" w14:textId="1A071E9B" w:rsidR="003F6D2B" w:rsidRPr="003F6D2B" w:rsidRDefault="003F6D2B" w:rsidP="003F6D2B">
            <w:pPr>
              <w:pStyle w:val="Marge"/>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Tout au long de l</w:t>
            </w:r>
            <w:r w:rsidR="007C6BDF">
              <w:rPr>
                <w:rFonts w:asciiTheme="minorBidi" w:hAnsiTheme="minorBidi"/>
                <w:b/>
                <w:color w:val="365F91" w:themeColor="accent1" w:themeShade="BF"/>
                <w:sz w:val="20"/>
              </w:rPr>
              <w:t>’</w:t>
            </w:r>
            <w:r>
              <w:rPr>
                <w:rFonts w:asciiTheme="minorBidi" w:hAnsiTheme="minorBidi"/>
                <w:b/>
                <w:color w:val="365F91" w:themeColor="accent1" w:themeShade="BF"/>
                <w:sz w:val="20"/>
              </w:rPr>
              <w:t>année</w:t>
            </w:r>
          </w:p>
          <w:p w14:paraId="57AF080B" w14:textId="7DCB8283" w:rsidR="00C82E3A" w:rsidRPr="003F6D2B" w:rsidRDefault="003F6D2B" w:rsidP="00407E38">
            <w:pPr>
              <w:pStyle w:val="Marge"/>
              <w:spacing w:beforeLines="20" w:before="48" w:after="0"/>
              <w:rPr>
                <w:rFonts w:asciiTheme="minorBidi" w:hAnsiTheme="minorBidi" w:cstheme="minorBidi"/>
                <w:sz w:val="20"/>
                <w:szCs w:val="20"/>
              </w:rPr>
            </w:pPr>
            <w:r>
              <w:rPr>
                <w:rFonts w:asciiTheme="minorBidi" w:hAnsiTheme="minorBidi"/>
                <w:sz w:val="20"/>
              </w:rPr>
              <w:t>Préparation de l</w:t>
            </w:r>
            <w:r w:rsidR="007C6BDF">
              <w:rPr>
                <w:rFonts w:asciiTheme="minorBidi" w:hAnsiTheme="minorBidi"/>
                <w:sz w:val="20"/>
              </w:rPr>
              <w:t>’</w:t>
            </w:r>
            <w:r>
              <w:rPr>
                <w:rFonts w:asciiTheme="minorBidi" w:hAnsiTheme="minorBidi"/>
                <w:sz w:val="20"/>
              </w:rPr>
              <w:t>année</w:t>
            </w:r>
            <w:r w:rsidR="00624BD7">
              <w:rPr>
                <w:rFonts w:asciiTheme="minorBidi" w:hAnsiTheme="minorBidi"/>
                <w:sz w:val="20"/>
              </w:rPr>
              <w:t xml:space="preserve"> de réflexion,</w:t>
            </w:r>
            <w:r>
              <w:rPr>
                <w:rFonts w:asciiTheme="minorBidi" w:hAnsiTheme="minorBidi"/>
                <w:sz w:val="20"/>
              </w:rPr>
              <w:t xml:space="preserve"> au cours de laquelle </w:t>
            </w:r>
            <w:r w:rsidR="00624BD7">
              <w:rPr>
                <w:rFonts w:asciiTheme="minorBidi" w:hAnsiTheme="minorBidi"/>
                <w:sz w:val="20"/>
              </w:rPr>
              <w:t>seraient</w:t>
            </w:r>
            <w:r>
              <w:rPr>
                <w:rFonts w:asciiTheme="minorBidi" w:hAnsiTheme="minorBidi"/>
                <w:sz w:val="20"/>
              </w:rPr>
              <w:t xml:space="preserve"> organis</w:t>
            </w:r>
            <w:r w:rsidR="00624BD7">
              <w:rPr>
                <w:rFonts w:asciiTheme="minorBidi" w:hAnsiTheme="minorBidi"/>
                <w:sz w:val="20"/>
              </w:rPr>
              <w:t>ées</w:t>
            </w:r>
            <w:r>
              <w:rPr>
                <w:rFonts w:asciiTheme="minorBidi" w:hAnsiTheme="minorBidi"/>
                <w:sz w:val="20"/>
              </w:rPr>
              <w:t xml:space="preserve"> une série de réunions régionales en ligne (à confirmer) avec les points focaux nationaux et les facilitateurs afin de faire le point sur les enseignements tirés et de discuter de la «</w:t>
            </w:r>
            <w:r w:rsidR="007C6BDF">
              <w:rPr>
                <w:rFonts w:asciiTheme="minorBidi" w:hAnsiTheme="minorBidi"/>
                <w:sz w:val="20"/>
              </w:rPr>
              <w:t> </w:t>
            </w:r>
            <w:r>
              <w:rPr>
                <w:rFonts w:asciiTheme="minorBidi" w:hAnsiTheme="minorBidi"/>
                <w:sz w:val="20"/>
              </w:rPr>
              <w:t>simplification</w:t>
            </w:r>
            <w:r w:rsidR="007C6BDF">
              <w:rPr>
                <w:rFonts w:asciiTheme="minorBidi" w:hAnsiTheme="minorBidi"/>
                <w:sz w:val="20"/>
              </w:rPr>
              <w:t> </w:t>
            </w:r>
            <w:r>
              <w:rPr>
                <w:rFonts w:asciiTheme="minorBidi" w:hAnsiTheme="minorBidi"/>
                <w:sz w:val="20"/>
              </w:rPr>
              <w:t>» d</w:t>
            </w:r>
            <w:r w:rsidR="00624BD7">
              <w:rPr>
                <w:rFonts w:asciiTheme="minorBidi" w:hAnsiTheme="minorBidi"/>
                <w:sz w:val="20"/>
              </w:rPr>
              <w:t>es</w:t>
            </w:r>
            <w:r>
              <w:rPr>
                <w:rFonts w:asciiTheme="minorBidi" w:hAnsiTheme="minorBidi"/>
                <w:sz w:val="20"/>
              </w:rPr>
              <w:t xml:space="preserve"> formulaire</w:t>
            </w:r>
            <w:r w:rsidR="00624BD7">
              <w:rPr>
                <w:rFonts w:asciiTheme="minorBidi" w:hAnsiTheme="minorBidi"/>
                <w:sz w:val="20"/>
              </w:rPr>
              <w:t>s</w:t>
            </w:r>
            <w:r>
              <w:rPr>
                <w:rFonts w:asciiTheme="minorBidi" w:hAnsiTheme="minorBidi"/>
                <w:sz w:val="20"/>
              </w:rPr>
              <w:t>.</w:t>
            </w:r>
          </w:p>
        </w:tc>
      </w:tr>
      <w:tr w:rsidR="003F6D2B" w:rsidRPr="00A77C74" w14:paraId="653BB32A" w14:textId="77777777" w:rsidTr="00A77C74">
        <w:tc>
          <w:tcPr>
            <w:tcW w:w="851" w:type="dxa"/>
            <w:vMerge/>
          </w:tcPr>
          <w:p w14:paraId="3A651BAF" w14:textId="77777777" w:rsidR="003F6D2B" w:rsidRPr="007C6BDF" w:rsidRDefault="003F6D2B" w:rsidP="00407E38">
            <w:pPr>
              <w:pStyle w:val="Marge"/>
              <w:spacing w:beforeLines="20" w:before="48" w:after="0"/>
              <w:rPr>
                <w:rFonts w:asciiTheme="minorBidi" w:hAnsiTheme="minorBidi" w:cstheme="minorBidi"/>
                <w:sz w:val="20"/>
                <w:szCs w:val="20"/>
              </w:rPr>
            </w:pPr>
          </w:p>
        </w:tc>
        <w:tc>
          <w:tcPr>
            <w:tcW w:w="8215" w:type="dxa"/>
            <w:shd w:val="clear" w:color="auto" w:fill="DAEEF3" w:themeFill="accent5" w:themeFillTint="33"/>
          </w:tcPr>
          <w:p w14:paraId="10A4C8E8" w14:textId="2C11995B" w:rsidR="003F6D2B" w:rsidRPr="003F6D2B" w:rsidRDefault="003F6D2B" w:rsidP="003F6D2B">
            <w:pPr>
              <w:pStyle w:val="Marge"/>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Deuxième semestre</w:t>
            </w:r>
            <w:r w:rsidR="00E328B9">
              <w:rPr>
                <w:rFonts w:asciiTheme="minorBidi" w:hAnsiTheme="minorBidi"/>
                <w:b/>
                <w:color w:val="365F91" w:themeColor="accent1" w:themeShade="BF"/>
                <w:sz w:val="20"/>
              </w:rPr>
              <w:t xml:space="preserve"> (septembre 2025 – Mondiacult 2025)</w:t>
            </w:r>
          </w:p>
          <w:p w14:paraId="53E3CCFC" w14:textId="035AD401" w:rsidR="003F6D2B" w:rsidRPr="003F6D2B" w:rsidRDefault="003F6D2B" w:rsidP="003F6D2B">
            <w:pPr>
              <w:pStyle w:val="Marge"/>
              <w:spacing w:beforeLines="20" w:before="48" w:after="0"/>
              <w:rPr>
                <w:rFonts w:asciiTheme="minorBidi" w:hAnsiTheme="minorBidi" w:cstheme="minorBidi"/>
                <w:b/>
                <w:bCs/>
                <w:color w:val="365F91" w:themeColor="accent1" w:themeShade="BF"/>
                <w:sz w:val="20"/>
                <w:szCs w:val="20"/>
              </w:rPr>
            </w:pPr>
            <w:r>
              <w:rPr>
                <w:rFonts w:asciiTheme="minorBidi" w:hAnsiTheme="minorBidi"/>
                <w:b/>
                <w:sz w:val="20"/>
              </w:rPr>
              <w:t xml:space="preserve">Publication de la première édition du </w:t>
            </w:r>
            <w:r w:rsidR="001C0F89">
              <w:rPr>
                <w:rFonts w:asciiTheme="minorBidi" w:hAnsiTheme="minorBidi"/>
                <w:b/>
                <w:sz w:val="20"/>
              </w:rPr>
              <w:t>R</w:t>
            </w:r>
            <w:r>
              <w:rPr>
                <w:rFonts w:asciiTheme="minorBidi" w:hAnsiTheme="minorBidi"/>
                <w:b/>
                <w:sz w:val="20"/>
              </w:rPr>
              <w:t>apport mondial sur les politiques culturelles</w:t>
            </w:r>
          </w:p>
        </w:tc>
      </w:tr>
      <w:tr w:rsidR="00C82E3A" w:rsidRPr="00A77C74" w14:paraId="28D0F5D1" w14:textId="77777777" w:rsidTr="0036040E">
        <w:tc>
          <w:tcPr>
            <w:tcW w:w="851" w:type="dxa"/>
            <w:vMerge/>
          </w:tcPr>
          <w:p w14:paraId="23BC5F15" w14:textId="77777777" w:rsidR="00C82E3A" w:rsidRPr="007C6BDF" w:rsidRDefault="00C82E3A" w:rsidP="00407E38">
            <w:pPr>
              <w:pStyle w:val="Marge"/>
              <w:spacing w:beforeLines="20" w:before="48" w:after="0"/>
              <w:rPr>
                <w:rFonts w:asciiTheme="minorBidi" w:hAnsiTheme="minorBidi" w:cstheme="minorBidi"/>
                <w:sz w:val="20"/>
                <w:szCs w:val="20"/>
              </w:rPr>
            </w:pPr>
          </w:p>
        </w:tc>
        <w:tc>
          <w:tcPr>
            <w:tcW w:w="8215" w:type="dxa"/>
            <w:shd w:val="clear" w:color="auto" w:fill="FFFFFF" w:themeFill="background1"/>
          </w:tcPr>
          <w:p w14:paraId="0C9875E2" w14:textId="1D9719AA" w:rsidR="00C82E3A" w:rsidRPr="00553B84" w:rsidRDefault="00C82E3A" w:rsidP="006C03CE">
            <w:pPr>
              <w:pStyle w:val="Marge"/>
              <w:adjustRightInd w:val="0"/>
              <w:spacing w:before="120"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Vingtième session du Comité (novembre/décembre 2025)</w:t>
            </w:r>
          </w:p>
          <w:p w14:paraId="4FEF1CFE" w14:textId="334CD981" w:rsidR="00C82E3A" w:rsidRPr="00553B84" w:rsidRDefault="00C82E3A"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rPr>
            </w:pPr>
            <w:r>
              <w:rPr>
                <w:rFonts w:asciiTheme="minorBidi" w:hAnsiTheme="minorBidi"/>
                <w:sz w:val="20"/>
              </w:rPr>
              <w:t>Examen des «</w:t>
            </w:r>
            <w:r w:rsidR="007C6BDF">
              <w:rPr>
                <w:rFonts w:asciiTheme="minorBidi" w:hAnsiTheme="minorBidi"/>
                <w:sz w:val="20"/>
              </w:rPr>
              <w:t> </w:t>
            </w:r>
            <w:r>
              <w:rPr>
                <w:rFonts w:asciiTheme="minorBidi" w:hAnsiTheme="minorBidi"/>
                <w:sz w:val="20"/>
              </w:rPr>
              <w:t xml:space="preserve">rapports </w:t>
            </w:r>
            <w:r w:rsidR="001C0F89">
              <w:rPr>
                <w:rFonts w:asciiTheme="minorBidi" w:hAnsiTheme="minorBidi"/>
                <w:sz w:val="20"/>
              </w:rPr>
              <w:t>d</w:t>
            </w:r>
            <w:r w:rsidR="007C6BDF">
              <w:rPr>
                <w:rFonts w:asciiTheme="minorBidi" w:hAnsiTheme="minorBidi"/>
                <w:sz w:val="20"/>
              </w:rPr>
              <w:t>’</w:t>
            </w:r>
            <w:r>
              <w:rPr>
                <w:rFonts w:asciiTheme="minorBidi" w:hAnsiTheme="minorBidi"/>
                <w:sz w:val="20"/>
              </w:rPr>
              <w:t xml:space="preserve">Asie et </w:t>
            </w:r>
            <w:r w:rsidR="001C0F89">
              <w:rPr>
                <w:rFonts w:asciiTheme="minorBidi" w:hAnsiTheme="minorBidi"/>
                <w:sz w:val="20"/>
              </w:rPr>
              <w:t>du</w:t>
            </w:r>
            <w:r>
              <w:rPr>
                <w:rFonts w:asciiTheme="minorBidi" w:hAnsiTheme="minorBidi"/>
                <w:sz w:val="20"/>
              </w:rPr>
              <w:t xml:space="preserve"> Pacifique</w:t>
            </w:r>
            <w:r w:rsidR="007C6BDF">
              <w:rPr>
                <w:rFonts w:asciiTheme="minorBidi" w:hAnsiTheme="minorBidi"/>
                <w:sz w:val="20"/>
              </w:rPr>
              <w:t> </w:t>
            </w:r>
            <w:r>
              <w:rPr>
                <w:rFonts w:asciiTheme="minorBidi" w:hAnsiTheme="minorBidi"/>
                <w:sz w:val="20"/>
              </w:rPr>
              <w:t>»</w:t>
            </w:r>
          </w:p>
          <w:p w14:paraId="23381777" w14:textId="5B3D0611" w:rsidR="00C82E3A" w:rsidRPr="00553B84" w:rsidRDefault="00C82E3A"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rPr>
            </w:pPr>
            <w:r>
              <w:rPr>
                <w:rFonts w:asciiTheme="minorBidi" w:hAnsiTheme="minorBidi"/>
                <w:sz w:val="20"/>
              </w:rPr>
              <w:t>Examen des «</w:t>
            </w:r>
            <w:r w:rsidR="007C6BDF">
              <w:rPr>
                <w:rFonts w:asciiTheme="minorBidi" w:hAnsiTheme="minorBidi"/>
                <w:sz w:val="20"/>
              </w:rPr>
              <w:t> </w:t>
            </w:r>
            <w:r>
              <w:rPr>
                <w:rFonts w:asciiTheme="minorBidi" w:hAnsiTheme="minorBidi"/>
                <w:sz w:val="20"/>
              </w:rPr>
              <w:t xml:space="preserve">rapports de la </w:t>
            </w:r>
            <w:r w:rsidR="007E1FE1">
              <w:rPr>
                <w:rFonts w:asciiTheme="minorBidi" w:hAnsiTheme="minorBidi"/>
                <w:sz w:val="20"/>
              </w:rPr>
              <w:t>L</w:t>
            </w:r>
            <w:r>
              <w:rPr>
                <w:rFonts w:asciiTheme="minorBidi" w:hAnsiTheme="minorBidi"/>
                <w:sz w:val="20"/>
              </w:rPr>
              <w:t>iste de sauvegarde urgente</w:t>
            </w:r>
            <w:r w:rsidR="007C6BDF">
              <w:rPr>
                <w:rFonts w:asciiTheme="minorBidi" w:hAnsiTheme="minorBidi"/>
                <w:sz w:val="20"/>
              </w:rPr>
              <w:t> </w:t>
            </w:r>
            <w:r>
              <w:rPr>
                <w:rFonts w:asciiTheme="minorBidi" w:hAnsiTheme="minorBidi"/>
                <w:sz w:val="20"/>
              </w:rPr>
              <w:t>»</w:t>
            </w:r>
          </w:p>
          <w:p w14:paraId="39E8E5E1" w14:textId="77E10F44" w:rsidR="00C82E3A" w:rsidRPr="00553B84" w:rsidRDefault="00C82E3A"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rPr>
            </w:pPr>
            <w:r>
              <w:rPr>
                <w:rFonts w:asciiTheme="minorBidi" w:hAnsiTheme="minorBidi"/>
                <w:sz w:val="20"/>
              </w:rPr>
              <w:t>Examen des projets d</w:t>
            </w:r>
            <w:r w:rsidR="007C6BDF">
              <w:rPr>
                <w:rFonts w:asciiTheme="minorBidi" w:hAnsiTheme="minorBidi"/>
                <w:sz w:val="20"/>
              </w:rPr>
              <w:t>’</w:t>
            </w:r>
            <w:r>
              <w:rPr>
                <w:rFonts w:asciiTheme="minorBidi" w:hAnsiTheme="minorBidi"/>
                <w:sz w:val="20"/>
              </w:rPr>
              <w:t xml:space="preserve">amendements aux </w:t>
            </w:r>
            <w:r w:rsidR="001C0F89">
              <w:rPr>
                <w:rFonts w:asciiTheme="minorBidi" w:hAnsiTheme="minorBidi"/>
                <w:sz w:val="20"/>
              </w:rPr>
              <w:t>D</w:t>
            </w:r>
            <w:r>
              <w:rPr>
                <w:rFonts w:asciiTheme="minorBidi" w:hAnsiTheme="minorBidi"/>
                <w:sz w:val="20"/>
              </w:rPr>
              <w:t xml:space="preserve">irectives opérationnelles sur la proposition de rationalisation des cycles </w:t>
            </w:r>
            <w:r w:rsidR="007E1FE1">
              <w:rPr>
                <w:rFonts w:asciiTheme="minorBidi" w:hAnsiTheme="minorBidi"/>
                <w:sz w:val="20"/>
              </w:rPr>
              <w:t xml:space="preserve">de soumission </w:t>
            </w:r>
            <w:r>
              <w:rPr>
                <w:rFonts w:asciiTheme="minorBidi" w:hAnsiTheme="minorBidi"/>
                <w:sz w:val="20"/>
              </w:rPr>
              <w:t>des rapports périodiques</w:t>
            </w:r>
          </w:p>
          <w:p w14:paraId="36C7C4AD" w14:textId="44715827" w:rsidR="00C82E3A" w:rsidRPr="00553B84" w:rsidRDefault="00C82E3A"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rPr>
            </w:pPr>
            <w:r>
              <w:rPr>
                <w:rFonts w:asciiTheme="minorBidi" w:hAnsiTheme="minorBidi"/>
                <w:sz w:val="20"/>
              </w:rPr>
              <w:t>Présentation des sections de la première édition du Rapport mondial sur les politiques culturelles relatives à la Convention de 2003</w:t>
            </w:r>
          </w:p>
        </w:tc>
      </w:tr>
      <w:tr w:rsidR="00C82E3A" w:rsidRPr="00A77C74" w14:paraId="3B2F34A9" w14:textId="77777777" w:rsidTr="0036040E">
        <w:tc>
          <w:tcPr>
            <w:tcW w:w="851" w:type="dxa"/>
          </w:tcPr>
          <w:p w14:paraId="73732C03" w14:textId="77777777" w:rsidR="00C82E3A" w:rsidRPr="00553B84" w:rsidRDefault="00C82E3A" w:rsidP="00407E38">
            <w:pPr>
              <w:pStyle w:val="Marge"/>
              <w:spacing w:beforeLines="20" w:before="48" w:after="0"/>
              <w:rPr>
                <w:rFonts w:asciiTheme="minorBidi" w:hAnsiTheme="minorBidi" w:cstheme="minorBidi"/>
                <w:b/>
                <w:bCs/>
                <w:sz w:val="20"/>
                <w:szCs w:val="20"/>
              </w:rPr>
            </w:pPr>
            <w:r>
              <w:rPr>
                <w:rFonts w:asciiTheme="minorBidi" w:hAnsiTheme="minorBidi"/>
                <w:b/>
                <w:sz w:val="20"/>
              </w:rPr>
              <w:t>2026</w:t>
            </w:r>
          </w:p>
        </w:tc>
        <w:tc>
          <w:tcPr>
            <w:tcW w:w="8215" w:type="dxa"/>
          </w:tcPr>
          <w:p w14:paraId="246C6E2C" w14:textId="74478203" w:rsidR="00C82E3A" w:rsidRPr="00553B84" w:rsidRDefault="00C82E3A" w:rsidP="00407E38">
            <w:pPr>
              <w:pStyle w:val="Marge"/>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Onzième session de l</w:t>
            </w:r>
            <w:r w:rsidR="007C6BDF">
              <w:rPr>
                <w:rFonts w:asciiTheme="minorBidi" w:hAnsiTheme="minorBidi"/>
                <w:b/>
                <w:color w:val="365F91" w:themeColor="accent1" w:themeShade="BF"/>
                <w:sz w:val="20"/>
              </w:rPr>
              <w:t>’</w:t>
            </w:r>
            <w:r>
              <w:rPr>
                <w:rFonts w:asciiTheme="minorBidi" w:hAnsiTheme="minorBidi"/>
                <w:b/>
                <w:color w:val="365F91" w:themeColor="accent1" w:themeShade="BF"/>
                <w:sz w:val="20"/>
              </w:rPr>
              <w:t>Assemblée générale (mi-2026)</w:t>
            </w:r>
          </w:p>
          <w:p w14:paraId="6ECB43DB" w14:textId="101395F9" w:rsidR="00C82E3A" w:rsidRPr="00553B84" w:rsidRDefault="00C82E3A" w:rsidP="00407E38">
            <w:pPr>
              <w:pStyle w:val="Marge"/>
              <w:tabs>
                <w:tab w:val="clear" w:pos="567"/>
                <w:tab w:val="left" w:pos="178"/>
              </w:tabs>
              <w:spacing w:beforeLines="20" w:before="48" w:after="0"/>
              <w:rPr>
                <w:rFonts w:asciiTheme="minorBidi" w:hAnsiTheme="minorBidi" w:cstheme="minorBidi"/>
                <w:sz w:val="20"/>
                <w:szCs w:val="20"/>
              </w:rPr>
            </w:pPr>
            <w:r>
              <w:rPr>
                <w:rFonts w:asciiTheme="minorBidi" w:hAnsiTheme="minorBidi"/>
                <w:sz w:val="20"/>
              </w:rPr>
              <w:t>Examen des projets d</w:t>
            </w:r>
            <w:r w:rsidR="007C6BDF">
              <w:rPr>
                <w:rFonts w:asciiTheme="minorBidi" w:hAnsiTheme="minorBidi"/>
                <w:sz w:val="20"/>
              </w:rPr>
              <w:t>’</w:t>
            </w:r>
            <w:r>
              <w:rPr>
                <w:rFonts w:asciiTheme="minorBidi" w:hAnsiTheme="minorBidi"/>
                <w:sz w:val="20"/>
              </w:rPr>
              <w:t xml:space="preserve">amendements aux </w:t>
            </w:r>
            <w:r w:rsidR="003C4E4A">
              <w:rPr>
                <w:rFonts w:asciiTheme="minorBidi" w:hAnsiTheme="minorBidi"/>
                <w:sz w:val="20"/>
              </w:rPr>
              <w:t>D</w:t>
            </w:r>
            <w:r>
              <w:rPr>
                <w:rFonts w:asciiTheme="minorBidi" w:hAnsiTheme="minorBidi"/>
                <w:sz w:val="20"/>
              </w:rPr>
              <w:t xml:space="preserve">irectives opérationnelles sur la proposition de rationalisation des cycles </w:t>
            </w:r>
            <w:r w:rsidR="007E1FE1">
              <w:rPr>
                <w:rFonts w:asciiTheme="minorBidi" w:hAnsiTheme="minorBidi"/>
                <w:sz w:val="20"/>
              </w:rPr>
              <w:t xml:space="preserve">de soumission </w:t>
            </w:r>
            <w:r>
              <w:rPr>
                <w:rFonts w:asciiTheme="minorBidi" w:hAnsiTheme="minorBidi"/>
                <w:sz w:val="20"/>
              </w:rPr>
              <w:t>des rapports périodiques</w:t>
            </w:r>
          </w:p>
          <w:p w14:paraId="06F71968" w14:textId="0C16DBF0" w:rsidR="00C82E3A" w:rsidRPr="00553B84" w:rsidRDefault="00C40753" w:rsidP="006C03CE">
            <w:pPr>
              <w:pStyle w:val="Marge"/>
              <w:adjustRightInd w:val="0"/>
              <w:spacing w:before="120"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Année de réflexion</w:t>
            </w:r>
          </w:p>
          <w:p w14:paraId="4876953B" w14:textId="2E8648B4" w:rsidR="00C40753" w:rsidRPr="00553B84" w:rsidRDefault="00C40753" w:rsidP="00C40753">
            <w:pPr>
              <w:pStyle w:val="Marge"/>
              <w:spacing w:beforeLines="20" w:before="48" w:after="0"/>
              <w:rPr>
                <w:rFonts w:asciiTheme="minorBidi" w:hAnsiTheme="minorBidi" w:cstheme="minorBidi"/>
                <w:sz w:val="20"/>
                <w:szCs w:val="20"/>
              </w:rPr>
            </w:pPr>
            <w:r>
              <w:rPr>
                <w:rFonts w:asciiTheme="minorBidi" w:hAnsiTheme="minorBidi"/>
                <w:sz w:val="20"/>
              </w:rPr>
              <w:t xml:space="preserve">Une réunion mondiale en présentiel (à confirmer) pour </w:t>
            </w:r>
            <w:r w:rsidR="003C4E4A">
              <w:rPr>
                <w:rFonts w:asciiTheme="minorBidi" w:hAnsiTheme="minorBidi"/>
                <w:sz w:val="20"/>
              </w:rPr>
              <w:t>identifier les leçons apprises</w:t>
            </w:r>
            <w:r>
              <w:rPr>
                <w:rFonts w:asciiTheme="minorBidi" w:hAnsiTheme="minorBidi"/>
                <w:sz w:val="20"/>
              </w:rPr>
              <w:t xml:space="preserve"> et discuter de la simplification d</w:t>
            </w:r>
            <w:r w:rsidR="003C4E4A">
              <w:rPr>
                <w:rFonts w:asciiTheme="minorBidi" w:hAnsiTheme="minorBidi"/>
                <w:sz w:val="20"/>
              </w:rPr>
              <w:t>es</w:t>
            </w:r>
            <w:r>
              <w:rPr>
                <w:rFonts w:asciiTheme="minorBidi" w:hAnsiTheme="minorBidi"/>
                <w:sz w:val="20"/>
              </w:rPr>
              <w:t xml:space="preserve"> formulaire</w:t>
            </w:r>
            <w:r w:rsidR="003C4E4A">
              <w:rPr>
                <w:rFonts w:asciiTheme="minorBidi" w:hAnsiTheme="minorBidi"/>
                <w:sz w:val="20"/>
              </w:rPr>
              <w:t>s</w:t>
            </w:r>
          </w:p>
          <w:p w14:paraId="7B94DF8D" w14:textId="7018F970" w:rsidR="00C40753" w:rsidRPr="00553B84" w:rsidRDefault="00C40753" w:rsidP="006C03CE">
            <w:pPr>
              <w:pStyle w:val="Marge"/>
              <w:spacing w:before="120"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Approche du renforcement des capacités</w:t>
            </w:r>
          </w:p>
          <w:p w14:paraId="50964D2C" w14:textId="6EDE8312" w:rsidR="00C82E3A" w:rsidRDefault="00C82E3A" w:rsidP="003C6FDB">
            <w:pPr>
              <w:pStyle w:val="Marge"/>
              <w:numPr>
                <w:ilvl w:val="0"/>
                <w:numId w:val="10"/>
              </w:numPr>
              <w:tabs>
                <w:tab w:val="clear" w:pos="567"/>
                <w:tab w:val="left" w:pos="178"/>
              </w:tabs>
              <w:spacing w:beforeLines="20" w:before="48" w:after="0"/>
              <w:ind w:left="462" w:hanging="284"/>
              <w:rPr>
                <w:rFonts w:asciiTheme="minorBidi" w:hAnsiTheme="minorBidi"/>
                <w:sz w:val="20"/>
              </w:rPr>
            </w:pPr>
            <w:r>
              <w:rPr>
                <w:rFonts w:asciiTheme="minorBidi" w:hAnsiTheme="minorBidi"/>
                <w:sz w:val="20"/>
              </w:rPr>
              <w:t>Partage d</w:t>
            </w:r>
            <w:r w:rsidR="007C6BDF">
              <w:rPr>
                <w:rFonts w:asciiTheme="minorBidi" w:hAnsiTheme="minorBidi"/>
                <w:sz w:val="20"/>
              </w:rPr>
              <w:t>’</w:t>
            </w:r>
            <w:r>
              <w:rPr>
                <w:rFonts w:asciiTheme="minorBidi" w:hAnsiTheme="minorBidi"/>
                <w:sz w:val="20"/>
              </w:rPr>
              <w:t>informations avec toutes les régions et lancement du processus de renforcement des capacités</w:t>
            </w:r>
          </w:p>
          <w:p w14:paraId="069D074E" w14:textId="086B972D" w:rsidR="003C4E4A" w:rsidRPr="00553B84" w:rsidRDefault="003C4E4A" w:rsidP="003C6FDB">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rPr>
            </w:pPr>
            <w:r>
              <w:rPr>
                <w:rFonts w:asciiTheme="minorBidi" w:hAnsiTheme="minorBidi" w:cstheme="minorBidi"/>
                <w:sz w:val="20"/>
              </w:rPr>
              <w:t>Mise en place du portail intégré de données culturelles</w:t>
            </w:r>
          </w:p>
          <w:p w14:paraId="311B7923" w14:textId="3378DD99" w:rsidR="00C82E3A" w:rsidRPr="00553B84" w:rsidRDefault="00C82E3A" w:rsidP="006C03CE">
            <w:pPr>
              <w:pStyle w:val="Marge"/>
              <w:spacing w:before="120"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lastRenderedPageBreak/>
              <w:t>Vingt et unième session du Comité (novembre/décembre 2026)</w:t>
            </w:r>
          </w:p>
          <w:p w14:paraId="0602F9A0" w14:textId="709FE3ED" w:rsidR="00C82E3A" w:rsidRPr="00553B84" w:rsidRDefault="00C82E3A" w:rsidP="003C6FDB">
            <w:pPr>
              <w:pStyle w:val="Marge"/>
              <w:tabs>
                <w:tab w:val="clear" w:pos="567"/>
                <w:tab w:val="left" w:pos="178"/>
              </w:tabs>
              <w:spacing w:beforeLines="20" w:before="48" w:after="0"/>
              <w:rPr>
                <w:rFonts w:asciiTheme="minorBidi" w:hAnsiTheme="minorBidi" w:cstheme="minorBidi"/>
                <w:sz w:val="20"/>
                <w:szCs w:val="20"/>
              </w:rPr>
            </w:pPr>
            <w:r>
              <w:rPr>
                <w:rFonts w:asciiTheme="minorBidi" w:hAnsiTheme="minorBidi"/>
                <w:sz w:val="20"/>
              </w:rPr>
              <w:t>Point sur l</w:t>
            </w:r>
            <w:r w:rsidR="007C6BDF">
              <w:rPr>
                <w:rFonts w:asciiTheme="minorBidi" w:hAnsiTheme="minorBidi"/>
                <w:sz w:val="20"/>
              </w:rPr>
              <w:t>’</w:t>
            </w:r>
            <w:r>
              <w:rPr>
                <w:rFonts w:asciiTheme="minorBidi" w:hAnsiTheme="minorBidi"/>
                <w:sz w:val="20"/>
              </w:rPr>
              <w:t>exercice de rapport périodique</w:t>
            </w:r>
          </w:p>
        </w:tc>
      </w:tr>
      <w:tr w:rsidR="00C82E3A" w:rsidRPr="00A77C74" w14:paraId="3666445A" w14:textId="77777777" w:rsidTr="0036040E">
        <w:tc>
          <w:tcPr>
            <w:tcW w:w="851" w:type="dxa"/>
            <w:vMerge w:val="restart"/>
          </w:tcPr>
          <w:p w14:paraId="1D040074" w14:textId="77777777" w:rsidR="00C82E3A" w:rsidRPr="00553B84" w:rsidRDefault="00C82E3A" w:rsidP="00407E38">
            <w:pPr>
              <w:pStyle w:val="Marge"/>
              <w:spacing w:beforeLines="20" w:before="48" w:after="0"/>
              <w:rPr>
                <w:rFonts w:asciiTheme="minorBidi" w:hAnsiTheme="minorBidi" w:cstheme="minorBidi"/>
                <w:b/>
                <w:bCs/>
                <w:sz w:val="20"/>
                <w:szCs w:val="20"/>
              </w:rPr>
            </w:pPr>
            <w:r>
              <w:rPr>
                <w:rFonts w:asciiTheme="minorBidi" w:hAnsiTheme="minorBidi"/>
                <w:b/>
                <w:sz w:val="20"/>
              </w:rPr>
              <w:lastRenderedPageBreak/>
              <w:t>2027</w:t>
            </w:r>
          </w:p>
        </w:tc>
        <w:tc>
          <w:tcPr>
            <w:tcW w:w="8215" w:type="dxa"/>
          </w:tcPr>
          <w:p w14:paraId="3D921970" w14:textId="77777777" w:rsidR="00C82E3A" w:rsidRPr="00553B84" w:rsidRDefault="00C82E3A" w:rsidP="006C03CE">
            <w:pPr>
              <w:pStyle w:val="Marge"/>
              <w:keepNext/>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Premier semestre</w:t>
            </w:r>
          </w:p>
          <w:p w14:paraId="1D2C6DBF" w14:textId="09263D25" w:rsidR="00B15868" w:rsidRPr="00553B84" w:rsidRDefault="00B15868" w:rsidP="006C03CE">
            <w:pPr>
              <w:pStyle w:val="Marge"/>
              <w:keepNext/>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Approche du renforcement des capacités</w:t>
            </w:r>
          </w:p>
          <w:p w14:paraId="28E6B97A" w14:textId="3A1192D7" w:rsidR="00C82E3A" w:rsidRPr="00553B84" w:rsidRDefault="007A1A6F" w:rsidP="006C03CE">
            <w:pPr>
              <w:pStyle w:val="Marge"/>
              <w:keepNext/>
              <w:spacing w:beforeLines="20" w:before="48" w:after="0"/>
              <w:rPr>
                <w:rFonts w:asciiTheme="minorBidi" w:hAnsiTheme="minorBidi" w:cstheme="minorBidi"/>
                <w:b/>
                <w:bCs/>
                <w:sz w:val="20"/>
                <w:szCs w:val="20"/>
              </w:rPr>
            </w:pPr>
            <w:r>
              <w:rPr>
                <w:rFonts w:asciiTheme="minorBidi" w:hAnsiTheme="minorBidi"/>
                <w:sz w:val="20"/>
              </w:rPr>
              <w:t>Partage d</w:t>
            </w:r>
            <w:r w:rsidR="007C6BDF">
              <w:rPr>
                <w:rFonts w:asciiTheme="minorBidi" w:hAnsiTheme="minorBidi"/>
                <w:sz w:val="20"/>
              </w:rPr>
              <w:t>’</w:t>
            </w:r>
            <w:r>
              <w:rPr>
                <w:rFonts w:asciiTheme="minorBidi" w:hAnsiTheme="minorBidi"/>
                <w:sz w:val="20"/>
              </w:rPr>
              <w:t>informations et poursuite du processus de renforcement des capacités</w:t>
            </w:r>
          </w:p>
        </w:tc>
      </w:tr>
      <w:tr w:rsidR="00C82E3A" w:rsidRPr="00A77C74" w14:paraId="08DFCC8E" w14:textId="77777777" w:rsidTr="0036040E">
        <w:trPr>
          <w:trHeight w:val="469"/>
        </w:trPr>
        <w:tc>
          <w:tcPr>
            <w:tcW w:w="851" w:type="dxa"/>
            <w:vMerge/>
          </w:tcPr>
          <w:p w14:paraId="0C591208" w14:textId="77777777" w:rsidR="00C82E3A" w:rsidRPr="007C6BDF" w:rsidRDefault="00C82E3A" w:rsidP="00407E38">
            <w:pPr>
              <w:pStyle w:val="Marge"/>
              <w:spacing w:beforeLines="20" w:before="48" w:after="0"/>
              <w:rPr>
                <w:rFonts w:asciiTheme="minorBidi" w:hAnsiTheme="minorBidi" w:cstheme="minorBidi"/>
                <w:b/>
                <w:bCs/>
                <w:sz w:val="20"/>
                <w:szCs w:val="20"/>
              </w:rPr>
            </w:pPr>
          </w:p>
        </w:tc>
        <w:tc>
          <w:tcPr>
            <w:tcW w:w="8215" w:type="dxa"/>
            <w:shd w:val="clear" w:color="auto" w:fill="F2DBDB" w:themeFill="accent2" w:themeFillTint="33"/>
          </w:tcPr>
          <w:p w14:paraId="50156E82" w14:textId="20182DD6" w:rsidR="00C82E3A" w:rsidRPr="00553B84" w:rsidRDefault="00C82E3A" w:rsidP="00407E38">
            <w:pPr>
              <w:pStyle w:val="Marge"/>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30</w:t>
            </w:r>
            <w:r w:rsidR="007C6BDF">
              <w:rPr>
                <w:rFonts w:asciiTheme="minorBidi" w:hAnsiTheme="minorBidi"/>
                <w:b/>
                <w:color w:val="365F91" w:themeColor="accent1" w:themeShade="BF"/>
                <w:sz w:val="20"/>
              </w:rPr>
              <w:t> </w:t>
            </w:r>
            <w:r>
              <w:rPr>
                <w:rFonts w:asciiTheme="minorBidi" w:hAnsiTheme="minorBidi"/>
                <w:b/>
                <w:color w:val="365F91" w:themeColor="accent1" w:themeShade="BF"/>
                <w:sz w:val="20"/>
              </w:rPr>
              <w:t>juin 2027</w:t>
            </w:r>
          </w:p>
          <w:p w14:paraId="613D5481" w14:textId="0065B948" w:rsidR="00C82E3A" w:rsidRPr="00553B84" w:rsidRDefault="003C4E4A" w:rsidP="00407E38">
            <w:pPr>
              <w:pStyle w:val="Marge"/>
              <w:spacing w:beforeLines="20" w:before="48" w:after="0"/>
              <w:rPr>
                <w:rFonts w:asciiTheme="minorBidi" w:hAnsiTheme="minorBidi" w:cstheme="minorBidi"/>
                <w:sz w:val="20"/>
                <w:szCs w:val="20"/>
              </w:rPr>
            </w:pPr>
            <w:r>
              <w:rPr>
                <w:rFonts w:asciiTheme="minorBidi" w:hAnsiTheme="minorBidi"/>
                <w:sz w:val="20"/>
              </w:rPr>
              <w:t xml:space="preserve">Soumission </w:t>
            </w:r>
            <w:r w:rsidR="00C82E3A">
              <w:rPr>
                <w:rFonts w:asciiTheme="minorBidi" w:hAnsiTheme="minorBidi"/>
                <w:sz w:val="20"/>
              </w:rPr>
              <w:t xml:space="preserve">unique des rapports périodiques </w:t>
            </w:r>
            <w:r>
              <w:rPr>
                <w:rFonts w:asciiTheme="minorBidi" w:hAnsiTheme="minorBidi"/>
                <w:sz w:val="20"/>
              </w:rPr>
              <w:t>à l’échelle</w:t>
            </w:r>
            <w:r w:rsidR="00C82E3A">
              <w:rPr>
                <w:rFonts w:asciiTheme="minorBidi" w:hAnsiTheme="minorBidi"/>
                <w:sz w:val="20"/>
              </w:rPr>
              <w:t xml:space="preserve"> mondial</w:t>
            </w:r>
            <w:r>
              <w:rPr>
                <w:rFonts w:asciiTheme="minorBidi" w:hAnsiTheme="minorBidi"/>
                <w:sz w:val="20"/>
              </w:rPr>
              <w:t>e</w:t>
            </w:r>
          </w:p>
        </w:tc>
      </w:tr>
      <w:tr w:rsidR="00C82E3A" w:rsidRPr="00A77C74" w14:paraId="5F1DDDF4" w14:textId="77777777" w:rsidTr="0036040E">
        <w:tc>
          <w:tcPr>
            <w:tcW w:w="851" w:type="dxa"/>
            <w:vMerge/>
          </w:tcPr>
          <w:p w14:paraId="0CB72873" w14:textId="77777777" w:rsidR="00C82E3A" w:rsidRPr="007C6BDF" w:rsidRDefault="00C82E3A" w:rsidP="00407E38">
            <w:pPr>
              <w:pStyle w:val="Marge"/>
              <w:spacing w:beforeLines="20" w:before="48" w:after="0"/>
              <w:rPr>
                <w:rFonts w:asciiTheme="minorBidi" w:hAnsiTheme="minorBidi" w:cstheme="minorBidi"/>
                <w:b/>
                <w:bCs/>
                <w:sz w:val="20"/>
                <w:szCs w:val="20"/>
              </w:rPr>
            </w:pPr>
          </w:p>
        </w:tc>
        <w:tc>
          <w:tcPr>
            <w:tcW w:w="8215" w:type="dxa"/>
          </w:tcPr>
          <w:p w14:paraId="73E71C5F" w14:textId="4E98229A" w:rsidR="003C66D1" w:rsidRPr="00553B84" w:rsidRDefault="003C66D1" w:rsidP="003C66D1">
            <w:pPr>
              <w:pStyle w:val="Marge"/>
              <w:keepNext/>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Deuxième semestre</w:t>
            </w:r>
          </w:p>
          <w:p w14:paraId="32D30602" w14:textId="5A6D2515" w:rsidR="00991040" w:rsidRPr="007E1FE1" w:rsidRDefault="003C66D1" w:rsidP="007E1FE1">
            <w:pPr>
              <w:pStyle w:val="Marge"/>
              <w:spacing w:beforeLines="20" w:before="48" w:after="0"/>
              <w:rPr>
                <w:rFonts w:asciiTheme="minorBidi" w:hAnsiTheme="minorBidi" w:cstheme="minorBidi"/>
                <w:sz w:val="20"/>
                <w:szCs w:val="20"/>
              </w:rPr>
            </w:pPr>
            <w:r>
              <w:rPr>
                <w:rFonts w:asciiTheme="minorBidi" w:hAnsiTheme="minorBidi"/>
                <w:sz w:val="20"/>
              </w:rPr>
              <w:t xml:space="preserve">Analyse des rapports périodiques </w:t>
            </w:r>
            <w:proofErr w:type="gramStart"/>
            <w:r>
              <w:rPr>
                <w:rFonts w:asciiTheme="minorBidi" w:hAnsiTheme="minorBidi"/>
                <w:sz w:val="20"/>
              </w:rPr>
              <w:t xml:space="preserve">suite </w:t>
            </w:r>
            <w:r w:rsidR="003C4E4A">
              <w:rPr>
                <w:rFonts w:asciiTheme="minorBidi" w:hAnsiTheme="minorBidi"/>
                <w:sz w:val="20"/>
              </w:rPr>
              <w:t>à</w:t>
            </w:r>
            <w:proofErr w:type="gramEnd"/>
            <w:r w:rsidR="003C4E4A">
              <w:rPr>
                <w:rFonts w:asciiTheme="minorBidi" w:hAnsiTheme="minorBidi"/>
                <w:sz w:val="20"/>
              </w:rPr>
              <w:t xml:space="preserve"> la soumission</w:t>
            </w:r>
            <w:r>
              <w:rPr>
                <w:rFonts w:asciiTheme="minorBidi" w:hAnsiTheme="minorBidi"/>
                <w:sz w:val="20"/>
              </w:rPr>
              <w:t xml:space="preserve"> unique </w:t>
            </w:r>
            <w:r w:rsidR="003C4E4A">
              <w:rPr>
                <w:rFonts w:asciiTheme="minorBidi" w:hAnsiTheme="minorBidi"/>
                <w:sz w:val="20"/>
              </w:rPr>
              <w:t>des rapports périodiques</w:t>
            </w:r>
            <w:r w:rsidR="003C4E4A" w:rsidDel="003C4E4A">
              <w:rPr>
                <w:rFonts w:asciiTheme="minorBidi" w:hAnsiTheme="minorBidi"/>
                <w:sz w:val="20"/>
              </w:rPr>
              <w:t xml:space="preserve"> </w:t>
            </w:r>
            <w:r w:rsidR="003C4E4A">
              <w:rPr>
                <w:rFonts w:asciiTheme="minorBidi" w:hAnsiTheme="minorBidi"/>
                <w:sz w:val="20"/>
              </w:rPr>
              <w:t xml:space="preserve">à l’échelle </w:t>
            </w:r>
            <w:r>
              <w:rPr>
                <w:rFonts w:asciiTheme="minorBidi" w:hAnsiTheme="minorBidi"/>
                <w:sz w:val="20"/>
              </w:rPr>
              <w:t>mondial</w:t>
            </w:r>
            <w:r w:rsidR="003C4E4A">
              <w:rPr>
                <w:rFonts w:asciiTheme="minorBidi" w:hAnsiTheme="minorBidi"/>
                <w:sz w:val="20"/>
              </w:rPr>
              <w:t>e</w:t>
            </w:r>
            <w:r>
              <w:rPr>
                <w:rFonts w:asciiTheme="minorBidi" w:hAnsiTheme="minorBidi"/>
                <w:sz w:val="20"/>
              </w:rPr>
              <w:t xml:space="preserve"> </w:t>
            </w:r>
          </w:p>
          <w:p w14:paraId="6997747B" w14:textId="0B03FB79" w:rsidR="00C82E3A" w:rsidRPr="00553B84" w:rsidRDefault="00C82E3A" w:rsidP="00407E38">
            <w:pPr>
              <w:pStyle w:val="Marge"/>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Vingt-deuxième session du Comité (novembre/décembre 2027)</w:t>
            </w:r>
          </w:p>
          <w:p w14:paraId="725C6F11" w14:textId="53419913" w:rsidR="00C82E3A" w:rsidRPr="00553B84" w:rsidRDefault="00C82E3A" w:rsidP="003C6FDB">
            <w:pPr>
              <w:pStyle w:val="Marge"/>
              <w:tabs>
                <w:tab w:val="clear" w:pos="567"/>
                <w:tab w:val="left" w:pos="178"/>
              </w:tabs>
              <w:spacing w:beforeLines="20" w:before="48" w:after="0"/>
              <w:rPr>
                <w:rFonts w:asciiTheme="minorBidi" w:hAnsiTheme="minorBidi" w:cstheme="minorBidi"/>
                <w:b/>
                <w:bCs/>
                <w:color w:val="365F91" w:themeColor="accent1" w:themeShade="BF"/>
                <w:sz w:val="20"/>
                <w:szCs w:val="20"/>
              </w:rPr>
            </w:pPr>
            <w:r>
              <w:rPr>
                <w:rFonts w:asciiTheme="minorBidi" w:hAnsiTheme="minorBidi"/>
                <w:sz w:val="20"/>
              </w:rPr>
              <w:t>Point sur l</w:t>
            </w:r>
            <w:r w:rsidR="007C6BDF">
              <w:rPr>
                <w:rFonts w:asciiTheme="minorBidi" w:hAnsiTheme="minorBidi"/>
                <w:sz w:val="20"/>
              </w:rPr>
              <w:t>’</w:t>
            </w:r>
            <w:r>
              <w:rPr>
                <w:rFonts w:asciiTheme="minorBidi" w:hAnsiTheme="minorBidi"/>
                <w:sz w:val="20"/>
              </w:rPr>
              <w:t>exercice de rapport périodique</w:t>
            </w:r>
          </w:p>
        </w:tc>
      </w:tr>
      <w:tr w:rsidR="00C82E3A" w:rsidRPr="00A77C74" w14:paraId="6060AF8C" w14:textId="77777777" w:rsidTr="0036040E">
        <w:trPr>
          <w:trHeight w:val="56"/>
        </w:trPr>
        <w:tc>
          <w:tcPr>
            <w:tcW w:w="851" w:type="dxa"/>
          </w:tcPr>
          <w:p w14:paraId="17D8C05F" w14:textId="77777777" w:rsidR="00C82E3A" w:rsidRPr="00553B84" w:rsidRDefault="00C82E3A" w:rsidP="00407E38">
            <w:pPr>
              <w:pStyle w:val="Marge"/>
              <w:spacing w:beforeLines="20" w:before="48" w:after="0"/>
              <w:rPr>
                <w:rFonts w:asciiTheme="minorBidi" w:hAnsiTheme="minorBidi" w:cstheme="minorBidi"/>
                <w:b/>
                <w:bCs/>
                <w:sz w:val="20"/>
                <w:szCs w:val="20"/>
              </w:rPr>
            </w:pPr>
            <w:r>
              <w:rPr>
                <w:rFonts w:asciiTheme="minorBidi" w:hAnsiTheme="minorBidi"/>
                <w:b/>
                <w:sz w:val="20"/>
              </w:rPr>
              <w:t>2028</w:t>
            </w:r>
          </w:p>
        </w:tc>
        <w:tc>
          <w:tcPr>
            <w:tcW w:w="8215" w:type="dxa"/>
            <w:shd w:val="clear" w:color="auto" w:fill="FFFFFF" w:themeFill="background1"/>
          </w:tcPr>
          <w:p w14:paraId="7158B11C" w14:textId="7AB00098" w:rsidR="00C82E3A" w:rsidRPr="00553B84" w:rsidRDefault="00C82E3A" w:rsidP="00407E38">
            <w:pPr>
              <w:pStyle w:val="Marge"/>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Tout au long de l</w:t>
            </w:r>
            <w:r w:rsidR="007C6BDF">
              <w:rPr>
                <w:rFonts w:asciiTheme="minorBidi" w:hAnsiTheme="minorBidi"/>
                <w:b/>
                <w:color w:val="365F91" w:themeColor="accent1" w:themeShade="BF"/>
                <w:sz w:val="20"/>
              </w:rPr>
              <w:t>’</w:t>
            </w:r>
            <w:r>
              <w:rPr>
                <w:rFonts w:asciiTheme="minorBidi" w:hAnsiTheme="minorBidi"/>
                <w:b/>
                <w:color w:val="365F91" w:themeColor="accent1" w:themeShade="BF"/>
                <w:sz w:val="20"/>
              </w:rPr>
              <w:t>année</w:t>
            </w:r>
          </w:p>
          <w:p w14:paraId="7A9ABAAF" w14:textId="2834763D" w:rsidR="00B15868" w:rsidRPr="007E1FE1" w:rsidRDefault="00C82E3A" w:rsidP="007E1FE1">
            <w:pPr>
              <w:pStyle w:val="Marge"/>
              <w:spacing w:beforeLines="20" w:before="48" w:after="0"/>
              <w:rPr>
                <w:rFonts w:asciiTheme="minorBidi" w:hAnsiTheme="minorBidi" w:cstheme="minorBidi"/>
                <w:sz w:val="20"/>
                <w:szCs w:val="20"/>
              </w:rPr>
            </w:pPr>
            <w:r>
              <w:rPr>
                <w:rFonts w:asciiTheme="minorBidi" w:hAnsiTheme="minorBidi"/>
                <w:sz w:val="20"/>
              </w:rPr>
              <w:t xml:space="preserve">Analyse des rapports périodiques </w:t>
            </w:r>
            <w:proofErr w:type="gramStart"/>
            <w:r>
              <w:rPr>
                <w:rFonts w:asciiTheme="minorBidi" w:hAnsiTheme="minorBidi"/>
                <w:sz w:val="20"/>
              </w:rPr>
              <w:t xml:space="preserve">suite </w:t>
            </w:r>
            <w:r w:rsidR="003C4E4A">
              <w:rPr>
                <w:rFonts w:asciiTheme="minorBidi" w:hAnsiTheme="minorBidi"/>
                <w:sz w:val="20"/>
              </w:rPr>
              <w:t>à</w:t>
            </w:r>
            <w:proofErr w:type="gramEnd"/>
            <w:r w:rsidR="003C4E4A">
              <w:rPr>
                <w:rFonts w:asciiTheme="minorBidi" w:hAnsiTheme="minorBidi"/>
                <w:sz w:val="20"/>
              </w:rPr>
              <w:t xml:space="preserve"> la soumission</w:t>
            </w:r>
            <w:r>
              <w:rPr>
                <w:rFonts w:asciiTheme="minorBidi" w:hAnsiTheme="minorBidi"/>
                <w:sz w:val="20"/>
              </w:rPr>
              <w:t xml:space="preserve"> unique </w:t>
            </w:r>
            <w:r w:rsidR="003C4E4A">
              <w:rPr>
                <w:rFonts w:asciiTheme="minorBidi" w:hAnsiTheme="minorBidi"/>
                <w:sz w:val="20"/>
              </w:rPr>
              <w:t>des rapports périodiques à l’échelle</w:t>
            </w:r>
            <w:r>
              <w:rPr>
                <w:rFonts w:asciiTheme="minorBidi" w:hAnsiTheme="minorBidi"/>
                <w:sz w:val="20"/>
              </w:rPr>
              <w:t xml:space="preserve"> mondial</w:t>
            </w:r>
            <w:r w:rsidR="003C4E4A">
              <w:rPr>
                <w:rFonts w:asciiTheme="minorBidi" w:hAnsiTheme="minorBidi"/>
                <w:sz w:val="20"/>
              </w:rPr>
              <w:t>e</w:t>
            </w:r>
            <w:r>
              <w:rPr>
                <w:rFonts w:asciiTheme="minorBidi" w:hAnsiTheme="minorBidi"/>
                <w:sz w:val="20"/>
              </w:rPr>
              <w:t xml:space="preserve"> </w:t>
            </w:r>
          </w:p>
          <w:p w14:paraId="0347B7F5" w14:textId="0F062A8A" w:rsidR="00C82E3A" w:rsidRPr="00553B84" w:rsidRDefault="00C82E3A" w:rsidP="00407E38">
            <w:pPr>
              <w:pStyle w:val="Marge"/>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Vingt-troisième session du Comité (novembre/décembre 2028)</w:t>
            </w:r>
          </w:p>
          <w:p w14:paraId="1CCE3B67" w14:textId="79D23456" w:rsidR="00C82E3A" w:rsidRPr="00553B84" w:rsidRDefault="00C82E3A"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rPr>
            </w:pPr>
            <w:r>
              <w:rPr>
                <w:rFonts w:asciiTheme="minorBidi" w:hAnsiTheme="minorBidi"/>
                <w:sz w:val="20"/>
              </w:rPr>
              <w:t>Point sur l</w:t>
            </w:r>
            <w:r w:rsidR="007C6BDF">
              <w:rPr>
                <w:rFonts w:asciiTheme="minorBidi" w:hAnsiTheme="minorBidi"/>
                <w:sz w:val="20"/>
              </w:rPr>
              <w:t>’</w:t>
            </w:r>
            <w:r>
              <w:rPr>
                <w:rFonts w:asciiTheme="minorBidi" w:hAnsiTheme="minorBidi"/>
                <w:sz w:val="20"/>
              </w:rPr>
              <w:t>exercice de rapport périodique</w:t>
            </w:r>
          </w:p>
          <w:p w14:paraId="7168E687" w14:textId="5A430F1B" w:rsidR="003C66D1" w:rsidRPr="00553B84" w:rsidRDefault="003C66D1" w:rsidP="00407E38">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rPr>
            </w:pPr>
            <w:r>
              <w:rPr>
                <w:rFonts w:asciiTheme="minorBidi" w:hAnsiTheme="minorBidi"/>
                <w:sz w:val="20"/>
              </w:rPr>
              <w:t>Examen des rapports de deux régions</w:t>
            </w:r>
          </w:p>
        </w:tc>
      </w:tr>
      <w:tr w:rsidR="003C66D1" w:rsidRPr="00A77C74" w14:paraId="3B2F681A" w14:textId="77777777" w:rsidTr="000030D7">
        <w:tc>
          <w:tcPr>
            <w:tcW w:w="851" w:type="dxa"/>
            <w:vMerge w:val="restart"/>
          </w:tcPr>
          <w:p w14:paraId="3C19439F" w14:textId="2FD039FD" w:rsidR="003C66D1" w:rsidRPr="00553B84" w:rsidRDefault="003C66D1" w:rsidP="00407E38">
            <w:pPr>
              <w:pStyle w:val="Marge"/>
              <w:spacing w:beforeLines="20" w:before="48" w:after="0"/>
              <w:rPr>
                <w:rFonts w:asciiTheme="minorBidi" w:hAnsiTheme="minorBidi" w:cstheme="minorBidi"/>
                <w:b/>
                <w:bCs/>
                <w:sz w:val="20"/>
                <w:szCs w:val="20"/>
              </w:rPr>
            </w:pPr>
            <w:r>
              <w:rPr>
                <w:rFonts w:asciiTheme="minorBidi" w:hAnsiTheme="minorBidi"/>
                <w:b/>
                <w:sz w:val="20"/>
              </w:rPr>
              <w:t>2029</w:t>
            </w:r>
          </w:p>
        </w:tc>
        <w:tc>
          <w:tcPr>
            <w:tcW w:w="8215" w:type="dxa"/>
            <w:shd w:val="clear" w:color="auto" w:fill="FFFFFF" w:themeFill="background1"/>
          </w:tcPr>
          <w:p w14:paraId="3B6DCE9D" w14:textId="4349DC0A" w:rsidR="003C66D1" w:rsidRPr="00553B84" w:rsidRDefault="003C66D1" w:rsidP="00991040">
            <w:pPr>
              <w:pStyle w:val="Marge"/>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Tout au long de l</w:t>
            </w:r>
            <w:r w:rsidR="007C6BDF">
              <w:rPr>
                <w:rFonts w:asciiTheme="minorBidi" w:hAnsiTheme="minorBidi"/>
                <w:b/>
                <w:color w:val="365F91" w:themeColor="accent1" w:themeShade="BF"/>
                <w:sz w:val="20"/>
              </w:rPr>
              <w:t>’</w:t>
            </w:r>
            <w:r>
              <w:rPr>
                <w:rFonts w:asciiTheme="minorBidi" w:hAnsiTheme="minorBidi"/>
                <w:b/>
                <w:color w:val="365F91" w:themeColor="accent1" w:themeShade="BF"/>
                <w:sz w:val="20"/>
              </w:rPr>
              <w:t>année</w:t>
            </w:r>
          </w:p>
          <w:p w14:paraId="3043FC36" w14:textId="37B6CB37" w:rsidR="003C66D1" w:rsidRPr="003F6D2B" w:rsidRDefault="003C66D1" w:rsidP="003F6D2B">
            <w:pPr>
              <w:pStyle w:val="Marge"/>
              <w:spacing w:beforeLines="20" w:before="48" w:after="60"/>
              <w:rPr>
                <w:rFonts w:asciiTheme="minorBidi" w:hAnsiTheme="minorBidi" w:cstheme="minorBidi"/>
                <w:sz w:val="20"/>
                <w:szCs w:val="20"/>
              </w:rPr>
            </w:pPr>
            <w:r>
              <w:rPr>
                <w:rFonts w:asciiTheme="minorBidi" w:hAnsiTheme="minorBidi"/>
                <w:sz w:val="20"/>
              </w:rPr>
              <w:t xml:space="preserve">Analyse des rapports périodiques </w:t>
            </w:r>
            <w:proofErr w:type="gramStart"/>
            <w:r>
              <w:rPr>
                <w:rFonts w:asciiTheme="minorBidi" w:hAnsiTheme="minorBidi"/>
                <w:sz w:val="20"/>
              </w:rPr>
              <w:t xml:space="preserve">suite </w:t>
            </w:r>
            <w:r w:rsidR="0062722D">
              <w:rPr>
                <w:rFonts w:asciiTheme="minorBidi" w:hAnsiTheme="minorBidi"/>
                <w:sz w:val="20"/>
              </w:rPr>
              <w:t>à</w:t>
            </w:r>
            <w:proofErr w:type="gramEnd"/>
            <w:r w:rsidR="0062722D">
              <w:rPr>
                <w:rFonts w:asciiTheme="minorBidi" w:hAnsiTheme="minorBidi"/>
                <w:sz w:val="20"/>
              </w:rPr>
              <w:t xml:space="preserve"> la soumission</w:t>
            </w:r>
            <w:r>
              <w:rPr>
                <w:rFonts w:asciiTheme="minorBidi" w:hAnsiTheme="minorBidi"/>
                <w:sz w:val="20"/>
              </w:rPr>
              <w:t xml:space="preserve"> unique </w:t>
            </w:r>
            <w:r w:rsidR="0062722D">
              <w:rPr>
                <w:rFonts w:asciiTheme="minorBidi" w:hAnsiTheme="minorBidi"/>
                <w:sz w:val="20"/>
              </w:rPr>
              <w:t>des rapports périodiques à l’échelle</w:t>
            </w:r>
            <w:r>
              <w:rPr>
                <w:rFonts w:asciiTheme="minorBidi" w:hAnsiTheme="minorBidi"/>
                <w:sz w:val="20"/>
              </w:rPr>
              <w:t xml:space="preserve"> mondial</w:t>
            </w:r>
            <w:r w:rsidR="0062722D">
              <w:rPr>
                <w:rFonts w:asciiTheme="minorBidi" w:hAnsiTheme="minorBidi"/>
                <w:sz w:val="20"/>
              </w:rPr>
              <w:t>e</w:t>
            </w:r>
            <w:r>
              <w:rPr>
                <w:rFonts w:asciiTheme="minorBidi" w:hAnsiTheme="minorBidi"/>
                <w:sz w:val="20"/>
              </w:rPr>
              <w:t xml:space="preserve"> </w:t>
            </w:r>
          </w:p>
        </w:tc>
      </w:tr>
      <w:tr w:rsidR="003C66D1" w:rsidRPr="00A77C74" w14:paraId="0606A2C3" w14:textId="77777777" w:rsidTr="0036040E">
        <w:tc>
          <w:tcPr>
            <w:tcW w:w="851" w:type="dxa"/>
            <w:vMerge/>
          </w:tcPr>
          <w:p w14:paraId="783B6AFE" w14:textId="0D8E86A6" w:rsidR="003C66D1" w:rsidRPr="007C6BDF" w:rsidRDefault="003C66D1" w:rsidP="00407E38">
            <w:pPr>
              <w:pStyle w:val="Marge"/>
              <w:spacing w:beforeLines="20" w:before="48" w:after="0"/>
              <w:rPr>
                <w:rFonts w:asciiTheme="minorBidi" w:hAnsiTheme="minorBidi" w:cstheme="minorBidi"/>
                <w:b/>
                <w:bCs/>
                <w:sz w:val="20"/>
                <w:szCs w:val="20"/>
              </w:rPr>
            </w:pPr>
          </w:p>
        </w:tc>
        <w:tc>
          <w:tcPr>
            <w:tcW w:w="8215" w:type="dxa"/>
            <w:shd w:val="clear" w:color="auto" w:fill="DAEEF3" w:themeFill="accent5" w:themeFillTint="33"/>
          </w:tcPr>
          <w:p w14:paraId="1A848A03" w14:textId="77777777" w:rsidR="003C66D1" w:rsidRPr="00553B84" w:rsidRDefault="003C66D1" w:rsidP="00407E38">
            <w:pPr>
              <w:pStyle w:val="Marge"/>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Deuxième semestre</w:t>
            </w:r>
          </w:p>
          <w:p w14:paraId="69AF52C1" w14:textId="7A9EDD1C" w:rsidR="003C66D1" w:rsidRPr="00553B84" w:rsidRDefault="003C66D1" w:rsidP="00407E38">
            <w:pPr>
              <w:pStyle w:val="Marge"/>
              <w:spacing w:beforeLines="20" w:before="48" w:after="0"/>
              <w:rPr>
                <w:rFonts w:asciiTheme="minorBidi" w:hAnsiTheme="minorBidi" w:cstheme="minorBidi"/>
                <w:sz w:val="20"/>
                <w:szCs w:val="20"/>
              </w:rPr>
            </w:pPr>
            <w:r>
              <w:rPr>
                <w:rFonts w:asciiTheme="minorBidi" w:hAnsiTheme="minorBidi"/>
                <w:b/>
                <w:sz w:val="20"/>
              </w:rPr>
              <w:t xml:space="preserve">Publication de la deuxième édition du </w:t>
            </w:r>
            <w:r w:rsidR="0062722D">
              <w:rPr>
                <w:rFonts w:asciiTheme="minorBidi" w:hAnsiTheme="minorBidi"/>
                <w:b/>
                <w:sz w:val="20"/>
              </w:rPr>
              <w:t>R</w:t>
            </w:r>
            <w:r>
              <w:rPr>
                <w:rFonts w:asciiTheme="minorBidi" w:hAnsiTheme="minorBidi"/>
                <w:b/>
                <w:sz w:val="20"/>
              </w:rPr>
              <w:t>apport mondial sur les politiques culturelles</w:t>
            </w:r>
          </w:p>
        </w:tc>
      </w:tr>
      <w:tr w:rsidR="003C66D1" w:rsidRPr="00A77C74" w14:paraId="61BDAF2B" w14:textId="77777777" w:rsidTr="000030D7">
        <w:tc>
          <w:tcPr>
            <w:tcW w:w="851" w:type="dxa"/>
            <w:vMerge/>
          </w:tcPr>
          <w:p w14:paraId="274EE9B6" w14:textId="77777777" w:rsidR="003C66D1" w:rsidRPr="007C6BDF" w:rsidRDefault="003C66D1" w:rsidP="00407E38">
            <w:pPr>
              <w:pStyle w:val="Marge"/>
              <w:spacing w:beforeLines="20" w:before="48" w:after="0"/>
              <w:rPr>
                <w:rFonts w:asciiTheme="minorBidi" w:hAnsiTheme="minorBidi" w:cstheme="minorBidi"/>
                <w:b/>
                <w:bCs/>
                <w:sz w:val="20"/>
                <w:szCs w:val="20"/>
              </w:rPr>
            </w:pPr>
          </w:p>
        </w:tc>
        <w:tc>
          <w:tcPr>
            <w:tcW w:w="8215" w:type="dxa"/>
            <w:shd w:val="clear" w:color="auto" w:fill="FFFFFF" w:themeFill="background1"/>
          </w:tcPr>
          <w:p w14:paraId="6829ABC4" w14:textId="70ED00B8" w:rsidR="003C66D1" w:rsidRPr="00553B84" w:rsidRDefault="003C66D1" w:rsidP="003C66D1">
            <w:pPr>
              <w:pStyle w:val="Marge"/>
              <w:spacing w:beforeLines="20" w:before="48" w:after="0"/>
              <w:rPr>
                <w:rFonts w:asciiTheme="minorBidi" w:hAnsiTheme="minorBidi" w:cstheme="minorBidi"/>
                <w:b/>
                <w:bCs/>
                <w:color w:val="365F91" w:themeColor="accent1" w:themeShade="BF"/>
                <w:sz w:val="20"/>
                <w:szCs w:val="20"/>
              </w:rPr>
            </w:pPr>
            <w:r>
              <w:rPr>
                <w:rFonts w:asciiTheme="minorBidi" w:hAnsiTheme="minorBidi"/>
                <w:b/>
                <w:color w:val="365F91" w:themeColor="accent1" w:themeShade="BF"/>
                <w:sz w:val="20"/>
              </w:rPr>
              <w:t>Vingt-</w:t>
            </w:r>
            <w:r w:rsidR="0062722D">
              <w:rPr>
                <w:rFonts w:asciiTheme="minorBidi" w:hAnsiTheme="minorBidi"/>
                <w:b/>
                <w:color w:val="365F91" w:themeColor="accent1" w:themeShade="BF"/>
                <w:sz w:val="20"/>
              </w:rPr>
              <w:t>quatrième</w:t>
            </w:r>
            <w:r>
              <w:rPr>
                <w:rFonts w:asciiTheme="minorBidi" w:hAnsiTheme="minorBidi"/>
                <w:b/>
                <w:color w:val="365F91" w:themeColor="accent1" w:themeShade="BF"/>
                <w:sz w:val="20"/>
              </w:rPr>
              <w:t xml:space="preserve"> session du Comité (novembre/décembre </w:t>
            </w:r>
            <w:r w:rsidR="00673156">
              <w:rPr>
                <w:rFonts w:asciiTheme="minorBidi" w:hAnsiTheme="minorBidi"/>
                <w:b/>
                <w:color w:val="365F91" w:themeColor="accent1" w:themeShade="BF"/>
                <w:sz w:val="20"/>
              </w:rPr>
              <w:t>2029</w:t>
            </w:r>
            <w:r>
              <w:rPr>
                <w:rFonts w:asciiTheme="minorBidi" w:hAnsiTheme="minorBidi"/>
                <w:b/>
                <w:color w:val="365F91" w:themeColor="accent1" w:themeShade="BF"/>
                <w:sz w:val="20"/>
              </w:rPr>
              <w:t>)</w:t>
            </w:r>
          </w:p>
          <w:p w14:paraId="35E9D723" w14:textId="4F418E7A" w:rsidR="003C66D1" w:rsidRPr="003F6D2B" w:rsidRDefault="003C66D1" w:rsidP="003C66D1">
            <w:pPr>
              <w:pStyle w:val="Marge"/>
              <w:numPr>
                <w:ilvl w:val="0"/>
                <w:numId w:val="10"/>
              </w:numPr>
              <w:tabs>
                <w:tab w:val="clear" w:pos="567"/>
                <w:tab w:val="left" w:pos="178"/>
              </w:tabs>
              <w:spacing w:beforeLines="20" w:before="48" w:after="0"/>
              <w:ind w:left="462" w:hanging="284"/>
              <w:rPr>
                <w:rFonts w:asciiTheme="minorBidi" w:hAnsiTheme="minorBidi" w:cstheme="minorBidi"/>
                <w:sz w:val="20"/>
                <w:szCs w:val="20"/>
              </w:rPr>
            </w:pPr>
            <w:r>
              <w:rPr>
                <w:rFonts w:asciiTheme="minorBidi" w:hAnsiTheme="minorBidi"/>
                <w:sz w:val="20"/>
              </w:rPr>
              <w:t>Point sur l</w:t>
            </w:r>
            <w:r w:rsidR="007C6BDF">
              <w:rPr>
                <w:rFonts w:asciiTheme="minorBidi" w:hAnsiTheme="minorBidi"/>
                <w:sz w:val="20"/>
              </w:rPr>
              <w:t>’</w:t>
            </w:r>
            <w:r>
              <w:rPr>
                <w:rFonts w:asciiTheme="minorBidi" w:hAnsiTheme="minorBidi"/>
                <w:sz w:val="20"/>
              </w:rPr>
              <w:t>exercice de rapport périodique</w:t>
            </w:r>
          </w:p>
          <w:p w14:paraId="1968BA3F" w14:textId="73D40BF8" w:rsidR="003C66D1" w:rsidRPr="00553B84" w:rsidRDefault="003C66D1" w:rsidP="006C03CE">
            <w:pPr>
              <w:pStyle w:val="Marge"/>
              <w:numPr>
                <w:ilvl w:val="0"/>
                <w:numId w:val="10"/>
              </w:numPr>
              <w:tabs>
                <w:tab w:val="clear" w:pos="567"/>
                <w:tab w:val="left" w:pos="178"/>
              </w:tabs>
              <w:spacing w:beforeLines="20" w:before="48" w:after="0"/>
              <w:ind w:left="462" w:hanging="284"/>
              <w:rPr>
                <w:rFonts w:asciiTheme="minorBidi" w:hAnsiTheme="minorBidi" w:cstheme="minorBidi"/>
                <w:b/>
                <w:bCs/>
                <w:color w:val="365F91" w:themeColor="accent1" w:themeShade="BF"/>
                <w:sz w:val="20"/>
                <w:szCs w:val="20"/>
              </w:rPr>
            </w:pPr>
            <w:r>
              <w:rPr>
                <w:rFonts w:asciiTheme="minorBidi" w:hAnsiTheme="minorBidi"/>
                <w:sz w:val="20"/>
              </w:rPr>
              <w:t>Examen des rapports de trois régions</w:t>
            </w:r>
          </w:p>
        </w:tc>
      </w:tr>
      <w:bookmarkEnd w:id="3"/>
    </w:tbl>
    <w:p w14:paraId="09D667E0" w14:textId="77777777" w:rsidR="00C82E3A" w:rsidRPr="00553B84" w:rsidRDefault="00C82E3A" w:rsidP="00987DA9">
      <w:pPr>
        <w:pStyle w:val="COMParaDecision"/>
        <w:numPr>
          <w:ilvl w:val="0"/>
          <w:numId w:val="0"/>
        </w:numPr>
        <w:rPr>
          <w:u w:val="none"/>
        </w:rPr>
      </w:pPr>
    </w:p>
    <w:sectPr w:rsidR="00C82E3A" w:rsidRPr="00553B84" w:rsidSect="00655736">
      <w:headerReference w:type="even" r:id="rId25"/>
      <w:headerReference w:type="default" r:id="rId26"/>
      <w:headerReference w:type="first" r:id="rId2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B8736" w14:textId="77777777" w:rsidR="00F23090" w:rsidRDefault="00F23090" w:rsidP="00655736">
      <w:r>
        <w:separator/>
      </w:r>
    </w:p>
  </w:endnote>
  <w:endnote w:type="continuationSeparator" w:id="0">
    <w:p w14:paraId="68C929B9" w14:textId="77777777" w:rsidR="00F23090" w:rsidRDefault="00F23090"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6FF20" w14:textId="77777777" w:rsidR="00F23090" w:rsidRDefault="00F23090" w:rsidP="00655736">
      <w:r>
        <w:separator/>
      </w:r>
    </w:p>
  </w:footnote>
  <w:footnote w:type="continuationSeparator" w:id="0">
    <w:p w14:paraId="6414DD63" w14:textId="77777777" w:rsidR="00F23090" w:rsidRDefault="00F23090" w:rsidP="00655736">
      <w:r>
        <w:continuationSeparator/>
      </w:r>
    </w:p>
  </w:footnote>
  <w:footnote w:id="1">
    <w:p w14:paraId="163DE4B5" w14:textId="206F93F7" w:rsidR="003D0672" w:rsidRPr="007E1FE1" w:rsidRDefault="003D0672" w:rsidP="007E1FE1">
      <w:pPr>
        <w:pStyle w:val="Notedebasdepage"/>
        <w:spacing w:after="60"/>
        <w:jc w:val="both"/>
        <w:rPr>
          <w:rFonts w:ascii="Arial" w:hAnsi="Arial" w:cs="Arial"/>
          <w:sz w:val="18"/>
          <w:szCs w:val="18"/>
        </w:rPr>
      </w:pPr>
      <w:r w:rsidRPr="007E1FE1">
        <w:rPr>
          <w:rStyle w:val="Appelnotedebasdep"/>
          <w:rFonts w:ascii="Arial" w:hAnsi="Arial" w:cs="Arial"/>
          <w:sz w:val="18"/>
          <w:szCs w:val="18"/>
        </w:rPr>
        <w:footnoteRef/>
      </w:r>
      <w:r w:rsidR="003C6FDB" w:rsidRPr="007E1FE1">
        <w:rPr>
          <w:rFonts w:ascii="Arial" w:hAnsi="Arial" w:cs="Arial"/>
          <w:sz w:val="18"/>
          <w:szCs w:val="18"/>
        </w:rPr>
        <w:t xml:space="preserve"> </w:t>
      </w:r>
      <w:r w:rsidRPr="007E1FE1">
        <w:rPr>
          <w:rFonts w:ascii="Arial" w:hAnsi="Arial" w:cs="Arial"/>
          <w:sz w:val="18"/>
          <w:szCs w:val="18"/>
        </w:rPr>
        <w:t xml:space="preserve">Un « résumé analytique » de ces rapports a été examiné lors de la seizième session du </w:t>
      </w:r>
      <w:r w:rsidRPr="007E1FE1">
        <w:rPr>
          <w:rFonts w:ascii="Arial" w:hAnsi="Arial" w:cs="Arial"/>
          <w:color w:val="000000" w:themeColor="text1"/>
          <w:sz w:val="18"/>
          <w:szCs w:val="18"/>
        </w:rPr>
        <w:t xml:space="preserve">Comité (Décision </w:t>
      </w:r>
      <w:hyperlink r:id="rId1" w:history="1">
        <w:r w:rsidRPr="007E1FE1">
          <w:rPr>
            <w:rStyle w:val="Lienhypertexte"/>
            <w:rFonts w:ascii="Arial" w:hAnsi="Arial" w:cs="Arial"/>
            <w:sz w:val="18"/>
            <w:szCs w:val="18"/>
          </w:rPr>
          <w:t>16.COM 7.b</w:t>
        </w:r>
      </w:hyperlink>
      <w:r w:rsidRPr="007E1FE1">
        <w:rPr>
          <w:rFonts w:ascii="Arial" w:hAnsi="Arial" w:cs="Arial"/>
          <w:color w:val="000000" w:themeColor="text1"/>
          <w:sz w:val="18"/>
          <w:szCs w:val="18"/>
        </w:rPr>
        <w:t xml:space="preserve"> et Annexe I du document </w:t>
      </w:r>
      <w:hyperlink r:id="rId2" w:history="1">
        <w:r w:rsidRPr="007E1FE1">
          <w:rPr>
            <w:rStyle w:val="Lienhypertexte"/>
            <w:rFonts w:ascii="Arial" w:hAnsi="Arial" w:cs="Arial"/>
            <w:sz w:val="18"/>
            <w:szCs w:val="18"/>
          </w:rPr>
          <w:t>LHE/21/16.COM/7.b</w:t>
        </w:r>
      </w:hyperlink>
      <w:r w:rsidRPr="007E1FE1">
        <w:rPr>
          <w:rFonts w:ascii="Arial" w:hAnsi="Arial" w:cs="Arial"/>
          <w:color w:val="000000" w:themeColor="text1"/>
          <w:sz w:val="18"/>
          <w:szCs w:val="18"/>
        </w:rPr>
        <w:t xml:space="preserve">). Un rapport analytique complet </w:t>
      </w:r>
      <w:r w:rsidRPr="007E1FE1">
        <w:rPr>
          <w:rFonts w:ascii="Arial" w:hAnsi="Arial" w:cs="Arial"/>
          <w:sz w:val="18"/>
          <w:szCs w:val="18"/>
        </w:rPr>
        <w:t>sur le premier cycle de rapports périodiques dans le cadre de la Convention de 2003 par les États parties en Amérique latine et dans les Caraïbes a ensuite été présenté à la dix-septième session du Comité en 2022 (</w:t>
      </w:r>
      <w:r w:rsidRPr="007E1FE1">
        <w:rPr>
          <w:rFonts w:ascii="Arial" w:hAnsi="Arial" w:cs="Arial"/>
          <w:color w:val="000000" w:themeColor="text1"/>
          <w:sz w:val="18"/>
          <w:szCs w:val="18"/>
        </w:rPr>
        <w:t xml:space="preserve">document </w:t>
      </w:r>
      <w:hyperlink r:id="rId3" w:history="1">
        <w:r w:rsidRPr="007E1FE1">
          <w:rPr>
            <w:rStyle w:val="Lienhypertexte"/>
            <w:rFonts w:ascii="Arial" w:hAnsi="Arial" w:cs="Arial"/>
            <w:sz w:val="18"/>
            <w:szCs w:val="18"/>
          </w:rPr>
          <w:t>LHE/22/17.COM/INF.6.c</w:t>
        </w:r>
      </w:hyperlink>
      <w:r w:rsidRPr="007E1FE1">
        <w:rPr>
          <w:rFonts w:ascii="Arial" w:hAnsi="Arial" w:cs="Arial"/>
          <w:color w:val="000000" w:themeColor="text1"/>
          <w:sz w:val="18"/>
          <w:szCs w:val="18"/>
        </w:rPr>
        <w:t>).</w:t>
      </w:r>
    </w:p>
  </w:footnote>
  <w:footnote w:id="2">
    <w:p w14:paraId="646498F3" w14:textId="5585BDB6" w:rsidR="00597961" w:rsidRPr="007E1FE1" w:rsidRDefault="00597961" w:rsidP="007E1FE1">
      <w:pPr>
        <w:pStyle w:val="Notedebasdepage"/>
        <w:spacing w:after="60"/>
        <w:jc w:val="both"/>
        <w:rPr>
          <w:rFonts w:ascii="Arial" w:hAnsi="Arial" w:cs="Arial"/>
          <w:sz w:val="18"/>
          <w:szCs w:val="18"/>
        </w:rPr>
      </w:pPr>
      <w:r w:rsidRPr="007E1FE1">
        <w:rPr>
          <w:rStyle w:val="Appelnotedebasdep"/>
          <w:rFonts w:ascii="Arial" w:hAnsi="Arial" w:cs="Arial"/>
          <w:sz w:val="18"/>
          <w:szCs w:val="18"/>
        </w:rPr>
        <w:footnoteRef/>
      </w:r>
      <w:r w:rsidR="003C6FDB" w:rsidRPr="007E1FE1">
        <w:rPr>
          <w:rFonts w:ascii="Arial" w:hAnsi="Arial" w:cs="Arial"/>
          <w:sz w:val="18"/>
          <w:szCs w:val="18"/>
        </w:rPr>
        <w:t xml:space="preserve"> </w:t>
      </w:r>
      <w:r w:rsidRPr="007E1FE1">
        <w:rPr>
          <w:rFonts w:ascii="Arial" w:hAnsi="Arial" w:cs="Arial"/>
          <w:sz w:val="18"/>
          <w:szCs w:val="18"/>
        </w:rPr>
        <w:t>Le « résumé analytique » des rapports a été examiné par le Comité lors de sa dix-septième session (</w:t>
      </w:r>
      <w:r w:rsidR="00455F9D" w:rsidRPr="007E1FE1">
        <w:rPr>
          <w:rFonts w:ascii="Arial" w:hAnsi="Arial" w:cs="Arial"/>
          <w:sz w:val="18"/>
          <w:szCs w:val="18"/>
        </w:rPr>
        <w:t>D</w:t>
      </w:r>
      <w:r w:rsidRPr="007E1FE1">
        <w:rPr>
          <w:rFonts w:ascii="Arial" w:hAnsi="Arial" w:cs="Arial"/>
          <w:sz w:val="18"/>
          <w:szCs w:val="18"/>
        </w:rPr>
        <w:t xml:space="preserve">écision </w:t>
      </w:r>
      <w:hyperlink r:id="rId4" w:history="1">
        <w:r w:rsidRPr="007E1FE1">
          <w:rPr>
            <w:rStyle w:val="Lienhypertexte"/>
            <w:rFonts w:ascii="Arial" w:hAnsi="Arial" w:cs="Arial"/>
            <w:sz w:val="18"/>
            <w:szCs w:val="18"/>
          </w:rPr>
          <w:t>17.COM</w:t>
        </w:r>
        <w:r w:rsidR="003C6FDB" w:rsidRPr="007E1FE1">
          <w:rPr>
            <w:rStyle w:val="Lienhypertexte"/>
            <w:rFonts w:ascii="Arial" w:hAnsi="Arial" w:cs="Arial"/>
            <w:sz w:val="18"/>
            <w:szCs w:val="18"/>
          </w:rPr>
          <w:t> </w:t>
        </w:r>
        <w:r w:rsidRPr="007E1FE1">
          <w:rPr>
            <w:rStyle w:val="Lienhypertexte"/>
            <w:rFonts w:ascii="Arial" w:hAnsi="Arial" w:cs="Arial"/>
            <w:sz w:val="18"/>
            <w:szCs w:val="18"/>
          </w:rPr>
          <w:t>6.b</w:t>
        </w:r>
      </w:hyperlink>
      <w:r w:rsidRPr="007E1FE1">
        <w:rPr>
          <w:rFonts w:ascii="Arial" w:hAnsi="Arial" w:cs="Arial"/>
          <w:sz w:val="18"/>
          <w:szCs w:val="18"/>
        </w:rPr>
        <w:t xml:space="preserve"> et Annexe I du document </w:t>
      </w:r>
      <w:hyperlink r:id="rId5" w:history="1">
        <w:r w:rsidRPr="007E1FE1">
          <w:rPr>
            <w:rStyle w:val="Lienhypertexte"/>
            <w:rFonts w:ascii="Arial" w:hAnsi="Arial" w:cs="Arial"/>
            <w:sz w:val="18"/>
            <w:szCs w:val="18"/>
          </w:rPr>
          <w:t>LHE/22/17.COM/6.b Rev.</w:t>
        </w:r>
      </w:hyperlink>
      <w:r w:rsidRPr="007E1FE1">
        <w:rPr>
          <w:rFonts w:ascii="Arial" w:hAnsi="Arial" w:cs="Arial"/>
          <w:sz w:val="18"/>
          <w:szCs w:val="18"/>
        </w:rPr>
        <w:t>)</w:t>
      </w:r>
      <w:r w:rsidRPr="007E1FE1">
        <w:rPr>
          <w:rFonts w:ascii="Arial" w:hAnsi="Arial" w:cs="Arial"/>
          <w:color w:val="212121"/>
          <w:sz w:val="18"/>
          <w:szCs w:val="18"/>
          <w:shd w:val="clear" w:color="auto" w:fill="FFFFFF"/>
        </w:rPr>
        <w:t>.</w:t>
      </w:r>
      <w:r w:rsidRPr="007E1FE1">
        <w:rPr>
          <w:rFonts w:ascii="Arial" w:hAnsi="Arial" w:cs="Arial"/>
          <w:sz w:val="18"/>
          <w:szCs w:val="18"/>
        </w:rPr>
        <w:t xml:space="preserve"> En 2023, une équipe d’experts mise en place par le Secrétariat a produit un « rapport</w:t>
      </w:r>
      <w:r w:rsidRPr="007E1FE1">
        <w:rPr>
          <w:rFonts w:ascii="Arial" w:hAnsi="Arial" w:cs="Arial"/>
          <w:color w:val="000000" w:themeColor="text1"/>
          <w:sz w:val="18"/>
          <w:szCs w:val="18"/>
        </w:rPr>
        <w:t xml:space="preserve"> analytique sur le premier cycle de rapports périodiques dans le cadre de la Convention de 2003 </w:t>
      </w:r>
      <w:r w:rsidRPr="007E1FE1">
        <w:rPr>
          <w:rFonts w:ascii="Arial" w:hAnsi="Arial" w:cs="Arial"/>
          <w:sz w:val="18"/>
          <w:szCs w:val="18"/>
        </w:rPr>
        <w:t xml:space="preserve">par les États parties en Europe », </w:t>
      </w:r>
      <w:r w:rsidR="00455F9D" w:rsidRPr="007E1FE1">
        <w:rPr>
          <w:rFonts w:ascii="Arial" w:hAnsi="Arial" w:cs="Arial"/>
          <w:sz w:val="18"/>
          <w:szCs w:val="18"/>
        </w:rPr>
        <w:t xml:space="preserve">qui a été examiné par la dix-huitième session </w:t>
      </w:r>
      <w:r w:rsidRPr="007E1FE1">
        <w:rPr>
          <w:rFonts w:ascii="Arial" w:hAnsi="Arial" w:cs="Arial"/>
          <w:sz w:val="18"/>
          <w:szCs w:val="18"/>
        </w:rPr>
        <w:t xml:space="preserve">du Comité (document </w:t>
      </w:r>
      <w:hyperlink r:id="rId6" w:history="1">
        <w:r w:rsidRPr="007E1FE1">
          <w:rPr>
            <w:rStyle w:val="Lienhypertexte"/>
            <w:rFonts w:ascii="Arial" w:hAnsi="Arial" w:cs="Arial"/>
            <w:sz w:val="18"/>
            <w:szCs w:val="18"/>
          </w:rPr>
          <w:t>LHE/23/18.COM/INF.7.c</w:t>
        </w:r>
      </w:hyperlink>
      <w:r w:rsidRPr="007E1FE1">
        <w:rPr>
          <w:rFonts w:ascii="Arial" w:hAnsi="Arial" w:cs="Arial"/>
          <w:sz w:val="18"/>
          <w:szCs w:val="18"/>
        </w:rPr>
        <w:t>).</w:t>
      </w:r>
    </w:p>
  </w:footnote>
  <w:footnote w:id="3">
    <w:p w14:paraId="0F6EA426" w14:textId="61F20556" w:rsidR="001A2BA7" w:rsidRPr="007E1FE1" w:rsidRDefault="001A2BA7" w:rsidP="007E1FE1">
      <w:pPr>
        <w:pStyle w:val="Notedebasdepage"/>
        <w:spacing w:after="60"/>
        <w:jc w:val="both"/>
        <w:rPr>
          <w:rFonts w:ascii="Arial" w:hAnsi="Arial" w:cs="Arial"/>
          <w:sz w:val="18"/>
          <w:szCs w:val="18"/>
        </w:rPr>
      </w:pPr>
      <w:r w:rsidRPr="007E1FE1">
        <w:rPr>
          <w:rStyle w:val="Appelnotedebasdep"/>
          <w:rFonts w:ascii="Arial" w:hAnsi="Arial" w:cs="Arial"/>
          <w:sz w:val="18"/>
          <w:szCs w:val="18"/>
        </w:rPr>
        <w:footnoteRef/>
      </w:r>
      <w:r w:rsidR="003C6FDB" w:rsidRPr="007E1FE1">
        <w:rPr>
          <w:rFonts w:ascii="Arial" w:hAnsi="Arial" w:cs="Arial"/>
          <w:sz w:val="18"/>
          <w:szCs w:val="18"/>
        </w:rPr>
        <w:t xml:space="preserve"> </w:t>
      </w:r>
      <w:r w:rsidR="006F65B1" w:rsidRPr="007E1FE1">
        <w:rPr>
          <w:rFonts w:ascii="Arial" w:hAnsi="Arial" w:cs="Arial"/>
          <w:sz w:val="18"/>
          <w:szCs w:val="18"/>
        </w:rPr>
        <w:t>Le</w:t>
      </w:r>
      <w:r w:rsidRPr="007E1FE1">
        <w:rPr>
          <w:rFonts w:ascii="Arial" w:hAnsi="Arial" w:cs="Arial"/>
          <w:sz w:val="18"/>
          <w:szCs w:val="18"/>
        </w:rPr>
        <w:t xml:space="preserve"> « résumé analytique » des rapports a été examiné par le Comité à sa dix-huitième session (Décision </w:t>
      </w:r>
      <w:hyperlink r:id="rId7" w:history="1">
        <w:r w:rsidRPr="007E1FE1">
          <w:rPr>
            <w:rStyle w:val="Lienhypertexte"/>
            <w:rFonts w:ascii="Arial" w:hAnsi="Arial" w:cs="Arial"/>
            <w:sz w:val="18"/>
            <w:szCs w:val="18"/>
          </w:rPr>
          <w:t>18.COM 7.b</w:t>
        </w:r>
      </w:hyperlink>
      <w:r w:rsidRPr="007E1FE1">
        <w:rPr>
          <w:rFonts w:ascii="Arial" w:hAnsi="Arial" w:cs="Arial"/>
          <w:sz w:val="18"/>
          <w:szCs w:val="18"/>
        </w:rPr>
        <w:t xml:space="preserve"> et Annexe I du document </w:t>
      </w:r>
      <w:hyperlink r:id="rId8" w:history="1">
        <w:r w:rsidRPr="007E1FE1">
          <w:rPr>
            <w:rStyle w:val="Lienhypertexte"/>
            <w:rFonts w:ascii="Arial" w:hAnsi="Arial" w:cs="Arial"/>
            <w:sz w:val="18"/>
            <w:szCs w:val="18"/>
          </w:rPr>
          <w:t>LHE/23/18.COM/7.b Rev</w:t>
        </w:r>
      </w:hyperlink>
      <w:r w:rsidRPr="007E1FE1">
        <w:rPr>
          <w:rStyle w:val="Lienhypertexte"/>
          <w:rFonts w:ascii="Arial" w:hAnsi="Arial" w:cs="Arial"/>
          <w:sz w:val="18"/>
          <w:szCs w:val="18"/>
        </w:rPr>
        <w:t>.</w:t>
      </w:r>
      <w:r w:rsidRPr="007E1FE1">
        <w:rPr>
          <w:rFonts w:ascii="Arial" w:hAnsi="Arial" w:cs="Arial"/>
          <w:sz w:val="18"/>
          <w:szCs w:val="18"/>
        </w:rPr>
        <w:t>).</w:t>
      </w:r>
      <w:r w:rsidR="008630D0" w:rsidRPr="007E1FE1">
        <w:rPr>
          <w:rFonts w:ascii="Arial" w:hAnsi="Arial" w:cs="Arial"/>
          <w:sz w:val="18"/>
          <w:szCs w:val="18"/>
        </w:rPr>
        <w:t xml:space="preserve"> Le présente session du Comité examinera le « rapport</w:t>
      </w:r>
      <w:r w:rsidR="008630D0" w:rsidRPr="007E1FE1">
        <w:rPr>
          <w:rFonts w:ascii="Arial" w:hAnsi="Arial" w:cs="Arial"/>
          <w:color w:val="000000" w:themeColor="text1"/>
          <w:sz w:val="18"/>
          <w:szCs w:val="18"/>
        </w:rPr>
        <w:t xml:space="preserve"> analytique sur le premier cycle de rapports périodiques dans le cadre de la Convention de 2003 </w:t>
      </w:r>
      <w:r w:rsidR="008630D0" w:rsidRPr="007E1FE1">
        <w:rPr>
          <w:rFonts w:ascii="Arial" w:hAnsi="Arial" w:cs="Arial"/>
          <w:sz w:val="18"/>
          <w:szCs w:val="18"/>
        </w:rPr>
        <w:t xml:space="preserve">par les États parties dans les États arabes » (document </w:t>
      </w:r>
      <w:hyperlink r:id="rId9" w:history="1">
        <w:r w:rsidR="008630D0" w:rsidRPr="007E1FE1">
          <w:rPr>
            <w:rStyle w:val="Lienhypertexte"/>
            <w:rFonts w:ascii="Arial" w:hAnsi="Arial" w:cs="Arial"/>
            <w:sz w:val="18"/>
            <w:szCs w:val="18"/>
          </w:rPr>
          <w:t>LHE/24/19.COM/INF.6.c</w:t>
        </w:r>
      </w:hyperlink>
      <w:r w:rsidR="008630D0" w:rsidRPr="007E1FE1">
        <w:rPr>
          <w:rFonts w:ascii="Arial" w:hAnsi="Arial" w:cs="Arial"/>
          <w:sz w:val="18"/>
          <w:szCs w:val="18"/>
        </w:rPr>
        <w:t xml:space="preserve">). </w:t>
      </w:r>
    </w:p>
  </w:footnote>
  <w:footnote w:id="4">
    <w:p w14:paraId="5A25B646" w14:textId="0646BA17" w:rsidR="006F65B1" w:rsidRPr="007E1FE1" w:rsidRDefault="006F65B1" w:rsidP="007E1FE1">
      <w:pPr>
        <w:pStyle w:val="Notedebasdepage"/>
        <w:spacing w:after="60"/>
        <w:rPr>
          <w:rFonts w:ascii="Arial" w:hAnsi="Arial" w:cs="Arial"/>
          <w:sz w:val="18"/>
          <w:szCs w:val="18"/>
        </w:rPr>
      </w:pPr>
      <w:r w:rsidRPr="007E1FE1">
        <w:rPr>
          <w:rStyle w:val="Appelnotedebasdep"/>
          <w:rFonts w:ascii="Arial" w:hAnsi="Arial" w:cs="Arial"/>
          <w:sz w:val="18"/>
          <w:szCs w:val="18"/>
        </w:rPr>
        <w:footnoteRef/>
      </w:r>
      <w:r w:rsidRPr="007E1FE1">
        <w:rPr>
          <w:rFonts w:ascii="Arial" w:hAnsi="Arial" w:cs="Arial"/>
          <w:sz w:val="18"/>
          <w:szCs w:val="18"/>
        </w:rPr>
        <w:t xml:space="preserve"> Le « résumé analytique » des rapports sera examiné à la présente session du Comité au point 6.b de son ordre du jour provisoire (document </w:t>
      </w:r>
      <w:hyperlink r:id="rId10" w:history="1">
        <w:r w:rsidRPr="007E1FE1">
          <w:rPr>
            <w:rStyle w:val="Lienhypertexte"/>
            <w:rFonts w:ascii="Arial" w:hAnsi="Arial" w:cs="Arial"/>
            <w:sz w:val="18"/>
            <w:szCs w:val="18"/>
          </w:rPr>
          <w:t>LHE/24/19.COM/6.b</w:t>
        </w:r>
      </w:hyperlink>
      <w:r w:rsidRPr="007E1FE1">
        <w:rPr>
          <w:rFonts w:ascii="Arial" w:hAnsi="Arial" w:cs="Arial"/>
          <w:sz w:val="18"/>
          <w:szCs w:val="18"/>
        </w:rPr>
        <w:t>).</w:t>
      </w:r>
    </w:p>
  </w:footnote>
  <w:footnote w:id="5">
    <w:p w14:paraId="2040B618" w14:textId="0E0B37E1" w:rsidR="00E20374" w:rsidRPr="007E1FE1" w:rsidRDefault="00E20374" w:rsidP="007E1FE1">
      <w:pPr>
        <w:pStyle w:val="Notedebasdepage"/>
        <w:spacing w:after="60"/>
        <w:jc w:val="both"/>
        <w:rPr>
          <w:rFonts w:ascii="Arial" w:hAnsi="Arial" w:cs="Arial"/>
          <w:sz w:val="18"/>
          <w:szCs w:val="18"/>
        </w:rPr>
      </w:pPr>
      <w:r w:rsidRPr="007E1FE1">
        <w:rPr>
          <w:rStyle w:val="Appelnotedebasdep"/>
          <w:rFonts w:ascii="Arial" w:hAnsi="Arial" w:cs="Arial"/>
          <w:sz w:val="18"/>
          <w:szCs w:val="18"/>
        </w:rPr>
        <w:footnoteRef/>
      </w:r>
      <w:r w:rsidR="003C6FDB" w:rsidRPr="007E1FE1">
        <w:rPr>
          <w:rFonts w:ascii="Arial" w:hAnsi="Arial" w:cs="Arial"/>
          <w:sz w:val="18"/>
          <w:szCs w:val="18"/>
        </w:rPr>
        <w:t xml:space="preserve"> </w:t>
      </w:r>
      <w:r w:rsidRPr="007E1FE1">
        <w:rPr>
          <w:rFonts w:ascii="Arial" w:hAnsi="Arial" w:cs="Arial"/>
          <w:sz w:val="18"/>
          <w:szCs w:val="18"/>
        </w:rPr>
        <w:t xml:space="preserve">L’évaluation a été présentée à la deux cent dix-neuvième session du Conseil exécutif (document </w:t>
      </w:r>
      <w:hyperlink r:id="rId11" w:history="1">
        <w:r w:rsidRPr="007E1FE1">
          <w:rPr>
            <w:rStyle w:val="Lienhypertexte"/>
            <w:rFonts w:ascii="Arial" w:hAnsi="Arial" w:cs="Arial"/>
            <w:sz w:val="18"/>
            <w:szCs w:val="18"/>
          </w:rPr>
          <w:t>219 EX/13</w:t>
        </w:r>
      </w:hyperlink>
      <w:r w:rsidRPr="007E1FE1">
        <w:rPr>
          <w:rFonts w:ascii="Arial" w:hAnsi="Arial" w:cs="Arial"/>
          <w:sz w:val="18"/>
          <w:szCs w:val="18"/>
        </w:rPr>
        <w:t xml:space="preserve">), qui a pris note de ses conclusions et recommandations. Le Conseil exécutif a aussi invité la Directrice générale a soumettre l’évaluation aux organes directeurs compétents des conventions en matière de culture, et d’assurer, dans le plein respect des organes directeurs des conventions concernées, un suivi adéquat de toutes les recommandations figurant dans le document </w:t>
      </w:r>
      <w:hyperlink r:id="rId12" w:history="1">
        <w:r w:rsidRPr="007E1FE1">
          <w:rPr>
            <w:rStyle w:val="Lienhypertexte"/>
            <w:rFonts w:ascii="Arial" w:hAnsi="Arial" w:cs="Arial"/>
            <w:sz w:val="18"/>
            <w:szCs w:val="18"/>
          </w:rPr>
          <w:t>219 EX/13</w:t>
        </w:r>
      </w:hyperlink>
      <w:r w:rsidRPr="007E1FE1">
        <w:rPr>
          <w:rFonts w:ascii="Arial" w:hAnsi="Arial" w:cs="Arial"/>
          <w:sz w:val="18"/>
          <w:szCs w:val="18"/>
        </w:rPr>
        <w:t>, ainsi que de mettre en œuvre les mesures énoncées dans la réponse de la Direction aux recommandations.</w:t>
      </w:r>
      <w:r w:rsidR="0047544B" w:rsidRPr="007E1FE1">
        <w:rPr>
          <w:rFonts w:ascii="Arial" w:hAnsi="Arial" w:cs="Arial"/>
          <w:sz w:val="18"/>
          <w:szCs w:val="18"/>
        </w:rPr>
        <w:t xml:space="preserve"> (Décision </w:t>
      </w:r>
      <w:hyperlink r:id="rId13" w:anchor="%5B%7B%22num%22%3A64%2C%22gen%22%3A0%7D%2C%7B%22name%22%3A%22XYZ%22%7D%2C54%2C771%2C0%5D" w:history="1">
        <w:r w:rsidR="0047544B" w:rsidRPr="007E1FE1">
          <w:rPr>
            <w:rStyle w:val="Lienhypertexte"/>
            <w:rFonts w:ascii="Arial" w:hAnsi="Arial" w:cs="Arial"/>
            <w:sz w:val="18"/>
            <w:szCs w:val="18"/>
          </w:rPr>
          <w:t>219 EX/Décision 13</w:t>
        </w:r>
      </w:hyperlink>
      <w:r w:rsidR="0047544B" w:rsidRPr="007E1FE1">
        <w:rPr>
          <w:rFonts w:ascii="Arial" w:hAnsi="Arial" w:cs="Arial"/>
          <w:sz w:val="18"/>
          <w:szCs w:val="18"/>
        </w:rPr>
        <w:t>).</w:t>
      </w:r>
    </w:p>
  </w:footnote>
  <w:footnote w:id="6">
    <w:p w14:paraId="22C4F803" w14:textId="51A153B4" w:rsidR="00EA6DEA" w:rsidRPr="007E1FE1" w:rsidRDefault="00EA6DEA" w:rsidP="007E1FE1">
      <w:pPr>
        <w:pStyle w:val="Notedebasdepage"/>
        <w:spacing w:after="60"/>
        <w:jc w:val="both"/>
        <w:rPr>
          <w:rFonts w:ascii="Arial" w:hAnsi="Arial" w:cs="Arial"/>
          <w:sz w:val="18"/>
          <w:szCs w:val="18"/>
        </w:rPr>
      </w:pPr>
      <w:r w:rsidRPr="007E1FE1">
        <w:rPr>
          <w:rStyle w:val="Appelnotedebasdep"/>
          <w:rFonts w:ascii="Arial" w:hAnsi="Arial" w:cs="Arial"/>
          <w:sz w:val="18"/>
          <w:szCs w:val="18"/>
        </w:rPr>
        <w:footnoteRef/>
      </w:r>
      <w:r w:rsidRPr="007E1FE1">
        <w:rPr>
          <w:rFonts w:ascii="Arial" w:hAnsi="Arial" w:cs="Arial"/>
          <w:sz w:val="18"/>
          <w:szCs w:val="18"/>
        </w:rPr>
        <w:t xml:space="preserve"> Les rapports des États parties sur la mise en œuvre de la Convention et sur l’état actuel des éléments inscrits sur la Liste représentative du patrimoine culturel immatériel de l’humanité, les rapports par les États non partie sur l’état actuel des éléments inscrits sur la Liste représentative du patrimoine culturel immatériel de l’humanité, et les rapports par les États parties sur l’état actuel des éléments inscrits sur la Liste du patrimoine culturel immatériel nécessitant une sauvegarde urgente.</w:t>
      </w:r>
    </w:p>
  </w:footnote>
  <w:footnote w:id="7">
    <w:p w14:paraId="0AE57936" w14:textId="35150C10" w:rsidR="00A02AD5" w:rsidRPr="007E1FE1" w:rsidRDefault="00A02AD5" w:rsidP="007E1FE1">
      <w:pPr>
        <w:pStyle w:val="Notedebasdepage"/>
        <w:spacing w:after="60"/>
        <w:jc w:val="both"/>
        <w:rPr>
          <w:rFonts w:ascii="Arial" w:hAnsi="Arial" w:cs="Arial"/>
          <w:sz w:val="18"/>
          <w:szCs w:val="18"/>
        </w:rPr>
      </w:pPr>
      <w:r w:rsidRPr="007E1FE1">
        <w:rPr>
          <w:rStyle w:val="Appelnotedebasdep"/>
          <w:rFonts w:ascii="Arial" w:hAnsi="Arial" w:cs="Arial"/>
          <w:sz w:val="18"/>
          <w:szCs w:val="18"/>
        </w:rPr>
        <w:footnoteRef/>
      </w:r>
      <w:r w:rsidRPr="007E1FE1">
        <w:rPr>
          <w:rFonts w:ascii="Arial" w:hAnsi="Arial" w:cs="Arial"/>
          <w:sz w:val="18"/>
          <w:szCs w:val="18"/>
        </w:rPr>
        <w:t xml:space="preserve"> En 2024, le Comité subsidiaire de la réunion des États parties à la Convention de 1970 a approuvé la méthodologie de la nouvelle plateforme pour les rapports périodiques et ses modalités d’utilisation des informations, y compris les données collectées à travers les mécanismes de rapports périodiques de la Convention de 1970 (Décision </w:t>
      </w:r>
      <w:hyperlink r:id="rId14" w:history="1">
        <w:r w:rsidRPr="007E1FE1">
          <w:rPr>
            <w:rStyle w:val="Lienhypertexte"/>
            <w:rFonts w:ascii="Arial" w:hAnsi="Arial" w:cs="Arial"/>
            <w:sz w:val="18"/>
            <w:szCs w:val="18"/>
          </w:rPr>
          <w:t>12.SC 8</w:t>
        </w:r>
      </w:hyperlink>
      <w:r w:rsidRPr="007E1FE1">
        <w:rPr>
          <w:rFonts w:ascii="Arial" w:hAnsi="Arial" w:cs="Arial"/>
          <w:sz w:val="18"/>
          <w:szCs w:val="18"/>
        </w:rPr>
        <w:t xml:space="preserve"> et document </w:t>
      </w:r>
      <w:hyperlink r:id="rId15" w:history="1">
        <w:r w:rsidRPr="007E1FE1">
          <w:rPr>
            <w:rStyle w:val="Lienhypertexte"/>
            <w:rFonts w:ascii="Arial" w:hAnsi="Arial" w:cs="Arial"/>
            <w:sz w:val="18"/>
            <w:szCs w:val="18"/>
          </w:rPr>
          <w:t>C70/24/12.SC</w:t>
        </w:r>
        <w:r w:rsidR="008502BC" w:rsidRPr="007E1FE1">
          <w:rPr>
            <w:rStyle w:val="Lienhypertexte"/>
            <w:rFonts w:ascii="Arial" w:hAnsi="Arial" w:cs="Arial"/>
            <w:sz w:val="18"/>
            <w:szCs w:val="18"/>
          </w:rPr>
          <w:t>/8</w:t>
        </w:r>
      </w:hyperlink>
      <w:r w:rsidR="008502BC" w:rsidRPr="007E1FE1">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6FD17C4C" w:rsidR="00D95C4C" w:rsidRPr="00C23A97" w:rsidRDefault="00C5776D" w:rsidP="00C5776D">
    <w:pPr>
      <w:pStyle w:val="En-tte"/>
      <w:rPr>
        <w:rFonts w:ascii="Arial" w:hAnsi="Arial" w:cs="Arial"/>
      </w:rPr>
    </w:pPr>
    <w:r>
      <w:rPr>
        <w:rFonts w:ascii="Arial" w:hAnsi="Arial"/>
        <w:sz w:val="20"/>
      </w:rPr>
      <w:t xml:space="preserve">LHE/24/19.COM/6.c – page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sidR="006E75EB">
      <w:rPr>
        <w:rStyle w:val="Numrodepage"/>
        <w:rFonts w:ascii="Arial" w:hAnsi="Arial" w:cs="Arial"/>
        <w:sz w:val="20"/>
      </w:rPr>
      <w:t>2</w:t>
    </w:r>
    <w:r w:rsidR="00D95C4C"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736F3F52" w:rsidR="00D95C4C" w:rsidRPr="0063300C" w:rsidRDefault="00C5776D" w:rsidP="00C5776D">
    <w:pPr>
      <w:pStyle w:val="En-tte"/>
      <w:jc w:val="right"/>
      <w:rPr>
        <w:rFonts w:ascii="Arial" w:hAnsi="Arial" w:cs="Arial"/>
      </w:rPr>
    </w:pPr>
    <w:r>
      <w:rPr>
        <w:rFonts w:ascii="Arial" w:hAnsi="Arial"/>
        <w:sz w:val="20"/>
      </w:rPr>
      <w:t xml:space="preserve">LHE/24/19.COM/6.c </w:t>
    </w:r>
    <w:r w:rsidR="007C6BDF">
      <w:rPr>
        <w:rFonts w:ascii="Arial" w:hAnsi="Arial"/>
        <w:sz w:val="20"/>
      </w:rPr>
      <w:t>—</w:t>
    </w:r>
    <w:r>
      <w:rPr>
        <w:rFonts w:ascii="Arial" w:hAnsi="Arial"/>
        <w:sz w:val="20"/>
      </w:rPr>
      <w:t xml:space="preserve"> page</w:t>
    </w:r>
    <w:r w:rsidR="007C6BDF">
      <w:rPr>
        <w:rFonts w:ascii="Arial" w:hAnsi="Arial"/>
        <w:sz w:val="20"/>
      </w:rPr>
      <w:t>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sidR="00190205">
      <w:rPr>
        <w:rStyle w:val="Numrodepage"/>
        <w:rFonts w:ascii="Arial" w:hAnsi="Arial" w:cs="Arial"/>
        <w:sz w:val="20"/>
      </w:rPr>
      <w:t>3</w:t>
    </w:r>
    <w:r w:rsidR="004A34A0"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30CC7E65" w:rsidR="00D95C4C" w:rsidRPr="00E95AE2" w:rsidRDefault="006502B3">
    <w:pPr>
      <w:pStyle w:val="En-tte"/>
      <w:rPr>
        <w:sz w:val="22"/>
        <w:szCs w:val="22"/>
      </w:rPr>
    </w:pPr>
    <w:r>
      <w:rPr>
        <w:rFonts w:ascii="Arial" w:hAnsi="Arial" w:cs="Arial"/>
        <w:b/>
        <w:noProof/>
        <w:sz w:val="44"/>
        <w:szCs w:val="44"/>
        <w:lang w:val="pt-PT"/>
      </w:rPr>
      <w:drawing>
        <wp:anchor distT="0" distB="0" distL="114300" distR="114300" simplePos="0" relativeHeight="251661312" behindDoc="0" locked="0" layoutInCell="1" allowOverlap="1" wp14:anchorId="4392077B" wp14:editId="7BA7F4B6">
          <wp:simplePos x="0" y="0"/>
          <wp:positionH relativeFrom="margin">
            <wp:align>left</wp:align>
          </wp:positionH>
          <wp:positionV relativeFrom="paragraph">
            <wp:posOffset>92526</wp:posOffset>
          </wp:positionV>
          <wp:extent cx="1709420" cy="1435735"/>
          <wp:effectExtent l="0" t="0" r="5080" b="0"/>
          <wp:wrapSquare wrapText="bothSides"/>
          <wp:docPr id="28458863"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1435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5F1B28F5" w:rsidR="00D95C4C" w:rsidRPr="003C6FDB" w:rsidRDefault="00337CEB" w:rsidP="00C5776D">
    <w:pPr>
      <w:pStyle w:val="En-tte"/>
      <w:spacing w:after="520"/>
      <w:jc w:val="right"/>
      <w:rPr>
        <w:rFonts w:ascii="Arial" w:hAnsi="Arial" w:cs="Arial"/>
        <w:b/>
        <w:sz w:val="44"/>
        <w:szCs w:val="44"/>
        <w:lang w:val="pt-PT"/>
      </w:rPr>
    </w:pPr>
    <w:r w:rsidRPr="003C6FDB">
      <w:rPr>
        <w:rFonts w:ascii="Arial" w:hAnsi="Arial"/>
        <w:b/>
        <w:sz w:val="44"/>
        <w:lang w:val="pt-PT"/>
      </w:rPr>
      <w:t>19 COM</w:t>
    </w:r>
  </w:p>
  <w:p w14:paraId="306484B8" w14:textId="71A1420A" w:rsidR="00D95C4C" w:rsidRPr="003C6FDB" w:rsidRDefault="00C5776D" w:rsidP="00C5776D">
    <w:pPr>
      <w:jc w:val="right"/>
      <w:rPr>
        <w:rFonts w:ascii="Arial" w:hAnsi="Arial" w:cs="Arial"/>
        <w:b/>
        <w:sz w:val="22"/>
        <w:szCs w:val="22"/>
        <w:lang w:val="pt-PT"/>
      </w:rPr>
    </w:pPr>
    <w:r w:rsidRPr="003C6FDB">
      <w:rPr>
        <w:rFonts w:ascii="Arial" w:hAnsi="Arial"/>
        <w:b/>
        <w:sz w:val="22"/>
        <w:lang w:val="pt-PT"/>
      </w:rPr>
      <w:t>LHE/24/19.COM/6.c</w:t>
    </w:r>
  </w:p>
  <w:p w14:paraId="1B4446C3" w14:textId="40DBE422" w:rsidR="00D95C4C" w:rsidRPr="003C6FDB" w:rsidRDefault="00D95C4C" w:rsidP="00655736">
    <w:pPr>
      <w:jc w:val="right"/>
      <w:rPr>
        <w:rFonts w:ascii="Arial" w:eastAsiaTheme="minorEastAsia" w:hAnsi="Arial" w:cs="Arial"/>
        <w:b/>
        <w:sz w:val="22"/>
        <w:szCs w:val="22"/>
        <w:lang w:val="pt-PT"/>
      </w:rPr>
    </w:pPr>
    <w:r w:rsidRPr="003C6FDB">
      <w:rPr>
        <w:rFonts w:ascii="Arial" w:hAnsi="Arial"/>
        <w:b/>
        <w:sz w:val="22"/>
        <w:lang w:val="pt-PT"/>
      </w:rPr>
      <w:t xml:space="preserve">Paris, </w:t>
    </w:r>
    <w:r w:rsidR="003C6FDB">
      <w:rPr>
        <w:rFonts w:ascii="Arial" w:hAnsi="Arial"/>
        <w:b/>
        <w:sz w:val="22"/>
        <w:lang w:val="pt-PT"/>
      </w:rPr>
      <w:t xml:space="preserve">le </w:t>
    </w:r>
    <w:r w:rsidRPr="003C6FDB">
      <w:rPr>
        <w:rFonts w:ascii="Arial" w:hAnsi="Arial"/>
        <w:b/>
        <w:sz w:val="22"/>
        <w:lang w:val="pt-PT"/>
      </w:rPr>
      <w:t>4 novembre 2024</w:t>
    </w:r>
  </w:p>
  <w:p w14:paraId="255B57FF" w14:textId="45C8795F" w:rsidR="00D95C4C" w:rsidRPr="00F32C23" w:rsidRDefault="00D95C4C" w:rsidP="00962034">
    <w:pPr>
      <w:spacing w:after="120"/>
      <w:jc w:val="right"/>
      <w:rPr>
        <w:rFonts w:ascii="Arial" w:hAnsi="Arial" w:cs="Arial"/>
        <w:b/>
        <w:sz w:val="22"/>
        <w:szCs w:val="22"/>
      </w:rPr>
    </w:pPr>
    <w:r>
      <w:rPr>
        <w:rFonts w:ascii="Arial" w:hAnsi="Arial"/>
        <w:b/>
        <w:sz w:val="22"/>
      </w:rPr>
      <w:t xml:space="preserve">Original : </w:t>
    </w:r>
    <w:r w:rsidR="003C6FDB">
      <w:rPr>
        <w:rFonts w:ascii="Arial" w:hAnsi="Arial"/>
        <w:b/>
        <w:sz w:val="22"/>
      </w:rPr>
      <w:t>a</w:t>
    </w:r>
    <w:r>
      <w:rPr>
        <w:rFonts w:ascii="Arial" w:hAnsi="Arial"/>
        <w:b/>
        <w:sz w:val="22"/>
      </w:rPr>
      <w:t>nglais</w:t>
    </w: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57ED"/>
    <w:multiLevelType w:val="hybridMultilevel"/>
    <w:tmpl w:val="11703DCE"/>
    <w:lvl w:ilvl="0" w:tplc="7A4877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D77"/>
    <w:multiLevelType w:val="hybridMultilevel"/>
    <w:tmpl w:val="E412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C077C46"/>
    <w:multiLevelType w:val="hybridMultilevel"/>
    <w:tmpl w:val="C1102522"/>
    <w:lvl w:ilvl="0" w:tplc="ED4030C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4B0CD3"/>
    <w:multiLevelType w:val="hybridMultilevel"/>
    <w:tmpl w:val="DA4AF8EC"/>
    <w:lvl w:ilvl="0" w:tplc="A7D66C9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7A4DB1"/>
    <w:multiLevelType w:val="hybridMultilevel"/>
    <w:tmpl w:val="FF46DBE8"/>
    <w:lvl w:ilvl="0" w:tplc="918ACE6A">
      <w:start w:val="1"/>
      <w:numFmt w:val="decimal"/>
      <w:pStyle w:val="COMParaDecision"/>
      <w:lvlText w:val="%1."/>
      <w:lvlJc w:val="left"/>
      <w:pPr>
        <w:ind w:left="1287" w:hanging="360"/>
      </w:pPr>
    </w:lvl>
    <w:lvl w:ilvl="1" w:tplc="040C0001">
      <w:start w:val="1"/>
      <w:numFmt w:val="bullet"/>
      <w:lvlText w:val=""/>
      <w:lvlJc w:val="left"/>
      <w:pPr>
        <w:ind w:left="2007" w:hanging="360"/>
      </w:pPr>
      <w:rPr>
        <w:rFonts w:ascii="Symbol" w:hAnsi="Symbol" w:hint="default"/>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964E06"/>
    <w:multiLevelType w:val="hybridMultilevel"/>
    <w:tmpl w:val="236C3E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1E072F1"/>
    <w:multiLevelType w:val="hybridMultilevel"/>
    <w:tmpl w:val="A0068A30"/>
    <w:lvl w:ilvl="0" w:tplc="040C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43E85723"/>
    <w:multiLevelType w:val="hybridMultilevel"/>
    <w:tmpl w:val="2CF07A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A0A1CF0"/>
    <w:multiLevelType w:val="hybridMultilevel"/>
    <w:tmpl w:val="D472A32E"/>
    <w:lvl w:ilvl="0" w:tplc="899235D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58B3596"/>
    <w:multiLevelType w:val="hybridMultilevel"/>
    <w:tmpl w:val="8B6408A2"/>
    <w:lvl w:ilvl="0" w:tplc="9CA602C4">
      <w:start w:val="1"/>
      <w:numFmt w:val="low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4"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267738024">
    <w:abstractNumId w:val="2"/>
  </w:num>
  <w:num w:numId="2" w16cid:durableId="1620991412">
    <w:abstractNumId w:val="6"/>
  </w:num>
  <w:num w:numId="3" w16cid:durableId="2043554829">
    <w:abstractNumId w:val="7"/>
  </w:num>
  <w:num w:numId="4" w16cid:durableId="1314795377">
    <w:abstractNumId w:val="8"/>
  </w:num>
  <w:num w:numId="5" w16cid:durableId="1992833428">
    <w:abstractNumId w:val="14"/>
  </w:num>
  <w:num w:numId="6" w16cid:durableId="1876693717">
    <w:abstractNumId w:val="3"/>
  </w:num>
  <w:num w:numId="7" w16cid:durableId="142938824">
    <w:abstractNumId w:val="11"/>
  </w:num>
  <w:num w:numId="8" w16cid:durableId="1190796017">
    <w:abstractNumId w:val="9"/>
  </w:num>
  <w:num w:numId="9" w16cid:durableId="145443202">
    <w:abstractNumId w:val="12"/>
  </w:num>
  <w:num w:numId="10" w16cid:durableId="641277837">
    <w:abstractNumId w:val="4"/>
  </w:num>
  <w:num w:numId="11" w16cid:durableId="1110658716">
    <w:abstractNumId w:val="0"/>
  </w:num>
  <w:num w:numId="12" w16cid:durableId="1425957203">
    <w:abstractNumId w:val="1"/>
  </w:num>
  <w:num w:numId="13" w16cid:durableId="2101831665">
    <w:abstractNumId w:val="6"/>
  </w:num>
  <w:num w:numId="14" w16cid:durableId="63452658">
    <w:abstractNumId w:val="5"/>
  </w:num>
  <w:num w:numId="15" w16cid:durableId="1858305233">
    <w:abstractNumId w:val="6"/>
  </w:num>
  <w:num w:numId="16" w16cid:durableId="735127701">
    <w:abstractNumId w:val="6"/>
  </w:num>
  <w:num w:numId="17" w16cid:durableId="1935281610">
    <w:abstractNumId w:val="6"/>
  </w:num>
  <w:num w:numId="18" w16cid:durableId="1195801064">
    <w:abstractNumId w:val="10"/>
  </w:num>
  <w:num w:numId="19" w16cid:durableId="1867982252">
    <w:abstractNumId w:val="6"/>
  </w:num>
  <w:num w:numId="20" w16cid:durableId="2041323685">
    <w:abstractNumId w:val="7"/>
  </w:num>
  <w:num w:numId="21" w16cid:durableId="607660723">
    <w:abstractNumId w:val="13"/>
  </w:num>
  <w:num w:numId="22" w16cid:durableId="1786345111">
    <w:abstractNumId w:val="6"/>
  </w:num>
  <w:num w:numId="23" w16cid:durableId="1849324532">
    <w:abstractNumId w:val="6"/>
  </w:num>
  <w:num w:numId="24" w16cid:durableId="244607109">
    <w:abstractNumId w:val="6"/>
  </w:num>
  <w:num w:numId="25" w16cid:durableId="1072190876">
    <w:abstractNumId w:val="6"/>
  </w:num>
  <w:num w:numId="26" w16cid:durableId="235674804">
    <w:abstractNumId w:val="6"/>
  </w:num>
  <w:num w:numId="27" w16cid:durableId="1729767224">
    <w:abstractNumId w:val="6"/>
  </w:num>
  <w:num w:numId="28" w16cid:durableId="335309730">
    <w:abstractNumId w:val="6"/>
  </w:num>
  <w:num w:numId="29" w16cid:durableId="68301702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05F1C"/>
    <w:rsid w:val="00010861"/>
    <w:rsid w:val="00014915"/>
    <w:rsid w:val="00022898"/>
    <w:rsid w:val="00032612"/>
    <w:rsid w:val="00033AC2"/>
    <w:rsid w:val="000345E5"/>
    <w:rsid w:val="00034BA6"/>
    <w:rsid w:val="00034E04"/>
    <w:rsid w:val="00036C3C"/>
    <w:rsid w:val="00041A66"/>
    <w:rsid w:val="00042D88"/>
    <w:rsid w:val="00044FBF"/>
    <w:rsid w:val="00047499"/>
    <w:rsid w:val="00047CE9"/>
    <w:rsid w:val="0005176E"/>
    <w:rsid w:val="00051783"/>
    <w:rsid w:val="00051E98"/>
    <w:rsid w:val="000561E3"/>
    <w:rsid w:val="00056787"/>
    <w:rsid w:val="000663F8"/>
    <w:rsid w:val="00067476"/>
    <w:rsid w:val="000765F7"/>
    <w:rsid w:val="0007725F"/>
    <w:rsid w:val="00077AB7"/>
    <w:rsid w:val="00080CC6"/>
    <w:rsid w:val="00081CD8"/>
    <w:rsid w:val="00085600"/>
    <w:rsid w:val="00085D7A"/>
    <w:rsid w:val="000870FF"/>
    <w:rsid w:val="000872E4"/>
    <w:rsid w:val="00087409"/>
    <w:rsid w:val="00094843"/>
    <w:rsid w:val="000949B3"/>
    <w:rsid w:val="000A7F0E"/>
    <w:rsid w:val="000B1C8F"/>
    <w:rsid w:val="000B267D"/>
    <w:rsid w:val="000C03E5"/>
    <w:rsid w:val="000C0D61"/>
    <w:rsid w:val="000C33D4"/>
    <w:rsid w:val="000C50BC"/>
    <w:rsid w:val="000D63ED"/>
    <w:rsid w:val="000D7088"/>
    <w:rsid w:val="000D783D"/>
    <w:rsid w:val="000E00E1"/>
    <w:rsid w:val="000E2BEB"/>
    <w:rsid w:val="000F3A3F"/>
    <w:rsid w:val="000F4FF9"/>
    <w:rsid w:val="000F52D7"/>
    <w:rsid w:val="000F6403"/>
    <w:rsid w:val="000F73C2"/>
    <w:rsid w:val="000F7F4A"/>
    <w:rsid w:val="00102557"/>
    <w:rsid w:val="00105FDA"/>
    <w:rsid w:val="00110995"/>
    <w:rsid w:val="00112FB7"/>
    <w:rsid w:val="001130FA"/>
    <w:rsid w:val="001239DF"/>
    <w:rsid w:val="00123A7E"/>
    <w:rsid w:val="00123C5D"/>
    <w:rsid w:val="00123E80"/>
    <w:rsid w:val="00142614"/>
    <w:rsid w:val="00143E7C"/>
    <w:rsid w:val="00144282"/>
    <w:rsid w:val="0014668F"/>
    <w:rsid w:val="00147A38"/>
    <w:rsid w:val="00164D56"/>
    <w:rsid w:val="00165417"/>
    <w:rsid w:val="00167B10"/>
    <w:rsid w:val="00172D46"/>
    <w:rsid w:val="0017402F"/>
    <w:rsid w:val="001755D2"/>
    <w:rsid w:val="001807A2"/>
    <w:rsid w:val="00185C41"/>
    <w:rsid w:val="00190205"/>
    <w:rsid w:val="00192C1B"/>
    <w:rsid w:val="00194144"/>
    <w:rsid w:val="00196C1B"/>
    <w:rsid w:val="001A2BA7"/>
    <w:rsid w:val="001B0F73"/>
    <w:rsid w:val="001C0F89"/>
    <w:rsid w:val="001C2DB7"/>
    <w:rsid w:val="001C566D"/>
    <w:rsid w:val="001D14FE"/>
    <w:rsid w:val="001D1D49"/>
    <w:rsid w:val="001D2BA7"/>
    <w:rsid w:val="001D39A8"/>
    <w:rsid w:val="001D5876"/>
    <w:rsid w:val="001D5C04"/>
    <w:rsid w:val="001E6D72"/>
    <w:rsid w:val="001E7676"/>
    <w:rsid w:val="001F26CF"/>
    <w:rsid w:val="001F3234"/>
    <w:rsid w:val="002038A3"/>
    <w:rsid w:val="00222A2D"/>
    <w:rsid w:val="00223029"/>
    <w:rsid w:val="002254A4"/>
    <w:rsid w:val="00234745"/>
    <w:rsid w:val="00234781"/>
    <w:rsid w:val="002351A6"/>
    <w:rsid w:val="00236601"/>
    <w:rsid w:val="002407AF"/>
    <w:rsid w:val="0024270C"/>
    <w:rsid w:val="00245501"/>
    <w:rsid w:val="00253567"/>
    <w:rsid w:val="00254B26"/>
    <w:rsid w:val="00255684"/>
    <w:rsid w:val="00260941"/>
    <w:rsid w:val="00260F98"/>
    <w:rsid w:val="00261E3B"/>
    <w:rsid w:val="0026221A"/>
    <w:rsid w:val="002715A0"/>
    <w:rsid w:val="0027466B"/>
    <w:rsid w:val="00280001"/>
    <w:rsid w:val="00280FCF"/>
    <w:rsid w:val="002814F6"/>
    <w:rsid w:val="00281F54"/>
    <w:rsid w:val="002838A5"/>
    <w:rsid w:val="00285BB4"/>
    <w:rsid w:val="00287925"/>
    <w:rsid w:val="002948D9"/>
    <w:rsid w:val="002A6A22"/>
    <w:rsid w:val="002C0963"/>
    <w:rsid w:val="002C09E3"/>
    <w:rsid w:val="002C6A2C"/>
    <w:rsid w:val="002D1244"/>
    <w:rsid w:val="002D77E4"/>
    <w:rsid w:val="002E0193"/>
    <w:rsid w:val="002E054E"/>
    <w:rsid w:val="002F3166"/>
    <w:rsid w:val="00302938"/>
    <w:rsid w:val="00307AEB"/>
    <w:rsid w:val="0031342D"/>
    <w:rsid w:val="00330287"/>
    <w:rsid w:val="00332298"/>
    <w:rsid w:val="00332D8B"/>
    <w:rsid w:val="00337CEB"/>
    <w:rsid w:val="00344B58"/>
    <w:rsid w:val="0034539A"/>
    <w:rsid w:val="00345CB4"/>
    <w:rsid w:val="00346115"/>
    <w:rsid w:val="00351BAD"/>
    <w:rsid w:val="003529F9"/>
    <w:rsid w:val="00361541"/>
    <w:rsid w:val="00372C10"/>
    <w:rsid w:val="00375D42"/>
    <w:rsid w:val="00383F49"/>
    <w:rsid w:val="003856D3"/>
    <w:rsid w:val="00385B57"/>
    <w:rsid w:val="003901A6"/>
    <w:rsid w:val="00391500"/>
    <w:rsid w:val="00397242"/>
    <w:rsid w:val="003B7A77"/>
    <w:rsid w:val="003C3187"/>
    <w:rsid w:val="003C4E4A"/>
    <w:rsid w:val="003C52EB"/>
    <w:rsid w:val="003C66D1"/>
    <w:rsid w:val="003C6FDB"/>
    <w:rsid w:val="003D0672"/>
    <w:rsid w:val="003D069C"/>
    <w:rsid w:val="003D1A43"/>
    <w:rsid w:val="003D7038"/>
    <w:rsid w:val="003D7646"/>
    <w:rsid w:val="003F05A2"/>
    <w:rsid w:val="003F113A"/>
    <w:rsid w:val="003F36E6"/>
    <w:rsid w:val="003F3E63"/>
    <w:rsid w:val="003F6D2B"/>
    <w:rsid w:val="00400582"/>
    <w:rsid w:val="0040467B"/>
    <w:rsid w:val="00407480"/>
    <w:rsid w:val="00407E38"/>
    <w:rsid w:val="0041413B"/>
    <w:rsid w:val="00414643"/>
    <w:rsid w:val="004201F2"/>
    <w:rsid w:val="00421474"/>
    <w:rsid w:val="00425732"/>
    <w:rsid w:val="00431381"/>
    <w:rsid w:val="004313C4"/>
    <w:rsid w:val="00436B61"/>
    <w:rsid w:val="00440F4D"/>
    <w:rsid w:val="004421E5"/>
    <w:rsid w:val="004479AF"/>
    <w:rsid w:val="00450F44"/>
    <w:rsid w:val="00452284"/>
    <w:rsid w:val="00455F9D"/>
    <w:rsid w:val="00457C8E"/>
    <w:rsid w:val="00465A9E"/>
    <w:rsid w:val="00474ED9"/>
    <w:rsid w:val="0047544B"/>
    <w:rsid w:val="00480175"/>
    <w:rsid w:val="004856CA"/>
    <w:rsid w:val="004863E3"/>
    <w:rsid w:val="00487E67"/>
    <w:rsid w:val="004906B7"/>
    <w:rsid w:val="004966C2"/>
    <w:rsid w:val="0049705E"/>
    <w:rsid w:val="004973A8"/>
    <w:rsid w:val="004A2875"/>
    <w:rsid w:val="004A3024"/>
    <w:rsid w:val="004A34A0"/>
    <w:rsid w:val="004A6833"/>
    <w:rsid w:val="004C3784"/>
    <w:rsid w:val="004C7630"/>
    <w:rsid w:val="004C7C82"/>
    <w:rsid w:val="004D2FD8"/>
    <w:rsid w:val="004E10E9"/>
    <w:rsid w:val="004F1368"/>
    <w:rsid w:val="005008A8"/>
    <w:rsid w:val="00502A65"/>
    <w:rsid w:val="00510DBB"/>
    <w:rsid w:val="00511D42"/>
    <w:rsid w:val="00517FD8"/>
    <w:rsid w:val="00520D5A"/>
    <w:rsid w:val="00524924"/>
    <w:rsid w:val="00526B7B"/>
    <w:rsid w:val="005274D2"/>
    <w:rsid w:val="00527782"/>
    <w:rsid w:val="005308CE"/>
    <w:rsid w:val="0053318C"/>
    <w:rsid w:val="00541280"/>
    <w:rsid w:val="00543E58"/>
    <w:rsid w:val="00553766"/>
    <w:rsid w:val="00553B84"/>
    <w:rsid w:val="00553D7A"/>
    <w:rsid w:val="00565152"/>
    <w:rsid w:val="005679F6"/>
    <w:rsid w:val="0057439C"/>
    <w:rsid w:val="00574B55"/>
    <w:rsid w:val="00590CFC"/>
    <w:rsid w:val="0059297A"/>
    <w:rsid w:val="005960FA"/>
    <w:rsid w:val="00596FDC"/>
    <w:rsid w:val="00597961"/>
    <w:rsid w:val="005A47E3"/>
    <w:rsid w:val="005B0127"/>
    <w:rsid w:val="005B037D"/>
    <w:rsid w:val="005B3D46"/>
    <w:rsid w:val="005B7A35"/>
    <w:rsid w:val="005C3492"/>
    <w:rsid w:val="005C4B73"/>
    <w:rsid w:val="005C6ADB"/>
    <w:rsid w:val="005D0C27"/>
    <w:rsid w:val="005E1D2B"/>
    <w:rsid w:val="005E7074"/>
    <w:rsid w:val="005F0066"/>
    <w:rsid w:val="005F2BAF"/>
    <w:rsid w:val="005F3C5A"/>
    <w:rsid w:val="005F5237"/>
    <w:rsid w:val="005F54B0"/>
    <w:rsid w:val="006006DA"/>
    <w:rsid w:val="00600D93"/>
    <w:rsid w:val="006035B0"/>
    <w:rsid w:val="00607653"/>
    <w:rsid w:val="00612A0E"/>
    <w:rsid w:val="006143CC"/>
    <w:rsid w:val="00615147"/>
    <w:rsid w:val="00615F6E"/>
    <w:rsid w:val="00617F77"/>
    <w:rsid w:val="00623B97"/>
    <w:rsid w:val="00624BD7"/>
    <w:rsid w:val="006258C6"/>
    <w:rsid w:val="00626BEA"/>
    <w:rsid w:val="0062722D"/>
    <w:rsid w:val="0063300C"/>
    <w:rsid w:val="00634903"/>
    <w:rsid w:val="006368DB"/>
    <w:rsid w:val="00640015"/>
    <w:rsid w:val="0064195B"/>
    <w:rsid w:val="00642638"/>
    <w:rsid w:val="0064743A"/>
    <w:rsid w:val="006502B3"/>
    <w:rsid w:val="00650F99"/>
    <w:rsid w:val="00651A5B"/>
    <w:rsid w:val="00651FDF"/>
    <w:rsid w:val="00655736"/>
    <w:rsid w:val="00663B8D"/>
    <w:rsid w:val="00673156"/>
    <w:rsid w:val="006771C6"/>
    <w:rsid w:val="00680F65"/>
    <w:rsid w:val="00686AD5"/>
    <w:rsid w:val="0069066C"/>
    <w:rsid w:val="0069527A"/>
    <w:rsid w:val="0069558A"/>
    <w:rsid w:val="00696C8D"/>
    <w:rsid w:val="006A2AC2"/>
    <w:rsid w:val="006A3617"/>
    <w:rsid w:val="006A36B0"/>
    <w:rsid w:val="006A55B9"/>
    <w:rsid w:val="006B0C29"/>
    <w:rsid w:val="006B21E7"/>
    <w:rsid w:val="006B4452"/>
    <w:rsid w:val="006C03CE"/>
    <w:rsid w:val="006C1860"/>
    <w:rsid w:val="006C3DF9"/>
    <w:rsid w:val="006C703C"/>
    <w:rsid w:val="006D0631"/>
    <w:rsid w:val="006D2C30"/>
    <w:rsid w:val="006D44DF"/>
    <w:rsid w:val="006D66D5"/>
    <w:rsid w:val="006D6934"/>
    <w:rsid w:val="006E289E"/>
    <w:rsid w:val="006E46E4"/>
    <w:rsid w:val="006E55FA"/>
    <w:rsid w:val="006E75EB"/>
    <w:rsid w:val="006F3030"/>
    <w:rsid w:val="006F65B1"/>
    <w:rsid w:val="007048FD"/>
    <w:rsid w:val="00707B90"/>
    <w:rsid w:val="00716477"/>
    <w:rsid w:val="00717DA5"/>
    <w:rsid w:val="00726589"/>
    <w:rsid w:val="007333D0"/>
    <w:rsid w:val="007339BF"/>
    <w:rsid w:val="00734D32"/>
    <w:rsid w:val="007370A7"/>
    <w:rsid w:val="00744484"/>
    <w:rsid w:val="00747566"/>
    <w:rsid w:val="00766BA2"/>
    <w:rsid w:val="00771355"/>
    <w:rsid w:val="00773188"/>
    <w:rsid w:val="00773B0A"/>
    <w:rsid w:val="00776382"/>
    <w:rsid w:val="00783782"/>
    <w:rsid w:val="00784B8C"/>
    <w:rsid w:val="00785741"/>
    <w:rsid w:val="00785DD3"/>
    <w:rsid w:val="007879E1"/>
    <w:rsid w:val="00790607"/>
    <w:rsid w:val="007A0714"/>
    <w:rsid w:val="007A1A6F"/>
    <w:rsid w:val="007A5571"/>
    <w:rsid w:val="007B6DDD"/>
    <w:rsid w:val="007C28CD"/>
    <w:rsid w:val="007C6BDF"/>
    <w:rsid w:val="007D5E42"/>
    <w:rsid w:val="007D5EEC"/>
    <w:rsid w:val="007E1FE1"/>
    <w:rsid w:val="007E57AA"/>
    <w:rsid w:val="007E7CCD"/>
    <w:rsid w:val="007F35D2"/>
    <w:rsid w:val="008061EB"/>
    <w:rsid w:val="00811E6E"/>
    <w:rsid w:val="0081714A"/>
    <w:rsid w:val="00823A11"/>
    <w:rsid w:val="008252A6"/>
    <w:rsid w:val="008335EB"/>
    <w:rsid w:val="00850179"/>
    <w:rsid w:val="008502BC"/>
    <w:rsid w:val="00852263"/>
    <w:rsid w:val="008531C1"/>
    <w:rsid w:val="0085405E"/>
    <w:rsid w:val="0085414A"/>
    <w:rsid w:val="00855899"/>
    <w:rsid w:val="00857EB9"/>
    <w:rsid w:val="0086269D"/>
    <w:rsid w:val="008630D0"/>
    <w:rsid w:val="0086543A"/>
    <w:rsid w:val="008724E5"/>
    <w:rsid w:val="00873A65"/>
    <w:rsid w:val="008765C9"/>
    <w:rsid w:val="00882630"/>
    <w:rsid w:val="00883364"/>
    <w:rsid w:val="00883DAD"/>
    <w:rsid w:val="00884A9D"/>
    <w:rsid w:val="0088512B"/>
    <w:rsid w:val="00890225"/>
    <w:rsid w:val="008926B2"/>
    <w:rsid w:val="008A2B2D"/>
    <w:rsid w:val="008A446F"/>
    <w:rsid w:val="008A4E1E"/>
    <w:rsid w:val="008A6458"/>
    <w:rsid w:val="008A6E1F"/>
    <w:rsid w:val="008B0D69"/>
    <w:rsid w:val="008B6806"/>
    <w:rsid w:val="008C2728"/>
    <w:rsid w:val="008C296C"/>
    <w:rsid w:val="008D4305"/>
    <w:rsid w:val="008E1A85"/>
    <w:rsid w:val="008E344F"/>
    <w:rsid w:val="008E627F"/>
    <w:rsid w:val="008F3E8E"/>
    <w:rsid w:val="008F6168"/>
    <w:rsid w:val="00901E86"/>
    <w:rsid w:val="009163A7"/>
    <w:rsid w:val="00920F0C"/>
    <w:rsid w:val="00923AF7"/>
    <w:rsid w:val="00925CC7"/>
    <w:rsid w:val="009265A5"/>
    <w:rsid w:val="009354DE"/>
    <w:rsid w:val="00935F76"/>
    <w:rsid w:val="00937D53"/>
    <w:rsid w:val="00946D0B"/>
    <w:rsid w:val="00955877"/>
    <w:rsid w:val="0096129A"/>
    <w:rsid w:val="00962034"/>
    <w:rsid w:val="0096400C"/>
    <w:rsid w:val="009715DB"/>
    <w:rsid w:val="00977577"/>
    <w:rsid w:val="00987DA9"/>
    <w:rsid w:val="00991040"/>
    <w:rsid w:val="00996F54"/>
    <w:rsid w:val="009A1826"/>
    <w:rsid w:val="009A18CD"/>
    <w:rsid w:val="009B0B0C"/>
    <w:rsid w:val="009B4369"/>
    <w:rsid w:val="009B6FFD"/>
    <w:rsid w:val="009B7D70"/>
    <w:rsid w:val="009D05F7"/>
    <w:rsid w:val="009D31E0"/>
    <w:rsid w:val="009D5428"/>
    <w:rsid w:val="00A005D2"/>
    <w:rsid w:val="00A012C5"/>
    <w:rsid w:val="00A02AD5"/>
    <w:rsid w:val="00A02FBF"/>
    <w:rsid w:val="00A06252"/>
    <w:rsid w:val="00A12558"/>
    <w:rsid w:val="00A13903"/>
    <w:rsid w:val="00A17E98"/>
    <w:rsid w:val="00A21AD9"/>
    <w:rsid w:val="00A34ED5"/>
    <w:rsid w:val="00A45DBF"/>
    <w:rsid w:val="00A47E4A"/>
    <w:rsid w:val="00A531EF"/>
    <w:rsid w:val="00A573D9"/>
    <w:rsid w:val="00A6160F"/>
    <w:rsid w:val="00A61BDB"/>
    <w:rsid w:val="00A653AA"/>
    <w:rsid w:val="00A66EAC"/>
    <w:rsid w:val="00A7143D"/>
    <w:rsid w:val="00A725CF"/>
    <w:rsid w:val="00A755A2"/>
    <w:rsid w:val="00A76178"/>
    <w:rsid w:val="00A77C74"/>
    <w:rsid w:val="00A91430"/>
    <w:rsid w:val="00AA2DD1"/>
    <w:rsid w:val="00AA590D"/>
    <w:rsid w:val="00AA6483"/>
    <w:rsid w:val="00AA6660"/>
    <w:rsid w:val="00AA7E50"/>
    <w:rsid w:val="00AB2C36"/>
    <w:rsid w:val="00AB525B"/>
    <w:rsid w:val="00AB6DDE"/>
    <w:rsid w:val="00AB70B6"/>
    <w:rsid w:val="00AC18C1"/>
    <w:rsid w:val="00AD0BEF"/>
    <w:rsid w:val="00AD1A86"/>
    <w:rsid w:val="00AD5C46"/>
    <w:rsid w:val="00AE04CE"/>
    <w:rsid w:val="00AE103E"/>
    <w:rsid w:val="00AE4B73"/>
    <w:rsid w:val="00AE7737"/>
    <w:rsid w:val="00AF0A07"/>
    <w:rsid w:val="00AF2CFC"/>
    <w:rsid w:val="00AF4AEC"/>
    <w:rsid w:val="00AF625E"/>
    <w:rsid w:val="00B01C74"/>
    <w:rsid w:val="00B02C8B"/>
    <w:rsid w:val="00B139BE"/>
    <w:rsid w:val="00B143BF"/>
    <w:rsid w:val="00B15868"/>
    <w:rsid w:val="00B15964"/>
    <w:rsid w:val="00B170E5"/>
    <w:rsid w:val="00B2172B"/>
    <w:rsid w:val="00B335CC"/>
    <w:rsid w:val="00B34428"/>
    <w:rsid w:val="00B40EE0"/>
    <w:rsid w:val="00B4498C"/>
    <w:rsid w:val="00B45433"/>
    <w:rsid w:val="00B51142"/>
    <w:rsid w:val="00B5114C"/>
    <w:rsid w:val="00B67E7F"/>
    <w:rsid w:val="00B67FDA"/>
    <w:rsid w:val="00B75855"/>
    <w:rsid w:val="00B81747"/>
    <w:rsid w:val="00B8306C"/>
    <w:rsid w:val="00B83A04"/>
    <w:rsid w:val="00B83CAA"/>
    <w:rsid w:val="00B874EF"/>
    <w:rsid w:val="00B917D2"/>
    <w:rsid w:val="00B92DFF"/>
    <w:rsid w:val="00B940D0"/>
    <w:rsid w:val="00B95A9C"/>
    <w:rsid w:val="00B96592"/>
    <w:rsid w:val="00B97EB3"/>
    <w:rsid w:val="00BA14CD"/>
    <w:rsid w:val="00BA241A"/>
    <w:rsid w:val="00BA60F1"/>
    <w:rsid w:val="00BA6178"/>
    <w:rsid w:val="00BB04AF"/>
    <w:rsid w:val="00BB0945"/>
    <w:rsid w:val="00BB1811"/>
    <w:rsid w:val="00BB5AFE"/>
    <w:rsid w:val="00BB6EEC"/>
    <w:rsid w:val="00BC4A73"/>
    <w:rsid w:val="00BC5D19"/>
    <w:rsid w:val="00BD52C9"/>
    <w:rsid w:val="00BE6354"/>
    <w:rsid w:val="00BF47FA"/>
    <w:rsid w:val="00BF672B"/>
    <w:rsid w:val="00C014BE"/>
    <w:rsid w:val="00C02F17"/>
    <w:rsid w:val="00C03B83"/>
    <w:rsid w:val="00C04D56"/>
    <w:rsid w:val="00C056B4"/>
    <w:rsid w:val="00C0616A"/>
    <w:rsid w:val="00C072A5"/>
    <w:rsid w:val="00C138D1"/>
    <w:rsid w:val="00C15359"/>
    <w:rsid w:val="00C23A8D"/>
    <w:rsid w:val="00C23A8E"/>
    <w:rsid w:val="00C23A97"/>
    <w:rsid w:val="00C37946"/>
    <w:rsid w:val="00C40753"/>
    <w:rsid w:val="00C44DDB"/>
    <w:rsid w:val="00C512DC"/>
    <w:rsid w:val="00C52EBE"/>
    <w:rsid w:val="00C530E4"/>
    <w:rsid w:val="00C5776D"/>
    <w:rsid w:val="00C57C0F"/>
    <w:rsid w:val="00C64855"/>
    <w:rsid w:val="00C70B9C"/>
    <w:rsid w:val="00C70EA7"/>
    <w:rsid w:val="00C7433F"/>
    <w:rsid w:val="00C7516E"/>
    <w:rsid w:val="00C75770"/>
    <w:rsid w:val="00C82E3A"/>
    <w:rsid w:val="00C86038"/>
    <w:rsid w:val="00C94B9A"/>
    <w:rsid w:val="00C95E3C"/>
    <w:rsid w:val="00C9629A"/>
    <w:rsid w:val="00CA0156"/>
    <w:rsid w:val="00CA56BB"/>
    <w:rsid w:val="00CA6676"/>
    <w:rsid w:val="00CB0542"/>
    <w:rsid w:val="00CB15BB"/>
    <w:rsid w:val="00CB2B3C"/>
    <w:rsid w:val="00CB4808"/>
    <w:rsid w:val="00CD4FF2"/>
    <w:rsid w:val="00CD7548"/>
    <w:rsid w:val="00CE1472"/>
    <w:rsid w:val="00CF1D98"/>
    <w:rsid w:val="00D00B2B"/>
    <w:rsid w:val="00D03C2A"/>
    <w:rsid w:val="00D14957"/>
    <w:rsid w:val="00D1721C"/>
    <w:rsid w:val="00D20912"/>
    <w:rsid w:val="00D24877"/>
    <w:rsid w:val="00D26F1A"/>
    <w:rsid w:val="00D311CB"/>
    <w:rsid w:val="00D402BE"/>
    <w:rsid w:val="00D45560"/>
    <w:rsid w:val="00D45C64"/>
    <w:rsid w:val="00D460B6"/>
    <w:rsid w:val="00D5522A"/>
    <w:rsid w:val="00D626BC"/>
    <w:rsid w:val="00D63318"/>
    <w:rsid w:val="00D70605"/>
    <w:rsid w:val="00D7105A"/>
    <w:rsid w:val="00D76BF7"/>
    <w:rsid w:val="00D8250F"/>
    <w:rsid w:val="00D840E6"/>
    <w:rsid w:val="00D863CD"/>
    <w:rsid w:val="00D86BB3"/>
    <w:rsid w:val="00D87517"/>
    <w:rsid w:val="00D94423"/>
    <w:rsid w:val="00D95C4C"/>
    <w:rsid w:val="00DA36ED"/>
    <w:rsid w:val="00DA3E6E"/>
    <w:rsid w:val="00DC2521"/>
    <w:rsid w:val="00DD30E5"/>
    <w:rsid w:val="00DE34F1"/>
    <w:rsid w:val="00DE6160"/>
    <w:rsid w:val="00DE717C"/>
    <w:rsid w:val="00DF3D2A"/>
    <w:rsid w:val="00DF4942"/>
    <w:rsid w:val="00DF5B26"/>
    <w:rsid w:val="00E063ED"/>
    <w:rsid w:val="00E1326B"/>
    <w:rsid w:val="00E20374"/>
    <w:rsid w:val="00E2125F"/>
    <w:rsid w:val="00E244E1"/>
    <w:rsid w:val="00E328B9"/>
    <w:rsid w:val="00E32DE6"/>
    <w:rsid w:val="00E34113"/>
    <w:rsid w:val="00E4150C"/>
    <w:rsid w:val="00E51014"/>
    <w:rsid w:val="00E52492"/>
    <w:rsid w:val="00E57D31"/>
    <w:rsid w:val="00E602E4"/>
    <w:rsid w:val="00E625B2"/>
    <w:rsid w:val="00E627B1"/>
    <w:rsid w:val="00E66A26"/>
    <w:rsid w:val="00E70169"/>
    <w:rsid w:val="00E73598"/>
    <w:rsid w:val="00E80828"/>
    <w:rsid w:val="00E8672D"/>
    <w:rsid w:val="00E9376C"/>
    <w:rsid w:val="00E95AE2"/>
    <w:rsid w:val="00EA335E"/>
    <w:rsid w:val="00EA528C"/>
    <w:rsid w:val="00EA5516"/>
    <w:rsid w:val="00EA580C"/>
    <w:rsid w:val="00EA6DEA"/>
    <w:rsid w:val="00EB71BC"/>
    <w:rsid w:val="00EB7EEE"/>
    <w:rsid w:val="00EC248A"/>
    <w:rsid w:val="00EC6F8D"/>
    <w:rsid w:val="00EC7953"/>
    <w:rsid w:val="00ED3862"/>
    <w:rsid w:val="00ED39B2"/>
    <w:rsid w:val="00ED4224"/>
    <w:rsid w:val="00ED58F3"/>
    <w:rsid w:val="00ED7EA3"/>
    <w:rsid w:val="00EE1F00"/>
    <w:rsid w:val="00EE49F4"/>
    <w:rsid w:val="00EF34E2"/>
    <w:rsid w:val="00EF40A1"/>
    <w:rsid w:val="00EF6AF2"/>
    <w:rsid w:val="00EF6AF5"/>
    <w:rsid w:val="00EF7A7B"/>
    <w:rsid w:val="00F0155F"/>
    <w:rsid w:val="00F23090"/>
    <w:rsid w:val="00F23D8D"/>
    <w:rsid w:val="00F24ED2"/>
    <w:rsid w:val="00F26AD6"/>
    <w:rsid w:val="00F30DC6"/>
    <w:rsid w:val="00F31F96"/>
    <w:rsid w:val="00F32C23"/>
    <w:rsid w:val="00F404D5"/>
    <w:rsid w:val="00F40627"/>
    <w:rsid w:val="00F40C8A"/>
    <w:rsid w:val="00F4279C"/>
    <w:rsid w:val="00F46ECB"/>
    <w:rsid w:val="00F5057A"/>
    <w:rsid w:val="00F53DE9"/>
    <w:rsid w:val="00F576CB"/>
    <w:rsid w:val="00F7035D"/>
    <w:rsid w:val="00F70CC5"/>
    <w:rsid w:val="00F71779"/>
    <w:rsid w:val="00F71A02"/>
    <w:rsid w:val="00F74566"/>
    <w:rsid w:val="00F863F1"/>
    <w:rsid w:val="00FA056E"/>
    <w:rsid w:val="00FA0D63"/>
    <w:rsid w:val="00FA1008"/>
    <w:rsid w:val="00FA35D4"/>
    <w:rsid w:val="00FA4875"/>
    <w:rsid w:val="00FC6D23"/>
    <w:rsid w:val="00FC7217"/>
    <w:rsid w:val="00FD1226"/>
    <w:rsid w:val="00FD4BC8"/>
    <w:rsid w:val="00FE3464"/>
    <w:rsid w:val="00FE53F5"/>
    <w:rsid w:val="00FF4830"/>
    <w:rsid w:val="00FF4C7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1">
    <w:name w:val="heading 1"/>
    <w:basedOn w:val="Normal"/>
    <w:next w:val="Normal"/>
    <w:link w:val="Titre1Car"/>
    <w:uiPriority w:val="9"/>
    <w:rsid w:val="006426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character" w:styleId="Lienhypertexte">
    <w:name w:val="Hyperlink"/>
    <w:uiPriority w:val="99"/>
    <w:unhideWhenUsed/>
    <w:rsid w:val="008F6168"/>
    <w:rPr>
      <w:color w:val="0000FF"/>
      <w:u w:val="single"/>
    </w:rPr>
  </w:style>
  <w:style w:type="character" w:styleId="Lienhypertextesuivivisit">
    <w:name w:val="FollowedHyperlink"/>
    <w:basedOn w:val="Policepardfaut"/>
    <w:uiPriority w:val="99"/>
    <w:semiHidden/>
    <w:unhideWhenUsed/>
    <w:rsid w:val="00FA35D4"/>
    <w:rPr>
      <w:color w:val="800080" w:themeColor="followedHyperlink"/>
      <w:u w:val="single"/>
    </w:rPr>
  </w:style>
  <w:style w:type="character" w:styleId="Mentionnonrsolue">
    <w:name w:val="Unresolved Mention"/>
    <w:basedOn w:val="Policepardfaut"/>
    <w:uiPriority w:val="99"/>
    <w:semiHidden/>
    <w:unhideWhenUsed/>
    <w:rsid w:val="00FA35D4"/>
    <w:rPr>
      <w:color w:val="605E5C"/>
      <w:shd w:val="clear" w:color="auto" w:fill="E1DFDD"/>
    </w:rPr>
  </w:style>
  <w:style w:type="paragraph" w:styleId="Rvision">
    <w:name w:val="Revision"/>
    <w:hidden/>
    <w:uiPriority w:val="99"/>
    <w:semiHidden/>
    <w:rsid w:val="00D76BF7"/>
    <w:rPr>
      <w:rFonts w:ascii="Times New Roman" w:eastAsia="Times New Roman" w:hAnsi="Times New Roman"/>
      <w:sz w:val="24"/>
      <w:szCs w:val="24"/>
    </w:rPr>
  </w:style>
  <w:style w:type="character" w:customStyle="1" w:styleId="Titre1Car">
    <w:name w:val="Titre 1 Car"/>
    <w:basedOn w:val="Policepardfaut"/>
    <w:link w:val="Titre1"/>
    <w:uiPriority w:val="9"/>
    <w:rsid w:val="00642638"/>
    <w:rPr>
      <w:rFonts w:asciiTheme="majorHAnsi" w:eastAsiaTheme="majorEastAsia" w:hAnsiTheme="majorHAnsi" w:cstheme="majorBidi"/>
      <w:color w:val="365F91" w:themeColor="accent1" w:themeShade="BF"/>
      <w:sz w:val="32"/>
      <w:szCs w:val="32"/>
    </w:rPr>
  </w:style>
  <w:style w:type="character" w:styleId="Marquedecommentaire">
    <w:name w:val="annotation reference"/>
    <w:basedOn w:val="Policepardfaut"/>
    <w:uiPriority w:val="99"/>
    <w:semiHidden/>
    <w:unhideWhenUsed/>
    <w:rsid w:val="002948D9"/>
    <w:rPr>
      <w:sz w:val="16"/>
      <w:szCs w:val="16"/>
    </w:rPr>
  </w:style>
  <w:style w:type="paragraph" w:styleId="Commentaire">
    <w:name w:val="annotation text"/>
    <w:basedOn w:val="Normal"/>
    <w:link w:val="CommentaireCar"/>
    <w:uiPriority w:val="99"/>
    <w:unhideWhenUsed/>
    <w:rsid w:val="002948D9"/>
    <w:rPr>
      <w:sz w:val="20"/>
      <w:szCs w:val="20"/>
    </w:rPr>
  </w:style>
  <w:style w:type="character" w:customStyle="1" w:styleId="CommentaireCar">
    <w:name w:val="Commentaire Car"/>
    <w:basedOn w:val="Policepardfaut"/>
    <w:link w:val="Commentaire"/>
    <w:uiPriority w:val="99"/>
    <w:rsid w:val="002948D9"/>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2948D9"/>
    <w:rPr>
      <w:b/>
      <w:bCs/>
    </w:rPr>
  </w:style>
  <w:style w:type="character" w:customStyle="1" w:styleId="ObjetducommentaireCar">
    <w:name w:val="Objet du commentaire Car"/>
    <w:basedOn w:val="CommentaireCar"/>
    <w:link w:val="Objetducommentaire"/>
    <w:uiPriority w:val="99"/>
    <w:semiHidden/>
    <w:rsid w:val="002948D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355976">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00183883">
      <w:bodyDiv w:val="1"/>
      <w:marLeft w:val="0"/>
      <w:marRight w:val="0"/>
      <w:marTop w:val="0"/>
      <w:marBottom w:val="0"/>
      <w:divBdr>
        <w:top w:val="none" w:sz="0" w:space="0" w:color="auto"/>
        <w:left w:val="none" w:sz="0" w:space="0" w:color="auto"/>
        <w:bottom w:val="none" w:sz="0" w:space="0" w:color="auto"/>
        <w:right w:val="none" w:sz="0" w:space="0" w:color="auto"/>
      </w:divBdr>
    </w:div>
    <w:div w:id="1459761800">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5855988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2.COM/10" TargetMode="External"/><Relationship Id="rId13" Type="http://schemas.openxmlformats.org/officeDocument/2006/relationships/image" Target="media/image1.png"/><Relationship Id="rId18" Type="http://schemas.openxmlformats.org/officeDocument/2006/relationships/hyperlink" Target="https://unesdoc.unesco.org/in/documentViewer.xhtml?v=2.1.196&amp;id=p::usmarcdef_0000389517_fre&amp;file=/in/rest/annotationSVC/DownloadWatermarkedAttachment/attach_import_14fbf3fd-d451-4a92-b498-5011f80bfead%3F_%3D389517fre.pdf&amp;locale=en&amp;multi=true&amp;ark=/ark:/48223/pf0000389517_fre/PDF/389517fre.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ch.unesco.org/fr/decisions/10.GA/6" TargetMode="External"/><Relationship Id="rId7" Type="http://schemas.openxmlformats.org/officeDocument/2006/relationships/endnotes" Target="endnotes.xml"/><Relationship Id="rId12" Type="http://schemas.openxmlformats.org/officeDocument/2006/relationships/hyperlink" Target="https://www.unesco.org/fr/articles/conference-mondiale-de-lunesco-sur-les-politiques-culturelles-et-le-developpement-durable-mondiacult" TargetMode="External"/><Relationship Id="rId17" Type="http://schemas.openxmlformats.org/officeDocument/2006/relationships/hyperlink" Target="https://ich.unesco.org/fr/decisions/18.COM/7.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h.unesco.org/fr/decisions/10.GA/6" TargetMode="External"/><Relationship Id="rId20" Type="http://schemas.openxmlformats.org/officeDocument/2006/relationships/hyperlink" Target="https://ich.unesco.org/fr/decisions/10.GA/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4.COM/8" TargetMode="External"/><Relationship Id="rId24" Type="http://schemas.openxmlformats.org/officeDocument/2006/relationships/hyperlink" Target="https://ich.unesco.org/doc/src/LHE-24-19.COM-INF.6.c_FR.docx" TargetMode="External"/><Relationship Id="rId5" Type="http://schemas.openxmlformats.org/officeDocument/2006/relationships/webSettings" Target="webSettings.xml"/><Relationship Id="rId15" Type="http://schemas.openxmlformats.org/officeDocument/2006/relationships/hyperlink" Target="https://ich.unesco.org/fr/decisions/10.GA/5" TargetMode="External"/><Relationship Id="rId23" Type="http://schemas.openxmlformats.org/officeDocument/2006/relationships/hyperlink" Target="https://unesdoc.unesco.org/in/documentViewer.xhtml?v=2.1.196&amp;id=p::usmarcdef_0000389517_fre&amp;file=/in/rest/annotationSVC/DownloadWatermarkedAttachment/attach_import_14fbf3fd-d451-4a92-b498-5011f80bfead%3F_%3D389517fre.pdf&amp;locale=en&amp;multi=true&amp;ark=/ark:/48223/pf0000389517_fre/PDF/389517fre.pdf" TargetMode="External"/><Relationship Id="rId28" Type="http://schemas.openxmlformats.org/officeDocument/2006/relationships/fontTable" Target="fontTable.xml"/><Relationship Id="rId10" Type="http://schemas.openxmlformats.org/officeDocument/2006/relationships/hyperlink" Target="https://ich.unesco.org/fr/Decisions/13.COM/8" TargetMode="External"/><Relationship Id="rId19" Type="http://schemas.openxmlformats.org/officeDocument/2006/relationships/hyperlink" Target="https://ich.unesco.org/fr/decisions/18.COM/7.C" TargetMode="External"/><Relationship Id="rId4" Type="http://schemas.openxmlformats.org/officeDocument/2006/relationships/settings" Target="settings.xml"/><Relationship Id="rId9" Type="http://schemas.openxmlformats.org/officeDocument/2006/relationships/hyperlink" Target="https://ich.unesco.org/fr/Decisions/7.GA/9" TargetMode="External"/><Relationship Id="rId14" Type="http://schemas.openxmlformats.org/officeDocument/2006/relationships/hyperlink" Target="https://unesdoc.unesco.org/ark:/48223/pf0000388995?posInSet=1&amp;queryId=bac1614c-87af-439e-8f80-730dd0527608" TargetMode="External"/><Relationship Id="rId22" Type="http://schemas.openxmlformats.org/officeDocument/2006/relationships/hyperlink" Target="https://unesdoc.unesco.org/in/documentViewer.xhtml?v=2.1.196&amp;id=p::usmarcdef_0000389517_fre&amp;file=/in/rest/annotationSVC/DownloadWatermarkedAttachment/attach_import_14fbf3fd-d451-4a92-b498-5011f80bfead%3F_%3D389517fre.pdf&amp;locale=en&amp;multi=true&amp;ark=/ark:/48223/pf0000389517_fre/PDF/389517fre.pdf" TargetMode="External"/><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doc/src/LHE-23-18.COM-7.b_FR_Rev..docx" TargetMode="External"/><Relationship Id="rId13" Type="http://schemas.openxmlformats.org/officeDocument/2006/relationships/hyperlink" Target="https://unesdoc.unesco.org/in/documentViewer.xhtml?v=2.1.196&amp;id=p::usmarcdef_0000389517_fre&amp;file=/in/rest/annotationSVC/DownloadWatermarkedAttachment/attach_import_14fbf3fd-d451-4a92-b498-5011f80bfead%3F_%3D389517fre.pdf&amp;locale=en&amp;multi=true&amp;ark=/ark:/48223/pf0000389517_fre/PDF/389517fre.pdf" TargetMode="External"/><Relationship Id="rId3" Type="http://schemas.openxmlformats.org/officeDocument/2006/relationships/hyperlink" Target="https://ich.unesco.org/doc/src/LHE-22-17.COM-INF.6.c_Rev-FR.pdf" TargetMode="External"/><Relationship Id="rId7" Type="http://schemas.openxmlformats.org/officeDocument/2006/relationships/hyperlink" Target="https://ich.unesco.org/fr/decisions/18.COM/7.B" TargetMode="External"/><Relationship Id="rId12" Type="http://schemas.openxmlformats.org/officeDocument/2006/relationships/hyperlink" Target="https://unesdoc.unesco.org/ark:/48223/pf0000388647_fre/PDF/388647fre.pdf.multi" TargetMode="External"/><Relationship Id="rId2" Type="http://schemas.openxmlformats.org/officeDocument/2006/relationships/hyperlink" Target="https://ich.unesco.org/doc/src/LHE-21-16.COM-7.b-FR.docx" TargetMode="External"/><Relationship Id="rId1" Type="http://schemas.openxmlformats.org/officeDocument/2006/relationships/hyperlink" Target="https://ich.unesco.org/fr/decisions/16.COM/7.B" TargetMode="External"/><Relationship Id="rId6" Type="http://schemas.openxmlformats.org/officeDocument/2006/relationships/hyperlink" Target="https://ich.unesco.org/doc/src/LHE-23-18.COM-INF.7.c_FR.docx" TargetMode="External"/><Relationship Id="rId11" Type="http://schemas.openxmlformats.org/officeDocument/2006/relationships/hyperlink" Target="https://unesdoc.unesco.org/ark:/48223/pf0000388647_fre/PDF/388647fre.pdf.multi" TargetMode="External"/><Relationship Id="rId5" Type="http://schemas.openxmlformats.org/officeDocument/2006/relationships/hyperlink" Target="https://ich.unesco.org/doc/src/LHE-22-17.COM-6.b-_Rev.-FR.docx" TargetMode="External"/><Relationship Id="rId15" Type="http://schemas.openxmlformats.org/officeDocument/2006/relationships/hyperlink" Target="https://unesdoc.unesco.org/ark:/48223/pf0000389557_fre" TargetMode="External"/><Relationship Id="rId10" Type="http://schemas.openxmlformats.org/officeDocument/2006/relationships/hyperlink" Target="https://ich.unesco.org/doc/src/LHE-24-19.COM-6.b_FR.docx" TargetMode="External"/><Relationship Id="rId4" Type="http://schemas.openxmlformats.org/officeDocument/2006/relationships/hyperlink" Target="https://ich.unesco.org/fr/decisions/17.COM/6.B" TargetMode="External"/><Relationship Id="rId9" Type="http://schemas.openxmlformats.org/officeDocument/2006/relationships/hyperlink" Target="https://ich.unesco.org/doc/src/LHE-24-19.COM-INF.6.c_FR.docx" TargetMode="External"/><Relationship Id="rId14" Type="http://schemas.openxmlformats.org/officeDocument/2006/relationships/hyperlink" Target="https://unesdoc.unesco.org/ark:/48223/pf0000390447_f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233</TotalTime>
  <Pages>10</Pages>
  <Words>4565</Words>
  <Characters>25110</Characters>
  <Application>Microsoft Office Word</Application>
  <DocSecurity>0</DocSecurity>
  <Lines>209</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Figea, Clarence</cp:lastModifiedBy>
  <cp:revision>52</cp:revision>
  <cp:lastPrinted>2024-10-27T17:06:00Z</cp:lastPrinted>
  <dcterms:created xsi:type="dcterms:W3CDTF">2024-11-03T13:41:00Z</dcterms:created>
  <dcterms:modified xsi:type="dcterms:W3CDTF">2024-11-04T21:29:00Z</dcterms:modified>
</cp:coreProperties>
</file>