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552B69" w:rsidRDefault="00EC6F8D" w:rsidP="00EC6F8D">
      <w:pPr>
        <w:spacing w:before="1440"/>
        <w:jc w:val="center"/>
        <w:rPr>
          <w:rFonts w:ascii="Arial" w:hAnsi="Arial" w:cs="Arial"/>
          <w:b/>
          <w:sz w:val="22"/>
          <w:szCs w:val="22"/>
          <w:lang w:val="en-GB"/>
        </w:rPr>
      </w:pPr>
      <w:r w:rsidRPr="00552B69">
        <w:rPr>
          <w:rFonts w:ascii="Arial" w:hAnsi="Arial" w:cs="Arial"/>
          <w:b/>
          <w:sz w:val="22"/>
          <w:szCs w:val="22"/>
          <w:lang w:val="en-GB"/>
        </w:rPr>
        <w:t>CONVENTION FOR THE SAFEGUARDING OF THE</w:t>
      </w:r>
      <w:r w:rsidRPr="00552B69">
        <w:rPr>
          <w:rFonts w:ascii="Arial" w:hAnsi="Arial" w:cs="Arial"/>
          <w:b/>
          <w:sz w:val="22"/>
          <w:szCs w:val="22"/>
          <w:lang w:val="en-GB"/>
        </w:rPr>
        <w:br/>
        <w:t>INTANGIBLE CULTURAL HERITAGE</w:t>
      </w:r>
    </w:p>
    <w:p w14:paraId="3F72B1D3" w14:textId="77777777" w:rsidR="00EC6F8D" w:rsidRPr="00552B69" w:rsidRDefault="00EC6F8D" w:rsidP="00EC6F8D">
      <w:pPr>
        <w:spacing w:before="1200"/>
        <w:jc w:val="center"/>
        <w:rPr>
          <w:rFonts w:ascii="Arial" w:hAnsi="Arial" w:cs="Arial"/>
          <w:b/>
          <w:sz w:val="22"/>
          <w:szCs w:val="22"/>
          <w:lang w:val="en-GB"/>
        </w:rPr>
      </w:pPr>
      <w:r w:rsidRPr="00552B69">
        <w:rPr>
          <w:rFonts w:ascii="Arial" w:hAnsi="Arial" w:cs="Arial"/>
          <w:b/>
          <w:sz w:val="22"/>
          <w:szCs w:val="22"/>
          <w:lang w:val="en-GB"/>
        </w:rPr>
        <w:t>INTERGOVERNMENTAL COMMITTEE FOR THE</w:t>
      </w:r>
      <w:r w:rsidRPr="00552B69">
        <w:rPr>
          <w:rFonts w:ascii="Arial" w:hAnsi="Arial" w:cs="Arial"/>
          <w:b/>
          <w:sz w:val="22"/>
          <w:szCs w:val="22"/>
          <w:lang w:val="en-GB"/>
        </w:rPr>
        <w:br/>
        <w:t>SAFEGUARDING OF THE INTANGIBLE CULTURAL HERITAGE</w:t>
      </w:r>
    </w:p>
    <w:p w14:paraId="2E1CD4B4" w14:textId="7E2B2016" w:rsidR="00EC6F8D" w:rsidRPr="00552B69" w:rsidRDefault="00D03C2A" w:rsidP="001D14FE">
      <w:pPr>
        <w:spacing w:before="840"/>
        <w:jc w:val="center"/>
        <w:rPr>
          <w:rFonts w:ascii="Arial" w:hAnsi="Arial" w:cs="Arial"/>
          <w:b/>
          <w:sz w:val="22"/>
          <w:szCs w:val="22"/>
          <w:lang w:val="en-GB"/>
        </w:rPr>
      </w:pPr>
      <w:r w:rsidRPr="00552B69">
        <w:rPr>
          <w:rFonts w:ascii="Arial" w:eastAsiaTheme="minorEastAsia" w:hAnsi="Arial" w:cs="Arial"/>
          <w:b/>
          <w:sz w:val="22"/>
          <w:szCs w:val="22"/>
          <w:lang w:val="en-GB" w:eastAsia="ko-KR"/>
        </w:rPr>
        <w:t>Nineteenth</w:t>
      </w:r>
      <w:r w:rsidR="00B2172B" w:rsidRPr="00552B69">
        <w:rPr>
          <w:rFonts w:ascii="Arial" w:eastAsiaTheme="minorEastAsia" w:hAnsi="Arial" w:cs="Arial"/>
          <w:b/>
          <w:sz w:val="22"/>
          <w:szCs w:val="22"/>
          <w:lang w:val="en-GB" w:eastAsia="ko-KR"/>
        </w:rPr>
        <w:t xml:space="preserve"> </w:t>
      </w:r>
      <w:r w:rsidR="00EC6F8D" w:rsidRPr="00552B69">
        <w:rPr>
          <w:rFonts w:ascii="Arial" w:hAnsi="Arial" w:cs="Arial"/>
          <w:b/>
          <w:sz w:val="22"/>
          <w:szCs w:val="22"/>
          <w:lang w:val="en-GB"/>
        </w:rPr>
        <w:t>session</w:t>
      </w:r>
    </w:p>
    <w:p w14:paraId="1FD89575" w14:textId="64831094" w:rsidR="00B2172B" w:rsidRPr="00552B69" w:rsidRDefault="00D03C2A" w:rsidP="00B2172B">
      <w:pPr>
        <w:jc w:val="center"/>
        <w:rPr>
          <w:rFonts w:ascii="Arial" w:hAnsi="Arial" w:cs="Arial"/>
          <w:b/>
          <w:sz w:val="22"/>
          <w:szCs w:val="22"/>
          <w:lang w:val="en-GB"/>
        </w:rPr>
      </w:pPr>
      <w:r w:rsidRPr="00552B69">
        <w:rPr>
          <w:rFonts w:ascii="Arial" w:hAnsi="Arial" w:cs="Arial"/>
          <w:b/>
          <w:sz w:val="22"/>
          <w:szCs w:val="22"/>
          <w:lang w:val="en-GB"/>
        </w:rPr>
        <w:t>Asunción</w:t>
      </w:r>
      <w:r w:rsidR="00937D53" w:rsidRPr="00552B69">
        <w:rPr>
          <w:rFonts w:ascii="Arial" w:hAnsi="Arial" w:cs="Arial"/>
          <w:b/>
          <w:sz w:val="22"/>
          <w:szCs w:val="22"/>
          <w:lang w:val="en-GB"/>
        </w:rPr>
        <w:t xml:space="preserve">, </w:t>
      </w:r>
      <w:r w:rsidR="00245501" w:rsidRPr="00552B69">
        <w:rPr>
          <w:rFonts w:ascii="Arial" w:hAnsi="Arial" w:cs="Arial"/>
          <w:b/>
          <w:sz w:val="22"/>
          <w:szCs w:val="22"/>
          <w:lang w:val="en-GB"/>
        </w:rPr>
        <w:t xml:space="preserve">Republic of </w:t>
      </w:r>
      <w:r w:rsidRPr="00552B69">
        <w:rPr>
          <w:rFonts w:ascii="Arial" w:hAnsi="Arial" w:cs="Arial"/>
          <w:b/>
          <w:sz w:val="22"/>
          <w:szCs w:val="22"/>
          <w:lang w:val="en-GB"/>
        </w:rPr>
        <w:t>Paraguay</w:t>
      </w:r>
    </w:p>
    <w:p w14:paraId="52EA6D50" w14:textId="22788626" w:rsidR="00B2172B" w:rsidRPr="00552B69" w:rsidRDefault="00D03C2A" w:rsidP="00B2172B">
      <w:pPr>
        <w:jc w:val="center"/>
        <w:rPr>
          <w:rFonts w:ascii="Arial" w:hAnsi="Arial" w:cs="Arial"/>
          <w:b/>
          <w:sz w:val="22"/>
          <w:szCs w:val="22"/>
          <w:lang w:val="en-GB"/>
        </w:rPr>
      </w:pPr>
      <w:r w:rsidRPr="00552B69">
        <w:rPr>
          <w:rFonts w:ascii="Arial" w:hAnsi="Arial" w:cs="Arial"/>
          <w:b/>
          <w:sz w:val="22"/>
          <w:szCs w:val="22"/>
          <w:lang w:val="en-GB"/>
        </w:rPr>
        <w:t>2</w:t>
      </w:r>
      <w:r w:rsidR="0026221A" w:rsidRPr="00552B69">
        <w:rPr>
          <w:rFonts w:ascii="Arial" w:hAnsi="Arial" w:cs="Arial"/>
          <w:b/>
          <w:sz w:val="22"/>
          <w:szCs w:val="22"/>
          <w:lang w:val="en-GB"/>
        </w:rPr>
        <w:t xml:space="preserve"> to </w:t>
      </w:r>
      <w:r w:rsidRPr="00552B69">
        <w:rPr>
          <w:rFonts w:ascii="Arial" w:hAnsi="Arial" w:cs="Arial"/>
          <w:b/>
          <w:sz w:val="22"/>
          <w:szCs w:val="22"/>
          <w:lang w:val="en-GB"/>
        </w:rPr>
        <w:t>7</w:t>
      </w:r>
      <w:r w:rsidR="00B2172B" w:rsidRPr="00552B69">
        <w:rPr>
          <w:rFonts w:ascii="Arial" w:hAnsi="Arial" w:cs="Arial"/>
          <w:b/>
          <w:sz w:val="22"/>
          <w:szCs w:val="22"/>
          <w:lang w:val="en-GB"/>
        </w:rPr>
        <w:t xml:space="preserve"> December 202</w:t>
      </w:r>
      <w:r w:rsidRPr="00552B69">
        <w:rPr>
          <w:rFonts w:ascii="Arial" w:hAnsi="Arial" w:cs="Arial"/>
          <w:b/>
          <w:sz w:val="22"/>
          <w:szCs w:val="22"/>
          <w:lang w:val="en-GB"/>
        </w:rPr>
        <w:t>4</w:t>
      </w:r>
    </w:p>
    <w:p w14:paraId="0365203A" w14:textId="4A98F095" w:rsidR="00EC6F8D" w:rsidRPr="00552B69" w:rsidRDefault="00EC6F8D" w:rsidP="00EC6F8D">
      <w:pPr>
        <w:pStyle w:val="Sansinterligne2"/>
        <w:spacing w:before="1200"/>
        <w:jc w:val="center"/>
        <w:rPr>
          <w:rFonts w:ascii="Arial" w:hAnsi="Arial" w:cs="Arial"/>
          <w:b/>
          <w:sz w:val="22"/>
          <w:szCs w:val="22"/>
          <w:lang w:val="en-GB"/>
        </w:rPr>
      </w:pPr>
      <w:r w:rsidRPr="00552B69">
        <w:rPr>
          <w:rFonts w:ascii="Arial" w:hAnsi="Arial" w:cs="Arial"/>
          <w:b/>
          <w:sz w:val="22"/>
          <w:szCs w:val="22"/>
          <w:u w:val="single"/>
          <w:lang w:val="en-GB"/>
        </w:rPr>
        <w:t xml:space="preserve">Item </w:t>
      </w:r>
      <w:r w:rsidR="008F6168" w:rsidRPr="00552B69">
        <w:rPr>
          <w:rFonts w:ascii="Arial" w:hAnsi="Arial" w:cs="Arial"/>
          <w:b/>
          <w:sz w:val="22"/>
          <w:szCs w:val="22"/>
          <w:u w:val="single"/>
          <w:lang w:val="en-GB"/>
        </w:rPr>
        <w:t>6.c</w:t>
      </w:r>
      <w:r w:rsidR="00651A5B" w:rsidRPr="00552B69">
        <w:rPr>
          <w:rFonts w:ascii="Arial" w:hAnsi="Arial" w:cs="Arial"/>
          <w:b/>
          <w:sz w:val="22"/>
          <w:szCs w:val="22"/>
          <w:u w:val="single"/>
          <w:lang w:val="en-GB"/>
        </w:rPr>
        <w:t xml:space="preserve"> </w:t>
      </w:r>
      <w:r w:rsidRPr="00552B69">
        <w:rPr>
          <w:rFonts w:ascii="Arial" w:hAnsi="Arial" w:cs="Arial"/>
          <w:b/>
          <w:sz w:val="22"/>
          <w:szCs w:val="22"/>
          <w:u w:val="single"/>
          <w:lang w:val="en-GB"/>
        </w:rPr>
        <w:t xml:space="preserve">of the </w:t>
      </w:r>
      <w:r w:rsidR="00937D53" w:rsidRPr="00552B69">
        <w:rPr>
          <w:rFonts w:ascii="Arial" w:hAnsi="Arial" w:cs="Arial"/>
          <w:b/>
          <w:sz w:val="22"/>
          <w:szCs w:val="22"/>
          <w:u w:val="single"/>
          <w:lang w:val="en-GB"/>
        </w:rPr>
        <w:t>p</w:t>
      </w:r>
      <w:r w:rsidRPr="00552B69">
        <w:rPr>
          <w:rFonts w:ascii="Arial" w:hAnsi="Arial" w:cs="Arial"/>
          <w:b/>
          <w:sz w:val="22"/>
          <w:szCs w:val="22"/>
          <w:u w:val="single"/>
          <w:lang w:val="en-GB"/>
        </w:rPr>
        <w:t xml:space="preserve">rovisional </w:t>
      </w:r>
      <w:r w:rsidR="00937D53" w:rsidRPr="00552B69">
        <w:rPr>
          <w:rFonts w:ascii="Arial" w:hAnsi="Arial" w:cs="Arial"/>
          <w:b/>
          <w:sz w:val="22"/>
          <w:szCs w:val="22"/>
          <w:u w:val="single"/>
          <w:lang w:val="en-GB"/>
        </w:rPr>
        <w:t>a</w:t>
      </w:r>
      <w:r w:rsidRPr="00552B69">
        <w:rPr>
          <w:rFonts w:ascii="Arial" w:hAnsi="Arial" w:cs="Arial"/>
          <w:b/>
          <w:sz w:val="22"/>
          <w:szCs w:val="22"/>
          <w:u w:val="single"/>
          <w:lang w:val="en-GB"/>
        </w:rPr>
        <w:t>genda</w:t>
      </w:r>
      <w:r w:rsidRPr="00552B69">
        <w:rPr>
          <w:rFonts w:ascii="Arial" w:hAnsi="Arial" w:cs="Arial"/>
          <w:b/>
          <w:sz w:val="22"/>
          <w:szCs w:val="22"/>
          <w:lang w:val="en-GB"/>
        </w:rPr>
        <w:t>:</w:t>
      </w:r>
    </w:p>
    <w:p w14:paraId="59920478" w14:textId="54E49192" w:rsidR="004A2875" w:rsidRPr="00552B69" w:rsidRDefault="008F6168" w:rsidP="004A2875">
      <w:pPr>
        <w:pStyle w:val="Sansinterligne2"/>
        <w:spacing w:after="960"/>
        <w:jc w:val="center"/>
        <w:rPr>
          <w:rFonts w:ascii="Arial" w:hAnsi="Arial" w:cs="Arial"/>
          <w:bCs/>
          <w:sz w:val="22"/>
          <w:szCs w:val="22"/>
          <w:lang w:val="en-GB"/>
        </w:rPr>
      </w:pPr>
      <w:r w:rsidRPr="00552B69">
        <w:rPr>
          <w:rFonts w:ascii="Arial" w:hAnsi="Arial" w:cs="Arial"/>
          <w:b/>
          <w:sz w:val="22"/>
          <w:szCs w:val="22"/>
          <w:lang w:val="en-GB"/>
        </w:rPr>
        <w:t>Update on the regional cycle</w:t>
      </w:r>
      <w:r w:rsidR="00490F1E" w:rsidRPr="00552B69">
        <w:rPr>
          <w:rFonts w:ascii="Arial" w:hAnsi="Arial" w:cs="Arial"/>
          <w:b/>
          <w:sz w:val="22"/>
          <w:szCs w:val="22"/>
          <w:lang w:val="en-GB"/>
        </w:rPr>
        <w:t>s</w:t>
      </w:r>
      <w:r w:rsidRPr="00552B69">
        <w:rPr>
          <w:rFonts w:ascii="Arial" w:hAnsi="Arial" w:cs="Arial"/>
          <w:b/>
          <w:sz w:val="22"/>
          <w:szCs w:val="22"/>
          <w:lang w:val="en-GB"/>
        </w:rPr>
        <w:t xml:space="preserve"> of the Convention’s periodic reporting</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52B69" w14:paraId="75AC6221" w14:textId="77777777" w:rsidTr="00EC6F8D">
        <w:trPr>
          <w:jc w:val="center"/>
        </w:trPr>
        <w:tc>
          <w:tcPr>
            <w:tcW w:w="5670" w:type="dxa"/>
            <w:vAlign w:val="center"/>
          </w:tcPr>
          <w:p w14:paraId="51C260A9" w14:textId="77777777" w:rsidR="00EC6F8D" w:rsidRPr="00552B69" w:rsidRDefault="00EC6F8D" w:rsidP="00CA56BB">
            <w:pPr>
              <w:pStyle w:val="Sansinterligne1"/>
              <w:spacing w:before="200" w:after="200"/>
              <w:jc w:val="center"/>
              <w:rPr>
                <w:rFonts w:ascii="Arial" w:hAnsi="Arial" w:cs="Arial"/>
                <w:b/>
                <w:sz w:val="22"/>
                <w:szCs w:val="22"/>
                <w:lang w:val="en-GB"/>
              </w:rPr>
            </w:pPr>
            <w:r w:rsidRPr="00552B69">
              <w:rPr>
                <w:rFonts w:ascii="Arial" w:hAnsi="Arial" w:cs="Arial"/>
                <w:b/>
                <w:sz w:val="22"/>
                <w:szCs w:val="22"/>
                <w:lang w:val="en-GB"/>
              </w:rPr>
              <w:t>Summary</w:t>
            </w:r>
          </w:p>
          <w:p w14:paraId="07CCC2B6" w14:textId="09443089" w:rsidR="00D94423" w:rsidRPr="00552B69" w:rsidRDefault="00FA35D4" w:rsidP="00D94423">
            <w:pPr>
              <w:pStyle w:val="Sansinterligne2"/>
              <w:spacing w:before="200" w:after="200"/>
              <w:jc w:val="both"/>
              <w:rPr>
                <w:rFonts w:ascii="Arial" w:hAnsi="Arial" w:cs="Arial"/>
                <w:bCs/>
                <w:sz w:val="22"/>
                <w:szCs w:val="22"/>
                <w:lang w:val="en-GB"/>
              </w:rPr>
            </w:pPr>
            <w:r w:rsidRPr="00552B69">
              <w:rPr>
                <w:rFonts w:ascii="Arial" w:hAnsi="Arial" w:cs="Arial"/>
                <w:bCs/>
                <w:sz w:val="22"/>
                <w:szCs w:val="22"/>
                <w:lang w:val="en-GB"/>
              </w:rPr>
              <w:t xml:space="preserve">This document presents an overview of the implementation status of the first cycle of periodic reporting in different regions, while presenting </w:t>
            </w:r>
            <w:r w:rsidR="000B267D" w:rsidRPr="00552B69">
              <w:rPr>
                <w:rFonts w:ascii="Arial" w:hAnsi="Arial" w:cs="Arial"/>
                <w:bCs/>
                <w:sz w:val="22"/>
                <w:szCs w:val="22"/>
                <w:lang w:val="en-GB"/>
              </w:rPr>
              <w:t>an</w:t>
            </w:r>
            <w:r w:rsidRPr="00552B69">
              <w:rPr>
                <w:rFonts w:ascii="Arial" w:hAnsi="Arial" w:cs="Arial"/>
                <w:bCs/>
                <w:sz w:val="22"/>
                <w:szCs w:val="22"/>
                <w:lang w:val="en-GB"/>
              </w:rPr>
              <w:t xml:space="preserve"> update </w:t>
            </w:r>
            <w:r w:rsidR="000B267D" w:rsidRPr="00552B69">
              <w:rPr>
                <w:rFonts w:ascii="Arial" w:hAnsi="Arial" w:cs="Arial"/>
                <w:bCs/>
                <w:sz w:val="22"/>
                <w:szCs w:val="22"/>
                <w:lang w:val="en-GB"/>
              </w:rPr>
              <w:t>on the proposal to rationalize</w:t>
            </w:r>
            <w:r w:rsidRPr="00552B69">
              <w:rPr>
                <w:rFonts w:ascii="Arial" w:hAnsi="Arial" w:cs="Arial"/>
                <w:bCs/>
                <w:sz w:val="22"/>
                <w:szCs w:val="22"/>
                <w:lang w:val="en-GB"/>
              </w:rPr>
              <w:t xml:space="preserve"> the</w:t>
            </w:r>
            <w:r w:rsidR="00E32DE6" w:rsidRPr="00552B69">
              <w:rPr>
                <w:rFonts w:ascii="Arial" w:hAnsi="Arial" w:cs="Arial"/>
                <w:bCs/>
                <w:sz w:val="22"/>
                <w:szCs w:val="22"/>
                <w:lang w:val="en-GB"/>
              </w:rPr>
              <w:t xml:space="preserve"> </w:t>
            </w:r>
            <w:r w:rsidR="000B267D" w:rsidRPr="00552B69">
              <w:rPr>
                <w:rFonts w:ascii="Arial" w:hAnsi="Arial" w:cs="Arial"/>
                <w:bCs/>
                <w:sz w:val="22"/>
                <w:szCs w:val="22"/>
                <w:lang w:val="en-GB"/>
              </w:rPr>
              <w:t xml:space="preserve">submission cycles of </w:t>
            </w:r>
            <w:r w:rsidR="00E32DE6" w:rsidRPr="00552B69">
              <w:rPr>
                <w:rFonts w:ascii="Arial" w:hAnsi="Arial" w:cs="Arial"/>
                <w:bCs/>
                <w:sz w:val="22"/>
                <w:szCs w:val="22"/>
                <w:lang w:val="en-GB"/>
              </w:rPr>
              <w:t>periodic reporting</w:t>
            </w:r>
            <w:r w:rsidRPr="00552B69">
              <w:rPr>
                <w:rFonts w:ascii="Arial" w:hAnsi="Arial" w:cs="Arial"/>
                <w:bCs/>
                <w:sz w:val="22"/>
                <w:szCs w:val="22"/>
                <w:lang w:val="en-GB"/>
              </w:rPr>
              <w:t xml:space="preserve"> mechanism</w:t>
            </w:r>
            <w:r w:rsidR="000B267D" w:rsidRPr="00552B69">
              <w:rPr>
                <w:rFonts w:ascii="Arial" w:hAnsi="Arial" w:cs="Arial"/>
                <w:bCs/>
                <w:sz w:val="22"/>
                <w:szCs w:val="22"/>
                <w:lang w:val="en-GB"/>
              </w:rPr>
              <w:t>s</w:t>
            </w:r>
            <w:r w:rsidRPr="00552B69">
              <w:rPr>
                <w:rFonts w:ascii="Arial" w:hAnsi="Arial" w:cs="Arial"/>
                <w:bCs/>
                <w:sz w:val="22"/>
                <w:szCs w:val="22"/>
                <w:lang w:val="en-GB"/>
              </w:rPr>
              <w:t xml:space="preserve"> </w:t>
            </w:r>
            <w:r w:rsidR="000B267D" w:rsidRPr="00552B69">
              <w:rPr>
                <w:rFonts w:ascii="Arial" w:hAnsi="Arial" w:cs="Arial"/>
                <w:bCs/>
                <w:sz w:val="22"/>
                <w:szCs w:val="22"/>
                <w:lang w:val="en-GB"/>
              </w:rPr>
              <w:t>across</w:t>
            </w:r>
            <w:r w:rsidRPr="00552B69">
              <w:rPr>
                <w:rFonts w:ascii="Arial" w:hAnsi="Arial" w:cs="Arial"/>
                <w:bCs/>
                <w:sz w:val="22"/>
                <w:szCs w:val="22"/>
                <w:lang w:val="en-GB"/>
              </w:rPr>
              <w:t xml:space="preserve"> </w:t>
            </w:r>
            <w:r w:rsidR="00E32DE6" w:rsidRPr="00552B69">
              <w:rPr>
                <w:rFonts w:ascii="Arial" w:hAnsi="Arial" w:cs="Arial"/>
                <w:bCs/>
                <w:sz w:val="22"/>
                <w:szCs w:val="22"/>
                <w:lang w:val="en-GB"/>
              </w:rPr>
              <w:t xml:space="preserve">UNESCO </w:t>
            </w:r>
            <w:r w:rsidR="000B267D" w:rsidRPr="00552B69">
              <w:rPr>
                <w:rFonts w:ascii="Arial" w:hAnsi="Arial" w:cs="Arial"/>
                <w:bCs/>
                <w:sz w:val="22"/>
                <w:szCs w:val="22"/>
                <w:lang w:val="en-GB"/>
              </w:rPr>
              <w:t xml:space="preserve">Culture </w:t>
            </w:r>
            <w:r w:rsidRPr="00552B69">
              <w:rPr>
                <w:rFonts w:ascii="Arial" w:hAnsi="Arial" w:cs="Arial"/>
                <w:bCs/>
                <w:sz w:val="22"/>
                <w:szCs w:val="22"/>
                <w:lang w:val="en-GB"/>
              </w:rPr>
              <w:t>Conventions and Recommendations, in line with the MONDIACULT 2022 Declaration</w:t>
            </w:r>
            <w:r w:rsidR="00D94423" w:rsidRPr="00552B69">
              <w:rPr>
                <w:rFonts w:ascii="Arial" w:hAnsi="Arial" w:cs="Arial"/>
                <w:bCs/>
                <w:sz w:val="22"/>
                <w:szCs w:val="22"/>
                <w:lang w:val="en-GB"/>
              </w:rPr>
              <w:t>.</w:t>
            </w:r>
          </w:p>
          <w:p w14:paraId="290310E8" w14:textId="1BE380B6" w:rsidR="00EC6F8D" w:rsidRPr="00552B69" w:rsidRDefault="00EC6F8D" w:rsidP="00CA56BB">
            <w:pPr>
              <w:pStyle w:val="Sansinterligne2"/>
              <w:spacing w:before="200" w:after="200"/>
              <w:jc w:val="both"/>
              <w:rPr>
                <w:rFonts w:ascii="Arial" w:hAnsi="Arial" w:cs="Arial"/>
                <w:b/>
                <w:sz w:val="22"/>
                <w:szCs w:val="22"/>
                <w:lang w:val="en-GB"/>
              </w:rPr>
            </w:pPr>
            <w:r w:rsidRPr="00552B69">
              <w:rPr>
                <w:rFonts w:ascii="Arial" w:hAnsi="Arial" w:cs="Arial"/>
                <w:b/>
                <w:sz w:val="22"/>
                <w:szCs w:val="22"/>
                <w:lang w:val="en-GB"/>
              </w:rPr>
              <w:t xml:space="preserve">Decision required: </w:t>
            </w:r>
            <w:r w:rsidRPr="00552B69">
              <w:rPr>
                <w:rFonts w:ascii="Arial" w:hAnsi="Arial" w:cs="Arial"/>
                <w:bCs/>
                <w:sz w:val="22"/>
                <w:szCs w:val="22"/>
                <w:lang w:val="en-GB"/>
              </w:rPr>
              <w:t xml:space="preserve">paragraph </w:t>
            </w:r>
            <w:r w:rsidR="00385B57" w:rsidRPr="00552B69">
              <w:rPr>
                <w:rFonts w:ascii="Arial" w:hAnsi="Arial" w:cs="Arial"/>
                <w:bCs/>
                <w:sz w:val="22"/>
                <w:szCs w:val="22"/>
                <w:lang w:val="en-GB"/>
              </w:rPr>
              <w:t>19</w:t>
            </w:r>
          </w:p>
        </w:tc>
      </w:tr>
    </w:tbl>
    <w:p w14:paraId="713D819F" w14:textId="77777777" w:rsidR="004A2875" w:rsidRPr="00552B69" w:rsidRDefault="00655736" w:rsidP="00400582">
      <w:pPr>
        <w:pStyle w:val="Paragraphedeliste"/>
        <w:keepLines/>
        <w:numPr>
          <w:ilvl w:val="0"/>
          <w:numId w:val="5"/>
        </w:numPr>
        <w:spacing w:after="240"/>
        <w:ind w:left="567" w:hanging="567"/>
        <w:contextualSpacing w:val="0"/>
        <w:rPr>
          <w:rFonts w:ascii="Arial" w:hAnsi="Arial" w:cs="Arial"/>
          <w:b/>
          <w:snapToGrid w:val="0"/>
          <w:sz w:val="22"/>
          <w:szCs w:val="22"/>
          <w:lang w:val="en-GB" w:eastAsia="en-US"/>
        </w:rPr>
      </w:pPr>
      <w:r w:rsidRPr="00552B69">
        <w:rPr>
          <w:lang w:val="en-GB"/>
        </w:rPr>
        <w:br w:type="page"/>
      </w:r>
    </w:p>
    <w:p w14:paraId="6C62585F" w14:textId="42065C20" w:rsidR="00F70CC5" w:rsidRPr="00552B69" w:rsidRDefault="008F6168" w:rsidP="008F6168">
      <w:pPr>
        <w:pStyle w:val="COMPara"/>
        <w:numPr>
          <w:ilvl w:val="0"/>
          <w:numId w:val="0"/>
        </w:numPr>
        <w:ind w:left="567"/>
        <w:jc w:val="both"/>
        <w:rPr>
          <w:b/>
          <w:bCs/>
        </w:rPr>
      </w:pPr>
      <w:bookmarkStart w:id="0" w:name="_Hlk124351255"/>
      <w:r w:rsidRPr="00552B69">
        <w:rPr>
          <w:b/>
          <w:bCs/>
        </w:rPr>
        <w:lastRenderedPageBreak/>
        <w:t>Introduction</w:t>
      </w:r>
    </w:p>
    <w:bookmarkEnd w:id="0"/>
    <w:p w14:paraId="00743995" w14:textId="2DE62815" w:rsidR="0057439C" w:rsidRPr="00552B69" w:rsidRDefault="008F6168" w:rsidP="008F6168">
      <w:pPr>
        <w:pStyle w:val="COMPara"/>
        <w:ind w:left="567" w:hanging="567"/>
        <w:jc w:val="both"/>
        <w:rPr>
          <w:rStyle w:val="Lienhypertexte"/>
          <w:color w:val="auto"/>
          <w:u w:val="none"/>
        </w:rPr>
      </w:pPr>
      <w:r w:rsidRPr="00552B69">
        <w:t xml:space="preserve">The periodic reporting mechanism of the 2003 Convention was reformed to enhance its quality, usefulness and timeliness, as well as to address the low submission rate (Decision </w:t>
      </w:r>
      <w:hyperlink r:id="rId8" w:history="1">
        <w:r w:rsidRPr="00552B69">
          <w:rPr>
            <w:rStyle w:val="Lienhypertexte"/>
          </w:rPr>
          <w:t>12.COM 10</w:t>
        </w:r>
      </w:hyperlink>
      <w:r w:rsidRPr="00552B69">
        <w:t xml:space="preserve">). The mechanism </w:t>
      </w:r>
      <w:r w:rsidR="00553B84" w:rsidRPr="00552B69">
        <w:t>was</w:t>
      </w:r>
      <w:r w:rsidRPr="00552B69">
        <w:t xml:space="preserve"> aligned with the Convention’s Overall Results Framework in order to ensure that the process is consistent with the overarching goals of the Convention and to allow for more effective monitoring to achieve these goals (Resolution </w:t>
      </w:r>
      <w:hyperlink r:id="rId9" w:history="1">
        <w:r w:rsidRPr="00552B69">
          <w:rPr>
            <w:rStyle w:val="Lienhypertexte"/>
          </w:rPr>
          <w:t>7.GA 9</w:t>
        </w:r>
      </w:hyperlink>
      <w:r w:rsidRPr="00552B69">
        <w:t xml:space="preserve">). Further adjustments were made to allow the reporting to take place on a regional basis every six years (Decisions </w:t>
      </w:r>
      <w:hyperlink r:id="rId10" w:history="1">
        <w:r w:rsidRPr="00552B69">
          <w:rPr>
            <w:rStyle w:val="Lienhypertexte"/>
          </w:rPr>
          <w:t>13.COM 8</w:t>
        </w:r>
      </w:hyperlink>
      <w:r w:rsidRPr="00552B69">
        <w:t xml:space="preserve"> and </w:t>
      </w:r>
      <w:hyperlink r:id="rId11" w:history="1">
        <w:r w:rsidRPr="00552B69">
          <w:rPr>
            <w:rStyle w:val="Lienhypertexte"/>
          </w:rPr>
          <w:t>14.COM 8</w:t>
        </w:r>
      </w:hyperlink>
      <w:r w:rsidRPr="00552B69">
        <w:rPr>
          <w:rStyle w:val="Lienhypertexte"/>
          <w:color w:val="000000" w:themeColor="text1"/>
          <w:u w:val="none"/>
        </w:rPr>
        <w:t>).</w:t>
      </w:r>
      <w:r w:rsidR="007B6DDD" w:rsidRPr="00552B69">
        <w:rPr>
          <w:rStyle w:val="Lienhypertexte"/>
          <w:color w:val="000000" w:themeColor="text1"/>
          <w:u w:val="none"/>
        </w:rPr>
        <w:t xml:space="preserve"> Accordingly, all regions have undergone or are going through the reporting exercise since 2021.</w:t>
      </w:r>
    </w:p>
    <w:p w14:paraId="6547E266" w14:textId="3EFC690E" w:rsidR="00051783" w:rsidRPr="00552B69" w:rsidRDefault="000C03E5" w:rsidP="00850179">
      <w:pPr>
        <w:pStyle w:val="COMPara"/>
        <w:ind w:left="567" w:hanging="567"/>
        <w:jc w:val="both"/>
        <w:rPr>
          <w:rStyle w:val="Lienhypertexte"/>
          <w:color w:val="auto"/>
          <w:u w:val="none"/>
        </w:rPr>
      </w:pPr>
      <w:r w:rsidRPr="00552B69">
        <w:rPr>
          <w:rStyle w:val="Lienhypertexte"/>
          <w:color w:val="auto"/>
          <w:u w:val="none"/>
        </w:rPr>
        <w:t>At the same time</w:t>
      </w:r>
      <w:r w:rsidR="00FF4C7F" w:rsidRPr="00552B69">
        <w:rPr>
          <w:rStyle w:val="Lienhypertexte"/>
          <w:color w:val="auto"/>
          <w:u w:val="none"/>
        </w:rPr>
        <w:t>, t</w:t>
      </w:r>
      <w:r w:rsidR="00051783" w:rsidRPr="00552B69">
        <w:rPr>
          <w:rStyle w:val="Lienhypertexte"/>
          <w:color w:val="auto"/>
          <w:u w:val="none"/>
        </w:rPr>
        <w:t xml:space="preserve">he unanimous adoption of the MONDIACULT 2022 </w:t>
      </w:r>
      <w:hyperlink r:id="rId12" w:history="1">
        <w:r w:rsidR="00051783" w:rsidRPr="00552B69">
          <w:rPr>
            <w:rStyle w:val="Lienhypertexte"/>
          </w:rPr>
          <w:t>Declaration</w:t>
        </w:r>
      </w:hyperlink>
      <w:r w:rsidR="00051783" w:rsidRPr="00552B69">
        <w:rPr>
          <w:rStyle w:val="Lienhypertexte"/>
          <w:color w:val="auto"/>
          <w:u w:val="none"/>
        </w:rPr>
        <w:t xml:space="preserve"> at the UNESCO World Conference on </w:t>
      </w:r>
      <w:r w:rsidR="00051783" w:rsidRPr="00552B69">
        <w:rPr>
          <w:rFonts w:asciiTheme="minorBidi" w:hAnsiTheme="minorBidi" w:cstheme="minorBidi"/>
        </w:rPr>
        <w:t>Cultural Policies and Sustainable Development – MONDIACULT 2022</w:t>
      </w:r>
      <w:r w:rsidR="00436B61" w:rsidRPr="00552B69">
        <w:rPr>
          <w:rFonts w:asciiTheme="minorBidi" w:hAnsiTheme="minorBidi" w:cstheme="minorBidi"/>
        </w:rPr>
        <w:t xml:space="preserve"> called on UNESCO to produce a Global Report on Cultural Policies, on a quadrennial basis, building on information, data and existing indicators provided by its Member States</w:t>
      </w:r>
      <w:r w:rsidR="00436B61" w:rsidRPr="00552B69">
        <w:t xml:space="preserve">. </w:t>
      </w:r>
      <w:r w:rsidR="001D1D49" w:rsidRPr="00552B69">
        <w:t>While the periodic reporting mechanisms of each Culture Convention and Recommendation would be the main source of information to prepare this report</w:t>
      </w:r>
      <w:r w:rsidR="00553B84" w:rsidRPr="00552B69">
        <w:t>,</w:t>
      </w:r>
      <w:r w:rsidRPr="00552B69">
        <w:t xml:space="preserve"> </w:t>
      </w:r>
      <w:r w:rsidR="00553B84" w:rsidRPr="00552B69">
        <w:t>t</w:t>
      </w:r>
      <w:r w:rsidRPr="00552B69">
        <w:t>his initiative requires</w:t>
      </w:r>
      <w:r w:rsidR="001D1D49" w:rsidRPr="00552B69">
        <w:t xml:space="preserve"> </w:t>
      </w:r>
      <w:r w:rsidRPr="00552B69">
        <w:t xml:space="preserve">substantial </w:t>
      </w:r>
      <w:r w:rsidR="00056787" w:rsidRPr="00552B69">
        <w:t xml:space="preserve">adjustments </w:t>
      </w:r>
      <w:r w:rsidR="00AA7E50" w:rsidRPr="00552B69">
        <w:t>in terms of how periodic reports are submitted</w:t>
      </w:r>
      <w:r w:rsidRPr="00552B69">
        <w:t>,</w:t>
      </w:r>
      <w:r w:rsidR="00AA7E50" w:rsidRPr="00552B69">
        <w:t xml:space="preserve"> analysed</w:t>
      </w:r>
      <w:r w:rsidRPr="00552B69">
        <w:t xml:space="preserve"> and visualised</w:t>
      </w:r>
      <w:r w:rsidR="00BC3A74" w:rsidRPr="00552B69">
        <w:t>, to provide a holistic view of the contribution of culture to sustainable development across all regions and cultural domains</w:t>
      </w:r>
      <w:r w:rsidRPr="00552B69">
        <w:t>.</w:t>
      </w:r>
    </w:p>
    <w:p w14:paraId="4B7B1203" w14:textId="40F7287C" w:rsidR="00615F6E" w:rsidRPr="00552B69" w:rsidRDefault="008F6168" w:rsidP="008F6168">
      <w:pPr>
        <w:pStyle w:val="COMPara"/>
        <w:ind w:left="567" w:hanging="567"/>
        <w:jc w:val="both"/>
      </w:pPr>
      <w:r w:rsidRPr="00552B69">
        <w:t xml:space="preserve">The purpose of this document is to provide updates on the ongoing cycle of the periodic </w:t>
      </w:r>
      <w:r w:rsidR="00A76178" w:rsidRPr="00552B69">
        <w:t>r</w:t>
      </w:r>
      <w:r w:rsidRPr="00552B69">
        <w:t>eporting system on the implementation of the Convention and the current status of elements inscribed on the Representative List of the Intangible Cultural Heritage of Humanity (Section A).</w:t>
      </w:r>
      <w:r w:rsidR="001F3234" w:rsidRPr="00552B69">
        <w:t xml:space="preserve"> T</w:t>
      </w:r>
      <w:r w:rsidRPr="00552B69">
        <w:t xml:space="preserve">he present document also </w:t>
      </w:r>
      <w:r w:rsidR="007C28CD" w:rsidRPr="00552B69">
        <w:t>offers an</w:t>
      </w:r>
      <w:r w:rsidR="00615F6E" w:rsidRPr="00552B69">
        <w:t xml:space="preserve"> update concerning the </w:t>
      </w:r>
      <w:r w:rsidR="00E32DE6" w:rsidRPr="00552B69">
        <w:t>proposal</w:t>
      </w:r>
      <w:r w:rsidR="006D6934" w:rsidRPr="00552B69">
        <w:t xml:space="preserve"> </w:t>
      </w:r>
      <w:r w:rsidR="005C3492" w:rsidRPr="00552B69">
        <w:t>to rationalize the submission cycles of periodic reports</w:t>
      </w:r>
      <w:r w:rsidR="00615F6E" w:rsidRPr="00552B69">
        <w:t xml:space="preserve">, </w:t>
      </w:r>
      <w:r w:rsidR="00A76178" w:rsidRPr="00552B69">
        <w:t xml:space="preserve">working towards a single global submission system of periodic reports common to the UNESCO Culture Conventions and Recommendations, </w:t>
      </w:r>
      <w:r w:rsidR="006D6934" w:rsidRPr="00552B69">
        <w:t>including in</w:t>
      </w:r>
      <w:r w:rsidR="00615F6E" w:rsidRPr="00552B69">
        <w:t xml:space="preserve"> preparation </w:t>
      </w:r>
      <w:r w:rsidR="006D6934" w:rsidRPr="00552B69">
        <w:t>for the</w:t>
      </w:r>
      <w:r w:rsidR="00615F6E" w:rsidRPr="00552B69">
        <w:t xml:space="preserve"> quadrennial Global Report on Cultural Policies, as called for in the MONDIACULT 2022 Declaration</w:t>
      </w:r>
      <w:r w:rsidR="00776382" w:rsidRPr="00552B69">
        <w:t xml:space="preserve"> </w:t>
      </w:r>
      <w:r w:rsidR="00615F6E" w:rsidRPr="00552B69">
        <w:rPr>
          <w:rFonts w:asciiTheme="minorBidi" w:hAnsiTheme="minorBidi" w:cstheme="minorBidi"/>
        </w:rPr>
        <w:t>(Section B).</w:t>
      </w:r>
    </w:p>
    <w:p w14:paraId="05D1C79F" w14:textId="43C134EA" w:rsidR="0057439C" w:rsidRPr="00552B69" w:rsidRDefault="008F6168" w:rsidP="00400582">
      <w:pPr>
        <w:pStyle w:val="COMPara"/>
        <w:numPr>
          <w:ilvl w:val="0"/>
          <w:numId w:val="6"/>
        </w:numPr>
        <w:spacing w:before="240"/>
        <w:ind w:left="567" w:hanging="567"/>
        <w:jc w:val="both"/>
        <w:rPr>
          <w:b/>
          <w:bCs/>
        </w:rPr>
      </w:pPr>
      <w:r w:rsidRPr="00552B69">
        <w:rPr>
          <w:b/>
          <w:bCs/>
        </w:rPr>
        <w:t>Updates on the ongoing cycle of periodic reporting on the implementation of the Convention</w:t>
      </w:r>
    </w:p>
    <w:p w14:paraId="41CD264D" w14:textId="5EEAA28A" w:rsidR="002814F6" w:rsidRPr="00552B69" w:rsidRDefault="005C3492" w:rsidP="00AC18C1">
      <w:pPr>
        <w:pStyle w:val="COMPara"/>
        <w:ind w:left="567" w:hanging="567"/>
      </w:pPr>
      <w:r w:rsidRPr="00552B69">
        <w:t xml:space="preserve">The </w:t>
      </w:r>
      <w:r w:rsidR="000D7088" w:rsidRPr="00552B69">
        <w:t xml:space="preserve">ongoing </w:t>
      </w:r>
      <w:r w:rsidRPr="00552B69">
        <w:t>cycle of periodic reporting is underway with the following schedule:</w:t>
      </w:r>
    </w:p>
    <w:p w14:paraId="2C0054EA" w14:textId="00C09D1A" w:rsidR="005C3492" w:rsidRPr="00552B69" w:rsidRDefault="005C3492" w:rsidP="00D75C08">
      <w:pPr>
        <w:pStyle w:val="COMPara"/>
        <w:numPr>
          <w:ilvl w:val="0"/>
          <w:numId w:val="18"/>
        </w:numPr>
        <w:ind w:left="1134" w:hanging="567"/>
        <w:jc w:val="both"/>
      </w:pPr>
      <w:r w:rsidRPr="00552B69">
        <w:rPr>
          <w:b/>
          <w:bCs/>
        </w:rPr>
        <w:t>Latin America and the Caribbean</w:t>
      </w:r>
      <w:r w:rsidRPr="00552B69">
        <w:t>: reports submitted by 15 December 2020 were examined by the Committee at its sixteenth session in 2021.</w:t>
      </w:r>
    </w:p>
    <w:p w14:paraId="46391820" w14:textId="77777777" w:rsidR="005C3492" w:rsidRPr="00552B69" w:rsidRDefault="005C3492" w:rsidP="00D75C08">
      <w:pPr>
        <w:pStyle w:val="COMPara"/>
        <w:numPr>
          <w:ilvl w:val="0"/>
          <w:numId w:val="18"/>
        </w:numPr>
        <w:ind w:left="1134" w:hanging="567"/>
        <w:jc w:val="both"/>
        <w:rPr>
          <w:rFonts w:asciiTheme="minorBidi" w:hAnsiTheme="minorBidi" w:cstheme="minorBidi"/>
        </w:rPr>
      </w:pPr>
      <w:r w:rsidRPr="00552B69">
        <w:rPr>
          <w:rFonts w:asciiTheme="minorBidi" w:hAnsiTheme="minorBidi" w:cstheme="minorBidi"/>
          <w:b/>
          <w:bCs/>
        </w:rPr>
        <w:t>Europe</w:t>
      </w:r>
      <w:r w:rsidRPr="00552B69">
        <w:rPr>
          <w:rFonts w:asciiTheme="minorBidi" w:hAnsiTheme="minorBidi" w:cstheme="minorBidi"/>
        </w:rPr>
        <w:t xml:space="preserve">: reports submitted by 15 </w:t>
      </w:r>
      <w:r w:rsidRPr="00552B69">
        <w:t>December</w:t>
      </w:r>
      <w:r w:rsidRPr="00552B69">
        <w:rPr>
          <w:rFonts w:asciiTheme="minorBidi" w:hAnsiTheme="minorBidi" w:cstheme="minorBidi"/>
        </w:rPr>
        <w:t xml:space="preserve"> </w:t>
      </w:r>
      <w:r w:rsidRPr="00552B69">
        <w:t>2021</w:t>
      </w:r>
      <w:r w:rsidRPr="00552B69">
        <w:rPr>
          <w:rFonts w:asciiTheme="minorBidi" w:hAnsiTheme="minorBidi" w:cstheme="minorBidi"/>
        </w:rPr>
        <w:t xml:space="preserve"> were examined by the Committee at its seventeenth session in 2022.</w:t>
      </w:r>
    </w:p>
    <w:p w14:paraId="175F5394" w14:textId="4CF1C76A" w:rsidR="005C3492" w:rsidRPr="00552B69" w:rsidRDefault="005C3492" w:rsidP="00D75C08">
      <w:pPr>
        <w:pStyle w:val="COMPara"/>
        <w:numPr>
          <w:ilvl w:val="0"/>
          <w:numId w:val="18"/>
        </w:numPr>
        <w:ind w:left="1134" w:hanging="567"/>
        <w:jc w:val="both"/>
        <w:rPr>
          <w:rFonts w:asciiTheme="minorBidi" w:hAnsiTheme="minorBidi" w:cstheme="minorBidi"/>
        </w:rPr>
      </w:pPr>
      <w:r w:rsidRPr="00552B69">
        <w:rPr>
          <w:rFonts w:asciiTheme="minorBidi" w:hAnsiTheme="minorBidi" w:cstheme="minorBidi"/>
          <w:b/>
          <w:bCs/>
        </w:rPr>
        <w:t>Arab States</w:t>
      </w:r>
      <w:r w:rsidRPr="00552B69">
        <w:rPr>
          <w:rFonts w:asciiTheme="minorBidi" w:hAnsiTheme="minorBidi" w:cstheme="minorBidi"/>
        </w:rPr>
        <w:t xml:space="preserve">: reports submitted by 15 December 2022 </w:t>
      </w:r>
      <w:r w:rsidR="00D14957" w:rsidRPr="00552B69">
        <w:rPr>
          <w:rFonts w:asciiTheme="minorBidi" w:hAnsiTheme="minorBidi" w:cstheme="minorBidi"/>
        </w:rPr>
        <w:t>were</w:t>
      </w:r>
      <w:r w:rsidRPr="00552B69">
        <w:rPr>
          <w:rFonts w:asciiTheme="minorBidi" w:hAnsiTheme="minorBidi" w:cstheme="minorBidi"/>
        </w:rPr>
        <w:t xml:space="preserve"> examined by the Committee at its eighteenth session in 2023.</w:t>
      </w:r>
    </w:p>
    <w:p w14:paraId="3F1600F9" w14:textId="77777777" w:rsidR="005C3492" w:rsidRPr="00552B69" w:rsidRDefault="005C3492" w:rsidP="00D75C08">
      <w:pPr>
        <w:pStyle w:val="COMPara"/>
        <w:numPr>
          <w:ilvl w:val="0"/>
          <w:numId w:val="18"/>
        </w:numPr>
        <w:ind w:left="1134" w:hanging="567"/>
        <w:jc w:val="both"/>
        <w:rPr>
          <w:rFonts w:asciiTheme="minorBidi" w:hAnsiTheme="minorBidi" w:cstheme="minorBidi"/>
        </w:rPr>
      </w:pPr>
      <w:r w:rsidRPr="00552B69">
        <w:rPr>
          <w:rFonts w:asciiTheme="minorBidi" w:hAnsiTheme="minorBidi" w:cstheme="minorBidi"/>
          <w:b/>
          <w:bCs/>
        </w:rPr>
        <w:t>Africa</w:t>
      </w:r>
      <w:r w:rsidRPr="00552B69">
        <w:rPr>
          <w:rFonts w:asciiTheme="minorBidi" w:hAnsiTheme="minorBidi" w:cstheme="minorBidi"/>
        </w:rPr>
        <w:t xml:space="preserve">: reports submitted by 15 </w:t>
      </w:r>
      <w:r w:rsidRPr="00552B69">
        <w:t>December</w:t>
      </w:r>
      <w:r w:rsidRPr="00552B69">
        <w:rPr>
          <w:rFonts w:asciiTheme="minorBidi" w:hAnsiTheme="minorBidi" w:cstheme="minorBidi"/>
        </w:rPr>
        <w:t xml:space="preserve"> 2023 will be examined by the Committee at its nineteenth session in 2024.</w:t>
      </w:r>
    </w:p>
    <w:p w14:paraId="7D2D1986" w14:textId="6EC1EE76" w:rsidR="005C3492" w:rsidRPr="00552B69" w:rsidRDefault="005C3492" w:rsidP="00D75C08">
      <w:pPr>
        <w:pStyle w:val="COMPara"/>
        <w:numPr>
          <w:ilvl w:val="0"/>
          <w:numId w:val="18"/>
        </w:numPr>
        <w:ind w:left="1134" w:hanging="567"/>
        <w:jc w:val="both"/>
      </w:pPr>
      <w:r w:rsidRPr="00552B69">
        <w:rPr>
          <w:rFonts w:asciiTheme="minorBidi" w:hAnsiTheme="minorBidi" w:cstheme="minorBidi"/>
          <w:b/>
          <w:bCs/>
        </w:rPr>
        <w:t>Asia and the Pacific</w:t>
      </w:r>
      <w:r w:rsidRPr="00552B69">
        <w:rPr>
          <w:rFonts w:asciiTheme="minorBidi" w:hAnsiTheme="minorBidi" w:cstheme="minorBidi"/>
        </w:rPr>
        <w:t xml:space="preserve">: reports </w:t>
      </w:r>
      <w:r w:rsidRPr="00552B69">
        <w:t>submitted</w:t>
      </w:r>
      <w:r w:rsidRPr="00552B69">
        <w:rPr>
          <w:rFonts w:asciiTheme="minorBidi" w:hAnsiTheme="minorBidi" w:cstheme="minorBidi"/>
        </w:rPr>
        <w:t xml:space="preserve"> by 15 December 2024 will be examined by the Committee at its twentieth session in 2025.</w:t>
      </w:r>
    </w:p>
    <w:p w14:paraId="20F8008E" w14:textId="0FDE2C61" w:rsidR="00527782" w:rsidRPr="00552B69" w:rsidRDefault="000D7088" w:rsidP="00D75C08">
      <w:pPr>
        <w:pStyle w:val="COMPara"/>
        <w:numPr>
          <w:ilvl w:val="0"/>
          <w:numId w:val="18"/>
        </w:numPr>
        <w:ind w:left="1134" w:hanging="567"/>
        <w:jc w:val="both"/>
      </w:pPr>
      <w:r w:rsidRPr="00552B69">
        <w:rPr>
          <w:rFonts w:asciiTheme="minorBidi" w:hAnsiTheme="minorBidi" w:cstheme="minorBidi"/>
        </w:rPr>
        <w:t>This</w:t>
      </w:r>
      <w:r w:rsidR="00527782" w:rsidRPr="00552B69">
        <w:rPr>
          <w:rFonts w:asciiTheme="minorBidi" w:hAnsiTheme="minorBidi" w:cstheme="minorBidi"/>
        </w:rPr>
        <w:t xml:space="preserve"> is foreseen to end with a </w:t>
      </w:r>
      <w:r w:rsidR="00527782" w:rsidRPr="00552B69">
        <w:t>reflection</w:t>
      </w:r>
      <w:r w:rsidR="00527782" w:rsidRPr="00552B69">
        <w:rPr>
          <w:rFonts w:asciiTheme="minorBidi" w:hAnsiTheme="minorBidi" w:cstheme="minorBidi"/>
        </w:rPr>
        <w:t xml:space="preserve"> year in 2026.</w:t>
      </w:r>
    </w:p>
    <w:p w14:paraId="720AE058" w14:textId="3E78A210" w:rsidR="00527782" w:rsidRPr="00552B69" w:rsidRDefault="00527782" w:rsidP="006D44DF">
      <w:pPr>
        <w:pStyle w:val="COMPara"/>
        <w:ind w:left="567" w:hanging="567"/>
        <w:jc w:val="both"/>
      </w:pPr>
      <w:r w:rsidRPr="00552B69">
        <w:rPr>
          <w:rFonts w:asciiTheme="minorBidi" w:hAnsiTheme="minorBidi" w:cstheme="minorBidi"/>
        </w:rPr>
        <w:t>For each region, the periodic reporting exercise goes through a four-phase process over a period of four years (see also table 1):</w:t>
      </w:r>
    </w:p>
    <w:p w14:paraId="578F6947" w14:textId="77777777" w:rsidR="00527782" w:rsidRPr="00552B69" w:rsidRDefault="00527782" w:rsidP="00D75C08">
      <w:pPr>
        <w:pStyle w:val="COMPara"/>
        <w:numPr>
          <w:ilvl w:val="0"/>
          <w:numId w:val="18"/>
        </w:numPr>
        <w:ind w:left="1134" w:hanging="567"/>
        <w:jc w:val="both"/>
      </w:pPr>
      <w:r w:rsidRPr="00552B69">
        <w:rPr>
          <w:u w:val="single"/>
        </w:rPr>
        <w:t>Phase 1</w:t>
      </w:r>
      <w:r w:rsidRPr="00552B69">
        <w:t xml:space="preserve"> (first year) is the initiation of the exercise, involving the designation by States Parties of country focal points for the periodic reporting exercise and the training of facilitators to accompany the country focal points.</w:t>
      </w:r>
    </w:p>
    <w:p w14:paraId="33C6A27C" w14:textId="59AB806B" w:rsidR="00527782" w:rsidRPr="00552B69" w:rsidRDefault="00527782" w:rsidP="00D75C08">
      <w:pPr>
        <w:pStyle w:val="COMPara"/>
        <w:numPr>
          <w:ilvl w:val="0"/>
          <w:numId w:val="18"/>
        </w:numPr>
        <w:ind w:left="1134" w:hanging="567"/>
        <w:jc w:val="both"/>
      </w:pPr>
      <w:r w:rsidRPr="00552B69">
        <w:rPr>
          <w:u w:val="single"/>
        </w:rPr>
        <w:t>Phase 2</w:t>
      </w:r>
      <w:r w:rsidRPr="00552B69">
        <w:t xml:space="preserve"> (second year) involves the training of country focal points at the regional and sub-regional level</w:t>
      </w:r>
      <w:r w:rsidR="00553B84" w:rsidRPr="00552B69">
        <w:t>s</w:t>
      </w:r>
      <w:r w:rsidRPr="00552B69">
        <w:t xml:space="preserve"> as well as the preparation and online submission of reports.</w:t>
      </w:r>
    </w:p>
    <w:p w14:paraId="665432C8" w14:textId="77777777" w:rsidR="00527782" w:rsidRPr="00552B69" w:rsidRDefault="00527782" w:rsidP="00D75C08">
      <w:pPr>
        <w:pStyle w:val="COMPara"/>
        <w:numPr>
          <w:ilvl w:val="0"/>
          <w:numId w:val="18"/>
        </w:numPr>
        <w:ind w:left="1134" w:hanging="567"/>
        <w:jc w:val="both"/>
      </w:pPr>
      <w:r w:rsidRPr="00552B69">
        <w:rPr>
          <w:u w:val="single"/>
        </w:rPr>
        <w:lastRenderedPageBreak/>
        <w:t>Phase 3</w:t>
      </w:r>
      <w:r w:rsidRPr="00552B69">
        <w:t xml:space="preserve"> (third year) involves the preliminary analysis, by a team established by the Secretariat, of the reports submitted, presented as an ‘analytical overview’ for examination by the Committee in the year following the submission.</w:t>
      </w:r>
    </w:p>
    <w:p w14:paraId="32BEAA13" w14:textId="64E306F6" w:rsidR="00527782" w:rsidRPr="00552B69" w:rsidRDefault="00527782" w:rsidP="00D75C08">
      <w:pPr>
        <w:pStyle w:val="COMPara"/>
        <w:numPr>
          <w:ilvl w:val="0"/>
          <w:numId w:val="18"/>
        </w:numPr>
        <w:ind w:left="1134" w:hanging="567"/>
        <w:jc w:val="both"/>
      </w:pPr>
      <w:r w:rsidRPr="00552B69">
        <w:rPr>
          <w:u w:val="single"/>
        </w:rPr>
        <w:t>Phase 4</w:t>
      </w:r>
      <w:r w:rsidRPr="00552B69">
        <w:t xml:space="preserve"> (fourth year) involves a comprehensive analysis of data extracted from the reports submitted, to be presented in the form of an ‘analytical report’ two years after the submission of the reports.</w:t>
      </w:r>
    </w:p>
    <w:p w14:paraId="2EA4B2BF" w14:textId="2EE28877" w:rsidR="00527782" w:rsidRPr="00552B69" w:rsidRDefault="00623B97" w:rsidP="00D75C08">
      <w:pPr>
        <w:pStyle w:val="Sansinterligne2"/>
        <w:spacing w:after="120"/>
        <w:ind w:left="567"/>
        <w:rPr>
          <w:rFonts w:ascii="Arial" w:hAnsi="Arial" w:cs="Arial"/>
          <w:color w:val="365F91" w:themeColor="accent1" w:themeShade="BF"/>
          <w:sz w:val="22"/>
          <w:szCs w:val="22"/>
          <w:u w:val="single"/>
          <w:lang w:val="en-GB"/>
        </w:rPr>
      </w:pPr>
      <w:r w:rsidRPr="00552B69">
        <w:rPr>
          <w:rFonts w:ascii="Arial" w:hAnsi="Arial" w:cs="Arial"/>
          <w:noProof/>
          <w:sz w:val="22"/>
          <w:szCs w:val="22"/>
          <w:lang w:val="en-GB"/>
        </w:rPr>
        <w:drawing>
          <wp:anchor distT="0" distB="0" distL="114300" distR="114300" simplePos="0" relativeHeight="251658240" behindDoc="0" locked="0" layoutInCell="1" allowOverlap="1" wp14:anchorId="091A21A0" wp14:editId="26339055">
            <wp:simplePos x="0" y="0"/>
            <wp:positionH relativeFrom="column">
              <wp:posOffset>384810</wp:posOffset>
            </wp:positionH>
            <wp:positionV relativeFrom="paragraph">
              <wp:posOffset>249555</wp:posOffset>
            </wp:positionV>
            <wp:extent cx="5753735" cy="2042160"/>
            <wp:effectExtent l="19050" t="19050" r="18415" b="15240"/>
            <wp:wrapTopAndBottom/>
            <wp:docPr id="1387170472" name="Picture 1" descr="A line of lin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70472" name="Picture 1" descr="A line of lines with 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735" cy="2042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27782" w:rsidRPr="00552B69">
        <w:rPr>
          <w:rFonts w:ascii="Arial" w:hAnsi="Arial" w:cs="Arial"/>
          <w:b/>
          <w:bCs/>
          <w:color w:val="365F91" w:themeColor="accent1" w:themeShade="BF"/>
          <w:sz w:val="22"/>
          <w:szCs w:val="22"/>
          <w:lang w:val="en-GB"/>
        </w:rPr>
        <w:t xml:space="preserve">Table </w:t>
      </w:r>
      <w:r w:rsidR="00527782" w:rsidRPr="00552B69">
        <w:rPr>
          <w:rFonts w:ascii="Arial" w:hAnsi="Arial" w:cs="Arial"/>
          <w:b/>
          <w:bCs/>
          <w:i/>
          <w:iCs/>
          <w:color w:val="365F91" w:themeColor="accent1" w:themeShade="BF"/>
          <w:sz w:val="22"/>
          <w:szCs w:val="22"/>
          <w:lang w:val="en-GB"/>
        </w:rPr>
        <w:fldChar w:fldCharType="begin"/>
      </w:r>
      <w:r w:rsidR="00527782" w:rsidRPr="00552B69">
        <w:rPr>
          <w:rFonts w:ascii="Arial" w:hAnsi="Arial" w:cs="Arial"/>
          <w:b/>
          <w:bCs/>
          <w:color w:val="365F91" w:themeColor="accent1" w:themeShade="BF"/>
          <w:sz w:val="22"/>
          <w:szCs w:val="22"/>
          <w:lang w:val="en-GB"/>
        </w:rPr>
        <w:instrText xml:space="preserve"> SEQ Table \* ARABIC </w:instrText>
      </w:r>
      <w:r w:rsidR="00527782" w:rsidRPr="00552B69">
        <w:rPr>
          <w:rFonts w:ascii="Arial" w:hAnsi="Arial" w:cs="Arial"/>
          <w:b/>
          <w:bCs/>
          <w:i/>
          <w:iCs/>
          <w:color w:val="365F91" w:themeColor="accent1" w:themeShade="BF"/>
          <w:sz w:val="22"/>
          <w:szCs w:val="22"/>
          <w:lang w:val="en-GB"/>
        </w:rPr>
        <w:fldChar w:fldCharType="separate"/>
      </w:r>
      <w:r w:rsidR="00034E04" w:rsidRPr="00552B69">
        <w:rPr>
          <w:rFonts w:ascii="Arial" w:hAnsi="Arial" w:cs="Arial"/>
          <w:b/>
          <w:bCs/>
          <w:color w:val="365F91" w:themeColor="accent1" w:themeShade="BF"/>
          <w:sz w:val="22"/>
          <w:szCs w:val="22"/>
          <w:lang w:val="en-GB"/>
        </w:rPr>
        <w:t>1</w:t>
      </w:r>
      <w:r w:rsidR="00527782" w:rsidRPr="00552B69">
        <w:rPr>
          <w:rFonts w:ascii="Arial" w:hAnsi="Arial" w:cs="Arial"/>
          <w:b/>
          <w:bCs/>
          <w:i/>
          <w:iCs/>
          <w:color w:val="365F91" w:themeColor="accent1" w:themeShade="BF"/>
          <w:sz w:val="22"/>
          <w:szCs w:val="22"/>
          <w:lang w:val="en-GB"/>
        </w:rPr>
        <w:fldChar w:fldCharType="end"/>
      </w:r>
      <w:r w:rsidR="00527782" w:rsidRPr="00552B69">
        <w:rPr>
          <w:rFonts w:ascii="Arial" w:hAnsi="Arial" w:cs="Arial"/>
          <w:b/>
          <w:bCs/>
          <w:color w:val="365F91" w:themeColor="accent1" w:themeShade="BF"/>
          <w:sz w:val="22"/>
          <w:szCs w:val="22"/>
          <w:lang w:val="en-GB"/>
        </w:rPr>
        <w:t xml:space="preserve">: </w:t>
      </w:r>
      <w:r w:rsidR="00553B84" w:rsidRPr="00552B69">
        <w:rPr>
          <w:rFonts w:ascii="Arial" w:hAnsi="Arial" w:cs="Arial"/>
          <w:b/>
          <w:bCs/>
          <w:color w:val="365F91" w:themeColor="accent1" w:themeShade="BF"/>
          <w:sz w:val="22"/>
          <w:szCs w:val="22"/>
          <w:lang w:val="en-GB"/>
        </w:rPr>
        <w:t>P</w:t>
      </w:r>
      <w:r w:rsidR="00527782" w:rsidRPr="00552B69">
        <w:rPr>
          <w:rFonts w:ascii="Arial" w:hAnsi="Arial" w:cs="Arial"/>
          <w:b/>
          <w:bCs/>
          <w:color w:val="365F91" w:themeColor="accent1" w:themeShade="BF"/>
          <w:sz w:val="22"/>
          <w:szCs w:val="22"/>
          <w:lang w:val="en-GB"/>
        </w:rPr>
        <w:t>hases of the periodic reporting exercise</w:t>
      </w:r>
    </w:p>
    <w:p w14:paraId="4A9DA3B1" w14:textId="5F06EB95" w:rsidR="00E66A26" w:rsidRPr="00552B69" w:rsidRDefault="00E66A26" w:rsidP="00D75C08">
      <w:pPr>
        <w:pStyle w:val="Sansinterligne2"/>
        <w:spacing w:before="360" w:after="120"/>
        <w:ind w:left="567"/>
        <w:jc w:val="both"/>
        <w:rPr>
          <w:rFonts w:ascii="Arial" w:hAnsi="Arial" w:cs="Arial"/>
          <w:u w:val="single"/>
          <w:lang w:val="en-GB"/>
        </w:rPr>
      </w:pPr>
      <w:r w:rsidRPr="00552B69">
        <w:rPr>
          <w:rFonts w:ascii="Arial" w:hAnsi="Arial" w:cs="Arial"/>
          <w:sz w:val="22"/>
          <w:szCs w:val="22"/>
          <w:u w:val="single"/>
          <w:lang w:val="en-GB"/>
        </w:rPr>
        <w:t>2021 cycle – Latin America and the Caribbean</w:t>
      </w:r>
    </w:p>
    <w:p w14:paraId="6BA76C7E" w14:textId="0D0F5324" w:rsidR="00E66A26" w:rsidRPr="00552B69" w:rsidRDefault="00E66A26" w:rsidP="00A47E4A">
      <w:pPr>
        <w:pStyle w:val="COMPara"/>
        <w:ind w:left="567" w:hanging="567"/>
        <w:jc w:val="both"/>
      </w:pPr>
      <w:r w:rsidRPr="00552B69">
        <w:t>S</w:t>
      </w:r>
      <w:r w:rsidR="006D44DF" w:rsidRPr="00552B69">
        <w:t>tates Parties from Latin America and the Caribbean responded positively to the reformed system</w:t>
      </w:r>
      <w:r w:rsidR="00A47E4A" w:rsidRPr="00552B69">
        <w:t>, despite the COVID-19 pandemic</w:t>
      </w:r>
      <w:r w:rsidR="0040467B" w:rsidRPr="00552B69">
        <w:t>, as twenty-eight out of thirty-two expected reporting States (87.5 per cent) submitted their report</w:t>
      </w:r>
      <w:r w:rsidR="00A531EF" w:rsidRPr="00552B69">
        <w:rPr>
          <w:rStyle w:val="Appelnotedebasdep"/>
          <w:rFonts w:asciiTheme="minorBidi" w:hAnsiTheme="minorBidi" w:cstheme="minorBidi"/>
          <w:color w:val="000000" w:themeColor="text1"/>
        </w:rPr>
        <w:footnoteReference w:id="1"/>
      </w:r>
      <w:r w:rsidR="00D75C08" w:rsidRPr="00552B69">
        <w:t>.</w:t>
      </w:r>
      <w:r w:rsidR="0040467B" w:rsidRPr="00552B69">
        <w:t xml:space="preserve"> Th</w:t>
      </w:r>
      <w:r w:rsidR="00541280" w:rsidRPr="00552B69">
        <w:t>e</w:t>
      </w:r>
      <w:r w:rsidR="0040467B" w:rsidRPr="00552B69">
        <w:t xml:space="preserve"> Secretariat</w:t>
      </w:r>
      <w:r w:rsidR="00553B84" w:rsidRPr="00552B69">
        <w:t>’s capacity-building approach</w:t>
      </w:r>
      <w:r w:rsidR="0040467B" w:rsidRPr="00552B69">
        <w:t xml:space="preserve"> </w:t>
      </w:r>
      <w:r w:rsidR="00541280" w:rsidRPr="00552B69">
        <w:t xml:space="preserve">was supported by </w:t>
      </w:r>
      <w:r w:rsidR="0040467B" w:rsidRPr="00552B69">
        <w:t xml:space="preserve">the </w:t>
      </w:r>
      <w:bookmarkStart w:id="1" w:name="_Hlk149743147"/>
      <w:r w:rsidR="0040467B" w:rsidRPr="00552B69">
        <w:t xml:space="preserve">Regional Centre for the Safeguarding of Intangible Cultural Heritage in Latin America (CRESPIAL), </w:t>
      </w:r>
      <w:bookmarkEnd w:id="1"/>
      <w:r w:rsidR="0040467B" w:rsidRPr="00552B69">
        <w:t>a category 2 centre under the auspices of UNESCO.</w:t>
      </w:r>
    </w:p>
    <w:p w14:paraId="6FAD37BE" w14:textId="35665E7F" w:rsidR="00D863CD" w:rsidRPr="00552B69" w:rsidRDefault="00D863CD" w:rsidP="00D75C08">
      <w:pPr>
        <w:pStyle w:val="COMPara"/>
        <w:numPr>
          <w:ilvl w:val="0"/>
          <w:numId w:val="0"/>
        </w:numPr>
        <w:ind w:left="567"/>
        <w:jc w:val="both"/>
        <w:rPr>
          <w:rFonts w:asciiTheme="minorBidi" w:hAnsiTheme="minorBidi" w:cstheme="minorBidi"/>
          <w:color w:val="000000" w:themeColor="text1"/>
          <w:u w:val="single"/>
        </w:rPr>
      </w:pPr>
      <w:r w:rsidRPr="00552B69">
        <w:rPr>
          <w:rFonts w:asciiTheme="minorBidi" w:hAnsiTheme="minorBidi" w:cstheme="minorBidi"/>
          <w:color w:val="000000" w:themeColor="text1"/>
          <w:u w:val="single"/>
        </w:rPr>
        <w:t>2022 cycle – Europe</w:t>
      </w:r>
    </w:p>
    <w:p w14:paraId="0F321DB0" w14:textId="1D40CB85" w:rsidR="00D863CD" w:rsidRPr="00552B69" w:rsidRDefault="00D863CD" w:rsidP="00D863CD">
      <w:pPr>
        <w:pStyle w:val="COMPara"/>
        <w:ind w:left="567" w:hanging="567"/>
        <w:jc w:val="both"/>
        <w:rPr>
          <w:u w:val="single"/>
        </w:rPr>
      </w:pPr>
      <w:r w:rsidRPr="00552B69">
        <w:t xml:space="preserve">The engagement of States Parties </w:t>
      </w:r>
      <w:r w:rsidR="008C2728" w:rsidRPr="00552B69">
        <w:t>in</w:t>
      </w:r>
      <w:r w:rsidRPr="00552B69">
        <w:t xml:space="preserve"> Europe</w:t>
      </w:r>
      <w:r w:rsidR="00034E04" w:rsidRPr="00552B69">
        <w:t xml:space="preserve"> resulted in the submission of forty-four (100 per cent) periodic reports. This achievement was made possible by</w:t>
      </w:r>
      <w:r w:rsidR="008C2728" w:rsidRPr="00552B69">
        <w:t xml:space="preserve"> the capacity-building programme </w:t>
      </w:r>
      <w:r w:rsidR="00901E86" w:rsidRPr="00552B69">
        <w:t>rolled out</w:t>
      </w:r>
      <w:r w:rsidR="008C2728" w:rsidRPr="00552B69">
        <w:t xml:space="preserve"> by the Secretariat in cooperation with the Regional Centre for the Safeguarding of the Intangible Cultural Heritage in South-Eastern Europe, a category 2 centre under the auspices of UNESCO</w:t>
      </w:r>
      <w:r w:rsidR="00623B97" w:rsidRPr="00552B69">
        <w:rPr>
          <w:rStyle w:val="Appelnotedebasdep"/>
        </w:rPr>
        <w:footnoteReference w:id="2"/>
      </w:r>
      <w:r w:rsidR="00D75C08" w:rsidRPr="00552B69">
        <w:t>.</w:t>
      </w:r>
    </w:p>
    <w:p w14:paraId="67260ED5" w14:textId="48A63EB7" w:rsidR="00E66A26" w:rsidRPr="00552B69" w:rsidRDefault="00F40627" w:rsidP="00D75C08">
      <w:pPr>
        <w:pStyle w:val="COMPara"/>
        <w:numPr>
          <w:ilvl w:val="0"/>
          <w:numId w:val="0"/>
        </w:numPr>
        <w:ind w:left="567"/>
        <w:rPr>
          <w:u w:val="single"/>
        </w:rPr>
      </w:pPr>
      <w:r w:rsidRPr="00552B69">
        <w:rPr>
          <w:u w:val="single"/>
        </w:rPr>
        <w:t>2023 cycle – Arab States</w:t>
      </w:r>
    </w:p>
    <w:p w14:paraId="5415C3BB" w14:textId="13718135" w:rsidR="00E66A26" w:rsidRPr="00552B69" w:rsidRDefault="00D76BF7" w:rsidP="00346115">
      <w:pPr>
        <w:pStyle w:val="COMPara"/>
        <w:ind w:left="567" w:hanging="567"/>
        <w:jc w:val="both"/>
        <w:rPr>
          <w:u w:val="single"/>
        </w:rPr>
      </w:pPr>
      <w:r w:rsidRPr="00552B69">
        <w:t>E</w:t>
      </w:r>
      <w:r w:rsidR="00346115" w:rsidRPr="00552B69">
        <w:t>ighteen States Parties</w:t>
      </w:r>
      <w:r w:rsidR="00623B97" w:rsidRPr="00552B69">
        <w:t xml:space="preserve"> in the Arab States</w:t>
      </w:r>
      <w:r w:rsidR="00346115" w:rsidRPr="00552B69">
        <w:t xml:space="preserve"> (100 per cent) submitted their periodic reports</w:t>
      </w:r>
      <w:r w:rsidR="00623B97" w:rsidRPr="00552B69">
        <w:rPr>
          <w:rStyle w:val="Appelnotedebasdep"/>
        </w:rPr>
        <w:footnoteReference w:id="3"/>
      </w:r>
      <w:r w:rsidR="00D75C08" w:rsidRPr="00552B69">
        <w:t>.</w:t>
      </w:r>
      <w:r w:rsidR="00346115" w:rsidRPr="00552B69">
        <w:t xml:space="preserve"> </w:t>
      </w:r>
      <w:r w:rsidR="0028155E" w:rsidRPr="00552B69">
        <w:t>For the implementation of capacity-building activities in the region, t</w:t>
      </w:r>
      <w:r w:rsidR="00346115" w:rsidRPr="00552B69">
        <w:t xml:space="preserve">he Secretariat collaborated with the Sharjah Institute for Heritage, </w:t>
      </w:r>
      <w:r w:rsidR="0028155E" w:rsidRPr="00552B69">
        <w:t xml:space="preserve">which hosts the International Centre for Capacity Building in Intangible Cultural Heritage in the Arab States, </w:t>
      </w:r>
      <w:r w:rsidR="00346115" w:rsidRPr="00552B69">
        <w:t>a category 2 centre under the auspices of UNESCO</w:t>
      </w:r>
      <w:r w:rsidR="009B4369" w:rsidRPr="00552B69">
        <w:t>.</w:t>
      </w:r>
    </w:p>
    <w:p w14:paraId="030354D8" w14:textId="7C606DF4" w:rsidR="00901E86" w:rsidRPr="00552B69" w:rsidRDefault="00901E86" w:rsidP="00D75C08">
      <w:pPr>
        <w:pStyle w:val="COMPara"/>
        <w:keepNext/>
        <w:numPr>
          <w:ilvl w:val="0"/>
          <w:numId w:val="0"/>
        </w:numPr>
        <w:ind w:left="567"/>
        <w:rPr>
          <w:u w:val="single"/>
        </w:rPr>
      </w:pPr>
      <w:r w:rsidRPr="00552B69">
        <w:rPr>
          <w:u w:val="single"/>
        </w:rPr>
        <w:lastRenderedPageBreak/>
        <w:t>2024 cycle – Africa</w:t>
      </w:r>
    </w:p>
    <w:p w14:paraId="3BA40EBB" w14:textId="630025D9" w:rsidR="00ED3862" w:rsidRPr="00552B69" w:rsidRDefault="00623B97" w:rsidP="006C03CE">
      <w:pPr>
        <w:pStyle w:val="COMPara"/>
        <w:keepNext/>
        <w:ind w:left="567" w:hanging="567"/>
        <w:jc w:val="both"/>
        <w:rPr>
          <w:u w:val="single"/>
        </w:rPr>
      </w:pPr>
      <w:r w:rsidRPr="00552B69">
        <w:t>F</w:t>
      </w:r>
      <w:r w:rsidR="00901E86" w:rsidRPr="00552B69">
        <w:t xml:space="preserve">orty-four </w:t>
      </w:r>
      <w:r w:rsidRPr="00552B69">
        <w:t xml:space="preserve">States Parties in Africa </w:t>
      </w:r>
      <w:r w:rsidR="00901E86" w:rsidRPr="00552B69">
        <w:t>(</w:t>
      </w:r>
      <w:r w:rsidRPr="00552B69">
        <w:t>100</w:t>
      </w:r>
      <w:r w:rsidR="00361541" w:rsidRPr="00552B69">
        <w:t xml:space="preserve"> per cent</w:t>
      </w:r>
      <w:r w:rsidR="00901E86" w:rsidRPr="00552B69">
        <w:t xml:space="preserve">) </w:t>
      </w:r>
      <w:r w:rsidRPr="00552B69">
        <w:t xml:space="preserve">submitted their </w:t>
      </w:r>
      <w:r w:rsidR="00901E86" w:rsidRPr="00552B69">
        <w:t>periodic reports</w:t>
      </w:r>
      <w:r w:rsidRPr="00552B69">
        <w:rPr>
          <w:rStyle w:val="Appelnotedebasdep"/>
        </w:rPr>
        <w:footnoteReference w:id="4"/>
      </w:r>
      <w:r w:rsidR="00D75C08" w:rsidRPr="00552B69">
        <w:t>.</w:t>
      </w:r>
      <w:r w:rsidR="00B5114C" w:rsidRPr="00552B69">
        <w:t xml:space="preserve"> The Regional Centre for the Safeguarding of Intangible Cultural Heritage in Africa (</w:t>
      </w:r>
      <w:r w:rsidR="00B5114C" w:rsidRPr="00552B69">
        <w:rPr>
          <w:bCs/>
        </w:rPr>
        <w:t xml:space="preserve">CRESPIAF), </w:t>
      </w:r>
      <w:r w:rsidR="00B5114C" w:rsidRPr="00552B69">
        <w:t>a category 2 centre under the auspices of UNESCO</w:t>
      </w:r>
      <w:r w:rsidR="005C7180">
        <w:t xml:space="preserve"> and the Government of Brazil</w:t>
      </w:r>
      <w:r w:rsidR="00B5114C" w:rsidRPr="00552B69">
        <w:t xml:space="preserve">, </w:t>
      </w:r>
      <w:r w:rsidR="0096400C" w:rsidRPr="00552B69">
        <w:t>collaborated with the Secretariat in the implementation of training activities</w:t>
      </w:r>
      <w:r w:rsidR="00BC12D8" w:rsidRPr="00552B69">
        <w:t xml:space="preserve"> (notably a five-day </w:t>
      </w:r>
      <w:r w:rsidR="002951C4" w:rsidRPr="00552B69">
        <w:t>in-person</w:t>
      </w:r>
      <w:r w:rsidR="00BC12D8" w:rsidRPr="00552B69">
        <w:t xml:space="preserve"> workshop)</w:t>
      </w:r>
      <w:r w:rsidR="0096400C" w:rsidRPr="00552B69">
        <w:t xml:space="preserve"> designed for facilitators and country focal points. </w:t>
      </w:r>
      <w:r w:rsidR="00ED3862" w:rsidRPr="00552B69">
        <w:rPr>
          <w:bCs/>
        </w:rPr>
        <w:t xml:space="preserve">Additionally, UNESCO </w:t>
      </w:r>
      <w:r w:rsidR="001755D2" w:rsidRPr="00552B69">
        <w:rPr>
          <w:bCs/>
        </w:rPr>
        <w:t>implemented</w:t>
      </w:r>
      <w:r w:rsidR="00ED3862" w:rsidRPr="00552B69">
        <w:rPr>
          <w:bCs/>
        </w:rPr>
        <w:t xml:space="preserve"> the project ‘Strengthening capacities for periodic </w:t>
      </w:r>
      <w:r w:rsidR="00ED3862" w:rsidRPr="00552B69">
        <w:t>reporting</w:t>
      </w:r>
      <w:r w:rsidR="00ED3862" w:rsidRPr="00552B69">
        <w:rPr>
          <w:bCs/>
        </w:rPr>
        <w:t xml:space="preserve"> </w:t>
      </w:r>
      <w:r w:rsidR="00ED3862" w:rsidRPr="00552B69">
        <w:t>under</w:t>
      </w:r>
      <w:r w:rsidR="00ED3862" w:rsidRPr="00552B69">
        <w:rPr>
          <w:bCs/>
        </w:rPr>
        <w:t xml:space="preserve"> the 2003 Convention for the Safeguarding of the Intangible Cultural Heritage in Africa’, with </w:t>
      </w:r>
      <w:r w:rsidR="00D76BF7" w:rsidRPr="00552B69">
        <w:rPr>
          <w:bCs/>
        </w:rPr>
        <w:t xml:space="preserve">the </w:t>
      </w:r>
      <w:r w:rsidR="00ED3862" w:rsidRPr="00552B69">
        <w:rPr>
          <w:bCs/>
        </w:rPr>
        <w:t xml:space="preserve">generous support </w:t>
      </w:r>
      <w:r w:rsidR="00D76BF7" w:rsidRPr="00552B69">
        <w:rPr>
          <w:bCs/>
        </w:rPr>
        <w:t>of</w:t>
      </w:r>
      <w:r w:rsidR="00ED3862" w:rsidRPr="00552B69">
        <w:rPr>
          <w:bCs/>
        </w:rPr>
        <w:t xml:space="preserve"> the Kingdom of Saudi Arabia.</w:t>
      </w:r>
    </w:p>
    <w:p w14:paraId="1DE85312" w14:textId="49BBD30D" w:rsidR="00E66A26" w:rsidRPr="00552B69" w:rsidRDefault="00094843" w:rsidP="00D75C08">
      <w:pPr>
        <w:pStyle w:val="COMPara"/>
        <w:numPr>
          <w:ilvl w:val="0"/>
          <w:numId w:val="0"/>
        </w:numPr>
        <w:ind w:left="567"/>
        <w:rPr>
          <w:u w:val="single"/>
        </w:rPr>
      </w:pPr>
      <w:r w:rsidRPr="00552B69">
        <w:rPr>
          <w:u w:val="single"/>
        </w:rPr>
        <w:t>2025 cycle – Asia and the Pacific</w:t>
      </w:r>
    </w:p>
    <w:p w14:paraId="70D3D81D" w14:textId="5214D67F" w:rsidR="005B037D" w:rsidRPr="00552B69" w:rsidRDefault="00ED3862" w:rsidP="00094843">
      <w:pPr>
        <w:pStyle w:val="COMPara"/>
        <w:ind w:left="567" w:hanging="567"/>
        <w:jc w:val="both"/>
        <w:rPr>
          <w:u w:val="single"/>
        </w:rPr>
      </w:pPr>
      <w:r w:rsidRPr="00552B69">
        <w:t>States Parties in Asia and the Pacific are to submit their periodic reports by 15 December 2024</w:t>
      </w:r>
      <w:r w:rsidR="00E625B2" w:rsidRPr="00552B69">
        <w:t xml:space="preserve"> (at the same time</w:t>
      </w:r>
      <w:r w:rsidR="00574B55" w:rsidRPr="00552B69">
        <w:t>,</w:t>
      </w:r>
      <w:r w:rsidR="00E625B2" w:rsidRPr="00552B69">
        <w:t xml:space="preserve"> an early submission was solicited – see paragraph </w:t>
      </w:r>
      <w:r w:rsidR="00185C41" w:rsidRPr="00552B69">
        <w:t>16</w:t>
      </w:r>
      <w:r w:rsidR="00E625B2" w:rsidRPr="00552B69">
        <w:t>)</w:t>
      </w:r>
      <w:r w:rsidRPr="00552B69">
        <w:t>.</w:t>
      </w:r>
      <w:r w:rsidR="00361541" w:rsidRPr="00552B69">
        <w:t xml:space="preserve"> The Secretariat collaborated with</w:t>
      </w:r>
      <w:r w:rsidR="00F74566" w:rsidRPr="00552B69">
        <w:t xml:space="preserve"> the</w:t>
      </w:r>
      <w:r w:rsidR="00361541" w:rsidRPr="00552B69">
        <w:t xml:space="preserve"> </w:t>
      </w:r>
      <w:r w:rsidR="00361541" w:rsidRPr="00552B69">
        <w:rPr>
          <w:bCs/>
        </w:rPr>
        <w:t xml:space="preserve">International Training Centre for Intangible Cultural Heritage in the Asia-Pacific Region (CRIHAP) and the International Information and Networking Centre for Intangible Cultural Heritage in the Asia-Pacific Region (ICHCAP), two category 2 centres under the auspices of UNESCO, </w:t>
      </w:r>
      <w:r w:rsidR="00F74566" w:rsidRPr="00552B69">
        <w:rPr>
          <w:bCs/>
        </w:rPr>
        <w:t>to</w:t>
      </w:r>
      <w:r w:rsidR="00361541" w:rsidRPr="00552B69">
        <w:rPr>
          <w:bCs/>
        </w:rPr>
        <w:t xml:space="preserve"> design and implement a capacity-building programme tailored to the regional context.</w:t>
      </w:r>
    </w:p>
    <w:p w14:paraId="1E9CC664" w14:textId="28551386" w:rsidR="00094843" w:rsidRPr="00552B69" w:rsidRDefault="005B037D" w:rsidP="00094843">
      <w:pPr>
        <w:pStyle w:val="COMPara"/>
        <w:ind w:left="567" w:hanging="567"/>
        <w:jc w:val="both"/>
        <w:rPr>
          <w:u w:val="single"/>
        </w:rPr>
      </w:pPr>
      <w:r w:rsidRPr="00552B69">
        <w:rPr>
          <w:bCs/>
        </w:rPr>
        <w:t xml:space="preserve">This process was divided into four </w:t>
      </w:r>
      <w:r w:rsidR="00D76BF7" w:rsidRPr="00552B69">
        <w:rPr>
          <w:bCs/>
        </w:rPr>
        <w:t>s</w:t>
      </w:r>
      <w:r w:rsidRPr="00552B69">
        <w:rPr>
          <w:bCs/>
        </w:rPr>
        <w:t>tages:</w:t>
      </w:r>
    </w:p>
    <w:p w14:paraId="08B39498" w14:textId="31B49A39" w:rsidR="005B037D" w:rsidRPr="00552B69" w:rsidRDefault="00640015" w:rsidP="00D75C08">
      <w:pPr>
        <w:pStyle w:val="COMPara"/>
        <w:numPr>
          <w:ilvl w:val="0"/>
          <w:numId w:val="18"/>
        </w:numPr>
        <w:ind w:left="1134" w:hanging="567"/>
        <w:jc w:val="both"/>
        <w:rPr>
          <w:u w:val="single"/>
        </w:rPr>
      </w:pPr>
      <w:r w:rsidRPr="00552B69">
        <w:t xml:space="preserve">An online Training of Trainers on results-based reporting, the reformed periodic reporting system and the Overall Results Framework for twelve facilitators from the UNESCO global capacity-building network in Asia and the Pacific, held </w:t>
      </w:r>
      <w:r w:rsidR="00C04D56" w:rsidRPr="00552B69">
        <w:t>from</w:t>
      </w:r>
      <w:r w:rsidRPr="00552B69">
        <w:t xml:space="preserve"> 25 to 27 September and </w:t>
      </w:r>
      <w:r w:rsidR="00C04D56" w:rsidRPr="00552B69">
        <w:t>from</w:t>
      </w:r>
      <w:r w:rsidRPr="00552B69">
        <w:t xml:space="preserve"> 10 to 11 October 2023.</w:t>
      </w:r>
    </w:p>
    <w:p w14:paraId="163246D5" w14:textId="6B9C6A66" w:rsidR="00883364" w:rsidRPr="00552B69" w:rsidRDefault="00883364" w:rsidP="00D75C08">
      <w:pPr>
        <w:pStyle w:val="COMPara"/>
        <w:numPr>
          <w:ilvl w:val="0"/>
          <w:numId w:val="18"/>
        </w:numPr>
        <w:ind w:left="1134" w:hanging="567"/>
        <w:jc w:val="both"/>
        <w:rPr>
          <w:u w:val="single"/>
        </w:rPr>
      </w:pPr>
      <w:r w:rsidRPr="00552B69">
        <w:t xml:space="preserve">An information session and an introductory training </w:t>
      </w:r>
      <w:r w:rsidR="00574B55" w:rsidRPr="00552B69">
        <w:t xml:space="preserve">on the reformed periodic reporting system of the Convention and the Overall Results Framework </w:t>
      </w:r>
      <w:r w:rsidRPr="00552B69">
        <w:t>for country focal points in Asia and the Pacific</w:t>
      </w:r>
      <w:r w:rsidR="00574B55" w:rsidRPr="00552B69">
        <w:t>. The information session</w:t>
      </w:r>
      <w:r w:rsidRPr="00552B69">
        <w:t xml:space="preserve"> took place online on 23 November 2023 and </w:t>
      </w:r>
      <w:r w:rsidR="00574B55" w:rsidRPr="00552B69">
        <w:t xml:space="preserve">the introductory training took place on </w:t>
      </w:r>
      <w:r w:rsidRPr="00552B69">
        <w:t>19 December 2023.</w:t>
      </w:r>
    </w:p>
    <w:p w14:paraId="57DB1FF2" w14:textId="623D1675" w:rsidR="00883364" w:rsidRPr="00552B69" w:rsidRDefault="00883364" w:rsidP="00D75C08">
      <w:pPr>
        <w:pStyle w:val="COMPara"/>
        <w:numPr>
          <w:ilvl w:val="0"/>
          <w:numId w:val="18"/>
        </w:numPr>
        <w:ind w:left="1134" w:hanging="567"/>
        <w:jc w:val="both"/>
        <w:rPr>
          <w:u w:val="single"/>
        </w:rPr>
      </w:pPr>
      <w:r w:rsidRPr="00552B69">
        <w:t>A</w:t>
      </w:r>
      <w:r w:rsidR="003529F9" w:rsidRPr="00552B69">
        <w:t>n in-person</w:t>
      </w:r>
      <w:r w:rsidRPr="00552B69">
        <w:t xml:space="preserve"> workshop for country focal points in Asia and the Pacific (held in Jeonju, Republic of Korea,</w:t>
      </w:r>
      <w:r w:rsidR="009A1826" w:rsidRPr="00552B69">
        <w:t xml:space="preserve"> from 26 February to 1 March 2024), hosted by the </w:t>
      </w:r>
      <w:r w:rsidR="009A1826" w:rsidRPr="00552B69">
        <w:rPr>
          <w:bCs/>
        </w:rPr>
        <w:t>International Information and Networking Centre for Intangible Cultural Heritage in the Asia-Pacific Region (ICHCAP).</w:t>
      </w:r>
    </w:p>
    <w:p w14:paraId="737E59D0" w14:textId="03634F29" w:rsidR="00C37946" w:rsidRPr="00552B69" w:rsidRDefault="00C37946" w:rsidP="00D75C08">
      <w:pPr>
        <w:pStyle w:val="COMPara"/>
        <w:numPr>
          <w:ilvl w:val="0"/>
          <w:numId w:val="18"/>
        </w:numPr>
        <w:ind w:left="1134" w:hanging="567"/>
        <w:jc w:val="both"/>
        <w:rPr>
          <w:u w:val="single"/>
        </w:rPr>
      </w:pPr>
      <w:r w:rsidRPr="00552B69">
        <w:rPr>
          <w:bCs/>
        </w:rPr>
        <w:t>Two online regional follow-up sessions (</w:t>
      </w:r>
      <w:bookmarkStart w:id="2" w:name="_Hlk149743464"/>
      <w:r w:rsidR="001755D2" w:rsidRPr="00552B69">
        <w:rPr>
          <w:bCs/>
        </w:rPr>
        <w:t xml:space="preserve">on </w:t>
      </w:r>
      <w:r w:rsidRPr="00552B69">
        <w:t xml:space="preserve">14 May and 8 October 2024) and monthly subregional sessions </w:t>
      </w:r>
      <w:r w:rsidR="003529F9" w:rsidRPr="00552B69">
        <w:t>led by</w:t>
      </w:r>
      <w:r w:rsidRPr="00552B69">
        <w:t xml:space="preserve"> trained facilitators </w:t>
      </w:r>
      <w:bookmarkEnd w:id="2"/>
      <w:r w:rsidRPr="00552B69">
        <w:t>(between March and July 2024).</w:t>
      </w:r>
    </w:p>
    <w:p w14:paraId="4EF6E0C1" w14:textId="0F394800" w:rsidR="00E32DE6" w:rsidRPr="00552B69" w:rsidRDefault="00E32DE6" w:rsidP="00D75C08">
      <w:pPr>
        <w:pStyle w:val="COMPara"/>
        <w:numPr>
          <w:ilvl w:val="0"/>
          <w:numId w:val="0"/>
        </w:numPr>
        <w:ind w:left="567"/>
        <w:jc w:val="both"/>
        <w:rPr>
          <w:u w:val="single"/>
        </w:rPr>
      </w:pPr>
      <w:r w:rsidRPr="00552B69">
        <w:rPr>
          <w:u w:val="single"/>
        </w:rPr>
        <w:t>Lessons</w:t>
      </w:r>
      <w:r w:rsidR="003529F9" w:rsidRPr="00552B69">
        <w:rPr>
          <w:u w:val="single"/>
        </w:rPr>
        <w:t xml:space="preserve"> </w:t>
      </w:r>
      <w:r w:rsidRPr="00552B69">
        <w:rPr>
          <w:u w:val="single"/>
        </w:rPr>
        <w:t>learnt</w:t>
      </w:r>
    </w:p>
    <w:p w14:paraId="3E95788D" w14:textId="5B374E76" w:rsidR="00CB2B3C" w:rsidRPr="00552B69" w:rsidRDefault="006A55B9" w:rsidP="004D65F1">
      <w:pPr>
        <w:pStyle w:val="COMPara"/>
        <w:ind w:left="567" w:hanging="567"/>
        <w:jc w:val="both"/>
        <w:rPr>
          <w:u w:val="single"/>
        </w:rPr>
      </w:pPr>
      <w:r w:rsidRPr="00552B69">
        <w:t xml:space="preserve">To date, the periodic reporting </w:t>
      </w:r>
      <w:r w:rsidR="006258C6" w:rsidRPr="00552B69">
        <w:t>mechanism</w:t>
      </w:r>
      <w:r w:rsidR="00032612" w:rsidRPr="00552B69">
        <w:t xml:space="preserve">, </w:t>
      </w:r>
      <w:r w:rsidR="00574B55" w:rsidRPr="00552B69">
        <w:t xml:space="preserve">as </w:t>
      </w:r>
      <w:r w:rsidR="00032612" w:rsidRPr="00552B69">
        <w:t>aligned with the Convention</w:t>
      </w:r>
      <w:r w:rsidR="006E289E" w:rsidRPr="00552B69">
        <w:t>’s</w:t>
      </w:r>
      <w:r w:rsidR="00032612" w:rsidRPr="00552B69">
        <w:t xml:space="preserve"> Overall Results Framework,</w:t>
      </w:r>
      <w:r w:rsidRPr="00552B69">
        <w:t xml:space="preserve"> has provided </w:t>
      </w:r>
      <w:r w:rsidR="006258C6" w:rsidRPr="00552B69">
        <w:t>meaningful</w:t>
      </w:r>
      <w:r w:rsidRPr="00552B69">
        <w:t xml:space="preserve"> information and data on the state of implementation of the Convention at the national and regional level</w:t>
      </w:r>
      <w:r w:rsidR="003529F9" w:rsidRPr="00552B69">
        <w:t>s</w:t>
      </w:r>
      <w:r w:rsidRPr="00552B69">
        <w:t xml:space="preserve">. </w:t>
      </w:r>
      <w:r w:rsidR="006258C6" w:rsidRPr="00552B69">
        <w:t>P</w:t>
      </w:r>
      <w:r w:rsidRPr="00552B69">
        <w:t xml:space="preserve">eriodic reporting has proven </w:t>
      </w:r>
      <w:r w:rsidR="006258C6" w:rsidRPr="00552B69">
        <w:t>a relevant tool for States Parties</w:t>
      </w:r>
      <w:r w:rsidR="00032612" w:rsidRPr="00552B69">
        <w:t xml:space="preserve"> to take stock of the results achieved</w:t>
      </w:r>
      <w:r w:rsidR="003529F9" w:rsidRPr="00552B69">
        <w:t xml:space="preserve"> at the national level, </w:t>
      </w:r>
      <w:r w:rsidR="006E289E" w:rsidRPr="00552B69">
        <w:t xml:space="preserve">to </w:t>
      </w:r>
      <w:r w:rsidR="00032612" w:rsidRPr="00552B69">
        <w:t xml:space="preserve">identify </w:t>
      </w:r>
      <w:r w:rsidR="006E289E" w:rsidRPr="00552B69">
        <w:t xml:space="preserve">challenges and </w:t>
      </w:r>
      <w:r w:rsidR="003529F9" w:rsidRPr="00552B69">
        <w:t>areas for improvement</w:t>
      </w:r>
      <w:r w:rsidR="006E289E" w:rsidRPr="00552B69">
        <w:t xml:space="preserve">, </w:t>
      </w:r>
      <w:r w:rsidR="003529F9" w:rsidRPr="00552B69">
        <w:t xml:space="preserve">and to </w:t>
      </w:r>
      <w:r w:rsidR="00574B55" w:rsidRPr="00552B69">
        <w:t xml:space="preserve">determine which </w:t>
      </w:r>
      <w:r w:rsidR="003529F9" w:rsidRPr="00552B69">
        <w:t xml:space="preserve">key stakeholders </w:t>
      </w:r>
      <w:r w:rsidR="00574B55" w:rsidRPr="00552B69">
        <w:t>should</w:t>
      </w:r>
      <w:r w:rsidR="003529F9" w:rsidRPr="00552B69">
        <w:t xml:space="preserve"> be involved in the safeguarding of living heritage</w:t>
      </w:r>
      <w:r w:rsidR="006E289E" w:rsidRPr="00552B69">
        <w:rPr>
          <w:color w:val="000000" w:themeColor="text1"/>
        </w:rPr>
        <w:t>.</w:t>
      </w:r>
      <w:r w:rsidR="00CB2B3C" w:rsidRPr="00552B69">
        <w:rPr>
          <w:color w:val="000000" w:themeColor="text1"/>
        </w:rPr>
        <w:t xml:space="preserve"> </w:t>
      </w:r>
      <w:r w:rsidR="00CB2B3C" w:rsidRPr="00552B69">
        <w:t xml:space="preserve">The periodic reporting exercise, combined with the capacity-building programme for country focal points and facilitators, </w:t>
      </w:r>
      <w:r w:rsidR="00574B55" w:rsidRPr="00552B69">
        <w:t xml:space="preserve">has </w:t>
      </w:r>
      <w:r w:rsidR="00CB2B3C" w:rsidRPr="00552B69">
        <w:t>also served as a platform for dialogue and peer-to-peer exchange within and among countries.</w:t>
      </w:r>
    </w:p>
    <w:p w14:paraId="59B2E364" w14:textId="54F69078" w:rsidR="00923AF7" w:rsidRPr="00552B69" w:rsidRDefault="002951C4" w:rsidP="004D65F1">
      <w:pPr>
        <w:pStyle w:val="COMPara"/>
        <w:ind w:left="567" w:hanging="567"/>
        <w:jc w:val="both"/>
        <w:rPr>
          <w:u w:val="single"/>
        </w:rPr>
      </w:pPr>
      <w:r w:rsidRPr="00552B69">
        <w:rPr>
          <w:rFonts w:asciiTheme="minorBidi" w:hAnsiTheme="minorBidi" w:cstheme="minorBidi"/>
        </w:rPr>
        <w:t>The following</w:t>
      </w:r>
      <w:r w:rsidR="00923AF7" w:rsidRPr="00552B69">
        <w:rPr>
          <w:rFonts w:asciiTheme="minorBidi" w:hAnsiTheme="minorBidi" w:cstheme="minorBidi"/>
        </w:rPr>
        <w:t xml:space="preserve"> key insights gained from implementing the reformed periodic reporting system in Latin America and the Caribbean, Europe, the Arab States and Africa are worth highlighting</w:t>
      </w:r>
      <w:r w:rsidR="002E054E" w:rsidRPr="00552B69">
        <w:rPr>
          <w:rFonts w:asciiTheme="minorBidi" w:hAnsiTheme="minorBidi" w:cstheme="minorBidi"/>
        </w:rPr>
        <w:t>:</w:t>
      </w:r>
    </w:p>
    <w:p w14:paraId="5AF60AD0" w14:textId="3041D178" w:rsidR="002E054E" w:rsidRPr="00552B69" w:rsidRDefault="00EF40A1" w:rsidP="00D75C08">
      <w:pPr>
        <w:pStyle w:val="COMPara"/>
        <w:numPr>
          <w:ilvl w:val="0"/>
          <w:numId w:val="18"/>
        </w:numPr>
        <w:ind w:left="1134" w:hanging="567"/>
        <w:jc w:val="both"/>
        <w:rPr>
          <w:u w:val="single"/>
        </w:rPr>
      </w:pPr>
      <w:r w:rsidRPr="00552B69">
        <w:t>The</w:t>
      </w:r>
      <w:r w:rsidR="003856D3" w:rsidRPr="00552B69">
        <w:t xml:space="preserve"> periodic reporting </w:t>
      </w:r>
      <w:r w:rsidRPr="00552B69">
        <w:t>exercise encourages</w:t>
      </w:r>
      <w:r w:rsidR="003856D3" w:rsidRPr="00552B69">
        <w:t xml:space="preserve"> States Parties to </w:t>
      </w:r>
      <w:r w:rsidR="00110995" w:rsidRPr="00552B69">
        <w:t xml:space="preserve">ensure the widest possible participation of all stakeholders involved in the safeguarding of intangible cultural </w:t>
      </w:r>
      <w:r w:rsidR="00110995" w:rsidRPr="00552B69">
        <w:lastRenderedPageBreak/>
        <w:t xml:space="preserve">heritage throughout the exercise, </w:t>
      </w:r>
      <w:r w:rsidR="00574B55" w:rsidRPr="00552B69">
        <w:t xml:space="preserve">with a </w:t>
      </w:r>
      <w:r w:rsidR="00110995" w:rsidRPr="00552B69">
        <w:t>particular</w:t>
      </w:r>
      <w:r w:rsidR="00574B55" w:rsidRPr="00552B69">
        <w:t xml:space="preserve"> focus on</w:t>
      </w:r>
      <w:r w:rsidR="00110995" w:rsidRPr="00552B69">
        <w:t xml:space="preserve"> communities, thus amplifying their perspective and </w:t>
      </w:r>
      <w:r w:rsidR="00F26AD6" w:rsidRPr="00552B69">
        <w:t xml:space="preserve">giving visibility to their </w:t>
      </w:r>
      <w:r w:rsidR="000663F8" w:rsidRPr="00552B69">
        <w:t xml:space="preserve">safeguarding </w:t>
      </w:r>
      <w:r w:rsidR="00110995" w:rsidRPr="00552B69">
        <w:t>activities.</w:t>
      </w:r>
    </w:p>
    <w:p w14:paraId="084E60C2" w14:textId="51ECF1F0" w:rsidR="0069066C" w:rsidRPr="00552B69" w:rsidRDefault="002A6A22" w:rsidP="00D75C08">
      <w:pPr>
        <w:pStyle w:val="COMPara"/>
        <w:numPr>
          <w:ilvl w:val="0"/>
          <w:numId w:val="18"/>
        </w:numPr>
        <w:ind w:left="1134" w:hanging="567"/>
        <w:jc w:val="both"/>
        <w:rPr>
          <w:u w:val="single"/>
        </w:rPr>
      </w:pPr>
      <w:r w:rsidRPr="00552B69">
        <w:t xml:space="preserve">States Parties are encouraged to report on policies and measures related to intangible cultural heritage in general, and not solely on those related to inventoried and inscribed elements. This </w:t>
      </w:r>
      <w:r w:rsidR="001755D2" w:rsidRPr="00552B69">
        <w:t>allows</w:t>
      </w:r>
      <w:r w:rsidRPr="00552B69">
        <w:t xml:space="preserve"> for a greater variety of examples of safeguarding activities.</w:t>
      </w:r>
    </w:p>
    <w:p w14:paraId="511C7604" w14:textId="0A0A593C" w:rsidR="00110995" w:rsidRPr="00552B69" w:rsidRDefault="00AF2CFC" w:rsidP="00D75C08">
      <w:pPr>
        <w:pStyle w:val="COMPara"/>
        <w:numPr>
          <w:ilvl w:val="0"/>
          <w:numId w:val="18"/>
        </w:numPr>
        <w:ind w:left="1134" w:hanging="567"/>
        <w:jc w:val="both"/>
        <w:rPr>
          <w:u w:val="single"/>
        </w:rPr>
      </w:pPr>
      <w:r w:rsidRPr="00552B69">
        <w:t>An e</w:t>
      </w:r>
      <w:r w:rsidR="0069066C" w:rsidRPr="00552B69">
        <w:t xml:space="preserve">vidence-based </w:t>
      </w:r>
      <w:r w:rsidRPr="00552B69">
        <w:t>approach to support any claims made in the reports</w:t>
      </w:r>
      <w:r w:rsidR="00890225" w:rsidRPr="00552B69">
        <w:t>, including through the use of web links,</w:t>
      </w:r>
      <w:r w:rsidRPr="00552B69">
        <w:t xml:space="preserve"> increases the quality and usefulness of the reports for </w:t>
      </w:r>
      <w:r w:rsidR="00520D5A" w:rsidRPr="00552B69">
        <w:t>future monitoring,</w:t>
      </w:r>
      <w:r w:rsidRPr="00552B69">
        <w:t xml:space="preserve"> policymaking and </w:t>
      </w:r>
      <w:r w:rsidR="00890225" w:rsidRPr="00552B69">
        <w:t>knowledge</w:t>
      </w:r>
      <w:r w:rsidR="00EF40A1" w:rsidRPr="00552B69">
        <w:t>-</w:t>
      </w:r>
      <w:r w:rsidR="00520D5A" w:rsidRPr="00552B69">
        <w:t>sharing</w:t>
      </w:r>
      <w:r w:rsidR="00890225" w:rsidRPr="00552B69">
        <w:t xml:space="preserve"> within and among countries.</w:t>
      </w:r>
    </w:p>
    <w:p w14:paraId="3F1A5138" w14:textId="20D00CD4" w:rsidR="002A6A22" w:rsidRPr="00552B69" w:rsidRDefault="000F4FF9" w:rsidP="00D75C08">
      <w:pPr>
        <w:pStyle w:val="COMPara"/>
        <w:numPr>
          <w:ilvl w:val="0"/>
          <w:numId w:val="18"/>
        </w:numPr>
        <w:ind w:left="1134" w:hanging="567"/>
        <w:jc w:val="both"/>
        <w:rPr>
          <w:u w:val="single"/>
        </w:rPr>
      </w:pPr>
      <w:r w:rsidRPr="00552B69">
        <w:t xml:space="preserve">States Parties are encouraged to design </w:t>
      </w:r>
      <w:r w:rsidR="00520D5A" w:rsidRPr="00552B69">
        <w:t xml:space="preserve">national </w:t>
      </w:r>
      <w:r w:rsidR="000663F8" w:rsidRPr="00552B69">
        <w:t xml:space="preserve">operational </w:t>
      </w:r>
      <w:r w:rsidR="00520D5A" w:rsidRPr="00552B69">
        <w:t>framework</w:t>
      </w:r>
      <w:r w:rsidRPr="00552B69">
        <w:t>s</w:t>
      </w:r>
      <w:r w:rsidR="00520D5A" w:rsidRPr="00552B69">
        <w:t xml:space="preserve"> for periodic reporting, </w:t>
      </w:r>
      <w:r w:rsidR="00B92DFF" w:rsidRPr="00552B69">
        <w:t xml:space="preserve">which might include guidelines on the </w:t>
      </w:r>
      <w:r w:rsidRPr="00552B69">
        <w:t>overall supervision</w:t>
      </w:r>
      <w:r w:rsidR="00B92DFF" w:rsidRPr="00552B69">
        <w:t xml:space="preserve"> of the reporting process</w:t>
      </w:r>
      <w:r w:rsidRPr="00552B69">
        <w:t xml:space="preserve">, methodology, </w:t>
      </w:r>
      <w:r w:rsidR="00B92DFF" w:rsidRPr="00552B69">
        <w:t xml:space="preserve">steps and </w:t>
      </w:r>
      <w:r w:rsidRPr="00552B69">
        <w:t xml:space="preserve">timeline, parties concerned, </w:t>
      </w:r>
      <w:r w:rsidR="00B92DFF" w:rsidRPr="00552B69">
        <w:t xml:space="preserve">stakeholder </w:t>
      </w:r>
      <w:r w:rsidRPr="00552B69">
        <w:t>participation and consent, data collection and management,</w:t>
      </w:r>
      <w:r w:rsidR="002948D9" w:rsidRPr="00552B69">
        <w:t xml:space="preserve"> and</w:t>
      </w:r>
      <w:r w:rsidRPr="00552B69">
        <w:t xml:space="preserve"> available resources and logistics, among other</w:t>
      </w:r>
      <w:r w:rsidR="002948D9" w:rsidRPr="00552B69">
        <w:t>s</w:t>
      </w:r>
      <w:r w:rsidR="00D70605" w:rsidRPr="00552B69">
        <w:t>.</w:t>
      </w:r>
    </w:p>
    <w:p w14:paraId="77321678" w14:textId="1802125F" w:rsidR="00D63318" w:rsidRPr="00552B69" w:rsidRDefault="00431381" w:rsidP="00400582">
      <w:pPr>
        <w:pStyle w:val="COMPara"/>
        <w:numPr>
          <w:ilvl w:val="0"/>
          <w:numId w:val="6"/>
        </w:numPr>
        <w:spacing w:before="240"/>
        <w:ind w:left="567" w:hanging="567"/>
        <w:jc w:val="both"/>
        <w:rPr>
          <w:b/>
          <w:bCs/>
        </w:rPr>
      </w:pPr>
      <w:r w:rsidRPr="00552B69">
        <w:rPr>
          <w:b/>
          <w:bCs/>
        </w:rPr>
        <w:t>Update</w:t>
      </w:r>
      <w:r w:rsidR="00143E7C" w:rsidRPr="00552B69">
        <w:rPr>
          <w:b/>
          <w:bCs/>
        </w:rPr>
        <w:t>s on the plan</w:t>
      </w:r>
      <w:r w:rsidRPr="00552B69">
        <w:rPr>
          <w:b/>
          <w:bCs/>
        </w:rPr>
        <w:t xml:space="preserve"> </w:t>
      </w:r>
      <w:r w:rsidR="0031342D" w:rsidRPr="00552B69">
        <w:rPr>
          <w:b/>
          <w:bCs/>
        </w:rPr>
        <w:t>towards the single global submission system</w:t>
      </w:r>
    </w:p>
    <w:p w14:paraId="5F646D61" w14:textId="27B6DA86" w:rsidR="00A653AA" w:rsidRPr="00552B69" w:rsidRDefault="00EF40A1" w:rsidP="0041413B">
      <w:pPr>
        <w:pStyle w:val="COMPara"/>
        <w:ind w:left="567" w:hanging="567"/>
        <w:jc w:val="both"/>
      </w:pPr>
      <w:r w:rsidRPr="00552B69">
        <w:t xml:space="preserve">Between </w:t>
      </w:r>
      <w:r w:rsidR="00D5522A" w:rsidRPr="00552B69">
        <w:t>July</w:t>
      </w:r>
      <w:r w:rsidRPr="00552B69">
        <w:t xml:space="preserve"> 2023 and March 2024, t</w:t>
      </w:r>
      <w:r w:rsidR="00A653AA" w:rsidRPr="00552B69">
        <w:t xml:space="preserve">he UNESCO Internal Oversight Service (IOS) conducted an </w:t>
      </w:r>
      <w:hyperlink r:id="rId14" w:history="1">
        <w:r w:rsidR="00C014BE" w:rsidRPr="00552B69">
          <w:rPr>
            <w:rStyle w:val="Lienhypertexte"/>
          </w:rPr>
          <w:t>E</w:t>
        </w:r>
        <w:r w:rsidR="00A653AA" w:rsidRPr="00552B69">
          <w:rPr>
            <w:rStyle w:val="Lienhypertexte"/>
          </w:rPr>
          <w:t>valuation of UNESCO’s periodic reporting on the Culture Sector’s Conventions and Recommendations</w:t>
        </w:r>
      </w:hyperlink>
      <w:r w:rsidR="00A653AA" w:rsidRPr="00552B69">
        <w:rPr>
          <w:rStyle w:val="Lienhypertexte"/>
          <w:color w:val="000000" w:themeColor="text1"/>
          <w:u w:val="none"/>
        </w:rPr>
        <w:t xml:space="preserve"> </w:t>
      </w:r>
      <w:r w:rsidR="00A653AA" w:rsidRPr="00552B69">
        <w:t>to assess the effectiveness</w:t>
      </w:r>
      <w:r w:rsidR="00FA4875" w:rsidRPr="00552B69">
        <w:t xml:space="preserve"> </w:t>
      </w:r>
      <w:r w:rsidR="00A653AA" w:rsidRPr="00552B69">
        <w:t xml:space="preserve">of </w:t>
      </w:r>
      <w:r w:rsidR="00FA4875" w:rsidRPr="00552B69">
        <w:t>periodic reporting mechanisms</w:t>
      </w:r>
      <w:r w:rsidR="00A653AA" w:rsidRPr="00552B69">
        <w:t xml:space="preserve">. </w:t>
      </w:r>
      <w:r w:rsidR="00450F44" w:rsidRPr="00552B69">
        <w:t xml:space="preserve">The evaluation highlighted that the rationalization of the mechanisms of all UNESCO Culture Conventions and Recommendations would contribute to advancing the priorities identified by Ministers of Culture in the MONDIACULT 2022 Declaration, including the development of the </w:t>
      </w:r>
      <w:r w:rsidR="00BC3A74" w:rsidRPr="00552B69">
        <w:t xml:space="preserve">quadrennial </w:t>
      </w:r>
      <w:r w:rsidR="00450F44" w:rsidRPr="00552B69">
        <w:t xml:space="preserve">Global Report on Cultural Policies. </w:t>
      </w:r>
      <w:r w:rsidR="006006DA" w:rsidRPr="00552B69">
        <w:t>This</w:t>
      </w:r>
      <w:r w:rsidR="00A653AA" w:rsidRPr="00552B69">
        <w:t xml:space="preserve"> could entail aligning reporting calendars for all instruments and moving towards a single global submission date for all States.</w:t>
      </w:r>
    </w:p>
    <w:p w14:paraId="11281A9F" w14:textId="5C505EE5" w:rsidR="00650F99" w:rsidRPr="00552B69" w:rsidRDefault="00D460B6" w:rsidP="00850179">
      <w:pPr>
        <w:pStyle w:val="COMPara"/>
        <w:ind w:left="567" w:hanging="567"/>
        <w:jc w:val="both"/>
      </w:pPr>
      <w:r w:rsidRPr="00552B69">
        <w:rPr>
          <w:rStyle w:val="Lienhypertexte"/>
          <w:color w:val="000000" w:themeColor="text1"/>
          <w:u w:val="none"/>
        </w:rPr>
        <w:t xml:space="preserve">In </w:t>
      </w:r>
      <w:r w:rsidR="00F23D8D" w:rsidRPr="00552B69">
        <w:rPr>
          <w:rStyle w:val="Lienhypertexte"/>
          <w:color w:val="000000" w:themeColor="text1"/>
          <w:u w:val="none"/>
        </w:rPr>
        <w:t>accordance</w:t>
      </w:r>
      <w:r w:rsidRPr="00552B69">
        <w:rPr>
          <w:rStyle w:val="Lienhypertexte"/>
          <w:color w:val="000000" w:themeColor="text1"/>
          <w:u w:val="none"/>
        </w:rPr>
        <w:t xml:space="preserve"> with the </w:t>
      </w:r>
      <w:r w:rsidR="000D63ED" w:rsidRPr="00552B69">
        <w:rPr>
          <w:rStyle w:val="Lienhypertexte"/>
          <w:color w:val="000000" w:themeColor="text1"/>
          <w:u w:val="none"/>
        </w:rPr>
        <w:t>decision</w:t>
      </w:r>
      <w:r w:rsidRPr="00552B69">
        <w:rPr>
          <w:rStyle w:val="Lienhypertexte"/>
          <w:color w:val="000000" w:themeColor="text1"/>
          <w:u w:val="none"/>
        </w:rPr>
        <w:t xml:space="preserve"> of the </w:t>
      </w:r>
      <w:r w:rsidR="00852263" w:rsidRPr="00552B69">
        <w:rPr>
          <w:rStyle w:val="Lienhypertexte"/>
          <w:color w:val="000000" w:themeColor="text1"/>
          <w:u w:val="none"/>
        </w:rPr>
        <w:t>Executive Board</w:t>
      </w:r>
      <w:r w:rsidR="001807A2" w:rsidRPr="00552B69">
        <w:rPr>
          <w:rStyle w:val="Appelnotedebasdep"/>
          <w:color w:val="000000" w:themeColor="text1"/>
        </w:rPr>
        <w:footnoteReference w:id="5"/>
      </w:r>
      <w:r w:rsidR="00F821EA" w:rsidRPr="00552B69">
        <w:rPr>
          <w:rStyle w:val="Lienhypertexte"/>
          <w:color w:val="000000" w:themeColor="text1"/>
          <w:u w:val="none"/>
        </w:rPr>
        <w:t>,</w:t>
      </w:r>
      <w:r w:rsidR="00C014BE" w:rsidRPr="00552B69">
        <w:rPr>
          <w:rStyle w:val="Lienhypertexte"/>
          <w:color w:val="000000" w:themeColor="text1"/>
          <w:u w:val="none"/>
        </w:rPr>
        <w:t xml:space="preserve"> </w:t>
      </w:r>
      <w:r w:rsidRPr="00552B69">
        <w:rPr>
          <w:rStyle w:val="Lienhypertexte"/>
          <w:color w:val="000000" w:themeColor="text1"/>
          <w:u w:val="none"/>
        </w:rPr>
        <w:t xml:space="preserve">the tenth session of the General Assembly </w:t>
      </w:r>
      <w:r w:rsidR="00425732" w:rsidRPr="00552B69">
        <w:rPr>
          <w:rStyle w:val="Lienhypertexte"/>
          <w:color w:val="000000" w:themeColor="text1"/>
          <w:u w:val="none"/>
        </w:rPr>
        <w:t xml:space="preserve">in </w:t>
      </w:r>
      <w:r w:rsidR="00BC5D19" w:rsidRPr="00552B69">
        <w:rPr>
          <w:rStyle w:val="Lienhypertexte"/>
          <w:color w:val="000000" w:themeColor="text1"/>
          <w:u w:val="none"/>
        </w:rPr>
        <w:t xml:space="preserve">June 2024 </w:t>
      </w:r>
      <w:r w:rsidRPr="00552B69">
        <w:rPr>
          <w:rStyle w:val="Lienhypertexte"/>
          <w:color w:val="000000" w:themeColor="text1"/>
          <w:u w:val="none"/>
        </w:rPr>
        <w:t xml:space="preserve">took note of the </w:t>
      </w:r>
      <w:r w:rsidR="00425732" w:rsidRPr="00552B69">
        <w:rPr>
          <w:rStyle w:val="Lienhypertexte"/>
          <w:color w:val="000000" w:themeColor="text1"/>
          <w:u w:val="none"/>
        </w:rPr>
        <w:t xml:space="preserve">IOS </w:t>
      </w:r>
      <w:r w:rsidR="002C0963" w:rsidRPr="00552B69">
        <w:rPr>
          <w:rStyle w:val="Lienhypertexte"/>
          <w:color w:val="000000" w:themeColor="text1"/>
          <w:u w:val="none"/>
        </w:rPr>
        <w:t>evaluation</w:t>
      </w:r>
      <w:r w:rsidR="00425732" w:rsidRPr="00552B69">
        <w:rPr>
          <w:rStyle w:val="Lienhypertexte"/>
          <w:color w:val="000000" w:themeColor="text1"/>
          <w:u w:val="none"/>
        </w:rPr>
        <w:t xml:space="preserve"> as well as </w:t>
      </w:r>
      <w:r w:rsidR="002948D9" w:rsidRPr="00552B69">
        <w:rPr>
          <w:rStyle w:val="Lienhypertexte"/>
          <w:color w:val="000000" w:themeColor="text1"/>
          <w:u w:val="none"/>
        </w:rPr>
        <w:t xml:space="preserve">of </w:t>
      </w:r>
      <w:r w:rsidR="00AD490D" w:rsidRPr="00552B69">
        <w:rPr>
          <w:rStyle w:val="Lienhypertexte"/>
          <w:color w:val="000000" w:themeColor="text1"/>
          <w:u w:val="none"/>
        </w:rPr>
        <w:t xml:space="preserve">the </w:t>
      </w:r>
      <w:r w:rsidR="00425732" w:rsidRPr="00552B69">
        <w:rPr>
          <w:rStyle w:val="Lienhypertexte"/>
          <w:color w:val="000000" w:themeColor="text1"/>
          <w:u w:val="none"/>
        </w:rPr>
        <w:t>proposals made by the eighteenth session</w:t>
      </w:r>
      <w:r w:rsidR="00BC5D19" w:rsidRPr="00552B69">
        <w:rPr>
          <w:rStyle w:val="Lienhypertexte"/>
          <w:color w:val="000000" w:themeColor="text1"/>
          <w:u w:val="none"/>
        </w:rPr>
        <w:t xml:space="preserve"> </w:t>
      </w:r>
      <w:r w:rsidR="00BC5D19" w:rsidRPr="00552B69">
        <w:rPr>
          <w:color w:val="000000" w:themeColor="text1"/>
        </w:rPr>
        <w:t>of the Committee</w:t>
      </w:r>
      <w:r w:rsidR="00425732" w:rsidRPr="00552B69">
        <w:rPr>
          <w:color w:val="000000" w:themeColor="text1"/>
        </w:rPr>
        <w:t xml:space="preserve"> </w:t>
      </w:r>
      <w:r w:rsidR="00BC5D19" w:rsidRPr="00552B69">
        <w:rPr>
          <w:color w:val="000000" w:themeColor="text1"/>
        </w:rPr>
        <w:t>on the proposed alignment of the periodic reporting mechanisms</w:t>
      </w:r>
      <w:r w:rsidR="00425732" w:rsidRPr="00552B69">
        <w:rPr>
          <w:rStyle w:val="Lienhypertexte"/>
          <w:color w:val="000000" w:themeColor="text1"/>
          <w:u w:val="none"/>
        </w:rPr>
        <w:t xml:space="preserve"> </w:t>
      </w:r>
      <w:r w:rsidR="000F52D7" w:rsidRPr="00552B69">
        <w:rPr>
          <w:rStyle w:val="Lienhypertexte"/>
          <w:color w:val="000000" w:themeColor="text1"/>
          <w:u w:val="none"/>
        </w:rPr>
        <w:t>(Resolution</w:t>
      </w:r>
      <w:r w:rsidR="00192C1B" w:rsidRPr="00552B69">
        <w:rPr>
          <w:rStyle w:val="Lienhypertexte"/>
          <w:color w:val="000000" w:themeColor="text1"/>
          <w:u w:val="none"/>
        </w:rPr>
        <w:t>s</w:t>
      </w:r>
      <w:r w:rsidR="000F52D7" w:rsidRPr="00552B69">
        <w:rPr>
          <w:rStyle w:val="Lienhypertexte"/>
          <w:color w:val="000000" w:themeColor="text1"/>
          <w:u w:val="none"/>
        </w:rPr>
        <w:t xml:space="preserve"> </w:t>
      </w:r>
      <w:hyperlink r:id="rId15" w:history="1">
        <w:r w:rsidR="000F52D7" w:rsidRPr="00552B69">
          <w:rPr>
            <w:rStyle w:val="Lienhypertexte"/>
          </w:rPr>
          <w:t>10.GA 5</w:t>
        </w:r>
      </w:hyperlink>
      <w:r w:rsidR="00192C1B" w:rsidRPr="00552B69">
        <w:t xml:space="preserve">, </w:t>
      </w:r>
      <w:hyperlink r:id="rId16" w:history="1">
        <w:r w:rsidR="000F52D7" w:rsidRPr="00552B69">
          <w:rPr>
            <w:rStyle w:val="Lienhypertexte"/>
          </w:rPr>
          <w:t>10.GA 6</w:t>
        </w:r>
      </w:hyperlink>
      <w:r w:rsidR="00425732" w:rsidRPr="00552B69">
        <w:t xml:space="preserve"> </w:t>
      </w:r>
      <w:r w:rsidR="00C15359" w:rsidRPr="00552B69">
        <w:t xml:space="preserve">and </w:t>
      </w:r>
      <w:r w:rsidR="00425732" w:rsidRPr="00552B69">
        <w:t>Decision</w:t>
      </w:r>
      <w:r w:rsidR="00185C41" w:rsidRPr="00552B69">
        <w:t xml:space="preserve"> </w:t>
      </w:r>
      <w:hyperlink r:id="rId17" w:history="1">
        <w:r w:rsidR="00185C41" w:rsidRPr="00552B69">
          <w:rPr>
            <w:rStyle w:val="Lienhypertexte"/>
          </w:rPr>
          <w:t>18.COM 7.c</w:t>
        </w:r>
      </w:hyperlink>
      <w:r w:rsidR="00192C1B" w:rsidRPr="00552B69">
        <w:rPr>
          <w:color w:val="000000" w:themeColor="text1"/>
        </w:rPr>
        <w:t>).</w:t>
      </w:r>
      <w:r w:rsidR="00850179" w:rsidRPr="00552B69">
        <w:rPr>
          <w:color w:val="000000" w:themeColor="text1"/>
        </w:rPr>
        <w:t xml:space="preserve"> </w:t>
      </w:r>
      <w:r w:rsidR="00850179" w:rsidRPr="00552B69">
        <w:t>Accordingly,</w:t>
      </w:r>
      <w:r w:rsidRPr="00552B69">
        <w:t xml:space="preserve"> the periodic reporting schedule </w:t>
      </w:r>
      <w:r w:rsidR="0041413B" w:rsidRPr="00552B69">
        <w:t>will move to the</w:t>
      </w:r>
      <w:r w:rsidRPr="00552B69">
        <w:t xml:space="preserve"> </w:t>
      </w:r>
      <w:r w:rsidRPr="00552B69">
        <w:rPr>
          <w:u w:val="single"/>
        </w:rPr>
        <w:t>single global submission date</w:t>
      </w:r>
      <w:r w:rsidRPr="00552B69">
        <w:t xml:space="preserve"> of 30 June 2027 and every four years thereafter for all States Parties</w:t>
      </w:r>
      <w:r w:rsidR="006C703C" w:rsidRPr="00552B69">
        <w:t>,</w:t>
      </w:r>
      <w:r w:rsidRPr="00552B69">
        <w:t xml:space="preserve"> covering all </w:t>
      </w:r>
      <w:r w:rsidR="0041413B" w:rsidRPr="00552B69">
        <w:t>listing m</w:t>
      </w:r>
      <w:r w:rsidRPr="00552B69">
        <w:t>echanisms of the Convention currently reported on different schedules</w:t>
      </w:r>
      <w:r w:rsidR="00302938" w:rsidRPr="00552B69">
        <w:t>.</w:t>
      </w:r>
      <w:r w:rsidR="00D26F1A" w:rsidRPr="00552B69">
        <w:t xml:space="preserve"> </w:t>
      </w:r>
      <w:r w:rsidR="0041413B" w:rsidRPr="00552B69">
        <w:t xml:space="preserve">The move will take place following </w:t>
      </w:r>
      <w:r w:rsidR="006C3DF9" w:rsidRPr="00552B69">
        <w:t xml:space="preserve">a roadmap </w:t>
      </w:r>
      <w:r w:rsidR="000C50BC" w:rsidRPr="00552B69">
        <w:t xml:space="preserve">that include: </w:t>
      </w:r>
      <w:r w:rsidR="00B96592" w:rsidRPr="00552B69">
        <w:t>(a)</w:t>
      </w:r>
      <w:r w:rsidR="001C566D" w:rsidRPr="00552B69">
        <w:t> </w:t>
      </w:r>
      <w:r w:rsidR="00B96592" w:rsidRPr="00552B69">
        <w:t xml:space="preserve">transitional measures </w:t>
      </w:r>
      <w:r w:rsidR="003D1A43" w:rsidRPr="00552B69">
        <w:t xml:space="preserve">in support of </w:t>
      </w:r>
      <w:r w:rsidR="00B96592" w:rsidRPr="00552B69">
        <w:t xml:space="preserve">the first edition of the Global Report on Cultural Policies </w:t>
      </w:r>
      <w:r w:rsidR="003D1A43" w:rsidRPr="00552B69">
        <w:t xml:space="preserve">to be issued </w:t>
      </w:r>
      <w:r w:rsidR="00B96592" w:rsidRPr="00552B69">
        <w:t>in 2025; and (b)</w:t>
      </w:r>
      <w:r w:rsidR="001C566D" w:rsidRPr="00552B69">
        <w:t> </w:t>
      </w:r>
      <w:r w:rsidR="00B96592" w:rsidRPr="00552B69">
        <w:t xml:space="preserve">adjustments to </w:t>
      </w:r>
      <w:r w:rsidR="003D1A43" w:rsidRPr="00552B69">
        <w:t xml:space="preserve">be made in </w:t>
      </w:r>
      <w:r w:rsidR="00B96592" w:rsidRPr="00552B69">
        <w:t xml:space="preserve">support </w:t>
      </w:r>
      <w:r w:rsidR="003D1A43" w:rsidRPr="00552B69">
        <w:t xml:space="preserve">of </w:t>
      </w:r>
      <w:r w:rsidR="00B96592" w:rsidRPr="00552B69">
        <w:t xml:space="preserve">the </w:t>
      </w:r>
      <w:r w:rsidR="00BC3A74" w:rsidRPr="00552B69">
        <w:t xml:space="preserve">future </w:t>
      </w:r>
      <w:r w:rsidR="00B96592" w:rsidRPr="00552B69">
        <w:t>edition</w:t>
      </w:r>
      <w:r w:rsidR="00BC3A74" w:rsidRPr="00552B69">
        <w:t>s</w:t>
      </w:r>
      <w:r w:rsidR="00B96592" w:rsidRPr="00552B69">
        <w:t xml:space="preserve"> of the Global Report on Cultural Policies </w:t>
      </w:r>
      <w:r w:rsidR="003D1A43" w:rsidRPr="00552B69">
        <w:t xml:space="preserve">to be issued </w:t>
      </w:r>
      <w:r w:rsidR="00B96592" w:rsidRPr="00552B69">
        <w:t>in 2029</w:t>
      </w:r>
      <w:r w:rsidR="003D1A43" w:rsidRPr="00552B69">
        <w:t>,</w:t>
      </w:r>
      <w:r w:rsidR="00B96592" w:rsidRPr="00552B69">
        <w:t xml:space="preserve"> and </w:t>
      </w:r>
      <w:r w:rsidR="000E2BEB" w:rsidRPr="00552B69">
        <w:t xml:space="preserve">every four years </w:t>
      </w:r>
      <w:r w:rsidR="00B96592" w:rsidRPr="00552B69">
        <w:t>thereafter</w:t>
      </w:r>
      <w:r w:rsidR="00302938" w:rsidRPr="00552B69">
        <w:t>.</w:t>
      </w:r>
    </w:p>
    <w:p w14:paraId="48C6A80C" w14:textId="72AB1941" w:rsidR="00F404D5" w:rsidRPr="00552B69" w:rsidRDefault="00785741" w:rsidP="006C03CE">
      <w:pPr>
        <w:pStyle w:val="COMPara"/>
        <w:numPr>
          <w:ilvl w:val="0"/>
          <w:numId w:val="0"/>
        </w:numPr>
        <w:spacing w:before="240"/>
        <w:ind w:left="567"/>
        <w:jc w:val="both"/>
        <w:rPr>
          <w:u w:val="single"/>
        </w:rPr>
      </w:pPr>
      <w:r w:rsidRPr="00552B69">
        <w:rPr>
          <w:u w:val="single"/>
        </w:rPr>
        <w:t xml:space="preserve">a) </w:t>
      </w:r>
      <w:r w:rsidR="00F404D5" w:rsidRPr="00552B69">
        <w:rPr>
          <w:u w:val="single"/>
        </w:rPr>
        <w:t>Transitional measures for the first edition of the Global Report on Cultural Policies in 2025</w:t>
      </w:r>
    </w:p>
    <w:p w14:paraId="05999E82" w14:textId="308617E5" w:rsidR="00C0616A" w:rsidRPr="00552B69" w:rsidRDefault="00332D8B" w:rsidP="00883DAD">
      <w:pPr>
        <w:pStyle w:val="COMPara"/>
        <w:ind w:left="567" w:hanging="567"/>
        <w:jc w:val="both"/>
        <w:rPr>
          <w:u w:val="single"/>
        </w:rPr>
      </w:pPr>
      <w:r w:rsidRPr="00552B69">
        <w:t xml:space="preserve">Information contained in the periodic reports submitted </w:t>
      </w:r>
      <w:r w:rsidR="00F46ECB" w:rsidRPr="00552B69">
        <w:t xml:space="preserve">from </w:t>
      </w:r>
      <w:r w:rsidR="00C0616A" w:rsidRPr="00552B69">
        <w:t xml:space="preserve">States Parties in </w:t>
      </w:r>
      <w:r w:rsidR="00F46ECB" w:rsidRPr="00552B69">
        <w:t>Latin America and the Caribbean (2021 cycle), Europe (2022 cycle), the Arab States (2023 cycle)</w:t>
      </w:r>
      <w:r w:rsidR="00080CC6" w:rsidRPr="00552B69">
        <w:t xml:space="preserve"> </w:t>
      </w:r>
      <w:r w:rsidRPr="00552B69">
        <w:t xml:space="preserve">and </w:t>
      </w:r>
      <w:r w:rsidR="00F46ECB" w:rsidRPr="00552B69">
        <w:t xml:space="preserve">Africa (2024 cycle) will </w:t>
      </w:r>
      <w:r w:rsidR="00E8672D" w:rsidRPr="00552B69">
        <w:t>be reflected in</w:t>
      </w:r>
      <w:r w:rsidR="00F46ECB" w:rsidRPr="00552B69">
        <w:t xml:space="preserve"> the first edition of the Global Report on Cultural Policies </w:t>
      </w:r>
      <w:r w:rsidRPr="00552B69">
        <w:t xml:space="preserve">to be issued in the second half of </w:t>
      </w:r>
      <w:r w:rsidR="00F46ECB" w:rsidRPr="00552B69">
        <w:t>2025.</w:t>
      </w:r>
      <w:r w:rsidRPr="00552B69">
        <w:t xml:space="preserve"> </w:t>
      </w:r>
      <w:r w:rsidR="00C44DDB" w:rsidRPr="00552B69">
        <w:t>As the last region to undergo the first regional cycle of reporting (2025 cycle)</w:t>
      </w:r>
      <w:r w:rsidR="00C0616A" w:rsidRPr="00552B69">
        <w:t xml:space="preserve">, </w:t>
      </w:r>
      <w:r w:rsidR="00C44DDB" w:rsidRPr="00552B69">
        <w:t xml:space="preserve">States Parties from Asia and the Pacific were </w:t>
      </w:r>
      <w:r w:rsidRPr="00552B69">
        <w:t>solicited</w:t>
      </w:r>
      <w:r w:rsidR="00C44DDB" w:rsidRPr="00552B69">
        <w:t xml:space="preserve"> </w:t>
      </w:r>
      <w:r w:rsidR="00C0616A" w:rsidRPr="00552B69">
        <w:t xml:space="preserve">to </w:t>
      </w:r>
      <w:r w:rsidR="00C0616A" w:rsidRPr="00552B69">
        <w:rPr>
          <w:rFonts w:asciiTheme="minorBidi" w:hAnsiTheme="minorBidi" w:cstheme="minorBidi"/>
        </w:rPr>
        <w:t xml:space="preserve">submit their entire or partially completed </w:t>
      </w:r>
      <w:r w:rsidR="00B874EF" w:rsidRPr="00552B69">
        <w:rPr>
          <w:rFonts w:asciiTheme="minorBidi" w:hAnsiTheme="minorBidi" w:cstheme="minorBidi"/>
        </w:rPr>
        <w:t xml:space="preserve">periodic </w:t>
      </w:r>
      <w:r w:rsidR="00C0616A" w:rsidRPr="00552B69">
        <w:rPr>
          <w:rFonts w:asciiTheme="minorBidi" w:hAnsiTheme="minorBidi" w:cstheme="minorBidi"/>
        </w:rPr>
        <w:t>reports by 15 June 2024</w:t>
      </w:r>
      <w:r w:rsidR="00C512DC" w:rsidRPr="00552B69">
        <w:rPr>
          <w:rFonts w:asciiTheme="minorBidi" w:hAnsiTheme="minorBidi" w:cstheme="minorBidi"/>
        </w:rPr>
        <w:t xml:space="preserve"> </w:t>
      </w:r>
      <w:proofErr w:type="gramStart"/>
      <w:r w:rsidR="00C512DC" w:rsidRPr="00552B69">
        <w:rPr>
          <w:rFonts w:asciiTheme="minorBidi" w:hAnsiTheme="minorBidi" w:cstheme="minorBidi"/>
        </w:rPr>
        <w:t>so as to</w:t>
      </w:r>
      <w:proofErr w:type="gramEnd"/>
      <w:r w:rsidR="00C512DC" w:rsidRPr="00552B69">
        <w:rPr>
          <w:rFonts w:asciiTheme="minorBidi" w:hAnsiTheme="minorBidi" w:cstheme="minorBidi"/>
        </w:rPr>
        <w:t xml:space="preserve"> </w:t>
      </w:r>
      <w:r w:rsidR="008B6806" w:rsidRPr="00552B69">
        <w:rPr>
          <w:rFonts w:asciiTheme="minorBidi" w:hAnsiTheme="minorBidi" w:cstheme="minorBidi"/>
        </w:rPr>
        <w:t xml:space="preserve">take into account </w:t>
      </w:r>
      <w:r w:rsidR="00C512DC" w:rsidRPr="00552B69">
        <w:rPr>
          <w:rFonts w:asciiTheme="minorBidi" w:hAnsiTheme="minorBidi" w:cstheme="minorBidi"/>
        </w:rPr>
        <w:t>their situation</w:t>
      </w:r>
      <w:r w:rsidR="008B6806" w:rsidRPr="00552B69">
        <w:rPr>
          <w:rFonts w:asciiTheme="minorBidi" w:hAnsiTheme="minorBidi" w:cstheme="minorBidi"/>
        </w:rPr>
        <w:t>s</w:t>
      </w:r>
      <w:r w:rsidR="00C512DC" w:rsidRPr="00552B69">
        <w:rPr>
          <w:rFonts w:asciiTheme="minorBidi" w:hAnsiTheme="minorBidi" w:cstheme="minorBidi"/>
        </w:rPr>
        <w:t xml:space="preserve"> in the first edition of the Global Report</w:t>
      </w:r>
      <w:r w:rsidR="00C44DDB" w:rsidRPr="00552B69">
        <w:rPr>
          <w:rFonts w:asciiTheme="minorBidi" w:hAnsiTheme="minorBidi" w:cstheme="minorBidi"/>
        </w:rPr>
        <w:t xml:space="preserve">. </w:t>
      </w:r>
      <w:r w:rsidR="00883DAD" w:rsidRPr="00552B69">
        <w:rPr>
          <w:rFonts w:asciiTheme="minorBidi" w:hAnsiTheme="minorBidi" w:cstheme="minorBidi"/>
        </w:rPr>
        <w:t xml:space="preserve">Twenty-four out of forty-two (57 per cent) reporting States from the region </w:t>
      </w:r>
      <w:r w:rsidR="00C512DC" w:rsidRPr="00552B69">
        <w:rPr>
          <w:rFonts w:asciiTheme="minorBidi" w:hAnsiTheme="minorBidi" w:cstheme="minorBidi"/>
        </w:rPr>
        <w:t>responded to the call by submitting</w:t>
      </w:r>
      <w:r w:rsidR="00883DAD" w:rsidRPr="00552B69">
        <w:rPr>
          <w:rFonts w:asciiTheme="minorBidi" w:hAnsiTheme="minorBidi" w:cstheme="minorBidi"/>
        </w:rPr>
        <w:t xml:space="preserve"> their reports</w:t>
      </w:r>
      <w:r w:rsidR="00C512DC" w:rsidRPr="00552B69">
        <w:rPr>
          <w:rFonts w:asciiTheme="minorBidi" w:hAnsiTheme="minorBidi" w:cstheme="minorBidi"/>
        </w:rPr>
        <w:t xml:space="preserve"> ahead of the statutory deadline</w:t>
      </w:r>
      <w:r w:rsidR="00C0616A" w:rsidRPr="00552B69">
        <w:rPr>
          <w:rFonts w:asciiTheme="minorBidi" w:hAnsiTheme="minorBidi" w:cstheme="minorBidi"/>
        </w:rPr>
        <w:t>.</w:t>
      </w:r>
    </w:p>
    <w:p w14:paraId="57579DAA" w14:textId="234F6729" w:rsidR="007048FD" w:rsidRPr="00552B69" w:rsidRDefault="00785741" w:rsidP="00F821EA">
      <w:pPr>
        <w:pStyle w:val="COMPara"/>
        <w:keepNext/>
        <w:numPr>
          <w:ilvl w:val="0"/>
          <w:numId w:val="0"/>
        </w:numPr>
        <w:ind w:left="567"/>
        <w:jc w:val="both"/>
        <w:rPr>
          <w:u w:val="single"/>
        </w:rPr>
      </w:pPr>
      <w:r w:rsidRPr="00552B69">
        <w:rPr>
          <w:u w:val="single"/>
        </w:rPr>
        <w:lastRenderedPageBreak/>
        <w:t xml:space="preserve">b) </w:t>
      </w:r>
      <w:r w:rsidR="001130FA" w:rsidRPr="00552B69">
        <w:rPr>
          <w:u w:val="single"/>
        </w:rPr>
        <w:t>A</w:t>
      </w:r>
      <w:r w:rsidR="007048FD" w:rsidRPr="00552B69">
        <w:rPr>
          <w:u w:val="single"/>
        </w:rPr>
        <w:t>djustments to support the second edition of the Global Report on Cultural Policies in 2029</w:t>
      </w:r>
      <w:r w:rsidR="001130FA" w:rsidRPr="00552B69">
        <w:rPr>
          <w:u w:val="single"/>
        </w:rPr>
        <w:t>, and</w:t>
      </w:r>
      <w:r w:rsidRPr="00552B69">
        <w:rPr>
          <w:u w:val="single"/>
        </w:rPr>
        <w:t xml:space="preserve"> </w:t>
      </w:r>
      <w:r w:rsidR="001130FA" w:rsidRPr="00552B69">
        <w:rPr>
          <w:u w:val="single"/>
        </w:rPr>
        <w:t>every four years thereafter</w:t>
      </w:r>
    </w:p>
    <w:p w14:paraId="60EEF7AA" w14:textId="3ABC2C41" w:rsidR="007048FD" w:rsidRPr="00552B69" w:rsidRDefault="00B96592" w:rsidP="006C03CE">
      <w:pPr>
        <w:pStyle w:val="COMPara"/>
        <w:keepNext/>
        <w:ind w:left="567" w:hanging="567"/>
        <w:jc w:val="both"/>
        <w:rPr>
          <w:u w:val="single"/>
        </w:rPr>
      </w:pPr>
      <w:r w:rsidRPr="00552B69">
        <w:t>The</w:t>
      </w:r>
      <w:r w:rsidR="00383F49" w:rsidRPr="00552B69">
        <w:t xml:space="preserve"> </w:t>
      </w:r>
      <w:r w:rsidR="00617F77" w:rsidRPr="00552B69">
        <w:t xml:space="preserve">move towards </w:t>
      </w:r>
      <w:r w:rsidRPr="00552B69">
        <w:t>a</w:t>
      </w:r>
      <w:r w:rsidR="00617F77" w:rsidRPr="00552B69">
        <w:t xml:space="preserve"> single global submission would </w:t>
      </w:r>
      <w:r w:rsidR="004C7630" w:rsidRPr="00552B69">
        <w:t xml:space="preserve">require </w:t>
      </w:r>
      <w:r w:rsidR="001D39A8" w:rsidRPr="00552B69">
        <w:t xml:space="preserve">careful </w:t>
      </w:r>
      <w:r w:rsidR="00307AEB" w:rsidRPr="00552B69">
        <w:t>alignments in the periodic reporting systems across the six Culture Conventions and Recommendations</w:t>
      </w:r>
      <w:r w:rsidR="001D39A8" w:rsidRPr="00552B69">
        <w:t>. The main progress to date and plans for the future may be summari</w:t>
      </w:r>
      <w:r w:rsidR="000C50BC" w:rsidRPr="00552B69">
        <w:t>z</w:t>
      </w:r>
      <w:r w:rsidR="001D39A8" w:rsidRPr="00552B69">
        <w:t>ed as follows</w:t>
      </w:r>
      <w:r w:rsidR="00FA056E" w:rsidRPr="00552B69">
        <w:t>:</w:t>
      </w:r>
    </w:p>
    <w:p w14:paraId="3D5ECC62" w14:textId="64544B19" w:rsidR="0024270C" w:rsidRPr="00552B69" w:rsidRDefault="00D26F1A" w:rsidP="00F821EA">
      <w:pPr>
        <w:pStyle w:val="COMPara"/>
        <w:numPr>
          <w:ilvl w:val="0"/>
          <w:numId w:val="18"/>
        </w:numPr>
        <w:ind w:left="1134" w:hanging="567"/>
        <w:jc w:val="both"/>
        <w:rPr>
          <w:u w:val="single"/>
        </w:rPr>
      </w:pPr>
      <w:r w:rsidRPr="00552B69">
        <w:rPr>
          <w:u w:val="single"/>
        </w:rPr>
        <w:t xml:space="preserve">The development of </w:t>
      </w:r>
      <w:r w:rsidR="007D5E42" w:rsidRPr="00552B69">
        <w:rPr>
          <w:u w:val="single"/>
        </w:rPr>
        <w:t xml:space="preserve">simplified </w:t>
      </w:r>
      <w:r w:rsidR="00EC248A" w:rsidRPr="00552B69">
        <w:rPr>
          <w:u w:val="single"/>
        </w:rPr>
        <w:t xml:space="preserve">reporting </w:t>
      </w:r>
      <w:r w:rsidR="00E063ED" w:rsidRPr="00552B69">
        <w:rPr>
          <w:u w:val="single"/>
        </w:rPr>
        <w:t>form</w:t>
      </w:r>
      <w:r w:rsidR="00085D7A" w:rsidRPr="00552B69">
        <w:rPr>
          <w:u w:val="single"/>
        </w:rPr>
        <w:t>s</w:t>
      </w:r>
      <w:r w:rsidR="007D5E42" w:rsidRPr="00552B69">
        <w:t xml:space="preserve">: </w:t>
      </w:r>
      <w:r w:rsidR="00AD0BEF" w:rsidRPr="00552B69">
        <w:t>The reporting cycles that have undergone the exercise under the 2003 Convention have also pointed out the need to</w:t>
      </w:r>
      <w:r w:rsidR="007D5E42" w:rsidRPr="00552B69">
        <w:t xml:space="preserve"> simplify the reporting forms (Form ICH-10 and Form ICH-11)</w:t>
      </w:r>
      <w:r w:rsidR="00AD0BEF" w:rsidRPr="00552B69">
        <w:t xml:space="preserve"> </w:t>
      </w:r>
      <w:r w:rsidR="00D87517" w:rsidRPr="00552B69">
        <w:t xml:space="preserve">to </w:t>
      </w:r>
      <w:r w:rsidR="00087409" w:rsidRPr="00552B69">
        <w:t>alleviate</w:t>
      </w:r>
      <w:r w:rsidRPr="00552B69">
        <w:t xml:space="preserve"> </w:t>
      </w:r>
      <w:r w:rsidR="002D77E4" w:rsidRPr="00552B69">
        <w:t>the burden</w:t>
      </w:r>
      <w:r w:rsidR="00EC248A" w:rsidRPr="00552B69">
        <w:t xml:space="preserve"> of reporting States</w:t>
      </w:r>
      <w:r w:rsidR="00AD0BEF" w:rsidRPr="00552B69">
        <w:t xml:space="preserve">. </w:t>
      </w:r>
      <w:r w:rsidR="0024270C" w:rsidRPr="00552B69">
        <w:t xml:space="preserve">The </w:t>
      </w:r>
      <w:r w:rsidR="00BC3A74" w:rsidRPr="00552B69">
        <w:t>revised reporting process</w:t>
      </w:r>
      <w:r w:rsidR="0024270C" w:rsidRPr="00552B69">
        <w:t xml:space="preserve"> would </w:t>
      </w:r>
      <w:r w:rsidR="002951C4" w:rsidRPr="00552B69">
        <w:t xml:space="preserve">also </w:t>
      </w:r>
      <w:r w:rsidR="0024270C" w:rsidRPr="00552B69">
        <w:t>require aligning the calendar of the three periodic reporting mechanisms of the 2003 Convention</w:t>
      </w:r>
      <w:r w:rsidR="000C50BC" w:rsidRPr="00552B69">
        <w:t>.</w:t>
      </w:r>
      <w:r w:rsidR="0024270C" w:rsidRPr="00552B69">
        <w:rPr>
          <w:rStyle w:val="Appelnotedebasdep"/>
        </w:rPr>
        <w:footnoteReference w:id="6"/>
      </w:r>
      <w:r w:rsidR="0024270C" w:rsidRPr="00552B69">
        <w:t xml:space="preserve"> </w:t>
      </w:r>
      <w:r w:rsidR="00AD0BEF" w:rsidRPr="00552B69">
        <w:t xml:space="preserve">The reflection year planned in 2026 (and the preparatory steps to be followed </w:t>
      </w:r>
      <w:r w:rsidR="000C50BC" w:rsidRPr="00552B69">
        <w:t>as of</w:t>
      </w:r>
      <w:r w:rsidR="00AD0BEF" w:rsidRPr="00552B69">
        <w:t xml:space="preserve"> 2025)</w:t>
      </w:r>
      <w:r w:rsidR="00EC248A" w:rsidRPr="00552B69">
        <w:t xml:space="preserve"> </w:t>
      </w:r>
      <w:r w:rsidR="00AD0BEF" w:rsidRPr="00552B69">
        <w:t>would provide opportunities to simplify these forms to avoid collecting a variation of similar information. The overall goal would be to</w:t>
      </w:r>
      <w:r w:rsidR="00EC248A" w:rsidRPr="00552B69">
        <w:t xml:space="preserve"> </w:t>
      </w:r>
      <w:r w:rsidR="00AD0BEF" w:rsidRPr="00552B69">
        <w:t>maintain</w:t>
      </w:r>
      <w:r w:rsidR="00EC248A" w:rsidRPr="00552B69">
        <w:t xml:space="preserve"> Convention-specific approaches and content</w:t>
      </w:r>
      <w:r w:rsidR="00AD0BEF" w:rsidRPr="00552B69">
        <w:t xml:space="preserve"> while </w:t>
      </w:r>
      <w:r w:rsidR="00EC248A" w:rsidRPr="00552B69">
        <w:t>allow</w:t>
      </w:r>
      <w:r w:rsidR="00AD0BEF" w:rsidRPr="00552B69">
        <w:t>ing</w:t>
      </w:r>
      <w:r w:rsidR="00EC248A" w:rsidRPr="00552B69">
        <w:t xml:space="preserve"> for </w:t>
      </w:r>
      <w:r w:rsidR="00BC3A74" w:rsidRPr="00552B69">
        <w:t>a</w:t>
      </w:r>
      <w:r w:rsidR="00EC248A" w:rsidRPr="00552B69">
        <w:t xml:space="preserve"> </w:t>
      </w:r>
      <w:r w:rsidR="00BC3A74" w:rsidRPr="00552B69">
        <w:t xml:space="preserve">comprehensive analysis </w:t>
      </w:r>
      <w:r w:rsidR="00EC248A" w:rsidRPr="00552B69">
        <w:t>of information across all cultural domains.</w:t>
      </w:r>
    </w:p>
    <w:p w14:paraId="7B565B40" w14:textId="10D1EC9B" w:rsidR="00882630" w:rsidRPr="00552B69" w:rsidRDefault="00EC248A" w:rsidP="00F821EA">
      <w:pPr>
        <w:pStyle w:val="COMPara"/>
        <w:numPr>
          <w:ilvl w:val="0"/>
          <w:numId w:val="18"/>
        </w:numPr>
        <w:ind w:left="1134" w:hanging="567"/>
        <w:jc w:val="both"/>
      </w:pPr>
      <w:r w:rsidRPr="00552B69">
        <w:rPr>
          <w:u w:val="single"/>
        </w:rPr>
        <w:t xml:space="preserve">The </w:t>
      </w:r>
      <w:r w:rsidR="00085D7A" w:rsidRPr="00552B69">
        <w:rPr>
          <w:u w:val="single"/>
        </w:rPr>
        <w:t>creation</w:t>
      </w:r>
      <w:r w:rsidRPr="00552B69">
        <w:rPr>
          <w:u w:val="single"/>
        </w:rPr>
        <w:t xml:space="preserve"> of a common reporting platform</w:t>
      </w:r>
      <w:r w:rsidR="00D311CB" w:rsidRPr="00552B69">
        <w:t>:</w:t>
      </w:r>
      <w:r w:rsidR="00CD4FF2" w:rsidRPr="00552B69">
        <w:t xml:space="preserve"> </w:t>
      </w:r>
      <w:r w:rsidR="00D311CB" w:rsidRPr="00552B69">
        <w:t>B</w:t>
      </w:r>
      <w:r w:rsidR="00CD4FF2" w:rsidRPr="00552B69">
        <w:t xml:space="preserve">uilding on </w:t>
      </w:r>
      <w:r w:rsidR="00BC3A74" w:rsidRPr="00552B69">
        <w:t xml:space="preserve">the recommendations of the UNESCO Internal Oversight Service’s evaluation and on </w:t>
      </w:r>
      <w:r w:rsidR="00CD4FF2" w:rsidRPr="00552B69">
        <w:t xml:space="preserve">the decision of the Executive Board </w:t>
      </w:r>
      <w:hyperlink r:id="rId18" w:anchor="%5B%7B%22num%22%3A55%2C%22gen%22%3A0%7D%2C%7B%22name%22%3A%22XYZ%22%7D%2C54%2C144%2C0%5D" w:history="1">
        <w:r w:rsidR="00CD4FF2" w:rsidRPr="00552B69">
          <w:rPr>
            <w:rStyle w:val="Lienhypertexte"/>
          </w:rPr>
          <w:t>219 EX/Decision 11</w:t>
        </w:r>
      </w:hyperlink>
      <w:r w:rsidR="00CD4FF2" w:rsidRPr="00552B69">
        <w:t>,</w:t>
      </w:r>
      <w:r w:rsidR="002254A4" w:rsidRPr="00552B69">
        <w:t xml:space="preserve"> </w:t>
      </w:r>
      <w:r w:rsidR="00D311CB" w:rsidRPr="00552B69">
        <w:t>the creation of a ‘</w:t>
      </w:r>
      <w:r w:rsidR="00B170E5" w:rsidRPr="00552B69">
        <w:t>C</w:t>
      </w:r>
      <w:r w:rsidR="00D311CB" w:rsidRPr="00552B69">
        <w:t xml:space="preserve">ultural </w:t>
      </w:r>
      <w:r w:rsidR="00B170E5" w:rsidRPr="00552B69">
        <w:t>D</w:t>
      </w:r>
      <w:r w:rsidR="00D311CB" w:rsidRPr="00552B69">
        <w:t xml:space="preserve">ata </w:t>
      </w:r>
      <w:r w:rsidR="00B170E5" w:rsidRPr="00552B69">
        <w:t>P</w:t>
      </w:r>
      <w:r w:rsidR="00D311CB" w:rsidRPr="00552B69">
        <w:t xml:space="preserve">ortal’ under preparation </w:t>
      </w:r>
      <w:r w:rsidR="00565152" w:rsidRPr="00552B69">
        <w:t xml:space="preserve">aims to </w:t>
      </w:r>
      <w:r w:rsidR="00087409" w:rsidRPr="00552B69">
        <w:t>place the end users of the information at its core,</w:t>
      </w:r>
      <w:r w:rsidR="00B81747" w:rsidRPr="00552B69">
        <w:t xml:space="preserve"> </w:t>
      </w:r>
      <w:r w:rsidR="002254A4" w:rsidRPr="00552B69">
        <w:t xml:space="preserve">facilitate the submission of periodic reports for Member States, provide user-friendly </w:t>
      </w:r>
      <w:r w:rsidR="000C50BC" w:rsidRPr="00552B69">
        <w:t xml:space="preserve">data </w:t>
      </w:r>
      <w:r w:rsidR="002254A4" w:rsidRPr="00552B69">
        <w:t>visualization, and enhance data analysis capabilities</w:t>
      </w:r>
      <w:r w:rsidR="00BC3A74" w:rsidRPr="00552B69">
        <w:t>, in full respect of authority of the governing bodies of UNESCO’s Culture Conventions</w:t>
      </w:r>
      <w:r w:rsidR="002254A4" w:rsidRPr="00552B69">
        <w:t>.</w:t>
      </w:r>
      <w:r w:rsidR="00E34113" w:rsidRPr="00552B69">
        <w:t xml:space="preserve"> </w:t>
      </w:r>
      <w:r w:rsidR="00882630" w:rsidRPr="00552B69">
        <w:t xml:space="preserve">By simplifying the data collection process, the </w:t>
      </w:r>
      <w:r w:rsidR="00281F54" w:rsidRPr="00552B69">
        <w:t>platform</w:t>
      </w:r>
      <w:r w:rsidR="000C50BC" w:rsidRPr="00552B69">
        <w:t xml:space="preserve"> also</w:t>
      </w:r>
      <w:r w:rsidR="00882630" w:rsidRPr="00552B69">
        <w:t xml:space="preserve"> aims to</w:t>
      </w:r>
      <w:r w:rsidR="00087409" w:rsidRPr="00552B69">
        <w:t xml:space="preserve"> </w:t>
      </w:r>
      <w:r w:rsidR="00882630" w:rsidRPr="00552B69">
        <w:t xml:space="preserve">offer a single-entry point for Members States to access, submit and consult their information, in line with the </w:t>
      </w:r>
      <w:r w:rsidR="00565152" w:rsidRPr="00552B69">
        <w:t>‘</w:t>
      </w:r>
      <w:r w:rsidR="00882630" w:rsidRPr="00552B69">
        <w:t>one-stop shop</w:t>
      </w:r>
      <w:r w:rsidR="00565152" w:rsidRPr="00552B69">
        <w:t>’</w:t>
      </w:r>
      <w:r w:rsidR="00882630" w:rsidRPr="00552B69">
        <w:t xml:space="preserve"> to monitor and evaluate the implementation of standard-setting instruments.</w:t>
      </w:r>
      <w:r w:rsidR="00B01C74" w:rsidRPr="00552B69">
        <w:rPr>
          <w:rStyle w:val="Appelnotedebasdep"/>
        </w:rPr>
        <w:footnoteReference w:id="7"/>
      </w:r>
      <w:r w:rsidR="00421474" w:rsidRPr="00552B69">
        <w:t xml:space="preserve"> The Secretariat of the 2003 Convention has been participating in the working group meeting</w:t>
      </w:r>
      <w:r w:rsidR="00192C1B" w:rsidRPr="00552B69">
        <w:t>s</w:t>
      </w:r>
      <w:r w:rsidR="00421474" w:rsidRPr="00552B69">
        <w:t xml:space="preserve"> of the Culture Sector to discuss </w:t>
      </w:r>
      <w:r w:rsidR="00BC3A74" w:rsidRPr="00552B69">
        <w:t xml:space="preserve">the </w:t>
      </w:r>
      <w:r w:rsidR="00421474" w:rsidRPr="00552B69">
        <w:t>technical specification</w:t>
      </w:r>
      <w:r w:rsidR="00BC3A74" w:rsidRPr="00552B69">
        <w:t>s</w:t>
      </w:r>
      <w:r w:rsidR="00421474" w:rsidRPr="00552B69">
        <w:t xml:space="preserve"> </w:t>
      </w:r>
      <w:r w:rsidR="00BC3A74" w:rsidRPr="00552B69">
        <w:t xml:space="preserve">for the development </w:t>
      </w:r>
      <w:r w:rsidR="00421474" w:rsidRPr="00552B69">
        <w:t>of the platform.</w:t>
      </w:r>
    </w:p>
    <w:p w14:paraId="730F11C4" w14:textId="4A79F9E9" w:rsidR="00707B90" w:rsidRPr="00552B69" w:rsidRDefault="007D5E42" w:rsidP="00F821EA">
      <w:pPr>
        <w:pStyle w:val="COMPara"/>
        <w:numPr>
          <w:ilvl w:val="0"/>
          <w:numId w:val="18"/>
        </w:numPr>
        <w:ind w:left="1134" w:hanging="567"/>
        <w:jc w:val="both"/>
      </w:pPr>
      <w:r w:rsidRPr="00552B69">
        <w:rPr>
          <w:u w:val="single"/>
        </w:rPr>
        <w:t>A joint capacity-building approach</w:t>
      </w:r>
      <w:r w:rsidR="00771355" w:rsidRPr="00552B69">
        <w:rPr>
          <w:u w:val="single"/>
        </w:rPr>
        <w:t>:</w:t>
      </w:r>
      <w:r w:rsidR="00771355" w:rsidRPr="00552B69">
        <w:t xml:space="preserve"> </w:t>
      </w:r>
      <w:r w:rsidR="00CF1D98" w:rsidRPr="00552B69">
        <w:t>A supporting pillar behind t</w:t>
      </w:r>
      <w:r w:rsidR="00ED7EA3" w:rsidRPr="00552B69">
        <w:t xml:space="preserve">he consistently high rates of submission of reports </w:t>
      </w:r>
      <w:r w:rsidR="00CF1D98" w:rsidRPr="00552B69">
        <w:t xml:space="preserve">observed </w:t>
      </w:r>
      <w:r w:rsidR="00ED7EA3" w:rsidRPr="00552B69">
        <w:t>w</w:t>
      </w:r>
      <w:r w:rsidR="00790607" w:rsidRPr="00552B69">
        <w:t>as</w:t>
      </w:r>
      <w:r w:rsidR="00ED7EA3" w:rsidRPr="00552B69">
        <w:t xml:space="preserve"> the </w:t>
      </w:r>
      <w:r w:rsidR="00CF1D98" w:rsidRPr="00552B69">
        <w:t xml:space="preserve">labour-intensive </w:t>
      </w:r>
      <w:r w:rsidR="00ED7EA3" w:rsidRPr="00552B69">
        <w:t xml:space="preserve">capacity-building approach </w:t>
      </w:r>
      <w:r w:rsidR="00CF1D98" w:rsidRPr="00552B69">
        <w:t xml:space="preserve">that accompanied each submitting State throughout the process. </w:t>
      </w:r>
      <w:r w:rsidR="00771355" w:rsidRPr="00552B69">
        <w:t xml:space="preserve">The </w:t>
      </w:r>
      <w:r w:rsidR="00CF1D98" w:rsidRPr="00552B69">
        <w:t>move to the single global submission system</w:t>
      </w:r>
      <w:r w:rsidR="00771355" w:rsidRPr="00552B69">
        <w:t xml:space="preserve"> would </w:t>
      </w:r>
      <w:r w:rsidR="00607653" w:rsidRPr="00552B69">
        <w:t>imply</w:t>
      </w:r>
      <w:r w:rsidR="00771355" w:rsidRPr="00552B69">
        <w:t xml:space="preserve"> the careful planning of required financial and human resources to enable the implementation of targeted capacity-building activities in the years immediately preceding the submission and relevant analysis </w:t>
      </w:r>
      <w:r w:rsidR="002F071C" w:rsidRPr="00552B69">
        <w:t xml:space="preserve">following the submission of </w:t>
      </w:r>
      <w:r w:rsidR="00771355" w:rsidRPr="00552B69">
        <w:t>periodic reports.</w:t>
      </w:r>
      <w:r w:rsidR="00707B90" w:rsidRPr="00552B69">
        <w:t xml:space="preserve"> In this process the networks and contacts built during the first regional cycle of reporting shall be privileged</w:t>
      </w:r>
      <w:r w:rsidR="00B170E5" w:rsidRPr="00552B69">
        <w:t xml:space="preserve"> as well as collaboration with the other Culture Conventions</w:t>
      </w:r>
      <w:r w:rsidR="00707B90" w:rsidRPr="00552B69">
        <w:t>.</w:t>
      </w:r>
    </w:p>
    <w:p w14:paraId="0A53FFCD" w14:textId="0F779C47" w:rsidR="00707B90" w:rsidRPr="00552B69" w:rsidRDefault="00707B90" w:rsidP="00F821EA">
      <w:pPr>
        <w:pStyle w:val="COMPara"/>
        <w:numPr>
          <w:ilvl w:val="0"/>
          <w:numId w:val="18"/>
        </w:numPr>
        <w:ind w:left="1134" w:hanging="567"/>
        <w:jc w:val="both"/>
      </w:pPr>
      <w:r w:rsidRPr="00552B69">
        <w:rPr>
          <w:u w:val="single"/>
        </w:rPr>
        <w:t>Reporting to the governing bodies of the 2003 Convention</w:t>
      </w:r>
      <w:r w:rsidRPr="00552B69">
        <w:t xml:space="preserve">: In compliance with Article 29 of the Convention, </w:t>
      </w:r>
      <w:r w:rsidRPr="00552B69">
        <w:rPr>
          <w:rFonts w:asciiTheme="minorBidi" w:hAnsiTheme="minorBidi" w:cstheme="minorBidi"/>
        </w:rPr>
        <w:t xml:space="preserve">by which </w:t>
      </w:r>
      <w:r w:rsidRPr="00552B69">
        <w:t xml:space="preserve">States Parties are required to submit to the Committee reports on the legislative, regulatory and other measures taken for the implementation of the 2003 Convention, observing the forms and periodicity defined, the Committee will continue to examine </w:t>
      </w:r>
      <w:r w:rsidR="00BC3A74" w:rsidRPr="00552B69">
        <w:t xml:space="preserve">the </w:t>
      </w:r>
      <w:r w:rsidRPr="00552B69">
        <w:rPr>
          <w:rFonts w:asciiTheme="minorBidi" w:hAnsiTheme="minorBidi" w:cstheme="minorBidi"/>
        </w:rPr>
        <w:t xml:space="preserve">analyses conducted </w:t>
      </w:r>
      <w:r w:rsidR="00BC3A74" w:rsidRPr="00552B69">
        <w:rPr>
          <w:rFonts w:asciiTheme="minorBidi" w:hAnsiTheme="minorBidi" w:cstheme="minorBidi"/>
        </w:rPr>
        <w:t xml:space="preserve">by the Secretariat </w:t>
      </w:r>
      <w:r w:rsidRPr="00552B69">
        <w:rPr>
          <w:rFonts w:asciiTheme="minorBidi" w:hAnsiTheme="minorBidi" w:cstheme="minorBidi"/>
        </w:rPr>
        <w:t>.</w:t>
      </w:r>
      <w:r w:rsidR="00260941" w:rsidRPr="00552B69">
        <w:rPr>
          <w:rFonts w:asciiTheme="minorBidi" w:hAnsiTheme="minorBidi" w:cstheme="minorBidi"/>
        </w:rPr>
        <w:t xml:space="preserve"> Given the volume of information that can expected to be received </w:t>
      </w:r>
      <w:r w:rsidR="00B45433" w:rsidRPr="00552B69">
        <w:rPr>
          <w:rFonts w:asciiTheme="minorBidi" w:hAnsiTheme="minorBidi" w:cstheme="minorBidi"/>
        </w:rPr>
        <w:t>at one time</w:t>
      </w:r>
      <w:r w:rsidR="00260941" w:rsidRPr="00552B69">
        <w:rPr>
          <w:rFonts w:asciiTheme="minorBidi" w:hAnsiTheme="minorBidi" w:cstheme="minorBidi"/>
        </w:rPr>
        <w:t xml:space="preserve">, </w:t>
      </w:r>
      <w:r w:rsidR="00524924" w:rsidRPr="00552B69">
        <w:rPr>
          <w:rFonts w:asciiTheme="minorBidi" w:hAnsiTheme="minorBidi" w:cstheme="minorBidi"/>
        </w:rPr>
        <w:t>one solution</w:t>
      </w:r>
      <w:r w:rsidR="00260941" w:rsidRPr="00552B69">
        <w:rPr>
          <w:rFonts w:asciiTheme="minorBidi" w:hAnsiTheme="minorBidi" w:cstheme="minorBidi"/>
        </w:rPr>
        <w:t xml:space="preserve"> </w:t>
      </w:r>
      <w:r w:rsidR="00524924" w:rsidRPr="00552B69">
        <w:rPr>
          <w:rFonts w:asciiTheme="minorBidi" w:hAnsiTheme="minorBidi" w:cstheme="minorBidi"/>
        </w:rPr>
        <w:t>c</w:t>
      </w:r>
      <w:r w:rsidR="00260941" w:rsidRPr="00552B69">
        <w:rPr>
          <w:rFonts w:asciiTheme="minorBidi" w:hAnsiTheme="minorBidi" w:cstheme="minorBidi"/>
        </w:rPr>
        <w:t>ould be to concentrate on</w:t>
      </w:r>
      <w:r w:rsidR="00524924" w:rsidRPr="00552B69">
        <w:rPr>
          <w:rFonts w:asciiTheme="minorBidi" w:hAnsiTheme="minorBidi" w:cstheme="minorBidi"/>
        </w:rPr>
        <w:t>:</w:t>
      </w:r>
      <w:r w:rsidR="00260941" w:rsidRPr="00552B69">
        <w:rPr>
          <w:rFonts w:asciiTheme="minorBidi" w:hAnsiTheme="minorBidi" w:cstheme="minorBidi"/>
        </w:rPr>
        <w:t xml:space="preserve"> </w:t>
      </w:r>
      <w:r w:rsidR="00524924" w:rsidRPr="00552B69">
        <w:rPr>
          <w:rFonts w:asciiTheme="minorBidi" w:hAnsiTheme="minorBidi" w:cstheme="minorBidi"/>
        </w:rPr>
        <w:t>(</w:t>
      </w:r>
      <w:r w:rsidR="00260941" w:rsidRPr="00552B69">
        <w:rPr>
          <w:rFonts w:asciiTheme="minorBidi" w:hAnsiTheme="minorBidi" w:cstheme="minorBidi"/>
        </w:rPr>
        <w:t xml:space="preserve">a) the production of a report equivalent to the ‘analytical report’ (without going through the step </w:t>
      </w:r>
      <w:r w:rsidR="00524924" w:rsidRPr="00552B69">
        <w:rPr>
          <w:rFonts w:asciiTheme="minorBidi" w:hAnsiTheme="minorBidi" w:cstheme="minorBidi"/>
        </w:rPr>
        <w:t xml:space="preserve">of </w:t>
      </w:r>
      <w:r w:rsidR="00260941" w:rsidRPr="00552B69">
        <w:rPr>
          <w:rFonts w:asciiTheme="minorBidi" w:hAnsiTheme="minorBidi" w:cstheme="minorBidi"/>
        </w:rPr>
        <w:t>produc</w:t>
      </w:r>
      <w:r w:rsidR="00524924" w:rsidRPr="00552B69">
        <w:rPr>
          <w:rFonts w:asciiTheme="minorBidi" w:hAnsiTheme="minorBidi" w:cstheme="minorBidi"/>
        </w:rPr>
        <w:t>ing</w:t>
      </w:r>
      <w:r w:rsidR="00260941" w:rsidRPr="00552B69">
        <w:rPr>
          <w:rFonts w:asciiTheme="minorBidi" w:hAnsiTheme="minorBidi" w:cstheme="minorBidi"/>
        </w:rPr>
        <w:t xml:space="preserve"> a report equivalent to t</w:t>
      </w:r>
      <w:r w:rsidR="00B45433" w:rsidRPr="00552B69">
        <w:rPr>
          <w:rFonts w:asciiTheme="minorBidi" w:hAnsiTheme="minorBidi" w:cstheme="minorBidi"/>
        </w:rPr>
        <w:t>h</w:t>
      </w:r>
      <w:r w:rsidR="00260941" w:rsidRPr="00552B69">
        <w:rPr>
          <w:rFonts w:asciiTheme="minorBidi" w:hAnsiTheme="minorBidi" w:cstheme="minorBidi"/>
        </w:rPr>
        <w:t>e ‘analytical overview’</w:t>
      </w:r>
      <w:r w:rsidR="00524924" w:rsidRPr="00552B69">
        <w:rPr>
          <w:rFonts w:asciiTheme="minorBidi" w:hAnsiTheme="minorBidi" w:cstheme="minorBidi"/>
        </w:rPr>
        <w:t>,</w:t>
      </w:r>
      <w:r w:rsidR="00260941" w:rsidRPr="00552B69">
        <w:rPr>
          <w:rFonts w:asciiTheme="minorBidi" w:hAnsiTheme="minorBidi" w:cstheme="minorBidi"/>
        </w:rPr>
        <w:t xml:space="preserve"> as has been the case)</w:t>
      </w:r>
      <w:r w:rsidR="00524924" w:rsidRPr="00552B69">
        <w:rPr>
          <w:rFonts w:asciiTheme="minorBidi" w:hAnsiTheme="minorBidi" w:cstheme="minorBidi"/>
        </w:rPr>
        <w:t>;</w:t>
      </w:r>
      <w:r w:rsidR="00260941" w:rsidRPr="00552B69">
        <w:rPr>
          <w:rFonts w:asciiTheme="minorBidi" w:hAnsiTheme="minorBidi" w:cstheme="minorBidi"/>
        </w:rPr>
        <w:t xml:space="preserve"> and </w:t>
      </w:r>
      <w:r w:rsidR="00524924" w:rsidRPr="00552B69">
        <w:rPr>
          <w:rFonts w:asciiTheme="minorBidi" w:hAnsiTheme="minorBidi" w:cstheme="minorBidi"/>
        </w:rPr>
        <w:t>(</w:t>
      </w:r>
      <w:r w:rsidR="00260941" w:rsidRPr="00552B69">
        <w:rPr>
          <w:rFonts w:asciiTheme="minorBidi" w:hAnsiTheme="minorBidi" w:cstheme="minorBidi"/>
        </w:rPr>
        <w:t>b)</w:t>
      </w:r>
      <w:r w:rsidR="00B45433" w:rsidRPr="00552B69">
        <w:rPr>
          <w:rFonts w:asciiTheme="minorBidi" w:hAnsiTheme="minorBidi" w:cstheme="minorBidi"/>
        </w:rPr>
        <w:t xml:space="preserve"> provide the analysis to the Committee over two sessions (for example, a report covering two regions in 2028 and another report covering three regions in 2029).</w:t>
      </w:r>
      <w:r w:rsidR="00260941" w:rsidRPr="00552B69">
        <w:rPr>
          <w:rFonts w:asciiTheme="minorBidi" w:hAnsiTheme="minorBidi" w:cstheme="minorBidi"/>
        </w:rPr>
        <w:t> </w:t>
      </w:r>
    </w:p>
    <w:p w14:paraId="49FA27CB" w14:textId="5D3DD016" w:rsidR="00F863F1" w:rsidRPr="00552B69" w:rsidRDefault="00C15359" w:rsidP="00D402BE">
      <w:pPr>
        <w:pStyle w:val="COMPara"/>
        <w:ind w:left="567" w:hanging="567"/>
        <w:jc w:val="both"/>
      </w:pPr>
      <w:r w:rsidRPr="00552B69">
        <w:lastRenderedPageBreak/>
        <w:t xml:space="preserve">The road map initially presented to the eighteenth session of the Committee has been adjusted to reflect the </w:t>
      </w:r>
      <w:r w:rsidR="00D402BE" w:rsidRPr="00552B69">
        <w:t>above-mentioned</w:t>
      </w:r>
      <w:r w:rsidRPr="00552B69">
        <w:t xml:space="preserve"> </w:t>
      </w:r>
      <w:r w:rsidR="00D402BE" w:rsidRPr="00552B69">
        <w:t xml:space="preserve">future </w:t>
      </w:r>
      <w:r w:rsidRPr="00552B69">
        <w:t xml:space="preserve">plans (see Annex). </w:t>
      </w:r>
      <w:r w:rsidR="00524924" w:rsidRPr="00552B69">
        <w:t>At the same time, t</w:t>
      </w:r>
      <w:r w:rsidR="00D402BE" w:rsidRPr="00552B69">
        <w:rPr>
          <w:rFonts w:asciiTheme="minorBidi" w:hAnsiTheme="minorBidi" w:cstheme="minorBidi"/>
        </w:rPr>
        <w:t>he ultimate statutory goal would remain unchanged,</w:t>
      </w:r>
      <w:r w:rsidR="004C3784" w:rsidRPr="00552B69">
        <w:t xml:space="preserve"> </w:t>
      </w:r>
      <w:r w:rsidR="00D402BE" w:rsidRPr="00552B69">
        <w:t>which is</w:t>
      </w:r>
      <w:r w:rsidR="00F863F1" w:rsidRPr="00552B69">
        <w:t xml:space="preserve"> a revision of the relevant paragraphs of the Operational Directives</w:t>
      </w:r>
      <w:r w:rsidR="00D402BE" w:rsidRPr="00552B69">
        <w:t xml:space="preserve"> to underpin the move towards the single global submission system</w:t>
      </w:r>
      <w:r w:rsidR="00F863F1" w:rsidRPr="00552B69">
        <w:t xml:space="preserve">. The draft amendments to the Operational Directives </w:t>
      </w:r>
      <w:r w:rsidR="00D402BE" w:rsidRPr="00552B69">
        <w:t xml:space="preserve">are to </w:t>
      </w:r>
      <w:r w:rsidR="00F863F1" w:rsidRPr="00552B69">
        <w:t xml:space="preserve">be presented to the twentieth session of the Committee for examination in 2025, which may then </w:t>
      </w:r>
      <w:r w:rsidR="00D402BE" w:rsidRPr="00552B69">
        <w:t xml:space="preserve">recommend </w:t>
      </w:r>
      <w:r w:rsidR="00F863F1" w:rsidRPr="00552B69">
        <w:t>that the draft amendments be adopted by the eleventh session of the General Assembly in mid-2026.</w:t>
      </w:r>
    </w:p>
    <w:p w14:paraId="50D3EAFF" w14:textId="7AA642A5" w:rsidR="00D95C4C" w:rsidRPr="00552B69" w:rsidRDefault="000B1C8F" w:rsidP="00AC18C1">
      <w:pPr>
        <w:pStyle w:val="COMPara"/>
        <w:ind w:left="567" w:hanging="567"/>
      </w:pPr>
      <w:r w:rsidRPr="00552B69">
        <w:t>The Committee may wish to adopt the following decision</w:t>
      </w:r>
      <w:r w:rsidR="00D95C4C" w:rsidRPr="00552B69">
        <w:t>:</w:t>
      </w:r>
    </w:p>
    <w:p w14:paraId="6CEB1E9D" w14:textId="7034C400" w:rsidR="00D95C4C" w:rsidRPr="00552B69" w:rsidRDefault="004A34A0" w:rsidP="001D14FE">
      <w:pPr>
        <w:pStyle w:val="COMTitleDecision"/>
        <w:rPr>
          <w:rFonts w:eastAsia="SimSun"/>
        </w:rPr>
      </w:pPr>
      <w:r w:rsidRPr="00552B69">
        <w:t xml:space="preserve">DRAFT </w:t>
      </w:r>
      <w:r w:rsidR="00CB0542" w:rsidRPr="00552B69">
        <w:t>DECISION 1</w:t>
      </w:r>
      <w:r w:rsidR="00D03C2A" w:rsidRPr="00552B69">
        <w:t>9</w:t>
      </w:r>
      <w:r w:rsidR="00EC6F8D" w:rsidRPr="00552B69">
        <w:t>.COM</w:t>
      </w:r>
      <w:r w:rsidR="00517FD8" w:rsidRPr="00552B69">
        <w:t xml:space="preserve"> </w:t>
      </w:r>
      <w:r w:rsidR="00EC7953" w:rsidRPr="00552B69">
        <w:t>6.c</w:t>
      </w:r>
    </w:p>
    <w:p w14:paraId="13024F0B" w14:textId="77777777" w:rsidR="00D95C4C" w:rsidRPr="00552B69" w:rsidRDefault="00285BB4" w:rsidP="00285BB4">
      <w:pPr>
        <w:pStyle w:val="COMPreambulaDecisions"/>
        <w:rPr>
          <w:rFonts w:eastAsia="SimSun"/>
        </w:rPr>
      </w:pPr>
      <w:r w:rsidRPr="00552B69">
        <w:t>The Committee,</w:t>
      </w:r>
    </w:p>
    <w:p w14:paraId="5A9F22F3" w14:textId="112C9851" w:rsidR="0057439C" w:rsidRPr="00552B69" w:rsidRDefault="00D95C4C" w:rsidP="007F35D2">
      <w:pPr>
        <w:pStyle w:val="COMParaDecision"/>
        <w:ind w:left="1134" w:hanging="567"/>
      </w:pPr>
      <w:r w:rsidRPr="00552B69">
        <w:t>Having examined</w:t>
      </w:r>
      <w:r w:rsidRPr="00552B69">
        <w:rPr>
          <w:u w:val="none"/>
        </w:rPr>
        <w:t xml:space="preserve"> </w:t>
      </w:r>
      <w:r w:rsidR="00480175" w:rsidRPr="00552B69">
        <w:rPr>
          <w:u w:val="none"/>
        </w:rPr>
        <w:t>d</w:t>
      </w:r>
      <w:r w:rsidRPr="00552B69">
        <w:rPr>
          <w:u w:val="none"/>
        </w:rPr>
        <w:t>oc</w:t>
      </w:r>
      <w:r w:rsidR="00CB0542" w:rsidRPr="00552B69">
        <w:rPr>
          <w:u w:val="none"/>
        </w:rPr>
        <w:t xml:space="preserve">ument </w:t>
      </w:r>
      <w:r w:rsidR="00C5776D" w:rsidRPr="00552B69">
        <w:rPr>
          <w:u w:val="none"/>
        </w:rPr>
        <w:t>LHE</w:t>
      </w:r>
      <w:r w:rsidR="00CB0542" w:rsidRPr="00552B69">
        <w:rPr>
          <w:u w:val="none"/>
        </w:rPr>
        <w:t>/</w:t>
      </w:r>
      <w:r w:rsidR="00D7105A" w:rsidRPr="00552B69">
        <w:rPr>
          <w:u w:val="none"/>
        </w:rPr>
        <w:t>2</w:t>
      </w:r>
      <w:r w:rsidR="00D03C2A" w:rsidRPr="00552B69">
        <w:rPr>
          <w:u w:val="none"/>
        </w:rPr>
        <w:t>4</w:t>
      </w:r>
      <w:r w:rsidR="00337CEB" w:rsidRPr="00552B69">
        <w:rPr>
          <w:u w:val="none"/>
        </w:rPr>
        <w:t>/1</w:t>
      </w:r>
      <w:r w:rsidR="00D03C2A" w:rsidRPr="00552B69">
        <w:rPr>
          <w:u w:val="none"/>
        </w:rPr>
        <w:t>9</w:t>
      </w:r>
      <w:r w:rsidR="00EC6F8D" w:rsidRPr="00552B69">
        <w:rPr>
          <w:u w:val="none"/>
        </w:rPr>
        <w:t>.COM</w:t>
      </w:r>
      <w:r w:rsidR="004A34A0" w:rsidRPr="00552B69">
        <w:rPr>
          <w:u w:val="none"/>
        </w:rPr>
        <w:t>/</w:t>
      </w:r>
      <w:r w:rsidR="00EC7953" w:rsidRPr="00552B69">
        <w:rPr>
          <w:u w:val="none"/>
        </w:rPr>
        <w:t>6.c</w:t>
      </w:r>
      <w:r w:rsidR="006E75EB" w:rsidRPr="00552B69">
        <w:rPr>
          <w:u w:val="none"/>
        </w:rPr>
        <w:t xml:space="preserve"> and its annex,</w:t>
      </w:r>
    </w:p>
    <w:p w14:paraId="260CA8D5" w14:textId="46E750CC" w:rsidR="0057439C" w:rsidRPr="00552B69" w:rsidRDefault="0057439C" w:rsidP="007F35D2">
      <w:pPr>
        <w:pStyle w:val="COMParaDecision"/>
        <w:ind w:left="1134" w:hanging="567"/>
      </w:pPr>
      <w:r w:rsidRPr="00552B69">
        <w:t>Recallin</w:t>
      </w:r>
      <w:r w:rsidR="00517FD8" w:rsidRPr="00552B69">
        <w:t>g</w:t>
      </w:r>
      <w:r w:rsidR="00517FD8" w:rsidRPr="00552B69">
        <w:rPr>
          <w:u w:val="none"/>
        </w:rPr>
        <w:t xml:space="preserve"> </w:t>
      </w:r>
      <w:r w:rsidR="008E344F" w:rsidRPr="00552B69">
        <w:rPr>
          <w:u w:val="none"/>
        </w:rPr>
        <w:t xml:space="preserve">Decision </w:t>
      </w:r>
      <w:hyperlink r:id="rId19" w:history="1">
        <w:r w:rsidR="008E344F" w:rsidRPr="00552B69">
          <w:rPr>
            <w:rStyle w:val="Lienhypertexte"/>
          </w:rPr>
          <w:t>1</w:t>
        </w:r>
        <w:r w:rsidR="00D03C2A" w:rsidRPr="00552B69">
          <w:rPr>
            <w:rStyle w:val="Lienhypertexte"/>
          </w:rPr>
          <w:t>8</w:t>
        </w:r>
        <w:r w:rsidR="008E344F" w:rsidRPr="00552B69">
          <w:rPr>
            <w:rStyle w:val="Lienhypertexte"/>
          </w:rPr>
          <w:t xml:space="preserve">.COM </w:t>
        </w:r>
        <w:r w:rsidR="00B4498C" w:rsidRPr="00552B69">
          <w:rPr>
            <w:rStyle w:val="Lienhypertexte"/>
          </w:rPr>
          <w:t>7.c</w:t>
        </w:r>
      </w:hyperlink>
      <w:r w:rsidRPr="00552B69">
        <w:rPr>
          <w:u w:val="none"/>
        </w:rPr>
        <w:t>,</w:t>
      </w:r>
      <w:r w:rsidR="00B4498C" w:rsidRPr="00552B69">
        <w:rPr>
          <w:u w:val="none"/>
        </w:rPr>
        <w:t xml:space="preserve"> as well as Resolution</w:t>
      </w:r>
      <w:r w:rsidR="00524924" w:rsidRPr="00552B69">
        <w:rPr>
          <w:u w:val="none"/>
        </w:rPr>
        <w:t>s</w:t>
      </w:r>
      <w:r w:rsidR="00F4279C" w:rsidRPr="00552B69">
        <w:rPr>
          <w:u w:val="none"/>
        </w:rPr>
        <w:t xml:space="preserve"> </w:t>
      </w:r>
      <w:hyperlink r:id="rId20" w:history="1">
        <w:r w:rsidR="00F4279C" w:rsidRPr="00552B69">
          <w:rPr>
            <w:rStyle w:val="Lienhypertexte"/>
          </w:rPr>
          <w:t>10.GA 5</w:t>
        </w:r>
      </w:hyperlink>
      <w:r w:rsidR="00F4279C" w:rsidRPr="00552B69">
        <w:rPr>
          <w:u w:val="none"/>
        </w:rPr>
        <w:t xml:space="preserve"> and</w:t>
      </w:r>
      <w:r w:rsidR="00B4498C" w:rsidRPr="00552B69">
        <w:rPr>
          <w:u w:val="none"/>
        </w:rPr>
        <w:t xml:space="preserve"> </w:t>
      </w:r>
      <w:hyperlink r:id="rId21" w:history="1">
        <w:r w:rsidR="00B4498C" w:rsidRPr="00552B69">
          <w:rPr>
            <w:rStyle w:val="Lienhypertexte"/>
          </w:rPr>
          <w:t>10.GA</w:t>
        </w:r>
        <w:r w:rsidR="00F4279C" w:rsidRPr="00552B69">
          <w:rPr>
            <w:rStyle w:val="Lienhypertexte"/>
          </w:rPr>
          <w:t xml:space="preserve"> </w:t>
        </w:r>
        <w:r w:rsidR="00B4498C" w:rsidRPr="00552B69">
          <w:rPr>
            <w:rStyle w:val="Lienhypertexte"/>
          </w:rPr>
          <w:t>6</w:t>
        </w:r>
      </w:hyperlink>
      <w:r w:rsidR="00B4498C" w:rsidRPr="00552B69">
        <w:rPr>
          <w:u w:val="none"/>
        </w:rPr>
        <w:t>,</w:t>
      </w:r>
    </w:p>
    <w:p w14:paraId="7D3DC8E3" w14:textId="04571EE2" w:rsidR="00B4498C" w:rsidRPr="00552B69" w:rsidRDefault="00B4498C" w:rsidP="007F35D2">
      <w:pPr>
        <w:pStyle w:val="COMParaDecision"/>
        <w:ind w:left="1134" w:hanging="567"/>
      </w:pPr>
      <w:r w:rsidRPr="00552B69">
        <w:t>Further recalling</w:t>
      </w:r>
      <w:r w:rsidRPr="00552B69">
        <w:rPr>
          <w:u w:val="none"/>
        </w:rPr>
        <w:t xml:space="preserve"> Decisions </w:t>
      </w:r>
      <w:hyperlink r:id="rId22" w:anchor="%5B%7B%22num%22%3A55%2C%22gen%22%3A0%7D%2C%7B%22name%22%3A%22XYZ%22%7D%2C54%2C144%2C0%5D" w:history="1">
        <w:r w:rsidR="00123C5D" w:rsidRPr="00552B69">
          <w:rPr>
            <w:rStyle w:val="Lienhypertexte"/>
          </w:rPr>
          <w:t>219 EX/Decision 11</w:t>
        </w:r>
      </w:hyperlink>
      <w:r w:rsidRPr="00552B69">
        <w:rPr>
          <w:u w:val="none"/>
        </w:rPr>
        <w:t xml:space="preserve"> and </w:t>
      </w:r>
      <w:hyperlink r:id="rId23" w:anchor="%5B%7B%22num%22%3A61%2C%22gen%22%3A0%7D%2C%7B%22name%22%3A%22XYZ%22%7D%2C54%2C696%2C0%5D" w:history="1">
        <w:r w:rsidR="00123C5D" w:rsidRPr="00552B69">
          <w:rPr>
            <w:rStyle w:val="Lienhypertexte"/>
          </w:rPr>
          <w:t>219 EX/Decision 13</w:t>
        </w:r>
      </w:hyperlink>
      <w:r w:rsidRPr="00552B69">
        <w:rPr>
          <w:u w:val="none"/>
        </w:rPr>
        <w:t xml:space="preserve"> of the Executive Board of UNESCO</w:t>
      </w:r>
      <w:r w:rsidR="00524924" w:rsidRPr="00552B69">
        <w:rPr>
          <w:u w:val="none"/>
        </w:rPr>
        <w:t xml:space="preserve"> and</w:t>
      </w:r>
      <w:r w:rsidRPr="00552B69">
        <w:rPr>
          <w:u w:val="none"/>
        </w:rPr>
        <w:t xml:space="preserve"> the MONDIACULT 2022 Declaration, as well as the </w:t>
      </w:r>
      <w:r w:rsidR="000F6403" w:rsidRPr="00552B69">
        <w:rPr>
          <w:u w:val="none"/>
        </w:rPr>
        <w:t xml:space="preserve">2024 </w:t>
      </w:r>
      <w:r w:rsidRPr="00552B69">
        <w:rPr>
          <w:u w:val="none"/>
        </w:rPr>
        <w:t>IOS Evaluation of UNESCO’s periodic reporting on the Culture Sector’s Conventions and Recommendations,</w:t>
      </w:r>
    </w:p>
    <w:p w14:paraId="4EB5C413" w14:textId="1D3945D0" w:rsidR="00D95C4C" w:rsidRPr="00552B69" w:rsidRDefault="00B4498C" w:rsidP="00B4498C">
      <w:pPr>
        <w:pStyle w:val="COMParaDecision"/>
        <w:numPr>
          <w:ilvl w:val="0"/>
          <w:numId w:val="0"/>
        </w:numPr>
        <w:ind w:left="567"/>
        <w:rPr>
          <w:b/>
          <w:bCs/>
          <w:u w:val="none"/>
        </w:rPr>
      </w:pPr>
      <w:r w:rsidRPr="00552B69">
        <w:rPr>
          <w:b/>
          <w:bCs/>
          <w:u w:val="none"/>
        </w:rPr>
        <w:t xml:space="preserve">Ongoing regional cycle of reporting </w:t>
      </w:r>
      <w:r w:rsidR="00552B69">
        <w:rPr>
          <w:b/>
          <w:bCs/>
          <w:u w:val="none"/>
        </w:rPr>
        <w:t>–</w:t>
      </w:r>
      <w:r w:rsidRPr="00552B69">
        <w:rPr>
          <w:b/>
          <w:bCs/>
          <w:u w:val="none"/>
        </w:rPr>
        <w:t xml:space="preserve"> general</w:t>
      </w:r>
      <w:r w:rsidR="00552B69">
        <w:rPr>
          <w:b/>
          <w:bCs/>
          <w:u w:val="none"/>
        </w:rPr>
        <w:t xml:space="preserve"> </w:t>
      </w:r>
    </w:p>
    <w:p w14:paraId="2E2FFECB" w14:textId="36461D3D" w:rsidR="00D95C4C" w:rsidRPr="00552B69" w:rsidRDefault="00B4498C" w:rsidP="007F35D2">
      <w:pPr>
        <w:pStyle w:val="COMParaDecision"/>
        <w:ind w:left="1134" w:hanging="567"/>
      </w:pPr>
      <w:r w:rsidRPr="00552B69">
        <w:t>Notes with satisfaction</w:t>
      </w:r>
      <w:r w:rsidRPr="00552B69">
        <w:rPr>
          <w:u w:val="none"/>
        </w:rPr>
        <w:t xml:space="preserve"> the</w:t>
      </w:r>
      <w:r w:rsidR="00935F76" w:rsidRPr="00552B69">
        <w:rPr>
          <w:u w:val="none"/>
        </w:rPr>
        <w:t xml:space="preserve"> efficiency of the periodic reporting system, </w:t>
      </w:r>
      <w:r w:rsidR="00524924" w:rsidRPr="00552B69">
        <w:rPr>
          <w:u w:val="none"/>
        </w:rPr>
        <w:t xml:space="preserve">which </w:t>
      </w:r>
      <w:r w:rsidR="00935F76" w:rsidRPr="00552B69">
        <w:rPr>
          <w:u w:val="none"/>
        </w:rPr>
        <w:t xml:space="preserve">has significantly increased submission rates, </w:t>
      </w:r>
      <w:r w:rsidRPr="00552B69">
        <w:rPr>
          <w:u w:val="none"/>
        </w:rPr>
        <w:t xml:space="preserve">and </w:t>
      </w:r>
      <w:r w:rsidRPr="00552B69">
        <w:t>appreciates</w:t>
      </w:r>
      <w:r w:rsidRPr="00552B69">
        <w:rPr>
          <w:u w:val="none"/>
        </w:rPr>
        <w:t xml:space="preserve"> the commitment</w:t>
      </w:r>
      <w:r w:rsidR="00935F76" w:rsidRPr="00552B69">
        <w:rPr>
          <w:u w:val="none"/>
        </w:rPr>
        <w:t>, including financial contributions,</w:t>
      </w:r>
      <w:r w:rsidRPr="00552B69">
        <w:rPr>
          <w:u w:val="none"/>
        </w:rPr>
        <w:t xml:space="preserve"> of all stakeholders involved in the periodic reporting process</w:t>
      </w:r>
      <w:r w:rsidR="004A6833" w:rsidRPr="00552B69">
        <w:rPr>
          <w:u w:val="none"/>
        </w:rPr>
        <w:t>;</w:t>
      </w:r>
    </w:p>
    <w:p w14:paraId="024E8F30" w14:textId="19BEC10C" w:rsidR="00D95C4C" w:rsidRPr="00552B69" w:rsidRDefault="004A6833" w:rsidP="007F35D2">
      <w:pPr>
        <w:pStyle w:val="COMParaDecision"/>
        <w:ind w:left="1134" w:hanging="567"/>
      </w:pPr>
      <w:r w:rsidRPr="00552B69">
        <w:t>Recognizes</w:t>
      </w:r>
      <w:r w:rsidR="005B7A35" w:rsidRPr="00552B69">
        <w:rPr>
          <w:u w:val="none"/>
        </w:rPr>
        <w:t xml:space="preserve"> </w:t>
      </w:r>
      <w:r w:rsidRPr="00552B69">
        <w:rPr>
          <w:u w:val="none"/>
        </w:rPr>
        <w:t xml:space="preserve">the work of the Secretariat in providing </w:t>
      </w:r>
      <w:r w:rsidR="00524924" w:rsidRPr="00552B69">
        <w:rPr>
          <w:u w:val="none"/>
        </w:rPr>
        <w:t xml:space="preserve">ongoing </w:t>
      </w:r>
      <w:r w:rsidRPr="00552B69">
        <w:rPr>
          <w:u w:val="none"/>
        </w:rPr>
        <w:t xml:space="preserve">and relevant support </w:t>
      </w:r>
      <w:r w:rsidR="00144282" w:rsidRPr="00552B69">
        <w:rPr>
          <w:u w:val="none"/>
        </w:rPr>
        <w:t xml:space="preserve">to </w:t>
      </w:r>
      <w:r w:rsidRPr="00552B69">
        <w:rPr>
          <w:u w:val="none"/>
        </w:rPr>
        <w:t>States Parties with their periodic reporting process through capacity-building and continuous follow-up activities;</w:t>
      </w:r>
    </w:p>
    <w:p w14:paraId="46125F2A" w14:textId="46893CE5" w:rsidR="00977577" w:rsidRPr="00552B69" w:rsidRDefault="00977577" w:rsidP="007F35D2">
      <w:pPr>
        <w:pStyle w:val="COMParaDecision"/>
        <w:ind w:left="1134" w:hanging="567"/>
      </w:pPr>
      <w:r w:rsidRPr="00552B69">
        <w:t>Takes note with interest</w:t>
      </w:r>
      <w:r w:rsidRPr="00552B69">
        <w:rPr>
          <w:u w:val="none"/>
        </w:rPr>
        <w:t xml:space="preserve"> of the ‘Analytical report of the first cycle of periodic reporting on the implementation of the Convention and on the current status of elements inscribed on the Representative List of the Intangible Cultural Heritage of Humanity by States Parties in the Arab States’ as contained in document </w:t>
      </w:r>
      <w:hyperlink r:id="rId24" w:history="1">
        <w:r w:rsidRPr="00552B69">
          <w:rPr>
            <w:rStyle w:val="Lienhypertexte"/>
          </w:rPr>
          <w:t>LHE/24/19.COM/INF.6.c</w:t>
        </w:r>
      </w:hyperlink>
      <w:r w:rsidRPr="00552B69">
        <w:rPr>
          <w:u w:val="none"/>
        </w:rPr>
        <w:t xml:space="preserve">, and </w:t>
      </w:r>
      <w:r w:rsidRPr="00552B69">
        <w:t>welcomes</w:t>
      </w:r>
      <w:r w:rsidRPr="00552B69">
        <w:rPr>
          <w:u w:val="none"/>
        </w:rPr>
        <w:t xml:space="preserve"> the key findings highlighted in the report</w:t>
      </w:r>
      <w:r w:rsidR="00FE53F5" w:rsidRPr="00552B69">
        <w:rPr>
          <w:u w:val="none"/>
        </w:rPr>
        <w:t>,</w:t>
      </w:r>
      <w:r w:rsidR="00524924" w:rsidRPr="00552B69">
        <w:rPr>
          <w:u w:val="none"/>
        </w:rPr>
        <w:t xml:space="preserve"> the</w:t>
      </w:r>
      <w:r w:rsidRPr="00552B69">
        <w:rPr>
          <w:u w:val="none"/>
        </w:rPr>
        <w:t xml:space="preserve"> detailed information on the extent to which reporting States Parties have met the core indicators</w:t>
      </w:r>
      <w:r w:rsidR="00FE53F5" w:rsidRPr="00552B69">
        <w:rPr>
          <w:u w:val="none"/>
        </w:rPr>
        <w:t>, and</w:t>
      </w:r>
      <w:r w:rsidRPr="00552B69">
        <w:rPr>
          <w:u w:val="none"/>
        </w:rPr>
        <w:t xml:space="preserve"> the targets set for the next round of reports;</w:t>
      </w:r>
    </w:p>
    <w:p w14:paraId="36B373D0" w14:textId="05445781" w:rsidR="00977577" w:rsidRPr="00552B69" w:rsidRDefault="00977577" w:rsidP="007F35D2">
      <w:pPr>
        <w:pStyle w:val="COMParaDecision"/>
        <w:ind w:left="1134" w:hanging="567"/>
        <w:rPr>
          <w:u w:val="none"/>
        </w:rPr>
      </w:pPr>
      <w:r w:rsidRPr="00552B69">
        <w:t>Requests</w:t>
      </w:r>
      <w:r w:rsidRPr="00552B69">
        <w:rPr>
          <w:u w:val="none"/>
        </w:rPr>
        <w:t xml:space="preserve"> that the Secretariat report on the progress </w:t>
      </w:r>
      <w:r w:rsidR="00596FDC" w:rsidRPr="00552B69">
        <w:rPr>
          <w:u w:val="none"/>
        </w:rPr>
        <w:t>of</w:t>
      </w:r>
      <w:r w:rsidRPr="00552B69">
        <w:rPr>
          <w:u w:val="none"/>
        </w:rPr>
        <w:t xml:space="preserve"> the periodic reporting exercise on the implementation of the Convention and on the current status of elements inscribed on the Representative List of the Intangible Cultural Heritage of Humanity, for examination by the twentieth session of the Committee</w:t>
      </w:r>
      <w:r w:rsidR="00A677A5">
        <w:rPr>
          <w:u w:val="none"/>
        </w:rPr>
        <w:t>;</w:t>
      </w:r>
    </w:p>
    <w:p w14:paraId="1AD7C4F5" w14:textId="18D767FD" w:rsidR="00D95C4C" w:rsidRPr="00552B69" w:rsidRDefault="00A21AD9" w:rsidP="006C03CE">
      <w:pPr>
        <w:pStyle w:val="COMParaDecision"/>
        <w:keepNext/>
        <w:numPr>
          <w:ilvl w:val="0"/>
          <w:numId w:val="0"/>
        </w:numPr>
        <w:ind w:left="567"/>
        <w:rPr>
          <w:b/>
          <w:bCs/>
          <w:u w:val="none"/>
        </w:rPr>
      </w:pPr>
      <w:r w:rsidRPr="00552B69">
        <w:rPr>
          <w:b/>
          <w:bCs/>
          <w:u w:val="none"/>
        </w:rPr>
        <w:t>Rationalization of the periodic reporting mechanism</w:t>
      </w:r>
    </w:p>
    <w:p w14:paraId="62ABBE66" w14:textId="0E3AA838" w:rsidR="0057439C" w:rsidRPr="00552B69" w:rsidRDefault="00A21AD9" w:rsidP="007F35D2">
      <w:pPr>
        <w:pStyle w:val="COMParaDecision"/>
        <w:keepNext/>
        <w:ind w:left="1134" w:hanging="567"/>
      </w:pPr>
      <w:r w:rsidRPr="00552B69">
        <w:t>Notes with thanks</w:t>
      </w:r>
      <w:r w:rsidRPr="00552B69">
        <w:rPr>
          <w:u w:val="none"/>
        </w:rPr>
        <w:t xml:space="preserve"> that States Parties from Asia and the Pacific</w:t>
      </w:r>
      <w:r w:rsidR="00255684" w:rsidRPr="00552B69">
        <w:rPr>
          <w:u w:val="none"/>
        </w:rPr>
        <w:t xml:space="preserve"> submitt</w:t>
      </w:r>
      <w:r w:rsidR="00FE53F5" w:rsidRPr="00552B69">
        <w:rPr>
          <w:u w:val="none"/>
        </w:rPr>
        <w:t>ed</w:t>
      </w:r>
      <w:r w:rsidR="00255684" w:rsidRPr="00552B69">
        <w:rPr>
          <w:u w:val="none"/>
        </w:rPr>
        <w:t xml:space="preserve"> partial or full reports by the early deadline of 15 June 2024 in order to contribute to the first edition (2025) of the Global Report on Cultural Policies;</w:t>
      </w:r>
    </w:p>
    <w:p w14:paraId="0B063EC5" w14:textId="60C819DA" w:rsidR="007A0714" w:rsidRPr="00552B69" w:rsidRDefault="003C66D1" w:rsidP="007F35D2">
      <w:pPr>
        <w:pStyle w:val="COMParaDecision"/>
        <w:ind w:left="1134" w:hanging="567"/>
      </w:pPr>
      <w:r w:rsidRPr="00552B69">
        <w:t>Further notes</w:t>
      </w:r>
      <w:r w:rsidR="007A1A6F" w:rsidRPr="00552B69">
        <w:rPr>
          <w:u w:val="none"/>
        </w:rPr>
        <w:t xml:space="preserve"> </w:t>
      </w:r>
      <w:r w:rsidR="00811E6E" w:rsidRPr="00552B69">
        <w:rPr>
          <w:u w:val="none"/>
        </w:rPr>
        <w:t xml:space="preserve">the IOS Evaluation of UNESCO’s periodic reporting on the Culture Sector’s Conventions and Recommendations, </w:t>
      </w:r>
      <w:r w:rsidRPr="00552B69">
        <w:rPr>
          <w:u w:val="none"/>
        </w:rPr>
        <w:t xml:space="preserve">including </w:t>
      </w:r>
      <w:r w:rsidR="00811E6E" w:rsidRPr="00552B69">
        <w:rPr>
          <w:u w:val="none"/>
        </w:rPr>
        <w:t>its</w:t>
      </w:r>
      <w:r w:rsidR="007A0714" w:rsidRPr="00552B69">
        <w:rPr>
          <w:u w:val="none"/>
        </w:rPr>
        <w:t xml:space="preserve"> conclusions and recommendations;</w:t>
      </w:r>
    </w:p>
    <w:p w14:paraId="18BD977F" w14:textId="545BAFB5" w:rsidR="003C66D1" w:rsidRPr="00552B69" w:rsidRDefault="00940D0B" w:rsidP="007F35D2">
      <w:pPr>
        <w:pStyle w:val="COMParaDecision"/>
        <w:keepNext/>
        <w:ind w:left="1134" w:hanging="567"/>
      </w:pPr>
      <w:r w:rsidRPr="00552B69">
        <w:t>A</w:t>
      </w:r>
      <w:r w:rsidR="00B97B10" w:rsidRPr="00552B69">
        <w:t>pprove</w:t>
      </w:r>
      <w:r w:rsidRPr="00552B69">
        <w:t>s</w:t>
      </w:r>
      <w:r w:rsidR="00532185" w:rsidRPr="00552B69">
        <w:rPr>
          <w:u w:val="none"/>
        </w:rPr>
        <w:t>:</w:t>
      </w:r>
    </w:p>
    <w:p w14:paraId="71B44643" w14:textId="260F4671" w:rsidR="0057439C" w:rsidRPr="00552B69" w:rsidRDefault="00FC6D23" w:rsidP="00F821EA">
      <w:pPr>
        <w:pStyle w:val="COMParaDecision"/>
        <w:keepNext/>
        <w:numPr>
          <w:ilvl w:val="0"/>
          <w:numId w:val="21"/>
        </w:numPr>
        <w:ind w:left="1701" w:hanging="567"/>
        <w:rPr>
          <w:u w:val="none"/>
        </w:rPr>
      </w:pPr>
      <w:r w:rsidRPr="00552B69">
        <w:rPr>
          <w:u w:val="none"/>
        </w:rPr>
        <w:t>the methodology and use of data</w:t>
      </w:r>
      <w:r w:rsidR="0057439C" w:rsidRPr="00552B69">
        <w:rPr>
          <w:u w:val="none"/>
        </w:rPr>
        <w:t>,</w:t>
      </w:r>
      <w:r w:rsidRPr="00552B69">
        <w:rPr>
          <w:u w:val="none"/>
        </w:rPr>
        <w:t xml:space="preserve"> </w:t>
      </w:r>
      <w:r w:rsidR="00FE53F5" w:rsidRPr="00552B69">
        <w:rPr>
          <w:u w:val="none"/>
        </w:rPr>
        <w:t xml:space="preserve">which </w:t>
      </w:r>
      <w:r w:rsidRPr="00552B69">
        <w:rPr>
          <w:u w:val="none"/>
        </w:rPr>
        <w:t xml:space="preserve">is expected to alleviate the reporting burden for States Parties through simplified periodic reporting mechanisms of UNESCO’s normative instruments of the Culture Sector, while maintaining the specificity of each instrument; </w:t>
      </w:r>
    </w:p>
    <w:p w14:paraId="49036D8A" w14:textId="650D52AF" w:rsidR="003C66D1" w:rsidRPr="00552B69" w:rsidRDefault="00FE53F5" w:rsidP="00F821EA">
      <w:pPr>
        <w:pStyle w:val="COMParaDecision"/>
        <w:numPr>
          <w:ilvl w:val="0"/>
          <w:numId w:val="21"/>
        </w:numPr>
        <w:ind w:left="1701" w:hanging="567"/>
      </w:pPr>
      <w:r w:rsidRPr="00552B69">
        <w:rPr>
          <w:u w:val="none"/>
        </w:rPr>
        <w:t xml:space="preserve">the </w:t>
      </w:r>
      <w:r w:rsidR="003C66D1" w:rsidRPr="00552B69">
        <w:rPr>
          <w:u w:val="none"/>
        </w:rPr>
        <w:t>updated roadmap as annex</w:t>
      </w:r>
      <w:r w:rsidR="007A1A6F" w:rsidRPr="00552B69">
        <w:rPr>
          <w:u w:val="none"/>
        </w:rPr>
        <w:t xml:space="preserve">ed to </w:t>
      </w:r>
      <w:r w:rsidR="004973A8" w:rsidRPr="008645B9">
        <w:rPr>
          <w:u w:val="none"/>
        </w:rPr>
        <w:t>document LHE/24/19.COM/6.c,</w:t>
      </w:r>
      <w:r w:rsidR="004973A8" w:rsidRPr="00552B69">
        <w:rPr>
          <w:u w:val="none"/>
        </w:rPr>
        <w:t xml:space="preserve"> </w:t>
      </w:r>
      <w:r w:rsidR="005F0066" w:rsidRPr="00552B69">
        <w:rPr>
          <w:u w:val="none"/>
        </w:rPr>
        <w:t>which outlines</w:t>
      </w:r>
      <w:r w:rsidR="003C66D1" w:rsidRPr="00552B69">
        <w:rPr>
          <w:u w:val="none"/>
        </w:rPr>
        <w:t xml:space="preserve"> a timeline for the move towards the single global submission </w:t>
      </w:r>
      <w:proofErr w:type="gramStart"/>
      <w:r w:rsidR="003C66D1" w:rsidRPr="00552B69">
        <w:rPr>
          <w:u w:val="none"/>
        </w:rPr>
        <w:t>system;</w:t>
      </w:r>
      <w:proofErr w:type="gramEnd"/>
    </w:p>
    <w:p w14:paraId="7626DEF6" w14:textId="5480D3A5" w:rsidR="00D95C4C" w:rsidRPr="00552B69" w:rsidRDefault="00D95C4C" w:rsidP="007F35D2">
      <w:pPr>
        <w:pStyle w:val="COMParaDecision"/>
        <w:ind w:left="1134" w:hanging="567"/>
      </w:pPr>
      <w:r w:rsidRPr="00552B69">
        <w:lastRenderedPageBreak/>
        <w:t xml:space="preserve">Further </w:t>
      </w:r>
      <w:r w:rsidR="00651FDF" w:rsidRPr="00552B69">
        <w:t>requests</w:t>
      </w:r>
      <w:r w:rsidR="00651FDF" w:rsidRPr="00552B69">
        <w:rPr>
          <w:u w:val="none"/>
        </w:rPr>
        <w:t xml:space="preserve"> the Secretariat to:</w:t>
      </w:r>
    </w:p>
    <w:p w14:paraId="35D7CD28" w14:textId="0344F64F" w:rsidR="00651FDF" w:rsidRPr="00552B69" w:rsidRDefault="003C66D1" w:rsidP="00F821EA">
      <w:pPr>
        <w:pStyle w:val="COMParaDecision"/>
        <w:numPr>
          <w:ilvl w:val="0"/>
          <w:numId w:val="0"/>
        </w:numPr>
        <w:ind w:left="1701" w:hanging="567"/>
        <w:rPr>
          <w:u w:val="none"/>
        </w:rPr>
      </w:pPr>
      <w:r w:rsidRPr="00552B69">
        <w:rPr>
          <w:u w:val="none"/>
        </w:rPr>
        <w:t>a)</w:t>
      </w:r>
      <w:r w:rsidR="007F35D2" w:rsidRPr="00552B69">
        <w:rPr>
          <w:u w:val="none"/>
        </w:rPr>
        <w:tab/>
        <w:t>r</w:t>
      </w:r>
      <w:r w:rsidR="00651FDF" w:rsidRPr="00552B69">
        <w:rPr>
          <w:u w:val="none"/>
        </w:rPr>
        <w:t>eport on the update concerning the move towards the single global submission date system of periodic reporting for examination by the twentieth session of the Committee</w:t>
      </w:r>
      <w:r w:rsidR="007A1A6F" w:rsidRPr="00552B69">
        <w:rPr>
          <w:u w:val="none"/>
        </w:rPr>
        <w:t>,</w:t>
      </w:r>
      <w:r w:rsidR="00651FDF" w:rsidRPr="00552B69">
        <w:rPr>
          <w:u w:val="none"/>
        </w:rPr>
        <w:t xml:space="preserve"> and</w:t>
      </w:r>
    </w:p>
    <w:p w14:paraId="568E8EF5" w14:textId="1E8A1D83" w:rsidR="00047CE9" w:rsidRPr="00552B69" w:rsidRDefault="003C66D1" w:rsidP="00F821EA">
      <w:pPr>
        <w:pStyle w:val="COMParaDecision"/>
        <w:numPr>
          <w:ilvl w:val="0"/>
          <w:numId w:val="0"/>
        </w:numPr>
        <w:ind w:left="1701" w:hanging="567"/>
        <w:rPr>
          <w:u w:val="none"/>
        </w:rPr>
      </w:pPr>
      <w:r w:rsidRPr="00552B69">
        <w:rPr>
          <w:u w:val="none"/>
        </w:rPr>
        <w:t>b)</w:t>
      </w:r>
      <w:r w:rsidR="007F35D2" w:rsidRPr="00552B69">
        <w:rPr>
          <w:u w:val="none"/>
        </w:rPr>
        <w:tab/>
        <w:t>p</w:t>
      </w:r>
      <w:r w:rsidR="00651FDF" w:rsidRPr="00552B69">
        <w:rPr>
          <w:u w:val="none"/>
        </w:rPr>
        <w:t>resent the draft amendments to the Operational Directives</w:t>
      </w:r>
      <w:r w:rsidR="00E602E4" w:rsidRPr="00552B69">
        <w:rPr>
          <w:u w:val="none"/>
        </w:rPr>
        <w:t xml:space="preserve"> to this effect</w:t>
      </w:r>
      <w:r w:rsidR="00651FDF" w:rsidRPr="00552B69">
        <w:rPr>
          <w:u w:val="none"/>
        </w:rPr>
        <w:t xml:space="preserve"> for examination by the twentieth session of the Committee in November/December 2025 so that it may recommend these amendments for examination by the eleventh session of the General Assembly in mid-2026.</w:t>
      </w:r>
    </w:p>
    <w:p w14:paraId="0C600E95" w14:textId="77777777" w:rsidR="00AE7737" w:rsidRPr="00552B69" w:rsidRDefault="00AE7737">
      <w:pPr>
        <w:rPr>
          <w:rFonts w:ascii="Arial" w:eastAsia="SimSun" w:hAnsi="Arial" w:cs="Arial"/>
          <w:b/>
          <w:bCs/>
          <w:sz w:val="22"/>
          <w:szCs w:val="22"/>
          <w:lang w:val="en-GB"/>
        </w:rPr>
      </w:pPr>
      <w:bookmarkStart w:id="3" w:name="_Hlk147855837"/>
      <w:r w:rsidRPr="00552B69">
        <w:rPr>
          <w:b/>
          <w:bCs/>
          <w:lang w:val="en-GB"/>
        </w:rPr>
        <w:br w:type="page"/>
      </w:r>
    </w:p>
    <w:p w14:paraId="551218FB" w14:textId="64D763AC" w:rsidR="00553D7A" w:rsidRPr="00552B69" w:rsidRDefault="00C82E3A" w:rsidP="00C82E3A">
      <w:pPr>
        <w:pStyle w:val="COMParaDecision"/>
        <w:numPr>
          <w:ilvl w:val="0"/>
          <w:numId w:val="0"/>
        </w:numPr>
        <w:ind w:left="1287" w:hanging="360"/>
        <w:jc w:val="center"/>
        <w:rPr>
          <w:b/>
          <w:bCs/>
          <w:u w:val="none"/>
        </w:rPr>
      </w:pPr>
      <w:r w:rsidRPr="00552B69">
        <w:rPr>
          <w:b/>
          <w:bCs/>
          <w:u w:val="none"/>
        </w:rPr>
        <w:lastRenderedPageBreak/>
        <w:t>Annex:</w:t>
      </w:r>
    </w:p>
    <w:p w14:paraId="7069AAA7" w14:textId="65BB1499" w:rsidR="00C82E3A" w:rsidRPr="00552B69" w:rsidRDefault="007A1A6F" w:rsidP="00E51C28">
      <w:pPr>
        <w:pStyle w:val="COMParaDecision"/>
        <w:numPr>
          <w:ilvl w:val="0"/>
          <w:numId w:val="0"/>
        </w:numPr>
        <w:jc w:val="center"/>
        <w:rPr>
          <w:b/>
          <w:bCs/>
        </w:rPr>
      </w:pPr>
      <w:r w:rsidRPr="00552B69">
        <w:rPr>
          <w:b/>
          <w:bCs/>
          <w:u w:val="none"/>
        </w:rPr>
        <w:t>Updated</w:t>
      </w:r>
      <w:r w:rsidR="004479AF" w:rsidRPr="00552B69">
        <w:rPr>
          <w:b/>
          <w:bCs/>
          <w:u w:val="none"/>
        </w:rPr>
        <w:t xml:space="preserve"> </w:t>
      </w:r>
      <w:r w:rsidR="00C82E3A" w:rsidRPr="00552B69">
        <w:rPr>
          <w:rFonts w:asciiTheme="minorBidi" w:hAnsiTheme="minorBidi" w:cstheme="minorBidi"/>
          <w:b/>
          <w:bCs/>
          <w:u w:val="none"/>
        </w:rPr>
        <w:t>proposed timeline to rationalize the submission cycles of periodic reporting mechanisms across UNESCO Culture Conventions</w:t>
      </w:r>
    </w:p>
    <w:tbl>
      <w:tblPr>
        <w:tblStyle w:val="Grilledutableau"/>
        <w:tblW w:w="9633" w:type="dxa"/>
        <w:tblInd w:w="-5" w:type="dxa"/>
        <w:tblLook w:val="04A0" w:firstRow="1" w:lastRow="0" w:firstColumn="1" w:lastColumn="0" w:noHBand="0" w:noVBand="1"/>
      </w:tblPr>
      <w:tblGrid>
        <w:gridCol w:w="993"/>
        <w:gridCol w:w="8640"/>
      </w:tblGrid>
      <w:tr w:rsidR="00C82E3A" w:rsidRPr="00552B69" w14:paraId="107A5A39" w14:textId="77777777" w:rsidTr="00E51C28">
        <w:tc>
          <w:tcPr>
            <w:tcW w:w="993" w:type="dxa"/>
            <w:shd w:val="clear" w:color="auto" w:fill="F2F2F2" w:themeFill="background1" w:themeFillShade="F2"/>
          </w:tcPr>
          <w:p w14:paraId="20C4B790" w14:textId="77777777" w:rsidR="00C82E3A" w:rsidRPr="00552B69" w:rsidRDefault="00C82E3A" w:rsidP="00407E38">
            <w:pPr>
              <w:pStyle w:val="Marge"/>
              <w:spacing w:beforeLines="20" w:before="48" w:after="0"/>
              <w:rPr>
                <w:rFonts w:asciiTheme="minorBidi" w:hAnsiTheme="minorBidi" w:cstheme="minorBidi"/>
                <w:b/>
                <w:bCs/>
                <w:sz w:val="20"/>
                <w:szCs w:val="20"/>
                <w:lang w:val="en-GB"/>
              </w:rPr>
            </w:pPr>
            <w:r w:rsidRPr="00552B69">
              <w:rPr>
                <w:rFonts w:asciiTheme="minorBidi" w:hAnsiTheme="minorBidi" w:cstheme="minorBidi"/>
                <w:b/>
                <w:bCs/>
                <w:sz w:val="20"/>
                <w:szCs w:val="20"/>
                <w:lang w:val="en-GB"/>
              </w:rPr>
              <w:t>Year</w:t>
            </w:r>
          </w:p>
        </w:tc>
        <w:tc>
          <w:tcPr>
            <w:tcW w:w="8640" w:type="dxa"/>
            <w:shd w:val="clear" w:color="auto" w:fill="F2F2F2" w:themeFill="background1" w:themeFillShade="F2"/>
          </w:tcPr>
          <w:p w14:paraId="35C2E28F" w14:textId="77777777" w:rsidR="00C82E3A" w:rsidRPr="00552B69" w:rsidRDefault="00C82E3A" w:rsidP="00407E38">
            <w:pPr>
              <w:pStyle w:val="Marge"/>
              <w:spacing w:beforeLines="20" w:before="48" w:after="0"/>
              <w:rPr>
                <w:rFonts w:asciiTheme="minorBidi" w:hAnsiTheme="minorBidi" w:cstheme="minorBidi"/>
                <w:b/>
                <w:bCs/>
                <w:sz w:val="20"/>
                <w:szCs w:val="20"/>
                <w:lang w:val="en-GB"/>
              </w:rPr>
            </w:pPr>
            <w:r w:rsidRPr="00552B69">
              <w:rPr>
                <w:rFonts w:asciiTheme="minorBidi" w:hAnsiTheme="minorBidi" w:cstheme="minorBidi"/>
                <w:b/>
                <w:bCs/>
                <w:sz w:val="20"/>
                <w:szCs w:val="20"/>
                <w:lang w:val="en-GB"/>
              </w:rPr>
              <w:t>Milestones</w:t>
            </w:r>
          </w:p>
        </w:tc>
      </w:tr>
      <w:tr w:rsidR="00C82E3A" w:rsidRPr="008645B9" w14:paraId="1F7B646F" w14:textId="77777777" w:rsidTr="00E51C28">
        <w:tc>
          <w:tcPr>
            <w:tcW w:w="993" w:type="dxa"/>
          </w:tcPr>
          <w:p w14:paraId="369C70F6" w14:textId="77777777" w:rsidR="00C82E3A" w:rsidRPr="00552B69" w:rsidRDefault="00C82E3A" w:rsidP="00407E38">
            <w:pPr>
              <w:pStyle w:val="Marge"/>
              <w:spacing w:beforeLines="20" w:before="48" w:after="0"/>
              <w:rPr>
                <w:rFonts w:asciiTheme="minorBidi" w:hAnsiTheme="minorBidi" w:cstheme="minorBidi"/>
                <w:b/>
                <w:bCs/>
                <w:sz w:val="20"/>
                <w:szCs w:val="20"/>
                <w:lang w:val="en-GB"/>
              </w:rPr>
            </w:pPr>
            <w:r w:rsidRPr="00552B69">
              <w:rPr>
                <w:rFonts w:asciiTheme="minorBidi" w:hAnsiTheme="minorBidi" w:cstheme="minorBidi"/>
                <w:b/>
                <w:bCs/>
                <w:sz w:val="20"/>
                <w:szCs w:val="20"/>
                <w:lang w:val="en-GB"/>
              </w:rPr>
              <w:t>2024</w:t>
            </w:r>
          </w:p>
        </w:tc>
        <w:tc>
          <w:tcPr>
            <w:tcW w:w="8640" w:type="dxa"/>
          </w:tcPr>
          <w:p w14:paraId="58704102" w14:textId="60124A25" w:rsidR="00A7143D" w:rsidRPr="00552B69" w:rsidRDefault="00A7143D"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March 2024</w:t>
            </w:r>
          </w:p>
          <w:p w14:paraId="1474F38F" w14:textId="65321190" w:rsidR="00A7143D" w:rsidRPr="00552B69" w:rsidRDefault="00A7143D" w:rsidP="00D75C08">
            <w:pPr>
              <w:pStyle w:val="Marge"/>
              <w:tabs>
                <w:tab w:val="clear" w:pos="567"/>
              </w:tabs>
              <w:spacing w:beforeLines="20" w:before="48" w:after="0"/>
              <w:rPr>
                <w:rFonts w:asciiTheme="minorBidi" w:hAnsiTheme="minorBidi" w:cstheme="minorBidi"/>
                <w:color w:val="000000" w:themeColor="text1"/>
                <w:sz w:val="20"/>
                <w:szCs w:val="20"/>
                <w:lang w:val="en-GB"/>
              </w:rPr>
            </w:pPr>
            <w:r w:rsidRPr="00552B69">
              <w:rPr>
                <w:rFonts w:asciiTheme="minorBidi" w:hAnsiTheme="minorBidi" w:cstheme="minorBidi"/>
                <w:color w:val="000000" w:themeColor="text1"/>
                <w:sz w:val="20"/>
                <w:szCs w:val="20"/>
                <w:lang w:val="en-GB"/>
              </w:rPr>
              <w:t>Publication of the 2024 IOS ‘Evaluation of UNESCO’s Periodic Reporting on the Culture Sector’s Conventions and Recommendations’</w:t>
            </w:r>
          </w:p>
          <w:p w14:paraId="7EAA3021" w14:textId="306CC938" w:rsidR="004C3784" w:rsidRPr="00552B69" w:rsidRDefault="004C3784"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219th session of the Executive Board (13-27 March 2024)</w:t>
            </w:r>
          </w:p>
          <w:p w14:paraId="7481D92B" w14:textId="22B8A5B1" w:rsidR="00400582" w:rsidRPr="00552B69" w:rsidRDefault="004C3784" w:rsidP="00D75C08">
            <w:pPr>
              <w:pStyle w:val="Marge"/>
              <w:tabs>
                <w:tab w:val="clear" w:pos="567"/>
              </w:tabs>
              <w:spacing w:beforeLines="20" w:before="48" w:after="0"/>
              <w:rPr>
                <w:rFonts w:asciiTheme="minorBidi" w:hAnsiTheme="minorBidi" w:cstheme="minorBidi"/>
                <w:color w:val="000000" w:themeColor="text1"/>
                <w:sz w:val="20"/>
                <w:szCs w:val="20"/>
                <w:lang w:val="en-GB"/>
              </w:rPr>
            </w:pPr>
            <w:r w:rsidRPr="00552B69">
              <w:rPr>
                <w:rFonts w:asciiTheme="minorBidi" w:hAnsiTheme="minorBidi" w:cstheme="minorBidi"/>
                <w:color w:val="000000" w:themeColor="text1"/>
                <w:sz w:val="20"/>
                <w:szCs w:val="20"/>
                <w:lang w:val="en-GB"/>
              </w:rPr>
              <w:t xml:space="preserve">Adoption of </w:t>
            </w:r>
            <w:r w:rsidR="00400582" w:rsidRPr="00552B69">
              <w:rPr>
                <w:rFonts w:asciiTheme="minorBidi" w:hAnsiTheme="minorBidi" w:cstheme="minorBidi"/>
                <w:color w:val="000000" w:themeColor="text1"/>
                <w:sz w:val="20"/>
                <w:szCs w:val="20"/>
                <w:lang w:val="en-GB"/>
              </w:rPr>
              <w:t>219 EX/Decision 11 on the ‘UNESCO World Conference on Cultural Policies and Sustainable Development – MONDIACULT 2022’, and 219 EX/Decision 13 on the ‘Division of Internal Oversight Services (IOS) Evaluation of UNESCO’s Periodic Reporting on the Culture Sector’s Conventions and Recommendations’</w:t>
            </w:r>
          </w:p>
          <w:p w14:paraId="02A592E1" w14:textId="77777777" w:rsidR="00400582" w:rsidRPr="00552B69" w:rsidRDefault="00400582"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Tenth session of the General Assembly (11-12 June 2024)</w:t>
            </w:r>
          </w:p>
          <w:p w14:paraId="25006B07" w14:textId="65F8947B" w:rsidR="00400582" w:rsidRPr="00552B69" w:rsidRDefault="00400582" w:rsidP="00D75C08">
            <w:pPr>
              <w:pStyle w:val="Marge"/>
              <w:tabs>
                <w:tab w:val="clear" w:pos="567"/>
              </w:tabs>
              <w:spacing w:beforeLines="20" w:before="48" w:after="0"/>
              <w:rPr>
                <w:rFonts w:asciiTheme="minorBidi" w:hAnsiTheme="minorBidi" w:cstheme="minorBidi"/>
                <w:color w:val="000000" w:themeColor="text1"/>
                <w:sz w:val="20"/>
                <w:szCs w:val="20"/>
                <w:lang w:val="en-GB"/>
              </w:rPr>
            </w:pPr>
            <w:r w:rsidRPr="00552B69">
              <w:rPr>
                <w:rFonts w:asciiTheme="minorBidi" w:hAnsiTheme="minorBidi" w:cstheme="minorBidi"/>
                <w:color w:val="000000" w:themeColor="text1"/>
                <w:sz w:val="20"/>
                <w:szCs w:val="20"/>
                <w:lang w:val="en-GB"/>
              </w:rPr>
              <w:t xml:space="preserve">Adoption of Resolution </w:t>
            </w:r>
            <w:r w:rsidR="00A7143D" w:rsidRPr="00552B69">
              <w:rPr>
                <w:rFonts w:asciiTheme="minorBidi" w:hAnsiTheme="minorBidi" w:cstheme="minorBidi"/>
                <w:color w:val="000000" w:themeColor="text1"/>
                <w:sz w:val="20"/>
                <w:szCs w:val="20"/>
                <w:lang w:val="en-GB"/>
              </w:rPr>
              <w:t>10.GA 5 and Resolution 10.GA 6 in the framework of the p</w:t>
            </w:r>
            <w:r w:rsidRPr="00552B69">
              <w:rPr>
                <w:rFonts w:asciiTheme="minorBidi" w:hAnsiTheme="minorBidi" w:cstheme="minorBidi"/>
                <w:color w:val="000000" w:themeColor="text1"/>
                <w:sz w:val="20"/>
                <w:szCs w:val="20"/>
                <w:lang w:val="en-GB"/>
              </w:rPr>
              <w:t>reliminary discussion on the proposal to rationalize the submission cycles of periodic reports</w:t>
            </w:r>
          </w:p>
          <w:p w14:paraId="2AA64EB5" w14:textId="3E0270B2" w:rsidR="00C82E3A" w:rsidRPr="00552B69" w:rsidRDefault="00C82E3A"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By 15 June 2024</w:t>
            </w:r>
          </w:p>
          <w:p w14:paraId="49263837" w14:textId="77777777" w:rsidR="00C82E3A" w:rsidRPr="00552B69" w:rsidRDefault="00C82E3A"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sz w:val="20"/>
                <w:szCs w:val="20"/>
                <w:lang w:val="en-GB"/>
              </w:rPr>
              <w:t>Partial or full ‘early’ submission of ‘Asia and the Pacific reports’</w:t>
            </w:r>
          </w:p>
          <w:p w14:paraId="6761CA4E" w14:textId="77A23F2D" w:rsidR="00C82E3A" w:rsidRPr="00552B69" w:rsidRDefault="00C82E3A"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Nineteenth session of the Committee (</w:t>
            </w:r>
            <w:r w:rsidR="00A7143D" w:rsidRPr="00552B69">
              <w:rPr>
                <w:rFonts w:asciiTheme="minorBidi" w:hAnsiTheme="minorBidi" w:cstheme="minorBidi"/>
                <w:b/>
                <w:bCs/>
                <w:color w:val="365F91" w:themeColor="accent1" w:themeShade="BF"/>
                <w:sz w:val="20"/>
                <w:szCs w:val="20"/>
                <w:lang w:val="en-GB"/>
              </w:rPr>
              <w:t>2-7 December</w:t>
            </w:r>
            <w:r w:rsidRPr="00552B69">
              <w:rPr>
                <w:rFonts w:asciiTheme="minorBidi" w:hAnsiTheme="minorBidi" w:cstheme="minorBidi"/>
                <w:b/>
                <w:bCs/>
                <w:color w:val="365F91" w:themeColor="accent1" w:themeShade="BF"/>
                <w:sz w:val="20"/>
                <w:szCs w:val="20"/>
                <w:lang w:val="en-GB"/>
              </w:rPr>
              <w:t xml:space="preserve"> 2024)</w:t>
            </w:r>
          </w:p>
          <w:p w14:paraId="2D9AF6AB" w14:textId="77777777" w:rsidR="00C82E3A" w:rsidRPr="00552B69"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Examination of ‘Africa reports’</w:t>
            </w:r>
          </w:p>
          <w:p w14:paraId="2CF5D0EB" w14:textId="69862B46" w:rsidR="00C82E3A" w:rsidRPr="00552B69"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Examination of ‘Urgent Safeguarding List reports</w:t>
            </w:r>
            <w:r w:rsidR="0096129A" w:rsidRPr="00552B69">
              <w:rPr>
                <w:rFonts w:asciiTheme="minorBidi" w:hAnsiTheme="minorBidi" w:cstheme="minorBidi"/>
                <w:sz w:val="20"/>
                <w:szCs w:val="20"/>
                <w:lang w:val="en-GB"/>
              </w:rPr>
              <w:t>’</w:t>
            </w:r>
          </w:p>
          <w:p w14:paraId="6D5C9631" w14:textId="77777777" w:rsidR="00C82E3A" w:rsidRPr="00552B69"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Update on the proposal to rationalize the submission cycles of periodic reports</w:t>
            </w:r>
          </w:p>
          <w:p w14:paraId="13FAD94E" w14:textId="77777777" w:rsidR="00C82E3A" w:rsidRPr="00552B69" w:rsidRDefault="00C82E3A"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By 15 December 2024</w:t>
            </w:r>
          </w:p>
          <w:p w14:paraId="196F306C" w14:textId="77777777" w:rsidR="00C82E3A" w:rsidRPr="00552B69"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Submission of ‘Asia and the Pacific reports’</w:t>
            </w:r>
          </w:p>
          <w:p w14:paraId="59A163B8" w14:textId="77777777" w:rsidR="00C82E3A" w:rsidRPr="00552B69" w:rsidRDefault="00C82E3A" w:rsidP="00407E38">
            <w:pPr>
              <w:pStyle w:val="Marge"/>
              <w:numPr>
                <w:ilvl w:val="0"/>
                <w:numId w:val="10"/>
              </w:numPr>
              <w:tabs>
                <w:tab w:val="clear" w:pos="567"/>
                <w:tab w:val="left" w:pos="178"/>
              </w:tabs>
              <w:spacing w:beforeLines="20" w:before="48" w:after="0"/>
              <w:ind w:left="460" w:hanging="284"/>
              <w:rPr>
                <w:rFonts w:asciiTheme="minorBidi" w:hAnsiTheme="minorBidi" w:cstheme="minorBidi"/>
                <w:sz w:val="20"/>
                <w:szCs w:val="20"/>
                <w:lang w:val="en-GB"/>
              </w:rPr>
            </w:pPr>
            <w:r w:rsidRPr="00552B69">
              <w:rPr>
                <w:rFonts w:asciiTheme="minorBidi" w:hAnsiTheme="minorBidi" w:cstheme="minorBidi"/>
                <w:sz w:val="20"/>
                <w:szCs w:val="20"/>
                <w:lang w:val="en-GB"/>
              </w:rPr>
              <w:t>Submission of ‘Urgent Safeguarding List reports’</w:t>
            </w:r>
          </w:p>
        </w:tc>
      </w:tr>
      <w:tr w:rsidR="00C82E3A" w:rsidRPr="008645B9" w14:paraId="70D48342" w14:textId="77777777" w:rsidTr="00E51C28">
        <w:tc>
          <w:tcPr>
            <w:tcW w:w="993" w:type="dxa"/>
            <w:vMerge w:val="restart"/>
          </w:tcPr>
          <w:p w14:paraId="5BC8C0F4" w14:textId="77777777" w:rsidR="00C82E3A" w:rsidRPr="00552B69" w:rsidRDefault="00C82E3A" w:rsidP="00407E38">
            <w:pPr>
              <w:pStyle w:val="Marge"/>
              <w:spacing w:beforeLines="20" w:before="48" w:after="0"/>
              <w:rPr>
                <w:rFonts w:asciiTheme="minorBidi" w:hAnsiTheme="minorBidi" w:cstheme="minorBidi"/>
                <w:b/>
                <w:bCs/>
                <w:sz w:val="20"/>
                <w:szCs w:val="20"/>
                <w:lang w:val="en-GB"/>
              </w:rPr>
            </w:pPr>
            <w:r w:rsidRPr="00552B69">
              <w:rPr>
                <w:rFonts w:asciiTheme="minorBidi" w:hAnsiTheme="minorBidi" w:cstheme="minorBidi"/>
                <w:b/>
                <w:bCs/>
                <w:sz w:val="20"/>
                <w:szCs w:val="20"/>
                <w:lang w:val="en-GB"/>
              </w:rPr>
              <w:t>2025</w:t>
            </w:r>
          </w:p>
        </w:tc>
        <w:tc>
          <w:tcPr>
            <w:tcW w:w="8640" w:type="dxa"/>
            <w:shd w:val="clear" w:color="auto" w:fill="auto"/>
          </w:tcPr>
          <w:p w14:paraId="284825AE" w14:textId="77777777" w:rsidR="003F6D2B" w:rsidRPr="00552B69" w:rsidRDefault="003F6D2B" w:rsidP="003F6D2B">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Throughout the year</w:t>
            </w:r>
          </w:p>
          <w:p w14:paraId="57AF080B" w14:textId="6272ABEF" w:rsidR="00C82E3A" w:rsidRPr="00552B69" w:rsidRDefault="003F6D2B" w:rsidP="00407E38">
            <w:pPr>
              <w:pStyle w:val="Marge"/>
              <w:spacing w:beforeLines="20" w:before="48" w:after="0"/>
              <w:rPr>
                <w:rFonts w:asciiTheme="minorBidi" w:hAnsiTheme="minorBidi" w:cstheme="minorBidi"/>
                <w:sz w:val="20"/>
                <w:szCs w:val="20"/>
                <w:lang w:val="en-GB"/>
              </w:rPr>
            </w:pPr>
            <w:r w:rsidRPr="00552B69">
              <w:rPr>
                <w:rFonts w:asciiTheme="minorBidi" w:hAnsiTheme="minorBidi" w:cstheme="minorBidi"/>
                <w:sz w:val="20"/>
                <w:szCs w:val="20"/>
                <w:lang w:val="en-GB"/>
              </w:rPr>
              <w:t xml:space="preserve">Preparation of the reflection year by organizing a series of online regional meetings (to be confirmed) with country focal points and facilitators to take stock of lessons learnt and discuss the ‘simplification’ of </w:t>
            </w:r>
            <w:r w:rsidR="00E05CE9" w:rsidRPr="00552B69">
              <w:rPr>
                <w:rFonts w:asciiTheme="minorBidi" w:hAnsiTheme="minorBidi" w:cstheme="minorBidi"/>
                <w:sz w:val="20"/>
                <w:szCs w:val="20"/>
                <w:lang w:val="en-GB"/>
              </w:rPr>
              <w:t>forms</w:t>
            </w:r>
          </w:p>
        </w:tc>
      </w:tr>
      <w:tr w:rsidR="003F6D2B" w:rsidRPr="008645B9" w14:paraId="653BB32A" w14:textId="77777777" w:rsidTr="00E51C28">
        <w:tc>
          <w:tcPr>
            <w:tcW w:w="993" w:type="dxa"/>
            <w:vMerge/>
          </w:tcPr>
          <w:p w14:paraId="3A651BAF" w14:textId="77777777" w:rsidR="003F6D2B" w:rsidRPr="00552B69" w:rsidRDefault="003F6D2B" w:rsidP="00407E38">
            <w:pPr>
              <w:pStyle w:val="Marge"/>
              <w:spacing w:beforeLines="20" w:before="48" w:after="0"/>
              <w:rPr>
                <w:rFonts w:asciiTheme="minorBidi" w:hAnsiTheme="minorBidi" w:cstheme="minorBidi"/>
                <w:sz w:val="20"/>
                <w:szCs w:val="20"/>
                <w:lang w:val="en-GB"/>
              </w:rPr>
            </w:pPr>
          </w:p>
        </w:tc>
        <w:tc>
          <w:tcPr>
            <w:tcW w:w="8640" w:type="dxa"/>
            <w:shd w:val="clear" w:color="auto" w:fill="DAEEF3" w:themeFill="accent5" w:themeFillTint="33"/>
          </w:tcPr>
          <w:p w14:paraId="10A4C8E8" w14:textId="737038DF" w:rsidR="003F6D2B" w:rsidRPr="00552B69" w:rsidRDefault="003F6D2B" w:rsidP="003F6D2B">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Second half of the year</w:t>
            </w:r>
            <w:r w:rsidR="00B97B10" w:rsidRPr="00552B69">
              <w:rPr>
                <w:rFonts w:asciiTheme="minorBidi" w:hAnsiTheme="minorBidi" w:cstheme="minorBidi"/>
                <w:b/>
                <w:bCs/>
                <w:color w:val="365F91" w:themeColor="accent1" w:themeShade="BF"/>
                <w:sz w:val="20"/>
                <w:szCs w:val="20"/>
                <w:lang w:val="en-GB"/>
              </w:rPr>
              <w:t xml:space="preserve"> (September 2025 – MONDIACULT 2025)</w:t>
            </w:r>
            <w:r w:rsidR="009C0613" w:rsidRPr="00552B69">
              <w:rPr>
                <w:rFonts w:asciiTheme="minorBidi" w:hAnsiTheme="minorBidi" w:cstheme="minorBidi"/>
                <w:b/>
                <w:bCs/>
                <w:color w:val="365F91" w:themeColor="accent1" w:themeShade="BF"/>
                <w:sz w:val="20"/>
                <w:szCs w:val="20"/>
                <w:lang w:val="en-GB"/>
              </w:rPr>
              <w:t xml:space="preserve"> </w:t>
            </w:r>
          </w:p>
          <w:p w14:paraId="53E3CCFC" w14:textId="347C8DB8" w:rsidR="003F6D2B" w:rsidRPr="00552B69" w:rsidRDefault="003F6D2B" w:rsidP="003F6D2B">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sz w:val="20"/>
                <w:szCs w:val="20"/>
                <w:lang w:val="en-GB"/>
              </w:rPr>
              <w:t xml:space="preserve">Publication of the first edition of </w:t>
            </w:r>
            <w:r w:rsidR="00B97B10" w:rsidRPr="00552B69">
              <w:rPr>
                <w:rFonts w:asciiTheme="minorBidi" w:hAnsiTheme="minorBidi" w:cstheme="minorBidi"/>
                <w:b/>
                <w:bCs/>
                <w:sz w:val="20"/>
                <w:szCs w:val="20"/>
                <w:lang w:val="en-GB"/>
              </w:rPr>
              <w:t xml:space="preserve">the </w:t>
            </w:r>
            <w:r w:rsidRPr="00552B69">
              <w:rPr>
                <w:rFonts w:asciiTheme="minorBidi" w:hAnsiTheme="minorBidi" w:cstheme="minorBidi"/>
                <w:b/>
                <w:bCs/>
                <w:sz w:val="20"/>
                <w:szCs w:val="20"/>
                <w:lang w:val="en-GB"/>
              </w:rPr>
              <w:t>Global Report on Cultural Policies</w:t>
            </w:r>
          </w:p>
        </w:tc>
      </w:tr>
      <w:tr w:rsidR="00C82E3A" w:rsidRPr="008645B9" w14:paraId="28D0F5D1" w14:textId="77777777" w:rsidTr="00E51C28">
        <w:tc>
          <w:tcPr>
            <w:tcW w:w="993" w:type="dxa"/>
            <w:vMerge/>
          </w:tcPr>
          <w:p w14:paraId="23BC5F15" w14:textId="77777777" w:rsidR="00C82E3A" w:rsidRPr="00552B69" w:rsidRDefault="00C82E3A" w:rsidP="00407E38">
            <w:pPr>
              <w:pStyle w:val="Marge"/>
              <w:spacing w:beforeLines="20" w:before="48" w:after="0"/>
              <w:rPr>
                <w:rFonts w:asciiTheme="minorBidi" w:hAnsiTheme="minorBidi" w:cstheme="minorBidi"/>
                <w:sz w:val="20"/>
                <w:szCs w:val="20"/>
                <w:lang w:val="en-GB"/>
              </w:rPr>
            </w:pPr>
          </w:p>
        </w:tc>
        <w:tc>
          <w:tcPr>
            <w:tcW w:w="8640" w:type="dxa"/>
            <w:shd w:val="clear" w:color="auto" w:fill="FFFFFF" w:themeFill="background1"/>
          </w:tcPr>
          <w:p w14:paraId="0C9875E2" w14:textId="1D9719AA" w:rsidR="00C82E3A" w:rsidRPr="00552B69" w:rsidRDefault="00C82E3A" w:rsidP="006C03CE">
            <w:pPr>
              <w:pStyle w:val="Marge"/>
              <w:adjustRightInd w:val="0"/>
              <w:spacing w:before="120"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Twentieth session of the Committee (November/December 2025)</w:t>
            </w:r>
          </w:p>
          <w:p w14:paraId="4FEF1CFE" w14:textId="77777777" w:rsidR="00C82E3A" w:rsidRPr="00552B69"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Examination of ‘Asia and the Pacific reports’</w:t>
            </w:r>
          </w:p>
          <w:p w14:paraId="23381777" w14:textId="77777777" w:rsidR="00C82E3A" w:rsidRPr="00552B69"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Examination of ‘Urgent Safeguarding List reports’</w:t>
            </w:r>
          </w:p>
          <w:p w14:paraId="39E8E5E1" w14:textId="77777777" w:rsidR="00C82E3A" w:rsidRPr="00552B69"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Examination of draft amendments to the Operational Directives on the proposal to rationalize the submission cycles of periodic reports</w:t>
            </w:r>
          </w:p>
          <w:p w14:paraId="36C7C4AD" w14:textId="44715827" w:rsidR="00C82E3A" w:rsidRPr="00552B69"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 xml:space="preserve">Presentation of the 2003 Convention-related sections of the first edition of </w:t>
            </w:r>
            <w:r w:rsidR="00502A65" w:rsidRPr="00552B69">
              <w:rPr>
                <w:rFonts w:asciiTheme="minorBidi" w:hAnsiTheme="minorBidi" w:cstheme="minorBidi"/>
                <w:sz w:val="20"/>
                <w:szCs w:val="20"/>
                <w:lang w:val="en-GB"/>
              </w:rPr>
              <w:t xml:space="preserve">the </w:t>
            </w:r>
            <w:r w:rsidRPr="00552B69">
              <w:rPr>
                <w:rFonts w:asciiTheme="minorBidi" w:hAnsiTheme="minorBidi" w:cstheme="minorBidi"/>
                <w:sz w:val="20"/>
                <w:szCs w:val="20"/>
                <w:lang w:val="en-GB"/>
              </w:rPr>
              <w:t>Global Report on Cultural Policies</w:t>
            </w:r>
          </w:p>
        </w:tc>
      </w:tr>
      <w:tr w:rsidR="00C82E3A" w:rsidRPr="008645B9" w14:paraId="3B2F34A9" w14:textId="77777777" w:rsidTr="00E51C28">
        <w:tc>
          <w:tcPr>
            <w:tcW w:w="993" w:type="dxa"/>
          </w:tcPr>
          <w:p w14:paraId="73732C03" w14:textId="77777777" w:rsidR="00C82E3A" w:rsidRPr="00552B69" w:rsidRDefault="00C82E3A" w:rsidP="00407E38">
            <w:pPr>
              <w:pStyle w:val="Marge"/>
              <w:spacing w:beforeLines="20" w:before="48" w:after="0"/>
              <w:rPr>
                <w:rFonts w:asciiTheme="minorBidi" w:hAnsiTheme="minorBidi" w:cstheme="minorBidi"/>
                <w:b/>
                <w:bCs/>
                <w:sz w:val="20"/>
                <w:szCs w:val="20"/>
                <w:lang w:val="en-GB"/>
              </w:rPr>
            </w:pPr>
            <w:r w:rsidRPr="00552B69">
              <w:rPr>
                <w:rFonts w:asciiTheme="minorBidi" w:hAnsiTheme="minorBidi" w:cstheme="minorBidi"/>
                <w:b/>
                <w:bCs/>
                <w:sz w:val="20"/>
                <w:szCs w:val="20"/>
                <w:lang w:val="en-GB"/>
              </w:rPr>
              <w:t>2026</w:t>
            </w:r>
          </w:p>
        </w:tc>
        <w:tc>
          <w:tcPr>
            <w:tcW w:w="8640" w:type="dxa"/>
          </w:tcPr>
          <w:p w14:paraId="246C6E2C" w14:textId="77777777" w:rsidR="00C82E3A" w:rsidRPr="00552B69" w:rsidRDefault="00C82E3A"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Eleventh session of the General Assembly (mid-2026)</w:t>
            </w:r>
          </w:p>
          <w:p w14:paraId="6ECB43DB" w14:textId="77777777" w:rsidR="00C82E3A" w:rsidRPr="00552B69" w:rsidRDefault="00C82E3A" w:rsidP="00407E38">
            <w:pPr>
              <w:pStyle w:val="Marge"/>
              <w:tabs>
                <w:tab w:val="clear" w:pos="567"/>
                <w:tab w:val="left" w:pos="178"/>
              </w:tabs>
              <w:spacing w:beforeLines="20" w:before="48" w:after="0"/>
              <w:rPr>
                <w:rFonts w:asciiTheme="minorBidi" w:hAnsiTheme="minorBidi" w:cstheme="minorBidi"/>
                <w:sz w:val="20"/>
                <w:szCs w:val="20"/>
                <w:lang w:val="en-GB"/>
              </w:rPr>
            </w:pPr>
            <w:r w:rsidRPr="00552B69">
              <w:rPr>
                <w:rFonts w:asciiTheme="minorBidi" w:hAnsiTheme="minorBidi" w:cstheme="minorBidi"/>
                <w:sz w:val="20"/>
                <w:szCs w:val="20"/>
                <w:lang w:val="en-GB"/>
              </w:rPr>
              <w:t>Examination of draft amendments to the Operational Directives on the proposal to rationalize the submission cycles of periodic reports</w:t>
            </w:r>
          </w:p>
          <w:p w14:paraId="06F71968" w14:textId="0C16DBF0" w:rsidR="00C82E3A" w:rsidRPr="00552B69" w:rsidRDefault="00C40753" w:rsidP="006C03CE">
            <w:pPr>
              <w:pStyle w:val="Marge"/>
              <w:adjustRightInd w:val="0"/>
              <w:spacing w:before="120"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Reflection year</w:t>
            </w:r>
          </w:p>
          <w:p w14:paraId="4876953B" w14:textId="4045BA30" w:rsidR="00C40753" w:rsidRPr="00552B69" w:rsidRDefault="00C40753" w:rsidP="00C40753">
            <w:pPr>
              <w:pStyle w:val="Marge"/>
              <w:spacing w:beforeLines="20" w:before="48" w:after="0"/>
              <w:rPr>
                <w:rFonts w:asciiTheme="minorBidi" w:hAnsiTheme="minorBidi" w:cstheme="minorBidi"/>
                <w:sz w:val="20"/>
                <w:szCs w:val="20"/>
                <w:lang w:val="en-GB"/>
              </w:rPr>
            </w:pPr>
            <w:r w:rsidRPr="00552B69">
              <w:rPr>
                <w:rFonts w:asciiTheme="minorBidi" w:hAnsiTheme="minorBidi" w:cstheme="minorBidi"/>
                <w:sz w:val="20"/>
                <w:szCs w:val="20"/>
                <w:lang w:val="en-GB"/>
              </w:rPr>
              <w:t xml:space="preserve">A global in-person meeting (to be confirmed) to take stock of lessons learnt and discuss the simplification of </w:t>
            </w:r>
            <w:r w:rsidR="00E05CE9" w:rsidRPr="00552B69">
              <w:rPr>
                <w:rFonts w:asciiTheme="minorBidi" w:hAnsiTheme="minorBidi" w:cstheme="minorBidi"/>
                <w:sz w:val="20"/>
                <w:szCs w:val="20"/>
                <w:lang w:val="en-GB"/>
              </w:rPr>
              <w:t>forms</w:t>
            </w:r>
          </w:p>
          <w:p w14:paraId="7B94DF8D" w14:textId="7018F970" w:rsidR="00C40753" w:rsidRPr="00552B69" w:rsidRDefault="00C40753" w:rsidP="006C03CE">
            <w:pPr>
              <w:pStyle w:val="Marge"/>
              <w:spacing w:before="120"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Capacity</w:t>
            </w:r>
            <w:r w:rsidR="00502A65" w:rsidRPr="00552B69">
              <w:rPr>
                <w:rFonts w:asciiTheme="minorBidi" w:hAnsiTheme="minorBidi" w:cstheme="minorBidi"/>
                <w:b/>
                <w:bCs/>
                <w:color w:val="365F91" w:themeColor="accent1" w:themeShade="BF"/>
                <w:sz w:val="20"/>
                <w:szCs w:val="20"/>
                <w:lang w:val="en-GB"/>
              </w:rPr>
              <w:t>-</w:t>
            </w:r>
            <w:r w:rsidRPr="00552B69">
              <w:rPr>
                <w:rFonts w:asciiTheme="minorBidi" w:hAnsiTheme="minorBidi" w:cstheme="minorBidi"/>
                <w:b/>
                <w:bCs/>
                <w:color w:val="365F91" w:themeColor="accent1" w:themeShade="BF"/>
                <w:sz w:val="20"/>
                <w:szCs w:val="20"/>
                <w:lang w:val="en-GB"/>
              </w:rPr>
              <w:t>building approach</w:t>
            </w:r>
          </w:p>
          <w:p w14:paraId="50964D2C" w14:textId="0E4A038B" w:rsidR="00C82E3A" w:rsidRPr="00552B69" w:rsidRDefault="00C82E3A" w:rsidP="00D75C0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Information sharing to all regions and initiation of the capacity-building process</w:t>
            </w:r>
          </w:p>
          <w:p w14:paraId="15DA7AB0" w14:textId="19A6ED89" w:rsidR="00B97B10" w:rsidRPr="00552B69" w:rsidRDefault="00B97B10" w:rsidP="00D75C0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Operationalization of the Cultural Data Portal</w:t>
            </w:r>
          </w:p>
          <w:p w14:paraId="311B7923" w14:textId="3378DD99" w:rsidR="00C82E3A" w:rsidRPr="00552B69" w:rsidRDefault="00C82E3A" w:rsidP="006C03CE">
            <w:pPr>
              <w:pStyle w:val="Marge"/>
              <w:spacing w:before="120"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Twenty-first session of the Committee (November/December 2026)</w:t>
            </w:r>
          </w:p>
          <w:p w14:paraId="0602F9A0" w14:textId="77777777" w:rsidR="00C82E3A" w:rsidRPr="00552B69" w:rsidRDefault="00C82E3A" w:rsidP="00D75C08">
            <w:pPr>
              <w:pStyle w:val="Marge"/>
              <w:tabs>
                <w:tab w:val="clear" w:pos="567"/>
                <w:tab w:val="left" w:pos="178"/>
              </w:tabs>
              <w:spacing w:beforeLines="20" w:before="48" w:after="0"/>
              <w:rPr>
                <w:rFonts w:asciiTheme="minorBidi" w:hAnsiTheme="minorBidi" w:cstheme="minorBidi"/>
                <w:sz w:val="20"/>
                <w:szCs w:val="20"/>
                <w:lang w:val="en-GB"/>
              </w:rPr>
            </w:pPr>
            <w:r w:rsidRPr="00552B69">
              <w:rPr>
                <w:rFonts w:asciiTheme="minorBidi" w:hAnsiTheme="minorBidi" w:cstheme="minorBidi"/>
                <w:sz w:val="20"/>
                <w:szCs w:val="20"/>
                <w:lang w:val="en-GB"/>
              </w:rPr>
              <w:t>Updates on the periodic reporting exercise</w:t>
            </w:r>
          </w:p>
        </w:tc>
      </w:tr>
      <w:tr w:rsidR="00C82E3A" w:rsidRPr="008645B9" w14:paraId="3666445A" w14:textId="77777777" w:rsidTr="00E51C28">
        <w:tc>
          <w:tcPr>
            <w:tcW w:w="993" w:type="dxa"/>
            <w:vMerge w:val="restart"/>
          </w:tcPr>
          <w:p w14:paraId="1D040074" w14:textId="77777777" w:rsidR="00C82E3A" w:rsidRPr="00552B69" w:rsidRDefault="00C82E3A" w:rsidP="00407E38">
            <w:pPr>
              <w:pStyle w:val="Marge"/>
              <w:spacing w:beforeLines="20" w:before="48" w:after="0"/>
              <w:rPr>
                <w:rFonts w:asciiTheme="minorBidi" w:hAnsiTheme="minorBidi" w:cstheme="minorBidi"/>
                <w:b/>
                <w:bCs/>
                <w:sz w:val="20"/>
                <w:szCs w:val="20"/>
                <w:lang w:val="en-GB"/>
              </w:rPr>
            </w:pPr>
            <w:r w:rsidRPr="00552B69">
              <w:rPr>
                <w:rFonts w:asciiTheme="minorBidi" w:hAnsiTheme="minorBidi" w:cstheme="minorBidi"/>
                <w:b/>
                <w:bCs/>
                <w:sz w:val="20"/>
                <w:szCs w:val="20"/>
                <w:lang w:val="en-GB"/>
              </w:rPr>
              <w:lastRenderedPageBreak/>
              <w:t>2027</w:t>
            </w:r>
          </w:p>
        </w:tc>
        <w:tc>
          <w:tcPr>
            <w:tcW w:w="8640" w:type="dxa"/>
          </w:tcPr>
          <w:p w14:paraId="3D921970" w14:textId="77777777" w:rsidR="00C82E3A" w:rsidRPr="00552B69" w:rsidRDefault="00C82E3A" w:rsidP="006C03CE">
            <w:pPr>
              <w:pStyle w:val="Marge"/>
              <w:keepNext/>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First half of the year</w:t>
            </w:r>
          </w:p>
          <w:p w14:paraId="1D2C6DBF" w14:textId="09263D25" w:rsidR="00B15868" w:rsidRPr="00552B69" w:rsidRDefault="00B15868" w:rsidP="006C03CE">
            <w:pPr>
              <w:pStyle w:val="Marge"/>
              <w:keepNext/>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Capacity</w:t>
            </w:r>
            <w:r w:rsidR="00502A65" w:rsidRPr="00552B69">
              <w:rPr>
                <w:rFonts w:asciiTheme="minorBidi" w:hAnsiTheme="minorBidi" w:cstheme="minorBidi"/>
                <w:b/>
                <w:bCs/>
                <w:color w:val="365F91" w:themeColor="accent1" w:themeShade="BF"/>
                <w:sz w:val="20"/>
                <w:szCs w:val="20"/>
                <w:lang w:val="en-GB"/>
              </w:rPr>
              <w:t>-</w:t>
            </w:r>
            <w:r w:rsidRPr="00552B69">
              <w:rPr>
                <w:rFonts w:asciiTheme="minorBidi" w:hAnsiTheme="minorBidi" w:cstheme="minorBidi"/>
                <w:b/>
                <w:bCs/>
                <w:color w:val="365F91" w:themeColor="accent1" w:themeShade="BF"/>
                <w:sz w:val="20"/>
                <w:szCs w:val="20"/>
                <w:lang w:val="en-GB"/>
              </w:rPr>
              <w:t>building approach</w:t>
            </w:r>
          </w:p>
          <w:p w14:paraId="28E6B97A" w14:textId="0439BCA0" w:rsidR="00C82E3A" w:rsidRPr="00552B69" w:rsidRDefault="007A1A6F" w:rsidP="006C03CE">
            <w:pPr>
              <w:pStyle w:val="Marge"/>
              <w:keepNext/>
              <w:spacing w:beforeLines="20" w:before="48" w:after="0"/>
              <w:rPr>
                <w:rFonts w:asciiTheme="minorBidi" w:hAnsiTheme="minorBidi" w:cstheme="minorBidi"/>
                <w:b/>
                <w:bCs/>
                <w:sz w:val="20"/>
                <w:szCs w:val="20"/>
                <w:lang w:val="en-GB"/>
              </w:rPr>
            </w:pPr>
            <w:r w:rsidRPr="00552B69">
              <w:rPr>
                <w:rFonts w:asciiTheme="minorBidi" w:hAnsiTheme="minorBidi" w:cstheme="minorBidi"/>
                <w:sz w:val="20"/>
                <w:szCs w:val="20"/>
                <w:lang w:val="en-GB"/>
              </w:rPr>
              <w:t>Information sharing and c</w:t>
            </w:r>
            <w:r w:rsidR="00B15868" w:rsidRPr="00552B69">
              <w:rPr>
                <w:rFonts w:asciiTheme="minorBidi" w:hAnsiTheme="minorBidi" w:cstheme="minorBidi"/>
                <w:sz w:val="20"/>
                <w:szCs w:val="20"/>
                <w:lang w:val="en-GB"/>
              </w:rPr>
              <w:t xml:space="preserve">ontinuation of </w:t>
            </w:r>
            <w:r w:rsidRPr="00552B69">
              <w:rPr>
                <w:rFonts w:asciiTheme="minorBidi" w:hAnsiTheme="minorBidi" w:cstheme="minorBidi"/>
                <w:sz w:val="20"/>
                <w:szCs w:val="20"/>
                <w:lang w:val="en-GB"/>
              </w:rPr>
              <w:t xml:space="preserve">the </w:t>
            </w:r>
            <w:r w:rsidR="00C82E3A" w:rsidRPr="00552B69">
              <w:rPr>
                <w:rFonts w:asciiTheme="minorBidi" w:hAnsiTheme="minorBidi" w:cstheme="minorBidi"/>
                <w:sz w:val="20"/>
                <w:szCs w:val="20"/>
                <w:lang w:val="en-GB"/>
              </w:rPr>
              <w:t xml:space="preserve">capacity-building </w:t>
            </w:r>
            <w:r w:rsidR="00B15868" w:rsidRPr="00552B69">
              <w:rPr>
                <w:rFonts w:asciiTheme="minorBidi" w:hAnsiTheme="minorBidi" w:cstheme="minorBidi"/>
                <w:sz w:val="20"/>
                <w:szCs w:val="20"/>
                <w:lang w:val="en-GB"/>
              </w:rPr>
              <w:t>process</w:t>
            </w:r>
          </w:p>
        </w:tc>
      </w:tr>
      <w:tr w:rsidR="00C82E3A" w:rsidRPr="008645B9" w14:paraId="08DFCC8E" w14:textId="77777777" w:rsidTr="00E51C28">
        <w:trPr>
          <w:trHeight w:val="469"/>
        </w:trPr>
        <w:tc>
          <w:tcPr>
            <w:tcW w:w="993" w:type="dxa"/>
            <w:vMerge/>
          </w:tcPr>
          <w:p w14:paraId="0C591208" w14:textId="77777777" w:rsidR="00C82E3A" w:rsidRPr="00552B69" w:rsidRDefault="00C82E3A" w:rsidP="00407E38">
            <w:pPr>
              <w:pStyle w:val="Marge"/>
              <w:spacing w:beforeLines="20" w:before="48" w:after="0"/>
              <w:rPr>
                <w:rFonts w:asciiTheme="minorBidi" w:hAnsiTheme="minorBidi" w:cstheme="minorBidi"/>
                <w:b/>
                <w:bCs/>
                <w:sz w:val="20"/>
                <w:szCs w:val="20"/>
                <w:lang w:val="en-GB"/>
              </w:rPr>
            </w:pPr>
          </w:p>
        </w:tc>
        <w:tc>
          <w:tcPr>
            <w:tcW w:w="8640" w:type="dxa"/>
            <w:shd w:val="clear" w:color="auto" w:fill="F2DBDB" w:themeFill="accent2" w:themeFillTint="33"/>
          </w:tcPr>
          <w:p w14:paraId="50156E82" w14:textId="77777777" w:rsidR="00C82E3A" w:rsidRPr="00552B69" w:rsidRDefault="00C82E3A"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30 June 2027</w:t>
            </w:r>
          </w:p>
          <w:p w14:paraId="613D5481" w14:textId="77777777" w:rsidR="00C82E3A" w:rsidRPr="00552B69" w:rsidRDefault="00C82E3A" w:rsidP="00407E38">
            <w:pPr>
              <w:pStyle w:val="Marge"/>
              <w:spacing w:beforeLines="20" w:before="48" w:after="0"/>
              <w:rPr>
                <w:rFonts w:asciiTheme="minorBidi" w:hAnsiTheme="minorBidi" w:cstheme="minorBidi"/>
                <w:sz w:val="20"/>
                <w:szCs w:val="20"/>
                <w:lang w:val="en-GB"/>
              </w:rPr>
            </w:pPr>
            <w:r w:rsidRPr="00552B69">
              <w:rPr>
                <w:rFonts w:asciiTheme="minorBidi" w:hAnsiTheme="minorBidi" w:cstheme="minorBidi"/>
                <w:sz w:val="20"/>
                <w:szCs w:val="20"/>
                <w:lang w:val="en-GB"/>
              </w:rPr>
              <w:t>Single global submission of periodic reports</w:t>
            </w:r>
          </w:p>
        </w:tc>
      </w:tr>
      <w:tr w:rsidR="00C82E3A" w:rsidRPr="008645B9" w14:paraId="5F1DDDF4" w14:textId="77777777" w:rsidTr="00E51C28">
        <w:tc>
          <w:tcPr>
            <w:tcW w:w="993" w:type="dxa"/>
            <w:vMerge/>
          </w:tcPr>
          <w:p w14:paraId="0CB72873" w14:textId="77777777" w:rsidR="00C82E3A" w:rsidRPr="00552B69" w:rsidRDefault="00C82E3A" w:rsidP="00407E38">
            <w:pPr>
              <w:pStyle w:val="Marge"/>
              <w:spacing w:beforeLines="20" w:before="48" w:after="0"/>
              <w:rPr>
                <w:rFonts w:asciiTheme="minorBidi" w:hAnsiTheme="minorBidi" w:cstheme="minorBidi"/>
                <w:b/>
                <w:bCs/>
                <w:sz w:val="20"/>
                <w:szCs w:val="20"/>
                <w:lang w:val="en-GB"/>
              </w:rPr>
            </w:pPr>
          </w:p>
        </w:tc>
        <w:tc>
          <w:tcPr>
            <w:tcW w:w="8640" w:type="dxa"/>
          </w:tcPr>
          <w:p w14:paraId="73E71C5F" w14:textId="4E98229A" w:rsidR="003C66D1" w:rsidRPr="00552B69" w:rsidRDefault="003C66D1" w:rsidP="003C66D1">
            <w:pPr>
              <w:pStyle w:val="Marge"/>
              <w:keepNext/>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Second half of the year</w:t>
            </w:r>
          </w:p>
          <w:p w14:paraId="38371482" w14:textId="77777777" w:rsidR="003C66D1" w:rsidRPr="00552B69" w:rsidRDefault="003C66D1" w:rsidP="003C66D1">
            <w:pPr>
              <w:pStyle w:val="Marge"/>
              <w:spacing w:beforeLines="20" w:before="48" w:after="0"/>
              <w:rPr>
                <w:rFonts w:asciiTheme="minorBidi" w:hAnsiTheme="minorBidi" w:cstheme="minorBidi"/>
                <w:sz w:val="20"/>
                <w:szCs w:val="20"/>
                <w:lang w:val="en-GB"/>
              </w:rPr>
            </w:pPr>
            <w:r w:rsidRPr="00552B69">
              <w:rPr>
                <w:rFonts w:asciiTheme="minorBidi" w:hAnsiTheme="minorBidi" w:cstheme="minorBidi"/>
                <w:sz w:val="20"/>
                <w:szCs w:val="20"/>
                <w:lang w:val="en-GB"/>
              </w:rPr>
              <w:t>Analysis of periodic reports following the single global submission of periodic reports</w:t>
            </w:r>
          </w:p>
          <w:p w14:paraId="6997747B" w14:textId="0B03FB79" w:rsidR="00C82E3A" w:rsidRPr="00552B69" w:rsidRDefault="00C82E3A"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Twenty-second session of the Committee (November/December 2027)</w:t>
            </w:r>
          </w:p>
          <w:p w14:paraId="725C6F11" w14:textId="77777777" w:rsidR="00C82E3A" w:rsidRPr="00552B69" w:rsidRDefault="00C82E3A" w:rsidP="00D75C08">
            <w:pPr>
              <w:pStyle w:val="Marge"/>
              <w:tabs>
                <w:tab w:val="clear" w:pos="567"/>
                <w:tab w:val="left" w:pos="178"/>
              </w:tabs>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sz w:val="20"/>
                <w:szCs w:val="20"/>
                <w:lang w:val="en-GB"/>
              </w:rPr>
              <w:t>Updates on the periodic reporting exercise</w:t>
            </w:r>
          </w:p>
        </w:tc>
      </w:tr>
      <w:tr w:rsidR="00C82E3A" w:rsidRPr="008645B9" w14:paraId="6060AF8C" w14:textId="77777777" w:rsidTr="00E51C28">
        <w:trPr>
          <w:trHeight w:val="56"/>
        </w:trPr>
        <w:tc>
          <w:tcPr>
            <w:tcW w:w="993" w:type="dxa"/>
          </w:tcPr>
          <w:p w14:paraId="17D8C05F" w14:textId="77777777" w:rsidR="00C82E3A" w:rsidRPr="00552B69" w:rsidRDefault="00C82E3A" w:rsidP="00407E38">
            <w:pPr>
              <w:pStyle w:val="Marge"/>
              <w:spacing w:beforeLines="20" w:before="48" w:after="0"/>
              <w:rPr>
                <w:rFonts w:asciiTheme="minorBidi" w:hAnsiTheme="minorBidi" w:cstheme="minorBidi"/>
                <w:b/>
                <w:bCs/>
                <w:sz w:val="20"/>
                <w:szCs w:val="20"/>
                <w:lang w:val="en-GB"/>
              </w:rPr>
            </w:pPr>
            <w:r w:rsidRPr="00552B69">
              <w:rPr>
                <w:rFonts w:asciiTheme="minorBidi" w:hAnsiTheme="minorBidi" w:cstheme="minorBidi"/>
                <w:b/>
                <w:bCs/>
                <w:sz w:val="20"/>
                <w:szCs w:val="20"/>
                <w:lang w:val="en-GB"/>
              </w:rPr>
              <w:t>2028</w:t>
            </w:r>
          </w:p>
        </w:tc>
        <w:tc>
          <w:tcPr>
            <w:tcW w:w="8640" w:type="dxa"/>
            <w:shd w:val="clear" w:color="auto" w:fill="FFFFFF" w:themeFill="background1"/>
          </w:tcPr>
          <w:p w14:paraId="7158B11C" w14:textId="77777777" w:rsidR="00C82E3A" w:rsidRPr="00552B69" w:rsidRDefault="00C82E3A"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Throughout the year</w:t>
            </w:r>
          </w:p>
          <w:p w14:paraId="728F6CA4" w14:textId="77777777" w:rsidR="00C82E3A" w:rsidRPr="00552B69" w:rsidRDefault="00C82E3A" w:rsidP="00407E38">
            <w:pPr>
              <w:pStyle w:val="Marge"/>
              <w:spacing w:beforeLines="20" w:before="48" w:after="0"/>
              <w:rPr>
                <w:rFonts w:asciiTheme="minorBidi" w:hAnsiTheme="minorBidi" w:cstheme="minorBidi"/>
                <w:sz w:val="20"/>
                <w:szCs w:val="20"/>
                <w:lang w:val="en-GB"/>
              </w:rPr>
            </w:pPr>
            <w:r w:rsidRPr="00552B69">
              <w:rPr>
                <w:rFonts w:asciiTheme="minorBidi" w:hAnsiTheme="minorBidi" w:cstheme="minorBidi"/>
                <w:sz w:val="20"/>
                <w:szCs w:val="20"/>
                <w:lang w:val="en-GB"/>
              </w:rPr>
              <w:t>Analysis of periodic reports following the single global submission of periodic reports</w:t>
            </w:r>
          </w:p>
          <w:p w14:paraId="0347B7F5" w14:textId="0F062A8A" w:rsidR="00C82E3A" w:rsidRPr="00552B69" w:rsidRDefault="00C82E3A"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Twenty-third session of the Committee (November/December 2028)</w:t>
            </w:r>
          </w:p>
          <w:p w14:paraId="1CCE3B67" w14:textId="77777777" w:rsidR="00C82E3A" w:rsidRPr="00552B69"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Updates on the periodic reporting exercise</w:t>
            </w:r>
          </w:p>
          <w:p w14:paraId="7168E687" w14:textId="5A430F1B" w:rsidR="003C66D1" w:rsidRPr="00552B69" w:rsidRDefault="003C66D1"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Examination of reports from two regions</w:t>
            </w:r>
          </w:p>
        </w:tc>
      </w:tr>
      <w:tr w:rsidR="003C66D1" w:rsidRPr="008645B9" w14:paraId="3B2F681A" w14:textId="77777777" w:rsidTr="00E51C28">
        <w:tc>
          <w:tcPr>
            <w:tcW w:w="993" w:type="dxa"/>
            <w:vMerge w:val="restart"/>
          </w:tcPr>
          <w:p w14:paraId="3C19439F" w14:textId="2FD039FD" w:rsidR="003C66D1" w:rsidRPr="00552B69" w:rsidRDefault="003C66D1" w:rsidP="00407E38">
            <w:pPr>
              <w:pStyle w:val="Marge"/>
              <w:spacing w:beforeLines="20" w:before="48" w:after="0"/>
              <w:rPr>
                <w:rFonts w:asciiTheme="minorBidi" w:hAnsiTheme="minorBidi" w:cstheme="minorBidi"/>
                <w:b/>
                <w:bCs/>
                <w:sz w:val="20"/>
                <w:szCs w:val="20"/>
                <w:lang w:val="en-GB"/>
              </w:rPr>
            </w:pPr>
            <w:r w:rsidRPr="00552B69">
              <w:rPr>
                <w:rFonts w:asciiTheme="minorBidi" w:hAnsiTheme="minorBidi" w:cstheme="minorBidi"/>
                <w:b/>
                <w:bCs/>
                <w:sz w:val="20"/>
                <w:szCs w:val="20"/>
                <w:lang w:val="en-GB"/>
              </w:rPr>
              <w:t>2029</w:t>
            </w:r>
          </w:p>
        </w:tc>
        <w:tc>
          <w:tcPr>
            <w:tcW w:w="8640" w:type="dxa"/>
            <w:shd w:val="clear" w:color="auto" w:fill="FFFFFF" w:themeFill="background1"/>
          </w:tcPr>
          <w:p w14:paraId="3B6DCE9D" w14:textId="77777777" w:rsidR="003C66D1" w:rsidRPr="00552B69" w:rsidRDefault="003C66D1" w:rsidP="00991040">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Throughout the year</w:t>
            </w:r>
          </w:p>
          <w:p w14:paraId="3043FC36" w14:textId="65B516B8" w:rsidR="003C66D1" w:rsidRPr="00552B69" w:rsidRDefault="003C66D1" w:rsidP="003F6D2B">
            <w:pPr>
              <w:pStyle w:val="Marge"/>
              <w:spacing w:beforeLines="20" w:before="48" w:after="60"/>
              <w:rPr>
                <w:rFonts w:asciiTheme="minorBidi" w:hAnsiTheme="minorBidi" w:cstheme="minorBidi"/>
                <w:sz w:val="20"/>
                <w:szCs w:val="20"/>
                <w:lang w:val="en-GB"/>
              </w:rPr>
            </w:pPr>
            <w:r w:rsidRPr="00552B69">
              <w:rPr>
                <w:rFonts w:asciiTheme="minorBidi" w:hAnsiTheme="minorBidi" w:cstheme="minorBidi"/>
                <w:sz w:val="20"/>
                <w:szCs w:val="20"/>
                <w:lang w:val="en-GB"/>
              </w:rPr>
              <w:t>Analysis of periodic reports following the single global submission of periodic reports</w:t>
            </w:r>
          </w:p>
        </w:tc>
      </w:tr>
      <w:tr w:rsidR="003C66D1" w:rsidRPr="008645B9" w14:paraId="0606A2C3" w14:textId="77777777" w:rsidTr="00E51C28">
        <w:tc>
          <w:tcPr>
            <w:tcW w:w="993" w:type="dxa"/>
            <w:vMerge/>
          </w:tcPr>
          <w:p w14:paraId="783B6AFE" w14:textId="0D8E86A6" w:rsidR="003C66D1" w:rsidRPr="00552B69" w:rsidRDefault="003C66D1" w:rsidP="00407E38">
            <w:pPr>
              <w:pStyle w:val="Marge"/>
              <w:spacing w:beforeLines="20" w:before="48" w:after="0"/>
              <w:rPr>
                <w:rFonts w:asciiTheme="minorBidi" w:hAnsiTheme="minorBidi" w:cstheme="minorBidi"/>
                <w:b/>
                <w:bCs/>
                <w:sz w:val="20"/>
                <w:szCs w:val="20"/>
                <w:lang w:val="en-GB"/>
              </w:rPr>
            </w:pPr>
          </w:p>
        </w:tc>
        <w:tc>
          <w:tcPr>
            <w:tcW w:w="8640" w:type="dxa"/>
            <w:shd w:val="clear" w:color="auto" w:fill="DAEEF3" w:themeFill="accent5" w:themeFillTint="33"/>
          </w:tcPr>
          <w:p w14:paraId="1A848A03" w14:textId="77777777" w:rsidR="003C66D1" w:rsidRPr="00552B69" w:rsidRDefault="003C66D1" w:rsidP="00407E38">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Second half of the year</w:t>
            </w:r>
          </w:p>
          <w:p w14:paraId="69AF52C1" w14:textId="31DEB54F" w:rsidR="003C66D1" w:rsidRPr="00552B69" w:rsidRDefault="003C66D1" w:rsidP="00407E38">
            <w:pPr>
              <w:pStyle w:val="Marge"/>
              <w:spacing w:beforeLines="20" w:before="48" w:after="0"/>
              <w:rPr>
                <w:rFonts w:asciiTheme="minorBidi" w:hAnsiTheme="minorBidi" w:cstheme="minorBidi"/>
                <w:sz w:val="20"/>
                <w:szCs w:val="20"/>
                <w:lang w:val="en-GB"/>
              </w:rPr>
            </w:pPr>
            <w:r w:rsidRPr="00552B69">
              <w:rPr>
                <w:rFonts w:asciiTheme="minorBidi" w:hAnsiTheme="minorBidi" w:cstheme="minorBidi"/>
                <w:b/>
                <w:bCs/>
                <w:sz w:val="20"/>
                <w:szCs w:val="20"/>
                <w:lang w:val="en-GB"/>
              </w:rPr>
              <w:t>Publication of the second edition of</w:t>
            </w:r>
            <w:r w:rsidR="00502A65" w:rsidRPr="00552B69">
              <w:rPr>
                <w:rFonts w:asciiTheme="minorBidi" w:hAnsiTheme="minorBidi" w:cstheme="minorBidi"/>
                <w:b/>
                <w:bCs/>
                <w:sz w:val="20"/>
                <w:szCs w:val="20"/>
                <w:lang w:val="en-GB"/>
              </w:rPr>
              <w:t xml:space="preserve"> the</w:t>
            </w:r>
            <w:r w:rsidRPr="00552B69">
              <w:rPr>
                <w:rFonts w:asciiTheme="minorBidi" w:hAnsiTheme="minorBidi" w:cstheme="minorBidi"/>
                <w:b/>
                <w:bCs/>
                <w:sz w:val="20"/>
                <w:szCs w:val="20"/>
                <w:lang w:val="en-GB"/>
              </w:rPr>
              <w:t xml:space="preserve"> Global Report on Cultural Policies</w:t>
            </w:r>
          </w:p>
        </w:tc>
      </w:tr>
      <w:tr w:rsidR="003C66D1" w:rsidRPr="008645B9" w14:paraId="61BDAF2B" w14:textId="77777777" w:rsidTr="00E51C28">
        <w:tc>
          <w:tcPr>
            <w:tcW w:w="993" w:type="dxa"/>
            <w:vMerge/>
          </w:tcPr>
          <w:p w14:paraId="274EE9B6" w14:textId="77777777" w:rsidR="003C66D1" w:rsidRPr="00552B69" w:rsidRDefault="003C66D1" w:rsidP="00407E38">
            <w:pPr>
              <w:pStyle w:val="Marge"/>
              <w:spacing w:beforeLines="20" w:before="48" w:after="0"/>
              <w:rPr>
                <w:rFonts w:asciiTheme="minorBidi" w:hAnsiTheme="minorBidi" w:cstheme="minorBidi"/>
                <w:b/>
                <w:bCs/>
                <w:sz w:val="20"/>
                <w:szCs w:val="20"/>
                <w:lang w:val="en-GB"/>
              </w:rPr>
            </w:pPr>
          </w:p>
        </w:tc>
        <w:tc>
          <w:tcPr>
            <w:tcW w:w="8640" w:type="dxa"/>
            <w:shd w:val="clear" w:color="auto" w:fill="FFFFFF" w:themeFill="background1"/>
          </w:tcPr>
          <w:p w14:paraId="6829ABC4" w14:textId="1F43DECC" w:rsidR="003C66D1" w:rsidRPr="00552B69" w:rsidRDefault="003C66D1" w:rsidP="003C66D1">
            <w:pPr>
              <w:pStyle w:val="Marge"/>
              <w:spacing w:beforeLines="20" w:before="48" w:after="0"/>
              <w:rPr>
                <w:rFonts w:asciiTheme="minorBidi" w:hAnsiTheme="minorBidi" w:cstheme="minorBidi"/>
                <w:b/>
                <w:bCs/>
                <w:color w:val="365F91" w:themeColor="accent1" w:themeShade="BF"/>
                <w:sz w:val="20"/>
                <w:szCs w:val="20"/>
                <w:lang w:val="en-GB"/>
              </w:rPr>
            </w:pPr>
            <w:r w:rsidRPr="00552B69">
              <w:rPr>
                <w:rFonts w:asciiTheme="minorBidi" w:hAnsiTheme="minorBidi" w:cstheme="minorBidi"/>
                <w:b/>
                <w:bCs/>
                <w:color w:val="365F91" w:themeColor="accent1" w:themeShade="BF"/>
                <w:sz w:val="20"/>
                <w:szCs w:val="20"/>
                <w:lang w:val="en-GB"/>
              </w:rPr>
              <w:t>Twenty-</w:t>
            </w:r>
            <w:r w:rsidR="0079580F" w:rsidRPr="00552B69">
              <w:rPr>
                <w:rFonts w:asciiTheme="minorBidi" w:hAnsiTheme="minorBidi" w:cstheme="minorBidi"/>
                <w:b/>
                <w:bCs/>
                <w:color w:val="365F91" w:themeColor="accent1" w:themeShade="BF"/>
                <w:sz w:val="20"/>
                <w:szCs w:val="20"/>
                <w:lang w:val="en-GB"/>
              </w:rPr>
              <w:t>fourth</w:t>
            </w:r>
            <w:r w:rsidRPr="00552B69">
              <w:rPr>
                <w:rFonts w:asciiTheme="minorBidi" w:hAnsiTheme="minorBidi" w:cstheme="minorBidi"/>
                <w:b/>
                <w:bCs/>
                <w:color w:val="365F91" w:themeColor="accent1" w:themeShade="BF"/>
                <w:sz w:val="20"/>
                <w:szCs w:val="20"/>
                <w:lang w:val="en-GB"/>
              </w:rPr>
              <w:t xml:space="preserve"> session of the Committee (November/December 202</w:t>
            </w:r>
            <w:r w:rsidR="0079580F" w:rsidRPr="00552B69">
              <w:rPr>
                <w:rFonts w:asciiTheme="minorBidi" w:hAnsiTheme="minorBidi" w:cstheme="minorBidi"/>
                <w:b/>
                <w:bCs/>
                <w:color w:val="365F91" w:themeColor="accent1" w:themeShade="BF"/>
                <w:sz w:val="20"/>
                <w:szCs w:val="20"/>
                <w:lang w:val="en-GB"/>
              </w:rPr>
              <w:t>9</w:t>
            </w:r>
            <w:r w:rsidRPr="00552B69">
              <w:rPr>
                <w:rFonts w:asciiTheme="minorBidi" w:hAnsiTheme="minorBidi" w:cstheme="minorBidi"/>
                <w:b/>
                <w:bCs/>
                <w:color w:val="365F91" w:themeColor="accent1" w:themeShade="BF"/>
                <w:sz w:val="20"/>
                <w:szCs w:val="20"/>
                <w:lang w:val="en-GB"/>
              </w:rPr>
              <w:t>)</w:t>
            </w:r>
          </w:p>
          <w:p w14:paraId="35E9D723" w14:textId="77777777" w:rsidR="003C66D1" w:rsidRPr="00552B69" w:rsidRDefault="003C66D1" w:rsidP="003C66D1">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lang w:val="en-GB"/>
              </w:rPr>
            </w:pPr>
            <w:r w:rsidRPr="00552B69">
              <w:rPr>
                <w:rFonts w:asciiTheme="minorBidi" w:hAnsiTheme="minorBidi" w:cstheme="minorBidi"/>
                <w:sz w:val="20"/>
                <w:szCs w:val="20"/>
                <w:lang w:val="en-GB"/>
              </w:rPr>
              <w:t>Updates on the periodic reporting exercise</w:t>
            </w:r>
          </w:p>
          <w:p w14:paraId="1968BA3F" w14:textId="053F4C35" w:rsidR="003C66D1" w:rsidRPr="00552B69" w:rsidRDefault="003C66D1" w:rsidP="006C03CE">
            <w:pPr>
              <w:pStyle w:val="Marge"/>
              <w:numPr>
                <w:ilvl w:val="0"/>
                <w:numId w:val="10"/>
              </w:numPr>
              <w:tabs>
                <w:tab w:val="clear" w:pos="567"/>
                <w:tab w:val="left" w:pos="178"/>
              </w:tabs>
              <w:spacing w:beforeLines="20" w:before="48" w:after="0"/>
              <w:ind w:left="462" w:hanging="284"/>
              <w:rPr>
                <w:rFonts w:asciiTheme="minorBidi" w:hAnsiTheme="minorBidi" w:cstheme="minorBidi"/>
                <w:b/>
                <w:bCs/>
                <w:color w:val="365F91" w:themeColor="accent1" w:themeShade="BF"/>
                <w:sz w:val="20"/>
                <w:szCs w:val="20"/>
                <w:lang w:val="en-GB"/>
              </w:rPr>
            </w:pPr>
            <w:r w:rsidRPr="00552B69">
              <w:rPr>
                <w:rFonts w:asciiTheme="minorBidi" w:hAnsiTheme="minorBidi" w:cstheme="minorBidi"/>
                <w:sz w:val="20"/>
                <w:szCs w:val="20"/>
                <w:lang w:val="en-GB"/>
              </w:rPr>
              <w:t xml:space="preserve">Examination of reports from </w:t>
            </w:r>
            <w:r w:rsidR="003F6D2B" w:rsidRPr="00552B69">
              <w:rPr>
                <w:rFonts w:asciiTheme="minorBidi" w:hAnsiTheme="minorBidi" w:cstheme="minorBidi"/>
                <w:sz w:val="20"/>
                <w:szCs w:val="20"/>
                <w:lang w:val="en-GB"/>
              </w:rPr>
              <w:t xml:space="preserve">three </w:t>
            </w:r>
            <w:r w:rsidRPr="00552B69">
              <w:rPr>
                <w:rFonts w:asciiTheme="minorBidi" w:hAnsiTheme="minorBidi" w:cstheme="minorBidi"/>
                <w:sz w:val="20"/>
                <w:szCs w:val="20"/>
                <w:lang w:val="en-GB"/>
              </w:rPr>
              <w:t>regions</w:t>
            </w:r>
          </w:p>
        </w:tc>
      </w:tr>
      <w:bookmarkEnd w:id="3"/>
    </w:tbl>
    <w:p w14:paraId="09D667E0" w14:textId="77777777" w:rsidR="00C82E3A" w:rsidRPr="00552B69" w:rsidRDefault="00C82E3A" w:rsidP="00987DA9">
      <w:pPr>
        <w:pStyle w:val="COMParaDecision"/>
        <w:numPr>
          <w:ilvl w:val="0"/>
          <w:numId w:val="0"/>
        </w:numPr>
        <w:rPr>
          <w:u w:val="none"/>
        </w:rPr>
      </w:pPr>
    </w:p>
    <w:sectPr w:rsidR="00C82E3A" w:rsidRPr="00552B69" w:rsidSect="00655736">
      <w:headerReference w:type="even" r:id="rId25"/>
      <w:headerReference w:type="default" r:id="rId26"/>
      <w:headerReference w:type="first" r:id="rId2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3BE06" w14:textId="77777777" w:rsidR="00047499" w:rsidRDefault="00047499" w:rsidP="00655736">
      <w:r>
        <w:separator/>
      </w:r>
    </w:p>
  </w:endnote>
  <w:endnote w:type="continuationSeparator" w:id="0">
    <w:p w14:paraId="3A4F6574" w14:textId="77777777" w:rsidR="00047499" w:rsidRDefault="0004749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8527F" w14:textId="77777777" w:rsidR="00047499" w:rsidRDefault="00047499" w:rsidP="00655736">
      <w:r>
        <w:separator/>
      </w:r>
    </w:p>
  </w:footnote>
  <w:footnote w:type="continuationSeparator" w:id="0">
    <w:p w14:paraId="4FFDF6AE" w14:textId="77777777" w:rsidR="00047499" w:rsidRDefault="00047499" w:rsidP="00655736">
      <w:r>
        <w:continuationSeparator/>
      </w:r>
    </w:p>
  </w:footnote>
  <w:footnote w:id="1">
    <w:p w14:paraId="7A046DCF" w14:textId="1C212BF2" w:rsidR="00A531EF" w:rsidRPr="006C03CE" w:rsidRDefault="00A531EF" w:rsidP="00552B69">
      <w:pPr>
        <w:pStyle w:val="COMPara"/>
        <w:numPr>
          <w:ilvl w:val="0"/>
          <w:numId w:val="0"/>
        </w:numPr>
        <w:spacing w:after="60"/>
        <w:jc w:val="both"/>
        <w:rPr>
          <w:sz w:val="18"/>
          <w:szCs w:val="18"/>
        </w:rPr>
      </w:pPr>
      <w:r w:rsidRPr="0048045D">
        <w:rPr>
          <w:rStyle w:val="Appelnotedebasdep"/>
          <w:sz w:val="18"/>
          <w:szCs w:val="18"/>
        </w:rPr>
        <w:footnoteRef/>
      </w:r>
      <w:r w:rsidR="00D75C08">
        <w:rPr>
          <w:sz w:val="18"/>
          <w:szCs w:val="18"/>
        </w:rPr>
        <w:t xml:space="preserve"> </w:t>
      </w:r>
      <w:r w:rsidRPr="0048045D">
        <w:rPr>
          <w:sz w:val="18"/>
          <w:szCs w:val="18"/>
        </w:rPr>
        <w:t>The ‘analytical overview’ of periodic reports was examined by the sixteenth session of the Committee (</w:t>
      </w:r>
      <w:r w:rsidRPr="0048045D">
        <w:rPr>
          <w:rFonts w:asciiTheme="minorBidi" w:hAnsiTheme="minorBidi" w:cstheme="minorBidi"/>
          <w:color w:val="000000" w:themeColor="text1"/>
          <w:sz w:val="18"/>
          <w:szCs w:val="18"/>
        </w:rPr>
        <w:t xml:space="preserve">Decision </w:t>
      </w:r>
      <w:hyperlink r:id="rId1" w:history="1">
        <w:r w:rsidRPr="0048045D">
          <w:rPr>
            <w:rStyle w:val="Lienhypertexte"/>
            <w:rFonts w:asciiTheme="minorBidi" w:hAnsiTheme="minorBidi" w:cstheme="minorBidi"/>
            <w:sz w:val="18"/>
            <w:szCs w:val="18"/>
          </w:rPr>
          <w:t>16.COM 7.b</w:t>
        </w:r>
      </w:hyperlink>
      <w:r w:rsidRPr="0048045D">
        <w:rPr>
          <w:rFonts w:asciiTheme="minorBidi" w:hAnsiTheme="minorBidi" w:cstheme="minorBidi"/>
          <w:color w:val="000000" w:themeColor="text1"/>
          <w:sz w:val="18"/>
          <w:szCs w:val="18"/>
        </w:rPr>
        <w:t xml:space="preserve"> and Annex I of document </w:t>
      </w:r>
      <w:hyperlink r:id="rId2" w:history="1">
        <w:r w:rsidRPr="0048045D">
          <w:rPr>
            <w:rStyle w:val="Lienhypertexte"/>
            <w:rFonts w:asciiTheme="minorBidi" w:hAnsiTheme="minorBidi" w:cstheme="minorBidi"/>
            <w:sz w:val="18"/>
            <w:szCs w:val="18"/>
          </w:rPr>
          <w:t>LHE/21/16.COM/7.b</w:t>
        </w:r>
      </w:hyperlink>
      <w:r w:rsidRPr="0048045D">
        <w:rPr>
          <w:rFonts w:asciiTheme="minorBidi" w:hAnsiTheme="minorBidi" w:cstheme="minorBidi"/>
          <w:color w:val="000000" w:themeColor="text1"/>
          <w:sz w:val="18"/>
          <w:szCs w:val="18"/>
        </w:rPr>
        <w:t xml:space="preserve">), while a comprehensive ‘Analytical </w:t>
      </w:r>
      <w:r w:rsidRPr="0048045D">
        <w:rPr>
          <w:sz w:val="18"/>
          <w:szCs w:val="18"/>
        </w:rPr>
        <w:t>report on the first cycle of periodic reporting under the 2003 Convention by States Parties in Latin America and the Caribbean’ was then presented to the seventeenth session of the Committee in 2022 (</w:t>
      </w:r>
      <w:r w:rsidRPr="0048045D">
        <w:rPr>
          <w:rFonts w:asciiTheme="minorBidi" w:hAnsiTheme="minorBidi" w:cstheme="minorBidi"/>
          <w:color w:val="000000" w:themeColor="text1"/>
          <w:sz w:val="18"/>
          <w:szCs w:val="18"/>
        </w:rPr>
        <w:t>document </w:t>
      </w:r>
      <w:hyperlink r:id="rId3" w:history="1">
        <w:r w:rsidRPr="0048045D">
          <w:rPr>
            <w:rStyle w:val="Lienhypertexte"/>
            <w:rFonts w:asciiTheme="minorBidi" w:hAnsiTheme="minorBidi" w:cstheme="minorBidi"/>
            <w:sz w:val="18"/>
            <w:szCs w:val="18"/>
          </w:rPr>
          <w:t>LHE/22/17.COM/INF.6.c</w:t>
        </w:r>
      </w:hyperlink>
      <w:r w:rsidRPr="0048045D">
        <w:rPr>
          <w:rFonts w:asciiTheme="minorBidi" w:hAnsiTheme="minorBidi" w:cstheme="minorBidi"/>
          <w:color w:val="000000" w:themeColor="text1"/>
          <w:sz w:val="18"/>
          <w:szCs w:val="18"/>
        </w:rPr>
        <w:t>).</w:t>
      </w:r>
    </w:p>
  </w:footnote>
  <w:footnote w:id="2">
    <w:p w14:paraId="496EC5F8" w14:textId="203A09E8" w:rsidR="00623B97" w:rsidRPr="00623B97" w:rsidRDefault="00623B97" w:rsidP="00552B69">
      <w:pPr>
        <w:pStyle w:val="COMPara"/>
        <w:numPr>
          <w:ilvl w:val="0"/>
          <w:numId w:val="0"/>
        </w:numPr>
        <w:spacing w:after="60"/>
        <w:jc w:val="both"/>
      </w:pPr>
      <w:r w:rsidRPr="00D75C08">
        <w:rPr>
          <w:rStyle w:val="Appelnotedebasdep"/>
          <w:sz w:val="18"/>
          <w:szCs w:val="18"/>
        </w:rPr>
        <w:footnoteRef/>
      </w:r>
      <w:r w:rsidR="00D75C08">
        <w:rPr>
          <w:sz w:val="18"/>
          <w:szCs w:val="18"/>
          <w:vertAlign w:val="superscript"/>
        </w:rPr>
        <w:t xml:space="preserve"> </w:t>
      </w:r>
      <w:r w:rsidRPr="006C03CE">
        <w:rPr>
          <w:sz w:val="18"/>
          <w:szCs w:val="18"/>
        </w:rPr>
        <w:t xml:space="preserve">The ‘analytical overview’ of the reports was examined by the Committee at its seventeenth session (Decision </w:t>
      </w:r>
      <w:hyperlink r:id="rId4" w:history="1">
        <w:r w:rsidRPr="006C03CE">
          <w:rPr>
            <w:rStyle w:val="Lienhypertexte"/>
            <w:sz w:val="18"/>
            <w:szCs w:val="18"/>
          </w:rPr>
          <w:t>17.COM</w:t>
        </w:r>
        <w:r w:rsidR="00F821EA">
          <w:rPr>
            <w:rStyle w:val="Lienhypertexte"/>
            <w:sz w:val="18"/>
            <w:szCs w:val="18"/>
          </w:rPr>
          <w:t> </w:t>
        </w:r>
        <w:r w:rsidRPr="006C03CE">
          <w:rPr>
            <w:rStyle w:val="Lienhypertexte"/>
            <w:sz w:val="18"/>
            <w:szCs w:val="18"/>
          </w:rPr>
          <w:t>6.b</w:t>
        </w:r>
      </w:hyperlink>
      <w:r w:rsidRPr="006C03CE">
        <w:rPr>
          <w:sz w:val="18"/>
          <w:szCs w:val="18"/>
        </w:rPr>
        <w:t xml:space="preserve"> and Annex I of document </w:t>
      </w:r>
      <w:hyperlink r:id="rId5" w:history="1">
        <w:r w:rsidRPr="006C03CE">
          <w:rPr>
            <w:rStyle w:val="Lienhypertexte"/>
            <w:sz w:val="18"/>
            <w:szCs w:val="18"/>
          </w:rPr>
          <w:t>LHE/22/17.COM/6.b Rev.</w:t>
        </w:r>
      </w:hyperlink>
      <w:r w:rsidRPr="006C03CE">
        <w:rPr>
          <w:sz w:val="18"/>
          <w:szCs w:val="18"/>
        </w:rPr>
        <w:t>)</w:t>
      </w:r>
      <w:r w:rsidRPr="006C03CE">
        <w:rPr>
          <w:color w:val="212121"/>
          <w:sz w:val="18"/>
          <w:szCs w:val="18"/>
          <w:shd w:val="clear" w:color="auto" w:fill="FFFFFF"/>
        </w:rPr>
        <w:t>.</w:t>
      </w:r>
      <w:r w:rsidRPr="006C03CE">
        <w:rPr>
          <w:sz w:val="18"/>
          <w:szCs w:val="18"/>
        </w:rPr>
        <w:t xml:space="preserve"> In 2023, a team of experts set up by the Secretariat produced an </w:t>
      </w:r>
      <w:r w:rsidRPr="006C03CE">
        <w:rPr>
          <w:rFonts w:asciiTheme="minorBidi" w:hAnsiTheme="minorBidi" w:cstheme="minorBidi"/>
          <w:color w:val="000000" w:themeColor="text1"/>
          <w:sz w:val="18"/>
          <w:szCs w:val="18"/>
        </w:rPr>
        <w:t xml:space="preserve">‘Analytical </w:t>
      </w:r>
      <w:r w:rsidRPr="006C03CE">
        <w:rPr>
          <w:sz w:val="18"/>
          <w:szCs w:val="18"/>
        </w:rPr>
        <w:t xml:space="preserve">report on the first cycle of periodic reporting under the 2003 Convention by States Parties in Europe’, for examination by the eighteenth session of the Committee (document </w:t>
      </w:r>
      <w:hyperlink r:id="rId6" w:history="1">
        <w:r w:rsidRPr="006C03CE">
          <w:rPr>
            <w:rStyle w:val="Lienhypertexte"/>
            <w:sz w:val="18"/>
            <w:szCs w:val="18"/>
          </w:rPr>
          <w:t>LHE/23/18.COM/INF.7.c</w:t>
        </w:r>
      </w:hyperlink>
      <w:r w:rsidRPr="006C03CE">
        <w:rPr>
          <w:sz w:val="18"/>
          <w:szCs w:val="18"/>
        </w:rPr>
        <w:t>).</w:t>
      </w:r>
    </w:p>
  </w:footnote>
  <w:footnote w:id="3">
    <w:p w14:paraId="6DC56931" w14:textId="392C4FEF" w:rsidR="00623B97" w:rsidRPr="00552B69" w:rsidRDefault="00623B97" w:rsidP="00552B69">
      <w:pPr>
        <w:pStyle w:val="COMPara"/>
        <w:numPr>
          <w:ilvl w:val="0"/>
          <w:numId w:val="0"/>
        </w:numPr>
        <w:spacing w:after="60"/>
        <w:jc w:val="both"/>
        <w:rPr>
          <w:sz w:val="18"/>
          <w:szCs w:val="18"/>
          <w:u w:val="single"/>
        </w:rPr>
      </w:pPr>
      <w:r w:rsidRPr="006C03CE">
        <w:rPr>
          <w:rStyle w:val="Appelnotedebasdep"/>
          <w:sz w:val="18"/>
          <w:szCs w:val="18"/>
        </w:rPr>
        <w:footnoteRef/>
      </w:r>
      <w:r w:rsidR="00D75C08">
        <w:rPr>
          <w:sz w:val="18"/>
          <w:szCs w:val="18"/>
          <w:vertAlign w:val="superscript"/>
          <w:lang w:val="en-US"/>
        </w:rPr>
        <w:t xml:space="preserve"> </w:t>
      </w:r>
      <w:r w:rsidRPr="006C03CE">
        <w:rPr>
          <w:sz w:val="18"/>
          <w:szCs w:val="18"/>
        </w:rPr>
        <w:t xml:space="preserve">An ‘analytical overview’ of the reports was examined by the Committee at its eighteenth session (Decision </w:t>
      </w:r>
      <w:hyperlink r:id="rId7" w:history="1">
        <w:r w:rsidRPr="006C03CE">
          <w:rPr>
            <w:rStyle w:val="Lienhypertexte"/>
            <w:sz w:val="18"/>
            <w:szCs w:val="18"/>
          </w:rPr>
          <w:t>18.COM</w:t>
        </w:r>
        <w:r w:rsidR="00C04D56">
          <w:rPr>
            <w:rStyle w:val="Lienhypertexte"/>
            <w:sz w:val="18"/>
            <w:szCs w:val="18"/>
          </w:rPr>
          <w:t> </w:t>
        </w:r>
        <w:r w:rsidRPr="006C03CE">
          <w:rPr>
            <w:rStyle w:val="Lienhypertexte"/>
            <w:sz w:val="18"/>
            <w:szCs w:val="18"/>
          </w:rPr>
          <w:t>7.b</w:t>
        </w:r>
      </w:hyperlink>
      <w:r w:rsidRPr="006C03CE">
        <w:rPr>
          <w:sz w:val="18"/>
          <w:szCs w:val="18"/>
        </w:rPr>
        <w:t xml:space="preserve"> and Annex I of the document </w:t>
      </w:r>
      <w:hyperlink r:id="rId8" w:history="1">
        <w:r w:rsidRPr="006C03CE">
          <w:rPr>
            <w:rStyle w:val="Lienhypertexte"/>
            <w:sz w:val="18"/>
            <w:szCs w:val="18"/>
          </w:rPr>
          <w:t>LHE/23/18.COM/7.b Rev.</w:t>
        </w:r>
      </w:hyperlink>
      <w:r w:rsidRPr="006C03CE">
        <w:rPr>
          <w:sz w:val="18"/>
          <w:szCs w:val="18"/>
        </w:rPr>
        <w:t xml:space="preserve">). The present session of the Committee will examine the </w:t>
      </w:r>
      <w:r w:rsidRPr="006C03CE">
        <w:rPr>
          <w:rFonts w:asciiTheme="minorBidi" w:hAnsiTheme="minorBidi" w:cstheme="minorBidi"/>
          <w:color w:val="000000" w:themeColor="text1"/>
          <w:sz w:val="18"/>
          <w:szCs w:val="18"/>
        </w:rPr>
        <w:t xml:space="preserve">‘Analytical </w:t>
      </w:r>
      <w:r w:rsidRPr="00FA19AB">
        <w:rPr>
          <w:sz w:val="18"/>
          <w:szCs w:val="18"/>
        </w:rPr>
        <w:t xml:space="preserve">report on the first cycle of periodic reporting under the 2003 Convention by States Parties in the Arab States’ (document </w:t>
      </w:r>
      <w:hyperlink r:id="rId9" w:history="1">
        <w:r w:rsidRPr="00E51C28">
          <w:rPr>
            <w:rStyle w:val="Lienhypertexte"/>
            <w:sz w:val="18"/>
            <w:szCs w:val="18"/>
          </w:rPr>
          <w:t>LHE/24/19.COM/INF.6.c</w:t>
        </w:r>
      </w:hyperlink>
      <w:r w:rsidRPr="00E51C28">
        <w:rPr>
          <w:sz w:val="18"/>
          <w:szCs w:val="18"/>
        </w:rPr>
        <w:t>).</w:t>
      </w:r>
    </w:p>
  </w:footnote>
  <w:footnote w:id="4">
    <w:p w14:paraId="6016ADF4" w14:textId="5851D877" w:rsidR="00623B97" w:rsidRPr="00901E86" w:rsidRDefault="00623B97" w:rsidP="00552B69">
      <w:pPr>
        <w:pStyle w:val="COMPara"/>
        <w:numPr>
          <w:ilvl w:val="0"/>
          <w:numId w:val="0"/>
        </w:numPr>
        <w:spacing w:after="60"/>
        <w:jc w:val="both"/>
        <w:rPr>
          <w:u w:val="single"/>
        </w:rPr>
      </w:pPr>
      <w:r>
        <w:rPr>
          <w:rStyle w:val="Appelnotedebasdep"/>
        </w:rPr>
        <w:footnoteRef/>
      </w:r>
      <w:r w:rsidR="00D75C08">
        <w:rPr>
          <w:vertAlign w:val="superscript"/>
        </w:rPr>
        <w:t xml:space="preserve"> </w:t>
      </w:r>
      <w:r w:rsidRPr="006C03CE">
        <w:rPr>
          <w:sz w:val="18"/>
          <w:szCs w:val="18"/>
        </w:rPr>
        <w:t xml:space="preserve">The ‘analytical overview’ of the reports is </w:t>
      </w:r>
      <w:r w:rsidRPr="00FA19AB">
        <w:rPr>
          <w:sz w:val="18"/>
          <w:szCs w:val="18"/>
        </w:rPr>
        <w:t xml:space="preserve">presented for examination by the present session of the Committee under Item 6.b of its provisional agenda (document </w:t>
      </w:r>
      <w:hyperlink r:id="rId10" w:history="1">
        <w:r w:rsidRPr="00E51C28">
          <w:rPr>
            <w:rStyle w:val="Lienhypertexte"/>
            <w:sz w:val="18"/>
            <w:szCs w:val="18"/>
          </w:rPr>
          <w:t>LHE/24/19.COM/6.b</w:t>
        </w:r>
      </w:hyperlink>
      <w:r w:rsidRPr="00E51C28">
        <w:rPr>
          <w:sz w:val="18"/>
          <w:szCs w:val="18"/>
        </w:rPr>
        <w:t>).</w:t>
      </w:r>
    </w:p>
    <w:p w14:paraId="24877198" w14:textId="611C41AE" w:rsidR="00623B97" w:rsidRPr="006C03CE" w:rsidRDefault="00623B97" w:rsidP="00552B69">
      <w:pPr>
        <w:pStyle w:val="Notedebasdepage"/>
        <w:spacing w:after="60"/>
        <w:rPr>
          <w:lang w:val="en-GB"/>
        </w:rPr>
      </w:pPr>
    </w:p>
  </w:footnote>
  <w:footnote w:id="5">
    <w:p w14:paraId="043CB490" w14:textId="38984B3B" w:rsidR="001807A2" w:rsidRPr="001807A2" w:rsidRDefault="001807A2" w:rsidP="00552B69">
      <w:pPr>
        <w:pStyle w:val="COMPara"/>
        <w:numPr>
          <w:ilvl w:val="0"/>
          <w:numId w:val="0"/>
        </w:numPr>
        <w:spacing w:after="60"/>
        <w:jc w:val="both"/>
      </w:pPr>
      <w:r>
        <w:rPr>
          <w:rStyle w:val="Appelnotedebasdep"/>
        </w:rPr>
        <w:footnoteRef/>
      </w:r>
      <w:r w:rsidR="00D75C08">
        <w:rPr>
          <w:vertAlign w:val="superscript"/>
        </w:rPr>
        <w:t xml:space="preserve"> </w:t>
      </w:r>
      <w:r w:rsidRPr="006C03CE">
        <w:rPr>
          <w:sz w:val="18"/>
          <w:szCs w:val="18"/>
          <w:lang w:val="en-US"/>
        </w:rPr>
        <w:t>The evaluation was presented to the 219</w:t>
      </w:r>
      <w:r w:rsidRPr="00185C41">
        <w:rPr>
          <w:sz w:val="18"/>
          <w:szCs w:val="18"/>
          <w:lang w:val="en-US"/>
        </w:rPr>
        <w:t>th</w:t>
      </w:r>
      <w:r w:rsidRPr="006C03CE">
        <w:rPr>
          <w:sz w:val="18"/>
          <w:szCs w:val="18"/>
          <w:lang w:val="en-US"/>
        </w:rPr>
        <w:t xml:space="preserve"> session of the Executive Board (Document </w:t>
      </w:r>
      <w:hyperlink r:id="rId11" w:history="1">
        <w:r w:rsidRPr="006C03CE">
          <w:rPr>
            <w:rStyle w:val="Lienhypertexte"/>
            <w:sz w:val="18"/>
            <w:szCs w:val="18"/>
            <w:lang w:val="en-US"/>
          </w:rPr>
          <w:t>219 EX/13</w:t>
        </w:r>
      </w:hyperlink>
      <w:r w:rsidRPr="006C03CE">
        <w:rPr>
          <w:sz w:val="18"/>
          <w:szCs w:val="18"/>
          <w:lang w:val="en-US"/>
        </w:rPr>
        <w:t xml:space="preserve">), that took note of its findings and recommendations. The Executive Board also invited the Director-General </w:t>
      </w:r>
      <w:r w:rsidRPr="006C03CE">
        <w:rPr>
          <w:sz w:val="18"/>
          <w:szCs w:val="18"/>
        </w:rPr>
        <w:t xml:space="preserve">to submit the </w:t>
      </w:r>
      <w:r w:rsidRPr="006C03CE">
        <w:rPr>
          <w:sz w:val="18"/>
          <w:szCs w:val="18"/>
          <w:lang w:val="en-US"/>
        </w:rPr>
        <w:t>evaluation</w:t>
      </w:r>
      <w:r w:rsidRPr="006C03CE">
        <w:rPr>
          <w:sz w:val="18"/>
          <w:szCs w:val="18"/>
        </w:rPr>
        <w:t xml:space="preserve"> to the relevant governing bodies of the Culture Conventions for their consideration</w:t>
      </w:r>
      <w:r w:rsidR="00BC3A74">
        <w:rPr>
          <w:sz w:val="18"/>
          <w:szCs w:val="18"/>
        </w:rPr>
        <w:t xml:space="preserve">, and to enable, in full respect of the governing bodies of the conventions concerned, adequate follow-up to all the recommendations contained in </w:t>
      </w:r>
      <w:r w:rsidR="00BC3A74" w:rsidRPr="00C34D4F">
        <w:rPr>
          <w:sz w:val="18"/>
          <w:szCs w:val="18"/>
        </w:rPr>
        <w:t xml:space="preserve">contained in document </w:t>
      </w:r>
      <w:hyperlink r:id="rId12" w:history="1">
        <w:r w:rsidR="00BC3A74" w:rsidRPr="006C03CE">
          <w:rPr>
            <w:rStyle w:val="Lienhypertexte"/>
            <w:sz w:val="18"/>
            <w:szCs w:val="18"/>
            <w:lang w:val="en-US"/>
          </w:rPr>
          <w:t>219 EX/13</w:t>
        </w:r>
      </w:hyperlink>
      <w:r w:rsidR="00BC3A74" w:rsidRPr="00C74B68">
        <w:t xml:space="preserve"> </w:t>
      </w:r>
      <w:r w:rsidR="00BC3A74" w:rsidRPr="00C34D4F">
        <w:rPr>
          <w:sz w:val="18"/>
          <w:szCs w:val="18"/>
        </w:rPr>
        <w:t>and to implement the actions indicated in the corresponding management response</w:t>
      </w:r>
      <w:r w:rsidR="00BC3A74" w:rsidRPr="006C03CE">
        <w:rPr>
          <w:sz w:val="18"/>
          <w:szCs w:val="18"/>
        </w:rPr>
        <w:t xml:space="preserve"> (Decision </w:t>
      </w:r>
      <w:hyperlink r:id="rId13" w:anchor="%5B%7B%22num%22%3A61%2C%22gen%22%3A0%7D%2C%7B%22name%22%3A%22XYZ%22%7D%2C54%2C696%2C0%5D" w:history="1">
        <w:r w:rsidR="00BC3A74" w:rsidRPr="006C03CE">
          <w:rPr>
            <w:rStyle w:val="Lienhypertexte"/>
            <w:sz w:val="18"/>
            <w:szCs w:val="18"/>
          </w:rPr>
          <w:t>219</w:t>
        </w:r>
        <w:r w:rsidR="00F821EA">
          <w:rPr>
            <w:rStyle w:val="Lienhypertexte"/>
            <w:sz w:val="18"/>
            <w:szCs w:val="18"/>
          </w:rPr>
          <w:t> </w:t>
        </w:r>
        <w:r w:rsidR="00BC3A74" w:rsidRPr="006C03CE">
          <w:rPr>
            <w:rStyle w:val="Lienhypertexte"/>
            <w:sz w:val="18"/>
            <w:szCs w:val="18"/>
          </w:rPr>
          <w:t>EX/Decision</w:t>
        </w:r>
        <w:r w:rsidR="00F821EA">
          <w:rPr>
            <w:rStyle w:val="Lienhypertexte"/>
            <w:sz w:val="18"/>
            <w:szCs w:val="18"/>
          </w:rPr>
          <w:t> </w:t>
        </w:r>
        <w:r w:rsidR="00BC3A74" w:rsidRPr="006C03CE">
          <w:rPr>
            <w:rStyle w:val="Lienhypertexte"/>
            <w:sz w:val="18"/>
            <w:szCs w:val="18"/>
          </w:rPr>
          <w:t>13</w:t>
        </w:r>
      </w:hyperlink>
      <w:r w:rsidR="00BC3A74" w:rsidRPr="006C03CE">
        <w:rPr>
          <w:rStyle w:val="Lienhypertexte"/>
          <w:color w:val="000000" w:themeColor="text1"/>
          <w:sz w:val="18"/>
          <w:szCs w:val="18"/>
          <w:u w:val="none"/>
        </w:rPr>
        <w:t>).</w:t>
      </w:r>
    </w:p>
  </w:footnote>
  <w:footnote w:id="6">
    <w:p w14:paraId="3BB97F6F" w14:textId="7C73D690" w:rsidR="0024270C" w:rsidRPr="00922B5C" w:rsidRDefault="0024270C" w:rsidP="00552B69">
      <w:pPr>
        <w:pStyle w:val="COMPara"/>
        <w:numPr>
          <w:ilvl w:val="0"/>
          <w:numId w:val="0"/>
        </w:numPr>
        <w:spacing w:after="60"/>
        <w:jc w:val="both"/>
        <w:rPr>
          <w:rFonts w:asciiTheme="minorBidi" w:hAnsiTheme="minorBidi" w:cstheme="minorBidi"/>
          <w:sz w:val="18"/>
          <w:szCs w:val="18"/>
          <w:lang w:val="en-US"/>
        </w:rPr>
      </w:pPr>
      <w:r w:rsidRPr="00D75C08">
        <w:rPr>
          <w:rStyle w:val="Appelnotedebasdep"/>
          <w:sz w:val="18"/>
          <w:szCs w:val="18"/>
        </w:rPr>
        <w:footnoteRef/>
      </w:r>
      <w:r w:rsidR="00F821EA">
        <w:rPr>
          <w:sz w:val="18"/>
          <w:szCs w:val="18"/>
          <w:vertAlign w:val="superscript"/>
          <w:lang w:val="en-US"/>
        </w:rPr>
        <w:t xml:space="preserve"> </w:t>
      </w:r>
      <w:r w:rsidRPr="00922B5C">
        <w:rPr>
          <w:sz w:val="18"/>
          <w:szCs w:val="18"/>
          <w:lang w:val="en-US"/>
        </w:rPr>
        <w:t>Reports by States Parties on the implementation of the Convention and on the current status of elements inscribed on the Representative List of the Intangible Cultural Heritage of Humanity, reports by States not party to the Convention on elements inscribed on the Representative List of the Intangible Cultural Heritage of Humanity, and reports by States Parties on the current status of elements inscribed on the List of Intangible Cultural Heritage in Need of Urgent Safeguarding.</w:t>
      </w:r>
    </w:p>
  </w:footnote>
  <w:footnote w:id="7">
    <w:p w14:paraId="63D3758E" w14:textId="7A98DBE8" w:rsidR="00B01C74" w:rsidRPr="00B01C74" w:rsidRDefault="00B01C74" w:rsidP="00552B69">
      <w:pPr>
        <w:pStyle w:val="COMPara"/>
        <w:numPr>
          <w:ilvl w:val="0"/>
          <w:numId w:val="0"/>
        </w:numPr>
        <w:spacing w:after="60"/>
        <w:jc w:val="both"/>
        <w:rPr>
          <w:sz w:val="18"/>
          <w:szCs w:val="18"/>
          <w:lang w:val="en-US"/>
        </w:rPr>
      </w:pPr>
      <w:r w:rsidRPr="00922B5C">
        <w:rPr>
          <w:rStyle w:val="Appelnotedebasdep"/>
          <w:sz w:val="18"/>
          <w:szCs w:val="18"/>
        </w:rPr>
        <w:footnoteRef/>
      </w:r>
      <w:r w:rsidR="00F821EA">
        <w:rPr>
          <w:sz w:val="18"/>
          <w:szCs w:val="18"/>
        </w:rPr>
        <w:t xml:space="preserve"> </w:t>
      </w:r>
      <w:r w:rsidR="00067486">
        <w:rPr>
          <w:sz w:val="18"/>
          <w:szCs w:val="18"/>
          <w:lang w:val="en-US"/>
        </w:rPr>
        <w:t>In 2024, t</w:t>
      </w:r>
      <w:r w:rsidRPr="00922B5C">
        <w:rPr>
          <w:sz w:val="18"/>
          <w:szCs w:val="18"/>
          <w:lang w:val="en-US"/>
        </w:rPr>
        <w:t>he</w:t>
      </w:r>
      <w:r w:rsidR="006E55FA" w:rsidRPr="00922B5C">
        <w:rPr>
          <w:sz w:val="18"/>
          <w:szCs w:val="18"/>
          <w:lang w:val="en-US"/>
        </w:rPr>
        <w:t xml:space="preserve"> Subsidiary Committee of the</w:t>
      </w:r>
      <w:r w:rsidR="00EC7953" w:rsidRPr="00922B5C">
        <w:rPr>
          <w:sz w:val="18"/>
          <w:szCs w:val="18"/>
          <w:lang w:val="en-US"/>
        </w:rPr>
        <w:t xml:space="preserve"> Meeting of States Parties to the</w:t>
      </w:r>
      <w:r w:rsidR="006E55FA" w:rsidRPr="00922B5C">
        <w:rPr>
          <w:sz w:val="18"/>
          <w:szCs w:val="18"/>
          <w:lang w:val="en-US"/>
        </w:rPr>
        <w:t xml:space="preserve"> 1970 Convention</w:t>
      </w:r>
      <w:r w:rsidR="00EC7953" w:rsidRPr="00922B5C">
        <w:rPr>
          <w:sz w:val="18"/>
          <w:szCs w:val="18"/>
          <w:lang w:val="en-US"/>
        </w:rPr>
        <w:t xml:space="preserve"> </w:t>
      </w:r>
      <w:r w:rsidR="006E55FA" w:rsidRPr="00922B5C">
        <w:rPr>
          <w:sz w:val="18"/>
          <w:szCs w:val="18"/>
          <w:lang w:val="en-US"/>
        </w:rPr>
        <w:t>has approved the methodology</w:t>
      </w:r>
      <w:r w:rsidR="006E55FA">
        <w:rPr>
          <w:sz w:val="18"/>
          <w:szCs w:val="18"/>
          <w:lang w:val="en-US"/>
        </w:rPr>
        <w:t xml:space="preserve"> </w:t>
      </w:r>
      <w:r w:rsidR="006E55FA" w:rsidRPr="006E55FA">
        <w:rPr>
          <w:sz w:val="18"/>
          <w:szCs w:val="18"/>
          <w:lang w:val="en-US"/>
        </w:rPr>
        <w:t>of the new platform for periodic reports and its use of information, including the data gathered through the periodic reporting mechanisms of the 1970 Convention</w:t>
      </w:r>
      <w:r w:rsidR="006E55FA">
        <w:rPr>
          <w:sz w:val="18"/>
          <w:szCs w:val="18"/>
          <w:lang w:val="en-US"/>
        </w:rPr>
        <w:t xml:space="preserve"> (Decision </w:t>
      </w:r>
      <w:hyperlink r:id="rId14" w:history="1">
        <w:r w:rsidR="00EC7953" w:rsidRPr="00EC7953">
          <w:rPr>
            <w:rStyle w:val="Lienhypertexte"/>
            <w:sz w:val="18"/>
            <w:szCs w:val="18"/>
            <w:lang w:val="en-US"/>
          </w:rPr>
          <w:t>12.SC 8</w:t>
        </w:r>
      </w:hyperlink>
      <w:r w:rsidR="00EC7953">
        <w:rPr>
          <w:sz w:val="18"/>
          <w:szCs w:val="18"/>
          <w:lang w:val="en-US"/>
        </w:rPr>
        <w:t xml:space="preserve"> </w:t>
      </w:r>
      <w:r w:rsidR="006E55FA">
        <w:rPr>
          <w:sz w:val="18"/>
          <w:szCs w:val="18"/>
          <w:lang w:val="en-US"/>
        </w:rPr>
        <w:t xml:space="preserve">and document </w:t>
      </w:r>
      <w:hyperlink r:id="rId15" w:history="1">
        <w:r w:rsidR="006E55FA" w:rsidRPr="006E55FA">
          <w:rPr>
            <w:rStyle w:val="Lienhypertexte"/>
            <w:sz w:val="18"/>
            <w:szCs w:val="18"/>
            <w:lang w:val="en-US"/>
          </w:rPr>
          <w:t>C70/24/12.SC/8</w:t>
        </w:r>
      </w:hyperlink>
      <w:r w:rsidR="006E55FA">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6FD17C4C"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03C2A">
      <w:rPr>
        <w:rFonts w:ascii="Arial" w:hAnsi="Arial" w:cs="Arial"/>
        <w:sz w:val="20"/>
        <w:szCs w:val="20"/>
        <w:lang w:val="en-GB"/>
      </w:rPr>
      <w:t>4</w:t>
    </w:r>
    <w:r w:rsidR="00CB0542">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D95C4C" w:rsidRPr="00C23A97">
      <w:rPr>
        <w:rFonts w:ascii="Arial" w:hAnsi="Arial" w:cs="Arial"/>
        <w:sz w:val="20"/>
        <w:szCs w:val="20"/>
        <w:lang w:val="en-GB"/>
      </w:rPr>
      <w:t>/</w:t>
    </w:r>
    <w:r w:rsidR="008F6168">
      <w:rPr>
        <w:rFonts w:ascii="Arial" w:hAnsi="Arial" w:cs="Arial"/>
        <w:sz w:val="20"/>
        <w:szCs w:val="20"/>
        <w:lang w:val="en-GB"/>
      </w:rPr>
      <w:t>6.c</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3D871E10"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03C2A">
      <w:rPr>
        <w:rFonts w:ascii="Arial" w:hAnsi="Arial" w:cs="Arial"/>
        <w:sz w:val="20"/>
        <w:szCs w:val="20"/>
        <w:lang w:val="en-GB"/>
      </w:rPr>
      <w:t>4</w:t>
    </w:r>
    <w:r w:rsidR="0053318C">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4A34A0" w:rsidRPr="0063300C">
      <w:rPr>
        <w:rFonts w:ascii="Arial" w:hAnsi="Arial" w:cs="Arial"/>
        <w:sz w:val="20"/>
        <w:szCs w:val="20"/>
        <w:lang w:val="en-GB"/>
      </w:rPr>
      <w:t>/</w:t>
    </w:r>
    <w:r w:rsidR="008F6168">
      <w:rPr>
        <w:rFonts w:ascii="Arial" w:hAnsi="Arial" w:cs="Arial"/>
        <w:sz w:val="20"/>
        <w:szCs w:val="20"/>
        <w:lang w:val="en-GB"/>
      </w:rPr>
      <w:t>6.c</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D03C2A">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71A1420A"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D03C2A">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D03C2A">
      <w:rPr>
        <w:rFonts w:ascii="Arial" w:hAnsi="Arial" w:cs="Arial"/>
        <w:b/>
        <w:sz w:val="22"/>
        <w:szCs w:val="22"/>
        <w:lang w:val="pt-PT"/>
      </w:rPr>
      <w:t>9</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8F6168">
      <w:rPr>
        <w:rFonts w:ascii="Arial" w:hAnsi="Arial" w:cs="Arial"/>
        <w:b/>
        <w:sz w:val="22"/>
        <w:szCs w:val="22"/>
        <w:lang w:val="pt-PT"/>
      </w:rPr>
      <w:t>6.c</w:t>
    </w:r>
  </w:p>
  <w:p w14:paraId="1B4446C3" w14:textId="342FAAEB"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372C10">
      <w:rPr>
        <w:rFonts w:ascii="Arial" w:hAnsi="Arial" w:cs="Arial"/>
        <w:b/>
        <w:sz w:val="22"/>
        <w:szCs w:val="22"/>
        <w:lang w:val="pt-PT"/>
      </w:rPr>
      <w:t>4 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D03C2A">
      <w:rPr>
        <w:rFonts w:ascii="Arial" w:hAnsi="Arial" w:cs="Arial"/>
        <w:b/>
        <w:sz w:val="22"/>
        <w:szCs w:val="22"/>
        <w:lang w:val="pt-PT"/>
      </w:rPr>
      <w:t>4</w:t>
    </w:r>
  </w:p>
  <w:p w14:paraId="255B57FF" w14:textId="122B29E2"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8F6168">
      <w:rPr>
        <w:rFonts w:ascii="Arial" w:hAnsi="Arial" w:cs="Arial"/>
        <w:b/>
        <w:sz w:val="22"/>
        <w:szCs w:val="22"/>
        <w:lang w:val="en-GB"/>
      </w:rPr>
      <w:t>English</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7ED"/>
    <w:multiLevelType w:val="hybridMultilevel"/>
    <w:tmpl w:val="11703DCE"/>
    <w:lvl w:ilvl="0" w:tplc="7A4877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D77"/>
    <w:multiLevelType w:val="hybridMultilevel"/>
    <w:tmpl w:val="E412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7C46"/>
    <w:multiLevelType w:val="hybridMultilevel"/>
    <w:tmpl w:val="C1102522"/>
    <w:lvl w:ilvl="0" w:tplc="ED4030C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4B0CD3"/>
    <w:multiLevelType w:val="hybridMultilevel"/>
    <w:tmpl w:val="DA4AF8EC"/>
    <w:lvl w:ilvl="0" w:tplc="A7D66C9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FF46DBE8"/>
    <w:lvl w:ilvl="0" w:tplc="918ACE6A">
      <w:start w:val="1"/>
      <w:numFmt w:val="decimal"/>
      <w:pStyle w:val="COMParaDecision"/>
      <w:lvlText w:val="%1."/>
      <w:lvlJc w:val="left"/>
      <w:pPr>
        <w:ind w:left="1287" w:hanging="360"/>
      </w:pPr>
    </w:lvl>
    <w:lvl w:ilvl="1" w:tplc="040C0001">
      <w:start w:val="1"/>
      <w:numFmt w:val="bullet"/>
      <w:lvlText w:val=""/>
      <w:lvlJc w:val="left"/>
      <w:pPr>
        <w:ind w:left="2007" w:hanging="360"/>
      </w:pPr>
      <w:rPr>
        <w:rFonts w:ascii="Symbol" w:hAnsi="Symbol"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964E06"/>
    <w:multiLevelType w:val="hybridMultilevel"/>
    <w:tmpl w:val="236C3E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1E072F1"/>
    <w:multiLevelType w:val="hybridMultilevel"/>
    <w:tmpl w:val="FBEC4CFA"/>
    <w:lvl w:ilvl="0" w:tplc="040C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3E85723"/>
    <w:multiLevelType w:val="hybridMultilevel"/>
    <w:tmpl w:val="2CF07A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A0A1CF0"/>
    <w:multiLevelType w:val="hybridMultilevel"/>
    <w:tmpl w:val="D472A32E"/>
    <w:lvl w:ilvl="0" w:tplc="899235D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58B3596"/>
    <w:multiLevelType w:val="hybridMultilevel"/>
    <w:tmpl w:val="8B6408A2"/>
    <w:lvl w:ilvl="0" w:tplc="9CA602C4">
      <w:start w:val="1"/>
      <w:numFmt w:val="low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4"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267738024">
    <w:abstractNumId w:val="2"/>
  </w:num>
  <w:num w:numId="2" w16cid:durableId="1620991412">
    <w:abstractNumId w:val="6"/>
  </w:num>
  <w:num w:numId="3" w16cid:durableId="2043554829">
    <w:abstractNumId w:val="7"/>
  </w:num>
  <w:num w:numId="4" w16cid:durableId="1314795377">
    <w:abstractNumId w:val="8"/>
  </w:num>
  <w:num w:numId="5" w16cid:durableId="1992833428">
    <w:abstractNumId w:val="14"/>
  </w:num>
  <w:num w:numId="6" w16cid:durableId="1876693717">
    <w:abstractNumId w:val="3"/>
  </w:num>
  <w:num w:numId="7" w16cid:durableId="142938824">
    <w:abstractNumId w:val="11"/>
  </w:num>
  <w:num w:numId="8" w16cid:durableId="1190796017">
    <w:abstractNumId w:val="9"/>
  </w:num>
  <w:num w:numId="9" w16cid:durableId="145443202">
    <w:abstractNumId w:val="12"/>
  </w:num>
  <w:num w:numId="10" w16cid:durableId="641277837">
    <w:abstractNumId w:val="4"/>
  </w:num>
  <w:num w:numId="11" w16cid:durableId="1110658716">
    <w:abstractNumId w:val="0"/>
  </w:num>
  <w:num w:numId="12" w16cid:durableId="1425957203">
    <w:abstractNumId w:val="1"/>
  </w:num>
  <w:num w:numId="13" w16cid:durableId="2101831665">
    <w:abstractNumId w:val="6"/>
  </w:num>
  <w:num w:numId="14" w16cid:durableId="63452658">
    <w:abstractNumId w:val="5"/>
  </w:num>
  <w:num w:numId="15" w16cid:durableId="1858305233">
    <w:abstractNumId w:val="6"/>
  </w:num>
  <w:num w:numId="16" w16cid:durableId="735127701">
    <w:abstractNumId w:val="6"/>
  </w:num>
  <w:num w:numId="17" w16cid:durableId="1935281610">
    <w:abstractNumId w:val="6"/>
  </w:num>
  <w:num w:numId="18" w16cid:durableId="1195801064">
    <w:abstractNumId w:val="10"/>
  </w:num>
  <w:num w:numId="19" w16cid:durableId="1867982252">
    <w:abstractNumId w:val="6"/>
  </w:num>
  <w:num w:numId="20" w16cid:durableId="2041323685">
    <w:abstractNumId w:val="7"/>
  </w:num>
  <w:num w:numId="21" w16cid:durableId="607660723">
    <w:abstractNumId w:val="13"/>
  </w:num>
  <w:num w:numId="22" w16cid:durableId="1786345111">
    <w:abstractNumId w:val="6"/>
  </w:num>
  <w:num w:numId="23" w16cid:durableId="1849324532">
    <w:abstractNumId w:val="6"/>
  </w:num>
  <w:num w:numId="24" w16cid:durableId="244607109">
    <w:abstractNumId w:val="6"/>
  </w:num>
  <w:num w:numId="25" w16cid:durableId="1072190876">
    <w:abstractNumId w:val="6"/>
  </w:num>
  <w:num w:numId="26" w16cid:durableId="235674804">
    <w:abstractNumId w:val="6"/>
  </w:num>
  <w:num w:numId="27" w16cid:durableId="1197543961">
    <w:abstractNumId w:val="6"/>
  </w:num>
  <w:num w:numId="28" w16cid:durableId="861667344">
    <w:abstractNumId w:val="6"/>
  </w:num>
  <w:num w:numId="29" w16cid:durableId="813715829">
    <w:abstractNumId w:val="6"/>
  </w:num>
  <w:num w:numId="30" w16cid:durableId="1434397645">
    <w:abstractNumId w:val="6"/>
  </w:num>
  <w:num w:numId="31" w16cid:durableId="1756975081">
    <w:abstractNumId w:val="6"/>
  </w:num>
  <w:num w:numId="32" w16cid:durableId="232787097">
    <w:abstractNumId w:val="6"/>
  </w:num>
  <w:num w:numId="33" w16cid:durableId="905802857">
    <w:abstractNumId w:val="6"/>
  </w:num>
  <w:num w:numId="34" w16cid:durableId="1020929174">
    <w:abstractNumId w:val="6"/>
  </w:num>
  <w:num w:numId="35" w16cid:durableId="2129274101">
    <w:abstractNumId w:val="6"/>
  </w:num>
  <w:num w:numId="36" w16cid:durableId="212817657">
    <w:abstractNumId w:val="6"/>
  </w:num>
  <w:num w:numId="37" w16cid:durableId="1252858929">
    <w:abstractNumId w:val="6"/>
  </w:num>
  <w:num w:numId="38" w16cid:durableId="2037463041">
    <w:abstractNumId w:val="6"/>
  </w:num>
  <w:num w:numId="39" w16cid:durableId="1419711621">
    <w:abstractNumId w:val="6"/>
  </w:num>
  <w:num w:numId="40" w16cid:durableId="1391415771">
    <w:abstractNumId w:val="6"/>
  </w:num>
  <w:num w:numId="41" w16cid:durableId="906500533">
    <w:abstractNumId w:val="6"/>
  </w:num>
  <w:num w:numId="42" w16cid:durableId="215360891">
    <w:abstractNumId w:val="6"/>
  </w:num>
  <w:num w:numId="43" w16cid:durableId="1035235921">
    <w:abstractNumId w:val="6"/>
  </w:num>
  <w:num w:numId="44" w16cid:durableId="19438771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0861"/>
    <w:rsid w:val="00014915"/>
    <w:rsid w:val="00022898"/>
    <w:rsid w:val="00032612"/>
    <w:rsid w:val="000345E5"/>
    <w:rsid w:val="00034BA6"/>
    <w:rsid w:val="00034E04"/>
    <w:rsid w:val="00036C3C"/>
    <w:rsid w:val="00041A66"/>
    <w:rsid w:val="00042D88"/>
    <w:rsid w:val="00044FBF"/>
    <w:rsid w:val="00047499"/>
    <w:rsid w:val="00047CE9"/>
    <w:rsid w:val="0005176E"/>
    <w:rsid w:val="00051783"/>
    <w:rsid w:val="00051E98"/>
    <w:rsid w:val="000561E3"/>
    <w:rsid w:val="00056787"/>
    <w:rsid w:val="000663F8"/>
    <w:rsid w:val="00067486"/>
    <w:rsid w:val="000765F7"/>
    <w:rsid w:val="0007725F"/>
    <w:rsid w:val="00077AB7"/>
    <w:rsid w:val="00080CC6"/>
    <w:rsid w:val="00081CD8"/>
    <w:rsid w:val="00085D7A"/>
    <w:rsid w:val="00087409"/>
    <w:rsid w:val="00094843"/>
    <w:rsid w:val="000A7F0E"/>
    <w:rsid w:val="000B1C8F"/>
    <w:rsid w:val="000B267D"/>
    <w:rsid w:val="000C03E5"/>
    <w:rsid w:val="000C0D61"/>
    <w:rsid w:val="000C50BC"/>
    <w:rsid w:val="000C5806"/>
    <w:rsid w:val="000D63ED"/>
    <w:rsid w:val="000D7088"/>
    <w:rsid w:val="000D783D"/>
    <w:rsid w:val="000E00E1"/>
    <w:rsid w:val="000E2BEB"/>
    <w:rsid w:val="000F3A3F"/>
    <w:rsid w:val="000F4FF9"/>
    <w:rsid w:val="000F52D7"/>
    <w:rsid w:val="000F6403"/>
    <w:rsid w:val="000F7F4A"/>
    <w:rsid w:val="00102557"/>
    <w:rsid w:val="00105FDA"/>
    <w:rsid w:val="00110995"/>
    <w:rsid w:val="00112FB7"/>
    <w:rsid w:val="001130FA"/>
    <w:rsid w:val="001239DF"/>
    <w:rsid w:val="00123A7E"/>
    <w:rsid w:val="00123C5D"/>
    <w:rsid w:val="00123E80"/>
    <w:rsid w:val="00142614"/>
    <w:rsid w:val="00143E7C"/>
    <w:rsid w:val="00144282"/>
    <w:rsid w:val="0014668F"/>
    <w:rsid w:val="00147A38"/>
    <w:rsid w:val="00164D56"/>
    <w:rsid w:val="00165417"/>
    <w:rsid w:val="00167B10"/>
    <w:rsid w:val="00172D46"/>
    <w:rsid w:val="0017402F"/>
    <w:rsid w:val="001755D2"/>
    <w:rsid w:val="001807A2"/>
    <w:rsid w:val="00185C41"/>
    <w:rsid w:val="00190205"/>
    <w:rsid w:val="00192C1B"/>
    <w:rsid w:val="00196C1B"/>
    <w:rsid w:val="001B0F73"/>
    <w:rsid w:val="001C2DB7"/>
    <w:rsid w:val="001C4F96"/>
    <w:rsid w:val="001C566D"/>
    <w:rsid w:val="001D14FE"/>
    <w:rsid w:val="001D1D49"/>
    <w:rsid w:val="001D2BA7"/>
    <w:rsid w:val="001D39A8"/>
    <w:rsid w:val="001D5C04"/>
    <w:rsid w:val="001E6D72"/>
    <w:rsid w:val="001E7676"/>
    <w:rsid w:val="001F26CF"/>
    <w:rsid w:val="001F3234"/>
    <w:rsid w:val="002038A3"/>
    <w:rsid w:val="00222A2D"/>
    <w:rsid w:val="00223029"/>
    <w:rsid w:val="002254A4"/>
    <w:rsid w:val="002277CD"/>
    <w:rsid w:val="00234745"/>
    <w:rsid w:val="002351A6"/>
    <w:rsid w:val="002407AF"/>
    <w:rsid w:val="0024270C"/>
    <w:rsid w:val="00245501"/>
    <w:rsid w:val="00253567"/>
    <w:rsid w:val="00254B26"/>
    <w:rsid w:val="00255684"/>
    <w:rsid w:val="00260941"/>
    <w:rsid w:val="00260F98"/>
    <w:rsid w:val="00261E3B"/>
    <w:rsid w:val="0026221A"/>
    <w:rsid w:val="002715A0"/>
    <w:rsid w:val="0027466B"/>
    <w:rsid w:val="00280FCF"/>
    <w:rsid w:val="002814F6"/>
    <w:rsid w:val="0028155E"/>
    <w:rsid w:val="00281F54"/>
    <w:rsid w:val="002838A5"/>
    <w:rsid w:val="00285BB4"/>
    <w:rsid w:val="00287925"/>
    <w:rsid w:val="002948D9"/>
    <w:rsid w:val="002951C4"/>
    <w:rsid w:val="002A6A22"/>
    <w:rsid w:val="002C0963"/>
    <w:rsid w:val="002C09E3"/>
    <w:rsid w:val="002C6A2C"/>
    <w:rsid w:val="002D1244"/>
    <w:rsid w:val="002D77E4"/>
    <w:rsid w:val="002E0193"/>
    <w:rsid w:val="002E054E"/>
    <w:rsid w:val="002F071C"/>
    <w:rsid w:val="00302938"/>
    <w:rsid w:val="00305D41"/>
    <w:rsid w:val="00307AEB"/>
    <w:rsid w:val="0031342D"/>
    <w:rsid w:val="00332298"/>
    <w:rsid w:val="00332D8B"/>
    <w:rsid w:val="00337CEB"/>
    <w:rsid w:val="00344B58"/>
    <w:rsid w:val="0034539A"/>
    <w:rsid w:val="00345CB4"/>
    <w:rsid w:val="00346115"/>
    <w:rsid w:val="003529F9"/>
    <w:rsid w:val="00361541"/>
    <w:rsid w:val="00372C10"/>
    <w:rsid w:val="00375D42"/>
    <w:rsid w:val="00383F49"/>
    <w:rsid w:val="003856D3"/>
    <w:rsid w:val="00385B57"/>
    <w:rsid w:val="003901A6"/>
    <w:rsid w:val="00391500"/>
    <w:rsid w:val="003963DD"/>
    <w:rsid w:val="00397242"/>
    <w:rsid w:val="003A7AAC"/>
    <w:rsid w:val="003B7A77"/>
    <w:rsid w:val="003C52EB"/>
    <w:rsid w:val="003C66D1"/>
    <w:rsid w:val="003D069C"/>
    <w:rsid w:val="003D1A43"/>
    <w:rsid w:val="003D7646"/>
    <w:rsid w:val="003F05A2"/>
    <w:rsid w:val="003F113A"/>
    <w:rsid w:val="003F36E6"/>
    <w:rsid w:val="003F3E63"/>
    <w:rsid w:val="003F6D2B"/>
    <w:rsid w:val="00400582"/>
    <w:rsid w:val="0040467B"/>
    <w:rsid w:val="00407480"/>
    <w:rsid w:val="00407E38"/>
    <w:rsid w:val="0041413B"/>
    <w:rsid w:val="00414643"/>
    <w:rsid w:val="004201F2"/>
    <w:rsid w:val="00421474"/>
    <w:rsid w:val="00425732"/>
    <w:rsid w:val="00431381"/>
    <w:rsid w:val="004313C4"/>
    <w:rsid w:val="00436B61"/>
    <w:rsid w:val="004421E5"/>
    <w:rsid w:val="004479AF"/>
    <w:rsid w:val="00450F44"/>
    <w:rsid w:val="00452284"/>
    <w:rsid w:val="00457C8E"/>
    <w:rsid w:val="00465A9E"/>
    <w:rsid w:val="00480175"/>
    <w:rsid w:val="004856CA"/>
    <w:rsid w:val="004863E3"/>
    <w:rsid w:val="00487796"/>
    <w:rsid w:val="00487E67"/>
    <w:rsid w:val="004906B7"/>
    <w:rsid w:val="00490F1E"/>
    <w:rsid w:val="004966C2"/>
    <w:rsid w:val="0049705E"/>
    <w:rsid w:val="004973A8"/>
    <w:rsid w:val="004A12D4"/>
    <w:rsid w:val="004A2875"/>
    <w:rsid w:val="004A3024"/>
    <w:rsid w:val="004A34A0"/>
    <w:rsid w:val="004A6833"/>
    <w:rsid w:val="004C3784"/>
    <w:rsid w:val="004C7630"/>
    <w:rsid w:val="004C7C82"/>
    <w:rsid w:val="004D2FD8"/>
    <w:rsid w:val="004E10E9"/>
    <w:rsid w:val="004F1368"/>
    <w:rsid w:val="005008A8"/>
    <w:rsid w:val="00502A65"/>
    <w:rsid w:val="00511D42"/>
    <w:rsid w:val="00512C01"/>
    <w:rsid w:val="00517FD8"/>
    <w:rsid w:val="00520D5A"/>
    <w:rsid w:val="00524924"/>
    <w:rsid w:val="00526B7B"/>
    <w:rsid w:val="005274D2"/>
    <w:rsid w:val="00527782"/>
    <w:rsid w:val="005308CE"/>
    <w:rsid w:val="00532185"/>
    <w:rsid w:val="0053318C"/>
    <w:rsid w:val="00541280"/>
    <w:rsid w:val="00547712"/>
    <w:rsid w:val="00552B69"/>
    <w:rsid w:val="00553B84"/>
    <w:rsid w:val="00553D7A"/>
    <w:rsid w:val="00565152"/>
    <w:rsid w:val="005679F6"/>
    <w:rsid w:val="0057439C"/>
    <w:rsid w:val="00574B55"/>
    <w:rsid w:val="00590CFC"/>
    <w:rsid w:val="0059297A"/>
    <w:rsid w:val="005960FA"/>
    <w:rsid w:val="00596FDC"/>
    <w:rsid w:val="005A47E3"/>
    <w:rsid w:val="005B0127"/>
    <w:rsid w:val="005B037D"/>
    <w:rsid w:val="005B3D46"/>
    <w:rsid w:val="005B7A35"/>
    <w:rsid w:val="005C3492"/>
    <w:rsid w:val="005C3CB1"/>
    <w:rsid w:val="005C4B73"/>
    <w:rsid w:val="005C7180"/>
    <w:rsid w:val="005D0C27"/>
    <w:rsid w:val="005E1D2B"/>
    <w:rsid w:val="005E7074"/>
    <w:rsid w:val="005F0066"/>
    <w:rsid w:val="005F2BAF"/>
    <w:rsid w:val="005F5237"/>
    <w:rsid w:val="005F54B0"/>
    <w:rsid w:val="006006DA"/>
    <w:rsid w:val="00600D93"/>
    <w:rsid w:val="006035B0"/>
    <w:rsid w:val="00607653"/>
    <w:rsid w:val="00612A0E"/>
    <w:rsid w:val="00614A6A"/>
    <w:rsid w:val="00615147"/>
    <w:rsid w:val="00615F6E"/>
    <w:rsid w:val="00616525"/>
    <w:rsid w:val="00617F77"/>
    <w:rsid w:val="00623B97"/>
    <w:rsid w:val="006258C6"/>
    <w:rsid w:val="00626BEA"/>
    <w:rsid w:val="00627771"/>
    <w:rsid w:val="00630D1D"/>
    <w:rsid w:val="0063300C"/>
    <w:rsid w:val="006368DB"/>
    <w:rsid w:val="00640015"/>
    <w:rsid w:val="0064195B"/>
    <w:rsid w:val="00642638"/>
    <w:rsid w:val="006506A3"/>
    <w:rsid w:val="00650F99"/>
    <w:rsid w:val="00651A5B"/>
    <w:rsid w:val="00651FDF"/>
    <w:rsid w:val="00654E98"/>
    <w:rsid w:val="00655736"/>
    <w:rsid w:val="00663B8D"/>
    <w:rsid w:val="006709A0"/>
    <w:rsid w:val="00680F65"/>
    <w:rsid w:val="0068213E"/>
    <w:rsid w:val="00686AD5"/>
    <w:rsid w:val="0069066C"/>
    <w:rsid w:val="0069527A"/>
    <w:rsid w:val="0069558A"/>
    <w:rsid w:val="00696C8D"/>
    <w:rsid w:val="006A2AC2"/>
    <w:rsid w:val="006A3617"/>
    <w:rsid w:val="006A36B0"/>
    <w:rsid w:val="006A55B9"/>
    <w:rsid w:val="006B0C29"/>
    <w:rsid w:val="006B4452"/>
    <w:rsid w:val="006C03CE"/>
    <w:rsid w:val="006C1860"/>
    <w:rsid w:val="006C2A7B"/>
    <w:rsid w:val="006C3DF9"/>
    <w:rsid w:val="006C703C"/>
    <w:rsid w:val="006D2C30"/>
    <w:rsid w:val="006D44DF"/>
    <w:rsid w:val="006D6934"/>
    <w:rsid w:val="006E289E"/>
    <w:rsid w:val="006E46E4"/>
    <w:rsid w:val="006E55FA"/>
    <w:rsid w:val="006E75EB"/>
    <w:rsid w:val="006F3030"/>
    <w:rsid w:val="007048FD"/>
    <w:rsid w:val="00707B90"/>
    <w:rsid w:val="00716477"/>
    <w:rsid w:val="00717DA5"/>
    <w:rsid w:val="00726589"/>
    <w:rsid w:val="007333D0"/>
    <w:rsid w:val="00735949"/>
    <w:rsid w:val="00744484"/>
    <w:rsid w:val="00747566"/>
    <w:rsid w:val="00753024"/>
    <w:rsid w:val="00766BA2"/>
    <w:rsid w:val="00771355"/>
    <w:rsid w:val="00773188"/>
    <w:rsid w:val="00773B0A"/>
    <w:rsid w:val="007750B9"/>
    <w:rsid w:val="00776382"/>
    <w:rsid w:val="007830ED"/>
    <w:rsid w:val="00783782"/>
    <w:rsid w:val="00784B8C"/>
    <w:rsid w:val="00785741"/>
    <w:rsid w:val="00785DD3"/>
    <w:rsid w:val="007879E1"/>
    <w:rsid w:val="00790607"/>
    <w:rsid w:val="0079580F"/>
    <w:rsid w:val="007A0714"/>
    <w:rsid w:val="007A1A6F"/>
    <w:rsid w:val="007A30AE"/>
    <w:rsid w:val="007A5571"/>
    <w:rsid w:val="007B6DDD"/>
    <w:rsid w:val="007C28CD"/>
    <w:rsid w:val="007D5E42"/>
    <w:rsid w:val="007E57AA"/>
    <w:rsid w:val="007E7CCD"/>
    <w:rsid w:val="007F35D2"/>
    <w:rsid w:val="007F5FF7"/>
    <w:rsid w:val="008061EB"/>
    <w:rsid w:val="00811E6E"/>
    <w:rsid w:val="0081714A"/>
    <w:rsid w:val="00823A11"/>
    <w:rsid w:val="0082780E"/>
    <w:rsid w:val="008335EB"/>
    <w:rsid w:val="00850179"/>
    <w:rsid w:val="00852263"/>
    <w:rsid w:val="008531C1"/>
    <w:rsid w:val="0085405E"/>
    <w:rsid w:val="0085414A"/>
    <w:rsid w:val="00855899"/>
    <w:rsid w:val="00857EB9"/>
    <w:rsid w:val="0086269D"/>
    <w:rsid w:val="008645B9"/>
    <w:rsid w:val="0086543A"/>
    <w:rsid w:val="008724E5"/>
    <w:rsid w:val="008765C9"/>
    <w:rsid w:val="00882630"/>
    <w:rsid w:val="00883364"/>
    <w:rsid w:val="00883DAD"/>
    <w:rsid w:val="00884A9D"/>
    <w:rsid w:val="0088512B"/>
    <w:rsid w:val="00890225"/>
    <w:rsid w:val="008A2B2D"/>
    <w:rsid w:val="008A446F"/>
    <w:rsid w:val="008A4E1E"/>
    <w:rsid w:val="008A6458"/>
    <w:rsid w:val="008A6E1F"/>
    <w:rsid w:val="008B6806"/>
    <w:rsid w:val="008C2728"/>
    <w:rsid w:val="008C296C"/>
    <w:rsid w:val="008C41FD"/>
    <w:rsid w:val="008D4305"/>
    <w:rsid w:val="008E1A85"/>
    <w:rsid w:val="008E344F"/>
    <w:rsid w:val="008E3D1F"/>
    <w:rsid w:val="008E627F"/>
    <w:rsid w:val="008F3E8E"/>
    <w:rsid w:val="008F6168"/>
    <w:rsid w:val="00901E86"/>
    <w:rsid w:val="009163A7"/>
    <w:rsid w:val="00920F0C"/>
    <w:rsid w:val="00922B5C"/>
    <w:rsid w:val="00923AF7"/>
    <w:rsid w:val="009265A5"/>
    <w:rsid w:val="0093141C"/>
    <w:rsid w:val="009354DE"/>
    <w:rsid w:val="00935F76"/>
    <w:rsid w:val="00937D53"/>
    <w:rsid w:val="00940D0B"/>
    <w:rsid w:val="00946D0B"/>
    <w:rsid w:val="00955877"/>
    <w:rsid w:val="0096129A"/>
    <w:rsid w:val="00962034"/>
    <w:rsid w:val="0096400C"/>
    <w:rsid w:val="009715DB"/>
    <w:rsid w:val="00977577"/>
    <w:rsid w:val="00987DA9"/>
    <w:rsid w:val="00991040"/>
    <w:rsid w:val="00996F54"/>
    <w:rsid w:val="009A1826"/>
    <w:rsid w:val="009A18CD"/>
    <w:rsid w:val="009B4369"/>
    <w:rsid w:val="009B6FFD"/>
    <w:rsid w:val="009B7D70"/>
    <w:rsid w:val="009C0613"/>
    <w:rsid w:val="009D31E0"/>
    <w:rsid w:val="009D5428"/>
    <w:rsid w:val="00A02FBF"/>
    <w:rsid w:val="00A05C11"/>
    <w:rsid w:val="00A06252"/>
    <w:rsid w:val="00A12558"/>
    <w:rsid w:val="00A13903"/>
    <w:rsid w:val="00A17E98"/>
    <w:rsid w:val="00A21AD9"/>
    <w:rsid w:val="00A32AB2"/>
    <w:rsid w:val="00A34ED5"/>
    <w:rsid w:val="00A45DBF"/>
    <w:rsid w:val="00A47E4A"/>
    <w:rsid w:val="00A531EF"/>
    <w:rsid w:val="00A61BDB"/>
    <w:rsid w:val="00A653AA"/>
    <w:rsid w:val="00A66EAC"/>
    <w:rsid w:val="00A677A5"/>
    <w:rsid w:val="00A7143D"/>
    <w:rsid w:val="00A725CF"/>
    <w:rsid w:val="00A74C52"/>
    <w:rsid w:val="00A755A2"/>
    <w:rsid w:val="00A76178"/>
    <w:rsid w:val="00A91430"/>
    <w:rsid w:val="00A95842"/>
    <w:rsid w:val="00AA2DD1"/>
    <w:rsid w:val="00AA590D"/>
    <w:rsid w:val="00AA6483"/>
    <w:rsid w:val="00AA6660"/>
    <w:rsid w:val="00AA7E50"/>
    <w:rsid w:val="00AB2C36"/>
    <w:rsid w:val="00AB525B"/>
    <w:rsid w:val="00AB6DDE"/>
    <w:rsid w:val="00AB70B6"/>
    <w:rsid w:val="00AC18C1"/>
    <w:rsid w:val="00AD0BEF"/>
    <w:rsid w:val="00AD1A86"/>
    <w:rsid w:val="00AD490D"/>
    <w:rsid w:val="00AD5C46"/>
    <w:rsid w:val="00AE04CE"/>
    <w:rsid w:val="00AE103E"/>
    <w:rsid w:val="00AE4B73"/>
    <w:rsid w:val="00AE7737"/>
    <w:rsid w:val="00AF0A07"/>
    <w:rsid w:val="00AF2CFC"/>
    <w:rsid w:val="00AF4AEC"/>
    <w:rsid w:val="00AF625E"/>
    <w:rsid w:val="00B00708"/>
    <w:rsid w:val="00B01C74"/>
    <w:rsid w:val="00B139BE"/>
    <w:rsid w:val="00B143BF"/>
    <w:rsid w:val="00B15868"/>
    <w:rsid w:val="00B170E5"/>
    <w:rsid w:val="00B2172B"/>
    <w:rsid w:val="00B2239D"/>
    <w:rsid w:val="00B335CC"/>
    <w:rsid w:val="00B34428"/>
    <w:rsid w:val="00B40EE0"/>
    <w:rsid w:val="00B4498C"/>
    <w:rsid w:val="00B45433"/>
    <w:rsid w:val="00B51142"/>
    <w:rsid w:val="00B5114C"/>
    <w:rsid w:val="00B5118D"/>
    <w:rsid w:val="00B67E7F"/>
    <w:rsid w:val="00B67FDA"/>
    <w:rsid w:val="00B7203F"/>
    <w:rsid w:val="00B75855"/>
    <w:rsid w:val="00B81747"/>
    <w:rsid w:val="00B8306C"/>
    <w:rsid w:val="00B83A04"/>
    <w:rsid w:val="00B83CAA"/>
    <w:rsid w:val="00B874EF"/>
    <w:rsid w:val="00B917D2"/>
    <w:rsid w:val="00B92DFF"/>
    <w:rsid w:val="00B95A9C"/>
    <w:rsid w:val="00B96592"/>
    <w:rsid w:val="00B97B10"/>
    <w:rsid w:val="00B97EB3"/>
    <w:rsid w:val="00BA14CD"/>
    <w:rsid w:val="00BA241A"/>
    <w:rsid w:val="00BA60F1"/>
    <w:rsid w:val="00BB04AF"/>
    <w:rsid w:val="00BB0945"/>
    <w:rsid w:val="00BB1811"/>
    <w:rsid w:val="00BB5AFE"/>
    <w:rsid w:val="00BB6EEC"/>
    <w:rsid w:val="00BC12D8"/>
    <w:rsid w:val="00BC3A74"/>
    <w:rsid w:val="00BC4A73"/>
    <w:rsid w:val="00BC5D19"/>
    <w:rsid w:val="00BC62CE"/>
    <w:rsid w:val="00BD52C9"/>
    <w:rsid w:val="00BE6354"/>
    <w:rsid w:val="00BF0378"/>
    <w:rsid w:val="00BF47FA"/>
    <w:rsid w:val="00BF672B"/>
    <w:rsid w:val="00BF7B02"/>
    <w:rsid w:val="00C014BE"/>
    <w:rsid w:val="00C02F17"/>
    <w:rsid w:val="00C03B83"/>
    <w:rsid w:val="00C04D56"/>
    <w:rsid w:val="00C056B4"/>
    <w:rsid w:val="00C0616A"/>
    <w:rsid w:val="00C072A5"/>
    <w:rsid w:val="00C138D1"/>
    <w:rsid w:val="00C15359"/>
    <w:rsid w:val="00C23A8D"/>
    <w:rsid w:val="00C23A8E"/>
    <w:rsid w:val="00C23A97"/>
    <w:rsid w:val="00C37946"/>
    <w:rsid w:val="00C40753"/>
    <w:rsid w:val="00C44DDB"/>
    <w:rsid w:val="00C46D89"/>
    <w:rsid w:val="00C512DC"/>
    <w:rsid w:val="00C52EBE"/>
    <w:rsid w:val="00C530E4"/>
    <w:rsid w:val="00C5776D"/>
    <w:rsid w:val="00C57C0F"/>
    <w:rsid w:val="00C64855"/>
    <w:rsid w:val="00C70B9C"/>
    <w:rsid w:val="00C70EA7"/>
    <w:rsid w:val="00C7433F"/>
    <w:rsid w:val="00C7516E"/>
    <w:rsid w:val="00C75770"/>
    <w:rsid w:val="00C82E3A"/>
    <w:rsid w:val="00C86038"/>
    <w:rsid w:val="00C95E3C"/>
    <w:rsid w:val="00C9629A"/>
    <w:rsid w:val="00CA0156"/>
    <w:rsid w:val="00CA56BB"/>
    <w:rsid w:val="00CA6676"/>
    <w:rsid w:val="00CB0542"/>
    <w:rsid w:val="00CB2B3C"/>
    <w:rsid w:val="00CB4808"/>
    <w:rsid w:val="00CD4FF2"/>
    <w:rsid w:val="00CD7548"/>
    <w:rsid w:val="00CE1472"/>
    <w:rsid w:val="00CF1D98"/>
    <w:rsid w:val="00D00B2B"/>
    <w:rsid w:val="00D03C2A"/>
    <w:rsid w:val="00D14957"/>
    <w:rsid w:val="00D1721C"/>
    <w:rsid w:val="00D24877"/>
    <w:rsid w:val="00D26F1A"/>
    <w:rsid w:val="00D311CB"/>
    <w:rsid w:val="00D402BE"/>
    <w:rsid w:val="00D45560"/>
    <w:rsid w:val="00D45C64"/>
    <w:rsid w:val="00D460B6"/>
    <w:rsid w:val="00D5522A"/>
    <w:rsid w:val="00D626BC"/>
    <w:rsid w:val="00D63318"/>
    <w:rsid w:val="00D64D41"/>
    <w:rsid w:val="00D70605"/>
    <w:rsid w:val="00D7105A"/>
    <w:rsid w:val="00D75C08"/>
    <w:rsid w:val="00D76BF7"/>
    <w:rsid w:val="00D8250F"/>
    <w:rsid w:val="00D863CD"/>
    <w:rsid w:val="00D86BB3"/>
    <w:rsid w:val="00D86F4E"/>
    <w:rsid w:val="00D87517"/>
    <w:rsid w:val="00D94423"/>
    <w:rsid w:val="00D95C4C"/>
    <w:rsid w:val="00DA30B2"/>
    <w:rsid w:val="00DA36ED"/>
    <w:rsid w:val="00DB285F"/>
    <w:rsid w:val="00DC2521"/>
    <w:rsid w:val="00DD30E5"/>
    <w:rsid w:val="00DE34F1"/>
    <w:rsid w:val="00DE6160"/>
    <w:rsid w:val="00DE717C"/>
    <w:rsid w:val="00DF4942"/>
    <w:rsid w:val="00E05CE9"/>
    <w:rsid w:val="00E063ED"/>
    <w:rsid w:val="00E1326B"/>
    <w:rsid w:val="00E2125F"/>
    <w:rsid w:val="00E22B96"/>
    <w:rsid w:val="00E244E1"/>
    <w:rsid w:val="00E32DE6"/>
    <w:rsid w:val="00E34113"/>
    <w:rsid w:val="00E4150C"/>
    <w:rsid w:val="00E51014"/>
    <w:rsid w:val="00E51C28"/>
    <w:rsid w:val="00E57D31"/>
    <w:rsid w:val="00E602E4"/>
    <w:rsid w:val="00E625B2"/>
    <w:rsid w:val="00E627B1"/>
    <w:rsid w:val="00E66A26"/>
    <w:rsid w:val="00E70169"/>
    <w:rsid w:val="00E72E95"/>
    <w:rsid w:val="00E80828"/>
    <w:rsid w:val="00E8672D"/>
    <w:rsid w:val="00E9376C"/>
    <w:rsid w:val="00E95041"/>
    <w:rsid w:val="00E95AE2"/>
    <w:rsid w:val="00EA1379"/>
    <w:rsid w:val="00EA335E"/>
    <w:rsid w:val="00EA528C"/>
    <w:rsid w:val="00EA5516"/>
    <w:rsid w:val="00EA580C"/>
    <w:rsid w:val="00EB202E"/>
    <w:rsid w:val="00EB71BC"/>
    <w:rsid w:val="00EC248A"/>
    <w:rsid w:val="00EC6F8D"/>
    <w:rsid w:val="00EC7953"/>
    <w:rsid w:val="00ED3862"/>
    <w:rsid w:val="00ED39B2"/>
    <w:rsid w:val="00ED4224"/>
    <w:rsid w:val="00ED58F3"/>
    <w:rsid w:val="00ED7EA3"/>
    <w:rsid w:val="00EE1F00"/>
    <w:rsid w:val="00EE49F4"/>
    <w:rsid w:val="00EF34E2"/>
    <w:rsid w:val="00EF40A1"/>
    <w:rsid w:val="00EF6AF5"/>
    <w:rsid w:val="00EF7A7B"/>
    <w:rsid w:val="00F05B6C"/>
    <w:rsid w:val="00F23D8D"/>
    <w:rsid w:val="00F24ED2"/>
    <w:rsid w:val="00F26AD6"/>
    <w:rsid w:val="00F30DC6"/>
    <w:rsid w:val="00F31F96"/>
    <w:rsid w:val="00F32C23"/>
    <w:rsid w:val="00F404D5"/>
    <w:rsid w:val="00F40627"/>
    <w:rsid w:val="00F40776"/>
    <w:rsid w:val="00F40C8A"/>
    <w:rsid w:val="00F4279C"/>
    <w:rsid w:val="00F46ECB"/>
    <w:rsid w:val="00F53DE9"/>
    <w:rsid w:val="00F576CB"/>
    <w:rsid w:val="00F60E11"/>
    <w:rsid w:val="00F7035D"/>
    <w:rsid w:val="00F70CC5"/>
    <w:rsid w:val="00F71779"/>
    <w:rsid w:val="00F71A02"/>
    <w:rsid w:val="00F74566"/>
    <w:rsid w:val="00F821EA"/>
    <w:rsid w:val="00F863F1"/>
    <w:rsid w:val="00F927E0"/>
    <w:rsid w:val="00FA056E"/>
    <w:rsid w:val="00FA0D63"/>
    <w:rsid w:val="00FA19AB"/>
    <w:rsid w:val="00FA35D4"/>
    <w:rsid w:val="00FA4875"/>
    <w:rsid w:val="00FC6D23"/>
    <w:rsid w:val="00FC7217"/>
    <w:rsid w:val="00FD1226"/>
    <w:rsid w:val="00FD3763"/>
    <w:rsid w:val="00FD4BC8"/>
    <w:rsid w:val="00FE3464"/>
    <w:rsid w:val="00FE53F5"/>
    <w:rsid w:val="00FF4830"/>
    <w:rsid w:val="00FF4C7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rsid w:val="00642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uiPriority w:val="99"/>
    <w:unhideWhenUsed/>
    <w:rsid w:val="008F6168"/>
    <w:rPr>
      <w:color w:val="0000FF"/>
      <w:u w:val="single"/>
    </w:rPr>
  </w:style>
  <w:style w:type="character" w:styleId="Lienhypertextesuivivisit">
    <w:name w:val="FollowedHyperlink"/>
    <w:basedOn w:val="Policepardfaut"/>
    <w:uiPriority w:val="99"/>
    <w:semiHidden/>
    <w:unhideWhenUsed/>
    <w:rsid w:val="00FA35D4"/>
    <w:rPr>
      <w:color w:val="800080" w:themeColor="followedHyperlink"/>
      <w:u w:val="single"/>
    </w:rPr>
  </w:style>
  <w:style w:type="character" w:styleId="Mentionnonrsolue">
    <w:name w:val="Unresolved Mention"/>
    <w:basedOn w:val="Policepardfaut"/>
    <w:uiPriority w:val="99"/>
    <w:semiHidden/>
    <w:unhideWhenUsed/>
    <w:rsid w:val="00FA35D4"/>
    <w:rPr>
      <w:color w:val="605E5C"/>
      <w:shd w:val="clear" w:color="auto" w:fill="E1DFDD"/>
    </w:rPr>
  </w:style>
  <w:style w:type="paragraph" w:styleId="Rvision">
    <w:name w:val="Revision"/>
    <w:hidden/>
    <w:uiPriority w:val="99"/>
    <w:semiHidden/>
    <w:rsid w:val="00D76BF7"/>
    <w:rPr>
      <w:rFonts w:ascii="Times New Roman" w:eastAsia="Times New Roman" w:hAnsi="Times New Roman"/>
      <w:sz w:val="24"/>
      <w:szCs w:val="24"/>
    </w:rPr>
  </w:style>
  <w:style w:type="character" w:customStyle="1" w:styleId="Titre1Car">
    <w:name w:val="Titre 1 Car"/>
    <w:basedOn w:val="Policepardfaut"/>
    <w:link w:val="Titre1"/>
    <w:uiPriority w:val="9"/>
    <w:rsid w:val="00642638"/>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uiPriority w:val="99"/>
    <w:semiHidden/>
    <w:unhideWhenUsed/>
    <w:rsid w:val="002948D9"/>
    <w:rPr>
      <w:sz w:val="16"/>
      <w:szCs w:val="16"/>
    </w:rPr>
  </w:style>
  <w:style w:type="paragraph" w:styleId="Commentaire">
    <w:name w:val="annotation text"/>
    <w:basedOn w:val="Normal"/>
    <w:link w:val="CommentaireCar"/>
    <w:uiPriority w:val="99"/>
    <w:unhideWhenUsed/>
    <w:rsid w:val="002948D9"/>
    <w:rPr>
      <w:sz w:val="20"/>
      <w:szCs w:val="20"/>
    </w:rPr>
  </w:style>
  <w:style w:type="character" w:customStyle="1" w:styleId="CommentaireCar">
    <w:name w:val="Commentaire Car"/>
    <w:basedOn w:val="Policepardfaut"/>
    <w:link w:val="Commentaire"/>
    <w:uiPriority w:val="99"/>
    <w:rsid w:val="002948D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2948D9"/>
    <w:rPr>
      <w:b/>
      <w:bCs/>
    </w:rPr>
  </w:style>
  <w:style w:type="character" w:customStyle="1" w:styleId="ObjetducommentaireCar">
    <w:name w:val="Objet du commentaire Car"/>
    <w:basedOn w:val="CommentaireCar"/>
    <w:link w:val="Objetducommentaire"/>
    <w:uiPriority w:val="99"/>
    <w:semiHidden/>
    <w:rsid w:val="002948D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355976">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00183883">
      <w:bodyDiv w:val="1"/>
      <w:marLeft w:val="0"/>
      <w:marRight w:val="0"/>
      <w:marTop w:val="0"/>
      <w:marBottom w:val="0"/>
      <w:divBdr>
        <w:top w:val="none" w:sz="0" w:space="0" w:color="auto"/>
        <w:left w:val="none" w:sz="0" w:space="0" w:color="auto"/>
        <w:bottom w:val="none" w:sz="0" w:space="0" w:color="auto"/>
        <w:right w:val="none" w:sz="0" w:space="0" w:color="auto"/>
      </w:divBdr>
    </w:div>
    <w:div w:id="1459761800">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855988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2.COM/10" TargetMode="External"/><Relationship Id="rId13" Type="http://schemas.openxmlformats.org/officeDocument/2006/relationships/image" Target="media/image1.png"/><Relationship Id="rId18" Type="http://schemas.openxmlformats.org/officeDocument/2006/relationships/hyperlink" Target="https://unesdoc.unesco.org/in/documentViewer.xhtml?v=2.1.196&amp;id=p::usmarcdef_0000389517&amp;file=/in/rest/annotationSVC/DownloadWatermarkedAttachment/attach_import_2070f897-a60c-4a4e-a3f4-c957da565c94%3F_%3D389517eng.pdf&amp;locale=en&amp;multi=true&amp;ark=/ark:/48223/pf0000389517/PDF/389517eng.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ch.unesco.org/en/decisions/10.GA/6" TargetMode="External"/><Relationship Id="rId7" Type="http://schemas.openxmlformats.org/officeDocument/2006/relationships/endnotes" Target="endnotes.xml"/><Relationship Id="rId12" Type="http://schemas.openxmlformats.org/officeDocument/2006/relationships/hyperlink" Target="https://www.unesco.org/en/articles/unesco-world-conference-cultural-policies-and-sustainable-development-mondiacult-2022" TargetMode="External"/><Relationship Id="rId17" Type="http://schemas.openxmlformats.org/officeDocument/2006/relationships/hyperlink" Target="https://ich.unesco.org/en/decisions/18.COM/7.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en/decisions/10.GA/6" TargetMode="External"/><Relationship Id="rId20" Type="http://schemas.openxmlformats.org/officeDocument/2006/relationships/hyperlink" Target="https://ich.unesco.org/en/decisions/10.GA/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4.COM/8" TargetMode="External"/><Relationship Id="rId24" Type="http://schemas.openxmlformats.org/officeDocument/2006/relationships/hyperlink" Target="https://ich.unesco.org/doc/src/LHE-24-19.COM-inf.6.c_EN.docx" TargetMode="External"/><Relationship Id="rId5" Type="http://schemas.openxmlformats.org/officeDocument/2006/relationships/webSettings" Target="webSettings.xml"/><Relationship Id="rId15" Type="http://schemas.openxmlformats.org/officeDocument/2006/relationships/hyperlink" Target="https://ich.unesco.org/en/decisions/10.GA/5" TargetMode="External"/><Relationship Id="rId23" Type="http://schemas.openxmlformats.org/officeDocument/2006/relationships/hyperlink" Target="https://unesdoc.unesco.org/in/documentViewer.xhtml?v=2.1.196&amp;id=p::usmarcdef_0000389517&amp;file=/in/rest/annotationSVC/DownloadWatermarkedAttachment/attach_import_2070f897-a60c-4a4e-a3f4-c957da565c94%3F_%3D389517eng.pdf&amp;updateUrl=updateUrl1212&amp;ark=/ark:/48223/pf0000389517/PDF/389517eng.pdf.multi&amp;fullScreen=true&amp;locale=en" TargetMode="External"/><Relationship Id="rId28" Type="http://schemas.openxmlformats.org/officeDocument/2006/relationships/fontTable" Target="fontTable.xml"/><Relationship Id="rId10" Type="http://schemas.openxmlformats.org/officeDocument/2006/relationships/hyperlink" Target="https://ich.unesco.org/en/Decisions/13.COM/8" TargetMode="External"/><Relationship Id="rId19" Type="http://schemas.openxmlformats.org/officeDocument/2006/relationships/hyperlink" Target="https://ich.unesco.org/en/decisions/18.COM/7.C" TargetMode="External"/><Relationship Id="rId4" Type="http://schemas.openxmlformats.org/officeDocument/2006/relationships/settings" Target="settings.xml"/><Relationship Id="rId9" Type="http://schemas.openxmlformats.org/officeDocument/2006/relationships/hyperlink" Target="https://ich.unesco.org/en/Decisions/7.GA/9" TargetMode="External"/><Relationship Id="rId14" Type="http://schemas.openxmlformats.org/officeDocument/2006/relationships/hyperlink" Target="https://unesdoc.unesco.org/ark:/48223/pf0000388995?posInSet=1&amp;queryId=bac1614c-87af-439e-8f80-730dd0527608" TargetMode="External"/><Relationship Id="rId22" Type="http://schemas.openxmlformats.org/officeDocument/2006/relationships/hyperlink" Target="https://unesdoc.unesco.org/in/documentViewer.xhtml?v=2.1.196&amp;id=p::usmarcdef_0000389517&amp;file=/in/rest/annotationSVC/DownloadWatermarkedAttachment/attach_import_2070f897-a60c-4a4e-a3f4-c957da565c94%3F_%3D389517eng.pdf&amp;locale=en&amp;multi=true&amp;ark=/ark:/48223/pf0000389517/PDF/389517eng.pdf"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doc/src/LHE-23-18.COM-7.b_EN_Rev..docx" TargetMode="External"/><Relationship Id="rId13" Type="http://schemas.openxmlformats.org/officeDocument/2006/relationships/hyperlink" Target="https://unesdoc.unesco.org/in/documentViewer.xhtml?v=2.1.196&amp;id=p::usmarcdef_0000389517&amp;file=/in/rest/annotationSVC/DownloadWatermarkedAttachment/attach_import_2070f897-a60c-4a4e-a3f4-c957da565c94%3F_%3D389517eng.pdf&amp;updateUrl=updateUrl1212&amp;ark=/ark:/48223/pf0000389517/PDF/389517eng.pdf.multi&amp;fullScreen=true&amp;locale=en" TargetMode="External"/><Relationship Id="rId3" Type="http://schemas.openxmlformats.org/officeDocument/2006/relationships/hyperlink" Target="https://ich.unesco.org/doc/src/LHE-22-17.COM-INF.6.c-EN.docx" TargetMode="External"/><Relationship Id="rId7" Type="http://schemas.openxmlformats.org/officeDocument/2006/relationships/hyperlink" Target="https://ich.unesco.org/en/decisions/18.COM/7.B" TargetMode="External"/><Relationship Id="rId12" Type="http://schemas.openxmlformats.org/officeDocument/2006/relationships/hyperlink" Target="https://unesdoc.unesco.org/notice?id=p%3A%3Ausmarcdef_0000388647" TargetMode="External"/><Relationship Id="rId2" Type="http://schemas.openxmlformats.org/officeDocument/2006/relationships/hyperlink" Target="https://ich.unesco.org/doc/src/LHE-21-16.COM-7.b-EN.docx" TargetMode="External"/><Relationship Id="rId1" Type="http://schemas.openxmlformats.org/officeDocument/2006/relationships/hyperlink" Target="https://ich.unesco.org/en/Decisions/16.COM/7.b" TargetMode="External"/><Relationship Id="rId6" Type="http://schemas.openxmlformats.org/officeDocument/2006/relationships/hyperlink" Target="https://ich.unesco.org/doc/src/LHE-23-18.COM-INF.7.c_EN.docx" TargetMode="External"/><Relationship Id="rId11" Type="http://schemas.openxmlformats.org/officeDocument/2006/relationships/hyperlink" Target="https://unesdoc.unesco.org/notice?id=p%3A%3Ausmarcdef_0000388647" TargetMode="External"/><Relationship Id="rId5" Type="http://schemas.openxmlformats.org/officeDocument/2006/relationships/hyperlink" Target="https://ich.unesco.org/doc/src/LHE-22-17.COM-6.b-_Rev.-EN.docx" TargetMode="External"/><Relationship Id="rId15" Type="http://schemas.openxmlformats.org/officeDocument/2006/relationships/hyperlink" Target="https://unesdoc.unesco.org/ark:/48223/pf0000389557" TargetMode="External"/><Relationship Id="rId10" Type="http://schemas.openxmlformats.org/officeDocument/2006/relationships/hyperlink" Target="https://ich.unesco.org/doc/src/LHE-24-19.COM-6.b_EN.docx" TargetMode="External"/><Relationship Id="rId4" Type="http://schemas.openxmlformats.org/officeDocument/2006/relationships/hyperlink" Target="https://ich.unesco.org/en/Decisions/17.COM/6.b" TargetMode="External"/><Relationship Id="rId9" Type="http://schemas.openxmlformats.org/officeDocument/2006/relationships/hyperlink" Target="https://ich.unesco.org/doc/src/LHE-24-19.COM-INF.6.c_EN.docx" TargetMode="External"/><Relationship Id="rId14" Type="http://schemas.openxmlformats.org/officeDocument/2006/relationships/hyperlink" Target="https://unesdoc.unesco.org/ark:/48223/pf000039044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246</TotalTime>
  <Pages>10</Pages>
  <Words>4099</Words>
  <Characters>22545</Characters>
  <Application>Microsoft Office Word</Application>
  <DocSecurity>0</DocSecurity>
  <Lines>187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Figea, Clarence</cp:lastModifiedBy>
  <cp:revision>75</cp:revision>
  <cp:lastPrinted>2024-10-27T17:06:00Z</cp:lastPrinted>
  <dcterms:created xsi:type="dcterms:W3CDTF">2024-11-03T13:41:00Z</dcterms:created>
  <dcterms:modified xsi:type="dcterms:W3CDTF">2024-11-04T21:28:00Z</dcterms:modified>
</cp:coreProperties>
</file>