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5E36E" w14:textId="2C143DE3" w:rsidR="00EC6F8D" w:rsidRPr="00BB6EEC" w:rsidRDefault="00EC6F8D" w:rsidP="00EC6F8D">
      <w:pPr>
        <w:spacing w:before="1440"/>
        <w:jc w:val="center"/>
        <w:rPr>
          <w:rFonts w:ascii="Arial" w:hAnsi="Arial" w:cs="Arial"/>
          <w:b/>
          <w:sz w:val="22"/>
          <w:szCs w:val="22"/>
          <w:lang w:val="en-GB"/>
        </w:rPr>
      </w:pPr>
      <w:r w:rsidRPr="00BB6EEC">
        <w:rPr>
          <w:rFonts w:ascii="Arial" w:hAnsi="Arial" w:cs="Arial"/>
          <w:b/>
          <w:sz w:val="22"/>
          <w:szCs w:val="22"/>
          <w:lang w:val="en-GB"/>
        </w:rPr>
        <w:t>CONVENTION FOR THE SAFEGUARDING OF THE</w:t>
      </w:r>
      <w:r w:rsidRPr="00BB6EEC">
        <w:rPr>
          <w:rFonts w:ascii="Arial" w:hAnsi="Arial" w:cs="Arial"/>
          <w:b/>
          <w:sz w:val="22"/>
          <w:szCs w:val="22"/>
          <w:lang w:val="en-GB"/>
        </w:rPr>
        <w:br/>
        <w:t>INTANGIBLE CULTURAL HERITAGE</w:t>
      </w:r>
    </w:p>
    <w:p w14:paraId="3F72B1D3" w14:textId="77777777" w:rsidR="00EC6F8D" w:rsidRPr="00BB6EEC" w:rsidRDefault="00EC6F8D" w:rsidP="00EC6F8D">
      <w:pPr>
        <w:spacing w:before="1200"/>
        <w:jc w:val="center"/>
        <w:rPr>
          <w:rFonts w:ascii="Arial" w:hAnsi="Arial" w:cs="Arial"/>
          <w:b/>
          <w:sz w:val="22"/>
          <w:szCs w:val="22"/>
          <w:lang w:val="en-GB"/>
        </w:rPr>
      </w:pPr>
      <w:r w:rsidRPr="00BB6EEC">
        <w:rPr>
          <w:rFonts w:ascii="Arial" w:hAnsi="Arial" w:cs="Arial"/>
          <w:b/>
          <w:sz w:val="22"/>
          <w:szCs w:val="22"/>
          <w:lang w:val="en-GB"/>
        </w:rPr>
        <w:t>INTERGOVERNMENTAL COMMITTEE FOR THE</w:t>
      </w:r>
      <w:r w:rsidRPr="00BB6EEC">
        <w:rPr>
          <w:rFonts w:ascii="Arial" w:hAnsi="Arial" w:cs="Arial"/>
          <w:b/>
          <w:sz w:val="22"/>
          <w:szCs w:val="22"/>
          <w:lang w:val="en-GB"/>
        </w:rPr>
        <w:br/>
        <w:t>SAFEGUARDING OF THE INTANGIBLE CULTURAL HERITAGE</w:t>
      </w:r>
    </w:p>
    <w:p w14:paraId="2E1CD4B4" w14:textId="7E2B2016" w:rsidR="00EC6F8D" w:rsidRPr="00BB6EEC" w:rsidRDefault="00D03C2A" w:rsidP="001D14FE">
      <w:pPr>
        <w:spacing w:before="840"/>
        <w:jc w:val="center"/>
        <w:rPr>
          <w:rFonts w:ascii="Arial" w:hAnsi="Arial" w:cs="Arial"/>
          <w:b/>
          <w:sz w:val="22"/>
          <w:szCs w:val="22"/>
          <w:lang w:val="en-GB"/>
        </w:rPr>
      </w:pPr>
      <w:r>
        <w:rPr>
          <w:rFonts w:ascii="Arial" w:eastAsiaTheme="minorEastAsia" w:hAnsi="Arial" w:cs="Arial"/>
          <w:b/>
          <w:sz w:val="22"/>
          <w:szCs w:val="22"/>
          <w:lang w:val="en-GB" w:eastAsia="ko-KR"/>
        </w:rPr>
        <w:t>Nineteenth</w:t>
      </w:r>
      <w:r w:rsidR="00B2172B" w:rsidRPr="00BB6EEC">
        <w:rPr>
          <w:rFonts w:ascii="Arial" w:eastAsiaTheme="minorEastAsia" w:hAnsi="Arial" w:cs="Arial"/>
          <w:b/>
          <w:sz w:val="22"/>
          <w:szCs w:val="22"/>
          <w:lang w:val="en-GB" w:eastAsia="ko-KR"/>
        </w:rPr>
        <w:t xml:space="preserve"> </w:t>
      </w:r>
      <w:r w:rsidR="00EC6F8D" w:rsidRPr="00BB6EEC">
        <w:rPr>
          <w:rFonts w:ascii="Arial" w:hAnsi="Arial" w:cs="Arial"/>
          <w:b/>
          <w:sz w:val="22"/>
          <w:szCs w:val="22"/>
          <w:lang w:val="en-GB"/>
        </w:rPr>
        <w:t>session</w:t>
      </w:r>
    </w:p>
    <w:p w14:paraId="1FD89575" w14:textId="64831094" w:rsidR="00B2172B" w:rsidRPr="00BB6EEC" w:rsidRDefault="00D03C2A" w:rsidP="00B2172B">
      <w:pPr>
        <w:jc w:val="center"/>
        <w:rPr>
          <w:rFonts w:ascii="Arial" w:hAnsi="Arial" w:cs="Arial"/>
          <w:b/>
          <w:sz w:val="22"/>
          <w:szCs w:val="22"/>
          <w:lang w:val="en-GB"/>
        </w:rPr>
      </w:pPr>
      <w:r>
        <w:rPr>
          <w:rFonts w:ascii="Arial" w:hAnsi="Arial" w:cs="Arial"/>
          <w:b/>
          <w:sz w:val="22"/>
          <w:szCs w:val="22"/>
          <w:lang w:val="en-GB"/>
        </w:rPr>
        <w:t>Asunción</w:t>
      </w:r>
      <w:r w:rsidR="00937D53" w:rsidRPr="00BB6EEC">
        <w:rPr>
          <w:rFonts w:ascii="Arial" w:hAnsi="Arial" w:cs="Arial"/>
          <w:b/>
          <w:sz w:val="22"/>
          <w:szCs w:val="22"/>
          <w:lang w:val="en-GB"/>
        </w:rPr>
        <w:t xml:space="preserve">, </w:t>
      </w:r>
      <w:r w:rsidR="00245501" w:rsidRPr="00BB6EEC">
        <w:rPr>
          <w:rFonts w:ascii="Arial" w:hAnsi="Arial" w:cs="Arial"/>
          <w:b/>
          <w:sz w:val="22"/>
          <w:szCs w:val="22"/>
          <w:lang w:val="en-GB"/>
        </w:rPr>
        <w:t xml:space="preserve">Republic of </w:t>
      </w:r>
      <w:r>
        <w:rPr>
          <w:rFonts w:ascii="Arial" w:hAnsi="Arial" w:cs="Arial"/>
          <w:b/>
          <w:sz w:val="22"/>
          <w:szCs w:val="22"/>
          <w:lang w:val="en-GB"/>
        </w:rPr>
        <w:t>Paraguay</w:t>
      </w:r>
    </w:p>
    <w:p w14:paraId="52EA6D50" w14:textId="22788626" w:rsidR="00B2172B" w:rsidRPr="00BB6EEC" w:rsidRDefault="00D03C2A" w:rsidP="00B2172B">
      <w:pPr>
        <w:jc w:val="center"/>
        <w:rPr>
          <w:rFonts w:ascii="Arial" w:hAnsi="Arial" w:cs="Arial"/>
          <w:b/>
          <w:sz w:val="22"/>
          <w:szCs w:val="22"/>
          <w:lang w:val="en-GB"/>
        </w:rPr>
      </w:pPr>
      <w:r>
        <w:rPr>
          <w:rFonts w:ascii="Arial" w:hAnsi="Arial" w:cs="Arial"/>
          <w:b/>
          <w:sz w:val="22"/>
          <w:szCs w:val="22"/>
          <w:lang w:val="en-GB"/>
        </w:rPr>
        <w:t>2</w:t>
      </w:r>
      <w:r w:rsidR="0026221A" w:rsidRPr="00BB6EEC">
        <w:rPr>
          <w:rFonts w:ascii="Arial" w:hAnsi="Arial" w:cs="Arial"/>
          <w:b/>
          <w:sz w:val="22"/>
          <w:szCs w:val="22"/>
          <w:lang w:val="en-GB"/>
        </w:rPr>
        <w:t xml:space="preserve"> to </w:t>
      </w:r>
      <w:r>
        <w:rPr>
          <w:rFonts w:ascii="Arial" w:hAnsi="Arial" w:cs="Arial"/>
          <w:b/>
          <w:sz w:val="22"/>
          <w:szCs w:val="22"/>
          <w:lang w:val="en-GB"/>
        </w:rPr>
        <w:t>7</w:t>
      </w:r>
      <w:r w:rsidR="00B2172B" w:rsidRPr="00BB6EEC">
        <w:rPr>
          <w:rFonts w:ascii="Arial" w:hAnsi="Arial" w:cs="Arial"/>
          <w:b/>
          <w:sz w:val="22"/>
          <w:szCs w:val="22"/>
          <w:lang w:val="en-GB"/>
        </w:rPr>
        <w:t xml:space="preserve"> December 202</w:t>
      </w:r>
      <w:r>
        <w:rPr>
          <w:rFonts w:ascii="Arial" w:hAnsi="Arial" w:cs="Arial"/>
          <w:b/>
          <w:sz w:val="22"/>
          <w:szCs w:val="22"/>
          <w:lang w:val="en-GB"/>
        </w:rPr>
        <w:t>4</w:t>
      </w:r>
    </w:p>
    <w:p w14:paraId="0365203A" w14:textId="65FD233C" w:rsidR="00EC6F8D" w:rsidRPr="00BB6EEC" w:rsidRDefault="00EC6F8D" w:rsidP="00EC6F8D">
      <w:pPr>
        <w:pStyle w:val="Sansinterligne2"/>
        <w:spacing w:before="1200"/>
        <w:jc w:val="center"/>
        <w:rPr>
          <w:rFonts w:ascii="Arial" w:hAnsi="Arial" w:cs="Arial"/>
          <w:b/>
          <w:sz w:val="22"/>
          <w:szCs w:val="22"/>
          <w:lang w:val="en-GB"/>
        </w:rPr>
      </w:pPr>
      <w:r w:rsidRPr="00BB6EEC">
        <w:rPr>
          <w:rFonts w:ascii="Arial" w:hAnsi="Arial" w:cs="Arial"/>
          <w:b/>
          <w:sz w:val="22"/>
          <w:szCs w:val="22"/>
          <w:u w:val="single"/>
          <w:lang w:val="en-GB"/>
        </w:rPr>
        <w:t xml:space="preserve">Item </w:t>
      </w:r>
      <w:r w:rsidR="00C47E17">
        <w:rPr>
          <w:rFonts w:ascii="Arial" w:hAnsi="Arial" w:cs="Arial"/>
          <w:b/>
          <w:sz w:val="22"/>
          <w:szCs w:val="22"/>
          <w:u w:val="single"/>
          <w:lang w:val="en-GB"/>
        </w:rPr>
        <w:t>3</w:t>
      </w:r>
      <w:r w:rsidR="00651A5B" w:rsidRPr="00BB6EEC">
        <w:rPr>
          <w:rFonts w:ascii="Arial" w:hAnsi="Arial" w:cs="Arial"/>
          <w:b/>
          <w:sz w:val="22"/>
          <w:szCs w:val="22"/>
          <w:u w:val="single"/>
          <w:lang w:val="en-GB"/>
        </w:rPr>
        <w:t xml:space="preserve"> </w:t>
      </w:r>
      <w:r w:rsidRPr="00BB6EEC">
        <w:rPr>
          <w:rFonts w:ascii="Arial" w:hAnsi="Arial" w:cs="Arial"/>
          <w:b/>
          <w:sz w:val="22"/>
          <w:szCs w:val="22"/>
          <w:u w:val="single"/>
          <w:lang w:val="en-GB"/>
        </w:rPr>
        <w:t xml:space="preserve">of the </w:t>
      </w:r>
      <w:r w:rsidR="00937D53" w:rsidRPr="00BB6EEC">
        <w:rPr>
          <w:rFonts w:ascii="Arial" w:hAnsi="Arial" w:cs="Arial"/>
          <w:b/>
          <w:sz w:val="22"/>
          <w:szCs w:val="22"/>
          <w:u w:val="single"/>
          <w:lang w:val="en-GB"/>
        </w:rPr>
        <w:t>p</w:t>
      </w:r>
      <w:r w:rsidRPr="00BB6EEC">
        <w:rPr>
          <w:rFonts w:ascii="Arial" w:hAnsi="Arial" w:cs="Arial"/>
          <w:b/>
          <w:sz w:val="22"/>
          <w:szCs w:val="22"/>
          <w:u w:val="single"/>
          <w:lang w:val="en-GB"/>
        </w:rPr>
        <w:t xml:space="preserve">rovisional </w:t>
      </w:r>
      <w:r w:rsidR="00937D53" w:rsidRPr="00BB6EEC">
        <w:rPr>
          <w:rFonts w:ascii="Arial" w:hAnsi="Arial" w:cs="Arial"/>
          <w:b/>
          <w:sz w:val="22"/>
          <w:szCs w:val="22"/>
          <w:u w:val="single"/>
          <w:lang w:val="en-GB"/>
        </w:rPr>
        <w:t>a</w:t>
      </w:r>
      <w:r w:rsidRPr="00BB6EEC">
        <w:rPr>
          <w:rFonts w:ascii="Arial" w:hAnsi="Arial" w:cs="Arial"/>
          <w:b/>
          <w:sz w:val="22"/>
          <w:szCs w:val="22"/>
          <w:u w:val="single"/>
          <w:lang w:val="en-GB"/>
        </w:rPr>
        <w:t>genda</w:t>
      </w:r>
      <w:r w:rsidRPr="00BB6EEC">
        <w:rPr>
          <w:rFonts w:ascii="Arial" w:hAnsi="Arial" w:cs="Arial"/>
          <w:b/>
          <w:sz w:val="22"/>
          <w:szCs w:val="22"/>
          <w:lang w:val="en-GB"/>
        </w:rPr>
        <w:t>:</w:t>
      </w:r>
    </w:p>
    <w:p w14:paraId="59920478" w14:textId="61DB09BF" w:rsidR="004A2875" w:rsidRPr="00BB6EEC" w:rsidRDefault="00C47E17" w:rsidP="004A2875">
      <w:pPr>
        <w:pStyle w:val="Sansinterligne2"/>
        <w:spacing w:after="960"/>
        <w:jc w:val="center"/>
        <w:rPr>
          <w:rFonts w:ascii="Arial" w:hAnsi="Arial" w:cs="Arial"/>
          <w:bCs/>
          <w:sz w:val="22"/>
          <w:szCs w:val="22"/>
          <w:lang w:val="en-GB"/>
        </w:rPr>
      </w:pPr>
      <w:r w:rsidRPr="00C47E17">
        <w:rPr>
          <w:rFonts w:ascii="Arial" w:hAnsi="Arial" w:cs="Arial"/>
          <w:b/>
          <w:sz w:val="22"/>
          <w:szCs w:val="22"/>
          <w:lang w:val="en-GB"/>
        </w:rPr>
        <w:t>Observers</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C47E17" w14:paraId="75AC6221" w14:textId="77777777" w:rsidTr="00EC6F8D">
        <w:trPr>
          <w:jc w:val="center"/>
        </w:trPr>
        <w:tc>
          <w:tcPr>
            <w:tcW w:w="5670" w:type="dxa"/>
            <w:vAlign w:val="center"/>
          </w:tcPr>
          <w:p w14:paraId="290310E8" w14:textId="18BDC4CA" w:rsidR="00EC6F8D" w:rsidRPr="00BB6EEC" w:rsidRDefault="00EC6F8D" w:rsidP="00CA56BB">
            <w:pPr>
              <w:pStyle w:val="Sansinterligne2"/>
              <w:spacing w:before="200" w:after="200"/>
              <w:jc w:val="both"/>
              <w:rPr>
                <w:rFonts w:ascii="Arial" w:hAnsi="Arial" w:cs="Arial"/>
                <w:b/>
                <w:sz w:val="22"/>
                <w:szCs w:val="22"/>
                <w:lang w:val="en-GB"/>
              </w:rPr>
            </w:pPr>
            <w:r w:rsidRPr="00BB6EEC">
              <w:rPr>
                <w:rFonts w:ascii="Arial" w:hAnsi="Arial" w:cs="Arial"/>
                <w:b/>
                <w:sz w:val="22"/>
                <w:szCs w:val="22"/>
                <w:lang w:val="en-GB"/>
              </w:rPr>
              <w:t xml:space="preserve">Decision required: </w:t>
            </w:r>
            <w:r w:rsidRPr="00BB6EEC">
              <w:rPr>
                <w:rFonts w:ascii="Arial" w:hAnsi="Arial" w:cs="Arial"/>
                <w:bCs/>
                <w:sz w:val="22"/>
                <w:szCs w:val="22"/>
                <w:lang w:val="en-GB"/>
              </w:rPr>
              <w:t xml:space="preserve">paragraph </w:t>
            </w:r>
            <w:r w:rsidR="00C35249">
              <w:rPr>
                <w:rFonts w:ascii="Arial" w:hAnsi="Arial" w:cs="Arial"/>
                <w:bCs/>
                <w:sz w:val="22"/>
                <w:szCs w:val="22"/>
                <w:lang w:val="en-GB"/>
              </w:rPr>
              <w:t>7</w:t>
            </w:r>
          </w:p>
        </w:tc>
      </w:tr>
    </w:tbl>
    <w:p w14:paraId="713D819F" w14:textId="77777777" w:rsidR="004A2875" w:rsidRPr="00BB6EEC" w:rsidRDefault="00655736" w:rsidP="004A2875">
      <w:pPr>
        <w:pStyle w:val="ListParagraph"/>
        <w:keepLines/>
        <w:numPr>
          <w:ilvl w:val="0"/>
          <w:numId w:val="13"/>
        </w:numPr>
        <w:spacing w:after="240"/>
        <w:ind w:left="567" w:hanging="567"/>
        <w:contextualSpacing w:val="0"/>
        <w:rPr>
          <w:rFonts w:ascii="Arial" w:hAnsi="Arial" w:cs="Arial"/>
          <w:b/>
          <w:snapToGrid w:val="0"/>
          <w:sz w:val="22"/>
          <w:szCs w:val="22"/>
          <w:lang w:val="en-GB" w:eastAsia="en-US"/>
        </w:rPr>
      </w:pPr>
      <w:r w:rsidRPr="00BB6EEC">
        <w:rPr>
          <w:lang w:val="en-GB"/>
        </w:rPr>
        <w:br w:type="page"/>
      </w:r>
    </w:p>
    <w:p w14:paraId="5FA2B7DB" w14:textId="16A27003" w:rsidR="0057439C" w:rsidRPr="00BB6EEC" w:rsidRDefault="00C47E17" w:rsidP="00C47E17">
      <w:pPr>
        <w:pStyle w:val="COMPara"/>
        <w:ind w:left="567" w:hanging="567"/>
        <w:jc w:val="both"/>
      </w:pPr>
      <w:r w:rsidRPr="00C47E17">
        <w:lastRenderedPageBreak/>
        <w:t>In conformity with Rule 8 of the Rules of Procedure</w:t>
      </w:r>
      <w:r w:rsidR="004054A9">
        <w:t xml:space="preserve"> of the Committee</w:t>
      </w:r>
      <w:r w:rsidRPr="00C47E17">
        <w:t xml:space="preserve">, </w:t>
      </w:r>
      <w:r w:rsidR="00902F4F">
        <w:t>the following entities may attend the sessions of the Committee as observers: (a)</w:t>
      </w:r>
      <w:r w:rsidR="00902F4F" w:rsidRPr="00902F4F">
        <w:t xml:space="preserve"> States Parties to the Convention which are not Members of the Committee (Rule 8.1)</w:t>
      </w:r>
      <w:r w:rsidR="00902F4F">
        <w:t xml:space="preserve"> and (b) </w:t>
      </w:r>
      <w:r w:rsidRPr="00C47E17">
        <w:t>States not party to the Convention which are Member States of UNESCO or of the United Nations, Associate Members of UNESCO, Permanent Observer Missions to UNESCO, representatives of the United Nations and organizations of the United Nations system (Rule 8.2).</w:t>
      </w:r>
    </w:p>
    <w:p w14:paraId="00743995" w14:textId="4FDD8254" w:rsidR="0057439C" w:rsidRDefault="00C47E17" w:rsidP="00C47E17">
      <w:pPr>
        <w:pStyle w:val="COMPara"/>
        <w:ind w:left="567" w:hanging="567"/>
        <w:jc w:val="both"/>
      </w:pPr>
      <w:r w:rsidRPr="00C47E17">
        <w:t>The Committee may also authorize intergovernmental organizations other than those referred to in Rule 8.2, as well as public or private bodies and private persons, with recognized competence in the various fields of intangible cultural heritage, to attend its future sessions as observers, upon written request (Rule 8.3).</w:t>
      </w:r>
    </w:p>
    <w:p w14:paraId="156289EB" w14:textId="70AFDDFB" w:rsidR="00C47E17" w:rsidRDefault="00C47E17" w:rsidP="00C47E17">
      <w:pPr>
        <w:pStyle w:val="COMPara"/>
        <w:ind w:left="567" w:hanging="567"/>
        <w:jc w:val="both"/>
      </w:pPr>
      <w:r w:rsidRPr="00C47E17">
        <w:t>As stipulated in its Rule 8.3, the Committee may authorize such institutions, organizations or private persons to attend a single session or several of its sessions, without prejudice to the Committee’s right to limit the number of representatives per organization or institution.</w:t>
      </w:r>
    </w:p>
    <w:p w14:paraId="4EBD9374" w14:textId="595268DE" w:rsidR="0080179C" w:rsidRDefault="00F83533" w:rsidP="007651AF">
      <w:pPr>
        <w:pStyle w:val="COMPara"/>
        <w:ind w:left="567" w:hanging="567"/>
        <w:jc w:val="both"/>
      </w:pPr>
      <w:r>
        <w:t>At its eighteenth session</w:t>
      </w:r>
      <w:r w:rsidR="0080179C">
        <w:t>, the Committee decided to authorize the participation</w:t>
      </w:r>
      <w:r>
        <w:t>,</w:t>
      </w:r>
      <w:r w:rsidR="0080179C">
        <w:t xml:space="preserve"> as</w:t>
      </w:r>
      <w:r>
        <w:t xml:space="preserve"> an</w:t>
      </w:r>
      <w:r w:rsidR="0080179C">
        <w:t xml:space="preserve"> observer</w:t>
      </w:r>
      <w:r>
        <w:t xml:space="preserve">, of </w:t>
      </w:r>
      <w:r w:rsidR="0080179C">
        <w:t xml:space="preserve">the International Centre for the Study of the Preservation and Restoration of Cultural Property (ICCROM) in its nineteenth, twentieth, twenty-first and twenty-second sessions in 2024, 2025, 2026 and 2027, respectively (Decision </w:t>
      </w:r>
      <w:hyperlink r:id="rId8" w:history="1">
        <w:r w:rsidR="0080179C" w:rsidRPr="00D65E73">
          <w:rPr>
            <w:rStyle w:val="Hyperlink"/>
          </w:rPr>
          <w:t>18.COM 3</w:t>
        </w:r>
      </w:hyperlink>
      <w:r w:rsidR="0080179C">
        <w:t>).</w:t>
      </w:r>
    </w:p>
    <w:p w14:paraId="662E7976" w14:textId="212F4C13" w:rsidR="00652F0F" w:rsidRPr="00652F0F" w:rsidRDefault="00652F0F" w:rsidP="007651AF">
      <w:pPr>
        <w:pStyle w:val="COMPara"/>
        <w:ind w:left="567" w:hanging="567"/>
        <w:jc w:val="both"/>
      </w:pPr>
      <w:r w:rsidRPr="004F18BF">
        <w:rPr>
          <w:lang w:val="en-US"/>
        </w:rPr>
        <w:t xml:space="preserve">On 30 November 2024, the Secretariat also received a written request from the Arab League Educational, Cultural and Scientific Organization (ALECSO) which seeks the authorization to participate in the Committee as an observer at its </w:t>
      </w:r>
      <w:r>
        <w:t xml:space="preserve">twentieth, twenty-first and twenty-second </w:t>
      </w:r>
      <w:r w:rsidRPr="004F18BF">
        <w:rPr>
          <w:lang w:val="en-US"/>
        </w:rPr>
        <w:t xml:space="preserve">sessions, in </w:t>
      </w:r>
      <w:r>
        <w:rPr>
          <w:lang w:val="en-US"/>
        </w:rPr>
        <w:t>2025</w:t>
      </w:r>
      <w:r w:rsidRPr="004F18BF">
        <w:rPr>
          <w:lang w:val="en-US"/>
        </w:rPr>
        <w:t xml:space="preserve">, </w:t>
      </w:r>
      <w:r>
        <w:rPr>
          <w:lang w:val="en-US"/>
        </w:rPr>
        <w:t>2026</w:t>
      </w:r>
      <w:r w:rsidRPr="004F18BF">
        <w:rPr>
          <w:lang w:val="en-US"/>
        </w:rPr>
        <w:t xml:space="preserve">, </w:t>
      </w:r>
      <w:r>
        <w:rPr>
          <w:lang w:val="en-US"/>
        </w:rPr>
        <w:t>and 2027</w:t>
      </w:r>
      <w:r w:rsidRPr="004F18BF">
        <w:rPr>
          <w:lang w:val="en-US"/>
        </w:rPr>
        <w:t xml:space="preserve"> respectively. Since the request was received after the publication of the working documents for this session, the Secretariat revised document 3 on 30 November 2024.</w:t>
      </w:r>
    </w:p>
    <w:p w14:paraId="4D40E835" w14:textId="59CE9617" w:rsidR="0080179C" w:rsidRDefault="0080179C" w:rsidP="007651AF">
      <w:pPr>
        <w:pStyle w:val="COMPara"/>
        <w:ind w:left="567" w:hanging="567"/>
        <w:jc w:val="both"/>
      </w:pPr>
      <w:r>
        <w:t xml:space="preserve">To date, no additional entities or private </w:t>
      </w:r>
      <w:r w:rsidRPr="00024AA0">
        <w:t>persons have made</w:t>
      </w:r>
      <w:r>
        <w:t xml:space="preserve"> a written request to attend either the present or future sessions of the Committee as observers.</w:t>
      </w:r>
    </w:p>
    <w:p w14:paraId="19E42144" w14:textId="30932058" w:rsidR="00C47E17" w:rsidRPr="00BB6EEC" w:rsidRDefault="00C47E17" w:rsidP="007651AF">
      <w:pPr>
        <w:pStyle w:val="COMPara"/>
        <w:ind w:left="567" w:hanging="567"/>
        <w:jc w:val="both"/>
      </w:pPr>
      <w:r>
        <w:t>The Committee may wish to adopt the following decision</w:t>
      </w:r>
      <w:r w:rsidR="00D65E73">
        <w:t>:</w:t>
      </w:r>
    </w:p>
    <w:p w14:paraId="6CEB1E9D" w14:textId="30699606" w:rsidR="00D95C4C" w:rsidRPr="00BB6EEC" w:rsidRDefault="004A34A0" w:rsidP="001D14FE">
      <w:pPr>
        <w:pStyle w:val="COMTitleDecision"/>
        <w:rPr>
          <w:rFonts w:eastAsia="SimSun"/>
        </w:rPr>
      </w:pPr>
      <w:r w:rsidRPr="00BB6EEC">
        <w:t xml:space="preserve">DRAFT </w:t>
      </w:r>
      <w:r w:rsidR="00CB0542" w:rsidRPr="00BB6EEC">
        <w:t>DECISION 1</w:t>
      </w:r>
      <w:r w:rsidR="00D03C2A">
        <w:t>9</w:t>
      </w:r>
      <w:r w:rsidR="00EC6F8D" w:rsidRPr="00BB6EEC">
        <w:t>.COM</w:t>
      </w:r>
      <w:r w:rsidR="00517FD8" w:rsidRPr="00BB6EEC">
        <w:t xml:space="preserve"> </w:t>
      </w:r>
      <w:r w:rsidR="00C47E17">
        <w:t>3</w:t>
      </w:r>
    </w:p>
    <w:p w14:paraId="13024F0B" w14:textId="77777777" w:rsidR="00D95C4C" w:rsidRPr="00BB6EEC" w:rsidRDefault="00285BB4" w:rsidP="00285BB4">
      <w:pPr>
        <w:pStyle w:val="COMPreambulaDecisions"/>
        <w:rPr>
          <w:rFonts w:eastAsia="SimSun"/>
        </w:rPr>
      </w:pPr>
      <w:r w:rsidRPr="00BB6EEC">
        <w:t>The Committee,</w:t>
      </w:r>
    </w:p>
    <w:p w14:paraId="4ECF4B16" w14:textId="1F9BF545" w:rsidR="00C47E17" w:rsidRPr="00C47E17" w:rsidRDefault="00C47E17" w:rsidP="0071077D">
      <w:pPr>
        <w:pStyle w:val="COMParaDecision"/>
        <w:rPr>
          <w:u w:val="none"/>
        </w:rPr>
      </w:pPr>
      <w:r>
        <w:t>Having examined</w:t>
      </w:r>
      <w:r w:rsidRPr="00C47E17">
        <w:rPr>
          <w:u w:val="none"/>
        </w:rPr>
        <w:t xml:space="preserve"> document LHE/2</w:t>
      </w:r>
      <w:r w:rsidR="0080179C">
        <w:rPr>
          <w:u w:val="none"/>
        </w:rPr>
        <w:t>4</w:t>
      </w:r>
      <w:r w:rsidRPr="00C47E17">
        <w:rPr>
          <w:u w:val="none"/>
        </w:rPr>
        <w:t>/1</w:t>
      </w:r>
      <w:r w:rsidR="0080179C">
        <w:rPr>
          <w:u w:val="none"/>
        </w:rPr>
        <w:t>9</w:t>
      </w:r>
      <w:r w:rsidRPr="00C47E17">
        <w:rPr>
          <w:u w:val="none"/>
        </w:rPr>
        <w:t>.COM/3</w:t>
      </w:r>
      <w:r w:rsidR="00AC5145">
        <w:rPr>
          <w:u w:val="none"/>
        </w:rPr>
        <w:t xml:space="preserve"> Rev.</w:t>
      </w:r>
      <w:r w:rsidRPr="00C47E17">
        <w:rPr>
          <w:u w:val="none"/>
        </w:rPr>
        <w:t>,</w:t>
      </w:r>
    </w:p>
    <w:p w14:paraId="01806429" w14:textId="77777777" w:rsidR="00C47E17" w:rsidRDefault="00C47E17" w:rsidP="0071077D">
      <w:pPr>
        <w:pStyle w:val="COMParaDecision"/>
        <w:rPr>
          <w:u w:val="none"/>
        </w:rPr>
      </w:pPr>
      <w:r>
        <w:t>Recalling</w:t>
      </w:r>
      <w:r w:rsidRPr="00C47E17">
        <w:rPr>
          <w:u w:val="none"/>
        </w:rPr>
        <w:t xml:space="preserve"> Rules 8.1, 8.2 and 8.3 of the Rules of Procedure of the Committee,</w:t>
      </w:r>
    </w:p>
    <w:p w14:paraId="69F9BF13" w14:textId="2DBA70BE" w:rsidR="0080179C" w:rsidRPr="0080179C" w:rsidRDefault="0080179C" w:rsidP="0071077D">
      <w:pPr>
        <w:pStyle w:val="COMParaDecision"/>
        <w:rPr>
          <w:u w:val="none"/>
        </w:rPr>
      </w:pPr>
      <w:r w:rsidRPr="0080179C">
        <w:t>Further recalling</w:t>
      </w:r>
      <w:r w:rsidRPr="0080179C">
        <w:rPr>
          <w:u w:val="none"/>
        </w:rPr>
        <w:t xml:space="preserve"> its Decision </w:t>
      </w:r>
      <w:hyperlink r:id="rId9" w:history="1">
        <w:r w:rsidRPr="00D65E73">
          <w:rPr>
            <w:rStyle w:val="Hyperlink"/>
          </w:rPr>
          <w:t>1</w:t>
        </w:r>
        <w:r w:rsidR="0071077D" w:rsidRPr="00D65E73">
          <w:rPr>
            <w:rStyle w:val="Hyperlink"/>
          </w:rPr>
          <w:t>8</w:t>
        </w:r>
        <w:r w:rsidRPr="00D65E73">
          <w:rPr>
            <w:rStyle w:val="Hyperlink"/>
          </w:rPr>
          <w:t>.COM 3</w:t>
        </w:r>
      </w:hyperlink>
      <w:r w:rsidRPr="0080179C">
        <w:rPr>
          <w:u w:val="none"/>
        </w:rPr>
        <w:t>,</w:t>
      </w:r>
    </w:p>
    <w:p w14:paraId="2D2433A4" w14:textId="3A9A8CAF" w:rsidR="0080179C" w:rsidRDefault="0080179C" w:rsidP="0071077D">
      <w:pPr>
        <w:pStyle w:val="COMParaDecision"/>
        <w:rPr>
          <w:u w:val="none"/>
        </w:rPr>
      </w:pPr>
      <w:r w:rsidRPr="0080179C">
        <w:t>Takes note</w:t>
      </w:r>
      <w:r w:rsidRPr="0080179C">
        <w:rPr>
          <w:u w:val="none"/>
        </w:rPr>
        <w:t xml:space="preserve"> of the following observer authorized to participate in its </w:t>
      </w:r>
      <w:r w:rsidR="0071077D">
        <w:rPr>
          <w:u w:val="none"/>
        </w:rPr>
        <w:t>nine</w:t>
      </w:r>
      <w:r w:rsidRPr="0080179C">
        <w:rPr>
          <w:u w:val="none"/>
        </w:rPr>
        <w:t>teenth session, in conformity with the above-mentioned decision:</w:t>
      </w:r>
    </w:p>
    <w:p w14:paraId="0FD73F13" w14:textId="77777777" w:rsidR="00AC5145" w:rsidRPr="004F18BF" w:rsidRDefault="00AC5145" w:rsidP="004F18BF">
      <w:pPr>
        <w:pStyle w:val="COMParaDecision"/>
        <w:numPr>
          <w:ilvl w:val="0"/>
          <w:numId w:val="29"/>
        </w:numPr>
        <w:ind w:left="1701" w:hanging="567"/>
        <w:rPr>
          <w:u w:val="none"/>
        </w:rPr>
      </w:pPr>
      <w:r w:rsidRPr="004F18BF">
        <w:rPr>
          <w:u w:val="none"/>
        </w:rPr>
        <w:t>The International Centre for the Study of the Preservation and Restoration of Cultural Property (ICCROM)</w:t>
      </w:r>
    </w:p>
    <w:p w14:paraId="1BDD29A5" w14:textId="6812CAB6" w:rsidR="00652F0F" w:rsidRPr="00520B6F" w:rsidRDefault="00652F0F" w:rsidP="00652F0F">
      <w:pPr>
        <w:pStyle w:val="COMParaDecision"/>
      </w:pPr>
      <w:r w:rsidRPr="00DD7C29">
        <w:rPr>
          <w:shd w:val="clear" w:color="auto" w:fill="FFFFFF"/>
        </w:rPr>
        <w:t>Authorizes</w:t>
      </w:r>
      <w:r>
        <w:rPr>
          <w:u w:val="none"/>
          <w:shd w:val="clear" w:color="auto" w:fill="FFFFFF"/>
        </w:rPr>
        <w:t xml:space="preserve"> </w:t>
      </w:r>
      <w:r w:rsidRPr="00DD7C29">
        <w:rPr>
          <w:u w:val="none"/>
          <w:shd w:val="clear" w:color="auto" w:fill="FFFFFF"/>
        </w:rPr>
        <w:t>the</w:t>
      </w:r>
      <w:r>
        <w:rPr>
          <w:u w:val="none"/>
          <w:shd w:val="clear" w:color="auto" w:fill="FFFFFF"/>
        </w:rPr>
        <w:t xml:space="preserve"> participation, as an observer</w:t>
      </w:r>
      <w:r w:rsidRPr="00DD7C29">
        <w:rPr>
          <w:u w:val="none"/>
          <w:shd w:val="clear" w:color="auto" w:fill="FFFFFF"/>
        </w:rPr>
        <w:t>, of</w:t>
      </w:r>
      <w:r w:rsidRPr="00DD7C29">
        <w:rPr>
          <w:u w:val="none"/>
        </w:rPr>
        <w:t xml:space="preserve"> the </w:t>
      </w:r>
      <w:r w:rsidRPr="00652F0F">
        <w:rPr>
          <w:u w:val="none"/>
        </w:rPr>
        <w:t>Arab League Educational, Cultural and Scientific Organization (ALECSO)</w:t>
      </w:r>
      <w:r>
        <w:rPr>
          <w:u w:val="none"/>
          <w:shd w:val="clear" w:color="auto" w:fill="FFFFFF"/>
        </w:rPr>
        <w:t xml:space="preserve"> in the twentieth, twenty</w:t>
      </w:r>
      <w:r w:rsidRPr="00DD7C29">
        <w:rPr>
          <w:u w:val="none"/>
        </w:rPr>
        <w:t>-first</w:t>
      </w:r>
      <w:r>
        <w:rPr>
          <w:u w:val="none"/>
        </w:rPr>
        <w:t xml:space="preserve"> and </w:t>
      </w:r>
      <w:r w:rsidRPr="00DD7C29">
        <w:rPr>
          <w:u w:val="none"/>
        </w:rPr>
        <w:t>twenty-second</w:t>
      </w:r>
      <w:r>
        <w:rPr>
          <w:u w:val="none"/>
        </w:rPr>
        <w:t xml:space="preserve"> sessions of the</w:t>
      </w:r>
      <w:r w:rsidRPr="00DD7C29">
        <w:rPr>
          <w:u w:val="none"/>
          <w:shd w:val="clear" w:color="auto" w:fill="FFFFFF"/>
        </w:rPr>
        <w:t xml:space="preserve"> Committee</w:t>
      </w:r>
      <w:r w:rsidRPr="00100787">
        <w:rPr>
          <w:u w:val="none"/>
        </w:rPr>
        <w:t>.</w:t>
      </w:r>
    </w:p>
    <w:p w14:paraId="7DAC5E72" w14:textId="31DB708B" w:rsidR="00AC5145" w:rsidRPr="00652F0F" w:rsidRDefault="00AC5145" w:rsidP="004F18BF">
      <w:pPr>
        <w:pStyle w:val="COMParaDecision"/>
        <w:numPr>
          <w:ilvl w:val="0"/>
          <w:numId w:val="0"/>
        </w:numPr>
        <w:ind w:left="567"/>
        <w:rPr>
          <w:u w:val="none"/>
        </w:rPr>
      </w:pPr>
    </w:p>
    <w:sectPr w:rsidR="00AC5145" w:rsidRPr="00652F0F" w:rsidSect="00655736">
      <w:headerReference w:type="even" r:id="rId10"/>
      <w:headerReference w:type="default" r:id="rId11"/>
      <w:headerReference w:type="first" r:id="rId12"/>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241ED" w14:textId="77777777" w:rsidR="002D3513" w:rsidRDefault="002D3513" w:rsidP="00655736">
      <w:r>
        <w:separator/>
      </w:r>
    </w:p>
  </w:endnote>
  <w:endnote w:type="continuationSeparator" w:id="0">
    <w:p w14:paraId="4ABB0AB6" w14:textId="77777777" w:rsidR="002D3513" w:rsidRDefault="002D3513"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DA7CD" w14:textId="77777777" w:rsidR="002D3513" w:rsidRDefault="002D3513" w:rsidP="00655736">
      <w:r>
        <w:separator/>
      </w:r>
    </w:p>
  </w:footnote>
  <w:footnote w:type="continuationSeparator" w:id="0">
    <w:p w14:paraId="1AC8C0D9" w14:textId="77777777" w:rsidR="002D3513" w:rsidRDefault="002D3513"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EA055" w14:textId="3D9FF260" w:rsidR="00D95C4C" w:rsidRPr="00C23A97" w:rsidRDefault="00C5776D" w:rsidP="00C5776D">
    <w:pPr>
      <w:pStyle w:val="Header"/>
      <w:rPr>
        <w:rFonts w:ascii="Arial" w:hAnsi="Arial" w:cs="Arial"/>
        <w:lang w:val="en-GB"/>
      </w:rPr>
    </w:pPr>
    <w:r>
      <w:rPr>
        <w:rFonts w:ascii="Arial" w:hAnsi="Arial" w:cs="Arial"/>
        <w:sz w:val="20"/>
        <w:szCs w:val="20"/>
        <w:lang w:val="en-GB"/>
      </w:rPr>
      <w:t>L</w:t>
    </w:r>
    <w:r w:rsidR="00CB0542">
      <w:rPr>
        <w:rFonts w:ascii="Arial" w:hAnsi="Arial" w:cs="Arial"/>
        <w:sz w:val="20"/>
        <w:szCs w:val="20"/>
        <w:lang w:val="en-GB"/>
      </w:rPr>
      <w:t>H</w:t>
    </w:r>
    <w:r>
      <w:rPr>
        <w:rFonts w:ascii="Arial" w:hAnsi="Arial" w:cs="Arial"/>
        <w:sz w:val="20"/>
        <w:szCs w:val="20"/>
        <w:lang w:val="en-GB"/>
      </w:rPr>
      <w:t>E</w:t>
    </w:r>
    <w:r w:rsidR="00CB0542">
      <w:rPr>
        <w:rFonts w:ascii="Arial" w:hAnsi="Arial" w:cs="Arial"/>
        <w:sz w:val="20"/>
        <w:szCs w:val="20"/>
        <w:lang w:val="en-GB"/>
      </w:rPr>
      <w:t>/</w:t>
    </w:r>
    <w:r w:rsidR="00D7105A">
      <w:rPr>
        <w:rFonts w:ascii="Arial" w:hAnsi="Arial" w:cs="Arial"/>
        <w:sz w:val="20"/>
        <w:szCs w:val="20"/>
        <w:lang w:val="en-GB"/>
      </w:rPr>
      <w:t>2</w:t>
    </w:r>
    <w:r w:rsidR="00D03C2A">
      <w:rPr>
        <w:rFonts w:ascii="Arial" w:hAnsi="Arial" w:cs="Arial"/>
        <w:sz w:val="20"/>
        <w:szCs w:val="20"/>
        <w:lang w:val="en-GB"/>
      </w:rPr>
      <w:t>4</w:t>
    </w:r>
    <w:r w:rsidR="00CB0542">
      <w:rPr>
        <w:rFonts w:ascii="Arial" w:hAnsi="Arial" w:cs="Arial"/>
        <w:sz w:val="20"/>
        <w:szCs w:val="20"/>
        <w:lang w:val="en-GB"/>
      </w:rPr>
      <w:t>/1</w:t>
    </w:r>
    <w:r w:rsidR="00D03C2A">
      <w:rPr>
        <w:rFonts w:ascii="Arial" w:hAnsi="Arial" w:cs="Arial"/>
        <w:sz w:val="20"/>
        <w:szCs w:val="20"/>
        <w:lang w:val="en-GB"/>
      </w:rPr>
      <w:t>9</w:t>
    </w:r>
    <w:r w:rsidR="00EC6F8D">
      <w:rPr>
        <w:rFonts w:ascii="Arial" w:hAnsi="Arial" w:cs="Arial"/>
        <w:sz w:val="20"/>
        <w:szCs w:val="20"/>
        <w:lang w:val="en-GB"/>
      </w:rPr>
      <w:t>.COM</w:t>
    </w:r>
    <w:r w:rsidR="00D95C4C" w:rsidRPr="00C23A97">
      <w:rPr>
        <w:rFonts w:ascii="Arial" w:hAnsi="Arial" w:cs="Arial"/>
        <w:sz w:val="20"/>
        <w:szCs w:val="20"/>
        <w:lang w:val="en-GB"/>
      </w:rPr>
      <w:t>/</w:t>
    </w:r>
    <w:r w:rsidR="00C47E17">
      <w:rPr>
        <w:rFonts w:ascii="Arial" w:hAnsi="Arial" w:cs="Arial"/>
        <w:sz w:val="20"/>
        <w:szCs w:val="20"/>
        <w:lang w:val="en-GB"/>
      </w:rPr>
      <w:t>3</w:t>
    </w:r>
    <w:r w:rsidR="00AC5145">
      <w:rPr>
        <w:rFonts w:ascii="Arial" w:hAnsi="Arial" w:cs="Arial"/>
        <w:sz w:val="20"/>
        <w:szCs w:val="20"/>
        <w:lang w:val="en-GB"/>
      </w:rPr>
      <w:t xml:space="preserve"> Rev.</w:t>
    </w:r>
    <w:r w:rsidR="00D95C4C" w:rsidRPr="00C23A97">
      <w:rPr>
        <w:rFonts w:ascii="Arial" w:hAnsi="Arial" w:cs="Arial"/>
        <w:sz w:val="20"/>
        <w:szCs w:val="20"/>
        <w:lang w:val="en-GB"/>
      </w:rPr>
      <w:t xml:space="preserve"> – page </w:t>
    </w:r>
    <w:r w:rsidR="00D95C4C" w:rsidRPr="00C23A97">
      <w:rPr>
        <w:rStyle w:val="PageNumber"/>
        <w:rFonts w:ascii="Arial" w:hAnsi="Arial" w:cs="Arial"/>
        <w:sz w:val="20"/>
        <w:szCs w:val="20"/>
        <w:lang w:val="en-GB"/>
      </w:rPr>
      <w:fldChar w:fldCharType="begin"/>
    </w:r>
    <w:r w:rsidR="00D95C4C" w:rsidRPr="00C23A97">
      <w:rPr>
        <w:rStyle w:val="PageNumber"/>
        <w:rFonts w:ascii="Arial" w:hAnsi="Arial" w:cs="Arial"/>
        <w:sz w:val="20"/>
        <w:szCs w:val="20"/>
        <w:lang w:val="en-GB"/>
      </w:rPr>
      <w:instrText xml:space="preserve"> PAGE </w:instrText>
    </w:r>
    <w:r w:rsidR="00D95C4C" w:rsidRPr="00C23A97">
      <w:rPr>
        <w:rStyle w:val="PageNumber"/>
        <w:rFonts w:ascii="Arial" w:hAnsi="Arial" w:cs="Arial"/>
        <w:sz w:val="20"/>
        <w:szCs w:val="20"/>
        <w:lang w:val="en-GB"/>
      </w:rPr>
      <w:fldChar w:fldCharType="separate"/>
    </w:r>
    <w:r w:rsidR="006E75EB">
      <w:rPr>
        <w:rStyle w:val="PageNumber"/>
        <w:rFonts w:ascii="Arial" w:hAnsi="Arial" w:cs="Arial"/>
        <w:noProof/>
        <w:sz w:val="20"/>
        <w:szCs w:val="20"/>
        <w:lang w:val="en-GB"/>
      </w:rPr>
      <w:t>2</w:t>
    </w:r>
    <w:r w:rsidR="00D95C4C"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F231B" w14:textId="58E9A2A9" w:rsidR="00D95C4C" w:rsidRPr="0063300C" w:rsidRDefault="00C5776D" w:rsidP="00C5776D">
    <w:pPr>
      <w:pStyle w:val="Header"/>
      <w:jc w:val="right"/>
      <w:rPr>
        <w:rFonts w:ascii="Arial" w:hAnsi="Arial" w:cs="Arial"/>
        <w:lang w:val="en-GB"/>
      </w:rPr>
    </w:pPr>
    <w:r>
      <w:rPr>
        <w:rFonts w:ascii="Arial" w:hAnsi="Arial" w:cs="Arial"/>
        <w:sz w:val="20"/>
        <w:szCs w:val="20"/>
        <w:lang w:val="en-GB"/>
      </w:rPr>
      <w:t>L</w:t>
    </w:r>
    <w:r w:rsidR="0053318C">
      <w:rPr>
        <w:rFonts w:ascii="Arial" w:hAnsi="Arial" w:cs="Arial"/>
        <w:sz w:val="20"/>
        <w:szCs w:val="20"/>
        <w:lang w:val="en-GB"/>
      </w:rPr>
      <w:t>H</w:t>
    </w:r>
    <w:r>
      <w:rPr>
        <w:rFonts w:ascii="Arial" w:hAnsi="Arial" w:cs="Arial"/>
        <w:sz w:val="20"/>
        <w:szCs w:val="20"/>
        <w:lang w:val="en-GB"/>
      </w:rPr>
      <w:t>E</w:t>
    </w:r>
    <w:r w:rsidR="00E2125F">
      <w:rPr>
        <w:rFonts w:ascii="Arial" w:hAnsi="Arial" w:cs="Arial"/>
        <w:sz w:val="20"/>
        <w:szCs w:val="20"/>
        <w:lang w:val="en-GB"/>
      </w:rPr>
      <w:t>/2</w:t>
    </w:r>
    <w:r w:rsidR="00D03C2A">
      <w:rPr>
        <w:rFonts w:ascii="Arial" w:hAnsi="Arial" w:cs="Arial"/>
        <w:sz w:val="20"/>
        <w:szCs w:val="20"/>
        <w:lang w:val="en-GB"/>
      </w:rPr>
      <w:t>4</w:t>
    </w:r>
    <w:r w:rsidR="0053318C">
      <w:rPr>
        <w:rFonts w:ascii="Arial" w:hAnsi="Arial" w:cs="Arial"/>
        <w:sz w:val="20"/>
        <w:szCs w:val="20"/>
        <w:lang w:val="en-GB"/>
      </w:rPr>
      <w:t>/1</w:t>
    </w:r>
    <w:r w:rsidR="00D03C2A">
      <w:rPr>
        <w:rFonts w:ascii="Arial" w:hAnsi="Arial" w:cs="Arial"/>
        <w:sz w:val="20"/>
        <w:szCs w:val="20"/>
        <w:lang w:val="en-GB"/>
      </w:rPr>
      <w:t>9</w:t>
    </w:r>
    <w:r w:rsidR="00EC6F8D">
      <w:rPr>
        <w:rFonts w:ascii="Arial" w:hAnsi="Arial" w:cs="Arial"/>
        <w:sz w:val="20"/>
        <w:szCs w:val="20"/>
        <w:lang w:val="en-GB"/>
      </w:rPr>
      <w:t>.COM</w:t>
    </w:r>
    <w:r w:rsidR="004A34A0" w:rsidRPr="0063300C">
      <w:rPr>
        <w:rFonts w:ascii="Arial" w:hAnsi="Arial" w:cs="Arial"/>
        <w:sz w:val="20"/>
        <w:szCs w:val="20"/>
        <w:lang w:val="en-GB"/>
      </w:rPr>
      <w:t>/</w:t>
    </w:r>
    <w:r w:rsidR="00E2125F" w:rsidRPr="00E2125F">
      <w:rPr>
        <w:rFonts w:ascii="Arial" w:hAnsi="Arial" w:cs="Arial"/>
        <w:sz w:val="20"/>
        <w:szCs w:val="20"/>
        <w:highlight w:val="yellow"/>
        <w:lang w:val="en-GB"/>
      </w:rPr>
      <w:t>XX</w:t>
    </w:r>
    <w:r w:rsidR="004A34A0" w:rsidRPr="00E2125F">
      <w:rPr>
        <w:rFonts w:ascii="Arial" w:hAnsi="Arial" w:cs="Arial"/>
        <w:sz w:val="20"/>
        <w:szCs w:val="20"/>
        <w:lang w:val="en-GB"/>
      </w:rPr>
      <w:t xml:space="preserve"> –</w:t>
    </w:r>
    <w:r w:rsidR="004A34A0" w:rsidRPr="0063300C">
      <w:rPr>
        <w:rFonts w:ascii="Arial" w:hAnsi="Arial" w:cs="Arial"/>
        <w:sz w:val="20"/>
        <w:szCs w:val="20"/>
        <w:lang w:val="en-GB"/>
      </w:rPr>
      <w:t xml:space="preserve"> page </w:t>
    </w:r>
    <w:r w:rsidR="004A34A0" w:rsidRPr="0063300C">
      <w:rPr>
        <w:rStyle w:val="PageNumber"/>
        <w:rFonts w:ascii="Arial" w:hAnsi="Arial" w:cs="Arial"/>
        <w:sz w:val="20"/>
        <w:szCs w:val="20"/>
        <w:lang w:val="en-GB"/>
      </w:rPr>
      <w:fldChar w:fldCharType="begin"/>
    </w:r>
    <w:r w:rsidR="004A34A0" w:rsidRPr="0063300C">
      <w:rPr>
        <w:rStyle w:val="PageNumber"/>
        <w:rFonts w:ascii="Arial" w:hAnsi="Arial" w:cs="Arial"/>
        <w:sz w:val="20"/>
        <w:szCs w:val="20"/>
        <w:lang w:val="en-GB"/>
      </w:rPr>
      <w:instrText xml:space="preserve"> PAGE </w:instrText>
    </w:r>
    <w:r w:rsidR="004A34A0" w:rsidRPr="0063300C">
      <w:rPr>
        <w:rStyle w:val="PageNumber"/>
        <w:rFonts w:ascii="Arial" w:hAnsi="Arial" w:cs="Arial"/>
        <w:sz w:val="20"/>
        <w:szCs w:val="20"/>
        <w:lang w:val="en-GB"/>
      </w:rPr>
      <w:fldChar w:fldCharType="separate"/>
    </w:r>
    <w:r w:rsidR="00190205">
      <w:rPr>
        <w:rStyle w:val="PageNumber"/>
        <w:rFonts w:ascii="Arial" w:hAnsi="Arial" w:cs="Arial"/>
        <w:noProof/>
        <w:sz w:val="20"/>
        <w:szCs w:val="20"/>
        <w:lang w:val="en-GB"/>
      </w:rPr>
      <w:t>3</w:t>
    </w:r>
    <w:r w:rsidR="004A34A0"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0B9E0" w14:textId="6024C938" w:rsidR="00D95C4C" w:rsidRPr="00E95AE2" w:rsidRDefault="00962034">
    <w:pPr>
      <w:pStyle w:val="Header"/>
      <w:rPr>
        <w:sz w:val="22"/>
        <w:szCs w:val="22"/>
        <w:lang w:val="en-GB"/>
      </w:rPr>
    </w:pPr>
    <w:r>
      <w:rPr>
        <w:noProof/>
        <w:lang w:val="en-GB"/>
      </w:rPr>
      <w:drawing>
        <wp:anchor distT="0" distB="0" distL="114300" distR="114300" simplePos="0" relativeHeight="251659264" behindDoc="0" locked="0" layoutInCell="1" allowOverlap="1" wp14:anchorId="7E484C05" wp14:editId="51C361AB">
          <wp:simplePos x="0" y="0"/>
          <wp:positionH relativeFrom="margin">
            <wp:align>left</wp:align>
          </wp:positionH>
          <wp:positionV relativeFrom="paragraph">
            <wp:posOffset>97155</wp:posOffset>
          </wp:positionV>
          <wp:extent cx="1711325" cy="1296035"/>
          <wp:effectExtent l="0" t="0" r="317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B917" w14:textId="6E989C64" w:rsidR="00D95C4C" w:rsidRPr="00D7105A" w:rsidRDefault="00337CEB" w:rsidP="00C5776D">
    <w:pPr>
      <w:pStyle w:val="Header"/>
      <w:spacing w:after="520"/>
      <w:jc w:val="right"/>
      <w:rPr>
        <w:rFonts w:ascii="Arial" w:hAnsi="Arial" w:cs="Arial"/>
        <w:b/>
        <w:sz w:val="44"/>
        <w:szCs w:val="44"/>
        <w:lang w:val="pt-PT"/>
      </w:rPr>
    </w:pPr>
    <w:r w:rsidRPr="00D7105A">
      <w:rPr>
        <w:rFonts w:ascii="Arial" w:hAnsi="Arial" w:cs="Arial"/>
        <w:b/>
        <w:sz w:val="44"/>
        <w:szCs w:val="44"/>
        <w:lang w:val="pt-PT"/>
      </w:rPr>
      <w:t>1</w:t>
    </w:r>
    <w:r w:rsidR="00D03C2A">
      <w:rPr>
        <w:rFonts w:ascii="Arial" w:hAnsi="Arial" w:cs="Arial"/>
        <w:b/>
        <w:sz w:val="44"/>
        <w:szCs w:val="44"/>
        <w:lang w:val="pt-PT"/>
      </w:rPr>
      <w:t>9</w:t>
    </w:r>
    <w:r w:rsidR="00EC6F8D" w:rsidRPr="00D7105A">
      <w:rPr>
        <w:rFonts w:ascii="Arial" w:hAnsi="Arial" w:cs="Arial"/>
        <w:b/>
        <w:sz w:val="44"/>
        <w:szCs w:val="44"/>
        <w:lang w:val="pt-PT"/>
      </w:rPr>
      <w:t xml:space="preserve"> COM</w:t>
    </w:r>
  </w:p>
  <w:p w14:paraId="306484B8" w14:textId="1946F6A0" w:rsidR="00D95C4C" w:rsidRPr="002A3355" w:rsidRDefault="00C5776D" w:rsidP="00C5776D">
    <w:pPr>
      <w:jc w:val="right"/>
      <w:rPr>
        <w:rFonts w:ascii="Arial" w:hAnsi="Arial" w:cs="Arial"/>
        <w:b/>
        <w:sz w:val="22"/>
        <w:szCs w:val="22"/>
        <w:lang w:val="pt-PT"/>
      </w:rPr>
    </w:pPr>
    <w:r w:rsidRPr="002A3355">
      <w:rPr>
        <w:rFonts w:ascii="Arial" w:hAnsi="Arial" w:cs="Arial"/>
        <w:b/>
        <w:sz w:val="22"/>
        <w:szCs w:val="22"/>
        <w:lang w:val="pt-PT"/>
      </w:rPr>
      <w:t>LHE</w:t>
    </w:r>
    <w:r w:rsidR="00337CEB" w:rsidRPr="002A3355">
      <w:rPr>
        <w:rFonts w:ascii="Arial" w:hAnsi="Arial" w:cs="Arial"/>
        <w:b/>
        <w:sz w:val="22"/>
        <w:szCs w:val="22"/>
        <w:lang w:val="pt-PT"/>
      </w:rPr>
      <w:t>/</w:t>
    </w:r>
    <w:r w:rsidR="00D7105A" w:rsidRPr="002A3355">
      <w:rPr>
        <w:rFonts w:ascii="Arial" w:hAnsi="Arial" w:cs="Arial"/>
        <w:b/>
        <w:sz w:val="22"/>
        <w:szCs w:val="22"/>
        <w:lang w:val="pt-PT"/>
      </w:rPr>
      <w:t>2</w:t>
    </w:r>
    <w:r w:rsidR="00D03C2A" w:rsidRPr="002A3355">
      <w:rPr>
        <w:rFonts w:ascii="Arial" w:hAnsi="Arial" w:cs="Arial"/>
        <w:b/>
        <w:sz w:val="22"/>
        <w:szCs w:val="22"/>
        <w:lang w:val="pt-PT"/>
      </w:rPr>
      <w:t>4</w:t>
    </w:r>
    <w:r w:rsidR="00D95C4C" w:rsidRPr="002A3355">
      <w:rPr>
        <w:rFonts w:ascii="Arial" w:hAnsi="Arial" w:cs="Arial"/>
        <w:b/>
        <w:sz w:val="22"/>
        <w:szCs w:val="22"/>
        <w:lang w:val="pt-PT"/>
      </w:rPr>
      <w:t>/</w:t>
    </w:r>
    <w:r w:rsidR="00CB0542" w:rsidRPr="002A3355">
      <w:rPr>
        <w:rFonts w:ascii="Arial" w:hAnsi="Arial" w:cs="Arial"/>
        <w:b/>
        <w:sz w:val="22"/>
        <w:szCs w:val="22"/>
        <w:lang w:val="pt-PT"/>
      </w:rPr>
      <w:t>1</w:t>
    </w:r>
    <w:r w:rsidR="00D03C2A" w:rsidRPr="002A3355">
      <w:rPr>
        <w:rFonts w:ascii="Arial" w:hAnsi="Arial" w:cs="Arial"/>
        <w:b/>
        <w:sz w:val="22"/>
        <w:szCs w:val="22"/>
        <w:lang w:val="pt-PT"/>
      </w:rPr>
      <w:t>9</w:t>
    </w:r>
    <w:r w:rsidR="00D95C4C" w:rsidRPr="002A3355">
      <w:rPr>
        <w:rFonts w:ascii="Arial" w:hAnsi="Arial" w:cs="Arial"/>
        <w:b/>
        <w:sz w:val="22"/>
        <w:szCs w:val="22"/>
        <w:lang w:val="pt-PT"/>
      </w:rPr>
      <w:t>.</w:t>
    </w:r>
    <w:r w:rsidR="00EC6F8D" w:rsidRPr="002A3355">
      <w:rPr>
        <w:rFonts w:ascii="Arial" w:hAnsi="Arial" w:cs="Arial"/>
        <w:b/>
        <w:sz w:val="22"/>
        <w:szCs w:val="22"/>
        <w:lang w:val="pt-PT"/>
      </w:rPr>
      <w:t>COM</w:t>
    </w:r>
    <w:r w:rsidR="00D95C4C" w:rsidRPr="002A3355">
      <w:rPr>
        <w:rFonts w:ascii="Arial" w:hAnsi="Arial" w:cs="Arial"/>
        <w:b/>
        <w:sz w:val="22"/>
        <w:szCs w:val="22"/>
        <w:lang w:val="pt-PT"/>
      </w:rPr>
      <w:t>/</w:t>
    </w:r>
    <w:r w:rsidR="00C47E17" w:rsidRPr="002A3355">
      <w:rPr>
        <w:rFonts w:ascii="Arial" w:hAnsi="Arial" w:cs="Arial"/>
        <w:b/>
        <w:sz w:val="22"/>
        <w:szCs w:val="22"/>
        <w:lang w:val="pt-PT"/>
      </w:rPr>
      <w:t>3</w:t>
    </w:r>
    <w:r w:rsidR="00AC5145">
      <w:rPr>
        <w:rFonts w:ascii="Arial" w:hAnsi="Arial" w:cs="Arial"/>
        <w:b/>
        <w:sz w:val="22"/>
        <w:szCs w:val="22"/>
        <w:lang w:val="pt-PT"/>
      </w:rPr>
      <w:t xml:space="preserve"> Rev.</w:t>
    </w:r>
  </w:p>
  <w:p w14:paraId="1B4446C3" w14:textId="2BD769EB" w:rsidR="00D95C4C" w:rsidRPr="00D7105A" w:rsidRDefault="0082516F" w:rsidP="00655736">
    <w:pPr>
      <w:jc w:val="right"/>
      <w:rPr>
        <w:rFonts w:ascii="Arial" w:eastAsiaTheme="minorEastAsia" w:hAnsi="Arial" w:cs="Arial"/>
        <w:b/>
        <w:sz w:val="22"/>
        <w:szCs w:val="22"/>
        <w:lang w:val="pt-PT" w:eastAsia="ko-KR"/>
      </w:rPr>
    </w:pPr>
    <w:r w:rsidRPr="005F277B">
      <w:rPr>
        <w:rFonts w:ascii="Arial" w:hAnsi="Arial" w:cs="Arial"/>
        <w:b/>
        <w:sz w:val="22"/>
        <w:szCs w:val="22"/>
        <w:lang w:val="pt-PT"/>
      </w:rPr>
      <w:t>Asunción</w:t>
    </w:r>
    <w:r w:rsidR="00D95C4C" w:rsidRPr="005F277B">
      <w:rPr>
        <w:rFonts w:ascii="Arial" w:hAnsi="Arial" w:cs="Arial"/>
        <w:b/>
        <w:sz w:val="22"/>
        <w:szCs w:val="22"/>
        <w:lang w:val="pt-PT"/>
      </w:rPr>
      <w:t xml:space="preserve">, </w:t>
    </w:r>
    <w:r w:rsidR="00AC5145" w:rsidRPr="005F277B">
      <w:rPr>
        <w:rFonts w:ascii="Arial" w:hAnsi="Arial" w:cs="Arial"/>
        <w:b/>
        <w:sz w:val="22"/>
        <w:szCs w:val="22"/>
        <w:lang w:val="pt-PT"/>
      </w:rPr>
      <w:t xml:space="preserve">30 </w:t>
    </w:r>
    <w:r w:rsidR="00C47E17" w:rsidRPr="005F277B">
      <w:rPr>
        <w:rFonts w:ascii="Arial" w:hAnsi="Arial" w:cs="Arial"/>
        <w:b/>
        <w:sz w:val="22"/>
        <w:szCs w:val="22"/>
        <w:lang w:val="pt-PT"/>
      </w:rPr>
      <w:t>November</w:t>
    </w:r>
    <w:r w:rsidR="00D95C4C" w:rsidRPr="005F277B">
      <w:rPr>
        <w:rFonts w:ascii="Arial" w:hAnsi="Arial" w:cs="Arial"/>
        <w:b/>
        <w:sz w:val="22"/>
        <w:szCs w:val="22"/>
        <w:lang w:val="pt-PT"/>
      </w:rPr>
      <w:t xml:space="preserve"> </w:t>
    </w:r>
    <w:r w:rsidR="00337CEB" w:rsidRPr="005F277B">
      <w:rPr>
        <w:rFonts w:ascii="Arial" w:hAnsi="Arial" w:cs="Arial"/>
        <w:b/>
        <w:sz w:val="22"/>
        <w:szCs w:val="22"/>
        <w:lang w:val="pt-PT"/>
      </w:rPr>
      <w:t>20</w:t>
    </w:r>
    <w:r w:rsidR="00D7105A" w:rsidRPr="005F277B">
      <w:rPr>
        <w:rFonts w:ascii="Arial" w:hAnsi="Arial" w:cs="Arial"/>
        <w:b/>
        <w:sz w:val="22"/>
        <w:szCs w:val="22"/>
        <w:lang w:val="pt-PT"/>
      </w:rPr>
      <w:t>2</w:t>
    </w:r>
    <w:r w:rsidR="00D03C2A" w:rsidRPr="005F277B">
      <w:rPr>
        <w:rFonts w:ascii="Arial" w:hAnsi="Arial" w:cs="Arial"/>
        <w:b/>
        <w:sz w:val="22"/>
        <w:szCs w:val="22"/>
        <w:lang w:val="pt-PT"/>
      </w:rPr>
      <w:t>4</w:t>
    </w:r>
  </w:p>
  <w:p w14:paraId="255B57FF" w14:textId="01989DBF" w:rsidR="00D95C4C" w:rsidRPr="00F32C23" w:rsidRDefault="00D95C4C" w:rsidP="00962034">
    <w:pPr>
      <w:spacing w:after="120"/>
      <w:jc w:val="right"/>
      <w:rPr>
        <w:rFonts w:ascii="Arial" w:hAnsi="Arial" w:cs="Arial"/>
        <w:b/>
        <w:sz w:val="22"/>
        <w:szCs w:val="22"/>
        <w:lang w:val="en-GB"/>
      </w:rPr>
    </w:pPr>
    <w:r w:rsidRPr="00F32C23">
      <w:rPr>
        <w:rFonts w:ascii="Arial" w:hAnsi="Arial" w:cs="Arial"/>
        <w:b/>
        <w:sz w:val="22"/>
        <w:szCs w:val="22"/>
        <w:lang w:val="en-GB"/>
      </w:rPr>
      <w:t xml:space="preserve">Original: </w:t>
    </w:r>
    <w:r w:rsidR="00C47E17">
      <w:rPr>
        <w:rFonts w:ascii="Arial" w:hAnsi="Arial" w:cs="Arial"/>
        <w:b/>
        <w:sz w:val="22"/>
        <w:szCs w:val="22"/>
        <w:lang w:val="en-GB"/>
      </w:rPr>
      <w:t>English</w:t>
    </w:r>
  </w:p>
  <w:p w14:paraId="3C4B8B1B" w14:textId="77777777" w:rsidR="00D95C4C" w:rsidRPr="00E95AE2" w:rsidRDefault="00D95C4C">
    <w:pPr>
      <w:pStyle w:val="Header"/>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801A9"/>
    <w:multiLevelType w:val="hybridMultilevel"/>
    <w:tmpl w:val="3D4864A6"/>
    <w:lvl w:ilvl="0" w:tplc="040C0001">
      <w:start w:val="1"/>
      <w:numFmt w:val="bullet"/>
      <w:lvlText w:val=""/>
      <w:lvlJc w:val="left"/>
      <w:pPr>
        <w:ind w:left="1069" w:hanging="360"/>
      </w:pPr>
      <w:rPr>
        <w:rFonts w:ascii="Symbol" w:hAnsi="Symbol" w:hint="default"/>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BA40D70"/>
    <w:multiLevelType w:val="hybridMultilevel"/>
    <w:tmpl w:val="FA48674E"/>
    <w:lvl w:ilvl="0" w:tplc="FFFFFFFF">
      <w:start w:val="1"/>
      <w:numFmt w:val="upperLetter"/>
      <w:lvlText w:val="%1."/>
      <w:lvlJc w:val="left"/>
      <w:pPr>
        <w:ind w:left="502"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64A1968"/>
    <w:multiLevelType w:val="hybridMultilevel"/>
    <w:tmpl w:val="9EFC996C"/>
    <w:lvl w:ilvl="0" w:tplc="98D0D670">
      <w:start w:val="19"/>
      <w:numFmt w:val="bullet"/>
      <w:lvlText w:val="-"/>
      <w:lvlJc w:val="left"/>
      <w:pPr>
        <w:ind w:left="1494" w:hanging="360"/>
      </w:pPr>
      <w:rPr>
        <w:rFonts w:ascii="Arial" w:eastAsia="SimSu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6" w15:restartNumberingAfterBreak="0">
    <w:nsid w:val="30515124"/>
    <w:multiLevelType w:val="hybridMultilevel"/>
    <w:tmpl w:val="93DAB1A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2"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3"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4" w15:restartNumberingAfterBreak="0">
    <w:nsid w:val="60E03E41"/>
    <w:multiLevelType w:val="hybridMultilevel"/>
    <w:tmpl w:val="2A7425F0"/>
    <w:lvl w:ilvl="0" w:tplc="98D0D670">
      <w:start w:val="19"/>
      <w:numFmt w:val="bullet"/>
      <w:lvlText w:val="-"/>
      <w:lvlJc w:val="left"/>
      <w:pPr>
        <w:ind w:left="2061" w:hanging="360"/>
      </w:pPr>
      <w:rPr>
        <w:rFonts w:ascii="Arial" w:eastAsia="SimSun"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D6E6913"/>
    <w:multiLevelType w:val="hybridMultilevel"/>
    <w:tmpl w:val="B008C73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C627CF4"/>
    <w:multiLevelType w:val="hybridMultilevel"/>
    <w:tmpl w:val="FA48674E"/>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1764035608">
    <w:abstractNumId w:val="13"/>
  </w:num>
  <w:num w:numId="2" w16cid:durableId="1990665499">
    <w:abstractNumId w:val="8"/>
  </w:num>
  <w:num w:numId="3" w16cid:durableId="945960341">
    <w:abstractNumId w:val="3"/>
  </w:num>
  <w:num w:numId="4" w16cid:durableId="688946548">
    <w:abstractNumId w:val="17"/>
  </w:num>
  <w:num w:numId="5" w16cid:durableId="980772028">
    <w:abstractNumId w:val="15"/>
  </w:num>
  <w:num w:numId="6" w16cid:durableId="568076376">
    <w:abstractNumId w:val="1"/>
  </w:num>
  <w:num w:numId="7" w16cid:durableId="1185943091">
    <w:abstractNumId w:val="4"/>
  </w:num>
  <w:num w:numId="8" w16cid:durableId="1646616050">
    <w:abstractNumId w:val="12"/>
  </w:num>
  <w:num w:numId="9" w16cid:durableId="1055659313">
    <w:abstractNumId w:val="7"/>
  </w:num>
  <w:num w:numId="10" w16cid:durableId="1437942028">
    <w:abstractNumId w:val="9"/>
  </w:num>
  <w:num w:numId="11" w16cid:durableId="817498509">
    <w:abstractNumId w:val="11"/>
  </w:num>
  <w:num w:numId="12" w16cid:durableId="1210410526">
    <w:abstractNumId w:val="10"/>
  </w:num>
  <w:num w:numId="13" w16cid:durableId="336346946">
    <w:abstractNumId w:val="18"/>
  </w:num>
  <w:num w:numId="14" w16cid:durableId="165485744">
    <w:abstractNumId w:val="6"/>
  </w:num>
  <w:num w:numId="15" w16cid:durableId="1891645965">
    <w:abstractNumId w:val="7"/>
  </w:num>
  <w:num w:numId="16" w16cid:durableId="240452850">
    <w:abstractNumId w:val="7"/>
  </w:num>
  <w:num w:numId="17" w16cid:durableId="1874224794">
    <w:abstractNumId w:val="7"/>
  </w:num>
  <w:num w:numId="18" w16cid:durableId="958561351">
    <w:abstractNumId w:val="7"/>
  </w:num>
  <w:num w:numId="19" w16cid:durableId="153768005">
    <w:abstractNumId w:val="7"/>
  </w:num>
  <w:num w:numId="20" w16cid:durableId="816074201">
    <w:abstractNumId w:val="7"/>
  </w:num>
  <w:num w:numId="21" w16cid:durableId="765424676">
    <w:abstractNumId w:val="2"/>
  </w:num>
  <w:num w:numId="22" w16cid:durableId="1445153680">
    <w:abstractNumId w:val="0"/>
  </w:num>
  <w:num w:numId="23" w16cid:durableId="1828204995">
    <w:abstractNumId w:val="5"/>
  </w:num>
  <w:num w:numId="24" w16cid:durableId="1054501107">
    <w:abstractNumId w:val="7"/>
  </w:num>
  <w:num w:numId="25" w16cid:durableId="287781462">
    <w:abstractNumId w:val="7"/>
  </w:num>
  <w:num w:numId="26" w16cid:durableId="2145737676">
    <w:abstractNumId w:val="7"/>
  </w:num>
  <w:num w:numId="27" w16cid:durableId="247933807">
    <w:abstractNumId w:val="7"/>
  </w:num>
  <w:num w:numId="28" w16cid:durableId="761414199">
    <w:abstractNumId w:val="16"/>
  </w:num>
  <w:num w:numId="29" w16cid:durableId="19894321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1E56"/>
    <w:rsid w:val="000048ED"/>
    <w:rsid w:val="00014915"/>
    <w:rsid w:val="00024AA0"/>
    <w:rsid w:val="00041A66"/>
    <w:rsid w:val="00042D88"/>
    <w:rsid w:val="0005176E"/>
    <w:rsid w:val="000765F7"/>
    <w:rsid w:val="0007725F"/>
    <w:rsid w:val="00077AB7"/>
    <w:rsid w:val="00081CD8"/>
    <w:rsid w:val="00082D54"/>
    <w:rsid w:val="000A7F0E"/>
    <w:rsid w:val="000B1C8F"/>
    <w:rsid w:val="000C0D61"/>
    <w:rsid w:val="000F3A3F"/>
    <w:rsid w:val="00102557"/>
    <w:rsid w:val="00125F8B"/>
    <w:rsid w:val="00147A38"/>
    <w:rsid w:val="00164D56"/>
    <w:rsid w:val="00165417"/>
    <w:rsid w:val="00167B10"/>
    <w:rsid w:val="0017402F"/>
    <w:rsid w:val="00190205"/>
    <w:rsid w:val="00196C1B"/>
    <w:rsid w:val="001B0F73"/>
    <w:rsid w:val="001C2DB7"/>
    <w:rsid w:val="001D14FE"/>
    <w:rsid w:val="001D5C04"/>
    <w:rsid w:val="001E3844"/>
    <w:rsid w:val="001F005D"/>
    <w:rsid w:val="001F26CF"/>
    <w:rsid w:val="00222A2D"/>
    <w:rsid w:val="00223029"/>
    <w:rsid w:val="00234745"/>
    <w:rsid w:val="002351A6"/>
    <w:rsid w:val="002407AF"/>
    <w:rsid w:val="00245501"/>
    <w:rsid w:val="00254B26"/>
    <w:rsid w:val="0026221A"/>
    <w:rsid w:val="00266B5C"/>
    <w:rsid w:val="0027466B"/>
    <w:rsid w:val="002814F6"/>
    <w:rsid w:val="002838A5"/>
    <w:rsid w:val="00285BB4"/>
    <w:rsid w:val="002A3355"/>
    <w:rsid w:val="002C09E3"/>
    <w:rsid w:val="002C6A2C"/>
    <w:rsid w:val="002C73AE"/>
    <w:rsid w:val="002D1244"/>
    <w:rsid w:val="002D3513"/>
    <w:rsid w:val="002E006C"/>
    <w:rsid w:val="00326E2B"/>
    <w:rsid w:val="00336EEE"/>
    <w:rsid w:val="00337CEB"/>
    <w:rsid w:val="00344B58"/>
    <w:rsid w:val="0034539A"/>
    <w:rsid w:val="00345CB4"/>
    <w:rsid w:val="0034798C"/>
    <w:rsid w:val="00351CDA"/>
    <w:rsid w:val="00375D42"/>
    <w:rsid w:val="003D069C"/>
    <w:rsid w:val="003D7646"/>
    <w:rsid w:val="003F113A"/>
    <w:rsid w:val="003F3E63"/>
    <w:rsid w:val="004054A9"/>
    <w:rsid w:val="00407480"/>
    <w:rsid w:val="00414643"/>
    <w:rsid w:val="004313C4"/>
    <w:rsid w:val="004421E5"/>
    <w:rsid w:val="00452284"/>
    <w:rsid w:val="00457C8E"/>
    <w:rsid w:val="004735D0"/>
    <w:rsid w:val="00480175"/>
    <w:rsid w:val="004856CA"/>
    <w:rsid w:val="00487E67"/>
    <w:rsid w:val="004906B7"/>
    <w:rsid w:val="004946B6"/>
    <w:rsid w:val="00495172"/>
    <w:rsid w:val="0049705E"/>
    <w:rsid w:val="004A2875"/>
    <w:rsid w:val="004A3227"/>
    <w:rsid w:val="004A34A0"/>
    <w:rsid w:val="004C7C82"/>
    <w:rsid w:val="004F18BF"/>
    <w:rsid w:val="005008A8"/>
    <w:rsid w:val="00517FD8"/>
    <w:rsid w:val="00526B7B"/>
    <w:rsid w:val="005274D2"/>
    <w:rsid w:val="005308CE"/>
    <w:rsid w:val="0053318C"/>
    <w:rsid w:val="0057439C"/>
    <w:rsid w:val="005960FA"/>
    <w:rsid w:val="005B0127"/>
    <w:rsid w:val="005B7A35"/>
    <w:rsid w:val="005C4B73"/>
    <w:rsid w:val="005D0A13"/>
    <w:rsid w:val="005E1D2B"/>
    <w:rsid w:val="005E3155"/>
    <w:rsid w:val="005E7074"/>
    <w:rsid w:val="005F277B"/>
    <w:rsid w:val="005F2BAF"/>
    <w:rsid w:val="00600D93"/>
    <w:rsid w:val="00626BEA"/>
    <w:rsid w:val="00630CCE"/>
    <w:rsid w:val="0063300C"/>
    <w:rsid w:val="00651A5B"/>
    <w:rsid w:val="00652F0F"/>
    <w:rsid w:val="00655736"/>
    <w:rsid w:val="00663B8D"/>
    <w:rsid w:val="0067144C"/>
    <w:rsid w:val="00696C8D"/>
    <w:rsid w:val="006A2AC2"/>
    <w:rsid w:val="006A3617"/>
    <w:rsid w:val="006A6413"/>
    <w:rsid w:val="006B4452"/>
    <w:rsid w:val="006E46E4"/>
    <w:rsid w:val="006E75EB"/>
    <w:rsid w:val="00703978"/>
    <w:rsid w:val="0071077D"/>
    <w:rsid w:val="00717DA5"/>
    <w:rsid w:val="007333D0"/>
    <w:rsid w:val="00744484"/>
    <w:rsid w:val="00747566"/>
    <w:rsid w:val="007651AF"/>
    <w:rsid w:val="00773188"/>
    <w:rsid w:val="00783782"/>
    <w:rsid w:val="00784B8C"/>
    <w:rsid w:val="007879E1"/>
    <w:rsid w:val="007E2D54"/>
    <w:rsid w:val="007E57AA"/>
    <w:rsid w:val="0080179C"/>
    <w:rsid w:val="00805653"/>
    <w:rsid w:val="00823A11"/>
    <w:rsid w:val="0082516F"/>
    <w:rsid w:val="0085405E"/>
    <w:rsid w:val="0085414A"/>
    <w:rsid w:val="00857EB9"/>
    <w:rsid w:val="0086269D"/>
    <w:rsid w:val="008636F3"/>
    <w:rsid w:val="0086543A"/>
    <w:rsid w:val="008724E5"/>
    <w:rsid w:val="008765C9"/>
    <w:rsid w:val="00884A9D"/>
    <w:rsid w:val="0088512B"/>
    <w:rsid w:val="0089076E"/>
    <w:rsid w:val="008959F4"/>
    <w:rsid w:val="008A2B2D"/>
    <w:rsid w:val="008A4E1E"/>
    <w:rsid w:val="008A6458"/>
    <w:rsid w:val="008C296C"/>
    <w:rsid w:val="008D4305"/>
    <w:rsid w:val="008E1A85"/>
    <w:rsid w:val="008E344F"/>
    <w:rsid w:val="00902F4F"/>
    <w:rsid w:val="009163A7"/>
    <w:rsid w:val="00937D53"/>
    <w:rsid w:val="00946D0B"/>
    <w:rsid w:val="00955877"/>
    <w:rsid w:val="00962034"/>
    <w:rsid w:val="00993B4A"/>
    <w:rsid w:val="00996F54"/>
    <w:rsid w:val="009A18CD"/>
    <w:rsid w:val="009C2D0A"/>
    <w:rsid w:val="009D5428"/>
    <w:rsid w:val="00A07E69"/>
    <w:rsid w:val="00A12558"/>
    <w:rsid w:val="00A13903"/>
    <w:rsid w:val="00A21CDD"/>
    <w:rsid w:val="00A34ED5"/>
    <w:rsid w:val="00A45DBF"/>
    <w:rsid w:val="00A725CF"/>
    <w:rsid w:val="00A755A2"/>
    <w:rsid w:val="00A91430"/>
    <w:rsid w:val="00AA590D"/>
    <w:rsid w:val="00AA6660"/>
    <w:rsid w:val="00AB2C36"/>
    <w:rsid w:val="00AB463A"/>
    <w:rsid w:val="00AB6DDE"/>
    <w:rsid w:val="00AB70B6"/>
    <w:rsid w:val="00AC18C1"/>
    <w:rsid w:val="00AC5145"/>
    <w:rsid w:val="00AD1A86"/>
    <w:rsid w:val="00AD5C46"/>
    <w:rsid w:val="00AE103E"/>
    <w:rsid w:val="00AF0A07"/>
    <w:rsid w:val="00AF4AEC"/>
    <w:rsid w:val="00AF625E"/>
    <w:rsid w:val="00B139BE"/>
    <w:rsid w:val="00B2172B"/>
    <w:rsid w:val="00B34428"/>
    <w:rsid w:val="00B42D85"/>
    <w:rsid w:val="00B857AF"/>
    <w:rsid w:val="00B917D2"/>
    <w:rsid w:val="00B97EB3"/>
    <w:rsid w:val="00BA241A"/>
    <w:rsid w:val="00BB04AF"/>
    <w:rsid w:val="00BB6EEC"/>
    <w:rsid w:val="00BB771A"/>
    <w:rsid w:val="00BD0CF6"/>
    <w:rsid w:val="00BD52C9"/>
    <w:rsid w:val="00BE5AAA"/>
    <w:rsid w:val="00BE6354"/>
    <w:rsid w:val="00C138D1"/>
    <w:rsid w:val="00C14AC4"/>
    <w:rsid w:val="00C23A97"/>
    <w:rsid w:val="00C27D84"/>
    <w:rsid w:val="00C35249"/>
    <w:rsid w:val="00C47E17"/>
    <w:rsid w:val="00C52EBE"/>
    <w:rsid w:val="00C5776D"/>
    <w:rsid w:val="00C64855"/>
    <w:rsid w:val="00C70EA7"/>
    <w:rsid w:val="00C7433F"/>
    <w:rsid w:val="00C7516E"/>
    <w:rsid w:val="00C75770"/>
    <w:rsid w:val="00C8603A"/>
    <w:rsid w:val="00CA56BB"/>
    <w:rsid w:val="00CB0542"/>
    <w:rsid w:val="00CB6F36"/>
    <w:rsid w:val="00CD7548"/>
    <w:rsid w:val="00CE5BF2"/>
    <w:rsid w:val="00D00B2B"/>
    <w:rsid w:val="00D03C2A"/>
    <w:rsid w:val="00D04B94"/>
    <w:rsid w:val="00D1721C"/>
    <w:rsid w:val="00D24877"/>
    <w:rsid w:val="00D46277"/>
    <w:rsid w:val="00D63318"/>
    <w:rsid w:val="00D65E73"/>
    <w:rsid w:val="00D7105A"/>
    <w:rsid w:val="00D8250F"/>
    <w:rsid w:val="00D85CB7"/>
    <w:rsid w:val="00D86BB3"/>
    <w:rsid w:val="00D95C4C"/>
    <w:rsid w:val="00DA36ED"/>
    <w:rsid w:val="00DD59F3"/>
    <w:rsid w:val="00DE34F1"/>
    <w:rsid w:val="00DE6160"/>
    <w:rsid w:val="00DF4942"/>
    <w:rsid w:val="00E2125F"/>
    <w:rsid w:val="00E244E1"/>
    <w:rsid w:val="00E4150C"/>
    <w:rsid w:val="00E627B1"/>
    <w:rsid w:val="00E66335"/>
    <w:rsid w:val="00E70169"/>
    <w:rsid w:val="00E9376C"/>
    <w:rsid w:val="00E95AE2"/>
    <w:rsid w:val="00EA335E"/>
    <w:rsid w:val="00EA528C"/>
    <w:rsid w:val="00EA580C"/>
    <w:rsid w:val="00EC6F8D"/>
    <w:rsid w:val="00ED39B2"/>
    <w:rsid w:val="00ED49E7"/>
    <w:rsid w:val="00EE06B9"/>
    <w:rsid w:val="00EE49F4"/>
    <w:rsid w:val="00EF34E2"/>
    <w:rsid w:val="00F30DC6"/>
    <w:rsid w:val="00F31F96"/>
    <w:rsid w:val="00F32C23"/>
    <w:rsid w:val="00F53DE9"/>
    <w:rsid w:val="00F576CB"/>
    <w:rsid w:val="00F7035D"/>
    <w:rsid w:val="00F70CC5"/>
    <w:rsid w:val="00F71A02"/>
    <w:rsid w:val="00F83533"/>
    <w:rsid w:val="00FA0D63"/>
    <w:rsid w:val="00FD1226"/>
    <w:rsid w:val="00FD4BC8"/>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rsid w:val="004A2875"/>
    <w:pPr>
      <w:ind w:left="720"/>
      <w:contextualSpacing/>
    </w:pPr>
  </w:style>
  <w:style w:type="paragraph" w:styleId="FootnoteText">
    <w:name w:val="footnote text"/>
    <w:basedOn w:val="Normal"/>
    <w:link w:val="FootnoteTextChar"/>
    <w:uiPriority w:val="99"/>
    <w:semiHidden/>
    <w:unhideWhenUsed/>
    <w:rsid w:val="004313C4"/>
    <w:rPr>
      <w:sz w:val="20"/>
      <w:szCs w:val="20"/>
    </w:rPr>
  </w:style>
  <w:style w:type="character" w:customStyle="1" w:styleId="FootnoteTextChar">
    <w:name w:val="Footnote Text Char"/>
    <w:basedOn w:val="DefaultParagraphFont"/>
    <w:link w:val="FootnoteText"/>
    <w:uiPriority w:val="99"/>
    <w:semiHidden/>
    <w:rsid w:val="004313C4"/>
    <w:rPr>
      <w:rFonts w:ascii="Times New Roman" w:eastAsia="Times New Roman" w:hAnsi="Times New Roman"/>
    </w:rPr>
  </w:style>
  <w:style w:type="character" w:styleId="FootnoteReference">
    <w:name w:val="footnote reference"/>
    <w:basedOn w:val="DefaultParagraphFont"/>
    <w:uiPriority w:val="99"/>
    <w:semiHidden/>
    <w:unhideWhenUsed/>
    <w:rsid w:val="004313C4"/>
    <w:rPr>
      <w:vertAlign w:val="superscript"/>
    </w:rPr>
  </w:style>
  <w:style w:type="character" w:styleId="Hyperlink">
    <w:name w:val="Hyperlink"/>
    <w:basedOn w:val="DefaultParagraphFont"/>
    <w:uiPriority w:val="99"/>
    <w:unhideWhenUsed/>
    <w:rsid w:val="00D65E73"/>
    <w:rPr>
      <w:color w:val="0000FF" w:themeColor="hyperlink"/>
      <w:u w:val="single"/>
    </w:rPr>
  </w:style>
  <w:style w:type="character" w:styleId="UnresolvedMention">
    <w:name w:val="Unresolved Mention"/>
    <w:basedOn w:val="DefaultParagraphFont"/>
    <w:uiPriority w:val="99"/>
    <w:semiHidden/>
    <w:unhideWhenUsed/>
    <w:rsid w:val="00D65E73"/>
    <w:rPr>
      <w:color w:val="605E5C"/>
      <w:shd w:val="clear" w:color="auto" w:fill="E1DFDD"/>
    </w:rPr>
  </w:style>
  <w:style w:type="paragraph" w:styleId="Revision">
    <w:name w:val="Revision"/>
    <w:hidden/>
    <w:uiPriority w:val="99"/>
    <w:semiHidden/>
    <w:rsid w:val="002C73AE"/>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024A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decisions/18.COM/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h.unesco.org/en/decisions/18.COM/3"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Template>
  <TotalTime>119</TotalTime>
  <Pages>2</Pages>
  <Words>493</Words>
  <Characters>2713</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Nakata Glenat, Keiichi Julien</cp:lastModifiedBy>
  <cp:revision>15</cp:revision>
  <cp:lastPrinted>2011-08-06T10:22:00Z</cp:lastPrinted>
  <dcterms:created xsi:type="dcterms:W3CDTF">2024-09-24T08:00:00Z</dcterms:created>
  <dcterms:modified xsi:type="dcterms:W3CDTF">2024-11-30T18:04:00Z</dcterms:modified>
</cp:coreProperties>
</file>