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BB6EEC" w:rsidRDefault="00EC6F8D" w:rsidP="00EC6F8D">
      <w:pPr>
        <w:spacing w:before="1440"/>
        <w:jc w:val="center"/>
        <w:rPr>
          <w:rFonts w:ascii="Arial" w:hAnsi="Arial" w:cs="Arial"/>
          <w:b/>
          <w:sz w:val="22"/>
          <w:szCs w:val="22"/>
        </w:rPr>
      </w:pPr>
      <w:r>
        <w:rPr>
          <w:rFonts w:ascii="Arial" w:hAnsi="Arial" w:cs="Arial"/>
          <w:b/>
          <w:bCs/>
          <w:sz w:val="22"/>
          <w:szCs w:val="22"/>
          <w:lang w:val="fr"/>
        </w:rPr>
        <w:t>CONVENTION POUR LA SAUVEGARDE DU</w:t>
      </w:r>
      <w:r>
        <w:rPr>
          <w:rFonts w:ascii="Arial" w:hAnsi="Arial" w:cs="Arial"/>
          <w:sz w:val="22"/>
          <w:szCs w:val="22"/>
          <w:lang w:val="fr"/>
        </w:rPr>
        <w:br/>
      </w:r>
      <w:r>
        <w:rPr>
          <w:rFonts w:ascii="Arial" w:hAnsi="Arial" w:cs="Arial"/>
          <w:b/>
          <w:bCs/>
          <w:sz w:val="22"/>
          <w:szCs w:val="22"/>
          <w:lang w:val="fr"/>
        </w:rPr>
        <w:t>PATRIMOINE CULTUREL IMMATÉRIEL</w:t>
      </w:r>
    </w:p>
    <w:p w14:paraId="3F72B1D3" w14:textId="77777777" w:rsidR="00EC6F8D" w:rsidRPr="00BB6EEC" w:rsidRDefault="00EC6F8D" w:rsidP="00EC6F8D">
      <w:pPr>
        <w:spacing w:before="1200"/>
        <w:jc w:val="center"/>
        <w:rPr>
          <w:rFonts w:ascii="Arial" w:hAnsi="Arial" w:cs="Arial"/>
          <w:b/>
          <w:sz w:val="22"/>
          <w:szCs w:val="22"/>
        </w:rPr>
      </w:pPr>
      <w:r>
        <w:rPr>
          <w:rFonts w:ascii="Arial" w:hAnsi="Arial" w:cs="Arial"/>
          <w:b/>
          <w:bCs/>
          <w:sz w:val="22"/>
          <w:szCs w:val="22"/>
          <w:lang w:val="fr"/>
        </w:rPr>
        <w:t>COMITÉ INTERGOUVERNEMENTAL DE</w:t>
      </w:r>
      <w:r>
        <w:rPr>
          <w:rFonts w:ascii="Arial" w:hAnsi="Arial" w:cs="Arial"/>
          <w:sz w:val="22"/>
          <w:szCs w:val="22"/>
          <w:lang w:val="fr"/>
        </w:rPr>
        <w:br/>
      </w:r>
      <w:r>
        <w:rPr>
          <w:rFonts w:ascii="Arial" w:hAnsi="Arial" w:cs="Arial"/>
          <w:b/>
          <w:bCs/>
          <w:sz w:val="22"/>
          <w:szCs w:val="22"/>
          <w:lang w:val="fr"/>
        </w:rPr>
        <w:t>SAUVEGARDE DU PATRIMOINE CULTUREL IMMATÉRIEL</w:t>
      </w:r>
    </w:p>
    <w:p w14:paraId="2E1CD4B4" w14:textId="7E2B2016" w:rsidR="00EC6F8D" w:rsidRPr="00BB6EEC" w:rsidRDefault="00D03C2A" w:rsidP="001D14FE">
      <w:pPr>
        <w:spacing w:before="840"/>
        <w:jc w:val="center"/>
        <w:rPr>
          <w:rFonts w:ascii="Arial" w:hAnsi="Arial" w:cs="Arial"/>
          <w:b/>
          <w:sz w:val="22"/>
          <w:szCs w:val="22"/>
        </w:rPr>
      </w:pPr>
      <w:r>
        <w:rPr>
          <w:rFonts w:ascii="Arial" w:hAnsi="Arial" w:cs="Arial"/>
          <w:b/>
          <w:bCs/>
          <w:sz w:val="22"/>
          <w:szCs w:val="22"/>
          <w:lang w:val="fr"/>
        </w:rPr>
        <w:t>Dix-neuvième session</w:t>
      </w:r>
    </w:p>
    <w:p w14:paraId="1FD89575" w14:textId="64831094" w:rsidR="00B2172B" w:rsidRPr="00BB6EEC" w:rsidRDefault="00D03C2A" w:rsidP="00B2172B">
      <w:pPr>
        <w:jc w:val="center"/>
        <w:rPr>
          <w:rFonts w:ascii="Arial" w:hAnsi="Arial" w:cs="Arial"/>
          <w:b/>
          <w:sz w:val="22"/>
          <w:szCs w:val="22"/>
        </w:rPr>
      </w:pPr>
      <w:r>
        <w:rPr>
          <w:rFonts w:ascii="Arial" w:hAnsi="Arial" w:cs="Arial"/>
          <w:b/>
          <w:bCs/>
          <w:sz w:val="22"/>
          <w:szCs w:val="22"/>
          <w:lang w:val="fr"/>
        </w:rPr>
        <w:t>Asunción, République du Paraguay</w:t>
      </w:r>
    </w:p>
    <w:p w14:paraId="52EA6D50" w14:textId="264A5D53" w:rsidR="00B2172B" w:rsidRPr="00BB6EEC" w:rsidRDefault="00D03C2A" w:rsidP="00B2172B">
      <w:pPr>
        <w:jc w:val="center"/>
        <w:rPr>
          <w:rFonts w:ascii="Arial" w:hAnsi="Arial" w:cs="Arial"/>
          <w:b/>
          <w:sz w:val="22"/>
          <w:szCs w:val="22"/>
        </w:rPr>
      </w:pPr>
      <w:r>
        <w:rPr>
          <w:rFonts w:ascii="Arial" w:hAnsi="Arial" w:cs="Arial"/>
          <w:b/>
          <w:bCs/>
          <w:sz w:val="22"/>
          <w:szCs w:val="22"/>
          <w:lang w:val="fr"/>
        </w:rPr>
        <w:t xml:space="preserve">2 </w:t>
      </w:r>
      <w:r w:rsidR="00253EBE">
        <w:rPr>
          <w:rFonts w:ascii="Arial" w:hAnsi="Arial" w:cs="Arial"/>
          <w:b/>
          <w:bCs/>
          <w:sz w:val="22"/>
          <w:szCs w:val="22"/>
          <w:lang w:val="fr"/>
        </w:rPr>
        <w:t>–</w:t>
      </w:r>
      <w:r w:rsidR="0071760A">
        <w:rPr>
          <w:rFonts w:ascii="Arial" w:hAnsi="Arial" w:cs="Arial"/>
          <w:b/>
          <w:bCs/>
          <w:sz w:val="22"/>
          <w:szCs w:val="22"/>
          <w:lang w:val="fr"/>
        </w:rPr>
        <w:t xml:space="preserve"> </w:t>
      </w:r>
      <w:r>
        <w:rPr>
          <w:rFonts w:ascii="Arial" w:hAnsi="Arial" w:cs="Arial"/>
          <w:b/>
          <w:bCs/>
          <w:sz w:val="22"/>
          <w:szCs w:val="22"/>
          <w:lang w:val="fr"/>
        </w:rPr>
        <w:t>7</w:t>
      </w:r>
      <w:r w:rsidR="00253EBE">
        <w:rPr>
          <w:rFonts w:ascii="Arial" w:hAnsi="Arial" w:cs="Arial"/>
          <w:b/>
          <w:bCs/>
          <w:sz w:val="22"/>
          <w:szCs w:val="22"/>
          <w:lang w:val="fr"/>
        </w:rPr>
        <w:t xml:space="preserve"> </w:t>
      </w:r>
      <w:r>
        <w:rPr>
          <w:rFonts w:ascii="Arial" w:hAnsi="Arial" w:cs="Arial"/>
          <w:b/>
          <w:bCs/>
          <w:sz w:val="22"/>
          <w:szCs w:val="22"/>
          <w:lang w:val="fr"/>
        </w:rPr>
        <w:t>décembre 2024</w:t>
      </w:r>
    </w:p>
    <w:p w14:paraId="0365203A" w14:textId="4B617721" w:rsidR="00EC6F8D" w:rsidRPr="00BB6EEC" w:rsidRDefault="00EC6F8D" w:rsidP="00EC6F8D">
      <w:pPr>
        <w:pStyle w:val="Sansinterligne2"/>
        <w:spacing w:before="1200"/>
        <w:jc w:val="center"/>
        <w:rPr>
          <w:rFonts w:ascii="Arial" w:hAnsi="Arial" w:cs="Arial"/>
          <w:b/>
          <w:sz w:val="22"/>
          <w:szCs w:val="22"/>
        </w:rPr>
      </w:pPr>
      <w:r>
        <w:rPr>
          <w:rFonts w:ascii="Arial" w:hAnsi="Arial" w:cs="Arial"/>
          <w:b/>
          <w:bCs/>
          <w:sz w:val="22"/>
          <w:szCs w:val="22"/>
          <w:u w:val="single"/>
          <w:lang w:val="fr"/>
        </w:rPr>
        <w:t>Point 15 de l</w:t>
      </w:r>
      <w:r w:rsidR="00F225D8">
        <w:rPr>
          <w:rFonts w:ascii="Arial" w:hAnsi="Arial" w:cs="Arial"/>
          <w:b/>
          <w:bCs/>
          <w:sz w:val="22"/>
          <w:szCs w:val="22"/>
          <w:u w:val="single"/>
          <w:lang w:val="fr"/>
        </w:rPr>
        <w:t>’</w:t>
      </w:r>
      <w:r>
        <w:rPr>
          <w:rFonts w:ascii="Arial" w:hAnsi="Arial" w:cs="Arial"/>
          <w:b/>
          <w:bCs/>
          <w:sz w:val="22"/>
          <w:szCs w:val="22"/>
          <w:u w:val="single"/>
          <w:lang w:val="fr"/>
        </w:rPr>
        <w:t>ordre du jour provisoire</w:t>
      </w:r>
      <w:r w:rsidRPr="007F3401">
        <w:rPr>
          <w:rFonts w:ascii="Arial" w:hAnsi="Arial" w:cs="Arial"/>
          <w:b/>
          <w:bCs/>
          <w:sz w:val="22"/>
          <w:szCs w:val="22"/>
          <w:lang w:val="fr"/>
        </w:rPr>
        <w:t> </w:t>
      </w:r>
      <w:r>
        <w:rPr>
          <w:rFonts w:ascii="Arial" w:hAnsi="Arial" w:cs="Arial"/>
          <w:b/>
          <w:bCs/>
          <w:sz w:val="22"/>
          <w:szCs w:val="22"/>
          <w:lang w:val="fr"/>
        </w:rPr>
        <w:t>:</w:t>
      </w:r>
    </w:p>
    <w:p w14:paraId="1A11DAF2" w14:textId="774214DE" w:rsidR="00677D2F" w:rsidRPr="00EB694C" w:rsidRDefault="00677D2F" w:rsidP="00677D2F">
      <w:pPr>
        <w:pStyle w:val="Sansinterligne2"/>
        <w:jc w:val="center"/>
        <w:rPr>
          <w:rFonts w:ascii="Arial" w:hAnsi="Arial" w:cs="Arial"/>
          <w:b/>
          <w:sz w:val="22"/>
          <w:szCs w:val="22"/>
        </w:rPr>
      </w:pPr>
      <w:r>
        <w:rPr>
          <w:rFonts w:ascii="Arial" w:hAnsi="Arial" w:cs="Arial"/>
          <w:b/>
          <w:bCs/>
          <w:sz w:val="22"/>
          <w:szCs w:val="22"/>
          <w:lang w:val="fr"/>
        </w:rPr>
        <w:t>Nombre de dossiers soumis pour les cycles 2024 et 2025 et</w:t>
      </w:r>
    </w:p>
    <w:p w14:paraId="59920478" w14:textId="5A3FB2C1" w:rsidR="004A2875" w:rsidRPr="00BB6EEC" w:rsidRDefault="00677D2F" w:rsidP="000D3CCA">
      <w:pPr>
        <w:pStyle w:val="Sansinterligne2"/>
        <w:spacing w:after="960"/>
        <w:jc w:val="center"/>
        <w:rPr>
          <w:rFonts w:ascii="Arial" w:hAnsi="Arial" w:cs="Arial"/>
          <w:bCs/>
          <w:sz w:val="22"/>
          <w:szCs w:val="22"/>
        </w:rPr>
      </w:pPr>
      <w:r>
        <w:rPr>
          <w:rFonts w:ascii="Arial" w:hAnsi="Arial" w:cs="Arial"/>
          <w:b/>
          <w:bCs/>
          <w:sz w:val="22"/>
          <w:szCs w:val="22"/>
          <w:lang w:val="fr"/>
        </w:rPr>
        <w:t xml:space="preserve">nombre de dossiers pouvant être traités </w:t>
      </w:r>
      <w:r w:rsidR="00A511C8">
        <w:rPr>
          <w:rFonts w:ascii="Arial" w:hAnsi="Arial" w:cs="Arial"/>
          <w:b/>
          <w:bCs/>
          <w:sz w:val="22"/>
          <w:szCs w:val="22"/>
          <w:lang w:val="fr"/>
        </w:rPr>
        <w:t>pour l</w:t>
      </w:r>
      <w:r>
        <w:rPr>
          <w:rFonts w:ascii="Arial" w:hAnsi="Arial" w:cs="Arial"/>
          <w:b/>
          <w:bCs/>
          <w:sz w:val="22"/>
          <w:szCs w:val="22"/>
          <w:lang w:val="fr"/>
        </w:rPr>
        <w:t>es cycles 2026 et 2027</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D056D5" w14:paraId="75AC6221" w14:textId="77777777" w:rsidTr="00EC6F8D">
        <w:trPr>
          <w:jc w:val="center"/>
        </w:trPr>
        <w:tc>
          <w:tcPr>
            <w:tcW w:w="5670" w:type="dxa"/>
            <w:vAlign w:val="center"/>
          </w:tcPr>
          <w:p w14:paraId="3197F4E7" w14:textId="77777777" w:rsidR="001D7295" w:rsidRDefault="00EC6F8D" w:rsidP="00D94714">
            <w:pPr>
              <w:pStyle w:val="Sansinterligne1"/>
              <w:spacing w:before="200" w:after="360"/>
              <w:jc w:val="center"/>
              <w:rPr>
                <w:rFonts w:ascii="Arial" w:hAnsi="Arial" w:cs="Arial"/>
                <w:b/>
                <w:sz w:val="22"/>
                <w:szCs w:val="22"/>
              </w:rPr>
            </w:pPr>
            <w:r>
              <w:rPr>
                <w:rFonts w:ascii="Arial" w:hAnsi="Arial" w:cs="Arial"/>
                <w:b/>
                <w:bCs/>
                <w:sz w:val="22"/>
                <w:szCs w:val="22"/>
                <w:lang w:val="fr"/>
              </w:rPr>
              <w:t>Résumé</w:t>
            </w:r>
          </w:p>
          <w:p w14:paraId="5F4C7FEA" w14:textId="46469D0A" w:rsidR="001D7295" w:rsidRPr="00695BD9" w:rsidRDefault="001D7295" w:rsidP="00D94714">
            <w:pPr>
              <w:pStyle w:val="Sansinterligne1"/>
              <w:spacing w:before="200" w:after="120"/>
              <w:jc w:val="both"/>
              <w:rPr>
                <w:rFonts w:ascii="Arial" w:hAnsi="Arial" w:cs="Arial"/>
                <w:b/>
                <w:sz w:val="22"/>
                <w:szCs w:val="22"/>
              </w:rPr>
            </w:pPr>
            <w:r>
              <w:rPr>
                <w:rFonts w:ascii="Arial" w:hAnsi="Arial" w:cs="Arial"/>
                <w:sz w:val="22"/>
                <w:szCs w:val="22"/>
                <w:lang w:val="fr"/>
              </w:rPr>
              <w:t>Afin de gérer les mécanismes d</w:t>
            </w:r>
            <w:r w:rsidR="00F225D8">
              <w:rPr>
                <w:rFonts w:ascii="Arial" w:hAnsi="Arial" w:cs="Arial"/>
                <w:sz w:val="22"/>
                <w:szCs w:val="22"/>
                <w:lang w:val="fr"/>
              </w:rPr>
              <w:t>’</w:t>
            </w:r>
            <w:r>
              <w:rPr>
                <w:rFonts w:ascii="Arial" w:hAnsi="Arial" w:cs="Arial"/>
                <w:sz w:val="22"/>
                <w:szCs w:val="22"/>
                <w:lang w:val="fr"/>
              </w:rPr>
              <w:t xml:space="preserve">inscription </w:t>
            </w:r>
            <w:r w:rsidR="0077651D">
              <w:rPr>
                <w:rFonts w:ascii="Arial" w:hAnsi="Arial" w:cs="Arial"/>
                <w:sz w:val="22"/>
                <w:szCs w:val="22"/>
                <w:lang w:val="fr"/>
              </w:rPr>
              <w:t xml:space="preserve">sur </w:t>
            </w:r>
            <w:r w:rsidR="00A46D2D">
              <w:rPr>
                <w:rFonts w:ascii="Arial" w:hAnsi="Arial" w:cs="Arial"/>
                <w:sz w:val="22"/>
                <w:szCs w:val="22"/>
                <w:lang w:val="fr"/>
              </w:rPr>
              <w:t xml:space="preserve">les </w:t>
            </w:r>
            <w:r>
              <w:rPr>
                <w:rFonts w:ascii="Arial" w:hAnsi="Arial" w:cs="Arial"/>
                <w:sz w:val="22"/>
                <w:szCs w:val="22"/>
                <w:lang w:val="fr"/>
              </w:rPr>
              <w:t xml:space="preserve">Listes de la Convention, le </w:t>
            </w:r>
            <w:r>
              <w:rPr>
                <w:rFonts w:ascii="Arial" w:hAnsi="Arial" w:cs="Arial"/>
                <w:noProof/>
                <w:sz w:val="22"/>
                <w:szCs w:val="22"/>
                <w:lang w:val="fr"/>
              </w:rPr>
              <w:t>Comité</w:t>
            </w:r>
            <w:r>
              <w:rPr>
                <w:rFonts w:ascii="Arial" w:hAnsi="Arial" w:cs="Arial"/>
                <w:sz w:val="22"/>
                <w:szCs w:val="22"/>
                <w:lang w:val="fr"/>
              </w:rPr>
              <w:t xml:space="preserve"> doit déterminer le nombre de dossiers à traiter au cours des deux cycles suivants et ce, deux ans à l</w:t>
            </w:r>
            <w:r w:rsidR="00F225D8">
              <w:rPr>
                <w:rFonts w:ascii="Arial" w:hAnsi="Arial" w:cs="Arial"/>
                <w:sz w:val="22"/>
                <w:szCs w:val="22"/>
                <w:lang w:val="fr"/>
              </w:rPr>
              <w:t>’</w:t>
            </w:r>
            <w:r>
              <w:rPr>
                <w:rFonts w:ascii="Arial" w:hAnsi="Arial" w:cs="Arial"/>
                <w:sz w:val="22"/>
                <w:szCs w:val="22"/>
                <w:lang w:val="fr"/>
              </w:rPr>
              <w:t>avance. Ce document a) donne un aperçu des dossiers soumis pour les cycles 2024 et 2025 et b) propose un plan pour les cycles 2026 et 2027.</w:t>
            </w:r>
          </w:p>
          <w:p w14:paraId="290310E8" w14:textId="1FE58222" w:rsidR="00EC6F8D" w:rsidRPr="00BB6EEC" w:rsidRDefault="00EC6F8D" w:rsidP="00CA56BB">
            <w:pPr>
              <w:pStyle w:val="Sansinterligne2"/>
              <w:spacing w:before="200" w:after="200"/>
              <w:jc w:val="both"/>
              <w:rPr>
                <w:rFonts w:ascii="Arial" w:hAnsi="Arial" w:cs="Arial"/>
                <w:b/>
                <w:sz w:val="22"/>
                <w:szCs w:val="22"/>
              </w:rPr>
            </w:pPr>
            <w:r>
              <w:rPr>
                <w:rFonts w:ascii="Arial" w:hAnsi="Arial" w:cs="Arial"/>
                <w:b/>
                <w:bCs/>
                <w:sz w:val="22"/>
                <w:szCs w:val="22"/>
                <w:lang w:val="fr"/>
              </w:rPr>
              <w:t xml:space="preserve">Décision requise : </w:t>
            </w:r>
            <w:r>
              <w:rPr>
                <w:rFonts w:ascii="Arial" w:hAnsi="Arial" w:cs="Arial"/>
                <w:sz w:val="22"/>
                <w:szCs w:val="22"/>
                <w:lang w:val="fr"/>
              </w:rPr>
              <w:t>paragraphe 18</w:t>
            </w:r>
          </w:p>
        </w:tc>
      </w:tr>
    </w:tbl>
    <w:p w14:paraId="6C62585F" w14:textId="04ECB531" w:rsidR="00F70CC5" w:rsidRPr="00D94714" w:rsidRDefault="00981E5A" w:rsidP="00360404">
      <w:pPr>
        <w:pStyle w:val="Heading4"/>
        <w:spacing w:before="240" w:after="120"/>
        <w:ind w:firstLine="567"/>
        <w:rPr>
          <w:rFonts w:asciiTheme="minorBidi" w:hAnsiTheme="minorBidi" w:cstheme="minorBidi"/>
          <w:b w:val="0"/>
          <w:bCs w:val="0"/>
        </w:rPr>
      </w:pPr>
      <w:bookmarkStart w:id="0" w:name="_Hlk124351255"/>
      <w:r>
        <w:rPr>
          <w:rFonts w:asciiTheme="minorBidi" w:hAnsiTheme="minorBidi"/>
          <w:b w:val="0"/>
          <w:bCs w:val="0"/>
          <w:snapToGrid/>
          <w:sz w:val="24"/>
          <w:lang w:val="fr"/>
        </w:rPr>
        <w:br w:type="page"/>
      </w:r>
      <w:r>
        <w:rPr>
          <w:rFonts w:asciiTheme="minorBidi" w:hAnsiTheme="minorBidi"/>
          <w:szCs w:val="22"/>
          <w:lang w:val="fr"/>
        </w:rPr>
        <w:lastRenderedPageBreak/>
        <w:t>Contexte</w:t>
      </w:r>
    </w:p>
    <w:bookmarkEnd w:id="0"/>
    <w:p w14:paraId="78AB8B29" w14:textId="1A2AC36B" w:rsidR="00CB5EB7" w:rsidRPr="00797766" w:rsidRDefault="00A511C8" w:rsidP="00674F48">
      <w:pPr>
        <w:pStyle w:val="COMPara"/>
        <w:numPr>
          <w:ilvl w:val="0"/>
          <w:numId w:val="32"/>
        </w:numPr>
        <w:ind w:left="567" w:hanging="567"/>
        <w:jc w:val="both"/>
        <w:rPr>
          <w:lang w:val="fr-FR"/>
        </w:rPr>
      </w:pPr>
      <w:r>
        <w:rPr>
          <w:lang w:val="fr"/>
        </w:rPr>
        <w:t>À</w:t>
      </w:r>
      <w:r w:rsidR="0077651D">
        <w:rPr>
          <w:lang w:val="fr"/>
        </w:rPr>
        <w:t xml:space="preserve"> l</w:t>
      </w:r>
      <w:r w:rsidR="00F225D8">
        <w:rPr>
          <w:lang w:val="fr"/>
        </w:rPr>
        <w:t>’</w:t>
      </w:r>
      <w:r w:rsidR="0077651D">
        <w:rPr>
          <w:lang w:val="fr"/>
        </w:rPr>
        <w:t>issue de</w:t>
      </w:r>
      <w:r w:rsidR="001572E3">
        <w:rPr>
          <w:lang w:val="fr"/>
        </w:rPr>
        <w:t xml:space="preserve"> la réflexion globale sur les mécanismes d</w:t>
      </w:r>
      <w:r w:rsidR="00F225D8">
        <w:rPr>
          <w:lang w:val="fr"/>
        </w:rPr>
        <w:t>’</w:t>
      </w:r>
      <w:r w:rsidR="001572E3">
        <w:rPr>
          <w:lang w:val="fr"/>
        </w:rPr>
        <w:t xml:space="preserve">inscription </w:t>
      </w:r>
      <w:r w:rsidR="0077651D">
        <w:rPr>
          <w:lang w:val="fr"/>
        </w:rPr>
        <w:t xml:space="preserve">sur </w:t>
      </w:r>
      <w:r w:rsidR="0071760A">
        <w:rPr>
          <w:lang w:val="fr"/>
        </w:rPr>
        <w:t xml:space="preserve">les </w:t>
      </w:r>
      <w:r w:rsidR="001572E3">
        <w:rPr>
          <w:lang w:val="fr"/>
        </w:rPr>
        <w:t xml:space="preserve">Listes de la Convention (2018-2022), le système concernant le nombre de dossiers de candidature </w:t>
      </w:r>
      <w:r w:rsidR="0077651D">
        <w:rPr>
          <w:lang w:val="fr"/>
        </w:rPr>
        <w:t>pouvant</w:t>
      </w:r>
      <w:r w:rsidR="001572E3">
        <w:rPr>
          <w:lang w:val="fr"/>
        </w:rPr>
        <w:t xml:space="preserve"> être inclus dans un cycle et les priorités de sélection de ces dossiers sont </w:t>
      </w:r>
      <w:r w:rsidR="0077651D">
        <w:rPr>
          <w:lang w:val="fr"/>
        </w:rPr>
        <w:t xml:space="preserve">énoncés </w:t>
      </w:r>
      <w:r w:rsidR="001572E3">
        <w:rPr>
          <w:lang w:val="fr"/>
        </w:rPr>
        <w:t xml:space="preserve">aux paragraphes 33 et 34 des Directives opérationnelles de la Convention, telles </w:t>
      </w:r>
      <w:r w:rsidR="0077651D">
        <w:rPr>
          <w:lang w:val="fr"/>
        </w:rPr>
        <w:t>qu</w:t>
      </w:r>
      <w:r w:rsidR="00F225D8">
        <w:rPr>
          <w:lang w:val="fr"/>
        </w:rPr>
        <w:t>’</w:t>
      </w:r>
      <w:r w:rsidR="0077651D">
        <w:rPr>
          <w:lang w:val="fr"/>
        </w:rPr>
        <w:t>amendées</w:t>
      </w:r>
      <w:r w:rsidR="001572E3">
        <w:rPr>
          <w:lang w:val="fr"/>
        </w:rPr>
        <w:t xml:space="preserve"> en dernier lieu par la neuvième session de l</w:t>
      </w:r>
      <w:r w:rsidR="00F225D8">
        <w:rPr>
          <w:lang w:val="fr"/>
        </w:rPr>
        <w:t>’</w:t>
      </w:r>
      <w:r w:rsidR="001572E3">
        <w:rPr>
          <w:lang w:val="fr"/>
        </w:rPr>
        <w:t xml:space="preserve">Assemblée générale en juin 2022 (Résolution </w:t>
      </w:r>
      <w:hyperlink r:id="rId8" w:history="1">
        <w:r w:rsidR="001572E3">
          <w:rPr>
            <w:rStyle w:val="Hyperlink"/>
            <w:lang w:val="fr"/>
          </w:rPr>
          <w:t>9.GA 9</w:t>
        </w:r>
      </w:hyperlink>
      <w:r w:rsidR="001572E3">
        <w:rPr>
          <w:lang w:val="fr"/>
        </w:rPr>
        <w:t>). Les dispositions suivantes ont été appliquées pour les cycles 2024 et 2025 :</w:t>
      </w:r>
    </w:p>
    <w:p w14:paraId="68069F99" w14:textId="5466BEB5" w:rsidR="00CB5EB7" w:rsidRPr="00797766" w:rsidRDefault="00CB5EB7" w:rsidP="00BC0373">
      <w:pPr>
        <w:pStyle w:val="COMPara"/>
        <w:numPr>
          <w:ilvl w:val="1"/>
          <w:numId w:val="32"/>
        </w:numPr>
        <w:ind w:left="922"/>
        <w:jc w:val="both"/>
        <w:rPr>
          <w:lang w:val="fr-FR"/>
        </w:rPr>
      </w:pPr>
      <w:r>
        <w:rPr>
          <w:lang w:val="fr"/>
        </w:rPr>
        <w:t>Le paragraphe 33 stipule que : « Le Comité détermine deux ans à l</w:t>
      </w:r>
      <w:r w:rsidR="00F225D8">
        <w:rPr>
          <w:lang w:val="fr"/>
        </w:rPr>
        <w:t>’</w:t>
      </w:r>
      <w:r>
        <w:rPr>
          <w:lang w:val="fr"/>
        </w:rPr>
        <w:t>avance, selon les ressources disponibles et ses capacités, le nombre de dossiers qui pourront être traités au cours des deux cycles suivants qui, au total, est fixé à un maximum de soixante » ; et</w:t>
      </w:r>
    </w:p>
    <w:p w14:paraId="6125AC96" w14:textId="77777777" w:rsidR="00CB5EB7" w:rsidRPr="00797766" w:rsidRDefault="00CB5EB7" w:rsidP="00BC0373">
      <w:pPr>
        <w:pStyle w:val="COMPara"/>
        <w:numPr>
          <w:ilvl w:val="1"/>
          <w:numId w:val="32"/>
        </w:numPr>
        <w:ind w:left="922"/>
        <w:jc w:val="both"/>
        <w:rPr>
          <w:lang w:val="fr-FR"/>
        </w:rPr>
      </w:pPr>
      <w:r>
        <w:rPr>
          <w:lang w:val="fr"/>
        </w:rPr>
        <w:t>Le paragraphe 34 établit les priorités de sélection de ces dossiers comme suit :</w:t>
      </w:r>
    </w:p>
    <w:tbl>
      <w:tblPr>
        <w:tblStyle w:val="TableGrid"/>
        <w:tblpPr w:leftFromText="180" w:rightFromText="180" w:vertAnchor="text" w:horzAnchor="margin" w:tblpXSpec="right" w:tblpY="50"/>
        <w:tblW w:w="8669" w:type="dxa"/>
        <w:tblLook w:val="04A0" w:firstRow="1" w:lastRow="0" w:firstColumn="1" w:lastColumn="0" w:noHBand="0" w:noVBand="1"/>
      </w:tblPr>
      <w:tblGrid>
        <w:gridCol w:w="8669"/>
      </w:tblGrid>
      <w:tr w:rsidR="00CB5EB7" w:rsidRPr="00360404" w14:paraId="6353E380" w14:textId="77777777" w:rsidTr="00BC0373">
        <w:trPr>
          <w:trHeight w:val="2152"/>
        </w:trPr>
        <w:tc>
          <w:tcPr>
            <w:tcW w:w="8669" w:type="dxa"/>
          </w:tcPr>
          <w:p w14:paraId="7D5AE7EE" w14:textId="6CB7A89C" w:rsidR="00CB5EB7" w:rsidRPr="00797766" w:rsidRDefault="00CB5EB7" w:rsidP="00BC0373">
            <w:pPr>
              <w:pStyle w:val="COMPara"/>
              <w:numPr>
                <w:ilvl w:val="0"/>
                <w:numId w:val="0"/>
              </w:numPr>
              <w:jc w:val="both"/>
              <w:rPr>
                <w:lang w:val="fr-FR"/>
              </w:rPr>
            </w:pPr>
            <w:r>
              <w:rPr>
                <w:lang w:val="fr"/>
              </w:rPr>
              <w:t>priorité (0) - dossiers provenant d</w:t>
            </w:r>
            <w:r w:rsidR="00F225D8">
              <w:rPr>
                <w:lang w:val="fr"/>
              </w:rPr>
              <w:t>’</w:t>
            </w:r>
            <w:r>
              <w:rPr>
                <w:lang w:val="fr"/>
              </w:rPr>
              <w:t>États n</w:t>
            </w:r>
            <w:r w:rsidR="00F225D8">
              <w:rPr>
                <w:lang w:val="fr"/>
              </w:rPr>
              <w:t>’</w:t>
            </w:r>
            <w:r>
              <w:rPr>
                <w:lang w:val="fr"/>
              </w:rPr>
              <w:t xml:space="preserve">ayant aucun dossier traité au cours du cycle précédent ; </w:t>
            </w:r>
          </w:p>
          <w:p w14:paraId="238095D1" w14:textId="6AAD878E" w:rsidR="00CB5EB7" w:rsidRPr="00797766" w:rsidRDefault="00CB5EB7" w:rsidP="00BC0373">
            <w:pPr>
              <w:pStyle w:val="COMPara"/>
              <w:numPr>
                <w:ilvl w:val="0"/>
                <w:numId w:val="0"/>
              </w:numPr>
              <w:jc w:val="both"/>
              <w:rPr>
                <w:lang w:val="fr-FR"/>
              </w:rPr>
            </w:pPr>
            <w:r>
              <w:rPr>
                <w:lang w:val="fr"/>
              </w:rPr>
              <w:t>priorité (i) - dossiers provenant d</w:t>
            </w:r>
            <w:r w:rsidR="00F225D8">
              <w:rPr>
                <w:lang w:val="fr"/>
              </w:rPr>
              <w:t>’</w:t>
            </w:r>
            <w:r>
              <w:rPr>
                <w:lang w:val="fr"/>
              </w:rPr>
              <w:t>États n</w:t>
            </w:r>
            <w:r w:rsidR="00F225D8">
              <w:rPr>
                <w:lang w:val="fr"/>
              </w:rPr>
              <w:t>’</w:t>
            </w:r>
            <w:r>
              <w:rPr>
                <w:lang w:val="fr"/>
              </w:rPr>
              <w:t>ayant pas d</w:t>
            </w:r>
            <w:r w:rsidR="00F225D8">
              <w:rPr>
                <w:lang w:val="fr"/>
              </w:rPr>
              <w:t>’</w:t>
            </w:r>
            <w:r>
              <w:rPr>
                <w:lang w:val="fr"/>
              </w:rPr>
              <w:t xml:space="preserve">éléments inscrits, de meilleures pratiques de sauvegarde sélectionnées et aux candidatures à la Liste du patrimoine culturel immatériel nécessitant une sauvegarde urgente ; </w:t>
            </w:r>
          </w:p>
          <w:p w14:paraId="17002C40" w14:textId="0D0901BE" w:rsidR="00CB5EB7" w:rsidRPr="00797766" w:rsidRDefault="00CB5EB7" w:rsidP="00BC0373">
            <w:pPr>
              <w:pStyle w:val="COMPara"/>
              <w:numPr>
                <w:ilvl w:val="0"/>
                <w:numId w:val="0"/>
              </w:numPr>
              <w:jc w:val="both"/>
              <w:rPr>
                <w:lang w:val="fr-FR"/>
              </w:rPr>
            </w:pPr>
            <w:r>
              <w:rPr>
                <w:lang w:val="fr"/>
              </w:rPr>
              <w:t>priorité (ii) - dossiers multinationaux ; et</w:t>
            </w:r>
          </w:p>
          <w:p w14:paraId="7CAE4500" w14:textId="5E43DE35" w:rsidR="00CB5EB7" w:rsidRPr="00797766" w:rsidRDefault="00CB5EB7" w:rsidP="00BC0373">
            <w:pPr>
              <w:pStyle w:val="COMPara"/>
              <w:numPr>
                <w:ilvl w:val="0"/>
                <w:numId w:val="0"/>
              </w:numPr>
              <w:jc w:val="both"/>
              <w:rPr>
                <w:lang w:val="fr-FR"/>
              </w:rPr>
            </w:pPr>
            <w:r>
              <w:rPr>
                <w:lang w:val="fr"/>
              </w:rPr>
              <w:t>priorité (iii) - dossiers provenant d</w:t>
            </w:r>
            <w:r w:rsidR="00F225D8">
              <w:rPr>
                <w:lang w:val="fr"/>
              </w:rPr>
              <w:t>’</w:t>
            </w:r>
            <w:r>
              <w:rPr>
                <w:lang w:val="fr"/>
              </w:rPr>
              <w:t>États ayant le moins d</w:t>
            </w:r>
            <w:r w:rsidR="00F225D8">
              <w:rPr>
                <w:lang w:val="fr"/>
              </w:rPr>
              <w:t>’</w:t>
            </w:r>
            <w:r>
              <w:rPr>
                <w:lang w:val="fr"/>
              </w:rPr>
              <w:t xml:space="preserve">éléments inscrits </w:t>
            </w:r>
            <w:r w:rsidR="00F475E6">
              <w:rPr>
                <w:lang w:val="fr"/>
              </w:rPr>
              <w:t xml:space="preserve">et </w:t>
            </w:r>
            <w:r>
              <w:rPr>
                <w:lang w:val="fr"/>
              </w:rPr>
              <w:t>de meilleures pratiques de sauvegarde sélectionnées par rapport aux autres États soumissionnaires au cours du même cycle.</w:t>
            </w:r>
          </w:p>
          <w:p w14:paraId="449A0237" w14:textId="4AEEF4DC" w:rsidR="00CB5EB7" w:rsidRPr="00797766" w:rsidRDefault="00CB5EB7" w:rsidP="00BC0373">
            <w:pPr>
              <w:pStyle w:val="COMPara"/>
              <w:numPr>
                <w:ilvl w:val="0"/>
                <w:numId w:val="0"/>
              </w:numPr>
              <w:jc w:val="both"/>
              <w:rPr>
                <w:lang w:val="fr-FR"/>
              </w:rPr>
            </w:pPr>
            <w:r>
              <w:rPr>
                <w:lang w:val="fr"/>
              </w:rPr>
              <w:t>Dans le cas où ils soumettent plusieurs dossiers pour un même cycle, les États soumissionnaires indiquent l</w:t>
            </w:r>
            <w:r w:rsidR="00F225D8">
              <w:rPr>
                <w:lang w:val="fr"/>
              </w:rPr>
              <w:t>’</w:t>
            </w:r>
            <w:r>
              <w:rPr>
                <w:lang w:val="fr"/>
              </w:rPr>
              <w:t>ordre de priorité dans lequel ils souhaitent voir leurs dossiers examinés et sont invités à donner la priorité à la Liste du patrimoine culturel immatériel nécessitant une sauvegarde urgente.</w:t>
            </w:r>
          </w:p>
        </w:tc>
      </w:tr>
    </w:tbl>
    <w:p w14:paraId="06C7D749" w14:textId="77777777" w:rsidR="00CB5EB7" w:rsidRPr="00797766" w:rsidRDefault="00CB5EB7" w:rsidP="00BC0373">
      <w:pPr>
        <w:pStyle w:val="COMPara"/>
        <w:numPr>
          <w:ilvl w:val="0"/>
          <w:numId w:val="0"/>
        </w:numPr>
        <w:jc w:val="both"/>
        <w:rPr>
          <w:lang w:val="fr-FR"/>
        </w:rPr>
      </w:pPr>
    </w:p>
    <w:p w14:paraId="31B29CDB" w14:textId="77777777" w:rsidR="00632D80" w:rsidRPr="00125DC4" w:rsidRDefault="00632D80" w:rsidP="00BC0373">
      <w:pPr>
        <w:jc w:val="both"/>
      </w:pPr>
    </w:p>
    <w:p w14:paraId="049B227A" w14:textId="77777777" w:rsidR="00632D80" w:rsidRPr="00125DC4" w:rsidRDefault="00632D80" w:rsidP="00BC0373">
      <w:pPr>
        <w:jc w:val="both"/>
      </w:pPr>
    </w:p>
    <w:p w14:paraId="137C3A70" w14:textId="77777777" w:rsidR="00632D80" w:rsidRPr="00125DC4" w:rsidRDefault="00632D80" w:rsidP="00BC0373">
      <w:pPr>
        <w:jc w:val="both"/>
      </w:pPr>
    </w:p>
    <w:p w14:paraId="20D158CF" w14:textId="77777777" w:rsidR="00632D80" w:rsidRPr="00125DC4" w:rsidRDefault="00632D80" w:rsidP="00BC0373">
      <w:pPr>
        <w:jc w:val="both"/>
      </w:pPr>
    </w:p>
    <w:p w14:paraId="73581B60" w14:textId="77777777" w:rsidR="00632D80" w:rsidRPr="00125DC4" w:rsidRDefault="00632D80" w:rsidP="00BC0373">
      <w:pPr>
        <w:jc w:val="both"/>
      </w:pPr>
    </w:p>
    <w:p w14:paraId="46553510" w14:textId="77777777" w:rsidR="00632D80" w:rsidRPr="00125DC4" w:rsidRDefault="00632D80" w:rsidP="00BC0373">
      <w:pPr>
        <w:jc w:val="both"/>
      </w:pPr>
    </w:p>
    <w:p w14:paraId="6061A935" w14:textId="77777777" w:rsidR="00632D80" w:rsidRPr="00125DC4" w:rsidRDefault="00632D80" w:rsidP="00BC0373">
      <w:pPr>
        <w:jc w:val="both"/>
      </w:pPr>
    </w:p>
    <w:p w14:paraId="679CDE95" w14:textId="77777777" w:rsidR="00632D80" w:rsidRPr="00125DC4" w:rsidRDefault="00632D80" w:rsidP="00BC0373">
      <w:pPr>
        <w:jc w:val="both"/>
      </w:pPr>
    </w:p>
    <w:p w14:paraId="00D947AB" w14:textId="77777777" w:rsidR="00632D80" w:rsidRPr="00125DC4" w:rsidRDefault="00632D80" w:rsidP="00BC0373">
      <w:pPr>
        <w:jc w:val="both"/>
      </w:pPr>
    </w:p>
    <w:p w14:paraId="34CD4C1C" w14:textId="77777777" w:rsidR="00632D80" w:rsidRPr="00125DC4" w:rsidRDefault="00632D80" w:rsidP="00BC0373">
      <w:pPr>
        <w:jc w:val="both"/>
      </w:pPr>
    </w:p>
    <w:p w14:paraId="3237FDFE" w14:textId="77777777" w:rsidR="00632D80" w:rsidRDefault="00632D80" w:rsidP="00BC0373">
      <w:pPr>
        <w:jc w:val="both"/>
        <w:rPr>
          <w:rFonts w:ascii="Arial" w:hAnsi="Arial" w:cs="Arial"/>
          <w:snapToGrid w:val="0"/>
          <w:sz w:val="22"/>
          <w:szCs w:val="22"/>
        </w:rPr>
      </w:pPr>
    </w:p>
    <w:p w14:paraId="1FCF027C" w14:textId="155CB715" w:rsidR="00632D80" w:rsidRPr="00797766" w:rsidRDefault="00632D80" w:rsidP="00797766">
      <w:pPr>
        <w:pStyle w:val="COMPara"/>
        <w:numPr>
          <w:ilvl w:val="0"/>
          <w:numId w:val="32"/>
        </w:numPr>
        <w:spacing w:before="120"/>
        <w:ind w:left="567" w:hanging="567"/>
        <w:jc w:val="both"/>
        <w:rPr>
          <w:lang w:val="fr-FR"/>
        </w:rPr>
      </w:pPr>
      <w:r>
        <w:rPr>
          <w:lang w:val="fr"/>
        </w:rPr>
        <w:t>Le présent document fait état du nombre de dossiers soumis pour les cycles 2024 et 2025 avec une analyse de la situation pour ces deux cycles (</w:t>
      </w:r>
      <w:r w:rsidR="00D05E78">
        <w:rPr>
          <w:lang w:val="fr"/>
        </w:rPr>
        <w:t>s</w:t>
      </w:r>
      <w:r>
        <w:rPr>
          <w:lang w:val="fr"/>
        </w:rPr>
        <w:t>ection A), en réponse à la demande faite au Secrétariat de faire état du nombre de dossiers soumis pour ces cycles et de son expérience dans l</w:t>
      </w:r>
      <w:r w:rsidR="00F225D8">
        <w:rPr>
          <w:lang w:val="fr"/>
        </w:rPr>
        <w:t>’</w:t>
      </w:r>
      <w:r>
        <w:rPr>
          <w:lang w:val="fr"/>
        </w:rPr>
        <w:t>application des Directives opérationnelles</w:t>
      </w:r>
      <w:r>
        <w:rPr>
          <w:snapToGrid/>
          <w:lang w:val="fr"/>
        </w:rPr>
        <w:t xml:space="preserve"> et des décisions des sessions précédentes (en dernier lieu la </w:t>
      </w:r>
      <w:r w:rsidR="00F225D8">
        <w:rPr>
          <w:snapToGrid/>
          <w:lang w:val="fr"/>
        </w:rPr>
        <w:t>D</w:t>
      </w:r>
      <w:r>
        <w:rPr>
          <w:snapToGrid/>
          <w:lang w:val="fr"/>
        </w:rPr>
        <w:t xml:space="preserve">écision </w:t>
      </w:r>
      <w:hyperlink r:id="rId9" w:history="1">
        <w:r>
          <w:rPr>
            <w:rStyle w:val="Hyperlink"/>
            <w:rFonts w:asciiTheme="minorBidi" w:eastAsia="SimSun" w:hAnsiTheme="minorBidi" w:cstheme="minorBidi"/>
            <w:lang w:val="fr"/>
          </w:rPr>
          <w:t>17.COM 15</w:t>
        </w:r>
      </w:hyperlink>
      <w:r>
        <w:rPr>
          <w:snapToGrid/>
          <w:lang w:val="fr"/>
        </w:rPr>
        <w:t>).</w:t>
      </w:r>
      <w:r>
        <w:rPr>
          <w:lang w:val="fr"/>
        </w:rPr>
        <w:t xml:space="preserve"> Sur la base de cette expérience, le document propose un nombre </w:t>
      </w:r>
      <w:r w:rsidR="008E5144">
        <w:rPr>
          <w:lang w:val="fr"/>
        </w:rPr>
        <w:t xml:space="preserve">total </w:t>
      </w:r>
      <w:r>
        <w:rPr>
          <w:lang w:val="fr"/>
        </w:rPr>
        <w:t xml:space="preserve">de dossiers pouvant être traités pour les cycles 2026 et 2027 (section </w:t>
      </w:r>
      <w:bookmarkStart w:id="1" w:name="_Hlk177745053"/>
      <w:r>
        <w:rPr>
          <w:lang w:val="fr"/>
        </w:rPr>
        <w:t>B).</w:t>
      </w:r>
    </w:p>
    <w:bookmarkEnd w:id="1"/>
    <w:p w14:paraId="123B6521" w14:textId="5F9504E8" w:rsidR="00F70CC5" w:rsidRPr="00D94714" w:rsidRDefault="00D056D5" w:rsidP="00360404">
      <w:pPr>
        <w:pStyle w:val="Heading4"/>
        <w:numPr>
          <w:ilvl w:val="0"/>
          <w:numId w:val="24"/>
        </w:numPr>
        <w:spacing w:before="240" w:after="120"/>
        <w:ind w:left="720" w:hanging="720"/>
        <w:jc w:val="both"/>
        <w:rPr>
          <w:rFonts w:asciiTheme="minorBidi" w:hAnsiTheme="minorBidi" w:cstheme="minorBidi"/>
          <w:b w:val="0"/>
          <w:bCs w:val="0"/>
        </w:rPr>
      </w:pPr>
      <w:r>
        <w:rPr>
          <w:rFonts w:asciiTheme="minorBidi" w:hAnsiTheme="minorBidi" w:cstheme="minorBidi"/>
          <w:szCs w:val="22"/>
          <w:lang w:val="fr"/>
        </w:rPr>
        <w:t>Rapports sur les cycles passés</w:t>
      </w:r>
    </w:p>
    <w:p w14:paraId="5C452BB0" w14:textId="313B90BD" w:rsidR="00D94714" w:rsidRPr="00797766" w:rsidRDefault="00D056D5" w:rsidP="00D94C8F">
      <w:pPr>
        <w:pStyle w:val="COMPara"/>
        <w:numPr>
          <w:ilvl w:val="0"/>
          <w:numId w:val="32"/>
        </w:numPr>
        <w:ind w:left="567" w:hanging="567"/>
        <w:jc w:val="both"/>
        <w:rPr>
          <w:rFonts w:asciiTheme="minorBidi" w:hAnsiTheme="minorBidi" w:cstheme="minorBidi"/>
          <w:lang w:val="fr-FR"/>
        </w:rPr>
      </w:pPr>
      <w:r>
        <w:rPr>
          <w:lang w:val="fr"/>
        </w:rPr>
        <w:t xml:space="preserve">Les cycles 2024 et 2025 </w:t>
      </w:r>
      <w:r w:rsidR="0077651D">
        <w:rPr>
          <w:rFonts w:asciiTheme="minorBidi" w:hAnsiTheme="minorBidi"/>
          <w:lang w:val="fr"/>
        </w:rPr>
        <w:t xml:space="preserve">ont été </w:t>
      </w:r>
      <w:r>
        <w:rPr>
          <w:rFonts w:asciiTheme="minorBidi" w:hAnsiTheme="minorBidi"/>
          <w:lang w:val="fr"/>
        </w:rPr>
        <w:t>les premiers cycles de candidature lors desquels les résultats de la réflexion globale</w:t>
      </w:r>
      <w:r>
        <w:rPr>
          <w:lang w:val="fr"/>
        </w:rPr>
        <w:t xml:space="preserve"> sur les mécanismes d</w:t>
      </w:r>
      <w:r w:rsidR="00F225D8">
        <w:rPr>
          <w:lang w:val="fr"/>
        </w:rPr>
        <w:t>’</w:t>
      </w:r>
      <w:r>
        <w:rPr>
          <w:lang w:val="fr"/>
        </w:rPr>
        <w:t xml:space="preserve">inscription </w:t>
      </w:r>
      <w:r w:rsidR="0077651D">
        <w:rPr>
          <w:lang w:val="fr"/>
        </w:rPr>
        <w:t xml:space="preserve">sur les </w:t>
      </w:r>
      <w:r w:rsidR="00D05E78">
        <w:rPr>
          <w:lang w:val="fr"/>
        </w:rPr>
        <w:t>L</w:t>
      </w:r>
      <w:r w:rsidR="0077651D">
        <w:rPr>
          <w:lang w:val="fr"/>
        </w:rPr>
        <w:t xml:space="preserve">istes </w:t>
      </w:r>
      <w:r>
        <w:rPr>
          <w:lang w:val="fr"/>
        </w:rPr>
        <w:t>de la Convention (2018</w:t>
      </w:r>
      <w:r w:rsidR="00A511C8">
        <w:rPr>
          <w:lang w:val="fr"/>
        </w:rPr>
        <w:t>-</w:t>
      </w:r>
      <w:r>
        <w:rPr>
          <w:lang w:val="fr"/>
        </w:rPr>
        <w:t xml:space="preserve">2022) ont pris pleinement effet. Outre les paragraphes 33 et 34 amendés des Directives opérationnelles mentionnés ci-dessus, </w:t>
      </w:r>
      <w:r>
        <w:rPr>
          <w:rFonts w:asciiTheme="minorBidi" w:hAnsiTheme="minorBidi"/>
          <w:lang w:val="fr"/>
        </w:rPr>
        <w:t>d</w:t>
      </w:r>
      <w:r w:rsidR="00F225D8">
        <w:rPr>
          <w:rFonts w:asciiTheme="minorBidi" w:hAnsiTheme="minorBidi"/>
          <w:lang w:val="fr"/>
        </w:rPr>
        <w:t>’</w:t>
      </w:r>
      <w:r>
        <w:rPr>
          <w:rFonts w:asciiTheme="minorBidi" w:hAnsiTheme="minorBidi"/>
          <w:lang w:val="fr"/>
        </w:rPr>
        <w:t xml:space="preserve">autres résultats du processus de réflexion globale mis en œuvre à partir du cycle 2024 </w:t>
      </w:r>
      <w:r w:rsidR="0077651D">
        <w:rPr>
          <w:rFonts w:asciiTheme="minorBidi" w:hAnsiTheme="minorBidi"/>
          <w:lang w:val="fr"/>
        </w:rPr>
        <w:t>comprenaient</w:t>
      </w:r>
      <w:r>
        <w:rPr>
          <w:rFonts w:asciiTheme="minorBidi" w:hAnsiTheme="minorBidi"/>
          <w:lang w:val="fr"/>
        </w:rPr>
        <w:t xml:space="preserve"> a) la mise en œuvre des formulaires révisés, simplifiés ou nouvellement créés pour les candidatures, les propositions et les demandes, b) les ajustements initiaux apportés aux critères de sélection du Registre de bonnes pratiques de sauvegarde, c) les procédures nouvellement établies sur le transfert d</w:t>
      </w:r>
      <w:r w:rsidR="00F225D8">
        <w:rPr>
          <w:rFonts w:asciiTheme="minorBidi" w:hAnsiTheme="minorBidi"/>
          <w:lang w:val="fr"/>
        </w:rPr>
        <w:t>’</w:t>
      </w:r>
      <w:r>
        <w:rPr>
          <w:rFonts w:asciiTheme="minorBidi" w:hAnsiTheme="minorBidi"/>
          <w:lang w:val="fr"/>
        </w:rPr>
        <w:t>éléments entre les Listes de la Convention ou l</w:t>
      </w:r>
      <w:r w:rsidR="00F225D8">
        <w:rPr>
          <w:rFonts w:asciiTheme="minorBidi" w:hAnsiTheme="minorBidi"/>
          <w:lang w:val="fr"/>
        </w:rPr>
        <w:t>’</w:t>
      </w:r>
      <w:r>
        <w:rPr>
          <w:rFonts w:asciiTheme="minorBidi" w:hAnsiTheme="minorBidi"/>
          <w:lang w:val="fr"/>
        </w:rPr>
        <w:t xml:space="preserve">inscription sur une base </w:t>
      </w:r>
      <w:r w:rsidR="0077651D">
        <w:rPr>
          <w:rFonts w:asciiTheme="minorBidi" w:hAnsiTheme="minorBidi"/>
          <w:lang w:val="fr"/>
        </w:rPr>
        <w:t xml:space="preserve">élargie </w:t>
      </w:r>
      <w:r>
        <w:rPr>
          <w:rFonts w:asciiTheme="minorBidi" w:hAnsiTheme="minorBidi"/>
          <w:lang w:val="fr"/>
        </w:rPr>
        <w:t>ou réduite, et sur le retrait d</w:t>
      </w:r>
      <w:r w:rsidR="00F225D8">
        <w:rPr>
          <w:rFonts w:asciiTheme="minorBidi" w:hAnsiTheme="minorBidi"/>
          <w:lang w:val="fr"/>
        </w:rPr>
        <w:t>’</w:t>
      </w:r>
      <w:r>
        <w:rPr>
          <w:rFonts w:asciiTheme="minorBidi" w:hAnsiTheme="minorBidi"/>
          <w:lang w:val="fr"/>
        </w:rPr>
        <w:t>un élément de l</w:t>
      </w:r>
      <w:r w:rsidR="00F225D8">
        <w:rPr>
          <w:rFonts w:asciiTheme="minorBidi" w:hAnsiTheme="minorBidi"/>
          <w:lang w:val="fr"/>
        </w:rPr>
        <w:t>’</w:t>
      </w:r>
      <w:r>
        <w:rPr>
          <w:rFonts w:asciiTheme="minorBidi" w:hAnsiTheme="minorBidi"/>
          <w:lang w:val="fr"/>
        </w:rPr>
        <w:t>une des Listes et un mécanisme de suivi pour un élément actuellement inscrit, et d) la répartition ajustée des tâches entre le Comité et son Bureau en ce qui concerne l</w:t>
      </w:r>
      <w:r w:rsidR="00F225D8">
        <w:rPr>
          <w:rFonts w:asciiTheme="minorBidi" w:hAnsiTheme="minorBidi"/>
          <w:lang w:val="fr"/>
        </w:rPr>
        <w:t>’</w:t>
      </w:r>
      <w:r>
        <w:rPr>
          <w:rFonts w:asciiTheme="minorBidi" w:hAnsiTheme="minorBidi"/>
          <w:lang w:val="fr"/>
        </w:rPr>
        <w:t>examen de l</w:t>
      </w:r>
      <w:r w:rsidR="00F225D8">
        <w:rPr>
          <w:rFonts w:asciiTheme="minorBidi" w:hAnsiTheme="minorBidi"/>
          <w:lang w:val="fr"/>
        </w:rPr>
        <w:t>’</w:t>
      </w:r>
      <w:r>
        <w:rPr>
          <w:rFonts w:asciiTheme="minorBidi" w:hAnsiTheme="minorBidi"/>
          <w:lang w:val="fr"/>
        </w:rPr>
        <w:t>assistance internationale.</w:t>
      </w:r>
    </w:p>
    <w:p w14:paraId="0B9F23FE" w14:textId="1F857E58" w:rsidR="00363BFF" w:rsidRPr="00797766" w:rsidRDefault="000D6DE6" w:rsidP="00BC0373">
      <w:pPr>
        <w:pStyle w:val="COMPara"/>
        <w:numPr>
          <w:ilvl w:val="0"/>
          <w:numId w:val="32"/>
        </w:numPr>
        <w:ind w:left="567" w:hanging="567"/>
        <w:jc w:val="both"/>
        <w:rPr>
          <w:rFonts w:asciiTheme="minorBidi" w:hAnsiTheme="minorBidi" w:cstheme="minorBidi"/>
          <w:lang w:val="fr-FR"/>
        </w:rPr>
      </w:pPr>
      <w:r>
        <w:rPr>
          <w:rFonts w:asciiTheme="minorBidi" w:hAnsiTheme="minorBidi"/>
          <w:lang w:val="fr"/>
        </w:rPr>
        <w:t>Le Comité a demandé que les dossiers suivants soient inclus au-dessus du plafond annuel pour les cycles 2024 et 2025 (</w:t>
      </w:r>
      <w:r w:rsidR="005D1D09">
        <w:rPr>
          <w:rFonts w:asciiTheme="minorBidi" w:hAnsiTheme="minorBidi"/>
          <w:lang w:val="fr"/>
        </w:rPr>
        <w:t>D</w:t>
      </w:r>
      <w:r>
        <w:rPr>
          <w:rFonts w:asciiTheme="minorBidi" w:hAnsiTheme="minorBidi"/>
          <w:lang w:val="fr"/>
        </w:rPr>
        <w:t xml:space="preserve">écision </w:t>
      </w:r>
      <w:r w:rsidR="000D3CCA">
        <w:fldChar w:fldCharType="begin"/>
      </w:r>
      <w:r w:rsidR="000D3CCA" w:rsidRPr="000D3CCA">
        <w:rPr>
          <w:lang w:val="fr-FR"/>
        </w:rPr>
        <w:instrText>HYPERLINK "https://ich.unesco.org/fr/decisions/17.COM/15"</w:instrText>
      </w:r>
      <w:r w:rsidR="000D3CCA">
        <w:fldChar w:fldCharType="separate"/>
      </w:r>
      <w:r>
        <w:rPr>
          <w:rStyle w:val="Hyperlink"/>
          <w:rFonts w:asciiTheme="minorBidi" w:hAnsiTheme="minorBidi" w:cstheme="minorBidi"/>
          <w:lang w:val="fr"/>
        </w:rPr>
        <w:t>17.COM 15</w:t>
      </w:r>
      <w:r w:rsidR="000D3CCA">
        <w:rPr>
          <w:rStyle w:val="Hyperlink"/>
          <w:rFonts w:asciiTheme="minorBidi" w:hAnsiTheme="minorBidi" w:cstheme="minorBidi"/>
          <w:lang w:val="fr"/>
        </w:rPr>
        <w:fldChar w:fldCharType="end"/>
      </w:r>
      <w:r>
        <w:rPr>
          <w:rFonts w:asciiTheme="minorBidi" w:hAnsiTheme="minorBidi"/>
          <w:lang w:val="fr"/>
        </w:rPr>
        <w:t xml:space="preserve"> paragraphe 4) : les demandes de transfert de la Liste représentative à la Liste de sauvegarde urgente et inversement, l</w:t>
      </w:r>
      <w:r w:rsidR="00F225D8">
        <w:rPr>
          <w:rFonts w:asciiTheme="minorBidi" w:hAnsiTheme="minorBidi"/>
          <w:lang w:val="fr"/>
        </w:rPr>
        <w:t>’</w:t>
      </w:r>
      <w:r>
        <w:rPr>
          <w:rFonts w:asciiTheme="minorBidi" w:hAnsiTheme="minorBidi"/>
          <w:lang w:val="fr"/>
        </w:rPr>
        <w:t>i</w:t>
      </w:r>
      <w:r w:rsidR="0071760A">
        <w:rPr>
          <w:rFonts w:asciiTheme="minorBidi" w:hAnsiTheme="minorBidi"/>
          <w:lang w:val="fr"/>
        </w:rPr>
        <w:t>nclusion</w:t>
      </w:r>
      <w:r>
        <w:rPr>
          <w:rFonts w:asciiTheme="minorBidi" w:hAnsiTheme="minorBidi"/>
          <w:lang w:val="fr"/>
        </w:rPr>
        <w:t xml:space="preserve"> </w:t>
      </w:r>
      <w:r w:rsidR="002C1328">
        <w:rPr>
          <w:rFonts w:asciiTheme="minorBidi" w:hAnsiTheme="minorBidi"/>
          <w:lang w:val="fr"/>
        </w:rPr>
        <w:t xml:space="preserve">au Registre de bonnes pratiques de sauvegarde </w:t>
      </w:r>
      <w:r>
        <w:rPr>
          <w:rFonts w:asciiTheme="minorBidi" w:hAnsiTheme="minorBidi"/>
          <w:lang w:val="fr"/>
        </w:rPr>
        <w:t xml:space="preserve">des expériences de sauvegarde </w:t>
      </w:r>
      <w:r w:rsidR="002C1328">
        <w:rPr>
          <w:rFonts w:asciiTheme="minorBidi" w:hAnsiTheme="minorBidi"/>
          <w:lang w:val="fr"/>
        </w:rPr>
        <w:t xml:space="preserve">réussies </w:t>
      </w:r>
      <w:r w:rsidR="002C1328">
        <w:rPr>
          <w:rFonts w:asciiTheme="minorBidi" w:hAnsiTheme="minorBidi"/>
          <w:lang w:val="fr"/>
        </w:rPr>
        <w:lastRenderedPageBreak/>
        <w:t>résultant</w:t>
      </w:r>
      <w:r w:rsidR="0071760A">
        <w:rPr>
          <w:rFonts w:asciiTheme="minorBidi" w:hAnsiTheme="minorBidi"/>
          <w:lang w:val="fr"/>
        </w:rPr>
        <w:t xml:space="preserve"> </w:t>
      </w:r>
      <w:r w:rsidR="002C1328">
        <w:rPr>
          <w:rFonts w:asciiTheme="minorBidi" w:hAnsiTheme="minorBidi"/>
          <w:lang w:val="fr"/>
        </w:rPr>
        <w:t>d</w:t>
      </w:r>
      <w:r w:rsidR="00F225D8">
        <w:rPr>
          <w:rFonts w:asciiTheme="minorBidi" w:hAnsiTheme="minorBidi"/>
          <w:lang w:val="fr"/>
        </w:rPr>
        <w:t>’</w:t>
      </w:r>
      <w:r>
        <w:rPr>
          <w:rFonts w:asciiTheme="minorBidi" w:hAnsiTheme="minorBidi"/>
          <w:lang w:val="fr"/>
        </w:rPr>
        <w:t xml:space="preserve">un transfert de la Liste de sauvegarde urgente à la Liste représentative, les inscriptions sur une base élargie ou réduite, </w:t>
      </w:r>
      <w:r w:rsidR="002C1328">
        <w:rPr>
          <w:rFonts w:asciiTheme="minorBidi" w:hAnsiTheme="minorBidi"/>
          <w:lang w:val="fr"/>
        </w:rPr>
        <w:t xml:space="preserve">ainsi que </w:t>
      </w:r>
      <w:r>
        <w:rPr>
          <w:rFonts w:asciiTheme="minorBidi" w:hAnsiTheme="minorBidi"/>
          <w:lang w:val="fr"/>
        </w:rPr>
        <w:t>le suivi des éléments inscrits.</w:t>
      </w:r>
    </w:p>
    <w:p w14:paraId="43094211" w14:textId="5332CE43" w:rsidR="00D94C8F" w:rsidRPr="00360404" w:rsidRDefault="00040E3A" w:rsidP="00D94C8F">
      <w:pPr>
        <w:pStyle w:val="ListParagraph"/>
        <w:numPr>
          <w:ilvl w:val="0"/>
          <w:numId w:val="32"/>
        </w:numPr>
        <w:ind w:left="567" w:hanging="567"/>
        <w:jc w:val="both"/>
        <w:rPr>
          <w:rFonts w:asciiTheme="minorBidi" w:hAnsiTheme="minorBidi" w:cstheme="minorBidi"/>
          <w:sz w:val="22"/>
          <w:szCs w:val="22"/>
        </w:rPr>
      </w:pPr>
      <w:r>
        <w:rPr>
          <w:rFonts w:asciiTheme="minorBidi" w:hAnsiTheme="minorBidi" w:cstheme="minorBidi"/>
          <w:sz w:val="22"/>
          <w:szCs w:val="22"/>
          <w:lang w:val="fr"/>
        </w:rPr>
        <w:t>En outre, sur la base de l</w:t>
      </w:r>
      <w:r w:rsidR="00F225D8">
        <w:rPr>
          <w:rFonts w:asciiTheme="minorBidi" w:hAnsiTheme="minorBidi" w:cstheme="minorBidi"/>
          <w:sz w:val="22"/>
          <w:szCs w:val="22"/>
          <w:lang w:val="fr"/>
        </w:rPr>
        <w:t>’</w:t>
      </w:r>
      <w:r>
        <w:rPr>
          <w:rFonts w:asciiTheme="minorBidi" w:hAnsiTheme="minorBidi" w:cstheme="minorBidi"/>
          <w:sz w:val="22"/>
          <w:szCs w:val="22"/>
          <w:lang w:val="fr"/>
        </w:rPr>
        <w:t>expérience des cycles 2021 et 2022, au cours desquels certains dossiers multinationaux n</w:t>
      </w:r>
      <w:r w:rsidR="00F225D8">
        <w:rPr>
          <w:rFonts w:asciiTheme="minorBidi" w:hAnsiTheme="minorBidi" w:cstheme="minorBidi"/>
          <w:sz w:val="22"/>
          <w:szCs w:val="22"/>
          <w:lang w:val="fr"/>
        </w:rPr>
        <w:t>’</w:t>
      </w:r>
      <w:r>
        <w:rPr>
          <w:rFonts w:asciiTheme="minorBidi" w:hAnsiTheme="minorBidi" w:cstheme="minorBidi"/>
          <w:sz w:val="22"/>
          <w:szCs w:val="22"/>
          <w:lang w:val="fr"/>
        </w:rPr>
        <w:t>ont pas pu être traités, le Comité a décidé que, au cas où l</w:t>
      </w:r>
      <w:r w:rsidR="00F225D8">
        <w:rPr>
          <w:rFonts w:asciiTheme="minorBidi" w:hAnsiTheme="minorBidi" w:cstheme="minorBidi"/>
          <w:sz w:val="22"/>
          <w:szCs w:val="22"/>
          <w:lang w:val="fr"/>
        </w:rPr>
        <w:t>’</w:t>
      </w:r>
      <w:r>
        <w:rPr>
          <w:rFonts w:asciiTheme="minorBidi" w:hAnsiTheme="minorBidi" w:cstheme="minorBidi"/>
          <w:sz w:val="22"/>
          <w:szCs w:val="22"/>
          <w:lang w:val="fr"/>
        </w:rPr>
        <w:t xml:space="preserve">inclusion de tous les dossiers multinationaux dans les cycles 2024 ou 2025 porterait le nombre de dossiers à traiter à plus de soixante, la priorité serait donnée, au sein des dossiers multinationaux, (a) aux dossiers multinationaux </w:t>
      </w:r>
      <w:r w:rsidR="002C1328">
        <w:rPr>
          <w:rFonts w:asciiTheme="minorBidi" w:hAnsiTheme="minorBidi" w:cstheme="minorBidi"/>
          <w:sz w:val="22"/>
          <w:szCs w:val="22"/>
          <w:lang w:val="fr"/>
        </w:rPr>
        <w:t xml:space="preserve">avec </w:t>
      </w:r>
      <w:r>
        <w:rPr>
          <w:rFonts w:asciiTheme="minorBidi" w:hAnsiTheme="minorBidi" w:cstheme="minorBidi"/>
          <w:sz w:val="22"/>
          <w:szCs w:val="22"/>
          <w:lang w:val="fr"/>
        </w:rPr>
        <w:t xml:space="preserve">au moins un État soumissionnaire </w:t>
      </w:r>
      <w:r w:rsidR="002C1328">
        <w:rPr>
          <w:rFonts w:asciiTheme="minorBidi" w:hAnsiTheme="minorBidi" w:cstheme="minorBidi"/>
          <w:sz w:val="22"/>
          <w:szCs w:val="22"/>
          <w:lang w:val="fr"/>
        </w:rPr>
        <w:t>qui n</w:t>
      </w:r>
      <w:r w:rsidR="00F225D8">
        <w:rPr>
          <w:rFonts w:asciiTheme="minorBidi" w:hAnsiTheme="minorBidi" w:cstheme="minorBidi"/>
          <w:sz w:val="22"/>
          <w:szCs w:val="22"/>
          <w:lang w:val="fr"/>
        </w:rPr>
        <w:t>’</w:t>
      </w:r>
      <w:r w:rsidR="002C1328">
        <w:rPr>
          <w:rFonts w:asciiTheme="minorBidi" w:hAnsiTheme="minorBidi" w:cstheme="minorBidi"/>
          <w:sz w:val="22"/>
          <w:szCs w:val="22"/>
          <w:lang w:val="fr"/>
        </w:rPr>
        <w:t xml:space="preserve">a </w:t>
      </w:r>
      <w:r>
        <w:rPr>
          <w:rFonts w:asciiTheme="minorBidi" w:hAnsiTheme="minorBidi" w:cstheme="minorBidi"/>
          <w:sz w:val="22"/>
          <w:szCs w:val="22"/>
          <w:lang w:val="fr"/>
        </w:rPr>
        <w:t>pas d</w:t>
      </w:r>
      <w:r w:rsidR="00F225D8">
        <w:rPr>
          <w:rFonts w:asciiTheme="minorBidi" w:hAnsiTheme="minorBidi" w:cstheme="minorBidi"/>
          <w:sz w:val="22"/>
          <w:szCs w:val="22"/>
          <w:lang w:val="fr"/>
        </w:rPr>
        <w:t>’</w:t>
      </w:r>
      <w:r>
        <w:rPr>
          <w:rFonts w:asciiTheme="minorBidi" w:hAnsiTheme="minorBidi" w:cstheme="minorBidi"/>
          <w:sz w:val="22"/>
          <w:szCs w:val="22"/>
          <w:lang w:val="fr"/>
        </w:rPr>
        <w:t>élément nationa</w:t>
      </w:r>
      <w:r w:rsidR="002C1328">
        <w:rPr>
          <w:rFonts w:asciiTheme="minorBidi" w:hAnsiTheme="minorBidi" w:cstheme="minorBidi"/>
          <w:sz w:val="22"/>
          <w:szCs w:val="22"/>
          <w:lang w:val="fr"/>
        </w:rPr>
        <w:t>l</w:t>
      </w:r>
      <w:r>
        <w:rPr>
          <w:rFonts w:asciiTheme="minorBidi" w:hAnsiTheme="minorBidi" w:cstheme="minorBidi"/>
          <w:sz w:val="22"/>
          <w:szCs w:val="22"/>
          <w:lang w:val="fr"/>
        </w:rPr>
        <w:t xml:space="preserve"> inscrit</w:t>
      </w:r>
      <w:r w:rsidR="007E436C">
        <w:rPr>
          <w:rFonts w:asciiTheme="minorBidi" w:hAnsiTheme="minorBidi" w:cstheme="minorBidi"/>
          <w:sz w:val="22"/>
          <w:szCs w:val="22"/>
          <w:lang w:val="fr"/>
        </w:rPr>
        <w:t> ;</w:t>
      </w:r>
      <w:r>
        <w:rPr>
          <w:rFonts w:asciiTheme="minorBidi" w:hAnsiTheme="minorBidi" w:cstheme="minorBidi"/>
          <w:sz w:val="22"/>
          <w:szCs w:val="22"/>
          <w:lang w:val="fr"/>
        </w:rPr>
        <w:t xml:space="preserve"> et (b) aux dossiers multinationaux comportant le moins d</w:t>
      </w:r>
      <w:r w:rsidR="00F225D8">
        <w:rPr>
          <w:rFonts w:asciiTheme="minorBidi" w:hAnsiTheme="minorBidi" w:cstheme="minorBidi"/>
          <w:sz w:val="22"/>
          <w:szCs w:val="22"/>
          <w:lang w:val="fr"/>
        </w:rPr>
        <w:t>’</w:t>
      </w:r>
      <w:r>
        <w:rPr>
          <w:rFonts w:asciiTheme="minorBidi" w:hAnsiTheme="minorBidi" w:cstheme="minorBidi"/>
          <w:sz w:val="22"/>
          <w:szCs w:val="22"/>
          <w:lang w:val="fr"/>
        </w:rPr>
        <w:t>éléments inscrits par État soumissionnaire concerné, en tenant compte du fait que les groupes d</w:t>
      </w:r>
      <w:r w:rsidR="00F225D8">
        <w:rPr>
          <w:rFonts w:asciiTheme="minorBidi" w:hAnsiTheme="minorBidi" w:cstheme="minorBidi"/>
          <w:sz w:val="22"/>
          <w:szCs w:val="22"/>
          <w:lang w:val="fr"/>
        </w:rPr>
        <w:t>’</w:t>
      </w:r>
      <w:r>
        <w:rPr>
          <w:rFonts w:asciiTheme="minorBidi" w:hAnsiTheme="minorBidi" w:cstheme="minorBidi"/>
          <w:sz w:val="22"/>
          <w:szCs w:val="22"/>
          <w:lang w:val="fr"/>
        </w:rPr>
        <w:t>États soumissionnaires qui ont soumis plus d</w:t>
      </w:r>
      <w:r w:rsidR="00F225D8">
        <w:rPr>
          <w:rFonts w:asciiTheme="minorBidi" w:hAnsiTheme="minorBidi" w:cstheme="minorBidi"/>
          <w:sz w:val="22"/>
          <w:szCs w:val="22"/>
          <w:lang w:val="fr"/>
        </w:rPr>
        <w:t>’</w:t>
      </w:r>
      <w:r>
        <w:rPr>
          <w:rFonts w:asciiTheme="minorBidi" w:hAnsiTheme="minorBidi" w:cstheme="minorBidi"/>
          <w:sz w:val="22"/>
          <w:szCs w:val="22"/>
          <w:lang w:val="fr"/>
        </w:rPr>
        <w:t>un dossier multinational au cours d</w:t>
      </w:r>
      <w:r w:rsidR="00F225D8">
        <w:rPr>
          <w:rFonts w:asciiTheme="minorBidi" w:hAnsiTheme="minorBidi" w:cstheme="minorBidi"/>
          <w:sz w:val="22"/>
          <w:szCs w:val="22"/>
          <w:lang w:val="fr"/>
        </w:rPr>
        <w:t>’</w:t>
      </w:r>
      <w:r>
        <w:rPr>
          <w:rFonts w:asciiTheme="minorBidi" w:hAnsiTheme="minorBidi" w:cstheme="minorBidi"/>
          <w:sz w:val="22"/>
          <w:szCs w:val="22"/>
          <w:lang w:val="fr"/>
        </w:rPr>
        <w:t>un cycle donné peuvent être invités à choisir lequel de leurs dossiers multinationaux doit être pris en considération (</w:t>
      </w:r>
      <w:r w:rsidR="00F225D8">
        <w:rPr>
          <w:rFonts w:asciiTheme="minorBidi" w:hAnsiTheme="minorBidi" w:cstheme="minorBidi"/>
          <w:sz w:val="22"/>
          <w:szCs w:val="22"/>
          <w:lang w:val="fr"/>
        </w:rPr>
        <w:t>D</w:t>
      </w:r>
      <w:r>
        <w:rPr>
          <w:rFonts w:asciiTheme="minorBidi" w:hAnsiTheme="minorBidi" w:cstheme="minorBidi"/>
          <w:sz w:val="22"/>
          <w:szCs w:val="22"/>
          <w:lang w:val="fr"/>
        </w:rPr>
        <w:t xml:space="preserve">écision </w:t>
      </w:r>
      <w:hyperlink r:id="rId10" w:history="1">
        <w:r>
          <w:rPr>
            <w:rStyle w:val="Hyperlink"/>
            <w:rFonts w:asciiTheme="minorBidi" w:hAnsiTheme="minorBidi" w:cstheme="minorBidi"/>
            <w:sz w:val="22"/>
            <w:szCs w:val="22"/>
            <w:lang w:val="fr"/>
          </w:rPr>
          <w:t>17.COM 15</w:t>
        </w:r>
      </w:hyperlink>
      <w:r w:rsidR="005E79EB">
        <w:rPr>
          <w:rFonts w:asciiTheme="minorBidi" w:hAnsiTheme="minorBidi" w:cstheme="minorBidi"/>
          <w:sz w:val="22"/>
          <w:szCs w:val="22"/>
          <w:lang w:val="fr"/>
        </w:rPr>
        <w:t xml:space="preserve">, </w:t>
      </w:r>
      <w:r>
        <w:rPr>
          <w:rFonts w:asciiTheme="minorBidi" w:hAnsiTheme="minorBidi" w:cstheme="minorBidi"/>
          <w:sz w:val="22"/>
          <w:szCs w:val="22"/>
          <w:lang w:val="fr"/>
        </w:rPr>
        <w:t>paragraphe 7).</w:t>
      </w:r>
    </w:p>
    <w:p w14:paraId="5F39D3E1" w14:textId="77777777" w:rsidR="0046395E" w:rsidRPr="00E01A0E" w:rsidRDefault="0046395E" w:rsidP="00C360DD">
      <w:pPr>
        <w:pStyle w:val="Heading4"/>
        <w:keepNext w:val="0"/>
        <w:keepLines w:val="0"/>
        <w:widowControl w:val="0"/>
        <w:spacing w:before="240" w:after="120"/>
        <w:ind w:left="567"/>
        <w:jc w:val="both"/>
        <w:rPr>
          <w:rFonts w:asciiTheme="minorBidi" w:hAnsiTheme="minorBidi" w:cstheme="minorBidi"/>
          <w:szCs w:val="22"/>
        </w:rPr>
      </w:pPr>
      <w:r>
        <w:rPr>
          <w:rFonts w:asciiTheme="minorBidi" w:hAnsiTheme="minorBidi" w:cstheme="minorBidi"/>
          <w:szCs w:val="22"/>
          <w:lang w:val="fr"/>
        </w:rPr>
        <w:t>Rapport sur le cycle 2024</w:t>
      </w:r>
    </w:p>
    <w:p w14:paraId="69E2C934" w14:textId="050C2F8A" w:rsidR="0046395E" w:rsidRPr="00797766" w:rsidRDefault="00F1709D" w:rsidP="0046395E">
      <w:pPr>
        <w:pStyle w:val="COMPara"/>
        <w:numPr>
          <w:ilvl w:val="0"/>
          <w:numId w:val="32"/>
        </w:numPr>
        <w:ind w:left="567" w:hanging="567"/>
        <w:jc w:val="both"/>
        <w:rPr>
          <w:lang w:val="fr-FR"/>
        </w:rPr>
      </w:pPr>
      <w:r>
        <w:rPr>
          <w:lang w:val="fr"/>
        </w:rPr>
        <w:t>À la date limite statutaire du 31 mars 2023, 74 candidatures ont été reçues par le Secrétariat. En outre, les dossiers en attente du cycle 2023 et ceux des cycles précédents qui n</w:t>
      </w:r>
      <w:r w:rsidR="00F225D8">
        <w:rPr>
          <w:lang w:val="fr"/>
        </w:rPr>
        <w:t>’</w:t>
      </w:r>
      <w:r>
        <w:rPr>
          <w:lang w:val="fr"/>
        </w:rPr>
        <w:t xml:space="preserve">ont pas été traités </w:t>
      </w:r>
      <w:r w:rsidR="0071760A">
        <w:rPr>
          <w:lang w:val="fr"/>
        </w:rPr>
        <w:t xml:space="preserve">auparavant </w:t>
      </w:r>
      <w:r>
        <w:rPr>
          <w:lang w:val="fr"/>
        </w:rPr>
        <w:t xml:space="preserve">en raison du plafond établi (appelés « dossiers en </w:t>
      </w:r>
      <w:r w:rsidR="0071760A">
        <w:rPr>
          <w:lang w:val="fr"/>
        </w:rPr>
        <w:t>attente </w:t>
      </w:r>
      <w:r>
        <w:rPr>
          <w:lang w:val="fr"/>
        </w:rPr>
        <w:t xml:space="preserve">») ont été pris en considération. Pour le cycle 2024, un total de </w:t>
      </w:r>
      <w:r>
        <w:rPr>
          <w:b/>
          <w:bCs/>
          <w:lang w:val="fr"/>
        </w:rPr>
        <w:t xml:space="preserve">soixante et onze dossiers </w:t>
      </w:r>
      <w:r>
        <w:rPr>
          <w:lang w:val="fr"/>
        </w:rPr>
        <w:t>a pu être traité</w:t>
      </w:r>
      <w:r>
        <w:rPr>
          <w:rStyle w:val="FootnoteReference"/>
          <w:lang w:val="fr"/>
        </w:rPr>
        <w:footnoteReference w:id="1"/>
      </w:r>
      <w:r>
        <w:rPr>
          <w:lang w:val="fr"/>
        </w:rPr>
        <w:t xml:space="preserve"> comme suit :</w:t>
      </w:r>
    </w:p>
    <w:p w14:paraId="555AB1CF" w14:textId="34408CDC" w:rsidR="0046395E" w:rsidRPr="00797766" w:rsidRDefault="000467FE" w:rsidP="00687164">
      <w:pPr>
        <w:pStyle w:val="COMPara"/>
        <w:numPr>
          <w:ilvl w:val="1"/>
          <w:numId w:val="32"/>
        </w:numPr>
        <w:ind w:left="993" w:hanging="426"/>
        <w:jc w:val="both"/>
        <w:rPr>
          <w:lang w:val="fr-FR"/>
        </w:rPr>
      </w:pPr>
      <w:r>
        <w:rPr>
          <w:u w:val="single"/>
          <w:lang w:val="fr"/>
        </w:rPr>
        <w:t>Soixante et un dossiers</w:t>
      </w:r>
      <w:r>
        <w:rPr>
          <w:lang w:val="fr"/>
        </w:rPr>
        <w:t xml:space="preserve"> ont été inclus dans le plafond annuel (</w:t>
      </w:r>
      <w:r w:rsidR="0071760A">
        <w:rPr>
          <w:lang w:val="fr"/>
        </w:rPr>
        <w:t xml:space="preserve">dont </w:t>
      </w:r>
      <w:r>
        <w:rPr>
          <w:lang w:val="fr"/>
        </w:rPr>
        <w:t xml:space="preserve">trois dossiers pour la Liste de sauvegarde urgente, cinquante-cinq pour la Liste représentative et trois pour le Registre de bonnes pratiques de sauvegarde). </w:t>
      </w:r>
      <w:r w:rsidR="0071760A">
        <w:rPr>
          <w:lang w:val="fr"/>
        </w:rPr>
        <w:t>Ce nombre comprend</w:t>
      </w:r>
      <w:r>
        <w:rPr>
          <w:lang w:val="fr"/>
        </w:rPr>
        <w:t xml:space="preserve"> tous les dossiers relevant des priorités (0) et (i), des douze dossiers multinationaux reçus au titre de la priorité (ii) et des neuf dossiers relevant de la priorité (iii). Dans le cadre de la priorité (0),</w:t>
      </w:r>
      <w:r w:rsidR="008E5144">
        <w:rPr>
          <w:lang w:val="fr"/>
        </w:rPr>
        <w:t xml:space="preserve"> </w:t>
      </w:r>
      <w:r>
        <w:rPr>
          <w:snapToGrid/>
          <w:lang w:val="fr"/>
        </w:rPr>
        <w:t>trente et un</w:t>
      </w:r>
      <w:r>
        <w:rPr>
          <w:lang w:val="fr"/>
        </w:rPr>
        <w:t xml:space="preserve"> États ayant un ou plusieurs éléments déjà inscrits sur les Listes et n</w:t>
      </w:r>
      <w:r w:rsidR="00F225D8">
        <w:rPr>
          <w:lang w:val="fr"/>
        </w:rPr>
        <w:t>’</w:t>
      </w:r>
      <w:r>
        <w:rPr>
          <w:lang w:val="fr"/>
        </w:rPr>
        <w:t>ayant pas de dossier dans le cycle 2023 (à l</w:t>
      </w:r>
      <w:r w:rsidR="00F225D8">
        <w:rPr>
          <w:lang w:val="fr"/>
        </w:rPr>
        <w:t>’</w:t>
      </w:r>
      <w:r>
        <w:rPr>
          <w:lang w:val="fr"/>
        </w:rPr>
        <w:t>exclusion des dossiers multinationaux) ont pu voir leur dossier inclus. Neuf États ayant un ou plusieurs éléments inscrits n</w:t>
      </w:r>
      <w:r w:rsidR="00F225D8">
        <w:rPr>
          <w:lang w:val="fr"/>
        </w:rPr>
        <w:t>’</w:t>
      </w:r>
      <w:r>
        <w:rPr>
          <w:lang w:val="fr"/>
        </w:rPr>
        <w:t>ont pas pu voir leurs dossiers « nationaux » traités dans le cadre de la priorité (iii).</w:t>
      </w:r>
    </w:p>
    <w:p w14:paraId="64604956" w14:textId="7E3754A7" w:rsidR="00AB1B9A" w:rsidRPr="00797766" w:rsidRDefault="0005657F" w:rsidP="00E01A0E">
      <w:pPr>
        <w:pStyle w:val="COMPara"/>
        <w:numPr>
          <w:ilvl w:val="1"/>
          <w:numId w:val="32"/>
        </w:numPr>
        <w:ind w:left="993" w:hanging="426"/>
        <w:jc w:val="both"/>
        <w:rPr>
          <w:lang w:val="fr-FR"/>
        </w:rPr>
      </w:pPr>
      <w:r>
        <w:rPr>
          <w:u w:val="single"/>
          <w:lang w:val="fr"/>
        </w:rPr>
        <w:t>Dix dossiers</w:t>
      </w:r>
      <w:r>
        <w:rPr>
          <w:lang w:val="fr"/>
        </w:rPr>
        <w:t xml:space="preserve"> ont été traités en dehors du plafond annuel, soit six candidatures à la Liste représentative sur une base élargie et quatre demandes de transfert d</w:t>
      </w:r>
      <w:r w:rsidR="00F225D8">
        <w:rPr>
          <w:lang w:val="fr"/>
        </w:rPr>
        <w:t>’</w:t>
      </w:r>
      <w:r>
        <w:rPr>
          <w:lang w:val="fr"/>
        </w:rPr>
        <w:t>un élément de la Liste de sauvegarde urgente à la Liste représentative.</w:t>
      </w:r>
    </w:p>
    <w:p w14:paraId="1F1C9D63" w14:textId="5C24DA01" w:rsidR="005960FA" w:rsidRPr="00D94714" w:rsidRDefault="00677D2F" w:rsidP="00BC0373">
      <w:pPr>
        <w:pStyle w:val="Heading4"/>
        <w:keepNext w:val="0"/>
        <w:keepLines w:val="0"/>
        <w:widowControl w:val="0"/>
        <w:spacing w:before="240" w:after="120"/>
        <w:ind w:left="567"/>
        <w:jc w:val="both"/>
        <w:rPr>
          <w:rFonts w:asciiTheme="minorBidi" w:hAnsiTheme="minorBidi" w:cstheme="minorBidi"/>
          <w:b w:val="0"/>
          <w:bCs w:val="0"/>
        </w:rPr>
      </w:pPr>
      <w:r>
        <w:rPr>
          <w:rFonts w:asciiTheme="minorBidi" w:hAnsiTheme="minorBidi" w:cstheme="minorBidi"/>
          <w:szCs w:val="22"/>
          <w:lang w:val="fr"/>
        </w:rPr>
        <w:t>Rapport sur le cycle 2025</w:t>
      </w:r>
    </w:p>
    <w:p w14:paraId="45AC90D4" w14:textId="68BF0A4D" w:rsidR="00C360DD" w:rsidRPr="00797766" w:rsidRDefault="00AC3C86" w:rsidP="00EC5E87">
      <w:pPr>
        <w:pStyle w:val="COMPara"/>
        <w:numPr>
          <w:ilvl w:val="0"/>
          <w:numId w:val="32"/>
        </w:numPr>
        <w:ind w:left="567" w:hanging="567"/>
        <w:jc w:val="both"/>
        <w:rPr>
          <w:lang w:val="fr-FR"/>
        </w:rPr>
      </w:pPr>
      <w:r>
        <w:rPr>
          <w:lang w:val="fr"/>
        </w:rPr>
        <w:t xml:space="preserve">Pour le cycle 2025, un nombre encore plus élevé de 120 dossiers a été reçu, en plus de vingt-deux « dossiers en attente ». Au total, </w:t>
      </w:r>
      <w:r>
        <w:rPr>
          <w:b/>
          <w:bCs/>
          <w:lang w:val="fr"/>
        </w:rPr>
        <w:t>soixante-neuf dossiers</w:t>
      </w:r>
      <w:r>
        <w:rPr>
          <w:lang w:val="fr"/>
        </w:rPr>
        <w:t xml:space="preserve"> ont pu être traités dans le cadre de ce cycle</w:t>
      </w:r>
      <w:r>
        <w:rPr>
          <w:rStyle w:val="FootnoteReference"/>
          <w:lang w:val="fr"/>
        </w:rPr>
        <w:footnoteReference w:id="2"/>
      </w:r>
      <w:r>
        <w:rPr>
          <w:lang w:val="fr"/>
        </w:rPr>
        <w:t>, comme suit :</w:t>
      </w:r>
    </w:p>
    <w:p w14:paraId="1695C004" w14:textId="1FA75F3F" w:rsidR="00933226" w:rsidRPr="00797766" w:rsidRDefault="006B012D" w:rsidP="00E01A0E">
      <w:pPr>
        <w:pStyle w:val="COMPara"/>
        <w:numPr>
          <w:ilvl w:val="1"/>
          <w:numId w:val="32"/>
        </w:numPr>
        <w:ind w:left="993" w:hanging="426"/>
        <w:jc w:val="both"/>
        <w:rPr>
          <w:lang w:val="fr-FR"/>
        </w:rPr>
      </w:pPr>
      <w:r>
        <w:rPr>
          <w:u w:val="single"/>
          <w:lang w:val="fr"/>
        </w:rPr>
        <w:t>Soixante dossiers</w:t>
      </w:r>
      <w:r>
        <w:rPr>
          <w:lang w:val="fr"/>
        </w:rPr>
        <w:t xml:space="preserve"> ont pu être traités dans le cadre du plafond annuel (</w:t>
      </w:r>
      <w:r w:rsidR="0071760A">
        <w:rPr>
          <w:lang w:val="fr"/>
        </w:rPr>
        <w:t xml:space="preserve">soit </w:t>
      </w:r>
      <w:r>
        <w:rPr>
          <w:lang w:val="fr"/>
        </w:rPr>
        <w:t>quarante-huit dossiers pour la Liste représentative, onze pour la Liste de sauvegarde urgente et un pour le Registre de bonnes pratiques de sauvegarde)</w:t>
      </w:r>
      <w:r>
        <w:rPr>
          <w:snapToGrid/>
          <w:lang w:val="fr"/>
        </w:rPr>
        <w:t>.</w:t>
      </w:r>
      <w:r>
        <w:rPr>
          <w:lang w:val="fr"/>
        </w:rPr>
        <w:t xml:space="preserve"> </w:t>
      </w:r>
      <w:r w:rsidR="0071760A">
        <w:rPr>
          <w:lang w:val="fr"/>
        </w:rPr>
        <w:t>Ce nombre comprend</w:t>
      </w:r>
      <w:r>
        <w:rPr>
          <w:lang w:val="fr"/>
        </w:rPr>
        <w:t xml:space="preserve"> tous les dossiers relevant des priorités (0) et (i), </w:t>
      </w:r>
      <w:r w:rsidR="0071760A">
        <w:rPr>
          <w:lang w:val="fr"/>
        </w:rPr>
        <w:t>ainsi que</w:t>
      </w:r>
      <w:r>
        <w:rPr>
          <w:lang w:val="fr"/>
        </w:rPr>
        <w:t xml:space="preserve"> cinq dossiers multinationaux reçus au titre de la priorité (ii), tous comprenant un État n</w:t>
      </w:r>
      <w:r w:rsidR="00F225D8">
        <w:rPr>
          <w:lang w:val="fr"/>
        </w:rPr>
        <w:t>’</w:t>
      </w:r>
      <w:r>
        <w:rPr>
          <w:lang w:val="fr"/>
        </w:rPr>
        <w:t>ayant pas d</w:t>
      </w:r>
      <w:r w:rsidR="00F225D8">
        <w:rPr>
          <w:lang w:val="fr"/>
        </w:rPr>
        <w:t>’</w:t>
      </w:r>
      <w:r>
        <w:rPr>
          <w:lang w:val="fr"/>
        </w:rPr>
        <w:t>élément inscrit (à l</w:t>
      </w:r>
      <w:r w:rsidR="00F225D8">
        <w:rPr>
          <w:lang w:val="fr"/>
        </w:rPr>
        <w:t>’</w:t>
      </w:r>
      <w:r>
        <w:rPr>
          <w:lang w:val="fr"/>
        </w:rPr>
        <w:t>exclusion des inscriptions multinationales) et aucun dossier relevant de la priorité (0) ou (i) dans le même cycle. En raison du nombre exceptionnellement élevé (48) de dossiers relevant de la priorité (0) dans le cycle 2025, treize candidatures multinationales n</w:t>
      </w:r>
      <w:r w:rsidR="00F225D8">
        <w:rPr>
          <w:lang w:val="fr"/>
        </w:rPr>
        <w:t>’</w:t>
      </w:r>
      <w:r>
        <w:rPr>
          <w:lang w:val="fr"/>
        </w:rPr>
        <w:t xml:space="preserve">ont pas pu être traitées, car elles auraient </w:t>
      </w:r>
      <w:r w:rsidR="0071760A">
        <w:rPr>
          <w:lang w:val="fr"/>
        </w:rPr>
        <w:t xml:space="preserve">largement </w:t>
      </w:r>
      <w:r>
        <w:rPr>
          <w:lang w:val="fr"/>
        </w:rPr>
        <w:t>dépassé le plafond annuel. L</w:t>
      </w:r>
      <w:r w:rsidR="00F225D8">
        <w:rPr>
          <w:lang w:val="fr"/>
        </w:rPr>
        <w:t>’</w:t>
      </w:r>
      <w:r>
        <w:rPr>
          <w:lang w:val="fr"/>
        </w:rPr>
        <w:t>identification des dix-huit dossiers reçus au titre de la priorité (ii) s</w:t>
      </w:r>
      <w:r w:rsidR="00F225D8">
        <w:rPr>
          <w:lang w:val="fr"/>
        </w:rPr>
        <w:t>’</w:t>
      </w:r>
      <w:r>
        <w:rPr>
          <w:lang w:val="fr"/>
        </w:rPr>
        <w:t xml:space="preserve">est </w:t>
      </w:r>
      <w:r w:rsidR="0071760A">
        <w:rPr>
          <w:lang w:val="fr"/>
        </w:rPr>
        <w:t xml:space="preserve">faite </w:t>
      </w:r>
      <w:r>
        <w:rPr>
          <w:lang w:val="fr"/>
        </w:rPr>
        <w:t xml:space="preserve">conformément au système de priorité établi pour les dossiers multinationaux par la Décision </w:t>
      </w:r>
      <w:r w:rsidR="000D3CCA">
        <w:fldChar w:fldCharType="begin"/>
      </w:r>
      <w:r w:rsidR="000D3CCA" w:rsidRPr="000D3CCA">
        <w:rPr>
          <w:lang w:val="fr-FR"/>
        </w:rPr>
        <w:instrText>HYPERLINK "https://ich.unesco.org/fr/decisions/17.COM/15"</w:instrText>
      </w:r>
      <w:r w:rsidR="000D3CCA">
        <w:fldChar w:fldCharType="separate"/>
      </w:r>
      <w:r>
        <w:rPr>
          <w:rStyle w:val="Hyperlink"/>
          <w:rFonts w:asciiTheme="minorBidi" w:eastAsia="SimSun" w:hAnsiTheme="minorBidi" w:cstheme="minorBidi"/>
          <w:lang w:val="fr"/>
        </w:rPr>
        <w:t>17.COM 15</w:t>
      </w:r>
      <w:r w:rsidR="000D3CCA">
        <w:rPr>
          <w:rStyle w:val="Hyperlink"/>
          <w:rFonts w:asciiTheme="minorBidi" w:eastAsia="SimSun" w:hAnsiTheme="minorBidi" w:cstheme="minorBidi"/>
          <w:lang w:val="fr"/>
        </w:rPr>
        <w:fldChar w:fldCharType="end"/>
      </w:r>
      <w:r>
        <w:rPr>
          <w:lang w:val="fr"/>
        </w:rPr>
        <w:t>. Enfin, vingt-cinq États ayant un ou plusieurs éléments inscrits n</w:t>
      </w:r>
      <w:r w:rsidR="00F225D8">
        <w:rPr>
          <w:lang w:val="fr"/>
        </w:rPr>
        <w:t>’</w:t>
      </w:r>
      <w:r>
        <w:rPr>
          <w:lang w:val="fr"/>
        </w:rPr>
        <w:t xml:space="preserve">ont pas pu voir leurs dossiers </w:t>
      </w:r>
      <w:r w:rsidR="00CD103F">
        <w:rPr>
          <w:lang w:val="fr"/>
        </w:rPr>
        <w:t>relevant de</w:t>
      </w:r>
      <w:r w:rsidR="0071760A">
        <w:rPr>
          <w:lang w:val="fr"/>
        </w:rPr>
        <w:t xml:space="preserve"> la priorité </w:t>
      </w:r>
      <w:r>
        <w:rPr>
          <w:lang w:val="fr"/>
        </w:rPr>
        <w:t xml:space="preserve">(iii) inclus et seront donc considérés </w:t>
      </w:r>
      <w:r w:rsidR="00CD103F">
        <w:rPr>
          <w:lang w:val="fr"/>
        </w:rPr>
        <w:t>relevant de</w:t>
      </w:r>
      <w:r w:rsidR="0071760A">
        <w:rPr>
          <w:lang w:val="fr"/>
        </w:rPr>
        <w:t xml:space="preserve"> la priorité </w:t>
      </w:r>
      <w:r>
        <w:rPr>
          <w:lang w:val="fr"/>
        </w:rPr>
        <w:t>(0) pour le cycle 2026.</w:t>
      </w:r>
    </w:p>
    <w:p w14:paraId="73F46C62" w14:textId="0D3D6796" w:rsidR="004E4985" w:rsidRPr="00797766" w:rsidRDefault="002A6913" w:rsidP="00E01A0E">
      <w:pPr>
        <w:pStyle w:val="COMPara"/>
        <w:numPr>
          <w:ilvl w:val="1"/>
          <w:numId w:val="32"/>
        </w:numPr>
        <w:ind w:left="993" w:hanging="426"/>
        <w:jc w:val="both"/>
        <w:rPr>
          <w:lang w:val="fr-FR"/>
        </w:rPr>
      </w:pPr>
      <w:r>
        <w:rPr>
          <w:lang w:val="fr"/>
        </w:rPr>
        <w:t xml:space="preserve">En outre, </w:t>
      </w:r>
      <w:r>
        <w:rPr>
          <w:u w:val="single"/>
          <w:lang w:val="fr"/>
        </w:rPr>
        <w:t>neuf dossiers</w:t>
      </w:r>
      <w:r>
        <w:rPr>
          <w:lang w:val="fr"/>
        </w:rPr>
        <w:t xml:space="preserve"> ont été traités en dehors du plafond annuel : sept candidatures à la Liste représentative sur une base élargie et deux demandes de transfert d</w:t>
      </w:r>
      <w:r w:rsidR="00F225D8">
        <w:rPr>
          <w:lang w:val="fr"/>
        </w:rPr>
        <w:t>’</w:t>
      </w:r>
      <w:r>
        <w:rPr>
          <w:lang w:val="fr"/>
        </w:rPr>
        <w:t xml:space="preserve">un élément de la Liste de sauvegarde urgente à la Liste représentative. </w:t>
      </w:r>
    </w:p>
    <w:p w14:paraId="1EF4E07D" w14:textId="516EE050" w:rsidR="005D7C31" w:rsidRPr="00BC0373" w:rsidRDefault="00E75215" w:rsidP="00360404">
      <w:pPr>
        <w:pStyle w:val="Heading4"/>
        <w:spacing w:before="240" w:after="120"/>
        <w:ind w:left="567"/>
        <w:jc w:val="both"/>
        <w:rPr>
          <w:rFonts w:asciiTheme="minorBidi" w:hAnsiTheme="minorBidi" w:cstheme="minorBidi"/>
          <w:szCs w:val="22"/>
        </w:rPr>
      </w:pPr>
      <w:r>
        <w:rPr>
          <w:rFonts w:asciiTheme="minorBidi" w:hAnsiTheme="minorBidi" w:cstheme="minorBidi"/>
          <w:szCs w:val="22"/>
          <w:lang w:val="fr"/>
        </w:rPr>
        <w:t>Tendances concernant les cycles récents</w:t>
      </w:r>
    </w:p>
    <w:p w14:paraId="158D59B2" w14:textId="56C0FF18" w:rsidR="009C251A" w:rsidRPr="0050556C" w:rsidRDefault="008176DC" w:rsidP="00360404">
      <w:pPr>
        <w:pStyle w:val="COMPara"/>
        <w:keepNext/>
        <w:keepLines/>
        <w:numPr>
          <w:ilvl w:val="0"/>
          <w:numId w:val="32"/>
        </w:numPr>
        <w:ind w:left="567" w:hanging="567"/>
        <w:jc w:val="both"/>
        <w:rPr>
          <w:lang w:val="fr-FR"/>
        </w:rPr>
      </w:pPr>
      <w:r>
        <w:rPr>
          <w:noProof/>
        </w:rPr>
        <w:drawing>
          <wp:anchor distT="0" distB="0" distL="114300" distR="114300" simplePos="0" relativeHeight="251658240" behindDoc="0" locked="0" layoutInCell="1" allowOverlap="1" wp14:anchorId="4CF6F22F" wp14:editId="013A563E">
            <wp:simplePos x="0" y="0"/>
            <wp:positionH relativeFrom="column">
              <wp:posOffset>1143000</wp:posOffset>
            </wp:positionH>
            <wp:positionV relativeFrom="paragraph">
              <wp:posOffset>1212215</wp:posOffset>
            </wp:positionV>
            <wp:extent cx="3907155" cy="2536825"/>
            <wp:effectExtent l="0" t="0" r="0" b="0"/>
            <wp:wrapTopAndBottom/>
            <wp:docPr id="1061347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7155" cy="2536825"/>
                    </a:xfrm>
                    <a:prstGeom prst="rect">
                      <a:avLst/>
                    </a:prstGeom>
                    <a:noFill/>
                  </pic:spPr>
                </pic:pic>
              </a:graphicData>
            </a:graphic>
            <wp14:sizeRelH relativeFrom="page">
              <wp14:pctWidth>0</wp14:pctWidth>
            </wp14:sizeRelH>
            <wp14:sizeRelV relativeFrom="page">
              <wp14:pctHeight>0</wp14:pctHeight>
            </wp14:sizeRelV>
          </wp:anchor>
        </w:drawing>
      </w:r>
      <w:r w:rsidR="00BD7859">
        <w:rPr>
          <w:rFonts w:asciiTheme="minorBidi" w:hAnsiTheme="minorBidi"/>
          <w:b/>
          <w:bCs/>
          <w:lang w:val="fr"/>
        </w:rPr>
        <w:t>Observations générales</w:t>
      </w:r>
      <w:r w:rsidR="00BD7859">
        <w:rPr>
          <w:rFonts w:asciiTheme="minorBidi" w:hAnsiTheme="minorBidi"/>
          <w:lang w:val="fr"/>
        </w:rPr>
        <w:t>. Au total, 140 dossiers provenant de 119 États (65 % de l</w:t>
      </w:r>
      <w:r w:rsidR="00F225D8">
        <w:rPr>
          <w:rFonts w:asciiTheme="minorBidi" w:hAnsiTheme="minorBidi"/>
          <w:lang w:val="fr"/>
        </w:rPr>
        <w:t>’</w:t>
      </w:r>
      <w:r w:rsidR="00BD7859">
        <w:rPr>
          <w:rFonts w:asciiTheme="minorBidi" w:hAnsiTheme="minorBidi"/>
          <w:lang w:val="fr"/>
        </w:rPr>
        <w:t xml:space="preserve">ensemble des États parties) ont été traités au cours des cycles 2024 et 2025, dont cinq ont été retirés par les États soumissionnaires concernés au cours de la vérification </w:t>
      </w:r>
      <w:r w:rsidR="00253EBE">
        <w:rPr>
          <w:rFonts w:asciiTheme="minorBidi" w:hAnsiTheme="minorBidi"/>
          <w:lang w:val="fr"/>
        </w:rPr>
        <w:t xml:space="preserve">de complétude </w:t>
      </w:r>
      <w:r w:rsidR="0071760A">
        <w:rPr>
          <w:rFonts w:asciiTheme="minorBidi" w:hAnsiTheme="minorBidi"/>
          <w:lang w:val="fr"/>
        </w:rPr>
        <w:t>technique</w:t>
      </w:r>
      <w:r w:rsidR="00BD7859">
        <w:rPr>
          <w:rFonts w:asciiTheme="minorBidi" w:hAnsiTheme="minorBidi"/>
          <w:lang w:val="fr"/>
        </w:rPr>
        <w:t xml:space="preserve"> des dossiers. Il s</w:t>
      </w:r>
      <w:r w:rsidR="00F225D8">
        <w:rPr>
          <w:rFonts w:asciiTheme="minorBidi" w:hAnsiTheme="minorBidi"/>
          <w:lang w:val="fr"/>
        </w:rPr>
        <w:t>’</w:t>
      </w:r>
      <w:r w:rsidR="00BD7859">
        <w:rPr>
          <w:rFonts w:asciiTheme="minorBidi" w:hAnsiTheme="minorBidi"/>
          <w:lang w:val="fr"/>
        </w:rPr>
        <w:t>agit du nombre le plus élevé de dossiers traités sur un exercice biennal depuis l</w:t>
      </w:r>
      <w:r w:rsidR="00F225D8">
        <w:rPr>
          <w:rFonts w:asciiTheme="minorBidi" w:hAnsiTheme="minorBidi"/>
          <w:lang w:val="fr"/>
        </w:rPr>
        <w:t>’</w:t>
      </w:r>
      <w:r w:rsidR="00BD7859">
        <w:rPr>
          <w:rFonts w:asciiTheme="minorBidi" w:hAnsiTheme="minorBidi"/>
          <w:lang w:val="fr"/>
        </w:rPr>
        <w:t>introduction d</w:t>
      </w:r>
      <w:r w:rsidR="00F225D8">
        <w:rPr>
          <w:rFonts w:asciiTheme="minorBidi" w:hAnsiTheme="minorBidi"/>
          <w:lang w:val="fr"/>
        </w:rPr>
        <w:t>’</w:t>
      </w:r>
      <w:r w:rsidR="00BD7859">
        <w:rPr>
          <w:rFonts w:asciiTheme="minorBidi" w:hAnsiTheme="minorBidi"/>
          <w:lang w:val="fr"/>
        </w:rPr>
        <w:t>un plafond annuel, en partie en raison des dossiers traités en dehors du plafond annuel</w:t>
      </w:r>
      <w:r w:rsidR="00BD7859">
        <w:rPr>
          <w:lang w:val="fr"/>
        </w:rPr>
        <w:t xml:space="preserve">. </w:t>
      </w:r>
      <w:r w:rsidR="00BD7859">
        <w:rPr>
          <w:rFonts w:asciiTheme="minorBidi" w:hAnsiTheme="minorBidi"/>
          <w:lang w:val="fr"/>
        </w:rPr>
        <w:t xml:space="preserve">La répartition géographique équilibrée de ces dossiers, </w:t>
      </w:r>
      <w:r w:rsidR="0071760A">
        <w:rPr>
          <w:rFonts w:asciiTheme="minorBidi" w:hAnsiTheme="minorBidi"/>
          <w:lang w:val="fr"/>
        </w:rPr>
        <w:t xml:space="preserve">illustrée </w:t>
      </w:r>
      <w:r w:rsidR="00BD7859">
        <w:rPr>
          <w:rFonts w:asciiTheme="minorBidi" w:hAnsiTheme="minorBidi"/>
          <w:lang w:val="fr"/>
        </w:rPr>
        <w:t>ci-dessous, démontre les capacités et l</w:t>
      </w:r>
      <w:r w:rsidR="00F225D8">
        <w:rPr>
          <w:rFonts w:asciiTheme="minorBidi" w:hAnsiTheme="minorBidi"/>
          <w:lang w:val="fr"/>
        </w:rPr>
        <w:t>’</w:t>
      </w:r>
      <w:r w:rsidR="00BD7859">
        <w:rPr>
          <w:rFonts w:asciiTheme="minorBidi" w:hAnsiTheme="minorBidi"/>
          <w:lang w:val="fr"/>
        </w:rPr>
        <w:t xml:space="preserve">engagement </w:t>
      </w:r>
      <w:r w:rsidR="005E79EB">
        <w:rPr>
          <w:rFonts w:asciiTheme="minorBidi" w:hAnsiTheme="minorBidi"/>
          <w:lang w:val="fr"/>
        </w:rPr>
        <w:t xml:space="preserve">croissants </w:t>
      </w:r>
      <w:r w:rsidR="00BD7859">
        <w:rPr>
          <w:rFonts w:asciiTheme="minorBidi" w:hAnsiTheme="minorBidi"/>
          <w:lang w:val="fr"/>
        </w:rPr>
        <w:t>des États parties dans toutes les régions</w:t>
      </w:r>
      <w:r w:rsidR="005E79EB">
        <w:rPr>
          <w:rFonts w:asciiTheme="minorBidi" w:hAnsiTheme="minorBidi"/>
          <w:lang w:val="fr"/>
        </w:rPr>
        <w:t xml:space="preserve"> </w:t>
      </w:r>
      <w:r w:rsidR="00BD7859">
        <w:rPr>
          <w:rFonts w:asciiTheme="minorBidi" w:hAnsiTheme="minorBidi"/>
          <w:lang w:val="fr"/>
        </w:rPr>
        <w:t>:</w:t>
      </w:r>
    </w:p>
    <w:p w14:paraId="54F2ED77" w14:textId="0A96D048" w:rsidR="00FA5607" w:rsidRPr="00797766" w:rsidRDefault="00BD7859" w:rsidP="000D3CCA">
      <w:pPr>
        <w:pStyle w:val="COMPara"/>
        <w:keepNext/>
        <w:keepLines/>
        <w:numPr>
          <w:ilvl w:val="0"/>
          <w:numId w:val="32"/>
        </w:numPr>
        <w:spacing w:before="240"/>
        <w:ind w:left="567" w:hanging="567"/>
        <w:jc w:val="both"/>
        <w:rPr>
          <w:lang w:val="fr-FR"/>
        </w:rPr>
      </w:pPr>
      <w:r w:rsidRPr="000D3CCA">
        <w:rPr>
          <w:rFonts w:asciiTheme="minorBidi" w:hAnsiTheme="minorBidi"/>
          <w:b/>
          <w:bCs/>
          <w:lang w:val="fr"/>
        </w:rPr>
        <w:t>Dossiers</w:t>
      </w:r>
      <w:r>
        <w:rPr>
          <w:b/>
          <w:bCs/>
          <w:lang w:val="fr"/>
        </w:rPr>
        <w:t xml:space="preserve"> multinationaux</w:t>
      </w:r>
      <w:r>
        <w:rPr>
          <w:lang w:val="fr"/>
        </w:rPr>
        <w:t xml:space="preserve">. </w:t>
      </w:r>
      <w:r w:rsidRPr="008E5144">
        <w:rPr>
          <w:lang w:val="fr"/>
        </w:rPr>
        <w:t>Sur les 730 éléments figurant sur les Listes de la Convention</w:t>
      </w:r>
      <w:r>
        <w:rPr>
          <w:lang w:val="fr"/>
        </w:rPr>
        <w:t>, 85 éléments multinationaux (12 % de l</w:t>
      </w:r>
      <w:r w:rsidR="00F225D8">
        <w:rPr>
          <w:lang w:val="fr"/>
        </w:rPr>
        <w:t>’</w:t>
      </w:r>
      <w:r>
        <w:rPr>
          <w:lang w:val="fr"/>
        </w:rPr>
        <w:t xml:space="preserve">ensemble des inscriptions) impliquant 103 États parties ont été inscrits ; plus de la moitié de ces inscriptions (44 éléments) a eu lieu depuis le cycle 2020, démontrant une tendance continue </w:t>
      </w:r>
      <w:r w:rsidR="0071760A">
        <w:rPr>
          <w:lang w:val="fr"/>
        </w:rPr>
        <w:t>d</w:t>
      </w:r>
      <w:r w:rsidR="00F225D8">
        <w:rPr>
          <w:lang w:val="fr"/>
        </w:rPr>
        <w:t>’</w:t>
      </w:r>
      <w:r>
        <w:rPr>
          <w:lang w:val="fr"/>
        </w:rPr>
        <w:t xml:space="preserve">un nombre élevé de candidatures multinationales. Cela peut être considéré comme un </w:t>
      </w:r>
      <w:r w:rsidR="0071760A">
        <w:rPr>
          <w:lang w:val="fr"/>
        </w:rPr>
        <w:t xml:space="preserve">succès </w:t>
      </w:r>
      <w:r>
        <w:rPr>
          <w:lang w:val="fr"/>
        </w:rPr>
        <w:t>pour la Convention, en tant que catalyseur de la coopération internationale entre les États et les communautés. Cependant, si toutes les régions contribuent à l</w:t>
      </w:r>
      <w:r w:rsidR="00F225D8">
        <w:rPr>
          <w:lang w:val="fr"/>
        </w:rPr>
        <w:t>’</w:t>
      </w:r>
      <w:r>
        <w:rPr>
          <w:lang w:val="fr"/>
        </w:rPr>
        <w:t>augmentation du nombre d</w:t>
      </w:r>
      <w:r w:rsidR="00F225D8">
        <w:rPr>
          <w:lang w:val="fr"/>
        </w:rPr>
        <w:t>’</w:t>
      </w:r>
      <w:r>
        <w:rPr>
          <w:lang w:val="fr"/>
        </w:rPr>
        <w:t>inscriptions multinationales, il existe une disparité entre les régions</w:t>
      </w:r>
      <w:r>
        <w:rPr>
          <w:rStyle w:val="FootnoteReference"/>
          <w:lang w:val="fr"/>
        </w:rPr>
        <w:footnoteReference w:id="3"/>
      </w:r>
      <w:r>
        <w:rPr>
          <w:lang w:val="fr"/>
        </w:rPr>
        <w:t> : Groupe I (37 inscriptions multinationales), groupe II (33), groupe</w:t>
      </w:r>
      <w:r w:rsidR="005E79EB">
        <w:rPr>
          <w:lang w:val="fr"/>
        </w:rPr>
        <w:t> </w:t>
      </w:r>
      <w:r>
        <w:rPr>
          <w:lang w:val="fr"/>
        </w:rPr>
        <w:t xml:space="preserve">III (9), groupe IV (24), groupe Va (8), groupe </w:t>
      </w:r>
      <w:proofErr w:type="spellStart"/>
      <w:r>
        <w:rPr>
          <w:lang w:val="fr"/>
        </w:rPr>
        <w:t>Vb</w:t>
      </w:r>
      <w:proofErr w:type="spellEnd"/>
      <w:r>
        <w:rPr>
          <w:lang w:val="fr"/>
        </w:rPr>
        <w:t xml:space="preserve"> (18). En outre, dix États (quatre du groupe I, un du groupe II, trois du groupe IV, deux du groupe V</w:t>
      </w:r>
      <w:r w:rsidR="005E79EB">
        <w:rPr>
          <w:lang w:val="fr"/>
        </w:rPr>
        <w:t>(</w:t>
      </w:r>
      <w:r>
        <w:rPr>
          <w:lang w:val="fr"/>
        </w:rPr>
        <w:t>b) ont entre huit et treize inscriptions multinationales.</w:t>
      </w:r>
      <w:r>
        <w:rPr>
          <w:rFonts w:asciiTheme="minorBidi" w:hAnsiTheme="minorBidi"/>
          <w:lang w:val="fr"/>
        </w:rPr>
        <w:t xml:space="preserve"> </w:t>
      </w:r>
      <w:r>
        <w:rPr>
          <w:lang w:val="fr"/>
        </w:rPr>
        <w:t>Une forte augmentation du nombre de dossiers multinationaux soumis a été observée lors du cycle 2020 (16 dossiers contre 14 dossiers lors des cycles 2017, 2018 et 2019 combinés). Depuis lors, le nombre de nouveaux dossiers multinationaux soumis s</w:t>
      </w:r>
      <w:r w:rsidR="00F225D8">
        <w:rPr>
          <w:lang w:val="fr"/>
        </w:rPr>
        <w:t>’</w:t>
      </w:r>
      <w:r>
        <w:rPr>
          <w:lang w:val="fr"/>
        </w:rPr>
        <w:t>est stabilisé à ce niveau élevé (quatorze dossiers par an en moyenne), avec un pic de dix-huit dossiers multinationaux soumis pour le cycle 2025, sans compter les sept demandes d</w:t>
      </w:r>
      <w:r w:rsidR="00F225D8">
        <w:rPr>
          <w:lang w:val="fr"/>
        </w:rPr>
        <w:t>’</w:t>
      </w:r>
      <w:r>
        <w:rPr>
          <w:lang w:val="fr"/>
        </w:rPr>
        <w:t>extension.</w:t>
      </w:r>
    </w:p>
    <w:p w14:paraId="304BE9B5" w14:textId="097101BD" w:rsidR="00D9757A" w:rsidRPr="00797766" w:rsidRDefault="00BD7859" w:rsidP="00360404">
      <w:pPr>
        <w:pStyle w:val="COMPara"/>
        <w:numPr>
          <w:ilvl w:val="0"/>
          <w:numId w:val="78"/>
        </w:numPr>
        <w:ind w:left="567" w:hanging="567"/>
        <w:jc w:val="both"/>
        <w:rPr>
          <w:lang w:val="fr-FR"/>
        </w:rPr>
      </w:pPr>
      <w:r>
        <w:rPr>
          <w:lang w:val="fr"/>
        </w:rPr>
        <w:t xml:space="preserve">Comme </w:t>
      </w:r>
      <w:r w:rsidR="0071760A">
        <w:rPr>
          <w:lang w:val="fr"/>
        </w:rPr>
        <w:t xml:space="preserve">cela a été observé </w:t>
      </w:r>
      <w:r>
        <w:rPr>
          <w:lang w:val="fr"/>
        </w:rPr>
        <w:t>pour les cycles 2021 et 2022, un certain nombre (13) de dossiers multinationaux qui correspondent à la priorité (ii) n</w:t>
      </w:r>
      <w:r w:rsidR="00F225D8">
        <w:rPr>
          <w:lang w:val="fr"/>
        </w:rPr>
        <w:t>’</w:t>
      </w:r>
      <w:r>
        <w:rPr>
          <w:lang w:val="fr"/>
        </w:rPr>
        <w:t xml:space="preserve">ont pas pu être inclus dans le cycle 2025, notamment en raison du nombre élevé </w:t>
      </w:r>
      <w:r w:rsidR="0071760A">
        <w:rPr>
          <w:lang w:val="fr"/>
        </w:rPr>
        <w:t xml:space="preserve">combiné </w:t>
      </w:r>
      <w:r>
        <w:rPr>
          <w:lang w:val="fr"/>
        </w:rPr>
        <w:t>de dossiers relevant de la priorité (0) et de dossiers multinationaux soumis pour ce cycle. Cela soulève la question de l</w:t>
      </w:r>
      <w:r w:rsidR="00F225D8">
        <w:rPr>
          <w:lang w:val="fr"/>
        </w:rPr>
        <w:t>’</w:t>
      </w:r>
      <w:r>
        <w:rPr>
          <w:lang w:val="fr"/>
        </w:rPr>
        <w:t>établissement de priorités parmi ces candidatures multinationales, en particulier lorsque ces candidatures ne peuvent pas être traitées lors de leur cycle initial de soumission et risquent de rester dans « </w:t>
      </w:r>
      <w:r w:rsidR="0071760A">
        <w:rPr>
          <w:lang w:val="fr"/>
        </w:rPr>
        <w:t>les dossiers en attente</w:t>
      </w:r>
      <w:r>
        <w:rPr>
          <w:lang w:val="fr"/>
        </w:rPr>
        <w:t> » pendant plus d</w:t>
      </w:r>
      <w:r w:rsidR="00F225D8">
        <w:rPr>
          <w:lang w:val="fr"/>
        </w:rPr>
        <w:t>’</w:t>
      </w:r>
      <w:r>
        <w:rPr>
          <w:lang w:val="fr"/>
        </w:rPr>
        <w:t xml:space="preserve">un cycle. </w:t>
      </w:r>
      <w:r w:rsidR="0071760A">
        <w:rPr>
          <w:lang w:val="fr"/>
        </w:rPr>
        <w:t>S</w:t>
      </w:r>
      <w:r w:rsidR="00F225D8">
        <w:rPr>
          <w:lang w:val="fr"/>
        </w:rPr>
        <w:t>’</w:t>
      </w:r>
      <w:r w:rsidR="0071760A">
        <w:rPr>
          <w:lang w:val="fr"/>
        </w:rPr>
        <w:t xml:space="preserve">appuyant sur </w:t>
      </w:r>
      <w:r w:rsidR="007E436C">
        <w:rPr>
          <w:lang w:val="fr"/>
        </w:rPr>
        <w:t>s</w:t>
      </w:r>
      <w:r w:rsidR="0071760A">
        <w:rPr>
          <w:lang w:val="fr"/>
        </w:rPr>
        <w:t>es</w:t>
      </w:r>
      <w:r>
        <w:rPr>
          <w:lang w:val="fr"/>
        </w:rPr>
        <w:t xml:space="preserve"> décisions </w:t>
      </w:r>
      <w:r w:rsidR="0071760A">
        <w:rPr>
          <w:lang w:val="fr"/>
        </w:rPr>
        <w:t>précédentes</w:t>
      </w:r>
      <w:r>
        <w:rPr>
          <w:lang w:val="fr"/>
        </w:rPr>
        <w:t>, le Comité pourrait souhaiter encourager les États parties à s</w:t>
      </w:r>
      <w:r w:rsidR="00F225D8">
        <w:rPr>
          <w:lang w:val="fr"/>
        </w:rPr>
        <w:t>’</w:t>
      </w:r>
      <w:r>
        <w:rPr>
          <w:lang w:val="fr"/>
        </w:rPr>
        <w:t>abstenir de soumettre plusieurs dossiers au cours du même cycle et à soumettre des candidatures multinationales impliquant des États parties n</w:t>
      </w:r>
      <w:r w:rsidR="00F225D8">
        <w:rPr>
          <w:lang w:val="fr"/>
        </w:rPr>
        <w:t>’</w:t>
      </w:r>
      <w:r>
        <w:rPr>
          <w:lang w:val="fr"/>
        </w:rPr>
        <w:t>ayant pas d</w:t>
      </w:r>
      <w:r w:rsidR="00F225D8">
        <w:rPr>
          <w:lang w:val="fr"/>
        </w:rPr>
        <w:t>’</w:t>
      </w:r>
      <w:r>
        <w:rPr>
          <w:lang w:val="fr"/>
        </w:rPr>
        <w:t>élément inscrit, afin de permettre une meilleure représentativité des Listes.</w:t>
      </w:r>
    </w:p>
    <w:p w14:paraId="1162E494" w14:textId="102812B4" w:rsidR="00B0354D" w:rsidRPr="00797766" w:rsidRDefault="00BD7859" w:rsidP="00360404">
      <w:pPr>
        <w:pStyle w:val="COMPara"/>
        <w:numPr>
          <w:ilvl w:val="0"/>
          <w:numId w:val="78"/>
        </w:numPr>
        <w:ind w:left="567" w:hanging="567"/>
        <w:jc w:val="both"/>
        <w:rPr>
          <w:lang w:val="fr-FR"/>
        </w:rPr>
      </w:pPr>
      <w:r>
        <w:rPr>
          <w:b/>
          <w:bCs/>
          <w:lang w:val="fr"/>
        </w:rPr>
        <w:t>Dossiers traités en dehors du plafond annuel</w:t>
      </w:r>
      <w:r>
        <w:rPr>
          <w:lang w:val="fr"/>
        </w:rPr>
        <w:t xml:space="preserve">. Les cycles 2024 et 2025 ont vu la présentation de la première « récolte » de demandes traitées en dehors du plafond annuel. </w:t>
      </w:r>
      <w:r w:rsidR="0071760A">
        <w:rPr>
          <w:lang w:val="fr"/>
        </w:rPr>
        <w:t>Sur l</w:t>
      </w:r>
      <w:r w:rsidR="00F225D8">
        <w:rPr>
          <w:lang w:val="fr"/>
        </w:rPr>
        <w:t>’</w:t>
      </w:r>
      <w:r w:rsidR="0071760A">
        <w:rPr>
          <w:lang w:val="fr"/>
        </w:rPr>
        <w:t>ensemble</w:t>
      </w:r>
      <w:r>
        <w:rPr>
          <w:lang w:val="fr"/>
        </w:rPr>
        <w:t xml:space="preserve"> des deux cycles, dix-neuf dossiers de ce type ont été traités, dont (a) neuf extensions au niveau international, (b) trois extensions au niveau national, (c) une demande combinant une extension au niveau international et une extension au niveau national, ainsi que (d) six demandes de transfert d</w:t>
      </w:r>
      <w:r w:rsidR="00F225D8">
        <w:rPr>
          <w:lang w:val="fr"/>
        </w:rPr>
        <w:t>’</w:t>
      </w:r>
      <w:r>
        <w:rPr>
          <w:lang w:val="fr"/>
        </w:rPr>
        <w:t>éléments déjà inscrits sur la Liste de sauvegarde urgente vers la Liste représentative. Si cette tendance se poursuit ou s</w:t>
      </w:r>
      <w:r w:rsidR="00F225D8">
        <w:rPr>
          <w:lang w:val="fr"/>
        </w:rPr>
        <w:t>’</w:t>
      </w:r>
      <w:r>
        <w:rPr>
          <w:lang w:val="fr"/>
        </w:rPr>
        <w:t xml:space="preserve">amplifie, </w:t>
      </w:r>
      <w:r>
        <w:rPr>
          <w:rFonts w:asciiTheme="minorBidi" w:hAnsiTheme="minorBidi"/>
          <w:lang w:val="fr"/>
        </w:rPr>
        <w:t>le</w:t>
      </w:r>
      <w:r w:rsidR="007E436C">
        <w:rPr>
          <w:rFonts w:asciiTheme="minorBidi" w:hAnsiTheme="minorBidi"/>
          <w:lang w:val="fr"/>
        </w:rPr>
        <w:t xml:space="preserve"> </w:t>
      </w:r>
      <w:r>
        <w:rPr>
          <w:lang w:val="fr"/>
        </w:rPr>
        <w:t>traitement de ces dossiers au-delà du plafond annuel pourrait devenir une source de préoccupation en termes de charge de travail.</w:t>
      </w:r>
    </w:p>
    <w:p w14:paraId="77321678" w14:textId="15CB21D1" w:rsidR="00D63318" w:rsidRPr="00797766" w:rsidRDefault="00657A1A" w:rsidP="00360404">
      <w:pPr>
        <w:pStyle w:val="Heading4"/>
        <w:numPr>
          <w:ilvl w:val="0"/>
          <w:numId w:val="24"/>
        </w:numPr>
        <w:spacing w:before="240" w:after="120"/>
        <w:ind w:left="720" w:hanging="720"/>
        <w:jc w:val="both"/>
        <w:rPr>
          <w:rFonts w:asciiTheme="minorBidi" w:hAnsiTheme="minorBidi" w:cstheme="minorBidi"/>
          <w:b w:val="0"/>
          <w:bCs w:val="0"/>
          <w:lang w:val="fr-FR"/>
        </w:rPr>
      </w:pPr>
      <w:r>
        <w:rPr>
          <w:rFonts w:asciiTheme="minorBidi" w:hAnsiTheme="minorBidi" w:cstheme="minorBidi"/>
          <w:szCs w:val="22"/>
          <w:lang w:val="fr"/>
        </w:rPr>
        <w:t>Propositions pour les cycles 2026 et 2027</w:t>
      </w:r>
    </w:p>
    <w:p w14:paraId="163860A7" w14:textId="3009D310" w:rsidR="002119A0" w:rsidRPr="00797766" w:rsidRDefault="0092463B" w:rsidP="00360404">
      <w:pPr>
        <w:pStyle w:val="COMPara"/>
        <w:numPr>
          <w:ilvl w:val="0"/>
          <w:numId w:val="78"/>
        </w:numPr>
        <w:ind w:left="567" w:hanging="567"/>
        <w:jc w:val="both"/>
        <w:rPr>
          <w:rFonts w:asciiTheme="minorBidi" w:hAnsiTheme="minorBidi" w:cstheme="minorBidi"/>
          <w:lang w:val="fr-FR"/>
        </w:rPr>
      </w:pPr>
      <w:r>
        <w:rPr>
          <w:lang w:val="fr"/>
        </w:rPr>
        <w:t>Les cycles de candidature 2026 et 2027 seront établis conformément aux paragraphes 33 et 34 des Directives opérationnelles, et à la décision qui sera adoptée par le Comité au titre du présent point. Suivant l</w:t>
      </w:r>
      <w:r w:rsidR="00F225D8">
        <w:rPr>
          <w:lang w:val="fr"/>
        </w:rPr>
        <w:t>’</w:t>
      </w:r>
      <w:r>
        <w:rPr>
          <w:lang w:val="fr"/>
        </w:rPr>
        <w:t>approche adoptée pour les deux cycles</w:t>
      </w:r>
      <w:r w:rsidR="00982EEC">
        <w:rPr>
          <w:lang w:val="fr"/>
        </w:rPr>
        <w:t xml:space="preserve"> précédents</w:t>
      </w:r>
      <w:r>
        <w:rPr>
          <w:lang w:val="fr"/>
        </w:rPr>
        <w:t xml:space="preserve">, le Comité pourrait souhaiter </w:t>
      </w:r>
      <w:r>
        <w:rPr>
          <w:rFonts w:asciiTheme="minorBidi" w:hAnsiTheme="minorBidi"/>
          <w:lang w:val="fr"/>
        </w:rPr>
        <w:t>demander au Secrétariat d</w:t>
      </w:r>
      <w:r w:rsidR="00F225D8">
        <w:rPr>
          <w:rFonts w:asciiTheme="minorBidi" w:hAnsiTheme="minorBidi"/>
          <w:lang w:val="fr"/>
        </w:rPr>
        <w:t>’</w:t>
      </w:r>
      <w:r>
        <w:rPr>
          <w:rFonts w:asciiTheme="minorBidi" w:hAnsiTheme="minorBidi"/>
          <w:lang w:val="fr"/>
        </w:rPr>
        <w:t>inclure à nouveau « </w:t>
      </w:r>
      <w:r w:rsidR="007E436C">
        <w:rPr>
          <w:rFonts w:asciiTheme="minorBidi" w:hAnsiTheme="minorBidi"/>
          <w:lang w:val="fr"/>
        </w:rPr>
        <w:t>à un maximum</w:t>
      </w:r>
      <w:r>
        <w:rPr>
          <w:rFonts w:asciiTheme="minorBidi" w:hAnsiTheme="minorBidi"/>
          <w:lang w:val="fr"/>
        </w:rPr>
        <w:t xml:space="preserve"> de soixante</w:t>
      </w:r>
      <w:r w:rsidR="007E436C">
        <w:rPr>
          <w:rFonts w:asciiTheme="minorBidi" w:hAnsiTheme="minorBidi"/>
          <w:lang w:val="fr"/>
        </w:rPr>
        <w:t> »</w:t>
      </w:r>
      <w:r>
        <w:rPr>
          <w:rFonts w:asciiTheme="minorBidi" w:hAnsiTheme="minorBidi"/>
          <w:lang w:val="fr"/>
        </w:rPr>
        <w:t xml:space="preserve"> dossiers par cycle comme stipulé au paragraphe 3</w:t>
      </w:r>
      <w:r w:rsidR="007E436C">
        <w:rPr>
          <w:rFonts w:asciiTheme="minorBidi" w:hAnsiTheme="minorBidi"/>
          <w:lang w:val="fr"/>
        </w:rPr>
        <w:t>3</w:t>
      </w:r>
      <w:r>
        <w:rPr>
          <w:rFonts w:asciiTheme="minorBidi" w:hAnsiTheme="minorBidi"/>
          <w:lang w:val="fr"/>
        </w:rPr>
        <w:t xml:space="preserve"> des Directives opérationnelles. Ce faisant, le Secrétariat veille à ce que tous les dossiers relevant de la priorité (0) soient inclus.</w:t>
      </w:r>
    </w:p>
    <w:p w14:paraId="6D63A417" w14:textId="0DA9F360" w:rsidR="003957D6" w:rsidRPr="00797766" w:rsidRDefault="003957D6" w:rsidP="00360404">
      <w:pPr>
        <w:pStyle w:val="COMPara"/>
        <w:numPr>
          <w:ilvl w:val="0"/>
          <w:numId w:val="78"/>
        </w:numPr>
        <w:ind w:left="567" w:hanging="567"/>
        <w:jc w:val="both"/>
        <w:rPr>
          <w:lang w:val="fr-FR"/>
        </w:rPr>
      </w:pPr>
      <w:r>
        <w:rPr>
          <w:lang w:val="fr"/>
        </w:rPr>
        <w:t>Sur la base de l</w:t>
      </w:r>
      <w:r w:rsidR="00F225D8">
        <w:rPr>
          <w:lang w:val="fr"/>
        </w:rPr>
        <w:t>’</w:t>
      </w:r>
      <w:r>
        <w:rPr>
          <w:lang w:val="fr"/>
        </w:rPr>
        <w:t>expérience la plus récente du cycle 2025, au cours duquel certains dossiers multinationaux n</w:t>
      </w:r>
      <w:r w:rsidR="00F225D8">
        <w:rPr>
          <w:lang w:val="fr"/>
        </w:rPr>
        <w:t>’</w:t>
      </w:r>
      <w:r>
        <w:rPr>
          <w:lang w:val="fr"/>
        </w:rPr>
        <w:t>ont pas pu être traités, le système de priorité suivant pourrait être envisagé au sein des dossiers multinationaux au cas où l</w:t>
      </w:r>
      <w:r w:rsidR="00F225D8">
        <w:rPr>
          <w:lang w:val="fr"/>
        </w:rPr>
        <w:t>’</w:t>
      </w:r>
      <w:r>
        <w:rPr>
          <w:lang w:val="fr"/>
        </w:rPr>
        <w:t>inclusion de tous les dossiers multinationaux dans les cycles 2026 ou 2027 porterait le nombre de dossiers à traiter à plus de soixante :</w:t>
      </w:r>
    </w:p>
    <w:p w14:paraId="229AF613" w14:textId="7C08B4F7" w:rsidR="003957D6" w:rsidRPr="00797766" w:rsidRDefault="003957D6" w:rsidP="00360404">
      <w:pPr>
        <w:pStyle w:val="COMPara"/>
        <w:numPr>
          <w:ilvl w:val="1"/>
          <w:numId w:val="32"/>
        </w:numPr>
        <w:ind w:left="993" w:hanging="426"/>
        <w:jc w:val="both"/>
        <w:rPr>
          <w:lang w:val="fr-FR"/>
        </w:rPr>
      </w:pPr>
      <w:r>
        <w:rPr>
          <w:lang w:val="fr"/>
        </w:rPr>
        <w:t>dossiers multinationaux qui n</w:t>
      </w:r>
      <w:r w:rsidR="00F225D8">
        <w:rPr>
          <w:lang w:val="fr"/>
        </w:rPr>
        <w:t>’</w:t>
      </w:r>
      <w:r>
        <w:rPr>
          <w:lang w:val="fr"/>
        </w:rPr>
        <w:t>ont pas pu être traités lors du cycle précédent ;</w:t>
      </w:r>
    </w:p>
    <w:p w14:paraId="2DDF0A26" w14:textId="07E8AD18" w:rsidR="003957D6" w:rsidRPr="00797766" w:rsidRDefault="003957D6" w:rsidP="00360404">
      <w:pPr>
        <w:pStyle w:val="COMPara"/>
        <w:numPr>
          <w:ilvl w:val="1"/>
          <w:numId w:val="32"/>
        </w:numPr>
        <w:ind w:left="993" w:hanging="426"/>
        <w:jc w:val="both"/>
        <w:rPr>
          <w:lang w:val="fr-FR"/>
        </w:rPr>
      </w:pPr>
      <w:r>
        <w:rPr>
          <w:lang w:val="fr"/>
        </w:rPr>
        <w:t>dossiers multinationaux avec au moins un État soumissionnaire n</w:t>
      </w:r>
      <w:r w:rsidR="00F225D8">
        <w:rPr>
          <w:lang w:val="fr"/>
        </w:rPr>
        <w:t>’</w:t>
      </w:r>
      <w:r>
        <w:rPr>
          <w:lang w:val="fr"/>
        </w:rPr>
        <w:t>ayant pas d</w:t>
      </w:r>
      <w:r w:rsidR="00F225D8">
        <w:rPr>
          <w:lang w:val="fr"/>
        </w:rPr>
        <w:t>’</w:t>
      </w:r>
      <w:r>
        <w:rPr>
          <w:lang w:val="fr"/>
        </w:rPr>
        <w:t>élément inscrit (à l</w:t>
      </w:r>
      <w:r w:rsidR="00F225D8">
        <w:rPr>
          <w:lang w:val="fr"/>
        </w:rPr>
        <w:t>’</w:t>
      </w:r>
      <w:r>
        <w:rPr>
          <w:lang w:val="fr"/>
        </w:rPr>
        <w:t xml:space="preserve">exclusion des inscriptions par le biais de candidatures multinationales) </w:t>
      </w:r>
      <w:r>
        <w:rPr>
          <w:rFonts w:asciiTheme="minorBidi" w:hAnsiTheme="minorBidi"/>
          <w:lang w:val="fr"/>
        </w:rPr>
        <w:t>et aucun autre dossier inclus dans le même cycle</w:t>
      </w:r>
      <w:r>
        <w:rPr>
          <w:lang w:val="fr"/>
        </w:rPr>
        <w:t> ;</w:t>
      </w:r>
    </w:p>
    <w:p w14:paraId="60952613" w14:textId="6AEF7015" w:rsidR="003957D6" w:rsidRPr="00797766" w:rsidRDefault="003957D6" w:rsidP="00360404">
      <w:pPr>
        <w:pStyle w:val="COMPara"/>
        <w:numPr>
          <w:ilvl w:val="1"/>
          <w:numId w:val="32"/>
        </w:numPr>
        <w:ind w:left="993" w:hanging="426"/>
        <w:jc w:val="both"/>
        <w:rPr>
          <w:lang w:val="fr-FR"/>
        </w:rPr>
      </w:pPr>
      <w:r>
        <w:rPr>
          <w:lang w:val="fr"/>
        </w:rPr>
        <w:t>dossiers multinationaux ayant le moins d</w:t>
      </w:r>
      <w:r w:rsidR="00F225D8">
        <w:rPr>
          <w:lang w:val="fr"/>
        </w:rPr>
        <w:t>’</w:t>
      </w:r>
      <w:r>
        <w:rPr>
          <w:lang w:val="fr"/>
        </w:rPr>
        <w:t xml:space="preserve">éléments inscrits par </w:t>
      </w:r>
      <w:r w:rsidR="00982EEC">
        <w:rPr>
          <w:lang w:val="fr"/>
        </w:rPr>
        <w:t xml:space="preserve">un </w:t>
      </w:r>
      <w:r>
        <w:rPr>
          <w:lang w:val="fr"/>
        </w:rPr>
        <w:t>État soumissionnaire concerné. Si nécessaire, les groupes d</w:t>
      </w:r>
      <w:r w:rsidR="00F225D8">
        <w:rPr>
          <w:lang w:val="fr"/>
        </w:rPr>
        <w:t>’</w:t>
      </w:r>
      <w:r>
        <w:rPr>
          <w:lang w:val="fr"/>
        </w:rPr>
        <w:t xml:space="preserve">États soumissionnaires </w:t>
      </w:r>
      <w:r w:rsidR="00982EEC">
        <w:rPr>
          <w:lang w:val="fr"/>
        </w:rPr>
        <w:t>ayant soumis</w:t>
      </w:r>
      <w:r>
        <w:rPr>
          <w:lang w:val="fr"/>
        </w:rPr>
        <w:t xml:space="preserve"> plus d</w:t>
      </w:r>
      <w:r w:rsidR="00F225D8">
        <w:rPr>
          <w:lang w:val="fr"/>
        </w:rPr>
        <w:t>’</w:t>
      </w:r>
      <w:r>
        <w:rPr>
          <w:lang w:val="fr"/>
        </w:rPr>
        <w:t>un dossier multinational au cours d</w:t>
      </w:r>
      <w:r w:rsidR="00F225D8">
        <w:rPr>
          <w:lang w:val="fr"/>
        </w:rPr>
        <w:t>’</w:t>
      </w:r>
      <w:r>
        <w:rPr>
          <w:lang w:val="fr"/>
        </w:rPr>
        <w:t xml:space="preserve">un cycle donné </w:t>
      </w:r>
      <w:r w:rsidR="00982EEC">
        <w:rPr>
          <w:lang w:val="fr"/>
        </w:rPr>
        <w:t xml:space="preserve">seront </w:t>
      </w:r>
      <w:r>
        <w:rPr>
          <w:lang w:val="fr"/>
        </w:rPr>
        <w:t xml:space="preserve">invités à choisir lequel de leurs dossiers multinationaux doit être pris en considération. </w:t>
      </w:r>
    </w:p>
    <w:p w14:paraId="43FC9F1B" w14:textId="2153DCD6" w:rsidR="00812AD2" w:rsidRPr="00797766" w:rsidRDefault="00812AD2" w:rsidP="00812AD2">
      <w:pPr>
        <w:pStyle w:val="COMPara"/>
        <w:numPr>
          <w:ilvl w:val="0"/>
          <w:numId w:val="78"/>
        </w:numPr>
        <w:ind w:left="567" w:hanging="567"/>
        <w:jc w:val="both"/>
        <w:rPr>
          <w:rFonts w:asciiTheme="minorBidi" w:hAnsiTheme="minorBidi" w:cstheme="minorBidi"/>
          <w:lang w:val="fr-FR"/>
        </w:rPr>
      </w:pPr>
      <w:r>
        <w:rPr>
          <w:rFonts w:asciiTheme="minorBidi" w:hAnsiTheme="minorBidi" w:cstheme="minorBidi"/>
          <w:lang w:val="fr"/>
        </w:rPr>
        <w:t>Afin d</w:t>
      </w:r>
      <w:r w:rsidR="00F225D8">
        <w:rPr>
          <w:rFonts w:asciiTheme="minorBidi" w:hAnsiTheme="minorBidi" w:cstheme="minorBidi"/>
          <w:lang w:val="fr"/>
        </w:rPr>
        <w:t>’</w:t>
      </w:r>
      <w:r>
        <w:rPr>
          <w:rFonts w:asciiTheme="minorBidi" w:hAnsiTheme="minorBidi" w:cstheme="minorBidi"/>
          <w:lang w:val="fr"/>
        </w:rPr>
        <w:t xml:space="preserve">assurer une bonne </w:t>
      </w:r>
      <w:r w:rsidR="00982EEC">
        <w:rPr>
          <w:rFonts w:asciiTheme="minorBidi" w:hAnsiTheme="minorBidi" w:cstheme="minorBidi"/>
          <w:lang w:val="fr"/>
        </w:rPr>
        <w:t xml:space="preserve">gestion </w:t>
      </w:r>
      <w:r>
        <w:rPr>
          <w:rFonts w:asciiTheme="minorBidi" w:hAnsiTheme="minorBidi" w:cstheme="minorBidi"/>
          <w:lang w:val="fr"/>
        </w:rPr>
        <w:t>des candidatures multinationales, le Comité pourrait souhaiter :</w:t>
      </w:r>
    </w:p>
    <w:p w14:paraId="31C2F465" w14:textId="015020D6" w:rsidR="00812AD2" w:rsidRPr="00797766" w:rsidRDefault="00812AD2" w:rsidP="00360404">
      <w:pPr>
        <w:pStyle w:val="COMPara"/>
        <w:numPr>
          <w:ilvl w:val="4"/>
          <w:numId w:val="32"/>
        </w:numPr>
        <w:ind w:left="993" w:hanging="426"/>
        <w:jc w:val="both"/>
        <w:rPr>
          <w:rFonts w:asciiTheme="minorBidi" w:hAnsiTheme="minorBidi" w:cstheme="minorBidi"/>
          <w:lang w:val="fr-FR"/>
        </w:rPr>
      </w:pPr>
      <w:r>
        <w:rPr>
          <w:rFonts w:asciiTheme="minorBidi" w:hAnsiTheme="minorBidi" w:cstheme="minorBidi"/>
          <w:lang w:val="fr"/>
        </w:rPr>
        <w:t>envisager que les États parties puissent indiquer un dossier multinational comme relevant de la « priorité (0) » pour les cycles 2026 et 2027 ;</w:t>
      </w:r>
    </w:p>
    <w:p w14:paraId="2481E224" w14:textId="5C7E65A2" w:rsidR="00812AD2" w:rsidRPr="00797766" w:rsidRDefault="00812AD2" w:rsidP="00360404">
      <w:pPr>
        <w:pStyle w:val="COMPara"/>
        <w:numPr>
          <w:ilvl w:val="4"/>
          <w:numId w:val="32"/>
        </w:numPr>
        <w:ind w:left="993" w:hanging="426"/>
        <w:jc w:val="both"/>
        <w:rPr>
          <w:rFonts w:asciiTheme="minorBidi" w:hAnsiTheme="minorBidi" w:cstheme="minorBidi"/>
          <w:lang w:val="fr-FR"/>
        </w:rPr>
      </w:pPr>
      <w:r>
        <w:rPr>
          <w:rFonts w:asciiTheme="minorBidi" w:hAnsiTheme="minorBidi"/>
          <w:lang w:val="fr"/>
        </w:rPr>
        <w:t xml:space="preserve">décider spécifiquement pour ce prochain cycle que </w:t>
      </w:r>
      <w:r>
        <w:rPr>
          <w:lang w:val="fr"/>
        </w:rPr>
        <w:t>les dossiers multinationaux qui n</w:t>
      </w:r>
      <w:r w:rsidR="00F225D8">
        <w:rPr>
          <w:lang w:val="fr"/>
        </w:rPr>
        <w:t>’</w:t>
      </w:r>
      <w:r>
        <w:rPr>
          <w:lang w:val="fr"/>
        </w:rPr>
        <w:t>ont pas pu être traités lors du cycle précédent soient inclus dans le cycle 2026, tout en demandant aux groupes d</w:t>
      </w:r>
      <w:r w:rsidR="00F225D8">
        <w:rPr>
          <w:lang w:val="fr"/>
        </w:rPr>
        <w:t>’</w:t>
      </w:r>
      <w:r>
        <w:rPr>
          <w:lang w:val="fr"/>
        </w:rPr>
        <w:t>États soumissionnaires qui ont soumis plus d</w:t>
      </w:r>
      <w:r w:rsidR="00F225D8">
        <w:rPr>
          <w:lang w:val="fr"/>
        </w:rPr>
        <w:t>’</w:t>
      </w:r>
      <w:r>
        <w:rPr>
          <w:lang w:val="fr"/>
        </w:rPr>
        <w:t>un dossier multinational de choisir lequel de leurs dossiers multinationaux devrait être pris en considération, en gardant à l</w:t>
      </w:r>
      <w:r w:rsidR="00F225D8">
        <w:rPr>
          <w:lang w:val="fr"/>
        </w:rPr>
        <w:t>’</w:t>
      </w:r>
      <w:r>
        <w:rPr>
          <w:lang w:val="fr"/>
        </w:rPr>
        <w:t>esprit le plafond annuel de dossiers.</w:t>
      </w:r>
    </w:p>
    <w:p w14:paraId="5E46439A" w14:textId="54867DD4" w:rsidR="00B56210" w:rsidRPr="00797766" w:rsidRDefault="00B56210" w:rsidP="00360404">
      <w:pPr>
        <w:pStyle w:val="COMPara"/>
        <w:numPr>
          <w:ilvl w:val="0"/>
          <w:numId w:val="78"/>
        </w:numPr>
        <w:ind w:left="567" w:hanging="567"/>
        <w:jc w:val="both"/>
        <w:rPr>
          <w:rFonts w:asciiTheme="minorBidi" w:hAnsiTheme="minorBidi" w:cstheme="minorBidi"/>
          <w:lang w:val="fr-FR"/>
        </w:rPr>
      </w:pPr>
      <w:r>
        <w:rPr>
          <w:rFonts w:asciiTheme="minorBidi" w:hAnsiTheme="minorBidi" w:cstheme="minorBidi"/>
          <w:lang w:val="fr"/>
        </w:rPr>
        <w:t>En outre, alors que seize États ont déjà pu bénéficier de la simplification de la procédure d</w:t>
      </w:r>
      <w:r w:rsidR="00F225D8">
        <w:rPr>
          <w:rFonts w:asciiTheme="minorBidi" w:hAnsiTheme="minorBidi" w:cstheme="minorBidi"/>
          <w:lang w:val="fr"/>
        </w:rPr>
        <w:t>’</w:t>
      </w:r>
      <w:r>
        <w:rPr>
          <w:rFonts w:asciiTheme="minorBidi" w:hAnsiTheme="minorBidi" w:cstheme="minorBidi"/>
          <w:lang w:val="fr"/>
        </w:rPr>
        <w:t>extension des éléments inscrits et de transfert des éléments inscrits d</w:t>
      </w:r>
      <w:r w:rsidR="00F225D8">
        <w:rPr>
          <w:rFonts w:asciiTheme="minorBidi" w:hAnsiTheme="minorBidi" w:cstheme="minorBidi"/>
          <w:lang w:val="fr"/>
        </w:rPr>
        <w:t>’</w:t>
      </w:r>
      <w:r>
        <w:rPr>
          <w:rFonts w:asciiTheme="minorBidi" w:hAnsiTheme="minorBidi" w:cstheme="minorBidi"/>
          <w:lang w:val="fr"/>
        </w:rPr>
        <w:t>une Liste à l</w:t>
      </w:r>
      <w:r w:rsidR="00F225D8">
        <w:rPr>
          <w:rFonts w:asciiTheme="minorBidi" w:hAnsiTheme="minorBidi" w:cstheme="minorBidi"/>
          <w:lang w:val="fr"/>
        </w:rPr>
        <w:t>’</w:t>
      </w:r>
      <w:r>
        <w:rPr>
          <w:rFonts w:asciiTheme="minorBidi" w:hAnsiTheme="minorBidi" w:cstheme="minorBidi"/>
          <w:lang w:val="fr"/>
        </w:rPr>
        <w:t>autre, il est proposé de maintenir la possibilité pour ces dossiers d</w:t>
      </w:r>
      <w:r w:rsidR="00F225D8">
        <w:rPr>
          <w:rFonts w:asciiTheme="minorBidi" w:hAnsiTheme="minorBidi" w:cstheme="minorBidi"/>
          <w:lang w:val="fr"/>
        </w:rPr>
        <w:t>’</w:t>
      </w:r>
      <w:r>
        <w:rPr>
          <w:rFonts w:asciiTheme="minorBidi" w:hAnsiTheme="minorBidi" w:cstheme="minorBidi"/>
          <w:lang w:val="fr"/>
        </w:rPr>
        <w:t>être traités en dehors du plafond annuel. Aux fins des cycles 2026 et 2027, les demandes et procédures suivantes continuer</w:t>
      </w:r>
      <w:r w:rsidR="00982EEC">
        <w:rPr>
          <w:rFonts w:asciiTheme="minorBidi" w:hAnsiTheme="minorBidi" w:cstheme="minorBidi"/>
          <w:lang w:val="fr"/>
        </w:rPr>
        <w:t>aie</w:t>
      </w:r>
      <w:r>
        <w:rPr>
          <w:rFonts w:asciiTheme="minorBidi" w:hAnsiTheme="minorBidi" w:cstheme="minorBidi"/>
          <w:lang w:val="fr"/>
        </w:rPr>
        <w:t>nt d</w:t>
      </w:r>
      <w:r w:rsidR="00F225D8">
        <w:rPr>
          <w:rFonts w:asciiTheme="minorBidi" w:hAnsiTheme="minorBidi" w:cstheme="minorBidi"/>
          <w:lang w:val="fr"/>
        </w:rPr>
        <w:t>’</w:t>
      </w:r>
      <w:r>
        <w:rPr>
          <w:rFonts w:asciiTheme="minorBidi" w:hAnsiTheme="minorBidi" w:cstheme="minorBidi"/>
          <w:lang w:val="fr"/>
        </w:rPr>
        <w:t>être traitées en dehors du plafond annuel :</w:t>
      </w:r>
    </w:p>
    <w:p w14:paraId="7D1169BF" w14:textId="04C3ADB8" w:rsidR="00B56210" w:rsidRPr="00797766" w:rsidRDefault="00B56210" w:rsidP="00360404">
      <w:pPr>
        <w:pStyle w:val="COMPara"/>
        <w:numPr>
          <w:ilvl w:val="0"/>
          <w:numId w:val="84"/>
        </w:numPr>
        <w:jc w:val="both"/>
        <w:rPr>
          <w:rFonts w:asciiTheme="minorBidi" w:hAnsiTheme="minorBidi" w:cstheme="minorBidi"/>
          <w:lang w:val="fr-FR"/>
        </w:rPr>
      </w:pPr>
      <w:r>
        <w:rPr>
          <w:rFonts w:asciiTheme="minorBidi" w:hAnsiTheme="minorBidi" w:cstheme="minorBidi"/>
          <w:lang w:val="fr"/>
        </w:rPr>
        <w:t>Les demandes de transfert d</w:t>
      </w:r>
      <w:r w:rsidR="00F225D8">
        <w:rPr>
          <w:rFonts w:asciiTheme="minorBidi" w:hAnsiTheme="minorBidi" w:cstheme="minorBidi"/>
          <w:lang w:val="fr"/>
        </w:rPr>
        <w:t>’</w:t>
      </w:r>
      <w:r>
        <w:rPr>
          <w:rFonts w:asciiTheme="minorBidi" w:hAnsiTheme="minorBidi" w:cstheme="minorBidi"/>
          <w:lang w:val="fr"/>
        </w:rPr>
        <w:t>un élément de la Liste représentative à la Liste de sauvegarde urgente (paragraphe 54 des Directives opérationnelles) ;</w:t>
      </w:r>
    </w:p>
    <w:p w14:paraId="2012D081" w14:textId="356BAE46" w:rsidR="00B56210" w:rsidRPr="00797766" w:rsidRDefault="00B56210" w:rsidP="00360404">
      <w:pPr>
        <w:pStyle w:val="COMPara"/>
        <w:numPr>
          <w:ilvl w:val="0"/>
          <w:numId w:val="84"/>
        </w:numPr>
        <w:jc w:val="both"/>
        <w:rPr>
          <w:rFonts w:asciiTheme="minorBidi" w:hAnsiTheme="minorBidi" w:cstheme="minorBidi"/>
          <w:lang w:val="fr-FR"/>
        </w:rPr>
      </w:pPr>
      <w:r>
        <w:rPr>
          <w:rFonts w:asciiTheme="minorBidi" w:hAnsiTheme="minorBidi" w:cstheme="minorBidi"/>
          <w:lang w:val="fr"/>
        </w:rPr>
        <w:t>Dans le cadre d</w:t>
      </w:r>
      <w:r w:rsidR="00F225D8">
        <w:rPr>
          <w:rFonts w:asciiTheme="minorBidi" w:hAnsiTheme="minorBidi" w:cstheme="minorBidi"/>
          <w:lang w:val="fr"/>
        </w:rPr>
        <w:t>’</w:t>
      </w:r>
      <w:r>
        <w:rPr>
          <w:rFonts w:asciiTheme="minorBidi" w:hAnsiTheme="minorBidi" w:cstheme="minorBidi"/>
          <w:lang w:val="fr"/>
        </w:rPr>
        <w:t>un transfert d</w:t>
      </w:r>
      <w:r w:rsidR="00F225D8">
        <w:rPr>
          <w:rFonts w:asciiTheme="minorBidi" w:hAnsiTheme="minorBidi" w:cstheme="minorBidi"/>
          <w:lang w:val="fr"/>
        </w:rPr>
        <w:t>’</w:t>
      </w:r>
      <w:r>
        <w:rPr>
          <w:rFonts w:asciiTheme="minorBidi" w:hAnsiTheme="minorBidi" w:cstheme="minorBidi"/>
          <w:lang w:val="fr"/>
        </w:rPr>
        <w:t xml:space="preserve">un élément de la Liste de sauvegarde urgente </w:t>
      </w:r>
      <w:r w:rsidR="00982EEC">
        <w:rPr>
          <w:rFonts w:asciiTheme="minorBidi" w:hAnsiTheme="minorBidi" w:cstheme="minorBidi"/>
          <w:lang w:val="fr"/>
        </w:rPr>
        <w:t xml:space="preserve">à </w:t>
      </w:r>
      <w:r>
        <w:rPr>
          <w:rFonts w:asciiTheme="minorBidi" w:hAnsiTheme="minorBidi" w:cstheme="minorBidi"/>
          <w:lang w:val="fr"/>
        </w:rPr>
        <w:t>la Liste représentative, l</w:t>
      </w:r>
      <w:r w:rsidR="00F225D8">
        <w:rPr>
          <w:rFonts w:asciiTheme="minorBidi" w:hAnsiTheme="minorBidi" w:cstheme="minorBidi"/>
          <w:lang w:val="fr"/>
        </w:rPr>
        <w:t>’</w:t>
      </w:r>
      <w:r>
        <w:rPr>
          <w:rFonts w:asciiTheme="minorBidi" w:hAnsiTheme="minorBidi" w:cstheme="minorBidi"/>
          <w:lang w:val="fr"/>
        </w:rPr>
        <w:t xml:space="preserve">inclusion </w:t>
      </w:r>
      <w:r w:rsidR="00982EEC">
        <w:rPr>
          <w:rFonts w:asciiTheme="minorBidi" w:hAnsiTheme="minorBidi" w:cstheme="minorBidi"/>
          <w:lang w:val="fr"/>
        </w:rPr>
        <w:t>au</w:t>
      </w:r>
      <w:r>
        <w:rPr>
          <w:rFonts w:asciiTheme="minorBidi" w:hAnsiTheme="minorBidi" w:cstheme="minorBidi"/>
          <w:lang w:val="fr"/>
        </w:rPr>
        <w:t xml:space="preserve"> Registre de bonnes pratiques de sauvegarde de l</w:t>
      </w:r>
      <w:r w:rsidR="00F225D8">
        <w:rPr>
          <w:rFonts w:asciiTheme="minorBidi" w:hAnsiTheme="minorBidi" w:cstheme="minorBidi"/>
          <w:lang w:val="fr"/>
        </w:rPr>
        <w:t>’</w:t>
      </w:r>
      <w:r>
        <w:rPr>
          <w:rFonts w:asciiTheme="minorBidi" w:hAnsiTheme="minorBidi" w:cstheme="minorBidi"/>
          <w:lang w:val="fr"/>
        </w:rPr>
        <w:t>expérience de sauvegarde réussie décrite dans la demande de transfert (paragraphe 39.3 des Directives opérationnelles) ;</w:t>
      </w:r>
    </w:p>
    <w:p w14:paraId="0CD5B21E" w14:textId="77777777" w:rsidR="00B56210" w:rsidRPr="00797766" w:rsidRDefault="00B56210" w:rsidP="00360404">
      <w:pPr>
        <w:pStyle w:val="COMPara"/>
        <w:numPr>
          <w:ilvl w:val="0"/>
          <w:numId w:val="84"/>
        </w:numPr>
        <w:jc w:val="both"/>
        <w:rPr>
          <w:rFonts w:asciiTheme="minorBidi" w:hAnsiTheme="minorBidi" w:cstheme="minorBidi"/>
          <w:lang w:val="fr-FR"/>
        </w:rPr>
      </w:pPr>
      <w:r>
        <w:rPr>
          <w:rFonts w:asciiTheme="minorBidi" w:hAnsiTheme="minorBidi" w:cstheme="minorBidi"/>
          <w:lang w:val="fr"/>
        </w:rPr>
        <w:t>Les procédures de suivi des éléments inscrits sur les Listes de la Convention (paragraphes 40.2 et 40.3 des Directives opérationnelles) ;</w:t>
      </w:r>
    </w:p>
    <w:p w14:paraId="7D1EB624" w14:textId="25E3C94E" w:rsidR="00B56210" w:rsidRPr="00797766" w:rsidRDefault="00B56210" w:rsidP="00360404">
      <w:pPr>
        <w:pStyle w:val="COMPara"/>
        <w:numPr>
          <w:ilvl w:val="0"/>
          <w:numId w:val="84"/>
        </w:numPr>
        <w:jc w:val="both"/>
        <w:rPr>
          <w:rFonts w:asciiTheme="minorBidi" w:hAnsiTheme="minorBidi" w:cstheme="minorBidi"/>
          <w:lang w:val="fr-FR"/>
        </w:rPr>
      </w:pPr>
      <w:r>
        <w:rPr>
          <w:rFonts w:asciiTheme="minorBidi" w:hAnsiTheme="minorBidi" w:cstheme="minorBidi"/>
          <w:lang w:val="fr"/>
        </w:rPr>
        <w:t>À titre expérimental, les demandes de transfert d</w:t>
      </w:r>
      <w:r w:rsidR="00F225D8">
        <w:rPr>
          <w:rFonts w:asciiTheme="minorBidi" w:hAnsiTheme="minorBidi" w:cstheme="minorBidi"/>
          <w:lang w:val="fr"/>
        </w:rPr>
        <w:t>’</w:t>
      </w:r>
      <w:r>
        <w:rPr>
          <w:rFonts w:asciiTheme="minorBidi" w:hAnsiTheme="minorBidi" w:cstheme="minorBidi"/>
          <w:lang w:val="fr"/>
        </w:rPr>
        <w:t>un élément de la Liste de sauvegarde urgente à la Liste représentative et les demandes d</w:t>
      </w:r>
      <w:r w:rsidR="00F225D8">
        <w:rPr>
          <w:rFonts w:asciiTheme="minorBidi" w:hAnsiTheme="minorBidi" w:cstheme="minorBidi"/>
          <w:lang w:val="fr"/>
        </w:rPr>
        <w:t>’</w:t>
      </w:r>
      <w:r>
        <w:rPr>
          <w:rFonts w:asciiTheme="minorBidi" w:hAnsiTheme="minorBidi" w:cstheme="minorBidi"/>
          <w:lang w:val="fr"/>
        </w:rPr>
        <w:t>inscription sur une base élargie ou réduite.</w:t>
      </w:r>
    </w:p>
    <w:p w14:paraId="02189565" w14:textId="1299BC47" w:rsidR="00862498" w:rsidRPr="00797766" w:rsidRDefault="00862498" w:rsidP="00360404">
      <w:pPr>
        <w:pStyle w:val="COMPara"/>
        <w:keepLines/>
        <w:numPr>
          <w:ilvl w:val="0"/>
          <w:numId w:val="78"/>
        </w:numPr>
        <w:ind w:left="567" w:hanging="567"/>
        <w:jc w:val="both"/>
        <w:rPr>
          <w:rFonts w:asciiTheme="minorBidi" w:hAnsiTheme="minorBidi" w:cstheme="minorBidi"/>
          <w:lang w:val="fr-FR"/>
        </w:rPr>
      </w:pPr>
      <w:r>
        <w:rPr>
          <w:rFonts w:asciiTheme="minorBidi" w:hAnsiTheme="minorBidi" w:cstheme="minorBidi"/>
          <w:lang w:val="fr"/>
        </w:rPr>
        <w:t xml:space="preserve">Avec les dispositions proposées ci-dessus, </w:t>
      </w:r>
      <w:r w:rsidR="005E79EB">
        <w:rPr>
          <w:rFonts w:asciiTheme="minorBidi" w:hAnsiTheme="minorBidi" w:cstheme="minorBidi"/>
          <w:lang w:val="fr"/>
        </w:rPr>
        <w:t>il est prévu</w:t>
      </w:r>
      <w:r>
        <w:rPr>
          <w:rFonts w:asciiTheme="minorBidi" w:hAnsiTheme="minorBidi" w:cstheme="minorBidi"/>
          <w:lang w:val="fr"/>
        </w:rPr>
        <w:t xml:space="preserve"> qu</w:t>
      </w:r>
      <w:r w:rsidR="00F225D8">
        <w:rPr>
          <w:rFonts w:asciiTheme="minorBidi" w:hAnsiTheme="minorBidi" w:cstheme="minorBidi"/>
          <w:lang w:val="fr"/>
        </w:rPr>
        <w:t>’</w:t>
      </w:r>
      <w:r>
        <w:rPr>
          <w:rFonts w:asciiTheme="minorBidi" w:hAnsiTheme="minorBidi" w:cstheme="minorBidi"/>
          <w:lang w:val="fr"/>
        </w:rPr>
        <w:t>environ quatre-vingts dossiers pourraient être traités pour chacun des cycles 2026 et 2027. Cela représente une augmentation potentielle de 34 % par rapport aux cycles 2022 et 2023 et donc une charge de travail accrue pour le Comité, l</w:t>
      </w:r>
      <w:r w:rsidR="00F225D8">
        <w:rPr>
          <w:rFonts w:asciiTheme="minorBidi" w:hAnsiTheme="minorBidi" w:cstheme="minorBidi"/>
          <w:lang w:val="fr"/>
        </w:rPr>
        <w:t>’</w:t>
      </w:r>
      <w:r>
        <w:rPr>
          <w:rFonts w:asciiTheme="minorBidi" w:hAnsiTheme="minorBidi" w:cstheme="minorBidi"/>
          <w:lang w:val="fr"/>
        </w:rPr>
        <w:t>Organe d</w:t>
      </w:r>
      <w:r w:rsidR="00F225D8">
        <w:rPr>
          <w:rFonts w:asciiTheme="minorBidi" w:hAnsiTheme="minorBidi" w:cstheme="minorBidi"/>
          <w:lang w:val="fr"/>
        </w:rPr>
        <w:t>’</w:t>
      </w:r>
      <w:r>
        <w:rPr>
          <w:rFonts w:asciiTheme="minorBidi" w:hAnsiTheme="minorBidi" w:cstheme="minorBidi"/>
          <w:lang w:val="fr"/>
        </w:rPr>
        <w:t xml:space="preserve">évaluation et le Secrétariat. </w:t>
      </w:r>
    </w:p>
    <w:p w14:paraId="25FE307F" w14:textId="49527059" w:rsidR="006B5BE3" w:rsidRPr="00797766" w:rsidRDefault="006B5BE3" w:rsidP="00360404">
      <w:pPr>
        <w:pStyle w:val="COMPara"/>
        <w:numPr>
          <w:ilvl w:val="0"/>
          <w:numId w:val="78"/>
        </w:numPr>
        <w:ind w:left="567" w:hanging="567"/>
        <w:jc w:val="both"/>
        <w:rPr>
          <w:lang w:val="fr-FR"/>
        </w:rPr>
      </w:pPr>
      <w:r>
        <w:rPr>
          <w:rFonts w:asciiTheme="minorBidi" w:hAnsiTheme="minorBidi"/>
          <w:lang w:val="fr"/>
        </w:rPr>
        <w:t>Compte tenu de la sous-utilisation du Registre de bonnes pratiques de sauvegarde par les États parties (3 % de l</w:t>
      </w:r>
      <w:r w:rsidR="00F225D8">
        <w:rPr>
          <w:rFonts w:asciiTheme="minorBidi" w:hAnsiTheme="minorBidi"/>
          <w:lang w:val="fr"/>
        </w:rPr>
        <w:t>’</w:t>
      </w:r>
      <w:r>
        <w:rPr>
          <w:rFonts w:asciiTheme="minorBidi" w:hAnsiTheme="minorBidi"/>
          <w:lang w:val="fr"/>
        </w:rPr>
        <w:t>ensemble des dossiers traités au cours des cycles 2024 et 2025), les organes directeurs de la Convention ont récemment pris plusieurs mesures</w:t>
      </w:r>
      <w:r>
        <w:rPr>
          <w:rStyle w:val="FootnoteReference"/>
          <w:rFonts w:asciiTheme="minorBidi" w:hAnsiTheme="minorBidi" w:cstheme="minorBidi"/>
          <w:lang w:val="fr"/>
        </w:rPr>
        <w:footnoteReference w:id="4"/>
      </w:r>
      <w:r>
        <w:rPr>
          <w:rFonts w:asciiTheme="minorBidi" w:hAnsiTheme="minorBidi"/>
          <w:lang w:val="fr"/>
        </w:rPr>
        <w:t>, dans le cadre de la réflexion globale sur les mécanismes d</w:t>
      </w:r>
      <w:r w:rsidR="00F225D8">
        <w:rPr>
          <w:rFonts w:asciiTheme="minorBidi" w:hAnsiTheme="minorBidi"/>
          <w:lang w:val="fr"/>
        </w:rPr>
        <w:t>’</w:t>
      </w:r>
      <w:r>
        <w:rPr>
          <w:rFonts w:asciiTheme="minorBidi" w:hAnsiTheme="minorBidi"/>
          <w:lang w:val="fr"/>
        </w:rPr>
        <w:t xml:space="preserve">inscription sur les </w:t>
      </w:r>
      <w:r w:rsidR="005E79EB">
        <w:rPr>
          <w:rFonts w:asciiTheme="minorBidi" w:hAnsiTheme="minorBidi"/>
          <w:lang w:val="fr"/>
        </w:rPr>
        <w:t>l</w:t>
      </w:r>
      <w:r>
        <w:rPr>
          <w:rFonts w:asciiTheme="minorBidi" w:hAnsiTheme="minorBidi"/>
          <w:lang w:val="fr"/>
        </w:rPr>
        <w:t xml:space="preserve">istes et de la réflexion sur une mise en œuvre </w:t>
      </w:r>
      <w:r w:rsidR="00273789">
        <w:rPr>
          <w:rFonts w:asciiTheme="minorBidi" w:hAnsiTheme="minorBidi"/>
          <w:lang w:val="fr"/>
        </w:rPr>
        <w:t xml:space="preserve">plus large </w:t>
      </w:r>
      <w:r>
        <w:rPr>
          <w:rFonts w:asciiTheme="minorBidi" w:hAnsiTheme="minorBidi"/>
          <w:lang w:val="fr"/>
        </w:rPr>
        <w:t>de l</w:t>
      </w:r>
      <w:r w:rsidR="00F225D8">
        <w:rPr>
          <w:rFonts w:asciiTheme="minorBidi" w:hAnsiTheme="minorBidi"/>
          <w:lang w:val="fr"/>
        </w:rPr>
        <w:t>’</w:t>
      </w:r>
      <w:r>
        <w:rPr>
          <w:rFonts w:asciiTheme="minorBidi" w:hAnsiTheme="minorBidi"/>
          <w:lang w:val="fr"/>
        </w:rPr>
        <w:t xml:space="preserve">article 18, afin </w:t>
      </w:r>
      <w:r>
        <w:rPr>
          <w:lang w:val="fr"/>
        </w:rPr>
        <w:t>d</w:t>
      </w:r>
      <w:r w:rsidR="00F225D8">
        <w:rPr>
          <w:lang w:val="fr"/>
        </w:rPr>
        <w:t>’</w:t>
      </w:r>
      <w:r>
        <w:rPr>
          <w:lang w:val="fr"/>
        </w:rPr>
        <w:t xml:space="preserve">améliorer </w:t>
      </w:r>
      <w:r w:rsidR="00273789">
        <w:rPr>
          <w:lang w:val="fr"/>
        </w:rPr>
        <w:t xml:space="preserve">encore </w:t>
      </w:r>
      <w:r>
        <w:rPr>
          <w:lang w:val="fr"/>
        </w:rPr>
        <w:t>l</w:t>
      </w:r>
      <w:r w:rsidR="00F225D8">
        <w:rPr>
          <w:lang w:val="fr"/>
        </w:rPr>
        <w:t>’</w:t>
      </w:r>
      <w:r>
        <w:rPr>
          <w:lang w:val="fr"/>
        </w:rPr>
        <w:t>accès au Registre et d</w:t>
      </w:r>
      <w:r w:rsidR="00F225D8">
        <w:rPr>
          <w:lang w:val="fr"/>
        </w:rPr>
        <w:t>’</w:t>
      </w:r>
      <w:r>
        <w:rPr>
          <w:lang w:val="fr"/>
        </w:rPr>
        <w:t>en accroître la visibilité</w:t>
      </w:r>
      <w:r>
        <w:rPr>
          <w:rFonts w:asciiTheme="minorBidi" w:hAnsiTheme="minorBidi"/>
          <w:lang w:val="fr"/>
        </w:rPr>
        <w:t>. Il est peut-être prématuré d</w:t>
      </w:r>
      <w:r w:rsidR="00F225D8">
        <w:rPr>
          <w:rFonts w:asciiTheme="minorBidi" w:hAnsiTheme="minorBidi"/>
          <w:lang w:val="fr"/>
        </w:rPr>
        <w:t>’</w:t>
      </w:r>
      <w:r>
        <w:rPr>
          <w:rFonts w:asciiTheme="minorBidi" w:hAnsiTheme="minorBidi"/>
          <w:lang w:val="fr"/>
        </w:rPr>
        <w:t>évaluer l</w:t>
      </w:r>
      <w:r w:rsidR="00F225D8">
        <w:rPr>
          <w:rFonts w:asciiTheme="minorBidi" w:hAnsiTheme="minorBidi"/>
          <w:lang w:val="fr"/>
        </w:rPr>
        <w:t>’</w:t>
      </w:r>
      <w:r>
        <w:rPr>
          <w:rFonts w:asciiTheme="minorBidi" w:hAnsiTheme="minorBidi"/>
          <w:lang w:val="fr"/>
        </w:rPr>
        <w:t>efficacité de ces mesures, car plusieurs d</w:t>
      </w:r>
      <w:r w:rsidR="00F225D8">
        <w:rPr>
          <w:rFonts w:asciiTheme="minorBidi" w:hAnsiTheme="minorBidi"/>
          <w:lang w:val="fr"/>
        </w:rPr>
        <w:t>’</w:t>
      </w:r>
      <w:r>
        <w:rPr>
          <w:rFonts w:asciiTheme="minorBidi" w:hAnsiTheme="minorBidi"/>
          <w:lang w:val="fr"/>
        </w:rPr>
        <w:t>entre elles n</w:t>
      </w:r>
      <w:r w:rsidR="00F225D8">
        <w:rPr>
          <w:rFonts w:asciiTheme="minorBidi" w:hAnsiTheme="minorBidi"/>
          <w:lang w:val="fr"/>
        </w:rPr>
        <w:t>’</w:t>
      </w:r>
      <w:r>
        <w:rPr>
          <w:rFonts w:asciiTheme="minorBidi" w:hAnsiTheme="minorBidi"/>
          <w:lang w:val="fr"/>
        </w:rPr>
        <w:t>ont pas encore été pleinement appliquées. Toutefois, en plus d</w:t>
      </w:r>
      <w:r w:rsidR="00F225D8">
        <w:rPr>
          <w:rFonts w:asciiTheme="minorBidi" w:hAnsiTheme="minorBidi"/>
          <w:lang w:val="fr"/>
        </w:rPr>
        <w:t>’</w:t>
      </w:r>
      <w:r>
        <w:rPr>
          <w:rFonts w:asciiTheme="minorBidi" w:hAnsiTheme="minorBidi"/>
          <w:lang w:val="fr"/>
        </w:rPr>
        <w:t xml:space="preserve">encourager la soumission de propositions au Registre de bonnes pratiques de sauvegarde, </w:t>
      </w:r>
      <w:r>
        <w:rPr>
          <w:lang w:val="fr"/>
        </w:rPr>
        <w:t xml:space="preserve">le Comité pourrait souhaiter souligner la nécessité de </w:t>
      </w:r>
      <w:r w:rsidR="002B6B60">
        <w:rPr>
          <w:lang w:val="fr"/>
        </w:rPr>
        <w:t>surveiller</w:t>
      </w:r>
      <w:r w:rsidR="00273789">
        <w:rPr>
          <w:lang w:val="fr"/>
        </w:rPr>
        <w:t xml:space="preserve"> </w:t>
      </w:r>
      <w:r>
        <w:rPr>
          <w:lang w:val="fr"/>
        </w:rPr>
        <w:t xml:space="preserve">les mesures susmentionnées et éventuellement </w:t>
      </w:r>
      <w:r w:rsidR="00273789">
        <w:rPr>
          <w:lang w:val="fr"/>
        </w:rPr>
        <w:t xml:space="preserve">de </w:t>
      </w:r>
      <w:r>
        <w:rPr>
          <w:lang w:val="fr"/>
        </w:rPr>
        <w:t>discuter d</w:t>
      </w:r>
      <w:r w:rsidR="00F225D8">
        <w:rPr>
          <w:lang w:val="fr"/>
        </w:rPr>
        <w:t>’</w:t>
      </w:r>
      <w:r>
        <w:rPr>
          <w:lang w:val="fr"/>
        </w:rPr>
        <w:t>autres moyens de promouvoir le Registre, comme l</w:t>
      </w:r>
      <w:r w:rsidR="00F225D8">
        <w:rPr>
          <w:lang w:val="fr"/>
        </w:rPr>
        <w:t>’</w:t>
      </w:r>
      <w:r>
        <w:rPr>
          <w:lang w:val="fr"/>
        </w:rPr>
        <w:t>introduction d</w:t>
      </w:r>
      <w:r w:rsidR="00F225D8">
        <w:rPr>
          <w:lang w:val="fr"/>
        </w:rPr>
        <w:t>’</w:t>
      </w:r>
      <w:r>
        <w:rPr>
          <w:lang w:val="fr"/>
        </w:rPr>
        <w:t>un quota spécifique dans le cadre du plafond annuel, en gardant à l</w:t>
      </w:r>
      <w:r w:rsidR="00F225D8">
        <w:rPr>
          <w:lang w:val="fr"/>
        </w:rPr>
        <w:t>’</w:t>
      </w:r>
      <w:r>
        <w:rPr>
          <w:lang w:val="fr"/>
        </w:rPr>
        <w:t>esprit l</w:t>
      </w:r>
      <w:r w:rsidR="00F225D8">
        <w:rPr>
          <w:lang w:val="fr"/>
        </w:rPr>
        <w:t>’</w:t>
      </w:r>
      <w:r>
        <w:rPr>
          <w:lang w:val="fr"/>
        </w:rPr>
        <w:t>impact potentiel d</w:t>
      </w:r>
      <w:r w:rsidR="00F225D8">
        <w:rPr>
          <w:lang w:val="fr"/>
        </w:rPr>
        <w:t>’</w:t>
      </w:r>
      <w:r>
        <w:rPr>
          <w:lang w:val="fr"/>
        </w:rPr>
        <w:t>un tel quota sur les autres niveaux de priorité.</w:t>
      </w:r>
    </w:p>
    <w:p w14:paraId="50D3EAFF" w14:textId="450B1B87" w:rsidR="00D95C4C" w:rsidRPr="00797766" w:rsidRDefault="000B1C8F" w:rsidP="00360404">
      <w:pPr>
        <w:pStyle w:val="COMPara"/>
        <w:numPr>
          <w:ilvl w:val="0"/>
          <w:numId w:val="78"/>
        </w:numPr>
        <w:ind w:left="567" w:hanging="567"/>
        <w:jc w:val="both"/>
        <w:rPr>
          <w:lang w:val="fr-FR"/>
        </w:rPr>
      </w:pPr>
      <w:bookmarkStart w:id="2" w:name="_Hlk177744240"/>
      <w:r>
        <w:rPr>
          <w:lang w:val="fr"/>
        </w:rPr>
        <w:t xml:space="preserve">Le </w:t>
      </w:r>
      <w:r>
        <w:rPr>
          <w:rFonts w:asciiTheme="minorBidi" w:hAnsiTheme="minorBidi"/>
          <w:lang w:val="fr"/>
        </w:rPr>
        <w:t>Comité</w:t>
      </w:r>
      <w:r>
        <w:rPr>
          <w:lang w:val="fr"/>
        </w:rPr>
        <w:t xml:space="preserve"> pourrait souhaiter adopter la décision suivante :</w:t>
      </w:r>
    </w:p>
    <w:bookmarkEnd w:id="2"/>
    <w:p w14:paraId="6CEB1E9D" w14:textId="68C0EC66" w:rsidR="00D95C4C" w:rsidRPr="00797766" w:rsidRDefault="004A34A0" w:rsidP="001D14FE">
      <w:pPr>
        <w:pStyle w:val="COMTitleDecision"/>
        <w:rPr>
          <w:rFonts w:eastAsia="SimSun"/>
          <w:lang w:val="fr-FR"/>
        </w:rPr>
      </w:pPr>
      <w:r>
        <w:rPr>
          <w:bCs/>
          <w:lang w:val="fr"/>
        </w:rPr>
        <w:t>PROJET DE DÉCISION 19.COM 15</w:t>
      </w:r>
    </w:p>
    <w:p w14:paraId="13024F0B" w14:textId="77777777" w:rsidR="00D95C4C" w:rsidRPr="00797766" w:rsidRDefault="00285BB4" w:rsidP="00285BB4">
      <w:pPr>
        <w:pStyle w:val="COMPreambulaDecisions"/>
        <w:rPr>
          <w:rFonts w:eastAsia="SimSun"/>
          <w:lang w:val="fr-FR"/>
        </w:rPr>
      </w:pPr>
      <w:r>
        <w:rPr>
          <w:lang w:val="fr"/>
        </w:rPr>
        <w:t>Le Comité,</w:t>
      </w:r>
    </w:p>
    <w:p w14:paraId="5A9F22F3" w14:textId="217F9560" w:rsidR="0057439C" w:rsidRPr="00797766" w:rsidRDefault="00D95C4C" w:rsidP="00E01A0E">
      <w:pPr>
        <w:pStyle w:val="COMParaDecision"/>
        <w:ind w:left="1134" w:hanging="567"/>
        <w:rPr>
          <w:lang w:val="fr-FR"/>
        </w:rPr>
      </w:pPr>
      <w:r>
        <w:rPr>
          <w:lang w:val="fr"/>
        </w:rPr>
        <w:t>Ayant examiné</w:t>
      </w:r>
      <w:r w:rsidRPr="00797766">
        <w:rPr>
          <w:u w:val="none"/>
          <w:lang w:val="fr"/>
        </w:rPr>
        <w:t xml:space="preserve"> le</w:t>
      </w:r>
      <w:r>
        <w:rPr>
          <w:u w:val="none"/>
          <w:lang w:val="fr"/>
        </w:rPr>
        <w:t xml:space="preserve"> document LHE/24/19.COM/15,</w:t>
      </w:r>
    </w:p>
    <w:p w14:paraId="611A775D" w14:textId="10EF5637" w:rsidR="003957D6" w:rsidRPr="00797766" w:rsidRDefault="003957D6" w:rsidP="00E01A0E">
      <w:pPr>
        <w:pStyle w:val="COMParaDecision"/>
        <w:ind w:left="1134" w:hanging="567"/>
        <w:rPr>
          <w:lang w:val="fr-FR"/>
        </w:rPr>
      </w:pPr>
      <w:r>
        <w:rPr>
          <w:lang w:val="fr"/>
        </w:rPr>
        <w:t>Rappelant</w:t>
      </w:r>
      <w:r>
        <w:rPr>
          <w:u w:val="none"/>
          <w:lang w:val="fr"/>
        </w:rPr>
        <w:t xml:space="preserve"> les paragraphes pertinents des Directives opérationnelles concernant les procédures de candidature, la </w:t>
      </w:r>
      <w:r w:rsidR="005E79EB">
        <w:rPr>
          <w:u w:val="none"/>
          <w:lang w:val="fr"/>
        </w:rPr>
        <w:t>d</w:t>
      </w:r>
      <w:r>
        <w:rPr>
          <w:u w:val="none"/>
          <w:lang w:val="fr"/>
        </w:rPr>
        <w:t xml:space="preserve">écision </w:t>
      </w:r>
      <w:hyperlink r:id="rId12" w:history="1">
        <w:r>
          <w:rPr>
            <w:rStyle w:val="Hyperlink"/>
            <w:rFonts w:asciiTheme="minorBidi" w:hAnsiTheme="minorBidi" w:cstheme="minorBidi"/>
            <w:lang w:val="fr"/>
          </w:rPr>
          <w:t>17.COM 15</w:t>
        </w:r>
      </w:hyperlink>
      <w:r>
        <w:rPr>
          <w:color w:val="0000FF"/>
          <w:u w:val="none"/>
          <w:lang w:val="fr"/>
        </w:rPr>
        <w:t xml:space="preserve"> </w:t>
      </w:r>
      <w:r>
        <w:rPr>
          <w:u w:val="none"/>
          <w:lang w:val="fr"/>
        </w:rPr>
        <w:t xml:space="preserve">et les </w:t>
      </w:r>
      <w:hyperlink r:id="rId13" w:history="1">
        <w:r w:rsidR="005E79EB">
          <w:rPr>
            <w:u w:val="none"/>
            <w:lang w:val="fr"/>
          </w:rPr>
          <w:t>r</w:t>
        </w:r>
        <w:r>
          <w:rPr>
            <w:u w:val="none"/>
            <w:lang w:val="fr"/>
          </w:rPr>
          <w:t>ésolutions</w:t>
        </w:r>
        <w:r>
          <w:rPr>
            <w:rStyle w:val="Hyperlink"/>
            <w:rFonts w:asciiTheme="minorBidi" w:hAnsiTheme="minorBidi" w:cstheme="minorBidi"/>
            <w:snapToGrid w:val="0"/>
            <w:u w:val="none"/>
            <w:lang w:val="fr"/>
          </w:rPr>
          <w:t xml:space="preserve"> </w:t>
        </w:r>
        <w:r>
          <w:rPr>
            <w:rStyle w:val="Hyperlink"/>
            <w:rFonts w:asciiTheme="minorBidi" w:hAnsiTheme="minorBidi" w:cstheme="minorBidi"/>
            <w:snapToGrid w:val="0"/>
            <w:lang w:val="fr"/>
          </w:rPr>
          <w:t>9.GA</w:t>
        </w:r>
        <w:r w:rsidR="005D1D09">
          <w:rPr>
            <w:rStyle w:val="Hyperlink"/>
            <w:rFonts w:asciiTheme="minorBidi" w:hAnsiTheme="minorBidi" w:cstheme="minorBidi"/>
            <w:snapToGrid w:val="0"/>
            <w:lang w:val="fr"/>
          </w:rPr>
          <w:t xml:space="preserve"> </w:t>
        </w:r>
        <w:r>
          <w:rPr>
            <w:rStyle w:val="Hyperlink"/>
            <w:rFonts w:asciiTheme="minorBidi" w:hAnsiTheme="minorBidi" w:cstheme="minorBidi"/>
            <w:snapToGrid w:val="0"/>
            <w:lang w:val="fr"/>
          </w:rPr>
          <w:t>9</w:t>
        </w:r>
      </w:hyperlink>
      <w:r>
        <w:rPr>
          <w:u w:val="none"/>
          <w:lang w:val="fr"/>
        </w:rPr>
        <w:t xml:space="preserve"> et </w:t>
      </w:r>
      <w:hyperlink r:id="rId14" w:history="1">
        <w:r>
          <w:rPr>
            <w:rStyle w:val="Hyperlink"/>
            <w:lang w:val="fr"/>
          </w:rPr>
          <w:t>10.GA</w:t>
        </w:r>
        <w:r w:rsidR="00253EBE">
          <w:rPr>
            <w:rStyle w:val="Hyperlink"/>
            <w:lang w:val="fr"/>
          </w:rPr>
          <w:t> </w:t>
        </w:r>
        <w:r>
          <w:rPr>
            <w:rStyle w:val="Hyperlink"/>
            <w:lang w:val="fr"/>
          </w:rPr>
          <w:t>7</w:t>
        </w:r>
      </w:hyperlink>
      <w:r>
        <w:rPr>
          <w:rStyle w:val="Hyperlink"/>
          <w:color w:val="auto"/>
          <w:u w:val="none"/>
          <w:lang w:val="fr"/>
        </w:rPr>
        <w:t>,</w:t>
      </w:r>
    </w:p>
    <w:p w14:paraId="4935E386" w14:textId="1B8D3C38" w:rsidR="00A14FFC" w:rsidRPr="00797766" w:rsidRDefault="00A14FFC" w:rsidP="003957D6">
      <w:pPr>
        <w:pStyle w:val="COMParaDecision"/>
        <w:ind w:left="1134" w:hanging="567"/>
        <w:rPr>
          <w:lang w:val="fr-FR"/>
        </w:rPr>
      </w:pPr>
      <w:r>
        <w:rPr>
          <w:snapToGrid w:val="0"/>
          <w:lang w:val="fr"/>
        </w:rPr>
        <w:t>Prend note</w:t>
      </w:r>
      <w:r>
        <w:rPr>
          <w:snapToGrid w:val="0"/>
          <w:u w:val="none"/>
          <w:lang w:val="fr"/>
        </w:rPr>
        <w:t xml:space="preserve"> que le nombre de dossiers</w:t>
      </w:r>
      <w:r w:rsidR="002B6B60">
        <w:rPr>
          <w:snapToGrid w:val="0"/>
          <w:u w:val="none"/>
          <w:lang w:val="fr"/>
        </w:rPr>
        <w:t xml:space="preserve"> </w:t>
      </w:r>
      <w:r>
        <w:rPr>
          <w:snapToGrid w:val="0"/>
          <w:u w:val="none"/>
          <w:lang w:val="fr"/>
        </w:rPr>
        <w:t xml:space="preserve">traités pour le cycle 2024 est de soixante et onze (soixante et un dossiers dans </w:t>
      </w:r>
      <w:r w:rsidR="006762F1">
        <w:rPr>
          <w:snapToGrid w:val="0"/>
          <w:u w:val="none"/>
          <w:lang w:val="fr"/>
        </w:rPr>
        <w:t>les limites du</w:t>
      </w:r>
      <w:r>
        <w:rPr>
          <w:snapToGrid w:val="0"/>
          <w:u w:val="none"/>
          <w:lang w:val="fr"/>
        </w:rPr>
        <w:t xml:space="preserve"> plafond annuel et dix dossiers </w:t>
      </w:r>
      <w:r w:rsidR="006762F1">
        <w:rPr>
          <w:snapToGrid w:val="0"/>
          <w:u w:val="none"/>
          <w:lang w:val="fr"/>
        </w:rPr>
        <w:t>en dehors</w:t>
      </w:r>
      <w:r>
        <w:rPr>
          <w:snapToGrid w:val="0"/>
          <w:u w:val="none"/>
          <w:lang w:val="fr"/>
        </w:rPr>
        <w:t>) et que, pour le cycle 2025, soixante-neuf dossiers sont traités (soixante dossiers dans le</w:t>
      </w:r>
      <w:r w:rsidR="006762F1">
        <w:rPr>
          <w:snapToGrid w:val="0"/>
          <w:u w:val="none"/>
          <w:lang w:val="fr"/>
        </w:rPr>
        <w:t>s limites du</w:t>
      </w:r>
      <w:r>
        <w:rPr>
          <w:snapToGrid w:val="0"/>
          <w:u w:val="none"/>
          <w:lang w:val="fr"/>
        </w:rPr>
        <w:t xml:space="preserve"> plafond annuel et neuf dossiers </w:t>
      </w:r>
      <w:r w:rsidR="006762F1">
        <w:rPr>
          <w:snapToGrid w:val="0"/>
          <w:u w:val="none"/>
          <w:lang w:val="fr"/>
        </w:rPr>
        <w:t>en de</w:t>
      </w:r>
      <w:r>
        <w:rPr>
          <w:snapToGrid w:val="0"/>
          <w:u w:val="none"/>
          <w:lang w:val="fr"/>
        </w:rPr>
        <w:t xml:space="preserve">hors) ; </w:t>
      </w:r>
    </w:p>
    <w:p w14:paraId="259CFCF4" w14:textId="564FF6A0" w:rsidR="00D0198C" w:rsidRPr="00797766" w:rsidRDefault="00D0198C" w:rsidP="003957D6">
      <w:pPr>
        <w:pStyle w:val="COMParaDecision"/>
        <w:ind w:left="1134" w:hanging="567"/>
        <w:rPr>
          <w:u w:val="none"/>
          <w:lang w:val="fr-FR"/>
        </w:rPr>
      </w:pPr>
      <w:r>
        <w:rPr>
          <w:rFonts w:asciiTheme="minorBidi" w:hAnsiTheme="minorBidi" w:cstheme="minorBidi"/>
          <w:lang w:val="fr"/>
        </w:rPr>
        <w:t>Décide</w:t>
      </w:r>
      <w:r>
        <w:rPr>
          <w:rFonts w:asciiTheme="minorBidi" w:hAnsiTheme="minorBidi" w:cstheme="minorBidi"/>
          <w:u w:val="none"/>
          <w:lang w:val="fr"/>
        </w:rPr>
        <w:t xml:space="preserve"> que, pour les cycles 2026 et 2027, le nombre de candidatures à la Liste du patrimoine culturel immatériel nécessitant une sauvegarde urgente et à la Liste représentative du patrimoine culturel immatériel de l</w:t>
      </w:r>
      <w:r w:rsidR="00F225D8">
        <w:rPr>
          <w:rFonts w:asciiTheme="minorBidi" w:hAnsiTheme="minorBidi" w:cstheme="minorBidi"/>
          <w:u w:val="none"/>
          <w:lang w:val="fr"/>
        </w:rPr>
        <w:t>’</w:t>
      </w:r>
      <w:r>
        <w:rPr>
          <w:rFonts w:asciiTheme="minorBidi" w:hAnsiTheme="minorBidi" w:cstheme="minorBidi"/>
          <w:u w:val="none"/>
          <w:lang w:val="fr"/>
        </w:rPr>
        <w:t>humanité, de propositions de programmes, projets et activités qui reflètent le mieux les principes et objectifs de la Convention qui peuvent être traitées est fixé à un maximum de soixante par cycle ;</w:t>
      </w:r>
    </w:p>
    <w:p w14:paraId="5DFCA4EC" w14:textId="46E01BAD" w:rsidR="005A6833" w:rsidRPr="00797766" w:rsidRDefault="005A6833" w:rsidP="005A6833">
      <w:pPr>
        <w:pStyle w:val="COMParaDecision"/>
        <w:ind w:left="1134" w:hanging="567"/>
        <w:rPr>
          <w:lang w:val="fr-FR"/>
        </w:rPr>
      </w:pPr>
      <w:r>
        <w:rPr>
          <w:lang w:val="fr"/>
        </w:rPr>
        <w:t>Décide en outre</w:t>
      </w:r>
      <w:r>
        <w:rPr>
          <w:u w:val="none"/>
          <w:lang w:val="fr"/>
        </w:rPr>
        <w:t xml:space="preserve"> que le Secrétariat peut faire preuve d</w:t>
      </w:r>
      <w:r w:rsidR="00F225D8">
        <w:rPr>
          <w:u w:val="none"/>
          <w:lang w:val="fr"/>
        </w:rPr>
        <w:t>’</w:t>
      </w:r>
      <w:r>
        <w:rPr>
          <w:u w:val="none"/>
          <w:lang w:val="fr"/>
        </w:rPr>
        <w:t>une certaine flexibilité si cela permet une plus grande équité entre les États soumissionnaires ayant une priorité égale en vertu du paragraphe 34 des Directives opérationnelles ;</w:t>
      </w:r>
    </w:p>
    <w:p w14:paraId="41242875" w14:textId="20F59680" w:rsidR="00BA6C0F" w:rsidRPr="00797766" w:rsidRDefault="00D70250" w:rsidP="00E01A0E">
      <w:pPr>
        <w:pStyle w:val="COMParaDecision"/>
        <w:ind w:left="1134" w:hanging="567"/>
        <w:rPr>
          <w:lang w:val="fr-FR"/>
        </w:rPr>
      </w:pPr>
      <w:r>
        <w:rPr>
          <w:lang w:val="fr"/>
        </w:rPr>
        <w:t>Considère</w:t>
      </w:r>
      <w:r w:rsidRPr="00797766">
        <w:rPr>
          <w:u w:val="none"/>
          <w:lang w:val="fr"/>
        </w:rPr>
        <w:t xml:space="preserve"> que</w:t>
      </w:r>
      <w:r>
        <w:rPr>
          <w:u w:val="none"/>
          <w:lang w:val="fr"/>
        </w:rPr>
        <w:t xml:space="preserve"> les États soumissionnaires peuvent indiquer des dossiers multinationaux comme </w:t>
      </w:r>
      <w:r w:rsidR="006762F1">
        <w:rPr>
          <w:u w:val="none"/>
          <w:lang w:val="fr"/>
        </w:rPr>
        <w:t xml:space="preserve">leurs </w:t>
      </w:r>
      <w:r>
        <w:rPr>
          <w:u w:val="none"/>
          <w:lang w:val="fr"/>
        </w:rPr>
        <w:t>dossiers prioritaires au titre de la priorité (0)</w:t>
      </w:r>
      <w:r>
        <w:rPr>
          <w:rFonts w:asciiTheme="minorBidi" w:hAnsiTheme="minorBidi"/>
          <w:u w:val="none"/>
          <w:lang w:val="fr"/>
        </w:rPr>
        <w:t xml:space="preserve"> pour les cycles 2026 et 2027</w:t>
      </w:r>
      <w:r>
        <w:rPr>
          <w:u w:val="none"/>
          <w:lang w:val="fr"/>
        </w:rPr>
        <w:t xml:space="preserve">, et </w:t>
      </w:r>
      <w:r>
        <w:rPr>
          <w:rFonts w:asciiTheme="minorBidi" w:hAnsiTheme="minorBidi"/>
          <w:lang w:val="fr"/>
        </w:rPr>
        <w:t>demande</w:t>
      </w:r>
      <w:r>
        <w:rPr>
          <w:rFonts w:asciiTheme="minorBidi" w:hAnsiTheme="minorBidi"/>
          <w:u w:val="none"/>
          <w:lang w:val="fr"/>
        </w:rPr>
        <w:t xml:space="preserve"> que, au sein des dossiers multinationaux au titre de la priorité (ii), la priorité soit accordée aux :</w:t>
      </w:r>
    </w:p>
    <w:p w14:paraId="57AA8D83" w14:textId="7AD577F7" w:rsidR="00BA6C0F" w:rsidRPr="00C518C1" w:rsidRDefault="00BA6C0F" w:rsidP="00C518C1">
      <w:pPr>
        <w:pStyle w:val="ListParagraph"/>
        <w:numPr>
          <w:ilvl w:val="0"/>
          <w:numId w:val="31"/>
        </w:numPr>
        <w:autoSpaceDE w:val="0"/>
        <w:autoSpaceDN w:val="0"/>
        <w:adjustRightInd w:val="0"/>
        <w:spacing w:after="120"/>
        <w:ind w:left="1559" w:hanging="425"/>
        <w:contextualSpacing w:val="0"/>
        <w:jc w:val="both"/>
        <w:rPr>
          <w:rFonts w:asciiTheme="minorBidi" w:hAnsiTheme="minorBidi" w:cstheme="minorBidi"/>
        </w:rPr>
      </w:pPr>
      <w:r>
        <w:rPr>
          <w:rFonts w:asciiTheme="minorBidi" w:hAnsiTheme="minorBidi" w:cstheme="minorBidi"/>
          <w:sz w:val="22"/>
          <w:szCs w:val="22"/>
          <w:lang w:val="fr"/>
        </w:rPr>
        <w:t>dossiers multinationaux qui n</w:t>
      </w:r>
      <w:r w:rsidR="00F225D8">
        <w:rPr>
          <w:rFonts w:asciiTheme="minorBidi" w:hAnsiTheme="minorBidi" w:cstheme="minorBidi"/>
          <w:sz w:val="22"/>
          <w:szCs w:val="22"/>
          <w:lang w:val="fr"/>
        </w:rPr>
        <w:t>’</w:t>
      </w:r>
      <w:r>
        <w:rPr>
          <w:rFonts w:asciiTheme="minorBidi" w:hAnsiTheme="minorBidi" w:cstheme="minorBidi"/>
          <w:sz w:val="22"/>
          <w:szCs w:val="22"/>
          <w:lang w:val="fr"/>
        </w:rPr>
        <w:t>ont pas pu être traités lors du cycle précédent ;</w:t>
      </w:r>
    </w:p>
    <w:p w14:paraId="5B1A485D" w14:textId="0D68A252" w:rsidR="006C6203" w:rsidRPr="00E01A0E" w:rsidRDefault="008E44D3" w:rsidP="00E01A0E">
      <w:pPr>
        <w:pStyle w:val="ListParagraph"/>
        <w:numPr>
          <w:ilvl w:val="0"/>
          <w:numId w:val="31"/>
        </w:numPr>
        <w:autoSpaceDE w:val="0"/>
        <w:autoSpaceDN w:val="0"/>
        <w:adjustRightInd w:val="0"/>
        <w:spacing w:after="120"/>
        <w:ind w:left="1559" w:hanging="425"/>
        <w:contextualSpacing w:val="0"/>
        <w:jc w:val="both"/>
        <w:rPr>
          <w:rFonts w:asciiTheme="minorBidi" w:hAnsiTheme="minorBidi" w:cstheme="minorBidi"/>
          <w:sz w:val="22"/>
          <w:szCs w:val="22"/>
        </w:rPr>
      </w:pPr>
      <w:r>
        <w:rPr>
          <w:rFonts w:asciiTheme="minorBidi" w:hAnsiTheme="minorBidi" w:cstheme="minorBidi"/>
          <w:sz w:val="22"/>
          <w:szCs w:val="22"/>
          <w:lang w:val="fr"/>
        </w:rPr>
        <w:t>dossiers multinationaux avec au moins un État soumissionnaire n</w:t>
      </w:r>
      <w:r w:rsidR="00F225D8">
        <w:rPr>
          <w:rFonts w:asciiTheme="minorBidi" w:hAnsiTheme="minorBidi" w:cstheme="minorBidi"/>
          <w:sz w:val="22"/>
          <w:szCs w:val="22"/>
          <w:lang w:val="fr"/>
        </w:rPr>
        <w:t>’</w:t>
      </w:r>
      <w:r>
        <w:rPr>
          <w:rFonts w:asciiTheme="minorBidi" w:hAnsiTheme="minorBidi" w:cstheme="minorBidi"/>
          <w:sz w:val="22"/>
          <w:szCs w:val="22"/>
          <w:lang w:val="fr"/>
        </w:rPr>
        <w:t>ayant pas d</w:t>
      </w:r>
      <w:r w:rsidR="00F225D8">
        <w:rPr>
          <w:rFonts w:asciiTheme="minorBidi" w:hAnsiTheme="minorBidi" w:cstheme="minorBidi"/>
          <w:sz w:val="22"/>
          <w:szCs w:val="22"/>
          <w:lang w:val="fr"/>
        </w:rPr>
        <w:t>’</w:t>
      </w:r>
      <w:r>
        <w:rPr>
          <w:rFonts w:asciiTheme="minorBidi" w:hAnsiTheme="minorBidi" w:cstheme="minorBidi"/>
          <w:sz w:val="22"/>
          <w:szCs w:val="22"/>
          <w:lang w:val="fr"/>
        </w:rPr>
        <w:t>élément inscrit (à l</w:t>
      </w:r>
      <w:r w:rsidR="00F225D8">
        <w:rPr>
          <w:rFonts w:asciiTheme="minorBidi" w:hAnsiTheme="minorBidi" w:cstheme="minorBidi"/>
          <w:sz w:val="22"/>
          <w:szCs w:val="22"/>
          <w:lang w:val="fr"/>
        </w:rPr>
        <w:t>’</w:t>
      </w:r>
      <w:r>
        <w:rPr>
          <w:rFonts w:asciiTheme="minorBidi" w:hAnsiTheme="minorBidi" w:cstheme="minorBidi"/>
          <w:sz w:val="22"/>
          <w:szCs w:val="22"/>
          <w:lang w:val="fr"/>
        </w:rPr>
        <w:t>exclusion des inscriptions par le biais de candidatures multinationales) et aucun autre dossier inclus dans le même cycle ;</w:t>
      </w:r>
    </w:p>
    <w:p w14:paraId="2880CDC9" w14:textId="03396F16" w:rsidR="00BA6C0F" w:rsidRPr="006C6203" w:rsidRDefault="006C6203" w:rsidP="006C6203">
      <w:pPr>
        <w:pStyle w:val="ListParagraph"/>
        <w:numPr>
          <w:ilvl w:val="0"/>
          <w:numId w:val="31"/>
        </w:numPr>
        <w:autoSpaceDE w:val="0"/>
        <w:autoSpaceDN w:val="0"/>
        <w:adjustRightInd w:val="0"/>
        <w:spacing w:after="120"/>
        <w:ind w:left="1559" w:hanging="425"/>
        <w:contextualSpacing w:val="0"/>
        <w:jc w:val="both"/>
        <w:rPr>
          <w:rFonts w:ascii="Arial" w:hAnsi="Arial" w:cs="Arial"/>
        </w:rPr>
      </w:pPr>
      <w:r>
        <w:rPr>
          <w:rFonts w:ascii="Arial" w:eastAsia="SimSun" w:hAnsi="Arial" w:cs="Arial"/>
          <w:sz w:val="22"/>
          <w:szCs w:val="22"/>
          <w:lang w:val="fr"/>
        </w:rPr>
        <w:t xml:space="preserve">dossiers multinationaux </w:t>
      </w:r>
      <w:r w:rsidR="00C94E88">
        <w:rPr>
          <w:rFonts w:ascii="Arial" w:eastAsia="SimSun" w:hAnsi="Arial" w:cs="Arial"/>
          <w:sz w:val="22"/>
          <w:szCs w:val="22"/>
          <w:lang w:val="fr"/>
        </w:rPr>
        <w:t xml:space="preserve">ayant </w:t>
      </w:r>
      <w:r>
        <w:rPr>
          <w:rFonts w:ascii="Arial" w:eastAsia="SimSun" w:hAnsi="Arial" w:cs="Arial"/>
          <w:sz w:val="22"/>
          <w:szCs w:val="22"/>
          <w:lang w:val="fr"/>
        </w:rPr>
        <w:t>le moins d</w:t>
      </w:r>
      <w:r w:rsidR="00F225D8">
        <w:rPr>
          <w:rFonts w:ascii="Arial" w:eastAsia="SimSun" w:hAnsi="Arial" w:cs="Arial"/>
          <w:sz w:val="22"/>
          <w:szCs w:val="22"/>
          <w:lang w:val="fr"/>
        </w:rPr>
        <w:t>’</w:t>
      </w:r>
      <w:r>
        <w:rPr>
          <w:rFonts w:ascii="Arial" w:eastAsia="SimSun" w:hAnsi="Arial" w:cs="Arial"/>
          <w:sz w:val="22"/>
          <w:szCs w:val="22"/>
          <w:lang w:val="fr"/>
        </w:rPr>
        <w:t>éléments inscrits par État soumissionnaire concerné, en tenant compte du fait que les groupes d</w:t>
      </w:r>
      <w:r w:rsidR="00F225D8">
        <w:rPr>
          <w:rFonts w:ascii="Arial" w:eastAsia="SimSun" w:hAnsi="Arial" w:cs="Arial"/>
          <w:sz w:val="22"/>
          <w:szCs w:val="22"/>
          <w:lang w:val="fr"/>
        </w:rPr>
        <w:t>’</w:t>
      </w:r>
      <w:r>
        <w:rPr>
          <w:rFonts w:ascii="Arial" w:eastAsia="SimSun" w:hAnsi="Arial" w:cs="Arial"/>
          <w:sz w:val="22"/>
          <w:szCs w:val="22"/>
          <w:lang w:val="fr"/>
        </w:rPr>
        <w:t xml:space="preserve">États soumissionnaires </w:t>
      </w:r>
      <w:r w:rsidR="00C94E88">
        <w:rPr>
          <w:rFonts w:ascii="Arial" w:eastAsia="SimSun" w:hAnsi="Arial" w:cs="Arial"/>
          <w:sz w:val="22"/>
          <w:szCs w:val="22"/>
          <w:lang w:val="fr"/>
        </w:rPr>
        <w:t>ayant soumis</w:t>
      </w:r>
      <w:r>
        <w:rPr>
          <w:rFonts w:ascii="Arial" w:eastAsia="SimSun" w:hAnsi="Arial" w:cs="Arial"/>
          <w:sz w:val="22"/>
          <w:szCs w:val="22"/>
          <w:lang w:val="fr"/>
        </w:rPr>
        <w:t xml:space="preserve"> plus d</w:t>
      </w:r>
      <w:r w:rsidR="00F225D8">
        <w:rPr>
          <w:rFonts w:ascii="Arial" w:eastAsia="SimSun" w:hAnsi="Arial" w:cs="Arial"/>
          <w:sz w:val="22"/>
          <w:szCs w:val="22"/>
          <w:lang w:val="fr"/>
        </w:rPr>
        <w:t>’</w:t>
      </w:r>
      <w:r>
        <w:rPr>
          <w:rFonts w:ascii="Arial" w:eastAsia="SimSun" w:hAnsi="Arial" w:cs="Arial"/>
          <w:sz w:val="22"/>
          <w:szCs w:val="22"/>
          <w:lang w:val="fr"/>
        </w:rPr>
        <w:t>un dossier multinational au cours d</w:t>
      </w:r>
      <w:r w:rsidR="00F225D8">
        <w:rPr>
          <w:rFonts w:ascii="Arial" w:eastAsia="SimSun" w:hAnsi="Arial" w:cs="Arial"/>
          <w:sz w:val="22"/>
          <w:szCs w:val="22"/>
          <w:lang w:val="fr"/>
        </w:rPr>
        <w:t>’</w:t>
      </w:r>
      <w:r>
        <w:rPr>
          <w:rFonts w:ascii="Arial" w:eastAsia="SimSun" w:hAnsi="Arial" w:cs="Arial"/>
          <w:sz w:val="22"/>
          <w:szCs w:val="22"/>
          <w:lang w:val="fr"/>
        </w:rPr>
        <w:t>un cycle donné peuvent être invités à choisir lequel de leurs dossiers multinationaux doit être pris en considération.</w:t>
      </w:r>
    </w:p>
    <w:p w14:paraId="4E15D2A5" w14:textId="2C4AFD87" w:rsidR="00640478" w:rsidRPr="00797766" w:rsidRDefault="00640478" w:rsidP="00E01A0E">
      <w:pPr>
        <w:pStyle w:val="COMParaDecision"/>
        <w:ind w:left="1134" w:hanging="567"/>
        <w:rPr>
          <w:u w:val="none"/>
          <w:lang w:val="fr-FR"/>
        </w:rPr>
      </w:pPr>
      <w:r>
        <w:rPr>
          <w:lang w:val="fr"/>
        </w:rPr>
        <w:t>Décide</w:t>
      </w:r>
      <w:r w:rsidR="006762F1">
        <w:rPr>
          <w:lang w:val="fr"/>
        </w:rPr>
        <w:t xml:space="preserve"> </w:t>
      </w:r>
      <w:r w:rsidR="002B6B60">
        <w:rPr>
          <w:lang w:val="fr"/>
        </w:rPr>
        <w:t>également</w:t>
      </w:r>
      <w:r>
        <w:rPr>
          <w:u w:val="none"/>
          <w:lang w:val="fr"/>
        </w:rPr>
        <w:t xml:space="preserve"> d</w:t>
      </w:r>
      <w:r w:rsidR="00F225D8">
        <w:rPr>
          <w:u w:val="none"/>
          <w:lang w:val="fr"/>
        </w:rPr>
        <w:t>’</w:t>
      </w:r>
      <w:r>
        <w:rPr>
          <w:u w:val="none"/>
          <w:lang w:val="fr"/>
        </w:rPr>
        <w:t>inclure dans le cycle 2026 les dossiers multinationaux qui n</w:t>
      </w:r>
      <w:r w:rsidR="00F225D8">
        <w:rPr>
          <w:u w:val="none"/>
          <w:lang w:val="fr"/>
        </w:rPr>
        <w:t>’</w:t>
      </w:r>
      <w:r>
        <w:rPr>
          <w:u w:val="none"/>
          <w:lang w:val="fr"/>
        </w:rPr>
        <w:t>ont pas pu être traités lors du cycle précédent, tout en demandant aux groupes d</w:t>
      </w:r>
      <w:r w:rsidR="00F225D8">
        <w:rPr>
          <w:u w:val="none"/>
          <w:lang w:val="fr"/>
        </w:rPr>
        <w:t>’</w:t>
      </w:r>
      <w:r>
        <w:rPr>
          <w:u w:val="none"/>
          <w:lang w:val="fr"/>
        </w:rPr>
        <w:t>États soumissionnaires qui ont soumis plus d</w:t>
      </w:r>
      <w:r w:rsidR="00F225D8">
        <w:rPr>
          <w:u w:val="none"/>
          <w:lang w:val="fr"/>
        </w:rPr>
        <w:t>’</w:t>
      </w:r>
      <w:r>
        <w:rPr>
          <w:u w:val="none"/>
          <w:lang w:val="fr"/>
        </w:rPr>
        <w:t>un dossier multinational de choisir lequel de leurs dossiers multinationaux devrait être pris en considération, en tenant compte du plafond annuel de dossiers ;</w:t>
      </w:r>
    </w:p>
    <w:p w14:paraId="371E0B79" w14:textId="45A69AD8" w:rsidR="005A0650" w:rsidRPr="00797766" w:rsidRDefault="00E97B69" w:rsidP="00360404">
      <w:pPr>
        <w:pStyle w:val="COMParaDecision"/>
        <w:ind w:left="1134" w:hanging="567"/>
        <w:rPr>
          <w:u w:val="none"/>
          <w:lang w:val="fr-FR"/>
        </w:rPr>
      </w:pPr>
      <w:r>
        <w:rPr>
          <w:lang w:val="fr"/>
        </w:rPr>
        <w:t>Invite</w:t>
      </w:r>
      <w:r>
        <w:rPr>
          <w:u w:val="none"/>
          <w:lang w:val="fr"/>
        </w:rPr>
        <w:t xml:space="preserve"> les États parties à tenir compte de la présente décision et de la situation actuelle concernant les dossiers multinationaux lors de la soumission des dossiers pour les cycles 2026 et 2027 et à faire preuve de retenue pour ne pas soumettre plusieurs dossiers multinationaux dans le même cycle afin de permettre une meilleure représentativité des Listes, et </w:t>
      </w:r>
      <w:r>
        <w:rPr>
          <w:lang w:val="fr"/>
        </w:rPr>
        <w:t>demande</w:t>
      </w:r>
      <w:r>
        <w:rPr>
          <w:u w:val="none"/>
          <w:lang w:val="fr"/>
        </w:rPr>
        <w:t xml:space="preserve"> au Secrétariat de continuer à suivre les tendances concernant l</w:t>
      </w:r>
      <w:r w:rsidR="00F225D8">
        <w:rPr>
          <w:u w:val="none"/>
          <w:lang w:val="fr"/>
        </w:rPr>
        <w:t>’</w:t>
      </w:r>
      <w:r>
        <w:rPr>
          <w:u w:val="none"/>
          <w:lang w:val="fr"/>
        </w:rPr>
        <w:t>inclusion de candidatures multinationales dans les cycles de candidatures futurs ;</w:t>
      </w:r>
    </w:p>
    <w:p w14:paraId="314A06EA" w14:textId="64665FD4" w:rsidR="001035E8" w:rsidRPr="00797766" w:rsidRDefault="001035E8" w:rsidP="005A0650">
      <w:pPr>
        <w:pStyle w:val="COMParaDecision"/>
        <w:ind w:left="1134" w:hanging="567"/>
        <w:rPr>
          <w:lang w:val="fr-FR"/>
        </w:rPr>
      </w:pPr>
      <w:r>
        <w:rPr>
          <w:lang w:val="fr"/>
        </w:rPr>
        <w:t xml:space="preserve">Prend </w:t>
      </w:r>
      <w:r w:rsidR="006762F1">
        <w:rPr>
          <w:lang w:val="fr"/>
        </w:rPr>
        <w:t xml:space="preserve">note </w:t>
      </w:r>
      <w:r>
        <w:rPr>
          <w:lang w:val="fr"/>
        </w:rPr>
        <w:t>en outre</w:t>
      </w:r>
      <w:r w:rsidRPr="00797766">
        <w:rPr>
          <w:u w:val="none"/>
          <w:lang w:val="fr"/>
        </w:rPr>
        <w:t xml:space="preserve"> </w:t>
      </w:r>
      <w:r>
        <w:rPr>
          <w:u w:val="none"/>
          <w:lang w:val="fr"/>
        </w:rPr>
        <w:t>que, pour les cycles 2026 et 2027, les demandes de transfert d</w:t>
      </w:r>
      <w:r w:rsidR="00F225D8">
        <w:rPr>
          <w:u w:val="none"/>
          <w:lang w:val="fr"/>
        </w:rPr>
        <w:t>’</w:t>
      </w:r>
      <w:r>
        <w:rPr>
          <w:u w:val="none"/>
          <w:lang w:val="fr"/>
        </w:rPr>
        <w:t>éléments d</w:t>
      </w:r>
      <w:r w:rsidR="00F225D8">
        <w:rPr>
          <w:u w:val="none"/>
          <w:lang w:val="fr"/>
        </w:rPr>
        <w:t>’</w:t>
      </w:r>
      <w:r>
        <w:rPr>
          <w:u w:val="none"/>
          <w:lang w:val="fr"/>
        </w:rPr>
        <w:t>une Liste à l</w:t>
      </w:r>
      <w:r w:rsidR="00F225D8">
        <w:rPr>
          <w:u w:val="none"/>
          <w:lang w:val="fr"/>
        </w:rPr>
        <w:t>’</w:t>
      </w:r>
      <w:r>
        <w:rPr>
          <w:u w:val="none"/>
          <w:lang w:val="fr"/>
        </w:rPr>
        <w:t>autre, l</w:t>
      </w:r>
      <w:r w:rsidR="00F225D8">
        <w:rPr>
          <w:u w:val="none"/>
          <w:lang w:val="fr"/>
        </w:rPr>
        <w:t>’</w:t>
      </w:r>
      <w:r w:rsidR="002B6B60">
        <w:rPr>
          <w:u w:val="none"/>
          <w:lang w:val="fr"/>
        </w:rPr>
        <w:t>inclusion</w:t>
      </w:r>
      <w:r>
        <w:rPr>
          <w:u w:val="none"/>
          <w:lang w:val="fr"/>
        </w:rPr>
        <w:t xml:space="preserve"> au Registre de bonnes pratiques de sauvegarde de l</w:t>
      </w:r>
      <w:r w:rsidR="00F225D8">
        <w:rPr>
          <w:u w:val="none"/>
          <w:lang w:val="fr"/>
        </w:rPr>
        <w:t>’</w:t>
      </w:r>
      <w:r>
        <w:rPr>
          <w:u w:val="none"/>
          <w:lang w:val="fr"/>
        </w:rPr>
        <w:t>expérience de sauvegarde réussie résultant d</w:t>
      </w:r>
      <w:r w:rsidR="00F225D8">
        <w:rPr>
          <w:u w:val="none"/>
          <w:lang w:val="fr"/>
        </w:rPr>
        <w:t>’</w:t>
      </w:r>
      <w:r>
        <w:rPr>
          <w:u w:val="none"/>
          <w:lang w:val="fr"/>
        </w:rPr>
        <w:t>un transfert de la Liste de sauvegarde urgente à la Liste représentative, les demandes d</w:t>
      </w:r>
      <w:r w:rsidR="00F225D8">
        <w:rPr>
          <w:u w:val="none"/>
          <w:lang w:val="fr"/>
        </w:rPr>
        <w:t>’</w:t>
      </w:r>
      <w:r>
        <w:rPr>
          <w:u w:val="none"/>
          <w:lang w:val="fr"/>
        </w:rPr>
        <w:t>inscription sur une base élargie ou réduite, et le suivi des éléments inscrits, seront traités en dehors du plafond annuel ;</w:t>
      </w:r>
    </w:p>
    <w:p w14:paraId="56BDEB00" w14:textId="67263484" w:rsidR="00DE1C86" w:rsidRPr="00797766" w:rsidRDefault="003A648F" w:rsidP="00711213">
      <w:pPr>
        <w:pStyle w:val="COMParaDecision"/>
        <w:ind w:left="1134" w:hanging="567"/>
        <w:rPr>
          <w:u w:val="none"/>
          <w:lang w:val="fr-FR"/>
        </w:rPr>
      </w:pPr>
      <w:r>
        <w:rPr>
          <w:lang w:val="fr"/>
        </w:rPr>
        <w:t>Note</w:t>
      </w:r>
      <w:r>
        <w:rPr>
          <w:u w:val="none"/>
          <w:lang w:val="fr"/>
        </w:rPr>
        <w:t xml:space="preserve"> la sous-utilisation du Registre de bonnes pratiques de sauvegarde, </w:t>
      </w:r>
      <w:r>
        <w:rPr>
          <w:lang w:val="fr"/>
        </w:rPr>
        <w:t>encourage</w:t>
      </w:r>
      <w:r>
        <w:rPr>
          <w:u w:val="none"/>
          <w:lang w:val="fr"/>
        </w:rPr>
        <w:t xml:space="preserve"> les États parties à envisager de soumettre des propositions au Registre de bonnes pratiques de sauvegarde et </w:t>
      </w:r>
      <w:r>
        <w:rPr>
          <w:lang w:val="fr"/>
        </w:rPr>
        <w:t>demande</w:t>
      </w:r>
      <w:r>
        <w:rPr>
          <w:u w:val="none"/>
          <w:lang w:val="fr"/>
        </w:rPr>
        <w:t xml:space="preserve"> au Secrétariat de continuer à suivre les tendances concernant le traitement des propositions au Registre de bonnes pratiques de sauvegarde tout en rendant opérationnelle la plateforme en ligne </w:t>
      </w:r>
      <w:proofErr w:type="gramStart"/>
      <w:r>
        <w:rPr>
          <w:u w:val="none"/>
          <w:lang w:val="fr"/>
        </w:rPr>
        <w:t xml:space="preserve">actuellement </w:t>
      </w:r>
      <w:r w:rsidR="006762F1">
        <w:rPr>
          <w:u w:val="none"/>
          <w:lang w:val="fr"/>
        </w:rPr>
        <w:t>en cours</w:t>
      </w:r>
      <w:proofErr w:type="gramEnd"/>
      <w:r w:rsidR="006762F1">
        <w:rPr>
          <w:u w:val="none"/>
          <w:lang w:val="fr"/>
        </w:rPr>
        <w:t xml:space="preserve"> de création</w:t>
      </w:r>
      <w:r>
        <w:rPr>
          <w:u w:val="none"/>
          <w:lang w:val="fr"/>
        </w:rPr>
        <w:t xml:space="preserve"> pour une mise en œuvre </w:t>
      </w:r>
      <w:r w:rsidR="006762F1">
        <w:rPr>
          <w:u w:val="none"/>
          <w:lang w:val="fr"/>
        </w:rPr>
        <w:t xml:space="preserve">plus large </w:t>
      </w:r>
      <w:r>
        <w:rPr>
          <w:u w:val="none"/>
          <w:lang w:val="fr"/>
        </w:rPr>
        <w:t>de l</w:t>
      </w:r>
      <w:r w:rsidR="00F225D8">
        <w:rPr>
          <w:u w:val="none"/>
          <w:lang w:val="fr"/>
        </w:rPr>
        <w:t>’</w:t>
      </w:r>
      <w:r>
        <w:rPr>
          <w:u w:val="none"/>
          <w:lang w:val="fr"/>
        </w:rPr>
        <w:t>article 18 ;</w:t>
      </w:r>
    </w:p>
    <w:p w14:paraId="1B08DF9D" w14:textId="1F73D18A" w:rsidR="00190205" w:rsidRPr="00797766" w:rsidRDefault="007014F6" w:rsidP="00360404">
      <w:pPr>
        <w:pStyle w:val="COMParaDecision"/>
        <w:ind w:left="1134" w:hanging="567"/>
        <w:rPr>
          <w:u w:val="none"/>
          <w:lang w:val="fr-FR"/>
        </w:rPr>
      </w:pPr>
      <w:r>
        <w:rPr>
          <w:lang w:val="fr"/>
        </w:rPr>
        <w:t>Demande en outre</w:t>
      </w:r>
      <w:r>
        <w:rPr>
          <w:u w:val="none"/>
          <w:lang w:val="fr"/>
        </w:rPr>
        <w:t xml:space="preserve"> que le Secrétariat lui fasse rapport sur le nombre de dossiers soumis pour les cycles 2026 et 2027, sur son expérience dans l</w:t>
      </w:r>
      <w:r w:rsidR="00F225D8">
        <w:rPr>
          <w:u w:val="none"/>
          <w:lang w:val="fr"/>
        </w:rPr>
        <w:t>’</w:t>
      </w:r>
      <w:r>
        <w:rPr>
          <w:u w:val="none"/>
          <w:lang w:val="fr"/>
        </w:rPr>
        <w:t xml:space="preserve">application des Directives opérationnelles et de la présente décision lors de sa vingt et unième session en 2026, en particulier en ce qui concerne les candidatures multinationales et les propositions au Registre de bonnes pratiques de sauvegarde, et sur son expérience en matière de traitement des demandes </w:t>
      </w:r>
      <w:r w:rsidR="005E79EB">
        <w:rPr>
          <w:u w:val="none"/>
          <w:lang w:val="fr"/>
        </w:rPr>
        <w:t>au-delà du</w:t>
      </w:r>
      <w:r>
        <w:rPr>
          <w:u w:val="none"/>
          <w:lang w:val="fr"/>
        </w:rPr>
        <w:t xml:space="preserve"> plafond annuel.</w:t>
      </w:r>
    </w:p>
    <w:sectPr w:rsidR="00190205" w:rsidRPr="00797766" w:rsidSect="00655736">
      <w:headerReference w:type="even" r:id="rId15"/>
      <w:headerReference w:type="default" r:id="rId16"/>
      <w:headerReference w:type="first" r:id="rId1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6B1EB" w14:textId="77777777" w:rsidR="006B39BC" w:rsidRDefault="006B39BC" w:rsidP="00655736">
      <w:r>
        <w:separator/>
      </w:r>
    </w:p>
  </w:endnote>
  <w:endnote w:type="continuationSeparator" w:id="0">
    <w:p w14:paraId="46B68662" w14:textId="77777777" w:rsidR="006B39BC" w:rsidRDefault="006B39B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2458" w14:textId="77777777" w:rsidR="006B39BC" w:rsidRDefault="006B39BC" w:rsidP="00655736">
      <w:r>
        <w:separator/>
      </w:r>
    </w:p>
  </w:footnote>
  <w:footnote w:type="continuationSeparator" w:id="0">
    <w:p w14:paraId="52B15892" w14:textId="77777777" w:rsidR="006B39BC" w:rsidRDefault="006B39BC" w:rsidP="00655736">
      <w:r>
        <w:continuationSeparator/>
      </w:r>
    </w:p>
  </w:footnote>
  <w:footnote w:id="1">
    <w:p w14:paraId="0BE77114" w14:textId="3B76C7F4" w:rsidR="00234144" w:rsidRPr="00DE52ED" w:rsidRDefault="00234144" w:rsidP="00182622">
      <w:pPr>
        <w:pStyle w:val="FootnoteText"/>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Quatre des soixante</w:t>
      </w:r>
      <w:r w:rsidR="007E436C">
        <w:rPr>
          <w:rFonts w:asciiTheme="minorBidi" w:hAnsiTheme="minorBidi" w:cstheme="minorBidi"/>
          <w:sz w:val="18"/>
          <w:szCs w:val="18"/>
          <w:lang w:val="fr"/>
        </w:rPr>
        <w:t xml:space="preserve"> et onze</w:t>
      </w:r>
      <w:r>
        <w:rPr>
          <w:rFonts w:asciiTheme="minorBidi" w:hAnsiTheme="minorBidi" w:cstheme="minorBidi"/>
          <w:sz w:val="18"/>
          <w:szCs w:val="18"/>
          <w:lang w:val="fr"/>
        </w:rPr>
        <w:t xml:space="preserve"> dossiers ont été retirés par les États soumissionnaires concernés au cours de la vérification </w:t>
      </w:r>
      <w:r w:rsidR="00C620BD">
        <w:rPr>
          <w:rFonts w:asciiTheme="minorBidi" w:hAnsiTheme="minorBidi" w:cstheme="minorBidi"/>
          <w:sz w:val="18"/>
          <w:szCs w:val="18"/>
          <w:lang w:val="fr"/>
        </w:rPr>
        <w:t xml:space="preserve">de complétude </w:t>
      </w:r>
      <w:r w:rsidR="0071760A">
        <w:rPr>
          <w:rFonts w:asciiTheme="minorBidi" w:hAnsiTheme="minorBidi" w:cstheme="minorBidi"/>
          <w:sz w:val="18"/>
          <w:szCs w:val="18"/>
          <w:lang w:val="fr"/>
        </w:rPr>
        <w:t>technique</w:t>
      </w:r>
      <w:r>
        <w:rPr>
          <w:rFonts w:asciiTheme="minorBidi" w:hAnsiTheme="minorBidi" w:cstheme="minorBidi"/>
          <w:sz w:val="18"/>
          <w:szCs w:val="18"/>
          <w:lang w:val="fr"/>
        </w:rPr>
        <w:t xml:space="preserve"> de la candidature. La liste des dossiers pour le </w:t>
      </w:r>
      <w:hyperlink r:id="rId1" w:history="1">
        <w:r>
          <w:rPr>
            <w:rStyle w:val="Hyperlink"/>
            <w:rFonts w:asciiTheme="minorBidi" w:hAnsiTheme="minorBidi" w:cstheme="minorBidi"/>
            <w:sz w:val="18"/>
            <w:szCs w:val="18"/>
            <w:lang w:val="fr"/>
          </w:rPr>
          <w:t>cycle 2024</w:t>
        </w:r>
      </w:hyperlink>
      <w:r>
        <w:rPr>
          <w:rFonts w:asciiTheme="minorBidi" w:hAnsiTheme="minorBidi" w:cstheme="minorBidi"/>
          <w:sz w:val="18"/>
          <w:szCs w:val="18"/>
          <w:lang w:val="fr"/>
        </w:rPr>
        <w:t xml:space="preserve"> figure sur une page</w:t>
      </w:r>
      <w:r w:rsidR="00A511C8">
        <w:rPr>
          <w:rFonts w:asciiTheme="minorBidi" w:hAnsiTheme="minorBidi" w:cstheme="minorBidi"/>
          <w:sz w:val="18"/>
          <w:szCs w:val="18"/>
          <w:lang w:val="fr"/>
        </w:rPr>
        <w:t xml:space="preserve"> Internet</w:t>
      </w:r>
      <w:r>
        <w:rPr>
          <w:rFonts w:asciiTheme="minorBidi" w:hAnsiTheme="minorBidi" w:cstheme="minorBidi"/>
          <w:sz w:val="18"/>
          <w:szCs w:val="18"/>
          <w:lang w:val="fr"/>
        </w:rPr>
        <w:t xml:space="preserve"> dédiée de la Convention.</w:t>
      </w:r>
    </w:p>
  </w:footnote>
  <w:footnote w:id="2">
    <w:p w14:paraId="0C483859" w14:textId="13FB9F26" w:rsidR="00234144" w:rsidRPr="00360404" w:rsidRDefault="00234144" w:rsidP="00360404">
      <w:pPr>
        <w:pStyle w:val="FootnoteText"/>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w:t>
      </w:r>
      <w:r w:rsidR="0071760A">
        <w:rPr>
          <w:rFonts w:asciiTheme="minorBidi" w:hAnsiTheme="minorBidi" w:cstheme="minorBidi"/>
          <w:sz w:val="18"/>
          <w:szCs w:val="18"/>
          <w:lang w:val="fr"/>
        </w:rPr>
        <w:t>U</w:t>
      </w:r>
      <w:r>
        <w:rPr>
          <w:rFonts w:asciiTheme="minorBidi" w:hAnsiTheme="minorBidi" w:cstheme="minorBidi"/>
          <w:sz w:val="18"/>
          <w:szCs w:val="18"/>
          <w:lang w:val="fr"/>
        </w:rPr>
        <w:t xml:space="preserve">n des soixante-neuf dossiers a été retiré </w:t>
      </w:r>
      <w:r w:rsidRPr="007E436C">
        <w:rPr>
          <w:rFonts w:asciiTheme="minorBidi" w:hAnsiTheme="minorBidi" w:cstheme="minorBidi"/>
          <w:sz w:val="18"/>
          <w:szCs w:val="18"/>
          <w:lang w:val="fr"/>
        </w:rPr>
        <w:t>par l</w:t>
      </w:r>
      <w:r w:rsidR="00F225D8">
        <w:rPr>
          <w:rFonts w:asciiTheme="minorBidi" w:hAnsiTheme="minorBidi" w:cstheme="minorBidi"/>
          <w:sz w:val="18"/>
          <w:szCs w:val="18"/>
          <w:lang w:val="fr"/>
        </w:rPr>
        <w:t>’</w:t>
      </w:r>
      <w:r w:rsidRPr="007E436C">
        <w:rPr>
          <w:rFonts w:asciiTheme="minorBidi" w:hAnsiTheme="minorBidi" w:cstheme="minorBidi"/>
          <w:sz w:val="18"/>
          <w:szCs w:val="18"/>
          <w:lang w:val="fr"/>
        </w:rPr>
        <w:t>État soumissionnaire</w:t>
      </w:r>
      <w:r>
        <w:rPr>
          <w:rFonts w:asciiTheme="minorBidi" w:hAnsiTheme="minorBidi" w:cstheme="minorBidi"/>
          <w:sz w:val="18"/>
          <w:szCs w:val="18"/>
          <w:lang w:val="fr"/>
        </w:rPr>
        <w:t xml:space="preserve"> concerné au cours de la vérification</w:t>
      </w:r>
      <w:r w:rsidR="00253EBE">
        <w:rPr>
          <w:rFonts w:asciiTheme="minorBidi" w:hAnsiTheme="minorBidi" w:cstheme="minorBidi"/>
          <w:sz w:val="18"/>
          <w:szCs w:val="18"/>
          <w:lang w:val="fr"/>
        </w:rPr>
        <w:t xml:space="preserve"> de complétude</w:t>
      </w:r>
      <w:r>
        <w:rPr>
          <w:rFonts w:asciiTheme="minorBidi" w:hAnsiTheme="minorBidi" w:cstheme="minorBidi"/>
          <w:sz w:val="18"/>
          <w:szCs w:val="18"/>
          <w:lang w:val="fr"/>
        </w:rPr>
        <w:t xml:space="preserve"> </w:t>
      </w:r>
      <w:r w:rsidR="007E436C">
        <w:rPr>
          <w:rFonts w:asciiTheme="minorBidi" w:hAnsiTheme="minorBidi" w:cstheme="minorBidi"/>
          <w:sz w:val="18"/>
          <w:szCs w:val="18"/>
          <w:lang w:val="fr"/>
        </w:rPr>
        <w:t>technique</w:t>
      </w:r>
      <w:r>
        <w:rPr>
          <w:rFonts w:asciiTheme="minorBidi" w:hAnsiTheme="minorBidi" w:cstheme="minorBidi"/>
          <w:sz w:val="18"/>
          <w:szCs w:val="18"/>
          <w:lang w:val="fr"/>
        </w:rPr>
        <w:t xml:space="preserve"> de la candidature. La liste des dossiers pour le </w:t>
      </w:r>
      <w:hyperlink r:id="rId2" w:history="1">
        <w:r>
          <w:rPr>
            <w:rStyle w:val="Hyperlink"/>
            <w:rFonts w:asciiTheme="minorBidi" w:hAnsiTheme="minorBidi" w:cstheme="minorBidi"/>
            <w:sz w:val="18"/>
            <w:szCs w:val="18"/>
            <w:lang w:val="fr"/>
          </w:rPr>
          <w:t>cycle 2025</w:t>
        </w:r>
      </w:hyperlink>
      <w:r>
        <w:rPr>
          <w:rFonts w:asciiTheme="minorBidi" w:hAnsiTheme="minorBidi" w:cstheme="minorBidi"/>
          <w:sz w:val="18"/>
          <w:szCs w:val="18"/>
          <w:lang w:val="fr"/>
        </w:rPr>
        <w:t xml:space="preserve"> figure sur une page </w:t>
      </w:r>
      <w:r w:rsidR="00A511C8">
        <w:rPr>
          <w:rFonts w:asciiTheme="minorBidi" w:hAnsiTheme="minorBidi" w:cstheme="minorBidi"/>
          <w:sz w:val="18"/>
          <w:szCs w:val="18"/>
          <w:lang w:val="fr"/>
        </w:rPr>
        <w:t>Internet</w:t>
      </w:r>
      <w:r>
        <w:rPr>
          <w:rFonts w:asciiTheme="minorBidi" w:hAnsiTheme="minorBidi" w:cstheme="minorBidi"/>
          <w:sz w:val="18"/>
          <w:szCs w:val="18"/>
          <w:lang w:val="fr"/>
        </w:rPr>
        <w:t xml:space="preserve"> dédiée de la Convention.</w:t>
      </w:r>
    </w:p>
  </w:footnote>
  <w:footnote w:id="3">
    <w:p w14:paraId="3526A2EE" w14:textId="77777777" w:rsidR="00DE4892" w:rsidRPr="00DE52ED" w:rsidRDefault="00DE4892" w:rsidP="00797766">
      <w:pPr>
        <w:pStyle w:val="FootnoteText"/>
        <w:ind w:left="112" w:hanging="112"/>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Vingt inscriptions multinationales concernent des États appartenant à plusieurs groupes électoraux. Ils sont comptabilisés dans chacun des groupes électoraux concernés.</w:t>
      </w:r>
    </w:p>
  </w:footnote>
  <w:footnote w:id="4">
    <w:p w14:paraId="54EA054C" w14:textId="25133C2C" w:rsidR="001322EB" w:rsidRPr="00360404" w:rsidRDefault="001322EB" w:rsidP="00360404">
      <w:pPr>
        <w:pStyle w:val="FootnoteText"/>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Les mesures comprennent (a) la possibilité d</w:t>
      </w:r>
      <w:r w:rsidR="00F225D8">
        <w:rPr>
          <w:rFonts w:asciiTheme="minorBidi" w:hAnsiTheme="minorBidi" w:cstheme="minorBidi"/>
          <w:sz w:val="18"/>
          <w:szCs w:val="18"/>
          <w:lang w:val="fr"/>
        </w:rPr>
        <w:t>’</w:t>
      </w:r>
      <w:r>
        <w:rPr>
          <w:rFonts w:asciiTheme="minorBidi" w:hAnsiTheme="minorBidi" w:cstheme="minorBidi"/>
          <w:sz w:val="18"/>
          <w:szCs w:val="18"/>
          <w:lang w:val="fr"/>
        </w:rPr>
        <w:t xml:space="preserve">inclure </w:t>
      </w:r>
      <w:r w:rsidR="006762F1">
        <w:rPr>
          <w:rFonts w:asciiTheme="minorBidi" w:hAnsiTheme="minorBidi" w:cstheme="minorBidi"/>
          <w:sz w:val="18"/>
          <w:szCs w:val="18"/>
          <w:lang w:val="fr"/>
        </w:rPr>
        <w:t xml:space="preserve">les </w:t>
      </w:r>
      <w:r>
        <w:rPr>
          <w:rFonts w:asciiTheme="minorBidi" w:hAnsiTheme="minorBidi" w:cstheme="minorBidi"/>
          <w:sz w:val="18"/>
          <w:szCs w:val="18"/>
          <w:lang w:val="fr"/>
        </w:rPr>
        <w:t>expérience</w:t>
      </w:r>
      <w:r w:rsidR="006762F1">
        <w:rPr>
          <w:rFonts w:asciiTheme="minorBidi" w:hAnsiTheme="minorBidi" w:cstheme="minorBidi"/>
          <w:sz w:val="18"/>
          <w:szCs w:val="18"/>
          <w:lang w:val="fr"/>
        </w:rPr>
        <w:t xml:space="preserve">s </w:t>
      </w:r>
      <w:r>
        <w:rPr>
          <w:rFonts w:asciiTheme="minorBidi" w:hAnsiTheme="minorBidi" w:cstheme="minorBidi"/>
          <w:sz w:val="18"/>
          <w:szCs w:val="18"/>
          <w:lang w:val="fr"/>
        </w:rPr>
        <w:t xml:space="preserve">de sauvegarde </w:t>
      </w:r>
      <w:r w:rsidR="00F475E6">
        <w:rPr>
          <w:rFonts w:asciiTheme="minorBidi" w:hAnsiTheme="minorBidi" w:cstheme="minorBidi"/>
          <w:sz w:val="18"/>
          <w:szCs w:val="18"/>
          <w:lang w:val="fr"/>
        </w:rPr>
        <w:t>réussies</w:t>
      </w:r>
      <w:r w:rsidR="00F475E6" w:rsidDel="006762F1">
        <w:rPr>
          <w:rFonts w:asciiTheme="minorBidi" w:hAnsiTheme="minorBidi" w:cstheme="minorBidi"/>
          <w:sz w:val="18"/>
          <w:szCs w:val="18"/>
          <w:lang w:val="fr"/>
        </w:rPr>
        <w:t xml:space="preserve"> </w:t>
      </w:r>
      <w:r>
        <w:rPr>
          <w:rFonts w:asciiTheme="minorBidi" w:hAnsiTheme="minorBidi" w:cstheme="minorBidi"/>
          <w:sz w:val="18"/>
          <w:szCs w:val="18"/>
          <w:lang w:val="fr"/>
        </w:rPr>
        <w:t>dans le Registre de bonnes pratiques de sauvegarde dans le cadre d</w:t>
      </w:r>
      <w:r w:rsidR="00F225D8">
        <w:rPr>
          <w:rFonts w:asciiTheme="minorBidi" w:hAnsiTheme="minorBidi" w:cstheme="minorBidi"/>
          <w:sz w:val="18"/>
          <w:szCs w:val="18"/>
          <w:lang w:val="fr"/>
        </w:rPr>
        <w:t>’</w:t>
      </w:r>
      <w:r>
        <w:rPr>
          <w:rFonts w:asciiTheme="minorBidi" w:hAnsiTheme="minorBidi" w:cstheme="minorBidi"/>
          <w:sz w:val="18"/>
          <w:szCs w:val="18"/>
          <w:lang w:val="fr"/>
        </w:rPr>
        <w:t>un transfert (paragraphe 39.3 des Directives opérationnelles), (b) la simplification des critères de sélection (paragraphe 7 des Directives opérationnelles), (c) l</w:t>
      </w:r>
      <w:r w:rsidR="00F225D8">
        <w:rPr>
          <w:rFonts w:asciiTheme="minorBidi" w:hAnsiTheme="minorBidi" w:cstheme="minorBidi"/>
          <w:sz w:val="18"/>
          <w:szCs w:val="18"/>
          <w:lang w:val="fr"/>
        </w:rPr>
        <w:t>’</w:t>
      </w:r>
      <w:r>
        <w:rPr>
          <w:rFonts w:asciiTheme="minorBidi" w:hAnsiTheme="minorBidi" w:cstheme="minorBidi"/>
          <w:sz w:val="18"/>
          <w:szCs w:val="18"/>
          <w:lang w:val="fr"/>
        </w:rPr>
        <w:t>opérationnalisation du Registre grâce à de meilleures connexions avec d</w:t>
      </w:r>
      <w:r w:rsidR="00F225D8">
        <w:rPr>
          <w:rFonts w:asciiTheme="minorBidi" w:hAnsiTheme="minorBidi" w:cstheme="minorBidi"/>
          <w:sz w:val="18"/>
          <w:szCs w:val="18"/>
          <w:lang w:val="fr"/>
        </w:rPr>
        <w:t>’</w:t>
      </w:r>
      <w:r>
        <w:rPr>
          <w:rFonts w:asciiTheme="minorBidi" w:hAnsiTheme="minorBidi" w:cstheme="minorBidi"/>
          <w:sz w:val="18"/>
          <w:szCs w:val="18"/>
          <w:lang w:val="fr"/>
        </w:rPr>
        <w:t>autres mécanismes (</w:t>
      </w:r>
      <w:r w:rsidR="002B6B60">
        <w:rPr>
          <w:rFonts w:asciiTheme="minorBidi" w:hAnsiTheme="minorBidi" w:cstheme="minorBidi"/>
          <w:sz w:val="18"/>
          <w:szCs w:val="18"/>
          <w:lang w:val="fr"/>
        </w:rPr>
        <w:t>a</w:t>
      </w:r>
      <w:r>
        <w:rPr>
          <w:rFonts w:asciiTheme="minorBidi" w:hAnsiTheme="minorBidi" w:cstheme="minorBidi"/>
          <w:sz w:val="18"/>
          <w:szCs w:val="18"/>
          <w:lang w:val="fr"/>
        </w:rPr>
        <w:t>ssistance internationale, rapports périodiques) ou (d) la mise en place d</w:t>
      </w:r>
      <w:r w:rsidR="00F225D8">
        <w:rPr>
          <w:rFonts w:asciiTheme="minorBidi" w:hAnsiTheme="minorBidi" w:cstheme="minorBidi"/>
          <w:sz w:val="18"/>
          <w:szCs w:val="18"/>
          <w:lang w:val="fr"/>
        </w:rPr>
        <w:t>’</w:t>
      </w:r>
      <w:r>
        <w:rPr>
          <w:rFonts w:asciiTheme="minorBidi" w:hAnsiTheme="minorBidi" w:cstheme="minorBidi"/>
          <w:sz w:val="18"/>
          <w:szCs w:val="18"/>
          <w:lang w:val="fr"/>
        </w:rPr>
        <w:t xml:space="preserve">une plateforme en ligne modérée pour partager les bonnes expériences de sauvegarde (voir le document </w:t>
      </w:r>
      <w:hyperlink r:id="rId3" w:history="1">
        <w:r w:rsidRPr="00FC5F9B">
          <w:rPr>
            <w:rStyle w:val="Hyperlink"/>
            <w:rFonts w:asciiTheme="minorBidi" w:hAnsiTheme="minorBidi" w:cstheme="minorBidi"/>
            <w:sz w:val="18"/>
            <w:szCs w:val="18"/>
            <w:lang w:val="fr"/>
          </w:rPr>
          <w:t>LHE/24/19.COM/10</w:t>
        </w:r>
      </w:hyperlink>
      <w:r>
        <w:rPr>
          <w:rFonts w:asciiTheme="minorBidi" w:hAnsiTheme="minorBidi" w:cstheme="minorBidi"/>
          <w:sz w:val="18"/>
          <w:szCs w:val="18"/>
          <w:lang w:val="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428AF66F" w:rsidR="00D95C4C" w:rsidRPr="00C23A97" w:rsidRDefault="00C5776D" w:rsidP="00C5776D">
    <w:pPr>
      <w:pStyle w:val="Header"/>
      <w:rPr>
        <w:rFonts w:ascii="Arial" w:hAnsi="Arial" w:cs="Arial"/>
      </w:rPr>
    </w:pPr>
    <w:r>
      <w:rPr>
        <w:rFonts w:ascii="Arial" w:hAnsi="Arial" w:cs="Arial"/>
        <w:sz w:val="20"/>
        <w:szCs w:val="20"/>
        <w:lang w:val="fr"/>
      </w:rPr>
      <w:t xml:space="preserve">LHE/24/19.COM/15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2</w:t>
    </w:r>
    <w:r>
      <w:rPr>
        <w:rStyle w:val="PageNumber"/>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1166DA12" w:rsidR="00D95C4C" w:rsidRPr="0063300C" w:rsidRDefault="00C5776D" w:rsidP="00C5776D">
    <w:pPr>
      <w:pStyle w:val="Header"/>
      <w:jc w:val="right"/>
      <w:rPr>
        <w:rFonts w:ascii="Arial" w:hAnsi="Arial" w:cs="Arial"/>
      </w:rPr>
    </w:pPr>
    <w:r>
      <w:rPr>
        <w:rFonts w:ascii="Arial" w:hAnsi="Arial" w:cs="Arial"/>
        <w:sz w:val="20"/>
        <w:szCs w:val="20"/>
        <w:lang w:val="fr"/>
      </w:rPr>
      <w:t xml:space="preserve">LHE/24/19.COM/15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3</w:t>
    </w:r>
    <w:r>
      <w:rPr>
        <w:rStyle w:val="PageNumber"/>
        <w:rFonts w:ascii="Arial" w:hAnsi="Arial" w:cs="Arial"/>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254BEA3B" w:rsidR="00D95C4C" w:rsidRPr="00E95AE2" w:rsidRDefault="00A46D2D">
    <w:pPr>
      <w:pStyle w:val="Header"/>
      <w:rPr>
        <w:sz w:val="22"/>
        <w:szCs w:val="22"/>
      </w:rPr>
    </w:pPr>
    <w:r>
      <w:rPr>
        <w:rFonts w:ascii="Arial" w:hAnsi="Arial" w:cs="Arial"/>
        <w:b/>
        <w:noProof/>
        <w:sz w:val="44"/>
        <w:szCs w:val="44"/>
        <w:lang w:val="pt-PT"/>
      </w:rPr>
      <w:drawing>
        <wp:anchor distT="0" distB="0" distL="114300" distR="114300" simplePos="0" relativeHeight="251661312" behindDoc="0" locked="0" layoutInCell="1" allowOverlap="1" wp14:anchorId="3A12619C" wp14:editId="2CC65838">
          <wp:simplePos x="0" y="0"/>
          <wp:positionH relativeFrom="margin">
            <wp:align>left</wp:align>
          </wp:positionH>
          <wp:positionV relativeFrom="paragraph">
            <wp:posOffset>22315</wp:posOffset>
          </wp:positionV>
          <wp:extent cx="1710000" cy="1436138"/>
          <wp:effectExtent l="0" t="0" r="5080" b="0"/>
          <wp:wrapSquare wrapText="bothSides"/>
          <wp:docPr id="279993233" name="Image 279993233"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93233" name="Image 279993233"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D7105A" w:rsidRDefault="00337CEB" w:rsidP="00C5776D">
    <w:pPr>
      <w:pStyle w:val="Header"/>
      <w:spacing w:after="520"/>
      <w:jc w:val="right"/>
      <w:rPr>
        <w:rFonts w:ascii="Arial" w:hAnsi="Arial" w:cs="Arial"/>
        <w:b/>
        <w:sz w:val="44"/>
        <w:szCs w:val="44"/>
      </w:rPr>
    </w:pPr>
    <w:r>
      <w:rPr>
        <w:rFonts w:ascii="Arial" w:hAnsi="Arial" w:cs="Arial"/>
        <w:b/>
        <w:bCs/>
        <w:sz w:val="44"/>
        <w:szCs w:val="44"/>
        <w:lang w:val="fr"/>
      </w:rPr>
      <w:t>19 COM</w:t>
    </w:r>
  </w:p>
  <w:p w14:paraId="306484B8" w14:textId="154BEFF3" w:rsidR="00D95C4C" w:rsidRPr="00D7105A" w:rsidRDefault="00C5776D" w:rsidP="00C5776D">
    <w:pPr>
      <w:jc w:val="right"/>
      <w:rPr>
        <w:rFonts w:ascii="Arial" w:hAnsi="Arial" w:cs="Arial"/>
        <w:b/>
        <w:sz w:val="22"/>
        <w:szCs w:val="22"/>
      </w:rPr>
    </w:pPr>
    <w:r>
      <w:rPr>
        <w:rFonts w:ascii="Arial" w:hAnsi="Arial" w:cs="Arial"/>
        <w:b/>
        <w:bCs/>
        <w:sz w:val="22"/>
        <w:szCs w:val="22"/>
        <w:lang w:val="fr"/>
      </w:rPr>
      <w:t>LHE/24/19.COM/15</w:t>
    </w:r>
  </w:p>
  <w:p w14:paraId="1B4446C3" w14:textId="548D5234" w:rsidR="00D95C4C" w:rsidRPr="00D7105A" w:rsidRDefault="00D95C4C" w:rsidP="00655736">
    <w:pPr>
      <w:jc w:val="right"/>
      <w:rPr>
        <w:rFonts w:ascii="Arial" w:eastAsiaTheme="minorEastAsia" w:hAnsi="Arial" w:cs="Arial"/>
        <w:b/>
        <w:sz w:val="22"/>
        <w:szCs w:val="22"/>
      </w:rPr>
    </w:pPr>
    <w:r>
      <w:rPr>
        <w:rFonts w:ascii="Arial" w:hAnsi="Arial" w:cs="Arial"/>
        <w:b/>
        <w:bCs/>
        <w:sz w:val="22"/>
        <w:szCs w:val="22"/>
        <w:lang w:val="fr"/>
      </w:rPr>
      <w:t>Paris, le 4 novembre 2024</w:t>
    </w:r>
  </w:p>
  <w:p w14:paraId="255B57FF" w14:textId="67A760B0" w:rsidR="00D95C4C" w:rsidRPr="00F32C23" w:rsidRDefault="00D95C4C" w:rsidP="00962034">
    <w:pPr>
      <w:spacing w:after="120"/>
      <w:jc w:val="right"/>
      <w:rPr>
        <w:rFonts w:ascii="Arial" w:hAnsi="Arial" w:cs="Arial"/>
        <w:b/>
        <w:sz w:val="22"/>
        <w:szCs w:val="22"/>
      </w:rPr>
    </w:pPr>
    <w:r>
      <w:rPr>
        <w:rFonts w:ascii="Arial" w:hAnsi="Arial" w:cs="Arial"/>
        <w:b/>
        <w:bCs/>
        <w:sz w:val="22"/>
        <w:szCs w:val="22"/>
        <w:lang w:val="fr"/>
      </w:rPr>
      <w:t>Original : anglais</w:t>
    </w:r>
  </w:p>
  <w:p w14:paraId="3C4B8B1B" w14:textId="77777777" w:rsidR="00D95C4C" w:rsidRPr="00E95AE2"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EC0"/>
    <w:multiLevelType w:val="hybridMultilevel"/>
    <w:tmpl w:val="29E8256E"/>
    <w:lvl w:ilvl="0" w:tplc="DFC65752">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3D28"/>
    <w:multiLevelType w:val="hybridMultilevel"/>
    <w:tmpl w:val="DD96557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B32318B"/>
    <w:multiLevelType w:val="multilevel"/>
    <w:tmpl w:val="8ADECE3C"/>
    <w:styleLink w:val="CurrentList1"/>
    <w:lvl w:ilvl="0">
      <w:start w:val="1"/>
      <w:numFmt w:val="decimal"/>
      <w:lvlText w:val="%1."/>
      <w:lvlJc w:val="left"/>
      <w:pPr>
        <w:ind w:left="360" w:hanging="360"/>
      </w:pPr>
      <w:rPr>
        <w:rFonts w:ascii="Arial" w:eastAsia="Times New Roman" w:hAnsi="Arial" w:cs="Arial"/>
        <w:b w:val="0"/>
        <w:bCs w:val="0"/>
        <w:sz w:val="22"/>
        <w:szCs w:val="22"/>
      </w:rPr>
    </w:lvl>
    <w:lvl w:ilvl="1">
      <w:start w:val="1"/>
      <w:numFmt w:val="upperLetter"/>
      <w:lvlText w:val="%2)"/>
      <w:lvlJc w:val="left"/>
      <w:pPr>
        <w:ind w:left="1080" w:hanging="360"/>
      </w:pPr>
      <w:rPr>
        <w:rFonts w:ascii="Arial" w:eastAsia="Times New Roman"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27C407B"/>
    <w:multiLevelType w:val="hybridMultilevel"/>
    <w:tmpl w:val="307A1EA8"/>
    <w:lvl w:ilvl="0" w:tplc="E3A6EF62">
      <w:start w:val="1"/>
      <w:numFmt w:val="decimal"/>
      <w:lvlText w:val="%1."/>
      <w:lvlJc w:val="left"/>
      <w:pPr>
        <w:ind w:left="2220" w:hanging="360"/>
      </w:pPr>
      <w:rPr>
        <w:rFonts w:ascii="Arial" w:eastAsia="Times New Roman" w:hAnsi="Arial" w:cs="Arial"/>
        <w:b w:val="0"/>
        <w:bCs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3B95D6A"/>
    <w:multiLevelType w:val="multilevel"/>
    <w:tmpl w:val="0BCCF9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D1C0A"/>
    <w:multiLevelType w:val="hybridMultilevel"/>
    <w:tmpl w:val="58D2EB40"/>
    <w:lvl w:ilvl="0" w:tplc="B6A42DD8">
      <w:start w:val="4"/>
      <w:numFmt w:val="upperRoman"/>
      <w:lvlText w:val="%1."/>
      <w:lvlJc w:val="righ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C7C22"/>
    <w:multiLevelType w:val="hybridMultilevel"/>
    <w:tmpl w:val="DFF2D154"/>
    <w:lvl w:ilvl="0" w:tplc="B776D396">
      <w:start w:val="1"/>
      <w:numFmt w:val="decimal"/>
      <w:lvlText w:val="%1."/>
      <w:lvlJc w:val="left"/>
      <w:pPr>
        <w:ind w:left="1287" w:hanging="360"/>
      </w:pPr>
      <w:rPr>
        <w:rFonts w:hint="default"/>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A751EB5"/>
    <w:multiLevelType w:val="hybridMultilevel"/>
    <w:tmpl w:val="78B669DA"/>
    <w:lvl w:ilvl="0" w:tplc="35985E18">
      <w:start w:val="1"/>
      <w:numFmt w:val="bullet"/>
      <w:lvlText w:val=""/>
      <w:lvlJc w:val="left"/>
      <w:pPr>
        <w:tabs>
          <w:tab w:val="num" w:pos="720"/>
        </w:tabs>
        <w:ind w:left="720" w:hanging="360"/>
      </w:pPr>
      <w:rPr>
        <w:rFonts w:ascii="Wingdings" w:hAnsi="Wingdings" w:hint="default"/>
      </w:rPr>
    </w:lvl>
    <w:lvl w:ilvl="1" w:tplc="35D477C2">
      <w:start w:val="1"/>
      <w:numFmt w:val="bullet"/>
      <w:lvlText w:val=""/>
      <w:lvlJc w:val="left"/>
      <w:pPr>
        <w:tabs>
          <w:tab w:val="num" w:pos="1440"/>
        </w:tabs>
        <w:ind w:left="1440" w:hanging="360"/>
      </w:pPr>
      <w:rPr>
        <w:rFonts w:ascii="Wingdings" w:hAnsi="Wingdings" w:hint="default"/>
      </w:rPr>
    </w:lvl>
    <w:lvl w:ilvl="2" w:tplc="DAF6B0C6" w:tentative="1">
      <w:start w:val="1"/>
      <w:numFmt w:val="bullet"/>
      <w:lvlText w:val=""/>
      <w:lvlJc w:val="left"/>
      <w:pPr>
        <w:tabs>
          <w:tab w:val="num" w:pos="2160"/>
        </w:tabs>
        <w:ind w:left="2160" w:hanging="360"/>
      </w:pPr>
      <w:rPr>
        <w:rFonts w:ascii="Wingdings" w:hAnsi="Wingdings" w:hint="default"/>
      </w:rPr>
    </w:lvl>
    <w:lvl w:ilvl="3" w:tplc="4A309F08" w:tentative="1">
      <w:start w:val="1"/>
      <w:numFmt w:val="bullet"/>
      <w:lvlText w:val=""/>
      <w:lvlJc w:val="left"/>
      <w:pPr>
        <w:tabs>
          <w:tab w:val="num" w:pos="2880"/>
        </w:tabs>
        <w:ind w:left="2880" w:hanging="360"/>
      </w:pPr>
      <w:rPr>
        <w:rFonts w:ascii="Wingdings" w:hAnsi="Wingdings" w:hint="default"/>
      </w:rPr>
    </w:lvl>
    <w:lvl w:ilvl="4" w:tplc="82D232AA" w:tentative="1">
      <w:start w:val="1"/>
      <w:numFmt w:val="bullet"/>
      <w:lvlText w:val=""/>
      <w:lvlJc w:val="left"/>
      <w:pPr>
        <w:tabs>
          <w:tab w:val="num" w:pos="3600"/>
        </w:tabs>
        <w:ind w:left="3600" w:hanging="360"/>
      </w:pPr>
      <w:rPr>
        <w:rFonts w:ascii="Wingdings" w:hAnsi="Wingdings" w:hint="default"/>
      </w:rPr>
    </w:lvl>
    <w:lvl w:ilvl="5" w:tplc="0E2E7F52" w:tentative="1">
      <w:start w:val="1"/>
      <w:numFmt w:val="bullet"/>
      <w:lvlText w:val=""/>
      <w:lvlJc w:val="left"/>
      <w:pPr>
        <w:tabs>
          <w:tab w:val="num" w:pos="4320"/>
        </w:tabs>
        <w:ind w:left="4320" w:hanging="360"/>
      </w:pPr>
      <w:rPr>
        <w:rFonts w:ascii="Wingdings" w:hAnsi="Wingdings" w:hint="default"/>
      </w:rPr>
    </w:lvl>
    <w:lvl w:ilvl="6" w:tplc="D1623F42" w:tentative="1">
      <w:start w:val="1"/>
      <w:numFmt w:val="bullet"/>
      <w:lvlText w:val=""/>
      <w:lvlJc w:val="left"/>
      <w:pPr>
        <w:tabs>
          <w:tab w:val="num" w:pos="5040"/>
        </w:tabs>
        <w:ind w:left="5040" w:hanging="360"/>
      </w:pPr>
      <w:rPr>
        <w:rFonts w:ascii="Wingdings" w:hAnsi="Wingdings" w:hint="default"/>
      </w:rPr>
    </w:lvl>
    <w:lvl w:ilvl="7" w:tplc="1200EB3A" w:tentative="1">
      <w:start w:val="1"/>
      <w:numFmt w:val="bullet"/>
      <w:lvlText w:val=""/>
      <w:lvlJc w:val="left"/>
      <w:pPr>
        <w:tabs>
          <w:tab w:val="num" w:pos="5760"/>
        </w:tabs>
        <w:ind w:left="5760" w:hanging="360"/>
      </w:pPr>
      <w:rPr>
        <w:rFonts w:ascii="Wingdings" w:hAnsi="Wingdings" w:hint="default"/>
      </w:rPr>
    </w:lvl>
    <w:lvl w:ilvl="8" w:tplc="C6D68A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40D70"/>
    <w:multiLevelType w:val="hybridMultilevel"/>
    <w:tmpl w:val="461C23B4"/>
    <w:lvl w:ilvl="0" w:tplc="23E8F9CC">
      <w:start w:val="1"/>
      <w:numFmt w:val="upperRoman"/>
      <w:lvlText w:val="%1."/>
      <w:lvlJc w:val="right"/>
      <w:pPr>
        <w:ind w:left="50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F07BFE"/>
    <w:multiLevelType w:val="hybridMultilevel"/>
    <w:tmpl w:val="758A8EB2"/>
    <w:lvl w:ilvl="0" w:tplc="E3A6EF62">
      <w:start w:val="1"/>
      <w:numFmt w:val="decimal"/>
      <w:pStyle w:val="COMPara"/>
      <w:lvlText w:val="%1."/>
      <w:lvlJc w:val="left"/>
      <w:pPr>
        <w:ind w:left="360" w:hanging="360"/>
      </w:pPr>
      <w:rPr>
        <w:rFonts w:ascii="Arial" w:eastAsia="Times New Roman" w:hAnsi="Arial" w:cs="Arial"/>
        <w:b w:val="0"/>
        <w:bCs w:val="0"/>
      </w:rPr>
    </w:lvl>
    <w:lvl w:ilvl="1" w:tplc="04090001">
      <w:start w:val="1"/>
      <w:numFmt w:val="bullet"/>
      <w:lvlText w:val=""/>
      <w:lvlJc w:val="left"/>
      <w:pPr>
        <w:ind w:left="1080" w:hanging="360"/>
      </w:pPr>
      <w:rPr>
        <w:rFonts w:ascii="Symbol" w:hAnsi="Symbol" w:hint="default"/>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7C8437A"/>
    <w:multiLevelType w:val="hybridMultilevel"/>
    <w:tmpl w:val="D516410E"/>
    <w:lvl w:ilvl="0" w:tplc="FFFFFFFF">
      <w:start w:val="1"/>
      <w:numFmt w:val="decimal"/>
      <w:lvlText w:val="%1."/>
      <w:lvlJc w:val="left"/>
      <w:pPr>
        <w:ind w:left="2220" w:hanging="360"/>
      </w:pPr>
      <w:rPr>
        <w:rFonts w:ascii="Arial" w:eastAsia="Times New Roman" w:hAnsi="Arial" w:cs="Arial"/>
        <w:b w:val="0"/>
        <w:bCs w:val="0"/>
      </w:rPr>
    </w:lvl>
    <w:lvl w:ilvl="1" w:tplc="040C0001">
      <w:start w:val="1"/>
      <w:numFmt w:val="bullet"/>
      <w:lvlText w:val=""/>
      <w:lvlJc w:val="left"/>
      <w:pPr>
        <w:ind w:left="1710" w:hanging="360"/>
      </w:pPr>
      <w:rPr>
        <w:rFonts w:ascii="Symbol" w:hAnsi="Symbol" w:hint="default"/>
      </w:r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6" w15:restartNumberingAfterBreak="0">
    <w:nsid w:val="397A4DB1"/>
    <w:multiLevelType w:val="hybridMultilevel"/>
    <w:tmpl w:val="6F7E8F68"/>
    <w:lvl w:ilvl="0" w:tplc="CC28B64C">
      <w:start w:val="1"/>
      <w:numFmt w:val="decimal"/>
      <w:pStyle w:val="COMParaDecision"/>
      <w:lvlText w:val="%1."/>
      <w:lvlJc w:val="left"/>
      <w:pPr>
        <w:ind w:left="1287" w:hanging="360"/>
      </w:pPr>
      <w:rPr>
        <w:rFonts w:hint="default"/>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AC30BD2"/>
    <w:multiLevelType w:val="hybridMultilevel"/>
    <w:tmpl w:val="2F02E984"/>
    <w:lvl w:ilvl="0" w:tplc="DFC65752">
      <w:start w:val="1"/>
      <w:numFmt w:val="upperRoman"/>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A76525"/>
    <w:multiLevelType w:val="hybridMultilevel"/>
    <w:tmpl w:val="ACD61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15:restartNumberingAfterBreak="0">
    <w:nsid w:val="48813ECA"/>
    <w:multiLevelType w:val="hybridMultilevel"/>
    <w:tmpl w:val="DEAE511A"/>
    <w:lvl w:ilvl="0" w:tplc="CE50473E">
      <w:start w:val="10"/>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4B665812"/>
    <w:multiLevelType w:val="hybridMultilevel"/>
    <w:tmpl w:val="DE90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F4527"/>
    <w:multiLevelType w:val="hybridMultilevel"/>
    <w:tmpl w:val="6F1E5CA4"/>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AB276C"/>
    <w:multiLevelType w:val="hybridMultilevel"/>
    <w:tmpl w:val="44FCF8F6"/>
    <w:lvl w:ilvl="0" w:tplc="818094A8">
      <w:numFmt w:val="bullet"/>
      <w:lvlText w:val="-"/>
      <w:lvlJc w:val="left"/>
      <w:pPr>
        <w:ind w:left="1854" w:hanging="360"/>
      </w:pPr>
      <w:rPr>
        <w:rFonts w:ascii="Arial" w:eastAsia="SimSun" w:hAnsi="Arial" w:cs="Arial" w:hint="default"/>
        <w:b w:val="0"/>
        <w:bCs w:val="0"/>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7" w15:restartNumberingAfterBreak="0">
    <w:nsid w:val="695E7ACB"/>
    <w:multiLevelType w:val="hybridMultilevel"/>
    <w:tmpl w:val="D2B4B93A"/>
    <w:lvl w:ilvl="0" w:tplc="040C0001">
      <w:start w:val="1"/>
      <w:numFmt w:val="bullet"/>
      <w:lvlText w:val=""/>
      <w:lvlJc w:val="left"/>
      <w:pPr>
        <w:ind w:left="360" w:hanging="360"/>
      </w:pPr>
      <w:rPr>
        <w:rFonts w:ascii="Symbol" w:hAnsi="Symbol" w:hint="default"/>
        <w:b w:val="0"/>
        <w:bCs w:val="0"/>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5BA385E"/>
    <w:multiLevelType w:val="hybridMultilevel"/>
    <w:tmpl w:val="1B4E05B4"/>
    <w:lvl w:ilvl="0" w:tplc="7280F340">
      <w:start w:val="1"/>
      <w:numFmt w:val="decimal"/>
      <w:lvlText w:val="%1."/>
      <w:lvlJc w:val="left"/>
      <w:pPr>
        <w:ind w:left="360" w:hanging="360"/>
      </w:pPr>
      <w:rPr>
        <w:rFonts w:ascii="Arial" w:eastAsia="Times New Roman" w:hAnsi="Arial" w:cs="Arial"/>
        <w:b w:val="0"/>
        <w:bCs w:val="0"/>
        <w:sz w:val="22"/>
        <w:szCs w:val="22"/>
      </w:rPr>
    </w:lvl>
    <w:lvl w:ilvl="1" w:tplc="040C0017">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C0017">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7293055"/>
    <w:multiLevelType w:val="hybridMultilevel"/>
    <w:tmpl w:val="DD7EA75C"/>
    <w:lvl w:ilvl="0" w:tplc="040C0015">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7F7C15B5"/>
    <w:multiLevelType w:val="hybridMultilevel"/>
    <w:tmpl w:val="DFB25BD8"/>
    <w:lvl w:ilvl="0" w:tplc="040C0001">
      <w:start w:val="1"/>
      <w:numFmt w:val="bullet"/>
      <w:lvlText w:val=""/>
      <w:lvlJc w:val="left"/>
      <w:pPr>
        <w:ind w:left="1343" w:hanging="360"/>
      </w:pPr>
      <w:rPr>
        <w:rFonts w:ascii="Symbol" w:hAnsi="Symbol" w:hint="default"/>
      </w:rPr>
    </w:lvl>
    <w:lvl w:ilvl="1" w:tplc="040C0003" w:tentative="1">
      <w:start w:val="1"/>
      <w:numFmt w:val="bullet"/>
      <w:lvlText w:val="o"/>
      <w:lvlJc w:val="left"/>
      <w:pPr>
        <w:ind w:left="2063" w:hanging="360"/>
      </w:pPr>
      <w:rPr>
        <w:rFonts w:ascii="Courier New" w:hAnsi="Courier New" w:cs="Courier New" w:hint="default"/>
      </w:rPr>
    </w:lvl>
    <w:lvl w:ilvl="2" w:tplc="040C0005" w:tentative="1">
      <w:start w:val="1"/>
      <w:numFmt w:val="bullet"/>
      <w:lvlText w:val=""/>
      <w:lvlJc w:val="left"/>
      <w:pPr>
        <w:ind w:left="2783" w:hanging="360"/>
      </w:pPr>
      <w:rPr>
        <w:rFonts w:ascii="Wingdings" w:hAnsi="Wingdings" w:hint="default"/>
      </w:rPr>
    </w:lvl>
    <w:lvl w:ilvl="3" w:tplc="040C0001" w:tentative="1">
      <w:start w:val="1"/>
      <w:numFmt w:val="bullet"/>
      <w:lvlText w:val=""/>
      <w:lvlJc w:val="left"/>
      <w:pPr>
        <w:ind w:left="3503" w:hanging="360"/>
      </w:pPr>
      <w:rPr>
        <w:rFonts w:ascii="Symbol" w:hAnsi="Symbol" w:hint="default"/>
      </w:rPr>
    </w:lvl>
    <w:lvl w:ilvl="4" w:tplc="040C0003" w:tentative="1">
      <w:start w:val="1"/>
      <w:numFmt w:val="bullet"/>
      <w:lvlText w:val="o"/>
      <w:lvlJc w:val="left"/>
      <w:pPr>
        <w:ind w:left="4223" w:hanging="360"/>
      </w:pPr>
      <w:rPr>
        <w:rFonts w:ascii="Courier New" w:hAnsi="Courier New" w:cs="Courier New" w:hint="default"/>
      </w:rPr>
    </w:lvl>
    <w:lvl w:ilvl="5" w:tplc="040C0005" w:tentative="1">
      <w:start w:val="1"/>
      <w:numFmt w:val="bullet"/>
      <w:lvlText w:val=""/>
      <w:lvlJc w:val="left"/>
      <w:pPr>
        <w:ind w:left="4943" w:hanging="360"/>
      </w:pPr>
      <w:rPr>
        <w:rFonts w:ascii="Wingdings" w:hAnsi="Wingdings" w:hint="default"/>
      </w:rPr>
    </w:lvl>
    <w:lvl w:ilvl="6" w:tplc="040C0001" w:tentative="1">
      <w:start w:val="1"/>
      <w:numFmt w:val="bullet"/>
      <w:lvlText w:val=""/>
      <w:lvlJc w:val="left"/>
      <w:pPr>
        <w:ind w:left="5663" w:hanging="360"/>
      </w:pPr>
      <w:rPr>
        <w:rFonts w:ascii="Symbol" w:hAnsi="Symbol" w:hint="default"/>
      </w:rPr>
    </w:lvl>
    <w:lvl w:ilvl="7" w:tplc="040C0003" w:tentative="1">
      <w:start w:val="1"/>
      <w:numFmt w:val="bullet"/>
      <w:lvlText w:val="o"/>
      <w:lvlJc w:val="left"/>
      <w:pPr>
        <w:ind w:left="6383" w:hanging="360"/>
      </w:pPr>
      <w:rPr>
        <w:rFonts w:ascii="Courier New" w:hAnsi="Courier New" w:cs="Courier New" w:hint="default"/>
      </w:rPr>
    </w:lvl>
    <w:lvl w:ilvl="8" w:tplc="040C0005" w:tentative="1">
      <w:start w:val="1"/>
      <w:numFmt w:val="bullet"/>
      <w:lvlText w:val=""/>
      <w:lvlJc w:val="left"/>
      <w:pPr>
        <w:ind w:left="7103" w:hanging="360"/>
      </w:pPr>
      <w:rPr>
        <w:rFonts w:ascii="Wingdings" w:hAnsi="Wingdings" w:hint="default"/>
      </w:rPr>
    </w:lvl>
  </w:abstractNum>
  <w:num w:numId="1" w16cid:durableId="976841743">
    <w:abstractNumId w:val="24"/>
  </w:num>
  <w:num w:numId="2" w16cid:durableId="1966891796">
    <w:abstractNumId w:val="14"/>
  </w:num>
  <w:num w:numId="3" w16cid:durableId="1571453802">
    <w:abstractNumId w:val="10"/>
  </w:num>
  <w:num w:numId="4" w16cid:durableId="905796048">
    <w:abstractNumId w:val="30"/>
  </w:num>
  <w:num w:numId="5" w16cid:durableId="715542942">
    <w:abstractNumId w:val="25"/>
  </w:num>
  <w:num w:numId="6" w16cid:durableId="1301690413">
    <w:abstractNumId w:val="3"/>
  </w:num>
  <w:num w:numId="7" w16cid:durableId="723138114">
    <w:abstractNumId w:val="11"/>
  </w:num>
  <w:num w:numId="8" w16cid:durableId="414326758">
    <w:abstractNumId w:val="20"/>
  </w:num>
  <w:num w:numId="9" w16cid:durableId="489097255">
    <w:abstractNumId w:val="13"/>
  </w:num>
  <w:num w:numId="10" w16cid:durableId="2032996657">
    <w:abstractNumId w:val="16"/>
  </w:num>
  <w:num w:numId="11" w16cid:durableId="1990162243">
    <w:abstractNumId w:val="19"/>
  </w:num>
  <w:num w:numId="12" w16cid:durableId="431358500">
    <w:abstractNumId w:val="17"/>
  </w:num>
  <w:num w:numId="13" w16cid:durableId="846211199">
    <w:abstractNumId w:val="31"/>
  </w:num>
  <w:num w:numId="14" w16cid:durableId="371922269">
    <w:abstractNumId w:val="12"/>
  </w:num>
  <w:num w:numId="15" w16cid:durableId="244651037">
    <w:abstractNumId w:val="13"/>
  </w:num>
  <w:num w:numId="16" w16cid:durableId="1718314422">
    <w:abstractNumId w:val="13"/>
  </w:num>
  <w:num w:numId="17" w16cid:durableId="2087915781">
    <w:abstractNumId w:val="13"/>
  </w:num>
  <w:num w:numId="18" w16cid:durableId="414475568">
    <w:abstractNumId w:val="13"/>
  </w:num>
  <w:num w:numId="19" w16cid:durableId="1968314614">
    <w:abstractNumId w:val="13"/>
  </w:num>
  <w:num w:numId="20" w16cid:durableId="110710254">
    <w:abstractNumId w:val="13"/>
  </w:num>
  <w:num w:numId="21" w16cid:durableId="1834374880">
    <w:abstractNumId w:val="9"/>
  </w:num>
  <w:num w:numId="22" w16cid:durableId="60638619">
    <w:abstractNumId w:val="4"/>
  </w:num>
  <w:num w:numId="23" w16cid:durableId="702630424">
    <w:abstractNumId w:val="8"/>
  </w:num>
  <w:num w:numId="24" w16cid:durableId="1651668512">
    <w:abstractNumId w:val="29"/>
  </w:num>
  <w:num w:numId="25" w16cid:durableId="2095588190">
    <w:abstractNumId w:val="18"/>
  </w:num>
  <w:num w:numId="26" w16cid:durableId="1665891973">
    <w:abstractNumId w:val="0"/>
  </w:num>
  <w:num w:numId="27" w16cid:durableId="409931686">
    <w:abstractNumId w:val="6"/>
  </w:num>
  <w:num w:numId="28" w16cid:durableId="1307398000">
    <w:abstractNumId w:val="22"/>
  </w:num>
  <w:num w:numId="29" w16cid:durableId="1453940067">
    <w:abstractNumId w:val="16"/>
    <w:lvlOverride w:ilvl="0">
      <w:startOverride w:val="1"/>
    </w:lvlOverride>
  </w:num>
  <w:num w:numId="30" w16cid:durableId="1427992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0961273">
    <w:abstractNumId w:val="26"/>
  </w:num>
  <w:num w:numId="32" w16cid:durableId="1038699760">
    <w:abstractNumId w:val="28"/>
  </w:num>
  <w:num w:numId="33" w16cid:durableId="687680955">
    <w:abstractNumId w:val="13"/>
  </w:num>
  <w:num w:numId="34" w16cid:durableId="1409696418">
    <w:abstractNumId w:val="13"/>
  </w:num>
  <w:num w:numId="35" w16cid:durableId="1793132207">
    <w:abstractNumId w:val="13"/>
  </w:num>
  <w:num w:numId="36" w16cid:durableId="2096778171">
    <w:abstractNumId w:val="13"/>
  </w:num>
  <w:num w:numId="37" w16cid:durableId="1012224500">
    <w:abstractNumId w:val="13"/>
  </w:num>
  <w:num w:numId="38" w16cid:durableId="1673217810">
    <w:abstractNumId w:val="13"/>
  </w:num>
  <w:num w:numId="39" w16cid:durableId="1505364309">
    <w:abstractNumId w:val="13"/>
  </w:num>
  <w:num w:numId="40" w16cid:durableId="359862705">
    <w:abstractNumId w:val="13"/>
  </w:num>
  <w:num w:numId="41" w16cid:durableId="1797941352">
    <w:abstractNumId w:val="13"/>
  </w:num>
  <w:num w:numId="42" w16cid:durableId="1985162538">
    <w:abstractNumId w:val="13"/>
  </w:num>
  <w:num w:numId="43" w16cid:durableId="1831940625">
    <w:abstractNumId w:val="13"/>
  </w:num>
  <w:num w:numId="44" w16cid:durableId="373038502">
    <w:abstractNumId w:val="13"/>
  </w:num>
  <w:num w:numId="45" w16cid:durableId="1554467027">
    <w:abstractNumId w:val="7"/>
  </w:num>
  <w:num w:numId="46" w16cid:durableId="1487430929">
    <w:abstractNumId w:val="13"/>
  </w:num>
  <w:num w:numId="47" w16cid:durableId="53311219">
    <w:abstractNumId w:val="13"/>
  </w:num>
  <w:num w:numId="48" w16cid:durableId="956914210">
    <w:abstractNumId w:val="13"/>
  </w:num>
  <w:num w:numId="49" w16cid:durableId="1262833180">
    <w:abstractNumId w:val="15"/>
  </w:num>
  <w:num w:numId="50" w16cid:durableId="645167643">
    <w:abstractNumId w:val="13"/>
  </w:num>
  <w:num w:numId="51" w16cid:durableId="387920113">
    <w:abstractNumId w:val="13"/>
  </w:num>
  <w:num w:numId="52" w16cid:durableId="900364798">
    <w:abstractNumId w:val="13"/>
  </w:num>
  <w:num w:numId="53" w16cid:durableId="1046837856">
    <w:abstractNumId w:val="13"/>
  </w:num>
  <w:num w:numId="54" w16cid:durableId="1753697144">
    <w:abstractNumId w:val="13"/>
  </w:num>
  <w:num w:numId="55" w16cid:durableId="57166528">
    <w:abstractNumId w:val="13"/>
  </w:num>
  <w:num w:numId="56" w16cid:durableId="307246034">
    <w:abstractNumId w:val="13"/>
  </w:num>
  <w:num w:numId="57" w16cid:durableId="36397806">
    <w:abstractNumId w:val="13"/>
  </w:num>
  <w:num w:numId="58" w16cid:durableId="308167870">
    <w:abstractNumId w:val="13"/>
  </w:num>
  <w:num w:numId="59" w16cid:durableId="1693720122">
    <w:abstractNumId w:val="13"/>
  </w:num>
  <w:num w:numId="60" w16cid:durableId="1051998177">
    <w:abstractNumId w:val="13"/>
  </w:num>
  <w:num w:numId="61" w16cid:durableId="409157714">
    <w:abstractNumId w:val="13"/>
  </w:num>
  <w:num w:numId="62" w16cid:durableId="1271937110">
    <w:abstractNumId w:val="2"/>
  </w:num>
  <w:num w:numId="63" w16cid:durableId="655576733">
    <w:abstractNumId w:val="13"/>
  </w:num>
  <w:num w:numId="64" w16cid:durableId="1074160892">
    <w:abstractNumId w:val="13"/>
  </w:num>
  <w:num w:numId="65" w16cid:durableId="1913541163">
    <w:abstractNumId w:val="13"/>
  </w:num>
  <w:num w:numId="66" w16cid:durableId="2109080962">
    <w:abstractNumId w:val="13"/>
  </w:num>
  <w:num w:numId="67" w16cid:durableId="1114177559">
    <w:abstractNumId w:val="13"/>
  </w:num>
  <w:num w:numId="68" w16cid:durableId="1085298745">
    <w:abstractNumId w:val="13"/>
  </w:num>
  <w:num w:numId="69" w16cid:durableId="243800571">
    <w:abstractNumId w:val="27"/>
  </w:num>
  <w:num w:numId="70" w16cid:durableId="1397125093">
    <w:abstractNumId w:val="32"/>
  </w:num>
  <w:num w:numId="71" w16cid:durableId="764837404">
    <w:abstractNumId w:val="13"/>
  </w:num>
  <w:num w:numId="72" w16cid:durableId="1572422585">
    <w:abstractNumId w:val="13"/>
  </w:num>
  <w:num w:numId="73" w16cid:durableId="1114640389">
    <w:abstractNumId w:val="16"/>
  </w:num>
  <w:num w:numId="74" w16cid:durableId="687373547">
    <w:abstractNumId w:val="5"/>
    <w:lvlOverride w:ilvl="0">
      <w:lvl w:ilvl="0">
        <w:numFmt w:val="decimal"/>
        <w:lvlText w:val="%1."/>
        <w:lvlJc w:val="left"/>
      </w:lvl>
    </w:lvlOverride>
  </w:num>
  <w:num w:numId="75" w16cid:durableId="284165616">
    <w:abstractNumId w:val="16"/>
  </w:num>
  <w:num w:numId="76" w16cid:durableId="291399503">
    <w:abstractNumId w:val="16"/>
    <w:lvlOverride w:ilvl="0">
      <w:startOverride w:val="10"/>
    </w:lvlOverride>
  </w:num>
  <w:num w:numId="77" w16cid:durableId="2042199844">
    <w:abstractNumId w:val="23"/>
  </w:num>
  <w:num w:numId="78" w16cid:durableId="26566845">
    <w:abstractNumId w:val="21"/>
  </w:num>
  <w:num w:numId="79" w16cid:durableId="853416251">
    <w:abstractNumId w:val="13"/>
  </w:num>
  <w:num w:numId="80" w16cid:durableId="263273844">
    <w:abstractNumId w:val="13"/>
  </w:num>
  <w:num w:numId="81" w16cid:durableId="1479952345">
    <w:abstractNumId w:val="13"/>
  </w:num>
  <w:num w:numId="82" w16cid:durableId="993921575">
    <w:abstractNumId w:val="13"/>
  </w:num>
  <w:num w:numId="83" w16cid:durableId="827598527">
    <w:abstractNumId w:val="13"/>
  </w:num>
  <w:num w:numId="84" w16cid:durableId="1633251502">
    <w:abstractNumId w:val="1"/>
  </w:num>
  <w:num w:numId="85" w16cid:durableId="1348016668">
    <w:abstractNumId w:val="13"/>
  </w:num>
  <w:num w:numId="86" w16cid:durableId="1611357225">
    <w:abstractNumId w:val="13"/>
  </w:num>
  <w:num w:numId="87" w16cid:durableId="1120612695">
    <w:abstractNumId w:val="13"/>
  </w:num>
  <w:num w:numId="88" w16cid:durableId="920287563">
    <w:abstractNumId w:val="13"/>
  </w:num>
  <w:num w:numId="89" w16cid:durableId="666206035">
    <w:abstractNumId w:val="13"/>
  </w:num>
  <w:num w:numId="90" w16cid:durableId="1232887068">
    <w:abstractNumId w:val="16"/>
  </w:num>
  <w:num w:numId="91" w16cid:durableId="138613128">
    <w:abstractNumId w:val="16"/>
  </w:num>
  <w:num w:numId="92" w16cid:durableId="1249925993">
    <w:abstractNumId w:val="1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315"/>
    <w:rsid w:val="000048ED"/>
    <w:rsid w:val="00014915"/>
    <w:rsid w:val="0001587B"/>
    <w:rsid w:val="00016B47"/>
    <w:rsid w:val="00021175"/>
    <w:rsid w:val="00021257"/>
    <w:rsid w:val="00025775"/>
    <w:rsid w:val="000303B2"/>
    <w:rsid w:val="00030ECA"/>
    <w:rsid w:val="00030FE7"/>
    <w:rsid w:val="00031D5F"/>
    <w:rsid w:val="0003599A"/>
    <w:rsid w:val="00036CF4"/>
    <w:rsid w:val="00040E3A"/>
    <w:rsid w:val="00041A66"/>
    <w:rsid w:val="00042D88"/>
    <w:rsid w:val="0004313C"/>
    <w:rsid w:val="000467FE"/>
    <w:rsid w:val="000475FD"/>
    <w:rsid w:val="0005176E"/>
    <w:rsid w:val="0005657F"/>
    <w:rsid w:val="00070E52"/>
    <w:rsid w:val="0007430A"/>
    <w:rsid w:val="000765F7"/>
    <w:rsid w:val="0007725F"/>
    <w:rsid w:val="00077AB7"/>
    <w:rsid w:val="00080B58"/>
    <w:rsid w:val="00081CD8"/>
    <w:rsid w:val="0009267D"/>
    <w:rsid w:val="0009776B"/>
    <w:rsid w:val="000A0D08"/>
    <w:rsid w:val="000A551A"/>
    <w:rsid w:val="000A7F0E"/>
    <w:rsid w:val="000B1C8F"/>
    <w:rsid w:val="000B5434"/>
    <w:rsid w:val="000B5702"/>
    <w:rsid w:val="000C0D61"/>
    <w:rsid w:val="000C1BC9"/>
    <w:rsid w:val="000D3CCA"/>
    <w:rsid w:val="000D5D90"/>
    <w:rsid w:val="000D6DE6"/>
    <w:rsid w:val="000E0174"/>
    <w:rsid w:val="000F3A3F"/>
    <w:rsid w:val="000F759E"/>
    <w:rsid w:val="001017BD"/>
    <w:rsid w:val="00102557"/>
    <w:rsid w:val="001035E8"/>
    <w:rsid w:val="00103AC4"/>
    <w:rsid w:val="00120950"/>
    <w:rsid w:val="00122032"/>
    <w:rsid w:val="00125DC4"/>
    <w:rsid w:val="00125E1D"/>
    <w:rsid w:val="00126766"/>
    <w:rsid w:val="00127891"/>
    <w:rsid w:val="001322EB"/>
    <w:rsid w:val="00134C44"/>
    <w:rsid w:val="0014665D"/>
    <w:rsid w:val="00147A38"/>
    <w:rsid w:val="001572E3"/>
    <w:rsid w:val="0016485B"/>
    <w:rsid w:val="00164D56"/>
    <w:rsid w:val="00165417"/>
    <w:rsid w:val="0016765A"/>
    <w:rsid w:val="00167B10"/>
    <w:rsid w:val="00170A0B"/>
    <w:rsid w:val="0017402F"/>
    <w:rsid w:val="00176366"/>
    <w:rsid w:val="00182622"/>
    <w:rsid w:val="00182EEA"/>
    <w:rsid w:val="00185A70"/>
    <w:rsid w:val="00190205"/>
    <w:rsid w:val="00191619"/>
    <w:rsid w:val="00191BCA"/>
    <w:rsid w:val="001952AD"/>
    <w:rsid w:val="00196C1B"/>
    <w:rsid w:val="001A731B"/>
    <w:rsid w:val="001B0F73"/>
    <w:rsid w:val="001C21DB"/>
    <w:rsid w:val="001C2DB7"/>
    <w:rsid w:val="001C6E85"/>
    <w:rsid w:val="001D14FE"/>
    <w:rsid w:val="001D5C04"/>
    <w:rsid w:val="001D6800"/>
    <w:rsid w:val="001D7295"/>
    <w:rsid w:val="001E24A6"/>
    <w:rsid w:val="001E2C6F"/>
    <w:rsid w:val="001F26CF"/>
    <w:rsid w:val="001F2DD6"/>
    <w:rsid w:val="002028FF"/>
    <w:rsid w:val="00203906"/>
    <w:rsid w:val="00203952"/>
    <w:rsid w:val="002075C7"/>
    <w:rsid w:val="002119A0"/>
    <w:rsid w:val="00216E9C"/>
    <w:rsid w:val="00217A2D"/>
    <w:rsid w:val="00222A2D"/>
    <w:rsid w:val="00223029"/>
    <w:rsid w:val="00224BA1"/>
    <w:rsid w:val="00234144"/>
    <w:rsid w:val="00234745"/>
    <w:rsid w:val="002351A6"/>
    <w:rsid w:val="002407AF"/>
    <w:rsid w:val="00245501"/>
    <w:rsid w:val="00246BA5"/>
    <w:rsid w:val="00250FF5"/>
    <w:rsid w:val="00253EBE"/>
    <w:rsid w:val="00254B26"/>
    <w:rsid w:val="00255B1C"/>
    <w:rsid w:val="0025751B"/>
    <w:rsid w:val="0026221A"/>
    <w:rsid w:val="00264636"/>
    <w:rsid w:val="002654FD"/>
    <w:rsid w:val="00270851"/>
    <w:rsid w:val="00272762"/>
    <w:rsid w:val="00273789"/>
    <w:rsid w:val="002739FB"/>
    <w:rsid w:val="0027466B"/>
    <w:rsid w:val="00277817"/>
    <w:rsid w:val="002814F6"/>
    <w:rsid w:val="002838A5"/>
    <w:rsid w:val="00285BB4"/>
    <w:rsid w:val="002A1027"/>
    <w:rsid w:val="002A6913"/>
    <w:rsid w:val="002B16EE"/>
    <w:rsid w:val="002B6B60"/>
    <w:rsid w:val="002C09E3"/>
    <w:rsid w:val="002C1328"/>
    <w:rsid w:val="002C1459"/>
    <w:rsid w:val="002C2B43"/>
    <w:rsid w:val="002C61A8"/>
    <w:rsid w:val="002C6A2C"/>
    <w:rsid w:val="002D0772"/>
    <w:rsid w:val="002D1244"/>
    <w:rsid w:val="002D12D8"/>
    <w:rsid w:val="002D7813"/>
    <w:rsid w:val="002F3FAD"/>
    <w:rsid w:val="00303120"/>
    <w:rsid w:val="0030572D"/>
    <w:rsid w:val="00306C9B"/>
    <w:rsid w:val="00315AFA"/>
    <w:rsid w:val="00331A63"/>
    <w:rsid w:val="00334575"/>
    <w:rsid w:val="0033667E"/>
    <w:rsid w:val="00337924"/>
    <w:rsid w:val="00337CEB"/>
    <w:rsid w:val="00344B58"/>
    <w:rsid w:val="0034539A"/>
    <w:rsid w:val="00345CB4"/>
    <w:rsid w:val="00347E59"/>
    <w:rsid w:val="00350DEA"/>
    <w:rsid w:val="00351D51"/>
    <w:rsid w:val="003602CD"/>
    <w:rsid w:val="00360404"/>
    <w:rsid w:val="003622E3"/>
    <w:rsid w:val="00363BFF"/>
    <w:rsid w:val="00364A4A"/>
    <w:rsid w:val="0036552E"/>
    <w:rsid w:val="003733FD"/>
    <w:rsid w:val="00375D42"/>
    <w:rsid w:val="00382280"/>
    <w:rsid w:val="00387EA7"/>
    <w:rsid w:val="00387F87"/>
    <w:rsid w:val="003957D6"/>
    <w:rsid w:val="00395DFB"/>
    <w:rsid w:val="003A2DA2"/>
    <w:rsid w:val="003A41F3"/>
    <w:rsid w:val="003A648F"/>
    <w:rsid w:val="003B2A90"/>
    <w:rsid w:val="003B7299"/>
    <w:rsid w:val="003D069C"/>
    <w:rsid w:val="003D7646"/>
    <w:rsid w:val="003E0A90"/>
    <w:rsid w:val="003E3562"/>
    <w:rsid w:val="003F0748"/>
    <w:rsid w:val="003F113A"/>
    <w:rsid w:val="003F3E63"/>
    <w:rsid w:val="003F49CE"/>
    <w:rsid w:val="00404807"/>
    <w:rsid w:val="00405D3F"/>
    <w:rsid w:val="00405F3C"/>
    <w:rsid w:val="00407480"/>
    <w:rsid w:val="00411F40"/>
    <w:rsid w:val="00414643"/>
    <w:rsid w:val="00421E75"/>
    <w:rsid w:val="004313C4"/>
    <w:rsid w:val="004321CD"/>
    <w:rsid w:val="00441822"/>
    <w:rsid w:val="0044190A"/>
    <w:rsid w:val="00441F8B"/>
    <w:rsid w:val="004421E5"/>
    <w:rsid w:val="004508C9"/>
    <w:rsid w:val="00452284"/>
    <w:rsid w:val="00455FE3"/>
    <w:rsid w:val="00457C8E"/>
    <w:rsid w:val="0046395E"/>
    <w:rsid w:val="00465C1B"/>
    <w:rsid w:val="00471AEC"/>
    <w:rsid w:val="00480175"/>
    <w:rsid w:val="0048173D"/>
    <w:rsid w:val="004856CA"/>
    <w:rsid w:val="00485C52"/>
    <w:rsid w:val="00487E67"/>
    <w:rsid w:val="004906B7"/>
    <w:rsid w:val="00490A48"/>
    <w:rsid w:val="004921A5"/>
    <w:rsid w:val="0049705E"/>
    <w:rsid w:val="004A2875"/>
    <w:rsid w:val="004A34A0"/>
    <w:rsid w:val="004B68AA"/>
    <w:rsid w:val="004B7537"/>
    <w:rsid w:val="004C04E5"/>
    <w:rsid w:val="004C4A81"/>
    <w:rsid w:val="004C5A4B"/>
    <w:rsid w:val="004C7C82"/>
    <w:rsid w:val="004D7EB1"/>
    <w:rsid w:val="004E0535"/>
    <w:rsid w:val="004E4985"/>
    <w:rsid w:val="004F582F"/>
    <w:rsid w:val="005008A8"/>
    <w:rsid w:val="005020AB"/>
    <w:rsid w:val="0050214A"/>
    <w:rsid w:val="0050556C"/>
    <w:rsid w:val="00514AD8"/>
    <w:rsid w:val="00517FD8"/>
    <w:rsid w:val="00522AB4"/>
    <w:rsid w:val="00523D13"/>
    <w:rsid w:val="00524FD1"/>
    <w:rsid w:val="00526B7B"/>
    <w:rsid w:val="005274D2"/>
    <w:rsid w:val="005308CE"/>
    <w:rsid w:val="0053318C"/>
    <w:rsid w:val="00572781"/>
    <w:rsid w:val="0057439C"/>
    <w:rsid w:val="005834D0"/>
    <w:rsid w:val="00591E64"/>
    <w:rsid w:val="005960FA"/>
    <w:rsid w:val="005A0650"/>
    <w:rsid w:val="005A58F4"/>
    <w:rsid w:val="005A5DA2"/>
    <w:rsid w:val="005A6684"/>
    <w:rsid w:val="005A6833"/>
    <w:rsid w:val="005B0127"/>
    <w:rsid w:val="005B2D4A"/>
    <w:rsid w:val="005B4AEB"/>
    <w:rsid w:val="005B7A35"/>
    <w:rsid w:val="005C4B73"/>
    <w:rsid w:val="005D1D09"/>
    <w:rsid w:val="005D7C31"/>
    <w:rsid w:val="005D7DBA"/>
    <w:rsid w:val="005E064D"/>
    <w:rsid w:val="005E1D2B"/>
    <w:rsid w:val="005E3DBA"/>
    <w:rsid w:val="005E7074"/>
    <w:rsid w:val="005E79EB"/>
    <w:rsid w:val="005F2BAF"/>
    <w:rsid w:val="005F3B76"/>
    <w:rsid w:val="00600341"/>
    <w:rsid w:val="00600D93"/>
    <w:rsid w:val="006077FA"/>
    <w:rsid w:val="00607F8E"/>
    <w:rsid w:val="006157DA"/>
    <w:rsid w:val="00616D14"/>
    <w:rsid w:val="006204FD"/>
    <w:rsid w:val="00626BEA"/>
    <w:rsid w:val="00626F65"/>
    <w:rsid w:val="006279F3"/>
    <w:rsid w:val="00632D80"/>
    <w:rsid w:val="0063300C"/>
    <w:rsid w:val="006348EB"/>
    <w:rsid w:val="00636760"/>
    <w:rsid w:val="00640478"/>
    <w:rsid w:val="006448FF"/>
    <w:rsid w:val="00645076"/>
    <w:rsid w:val="00651A5B"/>
    <w:rsid w:val="0065446D"/>
    <w:rsid w:val="00654BA7"/>
    <w:rsid w:val="00655736"/>
    <w:rsid w:val="00657A1A"/>
    <w:rsid w:val="006603D8"/>
    <w:rsid w:val="00663B8D"/>
    <w:rsid w:val="006671FF"/>
    <w:rsid w:val="00674F48"/>
    <w:rsid w:val="006762F1"/>
    <w:rsid w:val="00676623"/>
    <w:rsid w:val="006776E5"/>
    <w:rsid w:val="00677D2F"/>
    <w:rsid w:val="006823ED"/>
    <w:rsid w:val="00682D4D"/>
    <w:rsid w:val="00687164"/>
    <w:rsid w:val="00690E08"/>
    <w:rsid w:val="006917E8"/>
    <w:rsid w:val="00693578"/>
    <w:rsid w:val="00693C9E"/>
    <w:rsid w:val="00694917"/>
    <w:rsid w:val="00695BD9"/>
    <w:rsid w:val="00696C8D"/>
    <w:rsid w:val="006A2AC2"/>
    <w:rsid w:val="006A3617"/>
    <w:rsid w:val="006A4F2C"/>
    <w:rsid w:val="006A72D9"/>
    <w:rsid w:val="006A79D4"/>
    <w:rsid w:val="006B012D"/>
    <w:rsid w:val="006B2548"/>
    <w:rsid w:val="006B39BC"/>
    <w:rsid w:val="006B4452"/>
    <w:rsid w:val="006B5BE3"/>
    <w:rsid w:val="006C3113"/>
    <w:rsid w:val="006C6203"/>
    <w:rsid w:val="006D32CA"/>
    <w:rsid w:val="006D7C79"/>
    <w:rsid w:val="006E2620"/>
    <w:rsid w:val="006E2E6C"/>
    <w:rsid w:val="006E46E4"/>
    <w:rsid w:val="006E75EB"/>
    <w:rsid w:val="006F4C9F"/>
    <w:rsid w:val="006F6FE7"/>
    <w:rsid w:val="007014F6"/>
    <w:rsid w:val="00704A1C"/>
    <w:rsid w:val="00711213"/>
    <w:rsid w:val="00714EC1"/>
    <w:rsid w:val="0071760A"/>
    <w:rsid w:val="00717DA5"/>
    <w:rsid w:val="00724438"/>
    <w:rsid w:val="007333D0"/>
    <w:rsid w:val="00740287"/>
    <w:rsid w:val="00744484"/>
    <w:rsid w:val="00747566"/>
    <w:rsid w:val="00751D56"/>
    <w:rsid w:val="007534E3"/>
    <w:rsid w:val="00755588"/>
    <w:rsid w:val="00755751"/>
    <w:rsid w:val="00762B3C"/>
    <w:rsid w:val="007711F0"/>
    <w:rsid w:val="00773188"/>
    <w:rsid w:val="007735DF"/>
    <w:rsid w:val="0077651D"/>
    <w:rsid w:val="00776893"/>
    <w:rsid w:val="00783782"/>
    <w:rsid w:val="00784B8C"/>
    <w:rsid w:val="00785303"/>
    <w:rsid w:val="007879E1"/>
    <w:rsid w:val="00796A27"/>
    <w:rsid w:val="00797766"/>
    <w:rsid w:val="007A3689"/>
    <w:rsid w:val="007A5CC1"/>
    <w:rsid w:val="007A60E5"/>
    <w:rsid w:val="007B52AC"/>
    <w:rsid w:val="007B710B"/>
    <w:rsid w:val="007C6117"/>
    <w:rsid w:val="007D478E"/>
    <w:rsid w:val="007E436C"/>
    <w:rsid w:val="007E57AA"/>
    <w:rsid w:val="007F3401"/>
    <w:rsid w:val="00800DBE"/>
    <w:rsid w:val="008058E1"/>
    <w:rsid w:val="008071E0"/>
    <w:rsid w:val="008075EA"/>
    <w:rsid w:val="00812316"/>
    <w:rsid w:val="00812AD2"/>
    <w:rsid w:val="00812D95"/>
    <w:rsid w:val="008176DC"/>
    <w:rsid w:val="00817C20"/>
    <w:rsid w:val="00823A11"/>
    <w:rsid w:val="00825FE2"/>
    <w:rsid w:val="00833725"/>
    <w:rsid w:val="00833E06"/>
    <w:rsid w:val="00837455"/>
    <w:rsid w:val="008436AC"/>
    <w:rsid w:val="0085405E"/>
    <w:rsid w:val="0085414A"/>
    <w:rsid w:val="00855CAE"/>
    <w:rsid w:val="00857EB9"/>
    <w:rsid w:val="00862498"/>
    <w:rsid w:val="0086269D"/>
    <w:rsid w:val="0086480F"/>
    <w:rsid w:val="0086543A"/>
    <w:rsid w:val="0087183B"/>
    <w:rsid w:val="008724E5"/>
    <w:rsid w:val="00875266"/>
    <w:rsid w:val="008765C9"/>
    <w:rsid w:val="0088008B"/>
    <w:rsid w:val="00884A9D"/>
    <w:rsid w:val="0088512B"/>
    <w:rsid w:val="00892079"/>
    <w:rsid w:val="0089328A"/>
    <w:rsid w:val="00894EB0"/>
    <w:rsid w:val="008A1B4B"/>
    <w:rsid w:val="008A2B2D"/>
    <w:rsid w:val="008A4E1E"/>
    <w:rsid w:val="008A54C7"/>
    <w:rsid w:val="008A6458"/>
    <w:rsid w:val="008B068F"/>
    <w:rsid w:val="008B1DC3"/>
    <w:rsid w:val="008B5624"/>
    <w:rsid w:val="008C04BC"/>
    <w:rsid w:val="008C296C"/>
    <w:rsid w:val="008D4305"/>
    <w:rsid w:val="008D6DE6"/>
    <w:rsid w:val="008E1A85"/>
    <w:rsid w:val="008E344F"/>
    <w:rsid w:val="008E3BDA"/>
    <w:rsid w:val="008E44D3"/>
    <w:rsid w:val="008E5144"/>
    <w:rsid w:val="00900B23"/>
    <w:rsid w:val="0091078C"/>
    <w:rsid w:val="009163A7"/>
    <w:rsid w:val="0091655A"/>
    <w:rsid w:val="00921466"/>
    <w:rsid w:val="00922724"/>
    <w:rsid w:val="0092463B"/>
    <w:rsid w:val="00933226"/>
    <w:rsid w:val="00936BB7"/>
    <w:rsid w:val="00936DD5"/>
    <w:rsid w:val="00937D53"/>
    <w:rsid w:val="00942C77"/>
    <w:rsid w:val="00943CA4"/>
    <w:rsid w:val="00946D0B"/>
    <w:rsid w:val="00952A94"/>
    <w:rsid w:val="00955554"/>
    <w:rsid w:val="00955877"/>
    <w:rsid w:val="0096110B"/>
    <w:rsid w:val="00962034"/>
    <w:rsid w:val="00963BA4"/>
    <w:rsid w:val="00964F44"/>
    <w:rsid w:val="00966A38"/>
    <w:rsid w:val="00967B59"/>
    <w:rsid w:val="009708C3"/>
    <w:rsid w:val="00972359"/>
    <w:rsid w:val="00981E5A"/>
    <w:rsid w:val="00982EEC"/>
    <w:rsid w:val="0098464D"/>
    <w:rsid w:val="00987ABB"/>
    <w:rsid w:val="00987C59"/>
    <w:rsid w:val="0099450E"/>
    <w:rsid w:val="00996F54"/>
    <w:rsid w:val="00997CCF"/>
    <w:rsid w:val="009A18CD"/>
    <w:rsid w:val="009A27A1"/>
    <w:rsid w:val="009B5FD6"/>
    <w:rsid w:val="009C08E7"/>
    <w:rsid w:val="009C0B10"/>
    <w:rsid w:val="009C24A8"/>
    <w:rsid w:val="009C251A"/>
    <w:rsid w:val="009C2C41"/>
    <w:rsid w:val="009C6017"/>
    <w:rsid w:val="009D2B9E"/>
    <w:rsid w:val="009D5428"/>
    <w:rsid w:val="009E0E01"/>
    <w:rsid w:val="009E1A46"/>
    <w:rsid w:val="009E305D"/>
    <w:rsid w:val="009F14AF"/>
    <w:rsid w:val="009F7F38"/>
    <w:rsid w:val="00A06047"/>
    <w:rsid w:val="00A12558"/>
    <w:rsid w:val="00A12DCE"/>
    <w:rsid w:val="00A13903"/>
    <w:rsid w:val="00A14FFC"/>
    <w:rsid w:val="00A17E98"/>
    <w:rsid w:val="00A24DC4"/>
    <w:rsid w:val="00A26801"/>
    <w:rsid w:val="00A34533"/>
    <w:rsid w:val="00A34ED5"/>
    <w:rsid w:val="00A428F6"/>
    <w:rsid w:val="00A42972"/>
    <w:rsid w:val="00A44A08"/>
    <w:rsid w:val="00A45DBF"/>
    <w:rsid w:val="00A46D2D"/>
    <w:rsid w:val="00A47CE0"/>
    <w:rsid w:val="00A511C8"/>
    <w:rsid w:val="00A52D36"/>
    <w:rsid w:val="00A53D34"/>
    <w:rsid w:val="00A559EA"/>
    <w:rsid w:val="00A616B7"/>
    <w:rsid w:val="00A62078"/>
    <w:rsid w:val="00A725CF"/>
    <w:rsid w:val="00A755A2"/>
    <w:rsid w:val="00A76B41"/>
    <w:rsid w:val="00A84898"/>
    <w:rsid w:val="00A84D5A"/>
    <w:rsid w:val="00A86E3C"/>
    <w:rsid w:val="00A86F9C"/>
    <w:rsid w:val="00A91430"/>
    <w:rsid w:val="00A92B5E"/>
    <w:rsid w:val="00A93C39"/>
    <w:rsid w:val="00AA590D"/>
    <w:rsid w:val="00AA6660"/>
    <w:rsid w:val="00AB1B9A"/>
    <w:rsid w:val="00AB2447"/>
    <w:rsid w:val="00AB2C36"/>
    <w:rsid w:val="00AB6DDE"/>
    <w:rsid w:val="00AB70B6"/>
    <w:rsid w:val="00AC18C1"/>
    <w:rsid w:val="00AC2EF5"/>
    <w:rsid w:val="00AC3C86"/>
    <w:rsid w:val="00AD1A86"/>
    <w:rsid w:val="00AD561C"/>
    <w:rsid w:val="00AD5C46"/>
    <w:rsid w:val="00AD5D0E"/>
    <w:rsid w:val="00AD7227"/>
    <w:rsid w:val="00AD72D3"/>
    <w:rsid w:val="00AE0ABF"/>
    <w:rsid w:val="00AE103E"/>
    <w:rsid w:val="00AE2EAA"/>
    <w:rsid w:val="00AF0A07"/>
    <w:rsid w:val="00AF176C"/>
    <w:rsid w:val="00AF3B15"/>
    <w:rsid w:val="00AF4AEC"/>
    <w:rsid w:val="00AF625E"/>
    <w:rsid w:val="00B0354D"/>
    <w:rsid w:val="00B139BE"/>
    <w:rsid w:val="00B1416A"/>
    <w:rsid w:val="00B2172B"/>
    <w:rsid w:val="00B32C4C"/>
    <w:rsid w:val="00B34428"/>
    <w:rsid w:val="00B35A9E"/>
    <w:rsid w:val="00B3753B"/>
    <w:rsid w:val="00B457FA"/>
    <w:rsid w:val="00B47291"/>
    <w:rsid w:val="00B54595"/>
    <w:rsid w:val="00B56210"/>
    <w:rsid w:val="00B5709C"/>
    <w:rsid w:val="00B75855"/>
    <w:rsid w:val="00B83395"/>
    <w:rsid w:val="00B917D2"/>
    <w:rsid w:val="00B92420"/>
    <w:rsid w:val="00B93089"/>
    <w:rsid w:val="00B94EC3"/>
    <w:rsid w:val="00B956ED"/>
    <w:rsid w:val="00B97EB3"/>
    <w:rsid w:val="00BA241A"/>
    <w:rsid w:val="00BA6C0F"/>
    <w:rsid w:val="00BA7E81"/>
    <w:rsid w:val="00BB04AF"/>
    <w:rsid w:val="00BB1EA9"/>
    <w:rsid w:val="00BB6B7F"/>
    <w:rsid w:val="00BB6EEC"/>
    <w:rsid w:val="00BC0373"/>
    <w:rsid w:val="00BC3B11"/>
    <w:rsid w:val="00BD52C9"/>
    <w:rsid w:val="00BD7859"/>
    <w:rsid w:val="00BE6354"/>
    <w:rsid w:val="00BE73C4"/>
    <w:rsid w:val="00BF00AC"/>
    <w:rsid w:val="00BF754F"/>
    <w:rsid w:val="00C001F8"/>
    <w:rsid w:val="00C035CE"/>
    <w:rsid w:val="00C11D78"/>
    <w:rsid w:val="00C138D1"/>
    <w:rsid w:val="00C23A97"/>
    <w:rsid w:val="00C269C2"/>
    <w:rsid w:val="00C35470"/>
    <w:rsid w:val="00C360DD"/>
    <w:rsid w:val="00C518C1"/>
    <w:rsid w:val="00C52EBE"/>
    <w:rsid w:val="00C54295"/>
    <w:rsid w:val="00C55B01"/>
    <w:rsid w:val="00C55B6B"/>
    <w:rsid w:val="00C5776D"/>
    <w:rsid w:val="00C620BD"/>
    <w:rsid w:val="00C621C0"/>
    <w:rsid w:val="00C64855"/>
    <w:rsid w:val="00C70EA7"/>
    <w:rsid w:val="00C7433F"/>
    <w:rsid w:val="00C7516E"/>
    <w:rsid w:val="00C75770"/>
    <w:rsid w:val="00C75BF6"/>
    <w:rsid w:val="00C8024E"/>
    <w:rsid w:val="00C916D1"/>
    <w:rsid w:val="00C9344E"/>
    <w:rsid w:val="00C94E88"/>
    <w:rsid w:val="00CA56BB"/>
    <w:rsid w:val="00CB0542"/>
    <w:rsid w:val="00CB5EB7"/>
    <w:rsid w:val="00CC1F42"/>
    <w:rsid w:val="00CD103F"/>
    <w:rsid w:val="00CD7548"/>
    <w:rsid w:val="00CE08F7"/>
    <w:rsid w:val="00CE4ADA"/>
    <w:rsid w:val="00CE520A"/>
    <w:rsid w:val="00CE7D94"/>
    <w:rsid w:val="00CF0E67"/>
    <w:rsid w:val="00D00B2B"/>
    <w:rsid w:val="00D0198C"/>
    <w:rsid w:val="00D03C2A"/>
    <w:rsid w:val="00D056D5"/>
    <w:rsid w:val="00D05E78"/>
    <w:rsid w:val="00D14634"/>
    <w:rsid w:val="00D16E6E"/>
    <w:rsid w:val="00D1721C"/>
    <w:rsid w:val="00D17E50"/>
    <w:rsid w:val="00D210AF"/>
    <w:rsid w:val="00D23554"/>
    <w:rsid w:val="00D24877"/>
    <w:rsid w:val="00D25E62"/>
    <w:rsid w:val="00D30C68"/>
    <w:rsid w:val="00D45983"/>
    <w:rsid w:val="00D55557"/>
    <w:rsid w:val="00D57364"/>
    <w:rsid w:val="00D63318"/>
    <w:rsid w:val="00D64116"/>
    <w:rsid w:val="00D66AAF"/>
    <w:rsid w:val="00D70250"/>
    <w:rsid w:val="00D7105A"/>
    <w:rsid w:val="00D71C8B"/>
    <w:rsid w:val="00D773D6"/>
    <w:rsid w:val="00D8250F"/>
    <w:rsid w:val="00D82C7D"/>
    <w:rsid w:val="00D82D67"/>
    <w:rsid w:val="00D86BB3"/>
    <w:rsid w:val="00D94714"/>
    <w:rsid w:val="00D94B21"/>
    <w:rsid w:val="00D94C8F"/>
    <w:rsid w:val="00D95C4C"/>
    <w:rsid w:val="00D9757A"/>
    <w:rsid w:val="00DA1420"/>
    <w:rsid w:val="00DA36ED"/>
    <w:rsid w:val="00DA478F"/>
    <w:rsid w:val="00DA5D74"/>
    <w:rsid w:val="00DA6122"/>
    <w:rsid w:val="00DA7E7E"/>
    <w:rsid w:val="00DB74F4"/>
    <w:rsid w:val="00DC4448"/>
    <w:rsid w:val="00DC6614"/>
    <w:rsid w:val="00DC6BB1"/>
    <w:rsid w:val="00DD03C9"/>
    <w:rsid w:val="00DD088C"/>
    <w:rsid w:val="00DD510F"/>
    <w:rsid w:val="00DD7881"/>
    <w:rsid w:val="00DE1C86"/>
    <w:rsid w:val="00DE34F1"/>
    <w:rsid w:val="00DE4892"/>
    <w:rsid w:val="00DE52ED"/>
    <w:rsid w:val="00DE6160"/>
    <w:rsid w:val="00DF3B08"/>
    <w:rsid w:val="00DF4942"/>
    <w:rsid w:val="00E01A0E"/>
    <w:rsid w:val="00E03BF9"/>
    <w:rsid w:val="00E07300"/>
    <w:rsid w:val="00E104B4"/>
    <w:rsid w:val="00E10C20"/>
    <w:rsid w:val="00E14B90"/>
    <w:rsid w:val="00E2125F"/>
    <w:rsid w:val="00E244E1"/>
    <w:rsid w:val="00E3061D"/>
    <w:rsid w:val="00E32886"/>
    <w:rsid w:val="00E33D68"/>
    <w:rsid w:val="00E36F69"/>
    <w:rsid w:val="00E4150C"/>
    <w:rsid w:val="00E4202F"/>
    <w:rsid w:val="00E536BA"/>
    <w:rsid w:val="00E54007"/>
    <w:rsid w:val="00E54E10"/>
    <w:rsid w:val="00E5638A"/>
    <w:rsid w:val="00E627B1"/>
    <w:rsid w:val="00E70169"/>
    <w:rsid w:val="00E75215"/>
    <w:rsid w:val="00E82DB5"/>
    <w:rsid w:val="00E914AB"/>
    <w:rsid w:val="00E91A44"/>
    <w:rsid w:val="00E9376C"/>
    <w:rsid w:val="00E95AE2"/>
    <w:rsid w:val="00E97B69"/>
    <w:rsid w:val="00EA335E"/>
    <w:rsid w:val="00EA363D"/>
    <w:rsid w:val="00EA528C"/>
    <w:rsid w:val="00EA580C"/>
    <w:rsid w:val="00EB09DE"/>
    <w:rsid w:val="00EC13D2"/>
    <w:rsid w:val="00EC5821"/>
    <w:rsid w:val="00EC5849"/>
    <w:rsid w:val="00EC5E87"/>
    <w:rsid w:val="00EC6F8D"/>
    <w:rsid w:val="00ED39B2"/>
    <w:rsid w:val="00ED5734"/>
    <w:rsid w:val="00EE2B60"/>
    <w:rsid w:val="00EE2CA4"/>
    <w:rsid w:val="00EE3BCF"/>
    <w:rsid w:val="00EE49F4"/>
    <w:rsid w:val="00EE7280"/>
    <w:rsid w:val="00EF34E2"/>
    <w:rsid w:val="00EF591D"/>
    <w:rsid w:val="00EF7AA2"/>
    <w:rsid w:val="00F11521"/>
    <w:rsid w:val="00F13C47"/>
    <w:rsid w:val="00F1709D"/>
    <w:rsid w:val="00F1730F"/>
    <w:rsid w:val="00F225D8"/>
    <w:rsid w:val="00F227B9"/>
    <w:rsid w:val="00F27991"/>
    <w:rsid w:val="00F30DC6"/>
    <w:rsid w:val="00F31F96"/>
    <w:rsid w:val="00F32C23"/>
    <w:rsid w:val="00F3604C"/>
    <w:rsid w:val="00F376F0"/>
    <w:rsid w:val="00F45A6C"/>
    <w:rsid w:val="00F475E6"/>
    <w:rsid w:val="00F53CDD"/>
    <w:rsid w:val="00F53DE9"/>
    <w:rsid w:val="00F55770"/>
    <w:rsid w:val="00F576CB"/>
    <w:rsid w:val="00F6036D"/>
    <w:rsid w:val="00F608DB"/>
    <w:rsid w:val="00F64F07"/>
    <w:rsid w:val="00F65C9F"/>
    <w:rsid w:val="00F7035D"/>
    <w:rsid w:val="00F70CC5"/>
    <w:rsid w:val="00F71A02"/>
    <w:rsid w:val="00F819D4"/>
    <w:rsid w:val="00F82615"/>
    <w:rsid w:val="00FA0CD6"/>
    <w:rsid w:val="00FA0D63"/>
    <w:rsid w:val="00FA2D8C"/>
    <w:rsid w:val="00FA4ADA"/>
    <w:rsid w:val="00FA5607"/>
    <w:rsid w:val="00FA7B26"/>
    <w:rsid w:val="00FB1E6C"/>
    <w:rsid w:val="00FB40F6"/>
    <w:rsid w:val="00FB42D1"/>
    <w:rsid w:val="00FB7356"/>
    <w:rsid w:val="00FB7E2A"/>
    <w:rsid w:val="00FC4D46"/>
    <w:rsid w:val="00FC5EAF"/>
    <w:rsid w:val="00FC5F9B"/>
    <w:rsid w:val="00FD1226"/>
    <w:rsid w:val="00FD4BC8"/>
    <w:rsid w:val="00FD64C6"/>
    <w:rsid w:val="00FE2650"/>
    <w:rsid w:val="00FE3464"/>
    <w:rsid w:val="00FF13E8"/>
    <w:rsid w:val="00FF469E"/>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78F6C00F-FCF5-49FF-8ABC-DEF1B033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5F3B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of contents numbered,Normal bullet 2,Bullet list,List Paragraph1,Numbered List,1st level - Bullet List Paragraph,Lettre d'introduction,lp1,Farbige Liste - Akzent 11,List Paragraph compact,Paragraphe de liste 2,Reference list"/>
    <w:basedOn w:val="Normal"/>
    <w:link w:val="ListParagraphChar"/>
    <w:uiPriority w:val="34"/>
    <w:qFormat/>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unhideWhenUsed/>
    <w:rsid w:val="00D056D5"/>
    <w:rPr>
      <w:color w:val="0000FF" w:themeColor="hyperlink"/>
      <w:u w:val="single"/>
    </w:rPr>
  </w:style>
  <w:style w:type="character" w:styleId="UnresolvedMention">
    <w:name w:val="Unresolved Mention"/>
    <w:basedOn w:val="DefaultParagraphFont"/>
    <w:uiPriority w:val="99"/>
    <w:semiHidden/>
    <w:unhideWhenUsed/>
    <w:rsid w:val="00D056D5"/>
    <w:rPr>
      <w:color w:val="605E5C"/>
      <w:shd w:val="clear" w:color="auto" w:fill="E1DFDD"/>
    </w:rPr>
  </w:style>
  <w:style w:type="character" w:styleId="FollowedHyperlink">
    <w:name w:val="FollowedHyperlink"/>
    <w:basedOn w:val="DefaultParagraphFont"/>
    <w:uiPriority w:val="99"/>
    <w:semiHidden/>
    <w:unhideWhenUsed/>
    <w:rsid w:val="00A42972"/>
    <w:rPr>
      <w:color w:val="800080" w:themeColor="followedHyperlink"/>
      <w:u w:val="single"/>
    </w:rPr>
  </w:style>
  <w:style w:type="paragraph" w:styleId="Revision">
    <w:name w:val="Revision"/>
    <w:hidden/>
    <w:uiPriority w:val="99"/>
    <w:semiHidden/>
    <w:rsid w:val="003B7299"/>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B7299"/>
    <w:rPr>
      <w:sz w:val="16"/>
      <w:szCs w:val="16"/>
    </w:rPr>
  </w:style>
  <w:style w:type="paragraph" w:styleId="CommentText">
    <w:name w:val="annotation text"/>
    <w:basedOn w:val="Normal"/>
    <w:link w:val="CommentTextChar"/>
    <w:uiPriority w:val="99"/>
    <w:unhideWhenUsed/>
    <w:rsid w:val="003B7299"/>
    <w:rPr>
      <w:sz w:val="20"/>
      <w:szCs w:val="20"/>
    </w:rPr>
  </w:style>
  <w:style w:type="character" w:customStyle="1" w:styleId="CommentTextChar">
    <w:name w:val="Comment Text Char"/>
    <w:basedOn w:val="DefaultParagraphFont"/>
    <w:link w:val="CommentText"/>
    <w:uiPriority w:val="99"/>
    <w:rsid w:val="003B729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B7299"/>
    <w:rPr>
      <w:b/>
      <w:bCs/>
    </w:rPr>
  </w:style>
  <w:style w:type="character" w:customStyle="1" w:styleId="CommentSubjectChar">
    <w:name w:val="Comment Subject Char"/>
    <w:basedOn w:val="CommentTextChar"/>
    <w:link w:val="CommentSubject"/>
    <w:uiPriority w:val="99"/>
    <w:semiHidden/>
    <w:rsid w:val="003B7299"/>
    <w:rPr>
      <w:rFonts w:ascii="Times New Roman" w:eastAsia="Times New Roman" w:hAnsi="Times New Roman"/>
      <w:b/>
      <w:bCs/>
    </w:rPr>
  </w:style>
  <w:style w:type="paragraph" w:styleId="NormalWeb">
    <w:name w:val="Normal (Web)"/>
    <w:basedOn w:val="Normal"/>
    <w:uiPriority w:val="99"/>
    <w:semiHidden/>
    <w:unhideWhenUsed/>
    <w:rsid w:val="00943CA4"/>
  </w:style>
  <w:style w:type="character" w:customStyle="1" w:styleId="Heading1Char">
    <w:name w:val="Heading 1 Char"/>
    <w:basedOn w:val="DefaultParagraphFont"/>
    <w:link w:val="Heading1"/>
    <w:uiPriority w:val="9"/>
    <w:rsid w:val="005F3B76"/>
    <w:rPr>
      <w:rFonts w:asciiTheme="majorHAnsi" w:eastAsiaTheme="majorEastAsia" w:hAnsiTheme="majorHAnsi" w:cstheme="majorBidi"/>
      <w:color w:val="365F91" w:themeColor="accent1" w:themeShade="BF"/>
      <w:sz w:val="32"/>
      <w:szCs w:val="32"/>
    </w:rPr>
  </w:style>
  <w:style w:type="paragraph" w:customStyle="1" w:styleId="wiki-text">
    <w:name w:val="wiki-text"/>
    <w:basedOn w:val="Normal"/>
    <w:rsid w:val="0001587B"/>
    <w:pPr>
      <w:spacing w:before="100" w:beforeAutospacing="1" w:after="100" w:afterAutospacing="1"/>
    </w:pPr>
    <w:rPr>
      <w:lang w:val="en-US" w:eastAsia="zh-CN"/>
    </w:rPr>
  </w:style>
  <w:style w:type="character" w:customStyle="1" w:styleId="ListParagraphChar">
    <w:name w:val="List Paragraph Char"/>
    <w:aliases w:val="Table of contents numbered Char,Normal bullet 2 Char,Bullet list Char,List Paragraph1 Char,Numbered List Char,1st level - Bullet List Paragraph Char,Lettre d'introduction Char,lp1 Char,Farbige Liste - Akzent 11 Char"/>
    <w:link w:val="ListParagraph"/>
    <w:uiPriority w:val="34"/>
    <w:qFormat/>
    <w:locked/>
    <w:rsid w:val="00BA6C0F"/>
    <w:rPr>
      <w:rFonts w:ascii="Times New Roman" w:eastAsia="Times New Roman" w:hAnsi="Times New Roman"/>
      <w:sz w:val="24"/>
      <w:szCs w:val="24"/>
    </w:rPr>
  </w:style>
  <w:style w:type="numbering" w:customStyle="1" w:styleId="CurrentList1">
    <w:name w:val="Current List1"/>
    <w:uiPriority w:val="99"/>
    <w:rsid w:val="00687164"/>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4638">
      <w:bodyDiv w:val="1"/>
      <w:marLeft w:val="0"/>
      <w:marRight w:val="0"/>
      <w:marTop w:val="0"/>
      <w:marBottom w:val="0"/>
      <w:divBdr>
        <w:top w:val="none" w:sz="0" w:space="0" w:color="auto"/>
        <w:left w:val="none" w:sz="0" w:space="0" w:color="auto"/>
        <w:bottom w:val="none" w:sz="0" w:space="0" w:color="auto"/>
        <w:right w:val="none" w:sz="0" w:space="0" w:color="auto"/>
      </w:divBdr>
      <w:divsChild>
        <w:div w:id="28184678">
          <w:marLeft w:val="720"/>
          <w:marRight w:val="0"/>
          <w:marTop w:val="0"/>
          <w:marBottom w:val="0"/>
          <w:divBdr>
            <w:top w:val="none" w:sz="0" w:space="0" w:color="auto"/>
            <w:left w:val="none" w:sz="0" w:space="0" w:color="auto"/>
            <w:bottom w:val="none" w:sz="0" w:space="0" w:color="auto"/>
            <w:right w:val="none" w:sz="0" w:space="0" w:color="auto"/>
          </w:divBdr>
        </w:div>
        <w:div w:id="1543439324">
          <w:marLeft w:val="720"/>
          <w:marRight w:val="0"/>
          <w:marTop w:val="0"/>
          <w:marBottom w:val="0"/>
          <w:divBdr>
            <w:top w:val="none" w:sz="0" w:space="0" w:color="auto"/>
            <w:left w:val="none" w:sz="0" w:space="0" w:color="auto"/>
            <w:bottom w:val="none" w:sz="0" w:space="0" w:color="auto"/>
            <w:right w:val="none" w:sz="0" w:space="0" w:color="auto"/>
          </w:divBdr>
        </w:div>
      </w:divsChild>
    </w:div>
    <w:div w:id="270406921">
      <w:bodyDiv w:val="1"/>
      <w:marLeft w:val="0"/>
      <w:marRight w:val="0"/>
      <w:marTop w:val="0"/>
      <w:marBottom w:val="0"/>
      <w:divBdr>
        <w:top w:val="none" w:sz="0" w:space="0" w:color="auto"/>
        <w:left w:val="none" w:sz="0" w:space="0" w:color="auto"/>
        <w:bottom w:val="none" w:sz="0" w:space="0" w:color="auto"/>
        <w:right w:val="none" w:sz="0" w:space="0" w:color="auto"/>
      </w:divBdr>
    </w:div>
    <w:div w:id="292372155">
      <w:bodyDiv w:val="1"/>
      <w:marLeft w:val="0"/>
      <w:marRight w:val="0"/>
      <w:marTop w:val="0"/>
      <w:marBottom w:val="0"/>
      <w:divBdr>
        <w:top w:val="none" w:sz="0" w:space="0" w:color="auto"/>
        <w:left w:val="none" w:sz="0" w:space="0" w:color="auto"/>
        <w:bottom w:val="none" w:sz="0" w:space="0" w:color="auto"/>
        <w:right w:val="none" w:sz="0" w:space="0" w:color="auto"/>
      </w:divBdr>
    </w:div>
    <w:div w:id="488331246">
      <w:bodyDiv w:val="1"/>
      <w:marLeft w:val="0"/>
      <w:marRight w:val="0"/>
      <w:marTop w:val="0"/>
      <w:marBottom w:val="0"/>
      <w:divBdr>
        <w:top w:val="none" w:sz="0" w:space="0" w:color="auto"/>
        <w:left w:val="none" w:sz="0" w:space="0" w:color="auto"/>
        <w:bottom w:val="none" w:sz="0" w:space="0" w:color="auto"/>
        <w:right w:val="none" w:sz="0" w:space="0" w:color="auto"/>
      </w:divBdr>
    </w:div>
    <w:div w:id="738946609">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29913032">
      <w:bodyDiv w:val="1"/>
      <w:marLeft w:val="0"/>
      <w:marRight w:val="0"/>
      <w:marTop w:val="0"/>
      <w:marBottom w:val="0"/>
      <w:divBdr>
        <w:top w:val="none" w:sz="0" w:space="0" w:color="auto"/>
        <w:left w:val="none" w:sz="0" w:space="0" w:color="auto"/>
        <w:bottom w:val="none" w:sz="0" w:space="0" w:color="auto"/>
        <w:right w:val="none" w:sz="0" w:space="0" w:color="auto"/>
      </w:divBdr>
    </w:div>
    <w:div w:id="1031564433">
      <w:bodyDiv w:val="1"/>
      <w:marLeft w:val="0"/>
      <w:marRight w:val="0"/>
      <w:marTop w:val="0"/>
      <w:marBottom w:val="0"/>
      <w:divBdr>
        <w:top w:val="none" w:sz="0" w:space="0" w:color="auto"/>
        <w:left w:val="none" w:sz="0" w:space="0" w:color="auto"/>
        <w:bottom w:val="none" w:sz="0" w:space="0" w:color="auto"/>
        <w:right w:val="none" w:sz="0" w:space="0" w:color="auto"/>
      </w:divBdr>
      <w:divsChild>
        <w:div w:id="221989576">
          <w:marLeft w:val="1440"/>
          <w:marRight w:val="0"/>
          <w:marTop w:val="0"/>
          <w:marBottom w:val="240"/>
          <w:divBdr>
            <w:top w:val="none" w:sz="0" w:space="0" w:color="auto"/>
            <w:left w:val="none" w:sz="0" w:space="0" w:color="auto"/>
            <w:bottom w:val="none" w:sz="0" w:space="0" w:color="auto"/>
            <w:right w:val="none" w:sz="0" w:space="0" w:color="auto"/>
          </w:divBdr>
        </w:div>
        <w:div w:id="701053216">
          <w:marLeft w:val="1440"/>
          <w:marRight w:val="0"/>
          <w:marTop w:val="0"/>
          <w:marBottom w:val="240"/>
          <w:divBdr>
            <w:top w:val="none" w:sz="0" w:space="0" w:color="auto"/>
            <w:left w:val="none" w:sz="0" w:space="0" w:color="auto"/>
            <w:bottom w:val="none" w:sz="0" w:space="0" w:color="auto"/>
            <w:right w:val="none" w:sz="0" w:space="0" w:color="auto"/>
          </w:divBdr>
        </w:div>
        <w:div w:id="998458144">
          <w:marLeft w:val="1440"/>
          <w:marRight w:val="0"/>
          <w:marTop w:val="0"/>
          <w:marBottom w:val="240"/>
          <w:divBdr>
            <w:top w:val="none" w:sz="0" w:space="0" w:color="auto"/>
            <w:left w:val="none" w:sz="0" w:space="0" w:color="auto"/>
            <w:bottom w:val="none" w:sz="0" w:space="0" w:color="auto"/>
            <w:right w:val="none" w:sz="0" w:space="0" w:color="auto"/>
          </w:divBdr>
        </w:div>
        <w:div w:id="1307779182">
          <w:marLeft w:val="1440"/>
          <w:marRight w:val="0"/>
          <w:marTop w:val="0"/>
          <w:marBottom w:val="240"/>
          <w:divBdr>
            <w:top w:val="none" w:sz="0" w:space="0" w:color="auto"/>
            <w:left w:val="none" w:sz="0" w:space="0" w:color="auto"/>
            <w:bottom w:val="none" w:sz="0" w:space="0" w:color="auto"/>
            <w:right w:val="none" w:sz="0" w:space="0" w:color="auto"/>
          </w:divBdr>
        </w:div>
        <w:div w:id="1333724818">
          <w:marLeft w:val="1440"/>
          <w:marRight w:val="0"/>
          <w:marTop w:val="0"/>
          <w:marBottom w:val="24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92644884">
      <w:bodyDiv w:val="1"/>
      <w:marLeft w:val="0"/>
      <w:marRight w:val="0"/>
      <w:marTop w:val="0"/>
      <w:marBottom w:val="0"/>
      <w:divBdr>
        <w:top w:val="none" w:sz="0" w:space="0" w:color="auto"/>
        <w:left w:val="none" w:sz="0" w:space="0" w:color="auto"/>
        <w:bottom w:val="none" w:sz="0" w:space="0" w:color="auto"/>
        <w:right w:val="none" w:sz="0" w:space="0" w:color="auto"/>
      </w:divBdr>
    </w:div>
    <w:div w:id="1242721138">
      <w:bodyDiv w:val="1"/>
      <w:marLeft w:val="0"/>
      <w:marRight w:val="0"/>
      <w:marTop w:val="0"/>
      <w:marBottom w:val="0"/>
      <w:divBdr>
        <w:top w:val="none" w:sz="0" w:space="0" w:color="auto"/>
        <w:left w:val="none" w:sz="0" w:space="0" w:color="auto"/>
        <w:bottom w:val="none" w:sz="0" w:space="0" w:color="auto"/>
        <w:right w:val="none" w:sz="0" w:space="0" w:color="auto"/>
      </w:divBdr>
    </w:div>
    <w:div w:id="157700797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25385301">
      <w:bodyDiv w:val="1"/>
      <w:marLeft w:val="0"/>
      <w:marRight w:val="0"/>
      <w:marTop w:val="0"/>
      <w:marBottom w:val="0"/>
      <w:divBdr>
        <w:top w:val="none" w:sz="0" w:space="0" w:color="auto"/>
        <w:left w:val="none" w:sz="0" w:space="0" w:color="auto"/>
        <w:bottom w:val="none" w:sz="0" w:space="0" w:color="auto"/>
        <w:right w:val="none" w:sz="0" w:space="0" w:color="auto"/>
      </w:divBdr>
    </w:div>
    <w:div w:id="1800565955">
      <w:bodyDiv w:val="1"/>
      <w:marLeft w:val="0"/>
      <w:marRight w:val="0"/>
      <w:marTop w:val="0"/>
      <w:marBottom w:val="0"/>
      <w:divBdr>
        <w:top w:val="none" w:sz="0" w:space="0" w:color="auto"/>
        <w:left w:val="none" w:sz="0" w:space="0" w:color="auto"/>
        <w:bottom w:val="none" w:sz="0" w:space="0" w:color="auto"/>
        <w:right w:val="none" w:sz="0" w:space="0" w:color="auto"/>
      </w:divBdr>
    </w:div>
    <w:div w:id="1831288664">
      <w:bodyDiv w:val="1"/>
      <w:marLeft w:val="0"/>
      <w:marRight w:val="0"/>
      <w:marTop w:val="0"/>
      <w:marBottom w:val="0"/>
      <w:divBdr>
        <w:top w:val="none" w:sz="0" w:space="0" w:color="auto"/>
        <w:left w:val="none" w:sz="0" w:space="0" w:color="auto"/>
        <w:bottom w:val="none" w:sz="0" w:space="0" w:color="auto"/>
        <w:right w:val="none" w:sz="0" w:space="0" w:color="auto"/>
      </w:divBdr>
    </w:div>
    <w:div w:id="186162617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477519">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33464157">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9.GA/9" TargetMode="External"/><Relationship Id="rId13" Type="http://schemas.openxmlformats.org/officeDocument/2006/relationships/hyperlink" Target="https://ich.unesco.org/fr/Decisions/9.GA/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decisions/17.COM/1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h.unesco.org/fr/decisions/17.COM/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decisions/17.COM/15" TargetMode="External"/><Relationship Id="rId14" Type="http://schemas.openxmlformats.org/officeDocument/2006/relationships/hyperlink" Target="https://ich.unesco.org/fr/decisions/10.GA/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4-19.COM-10_FR.docx" TargetMode="External"/><Relationship Id="rId2" Type="http://schemas.openxmlformats.org/officeDocument/2006/relationships/hyperlink" Target="https://ich.unesco.org/fr/submitting-states-and-priorities-2025-01348" TargetMode="External"/><Relationship Id="rId1" Type="http://schemas.openxmlformats.org/officeDocument/2006/relationships/hyperlink" Target="https://ich.unesco.org/fr/files-2024-under-process-0130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214</TotalTime>
  <Pages>7</Pages>
  <Words>3425</Words>
  <Characters>18838</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Nakata Glenat, Keiichi Julien</cp:lastModifiedBy>
  <cp:revision>26</cp:revision>
  <cp:lastPrinted>2024-11-04T08:17:00Z</cp:lastPrinted>
  <dcterms:created xsi:type="dcterms:W3CDTF">2024-11-02T13:34:00Z</dcterms:created>
  <dcterms:modified xsi:type="dcterms:W3CDTF">2024-11-04T21:06:00Z</dcterms:modified>
</cp:coreProperties>
</file>