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4A75B" w14:textId="77777777" w:rsidR="00B643E3" w:rsidRPr="00315D80" w:rsidRDefault="00B643E3" w:rsidP="00B643E3">
      <w:pPr>
        <w:spacing w:before="1440"/>
        <w:jc w:val="center"/>
        <w:rPr>
          <w:rFonts w:ascii="Arial" w:hAnsi="Arial" w:cs="Arial"/>
          <w:b/>
          <w:sz w:val="22"/>
          <w:szCs w:val="22"/>
        </w:rPr>
      </w:pPr>
      <w:r w:rsidRPr="00315D80">
        <w:rPr>
          <w:rFonts w:ascii="Arial" w:hAnsi="Arial" w:cs="Arial"/>
          <w:b/>
          <w:sz w:val="22"/>
          <w:szCs w:val="22"/>
        </w:rPr>
        <w:t>CONVENTION POUR LA SAUVEGARDE DU</w:t>
      </w:r>
      <w:r w:rsidRPr="00315D80">
        <w:rPr>
          <w:rFonts w:ascii="Arial" w:hAnsi="Arial" w:cs="Arial"/>
          <w:b/>
          <w:sz w:val="22"/>
          <w:szCs w:val="22"/>
        </w:rPr>
        <w:br/>
        <w:t>PATRIMOINE CULTUREL IMMATÉRIEL</w:t>
      </w:r>
    </w:p>
    <w:p w14:paraId="00953D42" w14:textId="77777777" w:rsidR="00B643E3" w:rsidRPr="00315D80" w:rsidRDefault="00B643E3" w:rsidP="00B643E3">
      <w:pPr>
        <w:spacing w:before="1200"/>
        <w:jc w:val="center"/>
        <w:rPr>
          <w:rFonts w:ascii="Arial" w:hAnsi="Arial" w:cs="Arial"/>
          <w:b/>
          <w:sz w:val="22"/>
          <w:szCs w:val="22"/>
        </w:rPr>
      </w:pPr>
      <w:r w:rsidRPr="00315D80">
        <w:rPr>
          <w:rFonts w:ascii="Arial" w:hAnsi="Arial" w:cs="Arial"/>
          <w:b/>
          <w:sz w:val="22"/>
          <w:szCs w:val="22"/>
        </w:rPr>
        <w:t>COMITÉ INTERGOUVERNEMENTAL DE SAUVEGARDE</w:t>
      </w:r>
      <w:r w:rsidRPr="00315D80">
        <w:rPr>
          <w:rFonts w:ascii="Arial" w:hAnsi="Arial" w:cs="Arial"/>
          <w:b/>
          <w:sz w:val="22"/>
          <w:szCs w:val="22"/>
        </w:rPr>
        <w:br/>
        <w:t>DU PATRIMOINE CULTUREL IMMATÉRIEL</w:t>
      </w:r>
    </w:p>
    <w:p w14:paraId="785BAF5E" w14:textId="77777777" w:rsidR="00B643E3" w:rsidRPr="005B796F" w:rsidRDefault="00B643E3" w:rsidP="00B643E3">
      <w:pPr>
        <w:spacing w:before="840"/>
        <w:jc w:val="center"/>
        <w:rPr>
          <w:rFonts w:ascii="Arial" w:hAnsi="Arial" w:cs="Arial"/>
          <w:b/>
          <w:sz w:val="22"/>
          <w:szCs w:val="22"/>
        </w:rPr>
      </w:pPr>
      <w:r w:rsidRPr="005B796F">
        <w:rPr>
          <w:rFonts w:ascii="Arial" w:hAnsi="Arial" w:cs="Arial"/>
          <w:b/>
          <w:sz w:val="22"/>
          <w:szCs w:val="22"/>
        </w:rPr>
        <w:t>Dix-neuvième session</w:t>
      </w:r>
    </w:p>
    <w:p w14:paraId="7063914C" w14:textId="77777777" w:rsidR="00B643E3" w:rsidRPr="005B796F" w:rsidRDefault="00B643E3" w:rsidP="00B643E3">
      <w:pPr>
        <w:jc w:val="center"/>
        <w:rPr>
          <w:rFonts w:ascii="Arial" w:hAnsi="Arial"/>
          <w:b/>
          <w:sz w:val="22"/>
        </w:rPr>
      </w:pPr>
      <w:r w:rsidRPr="005B796F">
        <w:rPr>
          <w:rFonts w:ascii="Arial" w:hAnsi="Arial"/>
          <w:b/>
          <w:sz w:val="22"/>
        </w:rPr>
        <w:t>Asunci</w:t>
      </w:r>
      <w:r w:rsidRPr="005B796F">
        <w:rPr>
          <w:rFonts w:ascii="Arial" w:hAnsi="Arial" w:cs="Arial"/>
          <w:b/>
          <w:sz w:val="22"/>
        </w:rPr>
        <w:t>ó</w:t>
      </w:r>
      <w:r w:rsidRPr="005B796F">
        <w:rPr>
          <w:rFonts w:ascii="Arial" w:hAnsi="Arial"/>
          <w:b/>
          <w:sz w:val="22"/>
        </w:rPr>
        <w:t>n, République du Paraguay</w:t>
      </w:r>
    </w:p>
    <w:p w14:paraId="36CA086C" w14:textId="77777777" w:rsidR="00B643E3" w:rsidRPr="00F4581D" w:rsidRDefault="00B643E3" w:rsidP="00B643E3">
      <w:pPr>
        <w:jc w:val="center"/>
        <w:rPr>
          <w:rFonts w:ascii="Arial" w:hAnsi="Arial"/>
          <w:b/>
          <w:sz w:val="22"/>
        </w:rPr>
      </w:pPr>
      <w:r>
        <w:rPr>
          <w:rFonts w:ascii="Arial" w:hAnsi="Arial"/>
          <w:b/>
          <w:sz w:val="22"/>
        </w:rPr>
        <w:t>2 –</w:t>
      </w:r>
      <w:r w:rsidRPr="00F4581D">
        <w:rPr>
          <w:rFonts w:ascii="Arial" w:hAnsi="Arial"/>
          <w:b/>
          <w:sz w:val="22"/>
        </w:rPr>
        <w:t xml:space="preserve"> </w:t>
      </w:r>
      <w:r>
        <w:rPr>
          <w:rFonts w:ascii="Arial" w:hAnsi="Arial"/>
          <w:b/>
          <w:sz w:val="22"/>
        </w:rPr>
        <w:t xml:space="preserve">7 </w:t>
      </w:r>
      <w:r w:rsidRPr="00F4581D">
        <w:rPr>
          <w:rFonts w:ascii="Arial" w:hAnsi="Arial"/>
          <w:b/>
          <w:sz w:val="22"/>
        </w:rPr>
        <w:t>décembre 202</w:t>
      </w:r>
      <w:r>
        <w:rPr>
          <w:rFonts w:ascii="Arial" w:hAnsi="Arial"/>
          <w:b/>
          <w:sz w:val="22"/>
        </w:rPr>
        <w:t>4</w:t>
      </w:r>
    </w:p>
    <w:p w14:paraId="0365203A" w14:textId="720E49B5" w:rsidR="00EC6F8D" w:rsidRPr="00A14AC4" w:rsidRDefault="00EC6F8D" w:rsidP="00EC6F8D">
      <w:pPr>
        <w:pStyle w:val="Sansinterligne2"/>
        <w:spacing w:before="1200"/>
        <w:jc w:val="center"/>
        <w:rPr>
          <w:rFonts w:ascii="Arial" w:hAnsi="Arial" w:cs="Arial"/>
          <w:b/>
          <w:sz w:val="22"/>
          <w:szCs w:val="22"/>
        </w:rPr>
      </w:pPr>
      <w:r>
        <w:rPr>
          <w:rFonts w:ascii="Arial" w:hAnsi="Arial"/>
          <w:b/>
          <w:sz w:val="22"/>
          <w:u w:val="single"/>
        </w:rPr>
        <w:t>Point 11 de l</w:t>
      </w:r>
      <w:r w:rsidR="00086DE2">
        <w:rPr>
          <w:rFonts w:ascii="Arial" w:hAnsi="Arial"/>
          <w:b/>
          <w:sz w:val="22"/>
          <w:u w:val="single"/>
        </w:rPr>
        <w:t>’</w:t>
      </w:r>
      <w:r>
        <w:rPr>
          <w:rFonts w:ascii="Arial" w:hAnsi="Arial"/>
          <w:b/>
          <w:sz w:val="22"/>
          <w:u w:val="single"/>
        </w:rPr>
        <w:t>ordre du jour provisoire</w:t>
      </w:r>
      <w:r w:rsidRPr="00086DE2">
        <w:rPr>
          <w:rFonts w:ascii="Arial" w:hAnsi="Arial"/>
          <w:b/>
          <w:sz w:val="22"/>
        </w:rPr>
        <w:t> </w:t>
      </w:r>
      <w:r>
        <w:rPr>
          <w:rFonts w:ascii="Arial" w:hAnsi="Arial"/>
          <w:b/>
          <w:sz w:val="22"/>
        </w:rPr>
        <w:t>:</w:t>
      </w:r>
    </w:p>
    <w:p w14:paraId="59920478" w14:textId="018FA149" w:rsidR="004A2875" w:rsidRPr="00A14AC4" w:rsidRDefault="00EC42DA" w:rsidP="004A2875">
      <w:pPr>
        <w:pStyle w:val="Sansinterligne2"/>
        <w:spacing w:after="960"/>
        <w:jc w:val="center"/>
        <w:rPr>
          <w:rFonts w:ascii="Arial" w:hAnsi="Arial" w:cs="Arial"/>
          <w:bCs/>
          <w:sz w:val="22"/>
          <w:szCs w:val="22"/>
        </w:rPr>
      </w:pPr>
      <w:r>
        <w:rPr>
          <w:rFonts w:ascii="Arial" w:hAnsi="Arial"/>
          <w:b/>
          <w:sz w:val="22"/>
        </w:rPr>
        <w:t xml:space="preserve">Initiatives thématiques </w:t>
      </w:r>
      <w:r w:rsidR="0057560B">
        <w:rPr>
          <w:rFonts w:ascii="Arial" w:hAnsi="Arial"/>
          <w:b/>
          <w:sz w:val="22"/>
        </w:rPr>
        <w:t>sur le</w:t>
      </w:r>
      <w:r>
        <w:rPr>
          <w:rFonts w:ascii="Arial" w:hAnsi="Arial"/>
          <w:b/>
          <w:sz w:val="22"/>
        </w:rPr>
        <w:t xml:space="preserve"> patrimoine vivant et </w:t>
      </w:r>
      <w:r w:rsidR="0057560B">
        <w:rPr>
          <w:rFonts w:ascii="Arial" w:hAnsi="Arial"/>
          <w:b/>
          <w:sz w:val="22"/>
        </w:rPr>
        <w:t>le</w:t>
      </w:r>
      <w:r>
        <w:rPr>
          <w:rFonts w:ascii="Arial" w:hAnsi="Arial"/>
          <w:b/>
          <w:sz w:val="22"/>
        </w:rPr>
        <w:t xml:space="preserve"> développement durable </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A14AC4" w14:paraId="75AC6221" w14:textId="77777777" w:rsidTr="00EC6F8D">
        <w:trPr>
          <w:jc w:val="center"/>
        </w:trPr>
        <w:tc>
          <w:tcPr>
            <w:tcW w:w="5670" w:type="dxa"/>
            <w:vAlign w:val="center"/>
          </w:tcPr>
          <w:p w14:paraId="51C260A9" w14:textId="77777777" w:rsidR="00EC6F8D" w:rsidRPr="00A14AC4"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077FF0BF" w14:textId="77777777" w:rsidR="008D0602" w:rsidRPr="00A14AC4" w:rsidRDefault="008D0602" w:rsidP="008D0602">
            <w:pPr>
              <w:pStyle w:val="Sansinterligne1"/>
              <w:jc w:val="both"/>
              <w:rPr>
                <w:rFonts w:ascii="Arial" w:hAnsi="Arial" w:cs="Arial"/>
                <w:bCs/>
                <w:sz w:val="22"/>
                <w:szCs w:val="22"/>
              </w:rPr>
            </w:pPr>
            <w:r>
              <w:rPr>
                <w:rFonts w:ascii="Arial" w:hAnsi="Arial"/>
                <w:sz w:val="22"/>
              </w:rPr>
              <w:t>Le présent document rend compte des progrès réalisés depuis la dernière session du Comité dans le cadre des trois initiatives thématiques lancées par le Secrétariat en 2021, à savoir (i) les dimensions économiques de la sauvegarde du patrimoine culturel immatériel, (ii) la sauvegarde du patrimoine culturel immatériel et le changement climatique, et (iii) la sauvegarde du patrimoine culturel immatériel dans les contextes urbains.</w:t>
            </w:r>
          </w:p>
          <w:p w14:paraId="290310E8" w14:textId="7960DEE0" w:rsidR="00EC6F8D" w:rsidRPr="00A14AC4" w:rsidRDefault="00EC6F8D" w:rsidP="00CA56BB">
            <w:pPr>
              <w:pStyle w:val="Sansinterligne2"/>
              <w:spacing w:before="200" w:after="200"/>
              <w:jc w:val="both"/>
              <w:rPr>
                <w:rFonts w:ascii="Arial" w:hAnsi="Arial" w:cs="Arial"/>
                <w:b/>
                <w:sz w:val="22"/>
                <w:szCs w:val="22"/>
              </w:rPr>
            </w:pPr>
            <w:r>
              <w:rPr>
                <w:rFonts w:ascii="Arial" w:hAnsi="Arial"/>
                <w:b/>
                <w:sz w:val="22"/>
              </w:rPr>
              <w:t>Décision requise</w:t>
            </w:r>
            <w:r w:rsidR="00151BE2">
              <w:rPr>
                <w:rFonts w:ascii="Arial" w:hAnsi="Arial"/>
                <w:b/>
                <w:sz w:val="22"/>
              </w:rPr>
              <w:t> </w:t>
            </w:r>
            <w:r>
              <w:rPr>
                <w:rFonts w:ascii="Arial" w:hAnsi="Arial"/>
                <w:b/>
                <w:sz w:val="22"/>
              </w:rPr>
              <w:t xml:space="preserve">: </w:t>
            </w:r>
            <w:r>
              <w:rPr>
                <w:rFonts w:ascii="Arial" w:hAnsi="Arial"/>
                <w:sz w:val="22"/>
              </w:rPr>
              <w:t>paragraphe</w:t>
            </w:r>
            <w:r w:rsidR="00151BE2">
              <w:rPr>
                <w:rFonts w:ascii="Arial" w:hAnsi="Arial"/>
                <w:sz w:val="22"/>
              </w:rPr>
              <w:t> </w:t>
            </w:r>
            <w:r w:rsidRPr="00F52718">
              <w:rPr>
                <w:rFonts w:ascii="Arial" w:hAnsi="Arial"/>
                <w:sz w:val="22"/>
              </w:rPr>
              <w:t>22</w:t>
            </w:r>
          </w:p>
        </w:tc>
      </w:tr>
    </w:tbl>
    <w:p w14:paraId="713D819F" w14:textId="77777777" w:rsidR="004A2875" w:rsidRPr="00A14AC4" w:rsidRDefault="00655736" w:rsidP="00CA7E4D">
      <w:pPr>
        <w:pStyle w:val="ListParagraph"/>
        <w:keepLines/>
        <w:numPr>
          <w:ilvl w:val="0"/>
          <w:numId w:val="5"/>
        </w:numPr>
        <w:spacing w:after="240"/>
        <w:ind w:left="567" w:hanging="567"/>
        <w:contextualSpacing w:val="0"/>
        <w:rPr>
          <w:rFonts w:ascii="Arial" w:hAnsi="Arial" w:cs="Arial"/>
          <w:b/>
          <w:snapToGrid w:val="0"/>
          <w:sz w:val="22"/>
          <w:szCs w:val="22"/>
        </w:rPr>
      </w:pPr>
      <w:r>
        <w:br w:type="page"/>
      </w:r>
    </w:p>
    <w:p w14:paraId="6C62585F" w14:textId="1FBD00B9" w:rsidR="00F70CC5" w:rsidRPr="00A14AC4" w:rsidRDefault="00FD4BC8" w:rsidP="008A2EBC">
      <w:pPr>
        <w:pStyle w:val="Heading4"/>
        <w:numPr>
          <w:ilvl w:val="0"/>
          <w:numId w:val="0"/>
        </w:numPr>
      </w:pPr>
      <w:bookmarkStart w:id="0" w:name="_Hlk124351255"/>
      <w:r>
        <w:lastRenderedPageBreak/>
        <w:t>Contexte</w:t>
      </w:r>
    </w:p>
    <w:p w14:paraId="376113B8" w14:textId="5D9BAB0A" w:rsidR="0016030D" w:rsidRPr="00A14AC4" w:rsidRDefault="0016030D" w:rsidP="0016030D">
      <w:pPr>
        <w:pStyle w:val="COMPara"/>
        <w:numPr>
          <w:ilvl w:val="0"/>
          <w:numId w:val="2"/>
        </w:numPr>
        <w:ind w:left="567" w:hanging="567"/>
        <w:jc w:val="both"/>
      </w:pPr>
      <w:r>
        <w:t>Des défis croissants, tels que l</w:t>
      </w:r>
      <w:r w:rsidR="00086DE2">
        <w:t>’</w:t>
      </w:r>
      <w:r>
        <w:t>augmentation des inégalités, le changement climatique et l</w:t>
      </w:r>
      <w:r w:rsidR="00086DE2">
        <w:t>’</w:t>
      </w:r>
      <w:r>
        <w:t xml:space="preserve">urbanisation, font peser de graves menaces sur les communautés et sur la sauvegarde de leur patrimoine vivant dans le monde entier. Dans le contexte de crises de plus en plus complexes et imbriquées, le patrimoine vivant doit être reconnu comme une dimension vitale et transversale à même de promouvoir une élaboration des politiques de développement durable plus inclusive, centrée sur les personnes et adaptée au contexte. Les initiatives thématiques de la </w:t>
      </w:r>
      <w:r w:rsidR="0052272B">
        <w:t>C</w:t>
      </w:r>
      <w:r>
        <w:t xml:space="preserve">onvention visent à tirer parti des forces ainsi que des contributions de la </w:t>
      </w:r>
      <w:r w:rsidR="0052272B">
        <w:t>C</w:t>
      </w:r>
      <w:r>
        <w:t>onvention pour faire face à ces défis urgents grâce à des réponses fondées sur la culture et ancrées dans le patrimoine vivant.</w:t>
      </w:r>
    </w:p>
    <w:p w14:paraId="20218CDA" w14:textId="1FC3039E" w:rsidR="00C55370" w:rsidRPr="00A14AC4" w:rsidRDefault="00AC36B1" w:rsidP="00553824">
      <w:pPr>
        <w:pStyle w:val="COMPara"/>
        <w:numPr>
          <w:ilvl w:val="0"/>
          <w:numId w:val="2"/>
        </w:numPr>
        <w:ind w:left="567" w:hanging="567"/>
        <w:jc w:val="both"/>
      </w:pPr>
      <w:r>
        <w:t>Ces initiatives thématiques s</w:t>
      </w:r>
      <w:r w:rsidR="00086DE2">
        <w:t>’</w:t>
      </w:r>
      <w:r>
        <w:t>inscrivent dans le cadre des efforts déployés à l</w:t>
      </w:r>
      <w:r w:rsidR="00086DE2">
        <w:t>’</w:t>
      </w:r>
      <w:r>
        <w:t>échelle mondiale pour défendre le rôle de la culture dans la promotion de la paix, de l</w:t>
      </w:r>
      <w:r w:rsidR="00086DE2">
        <w:t>’</w:t>
      </w:r>
      <w:r>
        <w:t>innovation, du développement et du bien-être, notamment lors de la Conférence mondiale de l</w:t>
      </w:r>
      <w:r w:rsidR="00086DE2">
        <w:t>’</w:t>
      </w:r>
      <w:r>
        <w:t>UNESCO sur les politiques culturelles et le développement durable (</w:t>
      </w:r>
      <w:hyperlink r:id="rId8" w:history="1">
        <w:r>
          <w:rPr>
            <w:rStyle w:val="Hyperlink"/>
          </w:rPr>
          <w:t>MONDIACULT 2022</w:t>
        </w:r>
      </w:hyperlink>
      <w:r>
        <w:t xml:space="preserve">), du Groupe des Vingt </w:t>
      </w:r>
      <w:r w:rsidR="00E36017">
        <w:t>(</w:t>
      </w:r>
      <w:hyperlink r:id="rId9" w:history="1">
        <w:r w:rsidR="00E36017" w:rsidRPr="00E36017">
          <w:rPr>
            <w:rStyle w:val="Hyperlink"/>
            <w:rFonts w:cs="Arial"/>
          </w:rPr>
          <w:t>G20</w:t>
        </w:r>
      </w:hyperlink>
      <w:r w:rsidR="00E36017">
        <w:t xml:space="preserve">) </w:t>
      </w:r>
      <w:r>
        <w:t xml:space="preserve">et du Groupe des Sept </w:t>
      </w:r>
      <w:r w:rsidR="00E36017">
        <w:t>(</w:t>
      </w:r>
      <w:hyperlink r:id="rId10" w:history="1">
        <w:r w:rsidR="00E36017" w:rsidRPr="00E36017">
          <w:rPr>
            <w:rStyle w:val="Hyperlink"/>
            <w:rFonts w:cs="Arial"/>
          </w:rPr>
          <w:t>G7</w:t>
        </w:r>
      </w:hyperlink>
      <w:r w:rsidR="00E36017">
        <w:t xml:space="preserve">). </w:t>
      </w:r>
      <w:r>
        <w:t>L</w:t>
      </w:r>
      <w:r w:rsidR="00086DE2">
        <w:t>’</w:t>
      </w:r>
      <w:r>
        <w:t>Assemblée générale des Nations unies a récemment adopté le «</w:t>
      </w:r>
      <w:r w:rsidR="00151BE2">
        <w:t> </w:t>
      </w:r>
      <w:hyperlink r:id="rId11" w:history="1">
        <w:r>
          <w:rPr>
            <w:rStyle w:val="Hyperlink"/>
          </w:rPr>
          <w:t>Pacte pour l</w:t>
        </w:r>
        <w:r w:rsidR="00086DE2">
          <w:rPr>
            <w:rStyle w:val="Hyperlink"/>
          </w:rPr>
          <w:t>’</w:t>
        </w:r>
        <w:r>
          <w:rPr>
            <w:rStyle w:val="Hyperlink"/>
          </w:rPr>
          <w:t>avenir</w:t>
        </w:r>
      </w:hyperlink>
      <w:r w:rsidR="00151BE2">
        <w:t> </w:t>
      </w:r>
      <w:r>
        <w:t xml:space="preserve">», </w:t>
      </w:r>
      <w:r w:rsidR="004857A8" w:rsidRPr="004857A8">
        <w:t>qui appelle, entre autres, à faire en sorte que la culture puisse contribuer à un développement plus efficace, inclusif</w:t>
      </w:r>
      <w:r w:rsidR="0052272B">
        <w:t xml:space="preserve">, </w:t>
      </w:r>
      <w:r w:rsidR="004857A8" w:rsidRPr="004857A8">
        <w:t>équitable</w:t>
      </w:r>
      <w:r w:rsidR="0052272B">
        <w:t xml:space="preserve"> et durable</w:t>
      </w:r>
      <w:r w:rsidR="004857A8" w:rsidRPr="004857A8">
        <w:t>, ainsi qu</w:t>
      </w:r>
      <w:r w:rsidR="00086DE2">
        <w:t>’</w:t>
      </w:r>
      <w:r w:rsidR="004857A8" w:rsidRPr="004857A8">
        <w:t>à intégrer la culture dans leurs politiques économiques, sociales et environnementales</w:t>
      </w:r>
      <w:r w:rsidR="004857A8">
        <w:t xml:space="preserve">. </w:t>
      </w:r>
      <w:r>
        <w:t>S</w:t>
      </w:r>
      <w:r w:rsidR="00086DE2">
        <w:t>’</w:t>
      </w:r>
      <w:r>
        <w:t>appuyant sur cette dynamique, les initiatives thématiques visent à fournir des orientations aux parties prenantes de la Convention sur l</w:t>
      </w:r>
      <w:r w:rsidR="00086DE2">
        <w:t>’</w:t>
      </w:r>
      <w:r>
        <w:t>intégration du patrimoine vivant dans les politiques sociales, environnementales et économiques en vue d</w:t>
      </w:r>
      <w:r w:rsidR="00086DE2">
        <w:t>’</w:t>
      </w:r>
      <w:r>
        <w:t>un avenir plus inclusif et durable.</w:t>
      </w:r>
    </w:p>
    <w:p w14:paraId="750886B9" w14:textId="2C1CCD7A" w:rsidR="0016030D" w:rsidRPr="00A14AC4" w:rsidRDefault="00E36017" w:rsidP="00B80EED">
      <w:pPr>
        <w:pStyle w:val="COMPara"/>
        <w:numPr>
          <w:ilvl w:val="0"/>
          <w:numId w:val="2"/>
        </w:numPr>
        <w:ind w:left="567" w:hanging="567"/>
        <w:jc w:val="both"/>
      </w:pPr>
      <w:r w:rsidRPr="00E36017">
        <w:t>À</w:t>
      </w:r>
      <w:r>
        <w:t xml:space="preserve"> la s</w:t>
      </w:r>
      <w:r w:rsidR="0016030D">
        <w:t xml:space="preserve">uite </w:t>
      </w:r>
      <w:r>
        <w:t>de</w:t>
      </w:r>
      <w:r w:rsidR="0016030D">
        <w:t xml:space="preserve"> la demande formulée par la dix-huitième session du Comité</w:t>
      </w:r>
      <w:r w:rsidR="00B80EED">
        <w:t xml:space="preserve"> (Décision</w:t>
      </w:r>
      <w:r w:rsidR="0016030D">
        <w:t xml:space="preserve"> </w:t>
      </w:r>
      <w:hyperlink r:id="rId12" w:history="1">
        <w:r w:rsidR="00B80EED">
          <w:rPr>
            <w:rStyle w:val="Hyperlink"/>
          </w:rPr>
          <w:t>18.COM</w:t>
        </w:r>
        <w:r w:rsidR="00086DE2">
          <w:rPr>
            <w:rStyle w:val="Hyperlink"/>
          </w:rPr>
          <w:t> </w:t>
        </w:r>
        <w:r w:rsidR="00B80EED">
          <w:rPr>
            <w:rStyle w:val="Hyperlink"/>
          </w:rPr>
          <w:t>12</w:t>
        </w:r>
      </w:hyperlink>
      <w:r w:rsidR="00B74474" w:rsidRPr="00F52718">
        <w:t>)</w:t>
      </w:r>
      <w:r w:rsidR="0016030D">
        <w:t>, le présent document présente un résumé des principales activités menées en 2024 dans le cadre des trois initiatives thématiques de la Convention, à savoir</w:t>
      </w:r>
      <w:r w:rsidR="00151BE2">
        <w:t> </w:t>
      </w:r>
      <w:r w:rsidR="0016030D">
        <w:t>: (i) les dimensions économiques de la sauvegarde du patrimoine culturel immatériel, (ii) la sauvegarde du patrimoine culturel immatériel et le changement climatique, et (iii) la sauvegarde du patrimoine culturel immatériel dans les contextes urbains.</w:t>
      </w:r>
    </w:p>
    <w:bookmarkEnd w:id="0"/>
    <w:p w14:paraId="3206E073" w14:textId="3F7F2000" w:rsidR="00793230" w:rsidRPr="00A14AC4" w:rsidRDefault="00EC42DA" w:rsidP="00793230">
      <w:pPr>
        <w:pStyle w:val="Heading4"/>
      </w:pPr>
      <w:r>
        <w:t>Dimensions économiques de la sauvegarde du patrimoine culturel immatériel</w:t>
      </w:r>
    </w:p>
    <w:p w14:paraId="7DC28329" w14:textId="3C8CC4B2" w:rsidR="00793230" w:rsidRPr="00A14AC4" w:rsidRDefault="00793230" w:rsidP="00160CD0">
      <w:pPr>
        <w:pStyle w:val="COMPara"/>
        <w:numPr>
          <w:ilvl w:val="0"/>
          <w:numId w:val="2"/>
        </w:numPr>
        <w:ind w:left="567" w:hanging="567"/>
        <w:jc w:val="both"/>
      </w:pPr>
      <w:r>
        <w:t xml:space="preserve">La </w:t>
      </w:r>
      <w:r w:rsidR="002E7AFE">
        <w:t>n</w:t>
      </w:r>
      <w:r>
        <w:t>ote d</w:t>
      </w:r>
      <w:r w:rsidR="00086DE2">
        <w:t>’</w:t>
      </w:r>
      <w:r>
        <w:t>orientation sur les dimensions économiques de la sauvegarde du patrimoine immatériel</w:t>
      </w:r>
      <w:r w:rsidR="00AA44EF">
        <w:t xml:space="preserve"> dans le cadre de la Convention de 2003</w:t>
      </w:r>
      <w:r w:rsidR="00151BE2">
        <w:t> </w:t>
      </w:r>
      <w:r>
        <w:t xml:space="preserve"> (document </w:t>
      </w:r>
      <w:hyperlink r:id="rId13" w:history="1">
        <w:r>
          <w:rPr>
            <w:rStyle w:val="Hyperlink"/>
          </w:rPr>
          <w:t>LHE/23/18.COM/12 Rev.</w:t>
        </w:r>
      </w:hyperlink>
      <w:r>
        <w:t>) rappelle les points clés de l</w:t>
      </w:r>
      <w:r w:rsidR="00086DE2">
        <w:t>’</w:t>
      </w:r>
      <w:r>
        <w:t>intégration des considérations économiques dans la sauvegarde du patrimoine vivant. Considérée par le Comité comme un document de référence utile lors de sa dix-huitième session, la note plaide en faveur d</w:t>
      </w:r>
      <w:r w:rsidR="00086DE2">
        <w:t>’</w:t>
      </w:r>
      <w:r>
        <w:t xml:space="preserve">une approche flexible, sensible au patrimoine et fondée sur les droits pour </w:t>
      </w:r>
      <w:r w:rsidR="000606D3">
        <w:t>la</w:t>
      </w:r>
      <w:r>
        <w:t xml:space="preserve"> planification et </w:t>
      </w:r>
      <w:r w:rsidR="000606D3">
        <w:t>la</w:t>
      </w:r>
      <w:r>
        <w:t xml:space="preserve"> gestion responsables et inclusives du patrimoine culturel immatériel, adaptées aux besoins et contextes spécifiques des communautés. Plutôt que de servir de document normatif, elle fournit un cadre permettant aux parties prenantes de la Convention de mieux comprendre les opportunités et les risques encourus, leur permettant ainsi de naviguer efficacement dans les complexités associées aux dimensions économiques d</w:t>
      </w:r>
      <w:r w:rsidR="007C518B">
        <w:t>e la sauvegarde du</w:t>
      </w:r>
      <w:r>
        <w:t xml:space="preserve"> patrimoine culturel immatériel.</w:t>
      </w:r>
    </w:p>
    <w:p w14:paraId="2A2EAF83" w14:textId="18FDC503" w:rsidR="00793230" w:rsidRPr="00A14AC4" w:rsidRDefault="0035627E" w:rsidP="00CA7E4D">
      <w:pPr>
        <w:pStyle w:val="COMPara"/>
        <w:numPr>
          <w:ilvl w:val="0"/>
          <w:numId w:val="2"/>
        </w:numPr>
        <w:ind w:left="567" w:hanging="567"/>
        <w:jc w:val="both"/>
      </w:pPr>
      <w:r>
        <w:t>Tout au long de l</w:t>
      </w:r>
      <w:r w:rsidR="00086DE2">
        <w:t>’</w:t>
      </w:r>
      <w:r>
        <w:t>année</w:t>
      </w:r>
      <w:r w:rsidR="00151BE2">
        <w:t> </w:t>
      </w:r>
      <w:r>
        <w:t>2024, le Secrétariat s</w:t>
      </w:r>
      <w:r w:rsidR="00086DE2">
        <w:t>’</w:t>
      </w:r>
      <w:r>
        <w:t>est engagé activement dans un dialogue intersectoriel afin d</w:t>
      </w:r>
      <w:r w:rsidR="00086DE2">
        <w:t>’</w:t>
      </w:r>
      <w:r>
        <w:t>améliorer les connaissances sur certains aspects associés aux dimensions économiques du patrimoine vivant. Conformément aux encouragements du Comité (</w:t>
      </w:r>
      <w:r w:rsidR="00992CA4">
        <w:t>D</w:t>
      </w:r>
      <w:r>
        <w:t>écision</w:t>
      </w:r>
      <w:r w:rsidR="00151BE2">
        <w:t> </w:t>
      </w:r>
      <w:hyperlink r:id="rId14" w:tgtFrame="_blank" w:tooltip="https://ich.unesco.org/fr/decisions/18.com/12" w:history="1">
        <w:r>
          <w:rPr>
            <w:rStyle w:val="Hyperlink"/>
          </w:rPr>
          <w:t>18.COM 12</w:t>
        </w:r>
      </w:hyperlink>
      <w:r>
        <w:t>), des consultations techniques informelles avec des institutions et d</w:t>
      </w:r>
      <w:r w:rsidR="00086DE2">
        <w:t>’</w:t>
      </w:r>
      <w:r>
        <w:t xml:space="preserve">autres agences des Nations unies ont eu lieu, notamment avec le </w:t>
      </w:r>
      <w:r w:rsidR="00A542A2">
        <w:t>S</w:t>
      </w:r>
      <w:r>
        <w:t>ecrétariat de la Convention sur la diversité biologique, l</w:t>
      </w:r>
      <w:r w:rsidR="00086DE2">
        <w:t>’</w:t>
      </w:r>
      <w:r>
        <w:t>Organisation des Nations unies pour l</w:t>
      </w:r>
      <w:r w:rsidR="00086DE2">
        <w:t>’</w:t>
      </w:r>
      <w:r>
        <w:t>alimentation et l</w:t>
      </w:r>
      <w:r w:rsidR="00086DE2">
        <w:t>’</w:t>
      </w:r>
      <w:r>
        <w:t xml:space="preserve">agriculture, </w:t>
      </w:r>
      <w:r w:rsidR="00A542A2">
        <w:t>ONU Tourisme</w:t>
      </w:r>
      <w:r>
        <w:t xml:space="preserve">, </w:t>
      </w:r>
      <w:r w:rsidR="00A542A2">
        <w:t>ONU</w:t>
      </w:r>
      <w:r w:rsidR="00B145C0">
        <w:t xml:space="preserve"> </w:t>
      </w:r>
      <w:r w:rsidR="00A542A2">
        <w:t>Femme</w:t>
      </w:r>
      <w:r w:rsidR="00B145C0">
        <w:t>s</w:t>
      </w:r>
      <w:r w:rsidR="00A542A2">
        <w:t xml:space="preserve"> </w:t>
      </w:r>
      <w:r>
        <w:t>et l</w:t>
      </w:r>
      <w:r w:rsidR="00086DE2">
        <w:t>’</w:t>
      </w:r>
      <w:r>
        <w:t>Organisation mondiale de la propriété intellectuelle. Ces consultations se poursuivent et visent à favoriser les contacts et à faciliter le partage des ressources et des connaissances, permettant ainsi la collecte d</w:t>
      </w:r>
      <w:r w:rsidR="00086DE2">
        <w:t>’</w:t>
      </w:r>
      <w:r>
        <w:t>études de cas et d</w:t>
      </w:r>
      <w:r w:rsidR="00086DE2">
        <w:t>’</w:t>
      </w:r>
      <w:r>
        <w:t>expériences diverses. Il a été particulièrement intéressant de recevoir des informations pertinentes sur les stratégies existantes pour répondre aux risques associés à l</w:t>
      </w:r>
      <w:r w:rsidR="00086DE2">
        <w:t>’</w:t>
      </w:r>
      <w:r>
        <w:t xml:space="preserve">exploitation économique inappropriée du patrimoine vivant, y compris les </w:t>
      </w:r>
      <w:r w:rsidR="00B145C0">
        <w:t>outils de suivi.</w:t>
      </w:r>
      <w:r w:rsidR="00B145C0" w:rsidRPr="00B145C0">
        <w:t xml:space="preserve"> Cela a </w:t>
      </w:r>
      <w:r w:rsidR="00B145C0">
        <w:t>dé</w:t>
      </w:r>
      <w:r w:rsidR="00B145C0" w:rsidRPr="00B145C0">
        <w:t>montré comment de meilleurs cadres de suivi et d</w:t>
      </w:r>
      <w:r w:rsidR="00086DE2">
        <w:t>’</w:t>
      </w:r>
      <w:r w:rsidR="00B145C0" w:rsidRPr="00B145C0">
        <w:t xml:space="preserve">évaluation peuvent aider plus largement à suivre </w:t>
      </w:r>
      <w:r w:rsidR="00B145C0" w:rsidRPr="00B145C0">
        <w:lastRenderedPageBreak/>
        <w:t xml:space="preserve">les progrès vers </w:t>
      </w:r>
      <w:r w:rsidR="00765D74">
        <w:t xml:space="preserve">des objectifs de </w:t>
      </w:r>
      <w:r w:rsidR="00B145C0" w:rsidRPr="00B145C0">
        <w:t>bénéfice</w:t>
      </w:r>
      <w:r w:rsidR="00765D74">
        <w:t>s</w:t>
      </w:r>
      <w:r w:rsidR="00B145C0" w:rsidRPr="00B145C0">
        <w:t xml:space="preserve"> économique</w:t>
      </w:r>
      <w:r w:rsidR="00765D74">
        <w:t>s</w:t>
      </w:r>
      <w:r w:rsidR="00B145C0" w:rsidRPr="00B145C0">
        <w:t xml:space="preserve"> équitable</w:t>
      </w:r>
      <w:r w:rsidR="00765D74">
        <w:t>s</w:t>
      </w:r>
      <w:r w:rsidR="00B145C0" w:rsidRPr="00B145C0">
        <w:t xml:space="preserve"> et</w:t>
      </w:r>
      <w:r w:rsidR="00B145C0" w:rsidRPr="00B145C0" w:rsidDel="00B145C0">
        <w:t xml:space="preserve"> </w:t>
      </w:r>
      <w:r w:rsidR="00765D74">
        <w:t xml:space="preserve">de </w:t>
      </w:r>
      <w:r w:rsidR="00B145C0">
        <w:t xml:space="preserve">sauvegarde dans les initiatives </w:t>
      </w:r>
      <w:r w:rsidR="0052272B">
        <w:t xml:space="preserve">des </w:t>
      </w:r>
      <w:r w:rsidR="00B145C0">
        <w:t>communaut</w:t>
      </w:r>
      <w:r w:rsidR="0052272B">
        <w:t>és</w:t>
      </w:r>
      <w:r w:rsidR="00B145C0">
        <w:t xml:space="preserve">. </w:t>
      </w:r>
    </w:p>
    <w:p w14:paraId="5C0FF28E" w14:textId="2D7DEF6F" w:rsidR="00793230" w:rsidRPr="00A14AC4" w:rsidRDefault="00793230" w:rsidP="00CA7E4D">
      <w:pPr>
        <w:pStyle w:val="COMPara"/>
        <w:numPr>
          <w:ilvl w:val="0"/>
          <w:numId w:val="2"/>
        </w:numPr>
        <w:ind w:left="567" w:hanging="567"/>
        <w:jc w:val="both"/>
      </w:pPr>
      <w:r>
        <w:t>Grâce à cette approche collaborative, le Secrétariat a pu approfondir sa compréhension des nouveaux domaines dans lesquels la sauvegarde du patrimoine vivant s</w:t>
      </w:r>
      <w:r w:rsidR="00086DE2">
        <w:t>’</w:t>
      </w:r>
      <w:r>
        <w:t>entrecroise avec l</w:t>
      </w:r>
      <w:r w:rsidR="00086DE2">
        <w:t>’</w:t>
      </w:r>
      <w:r>
        <w:t>engagement du marché et d</w:t>
      </w:r>
      <w:r w:rsidR="00086DE2">
        <w:t>’</w:t>
      </w:r>
      <w:r>
        <w:t>autres utilisations économiques. Il s</w:t>
      </w:r>
      <w:r w:rsidR="00086DE2">
        <w:t>’</w:t>
      </w:r>
      <w:r>
        <w:t>agit, par exemple, des systèmes de notification des connaissances traditionnelles, des indications géographiques et des appellations d</w:t>
      </w:r>
      <w:r w:rsidR="00086DE2">
        <w:t>’</w:t>
      </w:r>
      <w:r>
        <w:t>origine, de l</w:t>
      </w:r>
      <w:r w:rsidR="00086DE2">
        <w:t>’</w:t>
      </w:r>
      <w:r>
        <w:t xml:space="preserve">étiquetage et de la certification des produits, des stratégies touristiques </w:t>
      </w:r>
      <w:r w:rsidR="002726C9">
        <w:t xml:space="preserve">adaptées aux territoires </w:t>
      </w:r>
      <w:r w:rsidR="00E802B7">
        <w:t xml:space="preserve">et </w:t>
      </w:r>
      <w:r>
        <w:t xml:space="preserve">menées par les communautés. </w:t>
      </w:r>
      <w:r w:rsidR="00A268F6">
        <w:t>Faire progresser cette compréhension</w:t>
      </w:r>
      <w:r>
        <w:t xml:space="preserve"> permettra d</w:t>
      </w:r>
      <w:r w:rsidR="00086DE2">
        <w:t>’</w:t>
      </w:r>
      <w:r>
        <w:t>élaborer des approches de renforcement des capacités en vue de promouvoir des stratégies de sauvegarde ainsi que des cadres juridiques et politiques, lesquels permettront aux communautés de tirer des avantages justes et équitables de l</w:t>
      </w:r>
      <w:r w:rsidR="00086DE2">
        <w:t>’</w:t>
      </w:r>
      <w:r>
        <w:t>utilisation économique de leur patrimoine vivant. La formation inter-agences à l</w:t>
      </w:r>
      <w:r w:rsidR="00086DE2">
        <w:t>’</w:t>
      </w:r>
      <w:r>
        <w:t>entrepreneuriat et aux modèles d</w:t>
      </w:r>
      <w:r w:rsidR="00086DE2">
        <w:t>’</w:t>
      </w:r>
      <w:r>
        <w:t>entreprises communautaires, ainsi que les programmes de mentorat et de mise en relation sont des approches de renforcement des capacités qui pourraient être poursuivies à l</w:t>
      </w:r>
      <w:r w:rsidR="00086DE2">
        <w:t>’</w:t>
      </w:r>
      <w:r>
        <w:t>avenir.</w:t>
      </w:r>
    </w:p>
    <w:p w14:paraId="6AD913BD" w14:textId="447B9E21" w:rsidR="00793230" w:rsidRPr="00A14AC4" w:rsidRDefault="00793230" w:rsidP="00CA7E4D">
      <w:pPr>
        <w:pStyle w:val="COMPara"/>
        <w:numPr>
          <w:ilvl w:val="0"/>
          <w:numId w:val="2"/>
        </w:numPr>
        <w:ind w:left="567" w:hanging="567"/>
        <w:jc w:val="both"/>
        <w:rPr>
          <w:b/>
          <w:bCs/>
        </w:rPr>
      </w:pPr>
      <w:r>
        <w:rPr>
          <w:rStyle w:val="Strong"/>
          <w:b w:val="0"/>
        </w:rPr>
        <w:t>Afin de refléter les progrès réalisés depuis l</w:t>
      </w:r>
      <w:r w:rsidR="00086DE2">
        <w:rPr>
          <w:rStyle w:val="Strong"/>
          <w:b w:val="0"/>
        </w:rPr>
        <w:t>’</w:t>
      </w:r>
      <w:r>
        <w:rPr>
          <w:rStyle w:val="Strong"/>
          <w:b w:val="0"/>
        </w:rPr>
        <w:t>adoption de la note d</w:t>
      </w:r>
      <w:r w:rsidR="00086DE2">
        <w:rPr>
          <w:rStyle w:val="Strong"/>
          <w:b w:val="0"/>
        </w:rPr>
        <w:t>’</w:t>
      </w:r>
      <w:r>
        <w:rPr>
          <w:rStyle w:val="Strong"/>
          <w:b w:val="0"/>
        </w:rPr>
        <w:t xml:space="preserve">orientation, la </w:t>
      </w:r>
      <w:hyperlink r:id="rId15" w:history="1">
        <w:r>
          <w:rPr>
            <w:rStyle w:val="Hyperlink"/>
          </w:rPr>
          <w:t xml:space="preserve">page </w:t>
        </w:r>
        <w:r w:rsidR="00681167">
          <w:rPr>
            <w:rStyle w:val="Hyperlink"/>
          </w:rPr>
          <w:t>Internet</w:t>
        </w:r>
        <w:r>
          <w:rPr>
            <w:rStyle w:val="Hyperlink"/>
          </w:rPr>
          <w:t xml:space="preserve"> consacrée</w:t>
        </w:r>
      </w:hyperlink>
      <w:r>
        <w:rPr>
          <w:rStyle w:val="Strong"/>
          <w:b w:val="0"/>
        </w:rPr>
        <w:t xml:space="preserve"> à cette initiative thématique </w:t>
      </w:r>
      <w:r w:rsidR="00A268F6">
        <w:rPr>
          <w:rStyle w:val="Strong"/>
          <w:b w:val="0"/>
        </w:rPr>
        <w:t xml:space="preserve">est </w:t>
      </w:r>
      <w:r>
        <w:rPr>
          <w:rStyle w:val="Strong"/>
          <w:b w:val="0"/>
        </w:rPr>
        <w:t>mise à jour</w:t>
      </w:r>
      <w:r w:rsidR="00A268F6">
        <w:rPr>
          <w:rStyle w:val="Strong"/>
          <w:b w:val="0"/>
        </w:rPr>
        <w:t xml:space="preserve"> de manière continue</w:t>
      </w:r>
      <w:r>
        <w:rPr>
          <w:rStyle w:val="Strong"/>
          <w:b w:val="0"/>
        </w:rPr>
        <w:t>. Elle présente désormais quelques études de cas sommaires qui illustrent la manière dont le développement d</w:t>
      </w:r>
      <w:r w:rsidR="00086DE2">
        <w:rPr>
          <w:rStyle w:val="Strong"/>
          <w:b w:val="0"/>
        </w:rPr>
        <w:t>’</w:t>
      </w:r>
      <w:r>
        <w:rPr>
          <w:rStyle w:val="Strong"/>
          <w:b w:val="0"/>
        </w:rPr>
        <w:t>approches sensibles au patrimoine et fondées sur les droits pour gérer les dimensions économiques du patrimoine vivant peut répondre aux préoccupations en matière de durabilité et de sauvegarde dans des contextes en évolution rapide.</w:t>
      </w:r>
    </w:p>
    <w:p w14:paraId="59434989" w14:textId="5F929B0B" w:rsidR="00793230" w:rsidRPr="00A14AC4" w:rsidRDefault="00793230" w:rsidP="00CA7E4D">
      <w:pPr>
        <w:pStyle w:val="COMPara"/>
        <w:numPr>
          <w:ilvl w:val="0"/>
          <w:numId w:val="2"/>
        </w:numPr>
        <w:ind w:left="567" w:hanging="567"/>
        <w:jc w:val="both"/>
      </w:pPr>
      <w:r>
        <w:rPr>
          <w:rStyle w:val="Strong"/>
          <w:b w:val="0"/>
        </w:rPr>
        <w:t>Sur la base des fondements conceptuels établis dans la note d</w:t>
      </w:r>
      <w:r w:rsidR="00086DE2">
        <w:rPr>
          <w:rStyle w:val="Strong"/>
          <w:b w:val="0"/>
        </w:rPr>
        <w:t>’</w:t>
      </w:r>
      <w:r>
        <w:rPr>
          <w:rStyle w:val="Strong"/>
          <w:b w:val="0"/>
        </w:rPr>
        <w:t xml:space="preserve">orientation, les progrès réalisés à ce jour se sont concentrés sur le développement de connaissances sectorielles liées aux dimensions économiques de la sauvegarde du patrimoine vivant. </w:t>
      </w:r>
      <w:r w:rsidR="00B45B14">
        <w:rPr>
          <w:rStyle w:val="Strong"/>
          <w:b w:val="0"/>
        </w:rPr>
        <w:t xml:space="preserve">Ceci sera utilisé comme base pour </w:t>
      </w:r>
      <w:r>
        <w:rPr>
          <w:rStyle w:val="Strong"/>
          <w:b w:val="0"/>
        </w:rPr>
        <w:t>la création de stratégies de sensibilisation, y compris des boîtes à outils et des ressources sur mesure pour des secteurs spécifiques (c</w:t>
      </w:r>
      <w:r w:rsidR="00086DE2">
        <w:rPr>
          <w:rStyle w:val="Strong"/>
          <w:b w:val="0"/>
        </w:rPr>
        <w:t>’</w:t>
      </w:r>
      <w:r>
        <w:rPr>
          <w:rStyle w:val="Strong"/>
          <w:b w:val="0"/>
        </w:rPr>
        <w:t>est-à-dire le tourisme, l</w:t>
      </w:r>
      <w:r w:rsidR="00086DE2">
        <w:rPr>
          <w:rStyle w:val="Strong"/>
          <w:b w:val="0"/>
        </w:rPr>
        <w:t>’</w:t>
      </w:r>
      <w:r>
        <w:rPr>
          <w:rStyle w:val="Strong"/>
          <w:b w:val="0"/>
        </w:rPr>
        <w:t>artisanat, l</w:t>
      </w:r>
      <w:r w:rsidR="00086DE2">
        <w:rPr>
          <w:rStyle w:val="Strong"/>
          <w:b w:val="0"/>
        </w:rPr>
        <w:t>’</w:t>
      </w:r>
      <w:r>
        <w:rPr>
          <w:rStyle w:val="Strong"/>
          <w:b w:val="0"/>
        </w:rPr>
        <w:t>agriculture) et les parties prenantes</w:t>
      </w:r>
      <w:r w:rsidR="00B45B14">
        <w:rPr>
          <w:rStyle w:val="Strong"/>
          <w:b w:val="0"/>
        </w:rPr>
        <w:t xml:space="preserve"> (incluant les peuples autochtones et les communautés locales)</w:t>
      </w:r>
      <w:r>
        <w:rPr>
          <w:rStyle w:val="Strong"/>
          <w:b w:val="0"/>
        </w:rPr>
        <w:t xml:space="preserve"> afin d</w:t>
      </w:r>
      <w:r w:rsidR="00086DE2">
        <w:rPr>
          <w:rStyle w:val="Strong"/>
          <w:b w:val="0"/>
        </w:rPr>
        <w:t>’</w:t>
      </w:r>
      <w:r>
        <w:rPr>
          <w:rStyle w:val="Strong"/>
          <w:b w:val="0"/>
        </w:rPr>
        <w:t>utiliser efficacement la note d</w:t>
      </w:r>
      <w:r w:rsidR="00086DE2">
        <w:rPr>
          <w:rStyle w:val="Strong"/>
          <w:b w:val="0"/>
        </w:rPr>
        <w:t>’</w:t>
      </w:r>
      <w:r>
        <w:rPr>
          <w:rStyle w:val="Strong"/>
          <w:b w:val="0"/>
        </w:rPr>
        <w:t xml:space="preserve">orientation. </w:t>
      </w:r>
    </w:p>
    <w:p w14:paraId="27A44B45" w14:textId="77777777" w:rsidR="00EC42DA" w:rsidRPr="00A14AC4" w:rsidRDefault="00EC42DA" w:rsidP="008A2EBC">
      <w:pPr>
        <w:pStyle w:val="Heading4"/>
      </w:pPr>
      <w:r>
        <w:t>Sauvegarde du patrimoine culturel immatériel et changement climatique</w:t>
      </w:r>
    </w:p>
    <w:p w14:paraId="5C4F0270" w14:textId="4BB06A2A" w:rsidR="008A2EBC" w:rsidRPr="00A14AC4" w:rsidRDefault="00C035AA" w:rsidP="00CA7E4D">
      <w:pPr>
        <w:pStyle w:val="COMPara"/>
        <w:numPr>
          <w:ilvl w:val="0"/>
          <w:numId w:val="2"/>
        </w:numPr>
        <w:ind w:left="567" w:hanging="567"/>
        <w:jc w:val="both"/>
      </w:pPr>
      <w:r>
        <w:t>Le Secrétariat a organisé une réunion d</w:t>
      </w:r>
      <w:r w:rsidR="00086DE2">
        <w:t>’</w:t>
      </w:r>
      <w:r>
        <w:t xml:space="preserve">experts en </w:t>
      </w:r>
      <w:r w:rsidRPr="002E7AFE">
        <w:t>deux parties (catégorie</w:t>
      </w:r>
      <w:r w:rsidR="00151BE2" w:rsidRPr="002E7AFE">
        <w:t> </w:t>
      </w:r>
      <w:r w:rsidRPr="002E7AFE">
        <w:t>VI)</w:t>
      </w:r>
      <w:r w:rsidR="00251922" w:rsidRPr="002E7AFE">
        <w:rPr>
          <w:rStyle w:val="FootnoteReference"/>
        </w:rPr>
        <w:footnoteReference w:id="1"/>
      </w:r>
      <w:r w:rsidRPr="002E7AFE">
        <w:t xml:space="preserve"> afin de «</w:t>
      </w:r>
      <w:r w:rsidR="002E7AFE" w:rsidRPr="002E7AFE">
        <w:t> </w:t>
      </w:r>
      <w:r w:rsidR="00251922" w:rsidRPr="00F52718">
        <w:rPr>
          <w:shd w:val="clear" w:color="auto" w:fill="FFFFFF"/>
        </w:rPr>
        <w:t>contribuer par des propositions à l</w:t>
      </w:r>
      <w:r w:rsidR="00086DE2">
        <w:rPr>
          <w:shd w:val="clear" w:color="auto" w:fill="FFFFFF"/>
        </w:rPr>
        <w:t>’</w:t>
      </w:r>
      <w:r w:rsidR="00251922" w:rsidRPr="00F52718">
        <w:rPr>
          <w:shd w:val="clear" w:color="auto" w:fill="FFFFFF"/>
        </w:rPr>
        <w:t>intention des États parties et des autres parties prenantes concernées sur la sauvegarde du patrimoine culturel immatériel dans le contexte du changement climatique</w:t>
      </w:r>
      <w:r w:rsidR="00151BE2" w:rsidRPr="002E7AFE">
        <w:t> </w:t>
      </w:r>
      <w:r w:rsidRPr="002E7AFE">
        <w:t xml:space="preserve">», conformément à la demande de la dix-huitième </w:t>
      </w:r>
      <w:r>
        <w:t>session du Comité (</w:t>
      </w:r>
      <w:r w:rsidR="00251922">
        <w:t>D</w:t>
      </w:r>
      <w:r>
        <w:t>écision</w:t>
      </w:r>
      <w:r w:rsidR="00151BE2">
        <w:t> </w:t>
      </w:r>
      <w:hyperlink r:id="rId16" w:history="1">
        <w:r>
          <w:rPr>
            <w:rStyle w:val="Hyperlink"/>
          </w:rPr>
          <w:t>18.COM 12</w:t>
        </w:r>
      </w:hyperlink>
      <w:r>
        <w:t>). La partie I de la réunion s</w:t>
      </w:r>
      <w:r w:rsidR="00086DE2">
        <w:t>’</w:t>
      </w:r>
      <w:r>
        <w:t xml:space="preserve">est tenue </w:t>
      </w:r>
      <w:r>
        <w:rPr>
          <w:i/>
        </w:rPr>
        <w:t>in presentia</w:t>
      </w:r>
      <w:r>
        <w:t xml:space="preserve"> les 19 et 20</w:t>
      </w:r>
      <w:r w:rsidR="00151BE2">
        <w:t> </w:t>
      </w:r>
      <w:r>
        <w:t>juin 2024, au siège de l</w:t>
      </w:r>
      <w:r w:rsidR="00086DE2">
        <w:t>’</w:t>
      </w:r>
      <w:r>
        <w:t>UNESCO à Paris, en France, tandis que la partie</w:t>
      </w:r>
      <w:r w:rsidR="00151BE2">
        <w:t> </w:t>
      </w:r>
      <w:r>
        <w:t>II de la réunion s</w:t>
      </w:r>
      <w:r w:rsidR="00086DE2">
        <w:t>’</w:t>
      </w:r>
      <w:r>
        <w:t>est tenue en ligne les 25 et 26</w:t>
      </w:r>
      <w:r w:rsidR="00151BE2">
        <w:t> </w:t>
      </w:r>
      <w:r>
        <w:t>septembre 2024. Vingt-six experts de diverses régions géographiques ont participé à la réunion, sélectionnés à la suite d</w:t>
      </w:r>
      <w:r w:rsidR="00086DE2">
        <w:t>’</w:t>
      </w:r>
      <w:r>
        <w:t>un appel invitant les États parties à désigner des experts compétents. Ces intervenants ont été sélectionnés sur la base de leur expertise spécifique et/ou de leur expérience dans le domaine du patrimoine culturel immatériel et du changement climatique. Outre les participants énumérés, des c</w:t>
      </w:r>
      <w:r w:rsidR="001A2C5E">
        <w:t>ollègues</w:t>
      </w:r>
      <w:r>
        <w:t xml:space="preserve"> de l</w:t>
      </w:r>
      <w:r w:rsidR="00086DE2">
        <w:t>’</w:t>
      </w:r>
      <w:r>
        <w:t>UNESCO issus d</w:t>
      </w:r>
      <w:r w:rsidR="00086DE2">
        <w:t>’</w:t>
      </w:r>
      <w:r>
        <w:t>autres programmes et secteurs ont été invités en tant qu</w:t>
      </w:r>
      <w:r w:rsidR="00086DE2">
        <w:t>’</w:t>
      </w:r>
      <w:r>
        <w:t>observateurs. La discussion de la réunion s</w:t>
      </w:r>
      <w:r w:rsidR="00086DE2">
        <w:t>’</w:t>
      </w:r>
      <w:r>
        <w:t>est</w:t>
      </w:r>
      <w:r w:rsidR="00BA563D">
        <w:t xml:space="preserve"> appuyée sur les préparations approfondies effectuées</w:t>
      </w:r>
      <w:r>
        <w:t xml:space="preserve">, </w:t>
      </w:r>
      <w:r w:rsidR="00BA563D">
        <w:t xml:space="preserve">y compris </w:t>
      </w:r>
      <w:r>
        <w:t>une étude documentaire complète et une enquête mondiale, ainsi qu</w:t>
      </w:r>
      <w:r w:rsidR="00086DE2">
        <w:t>’</w:t>
      </w:r>
      <w:r>
        <w:t>un processus d</w:t>
      </w:r>
      <w:r w:rsidR="00086DE2">
        <w:t>’</w:t>
      </w:r>
      <w:r>
        <w:t>examen collaboratif entrepris par des experts formant un groupe d</w:t>
      </w:r>
      <w:r w:rsidR="00086DE2">
        <w:t>’</w:t>
      </w:r>
      <w:r w:rsidR="00BA563D">
        <w:t>examen</w:t>
      </w:r>
      <w:r>
        <w:t xml:space="preserve"> par les pairs.</w:t>
      </w:r>
    </w:p>
    <w:p w14:paraId="1C72B903" w14:textId="0884F010" w:rsidR="00B24427" w:rsidRPr="00A14AC4" w:rsidRDefault="00B24427" w:rsidP="00CA7E4D">
      <w:pPr>
        <w:pStyle w:val="COMPara"/>
        <w:keepNext/>
        <w:numPr>
          <w:ilvl w:val="0"/>
          <w:numId w:val="2"/>
        </w:numPr>
        <w:ind w:left="567" w:hanging="567"/>
        <w:jc w:val="both"/>
      </w:pPr>
      <w:r>
        <w:t>Les documents de travail présentés lors de la réunion d</w:t>
      </w:r>
      <w:r w:rsidR="00086DE2">
        <w:t>’</w:t>
      </w:r>
      <w:r>
        <w:t>experts sont résumés dans le tableau ci-dessous</w:t>
      </w:r>
      <w:r w:rsidR="00A31F95">
        <w:rPr>
          <w:rStyle w:val="FootnoteReference"/>
        </w:rPr>
        <w:footnoteReference w:id="2"/>
      </w:r>
      <w:r w:rsidR="00151BE2">
        <w:t> </w:t>
      </w:r>
      <w:r>
        <w:t>:</w:t>
      </w:r>
    </w:p>
    <w:tbl>
      <w:tblPr>
        <w:tblStyle w:val="TableGrid"/>
        <w:tblW w:w="0" w:type="auto"/>
        <w:tblInd w:w="720" w:type="dxa"/>
        <w:tblLook w:val="04A0" w:firstRow="1" w:lastRow="0" w:firstColumn="1" w:lastColumn="0" w:noHBand="0" w:noVBand="1"/>
      </w:tblPr>
      <w:tblGrid>
        <w:gridCol w:w="6079"/>
        <w:gridCol w:w="2829"/>
      </w:tblGrid>
      <w:tr w:rsidR="00B24427" w:rsidRPr="00A14AC4" w14:paraId="7249BA71" w14:textId="77777777" w:rsidTr="00BA571C">
        <w:tc>
          <w:tcPr>
            <w:tcW w:w="8908" w:type="dxa"/>
            <w:gridSpan w:val="2"/>
            <w:shd w:val="clear" w:color="auto" w:fill="C6D9F1" w:themeFill="text2" w:themeFillTint="33"/>
          </w:tcPr>
          <w:p w14:paraId="78305C16" w14:textId="1202D742" w:rsidR="00B24427" w:rsidRPr="00A14AC4" w:rsidRDefault="00B24427" w:rsidP="00BA571C">
            <w:pPr>
              <w:pStyle w:val="COMPara"/>
              <w:keepNext/>
              <w:spacing w:after="0"/>
              <w:jc w:val="both"/>
              <w:rPr>
                <w:b/>
                <w:bCs/>
              </w:rPr>
            </w:pPr>
            <w:r>
              <w:rPr>
                <w:b/>
              </w:rPr>
              <w:t>Documents de travail de la réunion d</w:t>
            </w:r>
            <w:r w:rsidR="00086DE2">
              <w:rPr>
                <w:b/>
              </w:rPr>
              <w:t>’</w:t>
            </w:r>
            <w:r>
              <w:rPr>
                <w:b/>
              </w:rPr>
              <w:t>experts</w:t>
            </w:r>
          </w:p>
        </w:tc>
      </w:tr>
      <w:tr w:rsidR="00B24427" w:rsidRPr="00681167" w14:paraId="1F4BC4AF" w14:textId="77777777" w:rsidTr="00BA571C">
        <w:tc>
          <w:tcPr>
            <w:tcW w:w="6079" w:type="dxa"/>
          </w:tcPr>
          <w:p w14:paraId="52445ECC" w14:textId="155BE3EF" w:rsidR="00B24427" w:rsidRPr="00A14AC4" w:rsidRDefault="009E5CD7" w:rsidP="00DA7F2D">
            <w:pPr>
              <w:pStyle w:val="COMPara"/>
              <w:keepNext/>
              <w:spacing w:after="0"/>
            </w:pPr>
            <w:r>
              <w:t>Liste des participants</w:t>
            </w:r>
          </w:p>
        </w:tc>
        <w:tc>
          <w:tcPr>
            <w:tcW w:w="2829" w:type="dxa"/>
          </w:tcPr>
          <w:p w14:paraId="23F5946C" w14:textId="09D7885B" w:rsidR="00C035AA" w:rsidRPr="00277876" w:rsidRDefault="004600F5" w:rsidP="00C035AA">
            <w:pPr>
              <w:pStyle w:val="COMPara"/>
              <w:keepNext/>
              <w:spacing w:after="0"/>
              <w:rPr>
                <w:lang w:val="es-ES"/>
              </w:rPr>
            </w:pPr>
            <w:hyperlink r:id="rId17" w:history="1">
              <w:r w:rsidR="00A14AC4" w:rsidRPr="00277876">
                <w:rPr>
                  <w:rStyle w:val="Hyperlink"/>
                  <w:lang w:val="es-ES"/>
                </w:rPr>
                <w:t>LHE/24/EXP THEMA-CLIMA/1</w:t>
              </w:r>
              <w:r w:rsidR="00151BE2" w:rsidRPr="00277876">
                <w:rPr>
                  <w:rStyle w:val="Hyperlink"/>
                  <w:lang w:val="es-ES"/>
                </w:rPr>
                <w:t> </w:t>
              </w:r>
              <w:r w:rsidR="00A14AC4" w:rsidRPr="00277876">
                <w:rPr>
                  <w:rStyle w:val="Hyperlink"/>
                  <w:lang w:val="es-ES"/>
                </w:rPr>
                <w:t>REV.3</w:t>
              </w:r>
            </w:hyperlink>
          </w:p>
        </w:tc>
      </w:tr>
      <w:tr w:rsidR="00B24427" w:rsidRPr="00681167" w14:paraId="2424FE43" w14:textId="77777777" w:rsidTr="00BA571C">
        <w:tc>
          <w:tcPr>
            <w:tcW w:w="6079" w:type="dxa"/>
          </w:tcPr>
          <w:p w14:paraId="38C5320F" w14:textId="7F722816" w:rsidR="00B24427" w:rsidRPr="00A14AC4" w:rsidRDefault="009E5CD7" w:rsidP="00DA7F2D">
            <w:pPr>
              <w:pStyle w:val="COMPara"/>
              <w:keepNext/>
              <w:spacing w:after="0"/>
            </w:pPr>
            <w:r>
              <w:t>Ordre du jour et calendrier</w:t>
            </w:r>
          </w:p>
        </w:tc>
        <w:tc>
          <w:tcPr>
            <w:tcW w:w="2829" w:type="dxa"/>
          </w:tcPr>
          <w:p w14:paraId="001E440B" w14:textId="5EAD3E26" w:rsidR="00B24427" w:rsidRPr="00277876" w:rsidRDefault="004600F5" w:rsidP="009C1D3F">
            <w:pPr>
              <w:pStyle w:val="COMPara"/>
              <w:keepNext/>
              <w:spacing w:after="0"/>
              <w:rPr>
                <w:lang w:val="es-ES"/>
              </w:rPr>
            </w:pPr>
            <w:hyperlink r:id="rId18" w:history="1">
              <w:r w:rsidR="008C4AFA">
                <w:rPr>
                  <w:rStyle w:val="Hyperlink"/>
                  <w:lang w:val="es-ES"/>
                </w:rPr>
                <w:t>LHE/24/EXP THEMA-CLIMA/2 Rev.7</w:t>
              </w:r>
            </w:hyperlink>
          </w:p>
        </w:tc>
      </w:tr>
      <w:tr w:rsidR="00B24427" w:rsidRPr="00681167" w14:paraId="28CC54F9" w14:textId="77777777" w:rsidTr="00BA571C">
        <w:tc>
          <w:tcPr>
            <w:tcW w:w="6079" w:type="dxa"/>
          </w:tcPr>
          <w:p w14:paraId="3A3B26E2" w14:textId="5086DCCE" w:rsidR="00B24427" w:rsidRPr="00A14AC4" w:rsidRDefault="009E5CD7" w:rsidP="00F52718">
            <w:pPr>
              <w:pStyle w:val="COMPara"/>
              <w:keepNext/>
              <w:spacing w:after="0"/>
            </w:pPr>
            <w:r>
              <w:t>Projet de note d</w:t>
            </w:r>
            <w:r w:rsidR="00086DE2">
              <w:t>’</w:t>
            </w:r>
            <w:r>
              <w:t>orientation sur l</w:t>
            </w:r>
            <w:r w:rsidR="00086DE2">
              <w:t>’</w:t>
            </w:r>
            <w:r>
              <w:t>action climatique pour le patrimoine vivant</w:t>
            </w:r>
          </w:p>
        </w:tc>
        <w:tc>
          <w:tcPr>
            <w:tcW w:w="2829" w:type="dxa"/>
          </w:tcPr>
          <w:p w14:paraId="0A4F8C77" w14:textId="3532205C" w:rsidR="00B24427" w:rsidRPr="00277876" w:rsidRDefault="004600F5" w:rsidP="0030370C">
            <w:pPr>
              <w:pStyle w:val="COMPara"/>
              <w:keepNext/>
              <w:spacing w:after="0"/>
              <w:rPr>
                <w:lang w:val="es-ES"/>
              </w:rPr>
            </w:pPr>
            <w:hyperlink r:id="rId19" w:history="1">
              <w:r w:rsidR="00A14AC4" w:rsidRPr="00277876">
                <w:rPr>
                  <w:rStyle w:val="Hyperlink"/>
                  <w:lang w:val="es-ES"/>
                </w:rPr>
                <w:t>LHE/24/EXP THEMA-CLIMA/3</w:t>
              </w:r>
              <w:r w:rsidR="00151BE2" w:rsidRPr="00277876">
                <w:rPr>
                  <w:rStyle w:val="Hyperlink"/>
                  <w:lang w:val="es-ES"/>
                </w:rPr>
                <w:t> </w:t>
              </w:r>
              <w:r w:rsidR="00A14AC4" w:rsidRPr="00277876">
                <w:rPr>
                  <w:rStyle w:val="Hyperlink"/>
                  <w:lang w:val="es-ES"/>
                </w:rPr>
                <w:t>Rev.3</w:t>
              </w:r>
            </w:hyperlink>
          </w:p>
        </w:tc>
      </w:tr>
      <w:tr w:rsidR="00B24427" w:rsidRPr="00681167" w14:paraId="196DD08F" w14:textId="77777777" w:rsidTr="00BA571C">
        <w:tc>
          <w:tcPr>
            <w:tcW w:w="6079" w:type="dxa"/>
          </w:tcPr>
          <w:p w14:paraId="41E4A096" w14:textId="36187AA0" w:rsidR="00B24427" w:rsidRPr="00A14AC4" w:rsidRDefault="009E5CD7" w:rsidP="00DA7F2D">
            <w:pPr>
              <w:pStyle w:val="COMPara"/>
              <w:keepNext/>
              <w:spacing w:after="0"/>
            </w:pPr>
            <w:r>
              <w:t>Définir le domaine</w:t>
            </w:r>
            <w:r w:rsidR="00151BE2">
              <w:t> </w:t>
            </w:r>
            <w:r>
              <w:t>: une revue préliminaire de la littérature</w:t>
            </w:r>
          </w:p>
        </w:tc>
        <w:tc>
          <w:tcPr>
            <w:tcW w:w="2829" w:type="dxa"/>
          </w:tcPr>
          <w:p w14:paraId="7AF162F2" w14:textId="5F1026DD" w:rsidR="00B24427" w:rsidRPr="00277876" w:rsidRDefault="004600F5" w:rsidP="0030370C">
            <w:pPr>
              <w:pStyle w:val="COMPara"/>
              <w:keepNext/>
              <w:spacing w:after="0"/>
              <w:rPr>
                <w:lang w:val="es-ES"/>
              </w:rPr>
            </w:pPr>
            <w:hyperlink r:id="rId20" w:history="1">
              <w:r w:rsidR="00A14AC4" w:rsidRPr="00277876">
                <w:rPr>
                  <w:rStyle w:val="Hyperlink"/>
                  <w:lang w:val="es-ES"/>
                </w:rPr>
                <w:t>LHE/24/EXP THEMA-CLIMA/4a</w:t>
              </w:r>
            </w:hyperlink>
          </w:p>
        </w:tc>
      </w:tr>
      <w:tr w:rsidR="00B24427" w:rsidRPr="00681167" w14:paraId="2D2C2145" w14:textId="77777777" w:rsidTr="00BA571C">
        <w:tc>
          <w:tcPr>
            <w:tcW w:w="6079" w:type="dxa"/>
          </w:tcPr>
          <w:p w14:paraId="24E6AE21" w14:textId="692B0A0A" w:rsidR="00B24427" w:rsidRPr="00A14AC4" w:rsidRDefault="009E5CD7" w:rsidP="00DA7F2D">
            <w:pPr>
              <w:pStyle w:val="COMPara"/>
              <w:spacing w:after="0"/>
            </w:pPr>
            <w:r>
              <w:t>Méthodologie de l</w:t>
            </w:r>
            <w:r w:rsidR="00086DE2">
              <w:t>’</w:t>
            </w:r>
            <w:r>
              <w:t>enquête et présentation des résultats</w:t>
            </w:r>
          </w:p>
        </w:tc>
        <w:tc>
          <w:tcPr>
            <w:tcW w:w="2829" w:type="dxa"/>
          </w:tcPr>
          <w:p w14:paraId="40B2F9F6" w14:textId="09AFC408" w:rsidR="00B24427" w:rsidRPr="00277876" w:rsidRDefault="004600F5" w:rsidP="0030370C">
            <w:pPr>
              <w:pStyle w:val="COMPara"/>
              <w:spacing w:after="0"/>
              <w:rPr>
                <w:lang w:val="es-ES"/>
              </w:rPr>
            </w:pPr>
            <w:hyperlink r:id="rId21" w:history="1">
              <w:r w:rsidR="00A14AC4" w:rsidRPr="00277876">
                <w:rPr>
                  <w:rStyle w:val="Hyperlink"/>
                  <w:lang w:val="es-ES"/>
                </w:rPr>
                <w:t>LHE/24/EXP THEMA-CLIMA/4</w:t>
              </w:r>
              <w:r w:rsidR="00151BE2" w:rsidRPr="00277876">
                <w:rPr>
                  <w:rStyle w:val="Hyperlink"/>
                  <w:lang w:val="es-ES"/>
                </w:rPr>
                <w:t> </w:t>
              </w:r>
              <w:r w:rsidR="00A14AC4" w:rsidRPr="00277876">
                <w:rPr>
                  <w:rStyle w:val="Hyperlink"/>
                  <w:lang w:val="es-ES"/>
                </w:rPr>
                <w:t>b</w:t>
              </w:r>
            </w:hyperlink>
          </w:p>
        </w:tc>
      </w:tr>
      <w:tr w:rsidR="00B24427" w:rsidRPr="00681167" w14:paraId="44BCC308" w14:textId="77777777" w:rsidTr="00BA571C">
        <w:tc>
          <w:tcPr>
            <w:tcW w:w="6079" w:type="dxa"/>
          </w:tcPr>
          <w:p w14:paraId="110511CF" w14:textId="6D925EF4" w:rsidR="00B24427" w:rsidRPr="00A14AC4" w:rsidRDefault="009E5CD7" w:rsidP="00DA7F2D">
            <w:pPr>
              <w:pStyle w:val="COMPara"/>
              <w:spacing w:after="0"/>
            </w:pPr>
            <w:r>
              <w:t>Termes et concepts</w:t>
            </w:r>
          </w:p>
        </w:tc>
        <w:tc>
          <w:tcPr>
            <w:tcW w:w="2829" w:type="dxa"/>
          </w:tcPr>
          <w:p w14:paraId="0A88FF74" w14:textId="37000EEB" w:rsidR="00B24427" w:rsidRPr="00277876" w:rsidRDefault="004600F5" w:rsidP="00B3141A">
            <w:pPr>
              <w:pStyle w:val="COMPara"/>
              <w:spacing w:after="0"/>
              <w:rPr>
                <w:lang w:val="es-ES"/>
              </w:rPr>
            </w:pPr>
            <w:hyperlink r:id="rId22" w:history="1">
              <w:r w:rsidR="00A14AC4" w:rsidRPr="00277876">
                <w:rPr>
                  <w:rStyle w:val="Hyperlink"/>
                  <w:lang w:val="es-ES"/>
                </w:rPr>
                <w:t>LHE/24/EXP THEMA-CLIMA/4c</w:t>
              </w:r>
            </w:hyperlink>
          </w:p>
        </w:tc>
      </w:tr>
      <w:tr w:rsidR="00B24427" w:rsidRPr="00681167" w14:paraId="7AC1D2DE" w14:textId="77777777" w:rsidTr="00BA571C">
        <w:tc>
          <w:tcPr>
            <w:tcW w:w="6079" w:type="dxa"/>
          </w:tcPr>
          <w:p w14:paraId="1892E519" w14:textId="39FDA459" w:rsidR="00B24427" w:rsidRPr="00A14AC4" w:rsidRDefault="001E0914" w:rsidP="00DA7F2D">
            <w:pPr>
              <w:pStyle w:val="COMPara"/>
              <w:spacing w:after="0"/>
            </w:pPr>
            <w:r>
              <w:t>Rôles et risques</w:t>
            </w:r>
          </w:p>
        </w:tc>
        <w:tc>
          <w:tcPr>
            <w:tcW w:w="2829" w:type="dxa"/>
          </w:tcPr>
          <w:p w14:paraId="566BA5BB" w14:textId="18492710" w:rsidR="00B24427" w:rsidRPr="00277876" w:rsidRDefault="004600F5" w:rsidP="00B3141A">
            <w:pPr>
              <w:pStyle w:val="COMPara"/>
              <w:spacing w:after="0"/>
              <w:rPr>
                <w:lang w:val="es-ES"/>
              </w:rPr>
            </w:pPr>
            <w:hyperlink r:id="rId23" w:history="1">
              <w:r w:rsidR="00A14AC4" w:rsidRPr="00277876">
                <w:rPr>
                  <w:rStyle w:val="Hyperlink"/>
                  <w:lang w:val="es-ES"/>
                </w:rPr>
                <w:t>LHE/24/EXP THEMA-CLIMA/4</w:t>
              </w:r>
              <w:r w:rsidR="00151BE2" w:rsidRPr="00277876">
                <w:rPr>
                  <w:rStyle w:val="Hyperlink"/>
                  <w:lang w:val="es-ES"/>
                </w:rPr>
                <w:t> </w:t>
              </w:r>
              <w:r w:rsidR="00A14AC4" w:rsidRPr="00277876">
                <w:rPr>
                  <w:rStyle w:val="Hyperlink"/>
                  <w:lang w:val="es-ES"/>
                </w:rPr>
                <w:t>d</w:t>
              </w:r>
            </w:hyperlink>
          </w:p>
        </w:tc>
      </w:tr>
      <w:tr w:rsidR="00B24427" w:rsidRPr="00681167" w14:paraId="5EA184F6" w14:textId="77777777" w:rsidTr="00F52718">
        <w:tc>
          <w:tcPr>
            <w:tcW w:w="6079" w:type="dxa"/>
          </w:tcPr>
          <w:p w14:paraId="78C389FA" w14:textId="61D1AA71" w:rsidR="00B24427" w:rsidRPr="008C4AFA" w:rsidRDefault="00DA7F2D" w:rsidP="00DA7F2D">
            <w:pPr>
              <w:pStyle w:val="COMPara"/>
              <w:spacing w:after="0"/>
            </w:pPr>
            <w:r w:rsidRPr="008C4AFA">
              <w:t>Cadres politiques sur le patrimoine vivant en situation d</w:t>
            </w:r>
            <w:r w:rsidR="00086DE2">
              <w:t>’</w:t>
            </w:r>
            <w:r w:rsidRPr="008C4AFA">
              <w:t>urgence climatique</w:t>
            </w:r>
          </w:p>
        </w:tc>
        <w:tc>
          <w:tcPr>
            <w:tcW w:w="2829" w:type="dxa"/>
            <w:shd w:val="clear" w:color="auto" w:fill="auto"/>
          </w:tcPr>
          <w:p w14:paraId="00913B6D" w14:textId="4F3EB0D5" w:rsidR="00B24427" w:rsidRPr="008C4AFA" w:rsidRDefault="004600F5" w:rsidP="008C4AFA">
            <w:pPr>
              <w:pStyle w:val="COMPara"/>
              <w:spacing w:after="0"/>
              <w:rPr>
                <w:lang w:val="es-ES"/>
              </w:rPr>
            </w:pPr>
            <w:hyperlink r:id="rId24" w:history="1">
              <w:r w:rsidR="001B6DA4">
                <w:rPr>
                  <w:rStyle w:val="Hyperlink"/>
                  <w:lang w:val="es-ES"/>
                </w:rPr>
                <w:t>LHE/24/EXP THEMA-CLIMA/4e Rev.</w:t>
              </w:r>
            </w:hyperlink>
          </w:p>
        </w:tc>
      </w:tr>
      <w:tr w:rsidR="00B24427" w:rsidRPr="00681167" w14:paraId="69CA1B35" w14:textId="77777777" w:rsidTr="00BA571C">
        <w:tc>
          <w:tcPr>
            <w:tcW w:w="6079" w:type="dxa"/>
          </w:tcPr>
          <w:p w14:paraId="7576AC54" w14:textId="53FE42E1" w:rsidR="00B24427" w:rsidRPr="00A14AC4" w:rsidRDefault="001E0914" w:rsidP="00F52718">
            <w:pPr>
              <w:pStyle w:val="COMPara"/>
              <w:spacing w:after="0"/>
            </w:pPr>
            <w:r>
              <w:t>Élaboration de politiques et de partenariats et renforcement des capacités pour le patrimoine vivant en situation d</w:t>
            </w:r>
            <w:r w:rsidR="00086DE2">
              <w:t>’</w:t>
            </w:r>
            <w:r>
              <w:t>urgence climatique</w:t>
            </w:r>
          </w:p>
        </w:tc>
        <w:tc>
          <w:tcPr>
            <w:tcW w:w="2829" w:type="dxa"/>
          </w:tcPr>
          <w:p w14:paraId="64BE0B73" w14:textId="3312C3C1" w:rsidR="00B24427" w:rsidRPr="00277876" w:rsidRDefault="004600F5" w:rsidP="006467E0">
            <w:pPr>
              <w:pStyle w:val="COMPara"/>
              <w:spacing w:after="0"/>
              <w:rPr>
                <w:lang w:val="es-ES"/>
              </w:rPr>
            </w:pPr>
            <w:hyperlink r:id="rId25" w:history="1">
              <w:r w:rsidR="00A14AC4" w:rsidRPr="00277876">
                <w:rPr>
                  <w:rStyle w:val="Hyperlink"/>
                  <w:lang w:val="es-ES"/>
                </w:rPr>
                <w:t>LHE/24/EXP THEMA-CLIMA/4f</w:t>
              </w:r>
            </w:hyperlink>
          </w:p>
        </w:tc>
      </w:tr>
      <w:tr w:rsidR="001E0914" w:rsidRPr="00A14AC4" w14:paraId="41DC5899" w14:textId="77777777" w:rsidTr="00BA571C">
        <w:tc>
          <w:tcPr>
            <w:tcW w:w="6079" w:type="dxa"/>
          </w:tcPr>
          <w:p w14:paraId="7A1CEF26" w14:textId="66D25776" w:rsidR="001E0914" w:rsidRPr="00A14AC4" w:rsidRDefault="001E0914" w:rsidP="00F52718">
            <w:pPr>
              <w:pStyle w:val="COMPara"/>
              <w:spacing w:after="0"/>
            </w:pPr>
            <w:r>
              <w:t>Références bibliographiques</w:t>
            </w:r>
          </w:p>
        </w:tc>
        <w:tc>
          <w:tcPr>
            <w:tcW w:w="2829" w:type="dxa"/>
          </w:tcPr>
          <w:p w14:paraId="430F6D2E" w14:textId="71EC9DEC" w:rsidR="001E0914" w:rsidRPr="00A14AC4" w:rsidRDefault="004600F5" w:rsidP="006467E0">
            <w:pPr>
              <w:pStyle w:val="COMPara"/>
              <w:spacing w:after="0"/>
            </w:pPr>
            <w:hyperlink r:id="rId26" w:history="1">
              <w:r w:rsidR="00A14AC4">
                <w:rPr>
                  <w:rStyle w:val="Hyperlink"/>
                </w:rPr>
                <w:t>LHE/24/EXP THEMA-CLIMA/5</w:t>
              </w:r>
            </w:hyperlink>
          </w:p>
        </w:tc>
      </w:tr>
    </w:tbl>
    <w:p w14:paraId="5123C644" w14:textId="4E9E7F87" w:rsidR="00176B32" w:rsidRPr="00A14AC4" w:rsidRDefault="004C0843" w:rsidP="00403011">
      <w:pPr>
        <w:pStyle w:val="COMPara"/>
        <w:numPr>
          <w:ilvl w:val="0"/>
          <w:numId w:val="2"/>
        </w:numPr>
        <w:spacing w:before="240"/>
        <w:ind w:left="567" w:hanging="567"/>
        <w:jc w:val="both"/>
      </w:pPr>
      <w:r>
        <w:t>Les experts se sont félicités de l</w:t>
      </w:r>
      <w:r w:rsidR="00086DE2">
        <w:t>’</w:t>
      </w:r>
      <w:r>
        <w:t>abondante documentation fournie et ont soulevé plusieurs questions importantes au cours des discussions</w:t>
      </w:r>
      <w:r w:rsidR="00151BE2">
        <w:t> </w:t>
      </w:r>
      <w:r>
        <w:t>:</w:t>
      </w:r>
    </w:p>
    <w:p w14:paraId="499FC94C" w14:textId="602E75F3" w:rsidR="006C52D5" w:rsidRPr="00A14AC4" w:rsidRDefault="00E03BEE" w:rsidP="00681167">
      <w:pPr>
        <w:pStyle w:val="COMPara"/>
        <w:numPr>
          <w:ilvl w:val="1"/>
          <w:numId w:val="2"/>
        </w:numPr>
        <w:tabs>
          <w:tab w:val="left" w:pos="8100"/>
        </w:tabs>
        <w:ind w:left="993" w:hanging="426"/>
        <w:jc w:val="both"/>
      </w:pPr>
      <w:r>
        <w:t>La poursuite de l</w:t>
      </w:r>
      <w:r w:rsidR="00086DE2">
        <w:t>’</w:t>
      </w:r>
      <w:r>
        <w:t>élaboration et de la définition des termes et concepts clés a été considérée comme essentielle pour toutes les parties prenantes dans la conversation entre le changement climatique et le patrimoine culturel immatériel. Les experts ont souligné la difficulté supplémentaire de naviguer entre différents cadres institutionnels et terminologies sur le changement climatique et les risques de catastrophe, qui fonctionnent souvent de manière parallèle ou se chevauchent.</w:t>
      </w:r>
    </w:p>
    <w:p w14:paraId="76906279" w14:textId="33DCA128" w:rsidR="006C52D5" w:rsidRPr="00A14AC4" w:rsidRDefault="00BF07A6" w:rsidP="00681167">
      <w:pPr>
        <w:pStyle w:val="COMPara"/>
        <w:numPr>
          <w:ilvl w:val="1"/>
          <w:numId w:val="2"/>
        </w:numPr>
        <w:tabs>
          <w:tab w:val="left" w:pos="8100"/>
        </w:tabs>
        <w:ind w:left="993" w:hanging="426"/>
        <w:jc w:val="both"/>
      </w:pPr>
      <w:r>
        <w:t>Les experts ont rappelé l</w:t>
      </w:r>
      <w:r w:rsidR="00086DE2">
        <w:t>’</w:t>
      </w:r>
      <w:r>
        <w:t xml:space="preserve">importance de clarifier la contribution du changement climatique parmi </w:t>
      </w:r>
      <w:r w:rsidR="00E96876">
        <w:t xml:space="preserve">une série de </w:t>
      </w:r>
      <w:r>
        <w:t>facteurs d</w:t>
      </w:r>
      <w:r w:rsidR="00086DE2">
        <w:t>’</w:t>
      </w:r>
      <w:r>
        <w:t xml:space="preserve">impact </w:t>
      </w:r>
      <w:r w:rsidR="00E96876">
        <w:t xml:space="preserve">différents </w:t>
      </w:r>
      <w:r>
        <w:t>sur le patrimoine culturel immatériel, notamment les conflits, l</w:t>
      </w:r>
      <w:r w:rsidR="00086DE2">
        <w:t>’</w:t>
      </w:r>
      <w:r>
        <w:t xml:space="preserve">urbanisation et les inégalités croissantes. Plusieurs experts ont mis en avant la nécessité de se concentrer sur les </w:t>
      </w:r>
      <w:r w:rsidR="00B01D7E">
        <w:t xml:space="preserve">impacts </w:t>
      </w:r>
      <w:r>
        <w:t>directs et indirects du changement climatique sur les pratiques, les ressources et la transmission du patrimoine culturel immatériel, y compris les incidences rapides (résultant de catastrophes soudaines) ou lentes (telles que la transformation de l</w:t>
      </w:r>
      <w:r w:rsidR="00086DE2">
        <w:t>’</w:t>
      </w:r>
      <w:r>
        <w:t>habitat ou l</w:t>
      </w:r>
      <w:r w:rsidR="00086DE2">
        <w:t>’</w:t>
      </w:r>
      <w:r>
        <w:t>élévation du niveau de la mer).</w:t>
      </w:r>
    </w:p>
    <w:p w14:paraId="7839D81C" w14:textId="01948486" w:rsidR="00176B32" w:rsidRPr="00A14AC4" w:rsidRDefault="00642FFB" w:rsidP="00681167">
      <w:pPr>
        <w:pStyle w:val="COMPara"/>
        <w:numPr>
          <w:ilvl w:val="1"/>
          <w:numId w:val="2"/>
        </w:numPr>
        <w:tabs>
          <w:tab w:val="left" w:pos="8100"/>
        </w:tabs>
        <w:ind w:left="993" w:hanging="426"/>
        <w:jc w:val="both"/>
      </w:pPr>
      <w:r>
        <w:t>La nécessité d</w:t>
      </w:r>
      <w:r w:rsidR="00086DE2">
        <w:t>’</w:t>
      </w:r>
      <w:r>
        <w:t>inscrire le</w:t>
      </w:r>
      <w:r w:rsidR="00985B71">
        <w:t>s discussions</w:t>
      </w:r>
      <w:r>
        <w:t xml:space="preserve"> sur le changement climatique et le patrimoine culturel immatériel dans le cadre des droits de l</w:t>
      </w:r>
      <w:r w:rsidR="00086DE2">
        <w:t>’</w:t>
      </w:r>
      <w:r>
        <w:t>homme et des droits culturels a été largement soutenue par les experts. Un soutien similaire a été exprimé quant à l</w:t>
      </w:r>
      <w:r w:rsidR="00086DE2">
        <w:t>’</w:t>
      </w:r>
      <w:r>
        <w:t>importance de s</w:t>
      </w:r>
      <w:r w:rsidR="00086DE2">
        <w:t>’</w:t>
      </w:r>
      <w:r>
        <w:t>appuyer sur des cadres éthiques établis pour s</w:t>
      </w:r>
      <w:r w:rsidR="00086DE2">
        <w:t>’</w:t>
      </w:r>
      <w:r>
        <w:t>engager avec les parties prenantes et pour articuler et défendre les valeurs des porteurs du patrimoine culturel immatériel.</w:t>
      </w:r>
    </w:p>
    <w:p w14:paraId="19CC980C" w14:textId="01443A61" w:rsidR="004B28A1" w:rsidRPr="00A14AC4" w:rsidRDefault="00D42800" w:rsidP="00CA7E4D">
      <w:pPr>
        <w:pStyle w:val="COMPara"/>
        <w:numPr>
          <w:ilvl w:val="0"/>
          <w:numId w:val="2"/>
        </w:numPr>
        <w:ind w:left="567" w:hanging="567"/>
        <w:jc w:val="both"/>
      </w:pPr>
      <w:r>
        <w:t>Le projet de note d</w:t>
      </w:r>
      <w:r w:rsidR="00086DE2">
        <w:t>’</w:t>
      </w:r>
      <w:r>
        <w:t>orientation se trouve en annexe et comprend une introduction présentant les termes et concepts clés ainsi que les principales conclusions basées sur les documents de référence préparés. Il est accompagné d</w:t>
      </w:r>
      <w:r w:rsidR="00086DE2">
        <w:t>’</w:t>
      </w:r>
      <w:r>
        <w:t>une note d</w:t>
      </w:r>
      <w:r w:rsidR="00086DE2">
        <w:t>’</w:t>
      </w:r>
      <w:r>
        <w:t>orientation qui propose une approche globale</w:t>
      </w:r>
      <w:r w:rsidR="00766AD5">
        <w:t xml:space="preserve"> de l</w:t>
      </w:r>
      <w:r w:rsidR="00086DE2">
        <w:t>’</w:t>
      </w:r>
      <w:r w:rsidR="00766AD5">
        <w:t>action climatique</w:t>
      </w:r>
      <w:r>
        <w:t>, fondée sur les droits et centrée sur les personnes, en faveur du patrimoine vivant, à travers trois objectifs clés, deux préoccupations transversales et cinq domaines d</w:t>
      </w:r>
      <w:r w:rsidR="00086DE2">
        <w:t>’</w:t>
      </w:r>
      <w:r>
        <w:t xml:space="preserve">intervention potentiels pour les parties prenantes de la Convention. </w:t>
      </w:r>
    </w:p>
    <w:p w14:paraId="1CF9FE9A" w14:textId="65DDA8E3" w:rsidR="00F469CD" w:rsidRPr="00A14AC4" w:rsidRDefault="00166302" w:rsidP="00CA7E4D">
      <w:pPr>
        <w:pStyle w:val="COMPara"/>
        <w:numPr>
          <w:ilvl w:val="0"/>
          <w:numId w:val="2"/>
        </w:numPr>
        <w:ind w:left="567" w:hanging="567"/>
        <w:jc w:val="both"/>
      </w:pPr>
      <w:r>
        <w:t>Ce texte ne se veut pas exhaustif par nature mais soulève plutôt une série de questions, offrant une perspective collective sur la façon dont la Convention peut contribuer à l</w:t>
      </w:r>
      <w:r w:rsidR="00086DE2">
        <w:t>’</w:t>
      </w:r>
      <w:r>
        <w:t>action climatique dans trois domaines clés</w:t>
      </w:r>
      <w:r w:rsidR="00151BE2">
        <w:t> </w:t>
      </w:r>
      <w:r>
        <w:t>: a) l</w:t>
      </w:r>
      <w:r w:rsidR="00086DE2">
        <w:t>’</w:t>
      </w:r>
      <w:r>
        <w:t>adaptation au changement climatique, b) l</w:t>
      </w:r>
      <w:r w:rsidR="00086DE2">
        <w:t>’</w:t>
      </w:r>
      <w:r>
        <w:t>atténuation du changement climatique et c) la sauvegarde du patrimoine vivant. Compte tenu de la nature dynamique et rapidement évolutive de ce domaine et de la diversité des acteurs concernés, la note d</w:t>
      </w:r>
      <w:r w:rsidR="00086DE2">
        <w:t>’</w:t>
      </w:r>
      <w:r>
        <w:t>orientation est conçue de sorte à rester flexible, afin de pouvoir s</w:t>
      </w:r>
      <w:r w:rsidR="00086DE2">
        <w:t>’</w:t>
      </w:r>
      <w:r>
        <w:t>adapter aux différents contextes, communautés et types de patrimoine vivant concernés. Bien que le texte s</w:t>
      </w:r>
      <w:r w:rsidR="00086DE2">
        <w:t>’</w:t>
      </w:r>
      <w:r>
        <w:t>adresse à un large public et évite les références spécifiques à des groupes, des intérêts ou des institutions particuliers, les experts ont discuté de plusieurs initiatives en cours qui présentent un intérêt à l</w:t>
      </w:r>
      <w:r w:rsidR="00086DE2">
        <w:t>’</w:t>
      </w:r>
      <w:r>
        <w:t>intersection du patrimoine vivant et du changement climatique.</w:t>
      </w:r>
    </w:p>
    <w:p w14:paraId="79E79EF6" w14:textId="45063BFD" w:rsidR="004262A8" w:rsidRPr="00A14AC4" w:rsidRDefault="00B44732" w:rsidP="00CA7E4D">
      <w:pPr>
        <w:pStyle w:val="COMPara"/>
        <w:numPr>
          <w:ilvl w:val="0"/>
          <w:numId w:val="2"/>
        </w:numPr>
        <w:ind w:left="567" w:hanging="567"/>
        <w:jc w:val="both"/>
        <w:rPr>
          <w:rFonts w:eastAsia="Malgun Gothic"/>
        </w:rPr>
      </w:pPr>
      <w:r>
        <w:t xml:space="preserve">Les experts ont </w:t>
      </w:r>
      <w:r w:rsidR="002800C1">
        <w:t xml:space="preserve">en particulier </w:t>
      </w:r>
      <w:r>
        <w:t>reconnu les récentes déclarations et les progrès réalisés sur l</w:t>
      </w:r>
      <w:r w:rsidR="00086DE2">
        <w:t>’</w:t>
      </w:r>
      <w:r>
        <w:t xml:space="preserve">intégration de la culture dans les discussions mondiales sur le climat, y compris la création du </w:t>
      </w:r>
      <w:r w:rsidR="005329D8">
        <w:t>G</w:t>
      </w:r>
      <w:r>
        <w:t>roupe des amis de l</w:t>
      </w:r>
      <w:r w:rsidR="00086DE2">
        <w:t>’</w:t>
      </w:r>
      <w:r>
        <w:t>action climatique basée sur la culture lors de la 28e</w:t>
      </w:r>
      <w:r w:rsidR="00151BE2">
        <w:t> </w:t>
      </w:r>
      <w:r w:rsidR="002800C1">
        <w:t>C</w:t>
      </w:r>
      <w:r>
        <w:t>onférence des Nations unies sur le</w:t>
      </w:r>
      <w:r w:rsidR="002800C1">
        <w:t>s</w:t>
      </w:r>
      <w:r>
        <w:t xml:space="preserve"> changement</w:t>
      </w:r>
      <w:r w:rsidR="002800C1">
        <w:t>s</w:t>
      </w:r>
      <w:r>
        <w:t xml:space="preserve"> climatique</w:t>
      </w:r>
      <w:r w:rsidR="002800C1">
        <w:t>s</w:t>
      </w:r>
      <w:r>
        <w:t xml:space="preserve"> (COP28) en 2023. </w:t>
      </w:r>
      <w:r w:rsidR="005329D8">
        <w:t>En outre, ils</w:t>
      </w:r>
      <w:r>
        <w:t xml:space="preserve"> ont </w:t>
      </w:r>
      <w:r w:rsidR="005329D8">
        <w:t xml:space="preserve">souligné </w:t>
      </w:r>
      <w:r>
        <w:t>l</w:t>
      </w:r>
      <w:r w:rsidR="00086DE2">
        <w:t>’</w:t>
      </w:r>
      <w:r>
        <w:t xml:space="preserve">objectif de protection du patrimoine culturel contre les impacts des risques liés au climat dans </w:t>
      </w:r>
      <w:r w:rsidR="005329D8">
        <w:t xml:space="preserve">le </w:t>
      </w:r>
      <w:r w:rsidR="005329D8" w:rsidRPr="00F52718">
        <w:rPr>
          <w:rStyle w:val="Strong"/>
          <w:b w:val="0"/>
          <w:bCs w:val="0"/>
          <w:spacing w:val="2"/>
        </w:rPr>
        <w:t>Cadre des Émirats arabes unis pour la résilience climatique mondiale</w:t>
      </w:r>
      <w:r w:rsidRPr="00F52718">
        <w:rPr>
          <w:b/>
        </w:rPr>
        <w:t>,</w:t>
      </w:r>
      <w:r w:rsidRPr="005329D8">
        <w:t xml:space="preserve"> </w:t>
      </w:r>
      <w:r>
        <w:t>qui guide la réalisation de l</w:t>
      </w:r>
      <w:r w:rsidR="00086DE2">
        <w:t>’</w:t>
      </w:r>
      <w:r>
        <w:t>objectif mondial en matière d</w:t>
      </w:r>
      <w:r w:rsidR="00086DE2">
        <w:t>’</w:t>
      </w:r>
      <w:r>
        <w:t>adaptation.</w:t>
      </w:r>
      <w:r>
        <w:rPr>
          <w:b/>
        </w:rPr>
        <w:t xml:space="preserve"> </w:t>
      </w:r>
      <w:r>
        <w:t>Ils ont également discuté de la pertinence des efforts visant à intégrer les perspectives des communautés locales et des peuples autochtones dans l</w:t>
      </w:r>
      <w:r w:rsidR="00086DE2">
        <w:t>’</w:t>
      </w:r>
      <w:r>
        <w:t xml:space="preserve">action climatique, </w:t>
      </w:r>
      <w:r w:rsidR="00B66194">
        <w:t xml:space="preserve">comme </w:t>
      </w:r>
      <w:r>
        <w:t xml:space="preserve">par le biais de la </w:t>
      </w:r>
      <w:r w:rsidR="00B66194">
        <w:t>P</w:t>
      </w:r>
      <w:r>
        <w:t xml:space="preserve">lateforme des communautés locales et des peuples autochtones (LCIPP) dans le cadre de la </w:t>
      </w:r>
      <w:r w:rsidR="00B66194">
        <w:t>C</w:t>
      </w:r>
      <w:r>
        <w:t>onvention-cadre des Nations unies sur les changements climatiques</w:t>
      </w:r>
      <w:r w:rsidR="00066068">
        <w:t>.</w:t>
      </w:r>
      <w:r w:rsidR="00AB34E6">
        <w:rPr>
          <w:rStyle w:val="FootnoteReference"/>
        </w:rPr>
        <w:footnoteReference w:id="3"/>
      </w:r>
    </w:p>
    <w:p w14:paraId="756ADBC9" w14:textId="77777777" w:rsidR="00EC42DA" w:rsidRPr="00A14AC4" w:rsidRDefault="00EC42DA" w:rsidP="008A2EBC">
      <w:pPr>
        <w:pStyle w:val="Heading4"/>
      </w:pPr>
      <w:r>
        <w:t>Sauvegarde du patrimoine culturel immatériel en milieu urbain</w:t>
      </w:r>
    </w:p>
    <w:p w14:paraId="1E41C13B" w14:textId="7CB58540" w:rsidR="00E755A4" w:rsidRPr="00A14AC4" w:rsidRDefault="005D2239" w:rsidP="00CA7E4D">
      <w:pPr>
        <w:pStyle w:val="COMPara"/>
        <w:numPr>
          <w:ilvl w:val="0"/>
          <w:numId w:val="2"/>
        </w:numPr>
        <w:ind w:left="567" w:hanging="567"/>
        <w:jc w:val="both"/>
      </w:pPr>
      <w:r>
        <w:t>Une grande partie des plans d</w:t>
      </w:r>
      <w:r w:rsidR="00086DE2">
        <w:t>’</w:t>
      </w:r>
      <w:r>
        <w:t>urbanisme se concentrent sur les structures fonctionnelles sans tenir compte de la manière dont l</w:t>
      </w:r>
      <w:r w:rsidR="00086DE2">
        <w:t>’</w:t>
      </w:r>
      <w:r>
        <w:t>organisation et la gestion de l</w:t>
      </w:r>
      <w:r w:rsidR="00086DE2">
        <w:t>’</w:t>
      </w:r>
      <w:r>
        <w:t>espace peuvent avoir un impact sur le patrimoine vivant des communautés. En outre, ces plans négligent souvent les actions requises pour garantir que les villes facilitent la transmission continue du patrimoine vivant en tant qu</w:t>
      </w:r>
      <w:r w:rsidR="00086DE2">
        <w:t>’</w:t>
      </w:r>
      <w:r>
        <w:t>élément essentiel du bien-être social des habitants. Il est donc important d</w:t>
      </w:r>
      <w:r w:rsidR="00086DE2">
        <w:t>’</w:t>
      </w:r>
      <w:r>
        <w:t>identifier les questions clés, les défis et opportunités liés à la sauvegarde du patrimoine vivant dans les contextes urbains du point de vue de la planification.</w:t>
      </w:r>
    </w:p>
    <w:p w14:paraId="45717EF7" w14:textId="0D92E911" w:rsidR="00AF5218" w:rsidRPr="00A14AC4" w:rsidRDefault="000969FA" w:rsidP="00DE24D6">
      <w:pPr>
        <w:pStyle w:val="COMPara"/>
        <w:numPr>
          <w:ilvl w:val="0"/>
          <w:numId w:val="2"/>
        </w:numPr>
        <w:ind w:left="567" w:hanging="567"/>
        <w:jc w:val="both"/>
      </w:pPr>
      <w:r>
        <w:t>Au cours de la période considérée, le Secrétariat a progressé dans la finalisation d</w:t>
      </w:r>
      <w:r w:rsidR="00086DE2">
        <w:t>’</w:t>
      </w:r>
      <w:r>
        <w:t>une série de documents destinés à soutenir les consultations d</w:t>
      </w:r>
      <w:r w:rsidR="00086DE2">
        <w:t>’</w:t>
      </w:r>
      <w:r>
        <w:t>experts et l</w:t>
      </w:r>
      <w:r w:rsidR="00086DE2">
        <w:t>’</w:t>
      </w:r>
      <w:r>
        <w:t>organisation d</w:t>
      </w:r>
      <w:r w:rsidR="00086DE2">
        <w:t>’</w:t>
      </w:r>
      <w:r>
        <w:t>une réunion d</w:t>
      </w:r>
      <w:r w:rsidR="00086DE2">
        <w:t>’</w:t>
      </w:r>
      <w:r>
        <w:t>experts (catégorie</w:t>
      </w:r>
      <w:r w:rsidR="00151BE2">
        <w:t> </w:t>
      </w:r>
      <w:r>
        <w:t xml:space="preserve">VI), prévue pour 2025. Les révisions ultérieures du document de </w:t>
      </w:r>
      <w:r w:rsidR="00992CA4">
        <w:t xml:space="preserve">référence </w:t>
      </w:r>
      <w:r>
        <w:t>ont bénéficié de la contribution du groupe d</w:t>
      </w:r>
      <w:r w:rsidR="00086DE2">
        <w:t>’</w:t>
      </w:r>
      <w:r w:rsidR="00992CA4">
        <w:t>examen</w:t>
      </w:r>
      <w:r>
        <w:t xml:space="preserve"> par les pairs mis en place pour cette initiative thématique. En intégrant l</w:t>
      </w:r>
      <w:r w:rsidR="00480EF8">
        <w:t>a revue de la littérature</w:t>
      </w:r>
      <w:r>
        <w:t xml:space="preserve"> et les études de cas, ce document met en évidence des questions clés pour favoriser les synergies entre la sauvegarde du patrimoine et le développement urbain durable, tout en exposant des approches méthodologiques pour l</w:t>
      </w:r>
      <w:r w:rsidR="00086DE2">
        <w:t>’</w:t>
      </w:r>
      <w:r>
        <w:t>intégration du patrimoine vivant dans les contextes urbains. Il est prévu une nouvelle fois d</w:t>
      </w:r>
      <w:r w:rsidR="00086DE2">
        <w:t>’</w:t>
      </w:r>
      <w:r>
        <w:t>identifier un groupe d</w:t>
      </w:r>
      <w:r w:rsidR="00086DE2">
        <w:t>’</w:t>
      </w:r>
      <w:r>
        <w:t>experts par le biais d</w:t>
      </w:r>
      <w:r w:rsidR="00086DE2">
        <w:t>’</w:t>
      </w:r>
      <w:r>
        <w:t>un appel demandant aux États parties de nommer des experts compétents.</w:t>
      </w:r>
    </w:p>
    <w:p w14:paraId="2E20B4A8" w14:textId="2AF4D569" w:rsidR="00AF5218" w:rsidRPr="00A14AC4" w:rsidRDefault="009E1487" w:rsidP="00E62EA2">
      <w:pPr>
        <w:pStyle w:val="COMPara"/>
        <w:numPr>
          <w:ilvl w:val="0"/>
          <w:numId w:val="2"/>
        </w:numPr>
        <w:ind w:left="567" w:hanging="567"/>
        <w:jc w:val="both"/>
      </w:pPr>
      <w:r>
        <w:t>Parallèlement, le développement d</w:t>
      </w:r>
      <w:r w:rsidR="00086DE2">
        <w:t>’</w:t>
      </w:r>
      <w:r>
        <w:t>une approche de renforcement des capacités, élaborée en collaboration par un expert en patrimoine culturel immatériel et un spécialiste de l</w:t>
      </w:r>
      <w:r w:rsidR="00086DE2">
        <w:t>’</w:t>
      </w:r>
      <w:r>
        <w:t>urbanisme, a constitué une réalisation notable. Ce programme de formation aborde la relation entre la sauvegarde du patrimoine culturel immatériel et le développement urbain durable, explore les synergies avec les principaux cadres politiques dans les domaines du patrimoine et du développement urbain, et fournit une sélection d</w:t>
      </w:r>
      <w:r w:rsidR="00086DE2">
        <w:t>’</w:t>
      </w:r>
      <w:r>
        <w:t>outils pratiques pour l</w:t>
      </w:r>
      <w:r w:rsidR="00086DE2">
        <w:t>’</w:t>
      </w:r>
      <w:r>
        <w:t>intégration efficace du patrimoine vivant dans les contextes urbains. Cette approche a été développée dans le cadre d</w:t>
      </w:r>
      <w:r w:rsidR="00086DE2">
        <w:t>’</w:t>
      </w:r>
      <w:r>
        <w:t xml:space="preserve">un projet régional </w:t>
      </w:r>
      <w:r w:rsidR="00480EF8" w:rsidRPr="00480EF8">
        <w:t>Amérique latine et Caraïbes : Renforcer les capacités pour des communautés résilientes grâce au tourisme durable et à la sauvegarde du patrimoine</w:t>
      </w:r>
      <w:r>
        <w:t>, qui implique dix pays de la région. L</w:t>
      </w:r>
      <w:r w:rsidR="00086DE2">
        <w:t>’</w:t>
      </w:r>
      <w:r>
        <w:t>approche du renforcement des capacités, qui repose sur une collaboration intersectorielle, va être examinée par des équipes d</w:t>
      </w:r>
      <w:r w:rsidR="00086DE2">
        <w:t>’</w:t>
      </w:r>
      <w:r>
        <w:t>experts nationaux dans le cadre d</w:t>
      </w:r>
      <w:r w:rsidR="00086DE2">
        <w:t>’</w:t>
      </w:r>
      <w:r>
        <w:t>une formation en ligne qui sera organisée au cours du premier semestre</w:t>
      </w:r>
      <w:r w:rsidR="00151BE2">
        <w:t> </w:t>
      </w:r>
      <w:r>
        <w:t>2025. Ce processus s</w:t>
      </w:r>
      <w:r w:rsidR="00086DE2">
        <w:t>’</w:t>
      </w:r>
      <w:r>
        <w:t>appuie sur la double expertise des équipes, associant patrimoine culturel immatériel et développement urbain au niveau national. Sur la base de ces informations, le matériel de formation est en cours de finalisation, tandis que l</w:t>
      </w:r>
      <w:r w:rsidR="00086DE2">
        <w:t>’</w:t>
      </w:r>
      <w:r>
        <w:t xml:space="preserve">approche est déployée dans les pays participants en étroite collaboration avec la Coordination éducative et culturelle centraméricaine </w:t>
      </w:r>
      <w:r w:rsidR="002B3E63">
        <w:t xml:space="preserve">et le </w:t>
      </w:r>
      <w:r>
        <w:t>Système d</w:t>
      </w:r>
      <w:r w:rsidR="00086DE2">
        <w:t>’</w:t>
      </w:r>
      <w:r>
        <w:t>intégration centraméricain (CECC/SICA).</w:t>
      </w:r>
    </w:p>
    <w:p w14:paraId="14EC9500" w14:textId="77777777" w:rsidR="00EC42DA" w:rsidRPr="00A14AC4" w:rsidRDefault="00EC42DA" w:rsidP="00EC42DA">
      <w:pPr>
        <w:pStyle w:val="COMPara"/>
        <w:spacing w:before="240"/>
        <w:jc w:val="both"/>
        <w:rPr>
          <w:b/>
          <w:bCs/>
        </w:rPr>
      </w:pPr>
      <w:r>
        <w:rPr>
          <w:b/>
        </w:rPr>
        <w:t>Principales considérations</w:t>
      </w:r>
    </w:p>
    <w:p w14:paraId="6E464AE7" w14:textId="1FA19469" w:rsidR="00924014" w:rsidRPr="00A14AC4" w:rsidRDefault="00A261B2" w:rsidP="00A261B2">
      <w:pPr>
        <w:pStyle w:val="COMPara"/>
        <w:numPr>
          <w:ilvl w:val="0"/>
          <w:numId w:val="2"/>
        </w:numPr>
        <w:ind w:left="567" w:hanging="567"/>
        <w:jc w:val="both"/>
      </w:pPr>
      <w:r>
        <w:t>Cette année marque le troisième rapport concernant les initiatives thématiques axées sur le patrimoine vivant et le développement durable. Au cours de cette période, des progrès substantiels ont été réalisés dans les trois domaines thématiques grâce à la cartographie des parties prenantes, aux consultations d</w:t>
      </w:r>
      <w:r w:rsidR="00086DE2">
        <w:t>’</w:t>
      </w:r>
      <w:r>
        <w:t>experts, aux projets opérationnels ainsi qu</w:t>
      </w:r>
      <w:r w:rsidR="00086DE2">
        <w:t>’</w:t>
      </w:r>
      <w:r>
        <w:t xml:space="preserve">aux </w:t>
      </w:r>
      <w:r w:rsidR="00246B87">
        <w:t>actions</w:t>
      </w:r>
      <w:r>
        <w:t xml:space="preserve"> de sensibilisation. Ces efforts ont mis en évidence à la fois de nouvelles opportunités et des difficultés persistantes, suscitant une réflexion sur la meilleure façon d</w:t>
      </w:r>
      <w:r w:rsidR="00086DE2">
        <w:t>’</w:t>
      </w:r>
      <w:r>
        <w:t>exploiter les atouts de la Convention à l</w:t>
      </w:r>
      <w:r w:rsidR="00086DE2">
        <w:t>’</w:t>
      </w:r>
      <w:r>
        <w:t>avenir. Afin d</w:t>
      </w:r>
      <w:r w:rsidR="00086DE2">
        <w:t>’</w:t>
      </w:r>
      <w:r>
        <w:t>assurer la viabilité des prochaines étapes, le Comité souhaitera peut-être encourager les États parties et d</w:t>
      </w:r>
      <w:r w:rsidR="00086DE2">
        <w:t>’</w:t>
      </w:r>
      <w:r>
        <w:t>autres partenaires potentiels à fournir des contributions financières pour soutenir les initiatives thématiques de la Convention.</w:t>
      </w:r>
    </w:p>
    <w:p w14:paraId="460CBAA8" w14:textId="24AC5DE2" w:rsidR="00212EDA" w:rsidRPr="00A14AC4" w:rsidRDefault="00305A5E" w:rsidP="00CA7E4D">
      <w:pPr>
        <w:pStyle w:val="COMPara"/>
        <w:numPr>
          <w:ilvl w:val="0"/>
          <w:numId w:val="2"/>
        </w:numPr>
        <w:ind w:left="567" w:hanging="567"/>
        <w:jc w:val="both"/>
      </w:pPr>
      <w:r>
        <w:rPr>
          <w:b/>
        </w:rPr>
        <w:t>Collaboration intersectorielle et interagences</w:t>
      </w:r>
      <w:r w:rsidR="00151BE2">
        <w:t> </w:t>
      </w:r>
      <w:r>
        <w:t>: L</w:t>
      </w:r>
      <w:r w:rsidR="00086DE2">
        <w:t>’</w:t>
      </w:r>
      <w:r>
        <w:t>un des principaux objectifs des initiatives thématiques a été de renforcer la collaboration intersectorielle, ce qui a donné lieu à des progrès notables. Cet objectif a été atteint grâce à des échanges techniques entre les institutions et les agences des Nations unies, à la cartographie des cadres politiques pertinents et à l</w:t>
      </w:r>
      <w:r w:rsidR="00086DE2">
        <w:t>’</w:t>
      </w:r>
      <w:r>
        <w:t>engagement d</w:t>
      </w:r>
      <w:r w:rsidR="00086DE2">
        <w:t>’</w:t>
      </w:r>
      <w:r>
        <w:t>experts de différents secteurs. Il est néanmoins essentiel de continuer à s</w:t>
      </w:r>
      <w:r w:rsidR="00086DE2">
        <w:t>’</w:t>
      </w:r>
      <w:r>
        <w:t>engager dans les programmes de développement mondiaux pour maximiser l</w:t>
      </w:r>
      <w:r w:rsidR="00086DE2">
        <w:t>’</w:t>
      </w:r>
      <w:r>
        <w:t>impact de ces initiatives. La collaboration stratégique et la sensibilisation - par le biais d</w:t>
      </w:r>
      <w:r w:rsidR="00086DE2">
        <w:t>’</w:t>
      </w:r>
      <w:r>
        <w:t xml:space="preserve">initiatives mondiales telles que MONDIACULT et le </w:t>
      </w:r>
      <w:r w:rsidR="00342AE4" w:rsidRPr="00342AE4">
        <w:t>Groupe des amis de l</w:t>
      </w:r>
      <w:r w:rsidR="00086DE2">
        <w:t>’</w:t>
      </w:r>
      <w:r w:rsidR="00342AE4" w:rsidRPr="00342AE4">
        <w:t xml:space="preserve">action climatique basée sur la culture </w:t>
      </w:r>
      <w:r>
        <w:t>- seront essentiels pour rapprocher les discussions mondiales sur la culture et le développement durable et pour renforcer le patrimoine vivant en tant qu</w:t>
      </w:r>
      <w:r w:rsidR="00086DE2">
        <w:t>’</w:t>
      </w:r>
      <w:r>
        <w:t xml:space="preserve">outil de transformation sociale, économique et environnementale. </w:t>
      </w:r>
      <w:r w:rsidR="00342AE4">
        <w:t>A la suite du</w:t>
      </w:r>
      <w:r>
        <w:t xml:space="preserve"> vingtième anniversaire de la </w:t>
      </w:r>
      <w:r w:rsidR="0052272B">
        <w:t>C</w:t>
      </w:r>
      <w:r>
        <w:t>onvention</w:t>
      </w:r>
      <w:r w:rsidR="00342AE4">
        <w:t>,</w:t>
      </w:r>
      <w:r>
        <w:t xml:space="preserve"> </w:t>
      </w:r>
      <w:r w:rsidR="00342AE4">
        <w:t>une opportunité se présente</w:t>
      </w:r>
      <w:r>
        <w:t xml:space="preserve"> de réfléchir à la manière dont ses mécanismes peuvent renforcer les efforts intersectoriels dans chacun des domaines thématiques par l</w:t>
      </w:r>
      <w:r w:rsidR="00086DE2">
        <w:t>’</w:t>
      </w:r>
      <w:r>
        <w:t>échange de bonnes pratiques, la collecte de données et la sensibilisation.</w:t>
      </w:r>
    </w:p>
    <w:p w14:paraId="4ECC0D39" w14:textId="3DA23EEF" w:rsidR="007D39A3" w:rsidRPr="00A14AC4" w:rsidRDefault="007D39A3" w:rsidP="00CA7E4D">
      <w:pPr>
        <w:pStyle w:val="COMPara"/>
        <w:numPr>
          <w:ilvl w:val="0"/>
          <w:numId w:val="2"/>
        </w:numPr>
        <w:ind w:left="567" w:hanging="567"/>
        <w:jc w:val="both"/>
      </w:pPr>
      <w:r>
        <w:rPr>
          <w:b/>
        </w:rPr>
        <w:t>Rôles des parties prenantes et des acteurs</w:t>
      </w:r>
      <w:r w:rsidR="00151BE2">
        <w:t> </w:t>
      </w:r>
      <w:r>
        <w:t>: La contribution et l</w:t>
      </w:r>
      <w:r w:rsidR="00086DE2">
        <w:t>’</w:t>
      </w:r>
      <w:r>
        <w:t>engagement de la Convention dans ces initiatives continueront d</w:t>
      </w:r>
      <w:r w:rsidR="00086DE2">
        <w:t>’</w:t>
      </w:r>
      <w:r>
        <w:t xml:space="preserve">être complétés par les activités de diverses parties prenantes de la Convention, </w:t>
      </w:r>
      <w:r w:rsidR="000E5E2E">
        <w:t xml:space="preserve">incluant </w:t>
      </w:r>
      <w:r>
        <w:t>les centres de catégorie</w:t>
      </w:r>
      <w:r w:rsidR="00151BE2">
        <w:t> </w:t>
      </w:r>
      <w:r>
        <w:t xml:space="preserve">2, les chaires UNESCO et les organisations non gouvernementales (ONG) accréditées. Comme indiqué </w:t>
      </w:r>
      <w:r w:rsidR="008118A7">
        <w:t xml:space="preserve">par exemple </w:t>
      </w:r>
      <w:r>
        <w:t>à la session actuelle du Comité au point</w:t>
      </w:r>
      <w:r w:rsidR="00151BE2">
        <w:t> </w:t>
      </w:r>
      <w:r>
        <w:t>13 (</w:t>
      </w:r>
      <w:r w:rsidRPr="00086DE2">
        <w:t xml:space="preserve">document </w:t>
      </w:r>
      <w:hyperlink r:id="rId27" w:history="1">
        <w:r w:rsidRPr="00086DE2">
          <w:rPr>
            <w:rStyle w:val="Hyperlink"/>
            <w:rFonts w:cs="Arial"/>
          </w:rPr>
          <w:t>LHE/24/19.COM/13</w:t>
        </w:r>
      </w:hyperlink>
      <w:r w:rsidRPr="00086DE2">
        <w:t>), le</w:t>
      </w:r>
      <w:r>
        <w:t xml:space="preserve"> forum des ONG du PCI a mené, par l</w:t>
      </w:r>
      <w:r w:rsidR="00086DE2">
        <w:t>’</w:t>
      </w:r>
      <w:r>
        <w:t>intermédiaire de ses groupes de travail, des recherches dans divers domaines thématiques, notamment le tourisme durable, les questions de propriété intellectuelle et le changement climatique. La douzième réunion annuelle de coordination des centres de catégorie</w:t>
      </w:r>
      <w:r w:rsidR="00151BE2">
        <w:t> </w:t>
      </w:r>
      <w:r>
        <w:t>2 actifs dans le domaine du patrimoine culturel immatériel a également inscrit à son ordre du jour une session sur le patrimoine vivant et le changement climatique. Le renforcement de ces réseaux et de cette collaboration sera important pour promouvoir une approche cohérente et durable des initiatives thématiques de la Convention à l</w:t>
      </w:r>
      <w:r w:rsidR="00086DE2">
        <w:t>’</w:t>
      </w:r>
      <w:r>
        <w:t>avenir.</w:t>
      </w:r>
    </w:p>
    <w:p w14:paraId="3C011F2A" w14:textId="06956A41" w:rsidR="001B756A" w:rsidRPr="00A14AC4" w:rsidRDefault="00D84737" w:rsidP="00D84737">
      <w:pPr>
        <w:pStyle w:val="COMPara"/>
        <w:numPr>
          <w:ilvl w:val="0"/>
          <w:numId w:val="2"/>
        </w:numPr>
        <w:ind w:left="567" w:hanging="567"/>
        <w:jc w:val="both"/>
      </w:pPr>
      <w:r>
        <w:rPr>
          <w:b/>
        </w:rPr>
        <w:t>Thème supplémentaire</w:t>
      </w:r>
      <w:r w:rsidR="00151BE2">
        <w:t> </w:t>
      </w:r>
      <w:r>
        <w:t>: Si les trois initiatives thématiques en cours restent pertinentes pour le développement de la Convention, les réflexions menées jusqu</w:t>
      </w:r>
      <w:r w:rsidR="00086DE2">
        <w:t>’</w:t>
      </w:r>
      <w:r>
        <w:t>au vingtième anniversaire en 2023 ont mis en évidence la nécessité d</w:t>
      </w:r>
      <w:r w:rsidR="00086DE2">
        <w:t>’</w:t>
      </w:r>
      <w:r>
        <w:t>examiner également les opportunités et les défis présentés par les technologies numériques émergentes, en particulier l</w:t>
      </w:r>
      <w:r w:rsidR="00086DE2">
        <w:t>’</w:t>
      </w:r>
      <w:r>
        <w:t>intelligence artificielle (IA), pour la sauvegarde du patrimoine vivant. Si l</w:t>
      </w:r>
      <w:r w:rsidR="00086DE2">
        <w:t>’</w:t>
      </w:r>
      <w:r>
        <w:t>IA permet d</w:t>
      </w:r>
      <w:r w:rsidR="00086DE2">
        <w:t>’</w:t>
      </w:r>
      <w:r>
        <w:t>élargir l</w:t>
      </w:r>
      <w:r w:rsidR="00086DE2">
        <w:t>’</w:t>
      </w:r>
      <w:r>
        <w:t>accès au patrimoine vivant et les formes qu</w:t>
      </w:r>
      <w:r w:rsidR="00086DE2">
        <w:t>’</w:t>
      </w:r>
      <w:r>
        <w:t xml:space="preserve">il revêt, elle présente également des risques sans précédent. La technologie devenant de plus en plus accessible, il </w:t>
      </w:r>
      <w:r>
        <w:rPr>
          <w:color w:val="000000" w:themeColor="text1"/>
        </w:rPr>
        <w:t xml:space="preserve">sera </w:t>
      </w:r>
      <w:r w:rsidR="00AF1E3D">
        <w:rPr>
          <w:color w:val="000000" w:themeColor="text1"/>
        </w:rPr>
        <w:t xml:space="preserve">crucial </w:t>
      </w:r>
      <w:r>
        <w:rPr>
          <w:color w:val="000000" w:themeColor="text1"/>
        </w:rPr>
        <w:t>de veiller à ce que les communautés soient en mesure de l</w:t>
      </w:r>
      <w:r w:rsidR="00086DE2">
        <w:rPr>
          <w:color w:val="000000" w:themeColor="text1"/>
        </w:rPr>
        <w:t>’</w:t>
      </w:r>
      <w:r>
        <w:rPr>
          <w:color w:val="000000" w:themeColor="text1"/>
        </w:rPr>
        <w:t>exploiter à des fins de sauvegarde, tout en atténuant les risques qu</w:t>
      </w:r>
      <w:r w:rsidR="00086DE2">
        <w:rPr>
          <w:color w:val="000000" w:themeColor="text1"/>
        </w:rPr>
        <w:t>’</w:t>
      </w:r>
      <w:r>
        <w:rPr>
          <w:color w:val="000000" w:themeColor="text1"/>
        </w:rPr>
        <w:t xml:space="preserve">elles peuvent rencontrer dans un environnement de plus en plus numérisé. </w:t>
      </w:r>
      <w:r>
        <w:t>Le Secrétariat a lancé des actions dans ce domaine, notamment par le biais d</w:t>
      </w:r>
      <w:r w:rsidR="00086DE2">
        <w:t>’</w:t>
      </w:r>
      <w:r>
        <w:t>un webinaire</w:t>
      </w:r>
      <w:r w:rsidR="00237852">
        <w:rPr>
          <w:rStyle w:val="FootnoteReference"/>
        </w:rPr>
        <w:footnoteReference w:id="4"/>
      </w:r>
      <w:r>
        <w:t xml:space="preserve"> axé sur «</w:t>
      </w:r>
      <w:r w:rsidR="00151BE2">
        <w:t> </w:t>
      </w:r>
      <w:r w:rsidR="00AE6DD3">
        <w:t>l</w:t>
      </w:r>
      <w:r w:rsidR="00086DE2">
        <w:t>’</w:t>
      </w:r>
      <w:r w:rsidR="00AE6DD3">
        <w:t>i</w:t>
      </w:r>
      <w:r>
        <w:t xml:space="preserve">ntelligence </w:t>
      </w:r>
      <w:r w:rsidR="00AE6DD3">
        <w:t>a</w:t>
      </w:r>
      <w:r>
        <w:t xml:space="preserve">rtificielle et le </w:t>
      </w:r>
      <w:r w:rsidR="00AE6DD3">
        <w:t>p</w:t>
      </w:r>
      <w:r>
        <w:t xml:space="preserve">atrimoine </w:t>
      </w:r>
      <w:r w:rsidR="00AE6DD3">
        <w:t>c</w:t>
      </w:r>
      <w:r>
        <w:t xml:space="preserve">ulturel </w:t>
      </w:r>
      <w:r w:rsidR="00AE6DD3">
        <w:t>i</w:t>
      </w:r>
      <w:r>
        <w:t>mmatériel</w:t>
      </w:r>
      <w:r w:rsidR="00151BE2">
        <w:t> </w:t>
      </w:r>
      <w:r>
        <w:t>», organisé le 17</w:t>
      </w:r>
      <w:r w:rsidR="00151BE2">
        <w:t> </w:t>
      </w:r>
      <w:r>
        <w:t>octobre 2024, à l</w:t>
      </w:r>
      <w:r w:rsidR="00086DE2">
        <w:t>’</w:t>
      </w:r>
      <w:r>
        <w:t>occasion de la première Journée internationale du patrimoine culturel immatériel.</w:t>
      </w:r>
    </w:p>
    <w:p w14:paraId="50D3EAFF" w14:textId="4C033450" w:rsidR="00D95C4C" w:rsidRPr="00A14AC4" w:rsidRDefault="000B1C8F" w:rsidP="00CA7E4D">
      <w:pPr>
        <w:pStyle w:val="COMPara"/>
        <w:numPr>
          <w:ilvl w:val="0"/>
          <w:numId w:val="2"/>
        </w:numPr>
        <w:ind w:left="567" w:hanging="567"/>
      </w:pPr>
      <w:r>
        <w:t>Le Comité souhaitera peut-être adopter la décision suivante</w:t>
      </w:r>
      <w:r w:rsidR="00151BE2">
        <w:t> </w:t>
      </w:r>
      <w:r>
        <w:t>:</w:t>
      </w:r>
    </w:p>
    <w:p w14:paraId="6CEB1E9D" w14:textId="54FF1DC4" w:rsidR="00D95C4C" w:rsidRPr="00A14AC4" w:rsidRDefault="004A34A0" w:rsidP="001D14FE">
      <w:pPr>
        <w:pStyle w:val="COMTitleDecision"/>
        <w:rPr>
          <w:rFonts w:eastAsia="SimSun"/>
        </w:rPr>
      </w:pPr>
      <w:r>
        <w:t>PROJET DE DÉCISION</w:t>
      </w:r>
      <w:r w:rsidR="00151BE2">
        <w:t> </w:t>
      </w:r>
      <w:r>
        <w:t>19.COM 11</w:t>
      </w:r>
    </w:p>
    <w:p w14:paraId="13024F0B" w14:textId="77777777" w:rsidR="00D95C4C" w:rsidRPr="00A14AC4" w:rsidRDefault="00285BB4" w:rsidP="00285BB4">
      <w:pPr>
        <w:pStyle w:val="COMPreambulaDecisions"/>
        <w:rPr>
          <w:rFonts w:eastAsia="SimSun"/>
        </w:rPr>
      </w:pPr>
      <w:r>
        <w:t>Le Comité,</w:t>
      </w:r>
    </w:p>
    <w:p w14:paraId="5A9F22F3" w14:textId="10BAC55C" w:rsidR="0057439C" w:rsidRPr="00A14AC4" w:rsidRDefault="00D95C4C" w:rsidP="004A2875">
      <w:pPr>
        <w:pStyle w:val="COMParaDecision"/>
      </w:pPr>
      <w:r w:rsidRPr="00F52718">
        <w:t>Ayant examiné</w:t>
      </w:r>
      <w:r>
        <w:rPr>
          <w:u w:val="none"/>
        </w:rPr>
        <w:t xml:space="preserve"> le </w:t>
      </w:r>
      <w:r w:rsidRPr="00542E0B">
        <w:rPr>
          <w:u w:val="none"/>
        </w:rPr>
        <w:t>document</w:t>
      </w:r>
      <w:r w:rsidR="00151BE2" w:rsidRPr="00542E0B">
        <w:rPr>
          <w:u w:val="none"/>
        </w:rPr>
        <w:t> </w:t>
      </w:r>
      <w:r w:rsidR="005E1859" w:rsidRPr="00542E0B">
        <w:rPr>
          <w:u w:val="none"/>
        </w:rPr>
        <w:t>LHE</w:t>
      </w:r>
      <w:r w:rsidRPr="00542E0B">
        <w:rPr>
          <w:u w:val="none"/>
        </w:rPr>
        <w:t xml:space="preserve">/24/19.COM/11 et son </w:t>
      </w:r>
      <w:r w:rsidR="005D07C1" w:rsidRPr="00542E0B">
        <w:rPr>
          <w:u w:val="none"/>
        </w:rPr>
        <w:t>a</w:t>
      </w:r>
      <w:r w:rsidRPr="00542E0B">
        <w:rPr>
          <w:u w:val="none"/>
        </w:rPr>
        <w:t>nnexe</w:t>
      </w:r>
      <w:r w:rsidR="005D07C1">
        <w:rPr>
          <w:u w:val="none"/>
        </w:rPr>
        <w:t>,</w:t>
      </w:r>
    </w:p>
    <w:p w14:paraId="6AB41EC4" w14:textId="0785ED09" w:rsidR="00CF257F" w:rsidRPr="00243794" w:rsidRDefault="0057439C" w:rsidP="00243794">
      <w:pPr>
        <w:pStyle w:val="COMParaDecision"/>
      </w:pPr>
      <w:r w:rsidRPr="00243794">
        <w:t>Rappelant</w:t>
      </w:r>
      <w:r w:rsidRPr="00243794">
        <w:rPr>
          <w:u w:val="none"/>
        </w:rPr>
        <w:t xml:space="preserve"> le chapitre</w:t>
      </w:r>
      <w:r w:rsidR="00151BE2" w:rsidRPr="00243794">
        <w:rPr>
          <w:u w:val="none"/>
        </w:rPr>
        <w:t> </w:t>
      </w:r>
      <w:r w:rsidRPr="00243794">
        <w:rPr>
          <w:u w:val="none"/>
        </w:rPr>
        <w:t xml:space="preserve">VI des </w:t>
      </w:r>
      <w:r w:rsidR="00542E0B" w:rsidRPr="00243794">
        <w:rPr>
          <w:u w:val="none"/>
        </w:rPr>
        <w:t>D</w:t>
      </w:r>
      <w:r w:rsidRPr="00243794">
        <w:rPr>
          <w:u w:val="none"/>
        </w:rPr>
        <w:t xml:space="preserve">irectives opérationnelles, la </w:t>
      </w:r>
      <w:r w:rsidR="002251B9">
        <w:rPr>
          <w:u w:val="none"/>
        </w:rPr>
        <w:t>d</w:t>
      </w:r>
      <w:r w:rsidRPr="00243794">
        <w:rPr>
          <w:u w:val="none"/>
        </w:rPr>
        <w:t xml:space="preserve">écision </w:t>
      </w:r>
      <w:hyperlink r:id="rId28" w:history="1">
        <w:r w:rsidRPr="00243794">
          <w:rPr>
            <w:rStyle w:val="Hyperlink"/>
          </w:rPr>
          <w:t>18.COM 12</w:t>
        </w:r>
      </w:hyperlink>
      <w:r w:rsidRPr="00A46704">
        <w:rPr>
          <w:u w:val="none"/>
        </w:rPr>
        <w:t>,</w:t>
      </w:r>
      <w:r w:rsidR="000924D5" w:rsidRPr="00F52718">
        <w:rPr>
          <w:u w:val="none"/>
        </w:rPr>
        <w:t xml:space="preserve"> les</w:t>
      </w:r>
      <w:r w:rsidR="000924D5" w:rsidRPr="00243794">
        <w:t xml:space="preserve"> </w:t>
      </w:r>
      <w:hyperlink r:id="rId29" w:history="1">
        <w:r w:rsidR="000924D5" w:rsidRPr="00243794">
          <w:rPr>
            <w:rStyle w:val="Hyperlink"/>
            <w:rFonts w:cs="Arial"/>
          </w:rPr>
          <w:t>Principes opérationnels et modalités pour la sauvegarde du patrimoine culturel immatériel en situation</w:t>
        </w:r>
        <w:r w:rsidR="00FA10F5" w:rsidRPr="00243794">
          <w:rPr>
            <w:rStyle w:val="Hyperlink"/>
            <w:rFonts w:cs="Arial"/>
          </w:rPr>
          <w:t>s</w:t>
        </w:r>
        <w:r w:rsidR="000924D5" w:rsidRPr="00243794">
          <w:rPr>
            <w:rStyle w:val="Hyperlink"/>
            <w:rFonts w:cs="Arial"/>
          </w:rPr>
          <w:t xml:space="preserve"> d</w:t>
        </w:r>
        <w:r w:rsidR="00086DE2">
          <w:rPr>
            <w:rStyle w:val="Hyperlink"/>
            <w:rFonts w:cs="Arial"/>
          </w:rPr>
          <w:t>’</w:t>
        </w:r>
        <w:r w:rsidR="000924D5" w:rsidRPr="00243794">
          <w:rPr>
            <w:rStyle w:val="Hyperlink"/>
            <w:rFonts w:cs="Arial"/>
          </w:rPr>
          <w:t>urgence</w:t>
        </w:r>
      </w:hyperlink>
      <w:r w:rsidR="000924D5" w:rsidRPr="00F52718">
        <w:rPr>
          <w:u w:val="none"/>
        </w:rPr>
        <w:t>, ainsi que les</w:t>
      </w:r>
      <w:r w:rsidR="000924D5" w:rsidRPr="00086DE2">
        <w:rPr>
          <w:u w:val="none"/>
        </w:rPr>
        <w:t xml:space="preserve"> </w:t>
      </w:r>
      <w:hyperlink r:id="rId30" w:history="1">
        <w:r w:rsidR="000924D5" w:rsidRPr="00243794">
          <w:rPr>
            <w:rStyle w:val="Hyperlink"/>
            <w:rFonts w:cs="Arial"/>
          </w:rPr>
          <w:t>Principes éthiques pour la sauvegarde du patrimoine culturel immatériel</w:t>
        </w:r>
      </w:hyperlink>
      <w:r w:rsidR="000924D5" w:rsidRPr="00243794">
        <w:t>,</w:t>
      </w:r>
    </w:p>
    <w:p w14:paraId="052D26BC" w14:textId="3F41D7E9" w:rsidR="00FD4586" w:rsidRPr="00A14AC4" w:rsidRDefault="00FD4586" w:rsidP="002422E4">
      <w:pPr>
        <w:pStyle w:val="COMParaDecision"/>
        <w:rPr>
          <w:u w:val="none"/>
        </w:rPr>
      </w:pPr>
      <w:r>
        <w:t>Rappelant en outre</w:t>
      </w:r>
      <w:r>
        <w:rPr>
          <w:u w:val="none"/>
        </w:rPr>
        <w:t xml:space="preserve"> la </w:t>
      </w:r>
      <w:hyperlink r:id="rId31" w:tgtFrame="_blank" w:history="1">
        <w:r>
          <w:rPr>
            <w:u w:val="none"/>
          </w:rPr>
          <w:t>déclaration finale</w:t>
        </w:r>
      </w:hyperlink>
      <w:r>
        <w:rPr>
          <w:u w:val="none"/>
        </w:rPr>
        <w:t xml:space="preserve"> de la Conférence mondiale de l</w:t>
      </w:r>
      <w:r w:rsidR="00086DE2">
        <w:rPr>
          <w:u w:val="none"/>
        </w:rPr>
        <w:t>’</w:t>
      </w:r>
      <w:r>
        <w:rPr>
          <w:u w:val="none"/>
        </w:rPr>
        <w:t xml:space="preserve">UNESCO sur les politiques culturelles et le développement durable (MONDIACULT 2022), la </w:t>
      </w:r>
      <w:r w:rsidR="002178F4">
        <w:rPr>
          <w:u w:val="none"/>
        </w:rPr>
        <w:t>D</w:t>
      </w:r>
      <w:r>
        <w:rPr>
          <w:u w:val="none"/>
        </w:rPr>
        <w:t xml:space="preserve">éclaration des dirigeants du G20, </w:t>
      </w:r>
      <w:r w:rsidR="002178F4">
        <w:rPr>
          <w:u w:val="none"/>
        </w:rPr>
        <w:t xml:space="preserve">la Déclaration des ministres de la Culture </w:t>
      </w:r>
      <w:r>
        <w:rPr>
          <w:u w:val="none"/>
        </w:rPr>
        <w:t xml:space="preserve">du G7 et </w:t>
      </w:r>
      <w:r w:rsidR="002178F4">
        <w:rPr>
          <w:u w:val="none"/>
        </w:rPr>
        <w:t>le</w:t>
      </w:r>
      <w:r>
        <w:rPr>
          <w:u w:val="none"/>
        </w:rPr>
        <w:t xml:space="preserve"> Pacte pour l</w:t>
      </w:r>
      <w:r w:rsidR="00086DE2">
        <w:rPr>
          <w:u w:val="none"/>
        </w:rPr>
        <w:t>’</w:t>
      </w:r>
      <w:r>
        <w:rPr>
          <w:u w:val="none"/>
        </w:rPr>
        <w:t xml:space="preserve">avenir </w:t>
      </w:r>
      <w:r w:rsidR="00210C51">
        <w:rPr>
          <w:u w:val="none"/>
        </w:rPr>
        <w:t xml:space="preserve">qui </w:t>
      </w:r>
      <w:r w:rsidR="00E074A3" w:rsidRPr="00E074A3">
        <w:rPr>
          <w:u w:val="none"/>
        </w:rPr>
        <w:t>appelle</w:t>
      </w:r>
      <w:r w:rsidR="000606D3">
        <w:rPr>
          <w:u w:val="none"/>
        </w:rPr>
        <w:t>, entre autres,</w:t>
      </w:r>
      <w:r w:rsidR="00E074A3" w:rsidRPr="00E074A3">
        <w:rPr>
          <w:u w:val="none"/>
        </w:rPr>
        <w:t xml:space="preserve"> à faire en sorte que la culture puisse contribuer à un développement plus efficace, inclusif</w:t>
      </w:r>
      <w:r w:rsidR="00C52265">
        <w:rPr>
          <w:u w:val="none"/>
        </w:rPr>
        <w:t>,</w:t>
      </w:r>
      <w:r w:rsidR="00E074A3" w:rsidRPr="00E074A3">
        <w:rPr>
          <w:u w:val="none"/>
        </w:rPr>
        <w:t xml:space="preserve"> équitable</w:t>
      </w:r>
      <w:r w:rsidR="00C52265">
        <w:rPr>
          <w:u w:val="none"/>
        </w:rPr>
        <w:t xml:space="preserve"> et </w:t>
      </w:r>
      <w:r w:rsidR="00C52265" w:rsidRPr="00E074A3">
        <w:rPr>
          <w:u w:val="none"/>
        </w:rPr>
        <w:t>durable</w:t>
      </w:r>
      <w:r w:rsidR="00E074A3" w:rsidRPr="00E074A3">
        <w:rPr>
          <w:u w:val="none"/>
        </w:rPr>
        <w:t>, ainsi qu</w:t>
      </w:r>
      <w:r w:rsidR="00086DE2">
        <w:rPr>
          <w:u w:val="none"/>
        </w:rPr>
        <w:t>’</w:t>
      </w:r>
      <w:r w:rsidR="00E074A3" w:rsidRPr="00E074A3">
        <w:rPr>
          <w:u w:val="none"/>
        </w:rPr>
        <w:t>à intégrer la culture dans leurs politiques économiques, sociales et environnementales</w:t>
      </w:r>
      <w:r w:rsidR="00E074A3">
        <w:rPr>
          <w:u w:val="none"/>
        </w:rPr>
        <w:t xml:space="preserve"> ; </w:t>
      </w:r>
    </w:p>
    <w:p w14:paraId="57341C43" w14:textId="55865616" w:rsidR="00FD4586" w:rsidRPr="00A14AC4" w:rsidRDefault="002422E4" w:rsidP="00FD4586">
      <w:pPr>
        <w:pStyle w:val="COMParaDecision"/>
        <w:rPr>
          <w:u w:val="none"/>
        </w:rPr>
      </w:pPr>
      <w:r>
        <w:rPr>
          <w:shd w:val="clear" w:color="auto" w:fill="FFFFFF"/>
        </w:rPr>
        <w:t>Se félicite</w:t>
      </w:r>
      <w:r>
        <w:rPr>
          <w:u w:val="none"/>
          <w:shd w:val="clear" w:color="auto" w:fill="FFFFFF"/>
        </w:rPr>
        <w:t xml:space="preserve"> des progrès réalisés dans la mise en œuvre des initiatives thématiques sur (i)</w:t>
      </w:r>
      <w:r w:rsidR="00601172">
        <w:rPr>
          <w:u w:val="none"/>
          <w:shd w:val="clear" w:color="auto" w:fill="FFFFFF"/>
        </w:rPr>
        <w:t> </w:t>
      </w:r>
      <w:r>
        <w:rPr>
          <w:u w:val="none"/>
          <w:shd w:val="clear" w:color="auto" w:fill="FFFFFF"/>
        </w:rPr>
        <w:t>les dimensions économiques de la sauvegarde du patrimoine culturel immatériel, (ii)</w:t>
      </w:r>
      <w:r w:rsidR="00601172">
        <w:rPr>
          <w:u w:val="none"/>
          <w:shd w:val="clear" w:color="auto" w:fill="FFFFFF"/>
        </w:rPr>
        <w:t> </w:t>
      </w:r>
      <w:r>
        <w:rPr>
          <w:u w:val="none"/>
          <w:shd w:val="clear" w:color="auto" w:fill="FFFFFF"/>
        </w:rPr>
        <w:t>la sauvegarde du patrimoine culturel immatériel et le changement climatique, et (iii)</w:t>
      </w:r>
      <w:r w:rsidR="00601172">
        <w:rPr>
          <w:u w:val="none"/>
          <w:shd w:val="clear" w:color="auto" w:fill="FFFFFF"/>
        </w:rPr>
        <w:t> </w:t>
      </w:r>
      <w:r>
        <w:rPr>
          <w:u w:val="none"/>
          <w:shd w:val="clear" w:color="auto" w:fill="FFFFFF"/>
        </w:rPr>
        <w:t>la sauvegarde du patrimoine culturel immatériel dans les contextes urbains</w:t>
      </w:r>
      <w:r w:rsidR="00151BE2">
        <w:rPr>
          <w:u w:val="none"/>
          <w:shd w:val="clear" w:color="auto" w:fill="FFFFFF"/>
        </w:rPr>
        <w:t> </w:t>
      </w:r>
      <w:r>
        <w:rPr>
          <w:u w:val="none"/>
          <w:shd w:val="clear" w:color="auto" w:fill="FFFFFF"/>
        </w:rPr>
        <w:t>;</w:t>
      </w:r>
    </w:p>
    <w:p w14:paraId="27FD617E" w14:textId="77777777" w:rsidR="00CF257F" w:rsidRPr="00A14AC4" w:rsidRDefault="00CF257F" w:rsidP="00005C91">
      <w:pPr>
        <w:keepNext/>
        <w:spacing w:before="240" w:after="120"/>
        <w:ind w:left="425" w:firstLine="709"/>
        <w:jc w:val="both"/>
        <w:rPr>
          <w:rFonts w:ascii="Arial" w:eastAsia="SimSun" w:hAnsi="Arial" w:cs="Arial"/>
          <w:b/>
          <w:bCs/>
          <w:sz w:val="22"/>
          <w:szCs w:val="22"/>
        </w:rPr>
      </w:pPr>
      <w:r>
        <w:rPr>
          <w:rFonts w:ascii="Arial" w:hAnsi="Arial"/>
          <w:b/>
          <w:sz w:val="22"/>
        </w:rPr>
        <w:t>Dimensions économiques de la sauvegarde du patrimoine culturel immatériel</w:t>
      </w:r>
    </w:p>
    <w:p w14:paraId="3A76806C" w14:textId="70CE813E" w:rsidR="00DC74E7" w:rsidRPr="00A14AC4" w:rsidRDefault="0037007C" w:rsidP="00CA7E4D">
      <w:pPr>
        <w:pStyle w:val="COMParaDecision"/>
        <w:rPr>
          <w:u w:val="none"/>
        </w:rPr>
      </w:pPr>
      <w:r>
        <w:t>Prend note</w:t>
      </w:r>
      <w:r>
        <w:rPr>
          <w:u w:val="none"/>
        </w:rPr>
        <w:t xml:space="preserve"> des activités entreprises par le Secrétariat concernant l</w:t>
      </w:r>
      <w:r w:rsidR="00086DE2">
        <w:rPr>
          <w:u w:val="none"/>
        </w:rPr>
        <w:t>’</w:t>
      </w:r>
      <w:r>
        <w:rPr>
          <w:u w:val="none"/>
        </w:rPr>
        <w:t>initiative thématique sur les dimensions économiques de la sauvegarde du patrimoine culturel immatériel, en particulier en ce qui concerne l</w:t>
      </w:r>
      <w:r w:rsidR="00086DE2">
        <w:rPr>
          <w:u w:val="none"/>
        </w:rPr>
        <w:t>’</w:t>
      </w:r>
      <w:r>
        <w:rPr>
          <w:u w:val="none"/>
        </w:rPr>
        <w:t>avancement de la coopération intersectorielle et l</w:t>
      </w:r>
      <w:r w:rsidR="00086DE2">
        <w:rPr>
          <w:u w:val="none"/>
        </w:rPr>
        <w:t>’</w:t>
      </w:r>
      <w:r>
        <w:rPr>
          <w:u w:val="none"/>
        </w:rPr>
        <w:t>élaboration d</w:t>
      </w:r>
      <w:r w:rsidR="00086DE2">
        <w:rPr>
          <w:u w:val="none"/>
        </w:rPr>
        <w:t>’</w:t>
      </w:r>
      <w:r>
        <w:rPr>
          <w:u w:val="none"/>
        </w:rPr>
        <w:t>orientations sectorielles</w:t>
      </w:r>
      <w:r w:rsidR="007A702A">
        <w:rPr>
          <w:u w:val="none"/>
        </w:rPr>
        <w:t xml:space="preserve"> spécifiques, et </w:t>
      </w:r>
      <w:r w:rsidR="007A702A" w:rsidRPr="00F52718">
        <w:t>encourage</w:t>
      </w:r>
      <w:r w:rsidR="007A702A">
        <w:rPr>
          <w:u w:val="none"/>
        </w:rPr>
        <w:t xml:space="preserve"> le Secrétariat à poursuivre ses efforts</w:t>
      </w:r>
      <w:r w:rsidR="00151BE2">
        <w:rPr>
          <w:u w:val="none"/>
        </w:rPr>
        <w:t> </w:t>
      </w:r>
      <w:r>
        <w:rPr>
          <w:u w:val="none"/>
        </w:rPr>
        <w:t>;</w:t>
      </w:r>
    </w:p>
    <w:p w14:paraId="721F0230" w14:textId="35ECEB0E" w:rsidR="00DC74E7" w:rsidRPr="00A14AC4" w:rsidRDefault="00DC74E7" w:rsidP="00DC74E7">
      <w:pPr>
        <w:pStyle w:val="COMParaDecision"/>
        <w:rPr>
          <w:u w:val="none"/>
        </w:rPr>
      </w:pPr>
      <w:r>
        <w:t>Encourage</w:t>
      </w:r>
      <w:r w:rsidR="00751D37">
        <w:t xml:space="preserve"> en outre</w:t>
      </w:r>
      <w:r>
        <w:rPr>
          <w:u w:val="none"/>
        </w:rPr>
        <w:t xml:space="preserve"> les États parties et les parties prenantes concernées à continuer d</w:t>
      </w:r>
      <w:r w:rsidR="00086DE2">
        <w:rPr>
          <w:u w:val="none"/>
        </w:rPr>
        <w:t>’</w:t>
      </w:r>
      <w:r>
        <w:rPr>
          <w:u w:val="none"/>
        </w:rPr>
        <w:t>intégrer des approches sensibles au patrimoine et fondées sur les droits dans les dimensions économiques de la sauvegarde du patrimoine culturel immatériel, et à renforcer l</w:t>
      </w:r>
      <w:r w:rsidR="00086DE2">
        <w:rPr>
          <w:u w:val="none"/>
        </w:rPr>
        <w:t>’</w:t>
      </w:r>
      <w:r>
        <w:rPr>
          <w:u w:val="none"/>
        </w:rPr>
        <w:t>échange de bonnes pratiques</w:t>
      </w:r>
      <w:r w:rsidR="00151BE2">
        <w:rPr>
          <w:u w:val="none"/>
        </w:rPr>
        <w:t> </w:t>
      </w:r>
      <w:r>
        <w:rPr>
          <w:u w:val="none"/>
        </w:rPr>
        <w:t>;</w:t>
      </w:r>
    </w:p>
    <w:p w14:paraId="26DC7109" w14:textId="4981C48E" w:rsidR="003C1682" w:rsidRPr="00A14AC4" w:rsidRDefault="003C1682" w:rsidP="005A1DAA">
      <w:pPr>
        <w:keepNext/>
        <w:spacing w:before="240" w:after="120"/>
        <w:ind w:left="1134"/>
        <w:jc w:val="both"/>
        <w:rPr>
          <w:rFonts w:ascii="Arial" w:eastAsia="SimSun" w:hAnsi="Arial" w:cs="Arial"/>
          <w:b/>
          <w:bCs/>
          <w:sz w:val="22"/>
          <w:szCs w:val="22"/>
        </w:rPr>
      </w:pPr>
      <w:r>
        <w:rPr>
          <w:rFonts w:ascii="Arial" w:hAnsi="Arial"/>
          <w:b/>
          <w:sz w:val="22"/>
        </w:rPr>
        <w:t>Sauvegarde du patrimoine culturel immatériel et changement climatique</w:t>
      </w:r>
    </w:p>
    <w:p w14:paraId="6911AF80" w14:textId="3C3BEC36" w:rsidR="0047090F" w:rsidRPr="00A14AC4" w:rsidRDefault="001931F9" w:rsidP="0037007C">
      <w:pPr>
        <w:pStyle w:val="COMParaDecision"/>
        <w:rPr>
          <w:u w:val="none"/>
        </w:rPr>
      </w:pPr>
      <w:r>
        <w:t>Se félicite</w:t>
      </w:r>
      <w:r>
        <w:rPr>
          <w:u w:val="none"/>
        </w:rPr>
        <w:t xml:space="preserve"> des résultats de la réunion d</w:t>
      </w:r>
      <w:r w:rsidR="00086DE2">
        <w:rPr>
          <w:u w:val="none"/>
        </w:rPr>
        <w:t>’</w:t>
      </w:r>
      <w:r>
        <w:rPr>
          <w:u w:val="none"/>
        </w:rPr>
        <w:t>experts sur la sauvegarde du patrimoine culturel immatériel et le changement climatique</w:t>
      </w:r>
      <w:r w:rsidR="00BB238E">
        <w:rPr>
          <w:u w:val="none"/>
        </w:rPr>
        <w:t>,</w:t>
      </w:r>
      <w:r>
        <w:rPr>
          <w:u w:val="none"/>
        </w:rPr>
        <w:t xml:space="preserve"> et </w:t>
      </w:r>
      <w:r>
        <w:t>exprime sa gratitude</w:t>
      </w:r>
      <w:r>
        <w:rPr>
          <w:u w:val="none"/>
        </w:rPr>
        <w:t xml:space="preserve"> aux experts pour leurs efforts et leurs contributions pertinentes</w:t>
      </w:r>
      <w:r w:rsidR="00151BE2">
        <w:rPr>
          <w:u w:val="none"/>
        </w:rPr>
        <w:t> </w:t>
      </w:r>
      <w:r>
        <w:rPr>
          <w:u w:val="none"/>
        </w:rPr>
        <w:t>;</w:t>
      </w:r>
    </w:p>
    <w:p w14:paraId="71B44643" w14:textId="2ADB8E75" w:rsidR="0057439C" w:rsidRPr="00A14AC4" w:rsidRDefault="001931F9" w:rsidP="004A2875">
      <w:pPr>
        <w:pStyle w:val="COMParaDecision"/>
      </w:pPr>
      <w:r>
        <w:t>Prend note</w:t>
      </w:r>
      <w:r>
        <w:rPr>
          <w:u w:val="none"/>
        </w:rPr>
        <w:t xml:space="preserve"> de la note d</w:t>
      </w:r>
      <w:r w:rsidR="00086DE2">
        <w:rPr>
          <w:u w:val="none"/>
        </w:rPr>
        <w:t>’</w:t>
      </w:r>
      <w:r>
        <w:rPr>
          <w:u w:val="none"/>
        </w:rPr>
        <w:t>orientation sur l</w:t>
      </w:r>
      <w:r w:rsidR="00086DE2">
        <w:rPr>
          <w:u w:val="none"/>
        </w:rPr>
        <w:t>’</w:t>
      </w:r>
      <w:r>
        <w:rPr>
          <w:u w:val="none"/>
        </w:rPr>
        <w:t xml:space="preserve">action climatique pour le patrimoine vivant annexée à la présente décision et </w:t>
      </w:r>
      <w:r>
        <w:t>encourage</w:t>
      </w:r>
      <w:r>
        <w:rPr>
          <w:u w:val="none"/>
        </w:rPr>
        <w:t xml:space="preserve"> le Secrétariat à poursuivre ses efforts de sensibilisation et de promotion de la mise en œuvre de la note d</w:t>
      </w:r>
      <w:r w:rsidR="00086DE2">
        <w:rPr>
          <w:u w:val="none"/>
        </w:rPr>
        <w:t>’</w:t>
      </w:r>
      <w:r>
        <w:rPr>
          <w:u w:val="none"/>
        </w:rPr>
        <w:t>orientation auprès d</w:t>
      </w:r>
      <w:r w:rsidR="00086DE2">
        <w:rPr>
          <w:u w:val="none"/>
        </w:rPr>
        <w:t>’</w:t>
      </w:r>
      <w:r>
        <w:rPr>
          <w:u w:val="none"/>
        </w:rPr>
        <w:t>un large éventail de parties prenantes et à continuer de renforcer la coopération avec d</w:t>
      </w:r>
      <w:r w:rsidR="00086DE2">
        <w:rPr>
          <w:u w:val="none"/>
        </w:rPr>
        <w:t>’</w:t>
      </w:r>
      <w:r>
        <w:rPr>
          <w:u w:val="none"/>
        </w:rPr>
        <w:t xml:space="preserve">autres cadres internationaux, tels que la Convention-cadre des Nations unies sur les changements climatiques </w:t>
      </w:r>
      <w:r w:rsidR="00BB238E">
        <w:rPr>
          <w:u w:val="none"/>
        </w:rPr>
        <w:t xml:space="preserve">(CCNUCC) </w:t>
      </w:r>
      <w:r>
        <w:rPr>
          <w:u w:val="none"/>
        </w:rPr>
        <w:t>et son Groupe d</w:t>
      </w:r>
      <w:r w:rsidR="00BB238E">
        <w:rPr>
          <w:u w:val="none"/>
        </w:rPr>
        <w:t xml:space="preserve">es </w:t>
      </w:r>
      <w:r>
        <w:rPr>
          <w:u w:val="none"/>
        </w:rPr>
        <w:t>amis pour l</w:t>
      </w:r>
      <w:r w:rsidR="00086DE2">
        <w:rPr>
          <w:u w:val="none"/>
        </w:rPr>
        <w:t>’</w:t>
      </w:r>
      <w:r>
        <w:rPr>
          <w:u w:val="none"/>
        </w:rPr>
        <w:t>action climatique</w:t>
      </w:r>
      <w:r w:rsidR="00151BE2">
        <w:rPr>
          <w:u w:val="none"/>
        </w:rPr>
        <w:t> </w:t>
      </w:r>
      <w:r w:rsidR="00BB238E">
        <w:rPr>
          <w:u w:val="none"/>
        </w:rPr>
        <w:t>basée sur la culture</w:t>
      </w:r>
      <w:r w:rsidR="005D07C1">
        <w:rPr>
          <w:u w:val="none"/>
        </w:rPr>
        <w:t xml:space="preserve"> </w:t>
      </w:r>
      <w:r>
        <w:rPr>
          <w:u w:val="none"/>
        </w:rPr>
        <w:t>;</w:t>
      </w:r>
    </w:p>
    <w:p w14:paraId="067AE305" w14:textId="1ED25EA7" w:rsidR="00A80918" w:rsidRPr="00A14AC4" w:rsidRDefault="009001E1" w:rsidP="00A80918">
      <w:pPr>
        <w:pStyle w:val="COMParaDecision"/>
        <w:rPr>
          <w:u w:val="none"/>
        </w:rPr>
      </w:pPr>
      <w:r>
        <w:t>Rappelle</w:t>
      </w:r>
      <w:r>
        <w:rPr>
          <w:u w:val="none"/>
        </w:rPr>
        <w:t xml:space="preserve"> que, conformément à l</w:t>
      </w:r>
      <w:r w:rsidR="00086DE2">
        <w:rPr>
          <w:u w:val="none"/>
        </w:rPr>
        <w:t>’</w:t>
      </w:r>
      <w:r>
        <w:rPr>
          <w:u w:val="none"/>
        </w:rPr>
        <w:t>article</w:t>
      </w:r>
      <w:r w:rsidR="00151BE2">
        <w:rPr>
          <w:u w:val="none"/>
        </w:rPr>
        <w:t> </w:t>
      </w:r>
      <w:r>
        <w:rPr>
          <w:u w:val="none"/>
        </w:rPr>
        <w:t>18 de la Déclaration de principes éthiques en rapport avec le changement climatique de l</w:t>
      </w:r>
      <w:r w:rsidR="00086DE2">
        <w:rPr>
          <w:u w:val="none"/>
        </w:rPr>
        <w:t>’</w:t>
      </w:r>
      <w:r>
        <w:rPr>
          <w:u w:val="none"/>
        </w:rPr>
        <w:t>UNESCO de 2017, aucun document ou déclaration produit</w:t>
      </w:r>
      <w:r w:rsidR="00151BE2">
        <w:rPr>
          <w:u w:val="none"/>
        </w:rPr>
        <w:t>s</w:t>
      </w:r>
      <w:r>
        <w:rPr>
          <w:u w:val="none"/>
        </w:rPr>
        <w:t xml:space="preserve"> dans le cadre de cette initiative thématique ne doit être compris comme une interprétation de l</w:t>
      </w:r>
      <w:r w:rsidR="00086DE2">
        <w:rPr>
          <w:u w:val="none"/>
        </w:rPr>
        <w:t>’</w:t>
      </w:r>
      <w:r>
        <w:rPr>
          <w:u w:val="none"/>
        </w:rPr>
        <w:t>un des principes et dispositions de la Convention-cadre des Nations unies sur les changements climatiques et de l</w:t>
      </w:r>
      <w:r w:rsidR="00086DE2">
        <w:rPr>
          <w:u w:val="none"/>
        </w:rPr>
        <w:t>’</w:t>
      </w:r>
      <w:r>
        <w:rPr>
          <w:u w:val="none"/>
        </w:rPr>
        <w:t>Accord de Paris adopté en vertu de celle-ci</w:t>
      </w:r>
      <w:r w:rsidR="00151BE2">
        <w:rPr>
          <w:u w:val="none"/>
        </w:rPr>
        <w:t> </w:t>
      </w:r>
      <w:r>
        <w:rPr>
          <w:u w:val="none"/>
        </w:rPr>
        <w:t>;</w:t>
      </w:r>
    </w:p>
    <w:p w14:paraId="644C0919" w14:textId="77DC3091" w:rsidR="004349F0" w:rsidRPr="00A14AC4" w:rsidRDefault="004349F0" w:rsidP="00962D9C">
      <w:pPr>
        <w:pStyle w:val="COMParaDecision"/>
        <w:keepNext/>
        <w:keepLines/>
        <w:numPr>
          <w:ilvl w:val="0"/>
          <w:numId w:val="0"/>
        </w:numPr>
        <w:spacing w:before="240"/>
        <w:ind w:left="1140"/>
        <w:rPr>
          <w:b/>
          <w:bCs/>
          <w:u w:val="none"/>
        </w:rPr>
      </w:pPr>
      <w:r>
        <w:rPr>
          <w:b/>
          <w:u w:val="none"/>
        </w:rPr>
        <w:t xml:space="preserve">Sauvegarde du patrimoine culturel immatériel en milieu urbain </w:t>
      </w:r>
    </w:p>
    <w:p w14:paraId="36F5A5C0" w14:textId="484F4226" w:rsidR="00063C02" w:rsidRPr="00A14AC4" w:rsidRDefault="00063C02" w:rsidP="00F52718">
      <w:pPr>
        <w:pStyle w:val="COMParaDecision"/>
        <w:keepNext/>
        <w:keepLines/>
        <w:ind w:left="1138"/>
        <w:rPr>
          <w:u w:val="none"/>
        </w:rPr>
      </w:pPr>
      <w:r>
        <w:t>Apprécie</w:t>
      </w:r>
      <w:r>
        <w:rPr>
          <w:u w:val="none"/>
        </w:rPr>
        <w:t xml:space="preserve"> les activités préparatoires entreprises jusqu</w:t>
      </w:r>
      <w:r w:rsidR="00086DE2">
        <w:rPr>
          <w:u w:val="none"/>
        </w:rPr>
        <w:t>’</w:t>
      </w:r>
      <w:r>
        <w:rPr>
          <w:u w:val="none"/>
        </w:rPr>
        <w:t xml:space="preserve">à présent et </w:t>
      </w:r>
      <w:r>
        <w:t>invite</w:t>
      </w:r>
      <w:r>
        <w:rPr>
          <w:u w:val="none"/>
        </w:rPr>
        <w:t xml:space="preserve"> le Secrétariat à poursuivre ses efforts par l</w:t>
      </w:r>
      <w:r w:rsidR="00086DE2">
        <w:rPr>
          <w:u w:val="none"/>
        </w:rPr>
        <w:t>’</w:t>
      </w:r>
      <w:r>
        <w:rPr>
          <w:u w:val="none"/>
        </w:rPr>
        <w:t>organisation d</w:t>
      </w:r>
      <w:r w:rsidR="00086DE2">
        <w:rPr>
          <w:u w:val="none"/>
        </w:rPr>
        <w:t>’</w:t>
      </w:r>
      <w:r>
        <w:rPr>
          <w:u w:val="none"/>
        </w:rPr>
        <w:t>une réunion d</w:t>
      </w:r>
      <w:r w:rsidR="00086DE2">
        <w:rPr>
          <w:u w:val="none"/>
        </w:rPr>
        <w:t>’</w:t>
      </w:r>
      <w:r>
        <w:rPr>
          <w:u w:val="none"/>
        </w:rPr>
        <w:t>experts en 2025 en vue d</w:t>
      </w:r>
      <w:r w:rsidR="00086DE2">
        <w:rPr>
          <w:u w:val="none"/>
        </w:rPr>
        <w:t>’</w:t>
      </w:r>
      <w:r>
        <w:rPr>
          <w:u w:val="none"/>
        </w:rPr>
        <w:t>élaborer une note d</w:t>
      </w:r>
      <w:r w:rsidR="00086DE2">
        <w:rPr>
          <w:u w:val="none"/>
        </w:rPr>
        <w:t>’</w:t>
      </w:r>
      <w:r>
        <w:rPr>
          <w:u w:val="none"/>
        </w:rPr>
        <w:t>orientation pour soutenir les efforts des États parties et des autres parties prenantes dans l</w:t>
      </w:r>
      <w:r w:rsidR="00086DE2">
        <w:rPr>
          <w:u w:val="none"/>
        </w:rPr>
        <w:t>’</w:t>
      </w:r>
      <w:r>
        <w:rPr>
          <w:u w:val="none"/>
        </w:rPr>
        <w:t>intégration de la sauvegarde du patrimoine culturel immatériel dans le développement urbain durable</w:t>
      </w:r>
      <w:r w:rsidR="00151BE2">
        <w:rPr>
          <w:u w:val="none"/>
        </w:rPr>
        <w:t> </w:t>
      </w:r>
      <w:r>
        <w:rPr>
          <w:u w:val="none"/>
        </w:rPr>
        <w:t>;</w:t>
      </w:r>
    </w:p>
    <w:p w14:paraId="31FC944A" w14:textId="67EA86FF" w:rsidR="0032297D" w:rsidRPr="00A14AC4" w:rsidRDefault="0032297D" w:rsidP="00F52718">
      <w:pPr>
        <w:pStyle w:val="COMParaDecision"/>
        <w:keepNext/>
        <w:keepLines/>
        <w:ind w:left="1138"/>
        <w:rPr>
          <w:u w:val="none"/>
        </w:rPr>
      </w:pPr>
      <w:r>
        <w:t>Se félicite</w:t>
      </w:r>
      <w:r>
        <w:rPr>
          <w:u w:val="none"/>
        </w:rPr>
        <w:t xml:space="preserve"> de l</w:t>
      </w:r>
      <w:r w:rsidR="00086DE2">
        <w:rPr>
          <w:u w:val="none"/>
        </w:rPr>
        <w:t>’</w:t>
      </w:r>
      <w:r>
        <w:rPr>
          <w:u w:val="none"/>
        </w:rPr>
        <w:t>élaboration en parallèle d</w:t>
      </w:r>
      <w:r w:rsidR="00086DE2">
        <w:rPr>
          <w:u w:val="none"/>
        </w:rPr>
        <w:t>’</w:t>
      </w:r>
      <w:r>
        <w:rPr>
          <w:u w:val="none"/>
        </w:rPr>
        <w:t xml:space="preserve">une approche de renforcement des capacités, comprenant des outils pratiques pour les urbanistes et les praticiens du patrimoine, et </w:t>
      </w:r>
      <w:r w:rsidR="00751D37">
        <w:t>invite</w:t>
      </w:r>
      <w:r>
        <w:t xml:space="preserve"> </w:t>
      </w:r>
      <w:r w:rsidR="0052272B">
        <w:t>en outre</w:t>
      </w:r>
      <w:r w:rsidR="0052272B">
        <w:rPr>
          <w:u w:val="none"/>
        </w:rPr>
        <w:t xml:space="preserve"> </w:t>
      </w:r>
      <w:r>
        <w:rPr>
          <w:u w:val="none"/>
        </w:rPr>
        <w:t>le Secrétariat à continuer à l</w:t>
      </w:r>
      <w:r w:rsidR="00086DE2">
        <w:rPr>
          <w:u w:val="none"/>
        </w:rPr>
        <w:t>’</w:t>
      </w:r>
      <w:r>
        <w:rPr>
          <w:u w:val="none"/>
        </w:rPr>
        <w:t>affiner en vue de favoriser la résilience et la durabilité dans les contextes urbains</w:t>
      </w:r>
      <w:r w:rsidR="00151BE2">
        <w:rPr>
          <w:u w:val="none"/>
        </w:rPr>
        <w:t> </w:t>
      </w:r>
      <w:r>
        <w:rPr>
          <w:u w:val="none"/>
        </w:rPr>
        <w:t>;</w:t>
      </w:r>
    </w:p>
    <w:p w14:paraId="45B2AE63" w14:textId="47AFB965" w:rsidR="00D97122" w:rsidRPr="00A14AC4" w:rsidRDefault="008E3ABB" w:rsidP="00962D9C">
      <w:pPr>
        <w:pStyle w:val="COMParaDecision"/>
        <w:numPr>
          <w:ilvl w:val="0"/>
          <w:numId w:val="0"/>
        </w:numPr>
        <w:spacing w:before="240"/>
        <w:ind w:left="1134"/>
        <w:rPr>
          <w:b/>
          <w:bCs/>
          <w:u w:val="none"/>
        </w:rPr>
      </w:pPr>
      <w:r>
        <w:rPr>
          <w:b/>
          <w:u w:val="none"/>
        </w:rPr>
        <w:t>Perspectives pour l</w:t>
      </w:r>
      <w:r w:rsidR="00086DE2">
        <w:rPr>
          <w:b/>
          <w:u w:val="none"/>
        </w:rPr>
        <w:t>’</w:t>
      </w:r>
      <w:r>
        <w:rPr>
          <w:b/>
          <w:u w:val="none"/>
        </w:rPr>
        <w:t>avenir</w:t>
      </w:r>
    </w:p>
    <w:p w14:paraId="71896B7F" w14:textId="65535396" w:rsidR="00D97122" w:rsidRPr="00A14AC4" w:rsidRDefault="00D97122" w:rsidP="00D97122">
      <w:pPr>
        <w:pStyle w:val="COMParaDecision"/>
        <w:rPr>
          <w:u w:val="none"/>
        </w:rPr>
      </w:pPr>
      <w:r>
        <w:t>Encourage</w:t>
      </w:r>
      <w:r>
        <w:rPr>
          <w:u w:val="none"/>
        </w:rPr>
        <w:t xml:space="preserve"> </w:t>
      </w:r>
      <w:r w:rsidR="00375872">
        <w:rPr>
          <w:u w:val="none"/>
        </w:rPr>
        <w:t xml:space="preserve">le Secrétariat à poursuivre son </w:t>
      </w:r>
      <w:r>
        <w:rPr>
          <w:u w:val="none"/>
        </w:rPr>
        <w:t>engagement dans les programmes mondiaux de développement afin d</w:t>
      </w:r>
      <w:r w:rsidR="00086DE2">
        <w:rPr>
          <w:u w:val="none"/>
        </w:rPr>
        <w:t>’</w:t>
      </w:r>
      <w:r>
        <w:rPr>
          <w:u w:val="none"/>
        </w:rPr>
        <w:t>accroître la visibilité et l</w:t>
      </w:r>
      <w:r w:rsidR="00086DE2">
        <w:rPr>
          <w:u w:val="none"/>
        </w:rPr>
        <w:t>’</w:t>
      </w:r>
      <w:r>
        <w:rPr>
          <w:u w:val="none"/>
        </w:rPr>
        <w:t>impact des initiatives thématiques ainsi qu</w:t>
      </w:r>
      <w:r w:rsidR="00086DE2">
        <w:rPr>
          <w:u w:val="none"/>
        </w:rPr>
        <w:t>’</w:t>
      </w:r>
      <w:r w:rsidR="00264AD8">
        <w:rPr>
          <w:u w:val="none"/>
        </w:rPr>
        <w:t>à</w:t>
      </w:r>
      <w:r>
        <w:rPr>
          <w:u w:val="none"/>
        </w:rPr>
        <w:t xml:space="preserve"> renforcer la contribution de la </w:t>
      </w:r>
      <w:r w:rsidR="00264AD8">
        <w:rPr>
          <w:u w:val="none"/>
        </w:rPr>
        <w:t>C</w:t>
      </w:r>
      <w:r>
        <w:rPr>
          <w:u w:val="none"/>
        </w:rPr>
        <w:t>onvention à l</w:t>
      </w:r>
      <w:r w:rsidR="00086DE2">
        <w:rPr>
          <w:u w:val="none"/>
        </w:rPr>
        <w:t>’</w:t>
      </w:r>
      <w:r w:rsidR="00264AD8">
        <w:rPr>
          <w:u w:val="none"/>
        </w:rPr>
        <w:t>avancement</w:t>
      </w:r>
      <w:r>
        <w:rPr>
          <w:u w:val="none"/>
        </w:rPr>
        <w:t xml:space="preserve"> des objectifs de développement durable</w:t>
      </w:r>
      <w:r w:rsidR="00151BE2">
        <w:rPr>
          <w:u w:val="none"/>
        </w:rPr>
        <w:t> </w:t>
      </w:r>
      <w:r>
        <w:rPr>
          <w:u w:val="none"/>
        </w:rPr>
        <w:t>;</w:t>
      </w:r>
    </w:p>
    <w:p w14:paraId="08F90DAA" w14:textId="38CED2E0" w:rsidR="001D4D0D" w:rsidRPr="00A14AC4" w:rsidRDefault="001D4D0D" w:rsidP="001D4D0D">
      <w:pPr>
        <w:pStyle w:val="COMParaDecision"/>
        <w:rPr>
          <w:u w:val="none"/>
        </w:rPr>
      </w:pPr>
      <w:r>
        <w:t>Encourage en outre</w:t>
      </w:r>
      <w:r>
        <w:rPr>
          <w:u w:val="none"/>
        </w:rPr>
        <w:t xml:space="preserve"> le Secrétariat à </w:t>
      </w:r>
      <w:r w:rsidR="001115FC">
        <w:rPr>
          <w:u w:val="none"/>
        </w:rPr>
        <w:t>explorer</w:t>
      </w:r>
      <w:r>
        <w:rPr>
          <w:u w:val="none"/>
        </w:rPr>
        <w:t xml:space="preserve"> les implications des technologies émergentes sur le patrimoine vivant et à prendre des mesures pour élaborer des orientations sur la manière d</w:t>
      </w:r>
      <w:r w:rsidR="00086DE2">
        <w:rPr>
          <w:u w:val="none"/>
        </w:rPr>
        <w:t>’</w:t>
      </w:r>
      <w:r>
        <w:rPr>
          <w:u w:val="none"/>
        </w:rPr>
        <w:t xml:space="preserve">exploiter efficacement les outils numériques à des fins de sauvegarde tout en tenant compte des </w:t>
      </w:r>
      <w:proofErr w:type="gramStart"/>
      <w:r>
        <w:rPr>
          <w:u w:val="none"/>
        </w:rPr>
        <w:t>risques potentiels</w:t>
      </w:r>
      <w:proofErr w:type="gramEnd"/>
      <w:r w:rsidR="00151BE2">
        <w:rPr>
          <w:u w:val="none"/>
        </w:rPr>
        <w:t> </w:t>
      </w:r>
      <w:r>
        <w:rPr>
          <w:u w:val="none"/>
        </w:rPr>
        <w:t>;</w:t>
      </w:r>
    </w:p>
    <w:p w14:paraId="3145C4D8" w14:textId="23C28A2B" w:rsidR="00814CB7" w:rsidRPr="00A14AC4" w:rsidRDefault="00814CB7" w:rsidP="00814CB7">
      <w:pPr>
        <w:pStyle w:val="COMParaDecision"/>
        <w:rPr>
          <w:u w:val="none"/>
        </w:rPr>
      </w:pPr>
      <w:r>
        <w:t>Appelle</w:t>
      </w:r>
      <w:r>
        <w:rPr>
          <w:u w:val="none"/>
        </w:rPr>
        <w:t xml:space="preserve"> les États parties et les partenaires potentiels à fournir des contributions financières afin de soutenir les initiatives thématiques en cours ainsi que la nouvelle initiative relative aux technologies émergentes</w:t>
      </w:r>
      <w:r w:rsidR="00151BE2">
        <w:rPr>
          <w:u w:val="none"/>
        </w:rPr>
        <w:t> </w:t>
      </w:r>
      <w:r>
        <w:rPr>
          <w:u w:val="none"/>
        </w:rPr>
        <w:t>;</w:t>
      </w:r>
    </w:p>
    <w:p w14:paraId="7E3F2BCF" w14:textId="588EEDE9" w:rsidR="008E3ABB" w:rsidRPr="00A14AC4" w:rsidRDefault="008E3ABB" w:rsidP="00D97122">
      <w:pPr>
        <w:pStyle w:val="COMParaDecision"/>
        <w:rPr>
          <w:u w:val="none"/>
        </w:rPr>
      </w:pPr>
      <w:r>
        <w:t>Demande</w:t>
      </w:r>
      <w:r w:rsidR="00751D37" w:rsidRPr="00F52718">
        <w:rPr>
          <w:u w:val="none"/>
        </w:rPr>
        <w:t xml:space="preserve"> </w:t>
      </w:r>
      <w:r>
        <w:rPr>
          <w:u w:val="none"/>
        </w:rPr>
        <w:t xml:space="preserve">au Secrétariat de faire </w:t>
      </w:r>
      <w:r w:rsidR="00825E22">
        <w:rPr>
          <w:u w:val="none"/>
        </w:rPr>
        <w:t xml:space="preserve">un </w:t>
      </w:r>
      <w:r>
        <w:rPr>
          <w:u w:val="none"/>
        </w:rPr>
        <w:t xml:space="preserve">rapport sur les progrès réalisés dans la mise en œuvre des initiatives thématiques pour examen par le Comité lors de sa </w:t>
      </w:r>
      <w:r w:rsidR="001115FC">
        <w:rPr>
          <w:u w:val="none"/>
        </w:rPr>
        <w:t xml:space="preserve">vingtième </w:t>
      </w:r>
      <w:r>
        <w:rPr>
          <w:u w:val="none"/>
        </w:rPr>
        <w:t>session en 2025</w:t>
      </w:r>
      <w:r w:rsidRPr="00F52718">
        <w:rPr>
          <w:u w:val="none"/>
        </w:rPr>
        <w:t>.</w:t>
      </w:r>
    </w:p>
    <w:p w14:paraId="7E583D4B" w14:textId="77777777" w:rsidR="00825959" w:rsidRDefault="00CA7E4D" w:rsidP="00CA7E4D">
      <w:pPr>
        <w:pStyle w:val="COMPara"/>
        <w:jc w:val="center"/>
      </w:pPr>
      <w:r w:rsidRPr="001115FC">
        <w:br w:type="page"/>
      </w:r>
    </w:p>
    <w:p w14:paraId="0A1FFE22" w14:textId="7E49F2C2" w:rsidR="00825959" w:rsidRPr="00DE66E3" w:rsidRDefault="00825959" w:rsidP="00CA7E4D">
      <w:pPr>
        <w:pStyle w:val="COMPara"/>
        <w:jc w:val="center"/>
      </w:pPr>
      <w:r w:rsidRPr="00DE66E3">
        <w:t>Annexe</w:t>
      </w:r>
    </w:p>
    <w:p w14:paraId="6A0C8891" w14:textId="559A6F2C" w:rsidR="00825959" w:rsidRPr="00F52718" w:rsidRDefault="00CA7E4D" w:rsidP="00825959">
      <w:pPr>
        <w:pStyle w:val="COMPara"/>
        <w:jc w:val="center"/>
        <w:rPr>
          <w:rFonts w:eastAsia="SimSun"/>
        </w:rPr>
      </w:pPr>
      <w:r w:rsidRPr="00DE66E3">
        <w:rPr>
          <w:b/>
        </w:rPr>
        <w:t>Introduction à la note d</w:t>
      </w:r>
      <w:r w:rsidR="00086DE2">
        <w:rPr>
          <w:b/>
        </w:rPr>
        <w:t>’</w:t>
      </w:r>
      <w:r w:rsidRPr="00DE66E3">
        <w:rPr>
          <w:b/>
        </w:rPr>
        <w:t>orientation</w:t>
      </w:r>
      <w:r w:rsidR="00825959" w:rsidRPr="00DE66E3">
        <w:rPr>
          <w:vertAlign w:val="superscript"/>
          <w:lang w:val="fr"/>
        </w:rPr>
        <w:footnoteReference w:id="5"/>
      </w:r>
    </w:p>
    <w:p w14:paraId="7DE0122A" w14:textId="7C691593"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Le patrimoine culturel immatériel (ou patrimoine vivant) couvre une série de domaines, notamment les expressions orales telles que la poésie et le chant, les arts du spectacle tels que la danse et le théâtre, les pratiques sociales, y compris les rituels et les événements festifs,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artisanat et les connaissances liées à la nature et à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univers, qui englobent les pratiques agricoles et la pêche. Ces formes de connaissances et de pratiques sont généralement pratiquées et transmises par des communautés, des groupes ou des individus (ci-après dénommés « communautés »), qui les considèrent comme faisant partie de leur patrimoine vivant. En plus de ces fonctions et activités conventionnelles, le patrimoine vivant revêt une double dimension dans toutes les situations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urgence, y compris le changement climatique. Dans le contexte du changement climatique, le patrimoine vivant peut jouer un rôle positif important en tant que source de préparation, de récupération, et de mesures de prévention pour gérer et réduire la vulnérabilité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exposition aux risques associés au changement climatique, ainsi que pour atténuer les émissions de carbone. Dans le même temps, la viabilité du patrimoine vivant et de ses détenteurs sont aussi fondamentalement menacées par les effets du changement climatique, soit directement, soit en raison des effets multiplicateurs du changement climatique sur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autres conditions de vulnérabilité. Distinguer clairement ces potentiels rôles positifs et négatifs et ces risques, et comprendre comment et quand le patrimoine vivant devient vulnérable ou peut être exploité comme une force positive pour relever les défis liés au changement climatique, sont des domaines importants à prendre en considération dans la conception de politiques et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actions climatiques pertinentes.</w:t>
      </w:r>
    </w:p>
    <w:p w14:paraId="1825E041" w14:textId="254417A0"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 xml:space="preserve">La </w:t>
      </w:r>
      <w:hyperlink r:id="rId32" w:history="1">
        <w:r w:rsidRPr="00F52718">
          <w:rPr>
            <w:rStyle w:val="Hyperlink"/>
            <w:rFonts w:asciiTheme="minorBidi" w:hAnsiTheme="minorBidi" w:cstheme="minorBidi"/>
            <w:sz w:val="22"/>
            <w:szCs w:val="22"/>
          </w:rPr>
          <w:t>Convention de 2003 pour la sauvegarde du patrimoine culturel immatériel</w:t>
        </w:r>
      </w:hyperlink>
      <w:r w:rsidRPr="00F52718">
        <w:t xml:space="preserve"> </w:t>
      </w:r>
      <w:r w:rsidRPr="00F52718">
        <w:rPr>
          <w:rFonts w:ascii="Arial" w:hAnsi="Arial" w:cs="Arial"/>
          <w:snapToGrid w:val="0"/>
          <w:sz w:val="22"/>
          <w:szCs w:val="22"/>
          <w:lang w:val="fr" w:eastAsia="en-US"/>
        </w:rPr>
        <w:t>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UNESCO (ci-après, la Convention) reconnaît le rôle potentiel du patrimoine vivant dans le renforcement de la résilience des communautés face aux catastrophes et au changement climatique dans les </w:t>
      </w:r>
      <w:hyperlink r:id="rId33" w:history="1">
        <w:r w:rsidRPr="00F52718">
          <w:rPr>
            <w:rStyle w:val="Hyperlink"/>
            <w:rFonts w:asciiTheme="minorBidi" w:hAnsiTheme="minorBidi" w:cstheme="minorBidi"/>
            <w:sz w:val="22"/>
            <w:szCs w:val="22"/>
          </w:rPr>
          <w:t>Directives opérationnelles</w:t>
        </w:r>
      </w:hyperlink>
      <w:r w:rsidRPr="00F52718">
        <w:rPr>
          <w:rFonts w:ascii="Arial" w:hAnsi="Arial" w:cs="Arial"/>
          <w:snapToGrid w:val="0"/>
          <w:sz w:val="22"/>
          <w:szCs w:val="22"/>
          <w:lang w:val="fr" w:eastAsia="en-US"/>
        </w:rPr>
        <w:t xml:space="preserve"> (chapitre VI.3.3) et les </w:t>
      </w:r>
      <w:hyperlink r:id="rId34" w:history="1">
        <w:r w:rsidRPr="00F52718">
          <w:rPr>
            <w:rStyle w:val="Hyperlink"/>
            <w:rFonts w:asciiTheme="minorBidi" w:hAnsiTheme="minorBidi" w:cstheme="minorBidi"/>
            <w:sz w:val="22"/>
            <w:szCs w:val="22"/>
          </w:rPr>
          <w:t>Principes et modalités opérationnels pour la sauvegarde du patrimoine culturel immatériel en situation d</w:t>
        </w:r>
        <w:r w:rsidR="00086DE2">
          <w:rPr>
            <w:rStyle w:val="Hyperlink"/>
            <w:rFonts w:asciiTheme="minorBidi" w:hAnsiTheme="minorBidi" w:cstheme="minorBidi"/>
            <w:sz w:val="22"/>
            <w:szCs w:val="22"/>
          </w:rPr>
          <w:t>’</w:t>
        </w:r>
        <w:r w:rsidRPr="00F52718">
          <w:rPr>
            <w:rStyle w:val="Hyperlink"/>
            <w:rFonts w:asciiTheme="minorBidi" w:hAnsiTheme="minorBidi" w:cstheme="minorBidi"/>
            <w:sz w:val="22"/>
            <w:szCs w:val="22"/>
          </w:rPr>
          <w:t>urgence</w:t>
        </w:r>
      </w:hyperlink>
      <w:r w:rsidRPr="00F52718">
        <w:rPr>
          <w:rFonts w:ascii="Arial" w:hAnsi="Arial" w:cs="Arial"/>
          <w:snapToGrid w:val="0"/>
          <w:sz w:val="22"/>
          <w:szCs w:val="22"/>
          <w:lang w:val="fr" w:eastAsia="en-US"/>
        </w:rPr>
        <w:t xml:space="preserve"> (2020), récemment adoptés.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il existe une abondante littérature et de nombreux instruments relatifs au changement climatique et aux différentes formes de savoirs locaux et autochtones, ils ne font pas spécifiquement référence au rôle du patrimoine vivant du point de vue de la Convention. Des orientations supplémentaires sont donc nécessaires pour les parties prenantes de la Convention qui cherchent à engager et à renforcer le dialogue entre les secteurs du changement climatique et du patrimoine vivant.</w:t>
      </w:r>
    </w:p>
    <w:p w14:paraId="0018CEFF" w14:textId="77777777" w:rsidR="00825959" w:rsidRPr="00F52718" w:rsidRDefault="00825959" w:rsidP="004600F5">
      <w:pPr>
        <w:widowControl w:val="0"/>
        <w:spacing w:after="120"/>
        <w:ind w:left="567"/>
        <w:jc w:val="both"/>
        <w:rPr>
          <w:rFonts w:ascii="Arial" w:hAnsi="Arial" w:cs="Arial"/>
          <w:snapToGrid w:val="0"/>
          <w:sz w:val="22"/>
          <w:szCs w:val="22"/>
          <w:u w:val="single"/>
          <w:lang w:eastAsia="en-US"/>
        </w:rPr>
      </w:pPr>
      <w:r w:rsidRPr="00F52718">
        <w:rPr>
          <w:rFonts w:ascii="Arial" w:hAnsi="Arial" w:cs="Arial"/>
          <w:snapToGrid w:val="0"/>
          <w:sz w:val="22"/>
          <w:szCs w:val="22"/>
          <w:u w:val="single"/>
          <w:lang w:eastAsia="en-US"/>
        </w:rPr>
        <w:t>Changement climatique</w:t>
      </w:r>
    </w:p>
    <w:p w14:paraId="52C9B4A6" w14:textId="744D2D0B"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Le changement climatique est indiqué par un changement détectable et persistant de la moyenne ou de la variabilité du climat de la Terre. Selon le Groupe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experts intergouvernemental sur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évolution du climat (GIEC), le changement climatique peut résulter soit de la variabilité naturelle, soit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activité humaine, tandis que la Convention-cadre des Nations unies sur les changements climatiques (CCNUCC) se concentre sur la composante du changement climatique qui dépasse la variabilité naturelle et qui peut être liée directement ou indirectement à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activité humaine.</w:t>
      </w:r>
    </w:p>
    <w:p w14:paraId="1F241DFF" w14:textId="63C83696" w:rsidR="00825959" w:rsidRPr="00F52718" w:rsidRDefault="00825959" w:rsidP="004600F5">
      <w:pPr>
        <w:widowControl w:val="0"/>
        <w:numPr>
          <w:ilvl w:val="0"/>
          <w:numId w:val="31"/>
        </w:numPr>
        <w:spacing w:after="120"/>
        <w:ind w:left="990" w:hanging="423"/>
        <w:jc w:val="both"/>
        <w:rPr>
          <w:rFonts w:ascii="Arial" w:hAnsi="Arial" w:cs="Arial"/>
          <w:snapToGrid w:val="0"/>
          <w:sz w:val="22"/>
          <w:szCs w:val="22"/>
          <w:lang w:eastAsia="en-US"/>
        </w:rPr>
      </w:pPr>
      <w:r w:rsidRPr="00F52718">
        <w:rPr>
          <w:rFonts w:ascii="Arial" w:hAnsi="Arial" w:cs="Arial"/>
          <w:snapToGrid w:val="0"/>
          <w:sz w:val="22"/>
          <w:szCs w:val="22"/>
          <w:lang w:eastAsia="en-US"/>
        </w:rPr>
        <w:t>Les effets du changement climatique sur le patrimoine vivant sont constants, multiples et diversifiés</w:t>
      </w:r>
      <w:r w:rsidRPr="00F52718" w:rsidDel="003A3C35">
        <w:rPr>
          <w:rFonts w:ascii="Arial" w:hAnsi="Arial" w:cs="Arial"/>
          <w:snapToGrid w:val="0"/>
          <w:sz w:val="22"/>
          <w:szCs w:val="22"/>
          <w:lang w:eastAsia="en-US"/>
        </w:rPr>
        <w:t xml:space="preserve"> </w:t>
      </w:r>
      <w:r w:rsidRPr="00F52718">
        <w:rPr>
          <w:rFonts w:ascii="Arial" w:hAnsi="Arial" w:cs="Arial"/>
          <w:snapToGrid w:val="0"/>
          <w:sz w:val="22"/>
          <w:szCs w:val="22"/>
          <w:lang w:eastAsia="en-US"/>
        </w:rPr>
        <w:t>et s</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inscrivent dans un large éventail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échelles temporelles, allant de lentes à rapides. Les effets du changement climatique contribuent et accentuent également une série complexe et aggravante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autres menaces et pressions non climatiques, notamment les conflits, les maladies, la vulnérabilité économique, la pollution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autres sources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urgence, qui peuvent se conjuguer ensemble pour exacerber les risques critiques qui pèsent sur la viabilité du patrimoine vivant.</w:t>
      </w:r>
    </w:p>
    <w:p w14:paraId="479F9102" w14:textId="404666A4" w:rsidR="00825959" w:rsidRPr="00F52718" w:rsidRDefault="00825959" w:rsidP="004600F5">
      <w:pPr>
        <w:widowControl w:val="0"/>
        <w:numPr>
          <w:ilvl w:val="0"/>
          <w:numId w:val="31"/>
        </w:numPr>
        <w:spacing w:after="120"/>
        <w:ind w:left="990" w:hanging="423"/>
        <w:jc w:val="both"/>
        <w:rPr>
          <w:rFonts w:ascii="Arial" w:hAnsi="Arial" w:cs="Arial"/>
          <w:snapToGrid w:val="0"/>
          <w:sz w:val="22"/>
          <w:szCs w:val="22"/>
          <w:lang w:eastAsia="en-US"/>
        </w:rPr>
      </w:pPr>
      <w:r w:rsidRPr="00F52718">
        <w:rPr>
          <w:rFonts w:ascii="Arial" w:hAnsi="Arial" w:cs="Arial"/>
          <w:snapToGrid w:val="0"/>
          <w:sz w:val="22"/>
          <w:szCs w:val="22"/>
          <w:lang w:eastAsia="en-US"/>
        </w:rPr>
        <w:t>Si le changement climatique est un phénomène mondial, ses effets sont très variables à travers le monde, et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expérience de ses impacts directs et indirects est principalement locale et spécifique aux conditions et vulnérabilités de certains lieux et communautés. Le patrimoine vivant lié à la gestion des changements et impacts spécifiques au site constitue donc une ressource très pertinente et significative pour les stratégies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adaptation au changement climatique dans le passé et le présent, et pour la planification des réponses futures.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expérience pratique des effets du changement climatique au niveau local peut se rapporter à des changements environnementaux localisés ou régionaux et à des conditions météorologiques extrêmes, ainsi qu</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à des situations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urgence liées à des risques naturels telles que des inondations, des sécheresses, des cyclones ou des espèces nuisibles invasives. Un vaste ensemble de connaissances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expériences locales et autochtones sur ces changements et dangers éclaire de plus en plus les stratégies de réduction des risques.</w:t>
      </w:r>
    </w:p>
    <w:p w14:paraId="4F8ADD9B" w14:textId="7A1F52B3" w:rsidR="00825959" w:rsidRPr="00F52718" w:rsidRDefault="00825959" w:rsidP="004600F5">
      <w:pPr>
        <w:widowControl w:val="0"/>
        <w:numPr>
          <w:ilvl w:val="0"/>
          <w:numId w:val="31"/>
        </w:numPr>
        <w:spacing w:after="120"/>
        <w:ind w:left="990" w:hanging="423"/>
        <w:jc w:val="both"/>
        <w:rPr>
          <w:rFonts w:ascii="Arial" w:hAnsi="Arial" w:cs="Arial"/>
          <w:snapToGrid w:val="0"/>
          <w:sz w:val="22"/>
          <w:szCs w:val="22"/>
          <w:lang w:eastAsia="en-US"/>
        </w:rPr>
      </w:pPr>
      <w:r w:rsidRPr="00F52718">
        <w:rPr>
          <w:rFonts w:ascii="Arial" w:hAnsi="Arial" w:cs="Arial"/>
          <w:snapToGrid w:val="0"/>
          <w:sz w:val="22"/>
          <w:szCs w:val="22"/>
          <w:lang w:eastAsia="en-US"/>
        </w:rPr>
        <w:t>À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échelle locale, le changement climatique se manifeste par des phénomènes à évolution lente ou rapide, allant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augmentation de la température ou des conséquences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élévation du niveau de la mer et de la désertification aux modifications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intensité et de la fréquence des risques naturels. De ce point de vue, les instruments et les méthodes qui se rapportent au changement climatique ou à la réduction des risques de catastrophe sont tout aussi pertinents. Les parties prenantes à la Convention devront élaborer leurs propres méthodes et protocoles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en s</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appuyant sur des modèles et des connaissances issus à la fois des secteurs du changement climatique et de la réduction des risques de catastrophe.</w:t>
      </w:r>
    </w:p>
    <w:p w14:paraId="1D646205" w14:textId="1068848C" w:rsidR="00825959" w:rsidRPr="00F52718" w:rsidRDefault="00825959" w:rsidP="004600F5">
      <w:pPr>
        <w:widowControl w:val="0"/>
        <w:spacing w:after="120"/>
        <w:ind w:left="567"/>
        <w:jc w:val="both"/>
        <w:rPr>
          <w:rFonts w:ascii="Arial" w:hAnsi="Arial" w:cs="Arial"/>
          <w:snapToGrid w:val="0"/>
          <w:sz w:val="22"/>
          <w:szCs w:val="22"/>
          <w:u w:val="single"/>
          <w:lang w:eastAsia="en-US"/>
        </w:rPr>
      </w:pPr>
      <w:r w:rsidRPr="00F52718">
        <w:rPr>
          <w:rFonts w:ascii="Arial" w:hAnsi="Arial" w:cs="Arial"/>
          <w:snapToGrid w:val="0"/>
          <w:sz w:val="22"/>
          <w:szCs w:val="22"/>
          <w:u w:val="single"/>
          <w:lang w:eastAsia="en-US"/>
        </w:rPr>
        <w:t>L</w:t>
      </w:r>
      <w:r w:rsidR="00086DE2">
        <w:rPr>
          <w:rFonts w:ascii="Arial" w:hAnsi="Arial" w:cs="Arial"/>
          <w:snapToGrid w:val="0"/>
          <w:sz w:val="22"/>
          <w:szCs w:val="22"/>
          <w:u w:val="single"/>
          <w:lang w:eastAsia="en-US"/>
        </w:rPr>
        <w:t>’</w:t>
      </w:r>
      <w:r w:rsidRPr="00F52718">
        <w:rPr>
          <w:rFonts w:ascii="Arial" w:hAnsi="Arial" w:cs="Arial"/>
          <w:snapToGrid w:val="0"/>
          <w:sz w:val="22"/>
          <w:szCs w:val="22"/>
          <w:u w:val="single"/>
          <w:lang w:eastAsia="en-US"/>
        </w:rPr>
        <w:t>action climatique pour le patrimoine vivant</w:t>
      </w:r>
    </w:p>
    <w:p w14:paraId="2F112412" w14:textId="00D116BA"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climatique pour le patrimoine vivant fait référence aux trois domaines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intervention clés :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atténuation des effets du changement climatique et la sauvegarde du patrimoine vivant.</w:t>
      </w:r>
    </w:p>
    <w:p w14:paraId="3FA1A09A" w14:textId="4CBA168A" w:rsidR="00825959" w:rsidRPr="00F52718" w:rsidRDefault="00825959" w:rsidP="004600F5">
      <w:pPr>
        <w:pStyle w:val="ListParagraph"/>
        <w:numPr>
          <w:ilvl w:val="0"/>
          <w:numId w:val="36"/>
        </w:numPr>
        <w:spacing w:after="120"/>
        <w:ind w:left="990" w:hanging="423"/>
        <w:contextualSpacing w:val="0"/>
        <w:jc w:val="both"/>
        <w:rPr>
          <w:rFonts w:ascii="Arial" w:hAnsi="Arial" w:cs="Arial"/>
          <w:snapToGrid w:val="0"/>
          <w:sz w:val="22"/>
          <w:szCs w:val="22"/>
          <w:lang w:val="fr" w:eastAsia="en-US"/>
        </w:rPr>
      </w:pPr>
      <w:r w:rsidRPr="00F52718">
        <w:rPr>
          <w:rFonts w:ascii="Arial" w:hAnsi="Arial" w:cs="Arial"/>
          <w:b/>
          <w:bCs/>
          <w:snapToGrid w:val="0"/>
          <w:sz w:val="22"/>
          <w:szCs w:val="22"/>
          <w:lang w:val="fr" w:eastAsia="en-US"/>
        </w:rPr>
        <w:t>L</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adaptation au changement climatique</w:t>
      </w:r>
      <w:r w:rsidRPr="00F52718">
        <w:rPr>
          <w:rFonts w:ascii="Arial" w:hAnsi="Arial" w:cs="Arial"/>
          <w:snapToGrid w:val="0"/>
          <w:sz w:val="22"/>
          <w:szCs w:val="22"/>
          <w:lang w:val="fr" w:eastAsia="en-US"/>
        </w:rPr>
        <w:t xml:space="preserve"> est définie par le GIEC comme « démarche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ajustement au climat actuel ou attendu ainsi qu</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à ses conséquences, de manière à en atténuer les effets préjudiciables et à en exploiter les effets bénéfiques ». Il est important de noter que si la politique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planifiée est généralement du ressort des organismes nationaux, la mise en œuvre des stratégies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locales ou autonomes sur le terrain devrait toujours impliquer et refléter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agence, les connaissances et le patrimoine vivant des communautés locales.</w:t>
      </w:r>
    </w:p>
    <w:p w14:paraId="369B1A86" w14:textId="565873A5" w:rsidR="00825959" w:rsidRPr="00F52718" w:rsidRDefault="00825959" w:rsidP="004600F5">
      <w:pPr>
        <w:pStyle w:val="ListParagraph"/>
        <w:numPr>
          <w:ilvl w:val="0"/>
          <w:numId w:val="36"/>
        </w:numPr>
        <w:spacing w:after="120"/>
        <w:ind w:left="990" w:hanging="423"/>
        <w:contextualSpacing w:val="0"/>
        <w:jc w:val="both"/>
        <w:rPr>
          <w:rFonts w:ascii="Arial" w:hAnsi="Arial" w:cs="Arial"/>
          <w:snapToGrid w:val="0"/>
          <w:sz w:val="22"/>
          <w:szCs w:val="22"/>
          <w:lang w:eastAsia="en-US"/>
        </w:rPr>
      </w:pPr>
      <w:r w:rsidRPr="00F52718">
        <w:rPr>
          <w:rFonts w:ascii="Arial" w:hAnsi="Arial" w:cs="Arial"/>
          <w:b/>
          <w:bCs/>
          <w:snapToGrid w:val="0"/>
          <w:sz w:val="22"/>
          <w:szCs w:val="22"/>
          <w:lang w:val="fr" w:eastAsia="en-US"/>
        </w:rPr>
        <w:t>L</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atténuation</w:t>
      </w:r>
      <w:r w:rsidRPr="00F52718">
        <w:rPr>
          <w:rFonts w:ascii="Arial" w:hAnsi="Arial" w:cs="Arial"/>
          <w:snapToGrid w:val="0"/>
          <w:sz w:val="22"/>
          <w:szCs w:val="22"/>
          <w:lang w:val="fr" w:eastAsia="en-US"/>
        </w:rPr>
        <w:t xml:space="preserve"> du changement climatique se réfère aux actions qui limitent ou réduisent les émissions de gaz à effet de serre ou la présence de gaz dans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atmosphère, selon la définition du GIEC, et non à la réduction des effets du changement climatique.</w:t>
      </w:r>
      <w:r w:rsidRPr="00F52718">
        <w:rPr>
          <w:rFonts w:ascii="Arial" w:hAnsi="Arial" w:cs="Arial"/>
          <w:snapToGrid w:val="0"/>
          <w:sz w:val="22"/>
          <w:szCs w:val="22"/>
          <w:lang w:eastAsia="en-US"/>
        </w:rPr>
        <w:t xml:space="preserve"> </w:t>
      </w:r>
      <w:r w:rsidRPr="00F52718">
        <w:rPr>
          <w:rFonts w:ascii="Arial" w:hAnsi="Arial" w:cs="Arial"/>
          <w:snapToGrid w:val="0"/>
          <w:sz w:val="22"/>
          <w:szCs w:val="22"/>
          <w:lang w:val="fr" w:eastAsia="en-US"/>
        </w:rPr>
        <w:t>En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appuyant sur leur patrimoine vivant, les communautés locales et les peuples autochtones ont une capacité considérable à contribuer aux stratégies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atténuation grâce à leur connaissance des pratiques à faible émission de carbone.</w:t>
      </w:r>
    </w:p>
    <w:p w14:paraId="775553B4" w14:textId="4355F4DC" w:rsidR="00825959" w:rsidRPr="00F52718" w:rsidRDefault="00825959" w:rsidP="004600F5">
      <w:pPr>
        <w:pStyle w:val="ListParagraph"/>
        <w:numPr>
          <w:ilvl w:val="0"/>
          <w:numId w:val="36"/>
        </w:numPr>
        <w:spacing w:after="120"/>
        <w:ind w:left="990" w:hanging="423"/>
        <w:contextualSpacing w:val="0"/>
        <w:jc w:val="both"/>
        <w:rPr>
          <w:rFonts w:ascii="Arial" w:hAnsi="Arial" w:cs="Arial"/>
          <w:snapToGrid w:val="0"/>
          <w:sz w:val="22"/>
          <w:szCs w:val="22"/>
          <w:lang w:eastAsia="en-US"/>
        </w:rPr>
      </w:pPr>
      <w:r w:rsidRPr="00F52718">
        <w:rPr>
          <w:rFonts w:ascii="Arial" w:hAnsi="Arial" w:cs="Arial"/>
          <w:b/>
          <w:bCs/>
          <w:snapToGrid w:val="0"/>
          <w:sz w:val="22"/>
          <w:szCs w:val="22"/>
          <w:lang w:val="fr" w:eastAsia="en-US"/>
        </w:rPr>
        <w:t>La sauvegarde du patrimoine</w:t>
      </w:r>
      <w:r w:rsidRPr="00F52718">
        <w:rPr>
          <w:rFonts w:ascii="Arial" w:hAnsi="Arial" w:cs="Arial"/>
          <w:snapToGrid w:val="0"/>
          <w:sz w:val="22"/>
          <w:szCs w:val="22"/>
          <w:lang w:val="fr" w:eastAsia="en-US"/>
        </w:rPr>
        <w:t xml:space="preserve"> </w:t>
      </w:r>
      <w:r w:rsidRPr="00F52718">
        <w:rPr>
          <w:rFonts w:ascii="Arial" w:hAnsi="Arial" w:cs="Arial"/>
          <w:b/>
          <w:bCs/>
          <w:snapToGrid w:val="0"/>
          <w:sz w:val="22"/>
          <w:szCs w:val="22"/>
          <w:lang w:val="fr" w:eastAsia="en-US"/>
        </w:rPr>
        <w:t>vivant</w:t>
      </w:r>
      <w:r w:rsidRPr="00F52718">
        <w:rPr>
          <w:rFonts w:ascii="Arial" w:hAnsi="Arial" w:cs="Arial"/>
          <w:snapToGrid w:val="0"/>
          <w:sz w:val="22"/>
          <w:szCs w:val="22"/>
          <w:lang w:val="fr" w:eastAsia="en-US"/>
        </w:rPr>
        <w:t xml:space="preserve"> reste </w:t>
      </w:r>
      <w:r w:rsidRPr="00F52718">
        <w:rPr>
          <w:rFonts w:ascii="Arial" w:hAnsi="Arial" w:cs="Arial"/>
          <w:snapToGrid w:val="0"/>
          <w:sz w:val="22"/>
          <w:szCs w:val="22"/>
          <w:lang w:eastAsia="en-US"/>
        </w:rPr>
        <w:t>au cœur des préoccupations</w:t>
      </w:r>
      <w:r w:rsidRPr="00F52718">
        <w:rPr>
          <w:rFonts w:ascii="Arial" w:hAnsi="Arial" w:cs="Arial"/>
          <w:snapToGrid w:val="0"/>
          <w:sz w:val="22"/>
          <w:szCs w:val="22"/>
          <w:lang w:val="fr" w:eastAsia="en-US"/>
        </w:rPr>
        <w:t xml:space="preserve"> des parties prenantes de la Convention</w:t>
      </w:r>
      <w:r w:rsidRPr="00F52718">
        <w:rPr>
          <w:rFonts w:ascii="Arial" w:hAnsi="Arial" w:cs="Arial"/>
          <w:snapToGrid w:val="0"/>
          <w:sz w:val="22"/>
          <w:szCs w:val="22"/>
          <w:lang w:eastAsia="en-US"/>
        </w:rPr>
        <w:t>, mais les impacts directs et indirects du changement climatique présentent une nouvelle série de risques divers pour la pratique et la transmission du patrimoine vivant</w:t>
      </w:r>
      <w:r w:rsidRPr="00F52718">
        <w:rPr>
          <w:rFonts w:ascii="Arial" w:hAnsi="Arial" w:cs="Arial"/>
          <w:snapToGrid w:val="0"/>
          <w:sz w:val="22"/>
          <w:szCs w:val="22"/>
          <w:lang w:val="fr" w:eastAsia="en-US"/>
        </w:rPr>
        <w:t>. Comprendre la vulnérabilité des communautés et de leur patrimoine vivant face à ces nouvelles menaces est une priorité urgente afin de fournir aux parties prenantes de la Convention les connaissances et les moyens nécessaires pour soutenir et renforcer les mesures de sauvegarde appropriées. </w:t>
      </w:r>
    </w:p>
    <w:p w14:paraId="1F79161B" w14:textId="72DC86BA" w:rsidR="00825959" w:rsidRPr="00F52718" w:rsidRDefault="00825959" w:rsidP="004600F5">
      <w:pPr>
        <w:keepNext/>
        <w:keepLines/>
        <w:widowControl w:val="0"/>
        <w:spacing w:after="120"/>
        <w:ind w:left="567"/>
        <w:jc w:val="both"/>
        <w:rPr>
          <w:rFonts w:ascii="Arial" w:hAnsi="Arial" w:cs="Arial"/>
          <w:snapToGrid w:val="0"/>
          <w:sz w:val="22"/>
          <w:szCs w:val="22"/>
          <w:u w:val="single"/>
          <w:lang w:eastAsia="en-US"/>
        </w:rPr>
      </w:pPr>
      <w:r w:rsidRPr="00F52718">
        <w:rPr>
          <w:rFonts w:ascii="Arial" w:hAnsi="Arial" w:cs="Arial"/>
          <w:snapToGrid w:val="0"/>
          <w:sz w:val="22"/>
          <w:szCs w:val="22"/>
          <w:u w:val="single"/>
          <w:lang w:eastAsia="en-US"/>
        </w:rPr>
        <w:t>Risques pour le patrimoine vivant dans l</w:t>
      </w:r>
      <w:r w:rsidR="00086DE2">
        <w:rPr>
          <w:rFonts w:ascii="Arial" w:hAnsi="Arial" w:cs="Arial"/>
          <w:snapToGrid w:val="0"/>
          <w:sz w:val="22"/>
          <w:szCs w:val="22"/>
          <w:u w:val="single"/>
          <w:lang w:eastAsia="en-US"/>
        </w:rPr>
        <w:t>’</w:t>
      </w:r>
      <w:r w:rsidRPr="00F52718">
        <w:rPr>
          <w:rFonts w:ascii="Arial" w:hAnsi="Arial" w:cs="Arial"/>
          <w:snapToGrid w:val="0"/>
          <w:sz w:val="22"/>
          <w:szCs w:val="22"/>
          <w:u w:val="single"/>
          <w:lang w:eastAsia="en-US"/>
        </w:rPr>
        <w:t>urgence climatique</w:t>
      </w:r>
    </w:p>
    <w:p w14:paraId="0351CB13" w14:textId="7724FA0C"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Les risques que le changement climatique et les situations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urgence qui en découlent font peser sur le patrimoine vivant sont très variés. Ils comprennent à la fois la dégradation, la destruction et la disparition catastrophiques de lieux, de pratiques et de praticiens, ainsi que des processus plus lents mais tout aussi dangereux tels que la perte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habitats et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environnements culturels significatifs, la perturbation de la dynamique de transmission des connaissances, en particulier celles relatives à la nature et à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univers, la précarité croissante des moyens de subsistance des communautés et la dislocation des populations. Les effets du changement climatique sur le patrimoine vivant, souvent interconnectés et cumulés, restent mal compris.</w:t>
      </w:r>
    </w:p>
    <w:p w14:paraId="73E85364" w14:textId="49E33F31" w:rsidR="00825959" w:rsidRPr="00F52718" w:rsidRDefault="00825959" w:rsidP="004600F5">
      <w:pPr>
        <w:widowControl w:val="0"/>
        <w:numPr>
          <w:ilvl w:val="0"/>
          <w:numId w:val="31"/>
        </w:numPr>
        <w:spacing w:after="120"/>
        <w:ind w:left="990" w:hanging="423"/>
        <w:jc w:val="both"/>
        <w:rPr>
          <w:rFonts w:ascii="Arial" w:hAnsi="Arial" w:cs="Arial"/>
          <w:snapToGrid w:val="0"/>
          <w:sz w:val="22"/>
          <w:szCs w:val="22"/>
          <w:lang w:eastAsia="en-US"/>
        </w:rPr>
      </w:pPr>
      <w:r w:rsidRPr="00F52718">
        <w:rPr>
          <w:rFonts w:ascii="Arial" w:hAnsi="Arial" w:cs="Arial"/>
          <w:snapToGrid w:val="0"/>
          <w:sz w:val="22"/>
          <w:szCs w:val="22"/>
          <w:lang w:eastAsia="en-US"/>
        </w:rPr>
        <w:t>La perte ou la transformation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habitats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environnements, de structures bâties,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espaces de pratique et de ressources touche profondément les moyens de subsistance,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identité et la spiritualité. Elle menace la capacité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une communauté à se gérer et à se reproduire et à assurer la transmission de son patrimoine vivant aux générations futures.</w:t>
      </w:r>
    </w:p>
    <w:p w14:paraId="32D42C13" w14:textId="4D0D5521" w:rsidR="00825959" w:rsidRPr="00F52718" w:rsidRDefault="00825959" w:rsidP="004600F5">
      <w:pPr>
        <w:widowControl w:val="0"/>
        <w:numPr>
          <w:ilvl w:val="0"/>
          <w:numId w:val="31"/>
        </w:numPr>
        <w:spacing w:after="120"/>
        <w:ind w:left="990" w:hanging="423"/>
        <w:jc w:val="both"/>
        <w:rPr>
          <w:rFonts w:ascii="Arial" w:hAnsi="Arial" w:cs="Arial"/>
          <w:snapToGrid w:val="0"/>
          <w:sz w:val="22"/>
          <w:szCs w:val="22"/>
          <w:lang w:eastAsia="en-US"/>
        </w:rPr>
      </w:pPr>
      <w:r w:rsidRPr="00F52718">
        <w:rPr>
          <w:rFonts w:ascii="Arial" w:hAnsi="Arial" w:cs="Arial"/>
          <w:snapToGrid w:val="0"/>
          <w:sz w:val="22"/>
          <w:szCs w:val="22"/>
          <w:lang w:eastAsia="en-US"/>
        </w:rPr>
        <w:t>Le déplacement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une communauté et la perte de contextes pertinents et de relations qui en découle, quelle qu</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en soit la cause et qu</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il soit rapide ou lent, constituent une menace primordiale pour la pratique et la transmission du patrimoine vivant. Le patrimoine vivant voyage avec les communautés mobiles et se transmet entre elles, mais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impact sur le patrimoine vivant des communautés résidentielles déplacées ou des communautés mobiles limitées dans leurs déplacements n</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est pas encore bien compris.</w:t>
      </w:r>
    </w:p>
    <w:p w14:paraId="10ABB257" w14:textId="59EF30CE" w:rsidR="00825959" w:rsidRPr="00F52718" w:rsidRDefault="00825959" w:rsidP="004600F5">
      <w:pPr>
        <w:widowControl w:val="0"/>
        <w:numPr>
          <w:ilvl w:val="0"/>
          <w:numId w:val="31"/>
        </w:numPr>
        <w:spacing w:after="120"/>
        <w:ind w:left="990" w:hanging="423"/>
        <w:jc w:val="both"/>
        <w:rPr>
          <w:rFonts w:ascii="Arial" w:hAnsi="Arial" w:cs="Arial"/>
          <w:snapToGrid w:val="0"/>
          <w:sz w:val="22"/>
          <w:szCs w:val="22"/>
          <w:lang w:eastAsia="en-US"/>
        </w:rPr>
      </w:pPr>
      <w:r w:rsidRPr="00F52718">
        <w:rPr>
          <w:rFonts w:ascii="Arial" w:hAnsi="Arial" w:cs="Arial"/>
          <w:snapToGrid w:val="0"/>
          <w:sz w:val="22"/>
          <w:szCs w:val="22"/>
          <w:lang w:eastAsia="en-US"/>
        </w:rPr>
        <w:t>Les aspects des moyens de subsistance qui reposent sur le patrimoine vivant peuvent être menacés, notamment les systèmes alimentaires, les habitations et les biens, les habitats et les environnements, les ressources culturelles et les matières premières, les plantes et les animaux sauvages et domestiques,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accès au marché et le capital social, les diverses économies et la génération de revenus sous toutes ses formes.</w:t>
      </w:r>
    </w:p>
    <w:p w14:paraId="25E57A7D" w14:textId="41D7556C"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Le patrimoine vivant peut également être menacé par les réponses apportées au changement climatique et aux situations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urgence qui en découlent. Dans certains cas, les politiques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et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atténuation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assistance peuvent saper la pratique et la viabilité du patrimoine vivant par des interventions imposées telles que la relocalisation, une politique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aide et de développement inappropriée, des pratiques et des prestations, et le dénigrement des systèmes de connaissance locaux et autochtones ou leur utilisation sélective décontextualisée dans des stratégies formelles de réduction des risques et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adaptation planifiée. </w:t>
      </w:r>
    </w:p>
    <w:p w14:paraId="6F98E0CE" w14:textId="77777777" w:rsidR="00825959" w:rsidRPr="00F52718" w:rsidRDefault="00825959" w:rsidP="004600F5">
      <w:pPr>
        <w:widowControl w:val="0"/>
        <w:spacing w:after="120"/>
        <w:ind w:left="567"/>
        <w:jc w:val="both"/>
        <w:rPr>
          <w:rFonts w:ascii="Arial" w:hAnsi="Arial" w:cs="Arial"/>
          <w:snapToGrid w:val="0"/>
          <w:sz w:val="22"/>
          <w:szCs w:val="22"/>
          <w:u w:val="single"/>
          <w:lang w:eastAsia="en-US"/>
        </w:rPr>
      </w:pPr>
      <w:r w:rsidRPr="00F52718">
        <w:rPr>
          <w:rFonts w:ascii="Arial" w:hAnsi="Arial" w:cs="Arial"/>
          <w:snapToGrid w:val="0"/>
          <w:sz w:val="22"/>
          <w:szCs w:val="22"/>
          <w:u w:val="single"/>
          <w:lang w:eastAsia="en-US"/>
        </w:rPr>
        <w:t>Considérations générales</w:t>
      </w:r>
    </w:p>
    <w:p w14:paraId="0355EE8E" w14:textId="29289E14"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Pour chaque action climatique en faveur du patrimoine vivant - adaptation, atténuation et sauvegarde - les avantages probables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proposée sont généralement compris, mais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inaction entraînent également des coûts. Ces coûts vont du financement national ou international direct des activités par les acteurs étatiques et non étatiques, ou des coûts autofinancés par les communautés de leurs actions indépendantes, jusqu</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aux formes économiques et non économiques de perte et de dommage pour les détenteurs du patrimoine vivant et leurs communautés. Les coûts involontaires incluent les conséquences imprévues des actions, des aides ou des interventions, y compris les impacts sur le patrimoine vivant de la relocalisation, des pratiques inadaptées, des actions qui augmentent les émissions, et des mesures de sauvegarde qui sapent les valeurs et les modes de transmission locaux. Les coûts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opportunité résultent du choix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une activité ou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une communauté plutôt qu</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une autre, de la répartition inégale des bénéfices ou de la non-consultation de certains secteurs de la communauté. Des changements induits par les effets du changement climatique sur les systèmes de valeurs ou des modifications adaptatives significatives des pratiques peuvent également conduire à la perte délibérée ou à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abandon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éléments du patrimoine vivant par les communautés. A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inverse, les effets involontaires induits par le changement climatique peuvent être bénéfiques pour le patrimoine vivant de certaines communautés, dans certains environnements et pendant certaines périodes.</w:t>
      </w:r>
    </w:p>
    <w:p w14:paraId="560484A0" w14:textId="2CCC50C4" w:rsidR="00825959" w:rsidRPr="00F52718"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Le patrimoine vivant reflète les valeurs sociales, les croyances et les visions du monde qui façonnent et réaffirment les relations des individus entre et avec le monde naturel, en encourageant souvent le respect, la conservation et la réciprocité.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 est à la fois un processus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ajustement visant à limiter les effets néfastes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 climat changeant et une occasion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identifier et de tirer parti de nouvelles opportunités. Ces deux dimensions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 sont fortement influencées par le patrimoine vivant : les choix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autonomes faits par les communautés locales et les peuples autochtones sont influencés et façonnés par la culture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histoire locales, ainsi que par les valeurs exprimées par leur patrimoine vivant ; et les politiques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planifiées sont largement mises en œuvre par des agents locaux ou régionaux qui opèrent dans des conditions sociales et culturelles particulières. Le fait de créer et de soutenir les conditions permettant de comprendre et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apprendre des communautés locales et des peuples autochtones constituera une étape essentielle des stratégies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w:t>
      </w:r>
    </w:p>
    <w:p w14:paraId="76F0CE69" w14:textId="12FFE29A" w:rsidR="00DD1782" w:rsidRDefault="00825959" w:rsidP="004600F5">
      <w:pPr>
        <w:widowControl w:val="0"/>
        <w:numPr>
          <w:ilvl w:val="0"/>
          <w:numId w:val="28"/>
        </w:numPr>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À cet égard, la note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orientation proposée tire sa force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engagement profond des communautés dans leurs conditions locales, souvent sur de longues périodes, qui a généré des corpus de connaissances et de techniques pour identifier, évaluer et suivre les changements et leurs effets. Ces corpus de connaissances sont principalement axés sur le bien-être des communautés et peuvent compléter les connaissances scientifiques. On ne saurait trop insister sur le fait que les mesures visant à intégrer les questions liées au changement climatique et au patrimoine vivant doivent être menées par les communautés concernées, avec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aide, le cas échéant,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autres parties prenantes, notamment les autorités nationales, les organisations non gouvernementales (ONG) et les organisations de la société civile, ainsi que le secteur privé et le secteur informel. Compte tenu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évolution rapide de ce nouveau domaine intersectoriel et de la diversité des parties prenantes impliquées, les orientations politiques doivent également être souples afin de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adapter aux différents contextes, communautés et types de patrimoine vivant concernés, et de coordonner efficacement les modes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planifiés et autonomes. Des lignes directrices, des outils et des études de cas plus spécifiques pourraient ensuite être élaborés en fonction des besoins et des contextes spécifiques identifiés.</w:t>
      </w:r>
    </w:p>
    <w:p w14:paraId="74BBBD3E" w14:textId="34FB727C" w:rsidR="00825959" w:rsidRPr="00F52718" w:rsidRDefault="00DD1782" w:rsidP="00F52718">
      <w:pPr>
        <w:rPr>
          <w:rFonts w:ascii="Arial" w:hAnsi="Arial" w:cs="Arial"/>
          <w:snapToGrid w:val="0"/>
          <w:sz w:val="22"/>
          <w:szCs w:val="22"/>
          <w:lang w:val="fr" w:eastAsia="en-US"/>
        </w:rPr>
      </w:pPr>
      <w:r>
        <w:rPr>
          <w:rFonts w:ascii="Arial" w:hAnsi="Arial" w:cs="Arial"/>
          <w:snapToGrid w:val="0"/>
          <w:sz w:val="22"/>
          <w:szCs w:val="22"/>
          <w:lang w:val="fr" w:eastAsia="en-US"/>
        </w:rPr>
        <w:br w:type="page"/>
      </w:r>
    </w:p>
    <w:p w14:paraId="6402C3E5" w14:textId="12CC0BEE" w:rsidR="00766AD5" w:rsidRDefault="00766AD5" w:rsidP="00766AD5">
      <w:pPr>
        <w:spacing w:after="120"/>
        <w:jc w:val="center"/>
        <w:rPr>
          <w:rFonts w:ascii="Arial" w:hAnsi="Arial" w:cs="Arial"/>
          <w:b/>
          <w:bCs/>
          <w:snapToGrid w:val="0"/>
          <w:sz w:val="22"/>
          <w:szCs w:val="22"/>
          <w:lang w:val="fr" w:eastAsia="en-US"/>
        </w:rPr>
      </w:pPr>
      <w:r w:rsidRPr="00F52718">
        <w:rPr>
          <w:rFonts w:ascii="Arial" w:hAnsi="Arial" w:cs="Arial"/>
          <w:b/>
          <w:bCs/>
          <w:snapToGrid w:val="0"/>
          <w:sz w:val="22"/>
          <w:szCs w:val="22"/>
          <w:lang w:val="fr" w:eastAsia="en-US"/>
        </w:rPr>
        <w:t>Note d</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orientation sur l</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action climatique pour le patrimoine vivant</w:t>
      </w:r>
    </w:p>
    <w:p w14:paraId="27ADDD60" w14:textId="6C84CD54" w:rsidR="00DE66E3" w:rsidRPr="00F52718" w:rsidRDefault="00766AD5" w:rsidP="004600F5">
      <w:pPr>
        <w:pStyle w:val="COMPara"/>
        <w:widowControl w:val="0"/>
        <w:numPr>
          <w:ilvl w:val="0"/>
          <w:numId w:val="6"/>
        </w:numPr>
        <w:ind w:left="567" w:hanging="567"/>
        <w:jc w:val="both"/>
        <w:rPr>
          <w:bCs/>
        </w:rPr>
      </w:pPr>
      <w:r w:rsidRPr="00DE66E3">
        <w:rPr>
          <w:lang w:val="fr"/>
        </w:rPr>
        <w:t>Le changement climatique est un processus puissamment destructeur et largement irréversible qui porte déjà gravement atteinte au bien-être et au patrimoine culturel des communautés, des groupes et des individus dans le monde entier. Les parties prenantes de la Convention de 2003 pour la Sauvegarde du Patrimoine Culturel Immatériel sont confrontées au double défi d</w:t>
      </w:r>
      <w:r w:rsidR="00086DE2">
        <w:rPr>
          <w:lang w:val="fr"/>
        </w:rPr>
        <w:t>’</w:t>
      </w:r>
      <w:r w:rsidRPr="00DE66E3">
        <w:rPr>
          <w:lang w:val="fr"/>
        </w:rPr>
        <w:t>élaborer et de mettre en œuvre des plans qui aident les communautés à sauvegarder leur patrimoine vivant des effets directs et indirects du changement climatique, tout en s</w:t>
      </w:r>
      <w:r w:rsidR="00086DE2">
        <w:rPr>
          <w:lang w:val="fr"/>
        </w:rPr>
        <w:t>’</w:t>
      </w:r>
      <w:r w:rsidRPr="00DE66E3">
        <w:rPr>
          <w:lang w:val="fr"/>
        </w:rPr>
        <w:t>appuyant sur ce patrimoine comme ressource pour s</w:t>
      </w:r>
      <w:r w:rsidR="00086DE2">
        <w:rPr>
          <w:lang w:val="fr"/>
        </w:rPr>
        <w:t>’</w:t>
      </w:r>
      <w:r w:rsidRPr="00DE66E3">
        <w:rPr>
          <w:lang w:val="fr"/>
        </w:rPr>
        <w:t>adapter à l</w:t>
      </w:r>
      <w:r w:rsidR="00086DE2">
        <w:rPr>
          <w:lang w:val="fr"/>
        </w:rPr>
        <w:t>’</w:t>
      </w:r>
      <w:r w:rsidRPr="00DE66E3">
        <w:rPr>
          <w:lang w:val="fr"/>
        </w:rPr>
        <w:t>évolution des conditions environnementales et sociales et pour atténuer les émissions de gaz à effet de serre. Il est vraiment urgent de relever ces défis, afin de soutenir et d</w:t>
      </w:r>
      <w:r w:rsidR="00086DE2">
        <w:rPr>
          <w:lang w:val="fr"/>
        </w:rPr>
        <w:t>’</w:t>
      </w:r>
      <w:r w:rsidRPr="00DE66E3">
        <w:rPr>
          <w:lang w:val="fr"/>
        </w:rPr>
        <w:t>améliorer la capacité des communautés à s</w:t>
      </w:r>
      <w:r w:rsidR="00086DE2">
        <w:rPr>
          <w:lang w:val="fr"/>
        </w:rPr>
        <w:t>’</w:t>
      </w:r>
      <w:r w:rsidRPr="00DE66E3">
        <w:rPr>
          <w:lang w:val="fr"/>
        </w:rPr>
        <w:t>adapter à l</w:t>
      </w:r>
      <w:r w:rsidR="00086DE2">
        <w:rPr>
          <w:lang w:val="fr"/>
        </w:rPr>
        <w:t>’</w:t>
      </w:r>
      <w:r w:rsidRPr="00DE66E3">
        <w:rPr>
          <w:lang w:val="fr"/>
        </w:rPr>
        <w:t>évolution des conditions et à contribuer à la réduction des émissions de carbone. Le patrimoine vivant n</w:t>
      </w:r>
      <w:r w:rsidR="00086DE2">
        <w:rPr>
          <w:lang w:val="fr"/>
        </w:rPr>
        <w:t>’</w:t>
      </w:r>
      <w:r w:rsidRPr="00DE66E3">
        <w:rPr>
          <w:lang w:val="fr"/>
        </w:rPr>
        <w:t xml:space="preserve">est pas toujours une victime passive du changement climatique, mais peut </w:t>
      </w:r>
      <w:r w:rsidRPr="00DE66E3">
        <w:t xml:space="preserve">constituer une ressource </w:t>
      </w:r>
      <w:r w:rsidRPr="00DE66E3">
        <w:rPr>
          <w:lang w:val="fr"/>
        </w:rPr>
        <w:t>importante en termes de stratégies d</w:t>
      </w:r>
      <w:r w:rsidR="00086DE2">
        <w:rPr>
          <w:lang w:val="fr"/>
        </w:rPr>
        <w:t>’</w:t>
      </w:r>
      <w:r w:rsidRPr="00DE66E3">
        <w:rPr>
          <w:lang w:val="fr"/>
        </w:rPr>
        <w:t>adaptation et de résilience, développée par les communautés pour s</w:t>
      </w:r>
      <w:r w:rsidR="00086DE2">
        <w:rPr>
          <w:lang w:val="fr"/>
        </w:rPr>
        <w:t>’</w:t>
      </w:r>
      <w:r w:rsidRPr="00DE66E3">
        <w:rPr>
          <w:lang w:val="fr"/>
        </w:rPr>
        <w:t>adapter et prospérer dans des conditions environnementales et socio-économiques changeantes.</w:t>
      </w:r>
    </w:p>
    <w:p w14:paraId="3B4EBA05" w14:textId="301AA376" w:rsidR="00DE66E3" w:rsidRPr="00F52718" w:rsidRDefault="00766AD5" w:rsidP="004600F5">
      <w:pPr>
        <w:pStyle w:val="COMPara"/>
        <w:widowControl w:val="0"/>
        <w:numPr>
          <w:ilvl w:val="0"/>
          <w:numId w:val="6"/>
        </w:numPr>
        <w:ind w:left="567" w:hanging="567"/>
        <w:jc w:val="both"/>
        <w:rPr>
          <w:bCs/>
        </w:rPr>
      </w:pPr>
      <w:r w:rsidRPr="00DE66E3">
        <w:rPr>
          <w:lang w:val="fr"/>
        </w:rPr>
        <w:t>Cette note d</w:t>
      </w:r>
      <w:r w:rsidR="00086DE2">
        <w:rPr>
          <w:lang w:val="fr"/>
        </w:rPr>
        <w:t>’</w:t>
      </w:r>
      <w:r w:rsidRPr="00DE66E3">
        <w:rPr>
          <w:lang w:val="fr"/>
        </w:rPr>
        <w:t xml:space="preserve">orientation </w:t>
      </w:r>
      <w:r w:rsidRPr="00DE66E3">
        <w:rPr>
          <w:bCs/>
        </w:rPr>
        <w:t>sur l</w:t>
      </w:r>
      <w:r w:rsidR="00086DE2">
        <w:rPr>
          <w:bCs/>
        </w:rPr>
        <w:t>’</w:t>
      </w:r>
      <w:r w:rsidRPr="00DE66E3">
        <w:rPr>
          <w:bCs/>
        </w:rPr>
        <w:t>action climatique pour le patrimoine vivant n</w:t>
      </w:r>
      <w:r w:rsidR="00086DE2">
        <w:rPr>
          <w:bCs/>
        </w:rPr>
        <w:t>’</w:t>
      </w:r>
      <w:r w:rsidRPr="00DE66E3">
        <w:rPr>
          <w:bCs/>
        </w:rPr>
        <w:t xml:space="preserve">impose aucune nouvelle obligation aux États Parties. Elle est cohérente avec les déclarations existantes de la Convention, y </w:t>
      </w:r>
      <w:r w:rsidRPr="00DE66E3">
        <w:rPr>
          <w:lang w:val="fr"/>
        </w:rPr>
        <w:t>compris</w:t>
      </w:r>
      <w:r w:rsidRPr="00DE66E3">
        <w:rPr>
          <w:bCs/>
        </w:rPr>
        <w:t xml:space="preserve"> l</w:t>
      </w:r>
      <w:r w:rsidR="00086DE2">
        <w:rPr>
          <w:bCs/>
        </w:rPr>
        <w:t>’</w:t>
      </w:r>
      <w:r w:rsidRPr="00DE66E3">
        <w:rPr>
          <w:bCs/>
        </w:rPr>
        <w:t>article 3 sur les relations avec d</w:t>
      </w:r>
      <w:r w:rsidR="00086DE2">
        <w:rPr>
          <w:bCs/>
        </w:rPr>
        <w:t>’</w:t>
      </w:r>
      <w:r w:rsidRPr="00DE66E3">
        <w:rPr>
          <w:bCs/>
        </w:rPr>
        <w:t>autres instruments internationaux, et s</w:t>
      </w:r>
      <w:r w:rsidR="00086DE2">
        <w:rPr>
          <w:bCs/>
        </w:rPr>
        <w:t>’</w:t>
      </w:r>
      <w:r w:rsidRPr="00DE66E3">
        <w:rPr>
          <w:bCs/>
        </w:rPr>
        <w:t>aligne sur les mandats de tout autre accord, cadre, processus ou instrument multilatéral relatif au changement climatique ou à la réduction des risques de catastrophe, sans pour autant chercher à les reproduire. En particulier, la présente note ne doit pas être comprise comme une interprétation des principes et dispositions de la Convention-cadre des Nations unies sur les changements climatiques (CCNUCC) et de l</w:t>
      </w:r>
      <w:r w:rsidR="00086DE2">
        <w:rPr>
          <w:bCs/>
        </w:rPr>
        <w:t>’</w:t>
      </w:r>
      <w:r w:rsidRPr="00DE66E3">
        <w:rPr>
          <w:bCs/>
        </w:rPr>
        <w:t xml:space="preserve">Accord de Paris adopté en vertu de celle-ci. </w:t>
      </w:r>
      <w:r w:rsidRPr="00DE66E3">
        <w:rPr>
          <w:lang w:val="fr"/>
        </w:rPr>
        <w:t xml:space="preserve">Les principes clés à observer dans cette intégration du patrimoine vivant et du changement climatique comprennent le </w:t>
      </w:r>
      <w:hyperlink r:id="rId35" w:history="1">
        <w:r w:rsidRPr="00DE66E3">
          <w:rPr>
            <w:color w:val="0000FF"/>
            <w:u w:val="single"/>
            <w:lang w:val="fr"/>
          </w:rPr>
          <w:t>Chapitre VI des Directives Opérationnelles</w:t>
        </w:r>
      </w:hyperlink>
      <w:r w:rsidRPr="00DE66E3">
        <w:rPr>
          <w:color w:val="0000FF"/>
          <w:u w:val="single"/>
        </w:rPr>
        <w:t xml:space="preserve"> </w:t>
      </w:r>
      <w:r w:rsidRPr="00DE66E3">
        <w:rPr>
          <w:lang w:val="fr"/>
        </w:rPr>
        <w:t xml:space="preserve">(2016), les </w:t>
      </w:r>
      <w:hyperlink r:id="rId36" w:history="1">
        <w:r w:rsidRPr="00DE66E3">
          <w:rPr>
            <w:color w:val="0000FF"/>
            <w:u w:val="single"/>
            <w:lang w:val="fr"/>
          </w:rPr>
          <w:t>Principes éthiques pour la sauvegarde du patrimoine culturel immatériel</w:t>
        </w:r>
      </w:hyperlink>
      <w:r w:rsidRPr="00DE66E3">
        <w:rPr>
          <w:lang w:val="fr"/>
        </w:rPr>
        <w:t xml:space="preserve"> (2015), la </w:t>
      </w:r>
      <w:hyperlink r:id="rId37" w:history="1">
        <w:r w:rsidRPr="00DE66E3">
          <w:rPr>
            <w:color w:val="0000FF"/>
            <w:u w:val="single"/>
            <w:lang w:val="fr"/>
          </w:rPr>
          <w:t>Déclaration des principes éthiques de l</w:t>
        </w:r>
        <w:r w:rsidR="00086DE2">
          <w:rPr>
            <w:color w:val="0000FF"/>
            <w:u w:val="single"/>
            <w:lang w:val="fr"/>
          </w:rPr>
          <w:t>’</w:t>
        </w:r>
        <w:r w:rsidRPr="00DE66E3">
          <w:rPr>
            <w:color w:val="0000FF"/>
            <w:u w:val="single"/>
            <w:lang w:val="fr"/>
          </w:rPr>
          <w:t>UNESCO en rapport avec les changements climatiques</w:t>
        </w:r>
      </w:hyperlink>
      <w:r w:rsidRPr="00DE66E3">
        <w:rPr>
          <w:lang w:val="fr"/>
        </w:rPr>
        <w:t xml:space="preserve"> (2017), </w:t>
      </w:r>
      <w:hyperlink r:id="rId38" w:history="1">
        <w:r w:rsidRPr="00DE66E3">
          <w:rPr>
            <w:color w:val="0000FF"/>
            <w:u w:val="single"/>
            <w:lang w:val="fr"/>
          </w:rPr>
          <w:t>la Politique de l</w:t>
        </w:r>
        <w:r w:rsidR="00086DE2">
          <w:rPr>
            <w:color w:val="0000FF"/>
            <w:u w:val="single"/>
            <w:lang w:val="fr"/>
          </w:rPr>
          <w:t>’</w:t>
        </w:r>
        <w:r w:rsidRPr="00DE66E3">
          <w:rPr>
            <w:color w:val="0000FF"/>
            <w:u w:val="single"/>
            <w:lang w:val="fr"/>
          </w:rPr>
          <w:t>UNESCO sur l</w:t>
        </w:r>
        <w:r w:rsidR="00086DE2">
          <w:rPr>
            <w:color w:val="0000FF"/>
            <w:u w:val="single"/>
            <w:lang w:val="fr"/>
          </w:rPr>
          <w:t>’</w:t>
        </w:r>
        <w:r w:rsidRPr="00DE66E3">
          <w:rPr>
            <w:color w:val="0000FF"/>
            <w:u w:val="single"/>
            <w:lang w:val="fr"/>
          </w:rPr>
          <w:t>engagement auprès des peuples autochtones</w:t>
        </w:r>
      </w:hyperlink>
      <w:r w:rsidRPr="00DE66E3">
        <w:rPr>
          <w:lang w:val="fr"/>
        </w:rPr>
        <w:t xml:space="preserve"> (2018) et les </w:t>
      </w:r>
      <w:hyperlink r:id="rId39" w:history="1">
        <w:r w:rsidRPr="00DE66E3">
          <w:rPr>
            <w:color w:val="0000FF"/>
            <w:u w:val="single"/>
            <w:lang w:val="fr"/>
          </w:rPr>
          <w:t>Principes et modalités opérationnels pour la sauvegarde du patrimoine culturel immatériel en situation d</w:t>
        </w:r>
        <w:r w:rsidR="00086DE2">
          <w:rPr>
            <w:color w:val="0000FF"/>
            <w:u w:val="single"/>
            <w:lang w:val="fr"/>
          </w:rPr>
          <w:t>’</w:t>
        </w:r>
        <w:r w:rsidRPr="00DE66E3">
          <w:rPr>
            <w:color w:val="0000FF"/>
            <w:u w:val="single"/>
            <w:lang w:val="fr"/>
          </w:rPr>
          <w:t>urgence</w:t>
        </w:r>
      </w:hyperlink>
      <w:r w:rsidRPr="00DE66E3">
        <w:rPr>
          <w:lang w:val="fr"/>
        </w:rPr>
        <w:t xml:space="preserve"> (2020).</w:t>
      </w:r>
    </w:p>
    <w:p w14:paraId="1CF0FF6F" w14:textId="31B0FF80" w:rsidR="00DE66E3" w:rsidRPr="00F52718" w:rsidRDefault="00766AD5" w:rsidP="004600F5">
      <w:pPr>
        <w:pStyle w:val="COMPara"/>
        <w:widowControl w:val="0"/>
        <w:numPr>
          <w:ilvl w:val="0"/>
          <w:numId w:val="6"/>
        </w:numPr>
        <w:ind w:left="567" w:hanging="567"/>
        <w:jc w:val="both"/>
        <w:rPr>
          <w:bCs/>
        </w:rPr>
      </w:pPr>
      <w:r w:rsidRPr="00DE66E3">
        <w:rPr>
          <w:lang w:val="fr"/>
        </w:rPr>
        <w:t>Cette note d</w:t>
      </w:r>
      <w:r w:rsidR="00086DE2">
        <w:rPr>
          <w:lang w:val="fr"/>
        </w:rPr>
        <w:t>’</w:t>
      </w:r>
      <w:r w:rsidRPr="00DE66E3">
        <w:rPr>
          <w:lang w:val="fr"/>
        </w:rPr>
        <w:t>orientation propose une approche holistique, fondée sur les droits et centrée sur les personnes de l</w:t>
      </w:r>
      <w:r w:rsidR="00086DE2">
        <w:rPr>
          <w:lang w:val="fr"/>
        </w:rPr>
        <w:t>’</w:t>
      </w:r>
      <w:r w:rsidRPr="00DE66E3">
        <w:rPr>
          <w:lang w:val="fr"/>
        </w:rPr>
        <w:t xml:space="preserve">action climatique en faveur du patrimoine vivant à travers trois </w:t>
      </w:r>
      <w:r w:rsidRPr="00DE66E3">
        <w:rPr>
          <w:b/>
          <w:bCs/>
          <w:lang w:val="fr"/>
        </w:rPr>
        <w:t>objectifs</w:t>
      </w:r>
      <w:r w:rsidRPr="00DE66E3">
        <w:rPr>
          <w:lang w:val="fr"/>
        </w:rPr>
        <w:t xml:space="preserve"> clés, deux </w:t>
      </w:r>
      <w:r w:rsidRPr="00DE66E3">
        <w:rPr>
          <w:b/>
          <w:bCs/>
          <w:lang w:val="fr"/>
        </w:rPr>
        <w:t>préoccupations</w:t>
      </w:r>
      <w:r w:rsidRPr="00DE66E3">
        <w:rPr>
          <w:lang w:val="fr"/>
        </w:rPr>
        <w:t xml:space="preserve"> transversales et cinq </w:t>
      </w:r>
      <w:r w:rsidRPr="00DE66E3">
        <w:rPr>
          <w:b/>
          <w:bCs/>
          <w:lang w:val="fr"/>
        </w:rPr>
        <w:t>domaines</w:t>
      </w:r>
      <w:r w:rsidRPr="00DE66E3">
        <w:rPr>
          <w:lang w:val="fr"/>
        </w:rPr>
        <w:t xml:space="preserve"> d</w:t>
      </w:r>
      <w:r w:rsidR="00086DE2">
        <w:rPr>
          <w:lang w:val="fr"/>
        </w:rPr>
        <w:t>’</w:t>
      </w:r>
      <w:r w:rsidRPr="00DE66E3">
        <w:rPr>
          <w:lang w:val="fr"/>
        </w:rPr>
        <w:t>intervention potentiels pour les parties prenantes de la Convention.</w:t>
      </w:r>
    </w:p>
    <w:p w14:paraId="6D0CB814" w14:textId="6298DA06" w:rsidR="00766AD5" w:rsidRPr="00F52718" w:rsidRDefault="00766AD5" w:rsidP="004600F5">
      <w:pPr>
        <w:pStyle w:val="COMPara"/>
        <w:widowControl w:val="0"/>
        <w:numPr>
          <w:ilvl w:val="0"/>
          <w:numId w:val="6"/>
        </w:numPr>
        <w:ind w:left="567" w:hanging="567"/>
        <w:jc w:val="both"/>
        <w:rPr>
          <w:bCs/>
        </w:rPr>
      </w:pPr>
      <w:r w:rsidRPr="00DE66E3">
        <w:rPr>
          <w:lang w:val="fr"/>
        </w:rPr>
        <w:t xml:space="preserve">Les trois </w:t>
      </w:r>
      <w:r w:rsidRPr="00DE66E3">
        <w:rPr>
          <w:b/>
          <w:bCs/>
          <w:lang w:val="fr"/>
        </w:rPr>
        <w:t>objectifs</w:t>
      </w:r>
      <w:r w:rsidRPr="00DE66E3">
        <w:rPr>
          <w:lang w:val="fr"/>
        </w:rPr>
        <w:t xml:space="preserve"> clés sont les suivants :</w:t>
      </w:r>
    </w:p>
    <w:p w14:paraId="1BFEBF32" w14:textId="24E65FC9" w:rsidR="00766AD5" w:rsidRPr="00F52718" w:rsidRDefault="00766AD5" w:rsidP="00766AD5">
      <w:pPr>
        <w:widowControl w:val="0"/>
        <w:spacing w:after="120"/>
        <w:ind w:left="990" w:hanging="425"/>
        <w:jc w:val="both"/>
        <w:rPr>
          <w:rFonts w:ascii="Arial" w:hAnsi="Arial" w:cs="Arial"/>
          <w:snapToGrid w:val="0"/>
          <w:sz w:val="22"/>
          <w:szCs w:val="22"/>
          <w:lang w:eastAsia="en-US"/>
        </w:rPr>
      </w:pPr>
      <w:r w:rsidRPr="00F52718">
        <w:rPr>
          <w:rFonts w:ascii="Arial" w:hAnsi="Arial" w:cs="Arial"/>
          <w:b/>
          <w:bCs/>
          <w:snapToGrid w:val="0"/>
          <w:sz w:val="22"/>
          <w:szCs w:val="22"/>
          <w:lang w:val="fr" w:eastAsia="en-US"/>
        </w:rPr>
        <w:t>a)</w:t>
      </w:r>
      <w:r w:rsidRPr="00F52718">
        <w:rPr>
          <w:rFonts w:ascii="Arial" w:hAnsi="Arial" w:cs="Arial"/>
          <w:snapToGrid w:val="0"/>
          <w:sz w:val="22"/>
          <w:szCs w:val="22"/>
          <w:lang w:val="fr" w:eastAsia="en-US"/>
        </w:rPr>
        <w:t xml:space="preserve"> </w:t>
      </w:r>
      <w:r w:rsidRPr="00F52718">
        <w:rPr>
          <w:rFonts w:ascii="Arial" w:hAnsi="Arial" w:cs="Arial"/>
          <w:snapToGrid w:val="0"/>
          <w:sz w:val="22"/>
          <w:szCs w:val="22"/>
          <w:lang w:val="fr" w:eastAsia="en-US"/>
        </w:rPr>
        <w:tab/>
      </w:r>
      <w:r w:rsidRPr="00F52718">
        <w:rPr>
          <w:rFonts w:ascii="Arial" w:hAnsi="Arial" w:cs="Arial"/>
          <w:b/>
          <w:bCs/>
          <w:snapToGrid w:val="0"/>
          <w:sz w:val="22"/>
          <w:szCs w:val="22"/>
          <w:lang w:eastAsia="en-US"/>
        </w:rPr>
        <w:t>Promouvoir</w:t>
      </w:r>
      <w:r w:rsidRPr="00F52718">
        <w:rPr>
          <w:rFonts w:ascii="Arial" w:hAnsi="Arial" w:cs="Arial"/>
          <w:b/>
          <w:bCs/>
          <w:snapToGrid w:val="0"/>
          <w:sz w:val="22"/>
          <w:szCs w:val="22"/>
          <w:lang w:val="fr" w:eastAsia="en-US"/>
        </w:rPr>
        <w:t xml:space="preserve"> et renforcer le rôle positif du patrimoine vivant dans l</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adaptation au changement climatique</w:t>
      </w:r>
    </w:p>
    <w:p w14:paraId="16F9923F" w14:textId="585056BA" w:rsidR="00766AD5" w:rsidRPr="00F52718" w:rsidRDefault="00766AD5" w:rsidP="00F52718">
      <w:pPr>
        <w:widowControl w:val="0"/>
        <w:spacing w:after="120"/>
        <w:ind w:left="990"/>
        <w:jc w:val="both"/>
        <w:rPr>
          <w:rFonts w:ascii="Arial" w:hAnsi="Arial" w:cs="Arial"/>
          <w:snapToGrid w:val="0"/>
          <w:sz w:val="22"/>
          <w:szCs w:val="22"/>
          <w:lang w:eastAsia="en-US"/>
        </w:rPr>
      </w:pPr>
      <w:r w:rsidRPr="00F52718">
        <w:rPr>
          <w:rFonts w:ascii="Arial" w:hAnsi="Arial" w:cs="Arial"/>
          <w:snapToGrid w:val="0"/>
          <w:sz w:val="22"/>
          <w:szCs w:val="22"/>
          <w:lang w:val="fr" w:eastAsia="en-US"/>
        </w:rPr>
        <w:t xml:space="preserve">Le </w:t>
      </w:r>
      <w:r w:rsidRPr="00F52718">
        <w:rPr>
          <w:rFonts w:ascii="Arial" w:hAnsi="Arial" w:cs="Arial"/>
          <w:snapToGrid w:val="0"/>
          <w:sz w:val="22"/>
          <w:szCs w:val="22"/>
          <w:lang w:eastAsia="en-US"/>
        </w:rPr>
        <w:t>patrimoine</w:t>
      </w:r>
      <w:r w:rsidRPr="00F52718">
        <w:rPr>
          <w:rFonts w:ascii="Arial" w:hAnsi="Arial" w:cs="Arial"/>
          <w:snapToGrid w:val="0"/>
          <w:sz w:val="22"/>
          <w:szCs w:val="22"/>
          <w:lang w:val="fr" w:eastAsia="en-US"/>
        </w:rPr>
        <w:t xml:space="preserve"> vivant a un rôle positif essentiel à jouer dans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des sociétés et des environnements au changement climatique par la gestion de ses impacts en : a) identifiant, évaluant et surveillant les impacts du changement climatique ; b) limitant les impacts directs et indirects liés au climat ; et c) comprenant, promouvant et facilitant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de la société et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environnement au changement climatique. Les parties prenantes de la Convention, en particulier les communautés locales et les peuples autochtones, sont des médiateurs importants dans les processus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 Pour réaliser ce potentiel, il est essentiel de mettre en place des mécanismes et des forums appropriés qui promeuvent le rôle du patrimoine vivant dans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 et qui permettent le dialogue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échange entre les systèmes de connaissances locales et scientifiques sur les stratégies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adaptation au changement climatique.</w:t>
      </w:r>
    </w:p>
    <w:p w14:paraId="7F6C2D63" w14:textId="579B6A09" w:rsidR="00766AD5" w:rsidRPr="00F52718" w:rsidRDefault="00766AD5" w:rsidP="00766AD5">
      <w:pPr>
        <w:widowControl w:val="0"/>
        <w:spacing w:after="120"/>
        <w:ind w:left="990" w:hanging="425"/>
        <w:jc w:val="both"/>
        <w:rPr>
          <w:rFonts w:ascii="Arial" w:hAnsi="Arial" w:cs="Arial"/>
          <w:b/>
          <w:bCs/>
          <w:snapToGrid w:val="0"/>
          <w:sz w:val="22"/>
          <w:szCs w:val="22"/>
          <w:lang w:eastAsia="en-US"/>
        </w:rPr>
      </w:pPr>
      <w:r w:rsidRPr="00F52718">
        <w:rPr>
          <w:rFonts w:ascii="Arial" w:hAnsi="Arial" w:cs="Arial"/>
          <w:b/>
          <w:bCs/>
          <w:snapToGrid w:val="0"/>
          <w:sz w:val="22"/>
          <w:szCs w:val="22"/>
          <w:lang w:val="fr" w:eastAsia="en-US"/>
        </w:rPr>
        <w:t xml:space="preserve">b) </w:t>
      </w:r>
      <w:r w:rsidRPr="00F52718">
        <w:rPr>
          <w:rFonts w:ascii="Arial" w:hAnsi="Arial" w:cs="Arial"/>
          <w:b/>
          <w:bCs/>
          <w:snapToGrid w:val="0"/>
          <w:sz w:val="22"/>
          <w:szCs w:val="22"/>
          <w:lang w:val="fr" w:eastAsia="en-US"/>
        </w:rPr>
        <w:tab/>
        <w:t>Promouvoir et renforcer le rôle positif du patrimoine vivant dans l</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atténuation du changement climatique</w:t>
      </w:r>
    </w:p>
    <w:p w14:paraId="74161923" w14:textId="26AD0B5A" w:rsidR="00766AD5" w:rsidRPr="00F52718" w:rsidRDefault="00766AD5" w:rsidP="00F52718">
      <w:pPr>
        <w:widowControl w:val="0"/>
        <w:spacing w:after="120"/>
        <w:ind w:left="990"/>
        <w:jc w:val="both"/>
        <w:rPr>
          <w:rFonts w:ascii="Arial" w:hAnsi="Arial" w:cs="Arial"/>
          <w:snapToGrid w:val="0"/>
          <w:sz w:val="22"/>
          <w:szCs w:val="22"/>
          <w:lang w:eastAsia="en-US"/>
        </w:rPr>
      </w:pPr>
      <w:r w:rsidRPr="00F52718">
        <w:rPr>
          <w:rFonts w:ascii="Arial" w:hAnsi="Arial" w:cs="Arial"/>
          <w:snapToGrid w:val="0"/>
          <w:sz w:val="22"/>
          <w:szCs w:val="22"/>
          <w:lang w:val="fr" w:eastAsia="en-US"/>
        </w:rPr>
        <w:t>Les stratégies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atténuation du changement climatique peuvent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inspirer des connaissances et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expérience des communautés locales et des peuples autochtones notamment de leurs pratiques sobres en carbone. Les régimes locaux et autochtones de gestion des incendies, les systèmes de gestion du patrimoine agricole et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environnement à faible émission de carbone et la gestion des puits de carbone naturels sont quelques-unes des formes démontrées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atténuation qui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appuient sur le patrimoine vivant. Il convient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aider les parties prenantes à promouvoir davantage la possibilité de tirer des enseignements de ce patrimoine vivant et de le transposer à plus grande échelle pour atténuer le changement climatique.</w:t>
      </w:r>
    </w:p>
    <w:p w14:paraId="0ECF3C65" w14:textId="2E3CF3EC" w:rsidR="00766AD5" w:rsidRPr="00F52718" w:rsidRDefault="00766AD5" w:rsidP="00766AD5">
      <w:pPr>
        <w:widowControl w:val="0"/>
        <w:spacing w:after="120"/>
        <w:ind w:left="990" w:hanging="425"/>
        <w:jc w:val="both"/>
        <w:rPr>
          <w:rFonts w:ascii="Arial" w:hAnsi="Arial" w:cs="Arial"/>
          <w:b/>
          <w:bCs/>
          <w:snapToGrid w:val="0"/>
          <w:sz w:val="22"/>
          <w:szCs w:val="22"/>
          <w:lang w:eastAsia="en-US"/>
        </w:rPr>
      </w:pPr>
      <w:r w:rsidRPr="00F52718">
        <w:rPr>
          <w:rFonts w:ascii="Arial" w:hAnsi="Arial" w:cs="Arial"/>
          <w:b/>
          <w:bCs/>
          <w:snapToGrid w:val="0"/>
          <w:sz w:val="22"/>
          <w:szCs w:val="22"/>
          <w:lang w:val="fr" w:eastAsia="en-US"/>
        </w:rPr>
        <w:t xml:space="preserve">c) </w:t>
      </w:r>
      <w:r w:rsidRPr="00F52718">
        <w:rPr>
          <w:rFonts w:ascii="Arial" w:hAnsi="Arial" w:cs="Arial"/>
          <w:b/>
          <w:bCs/>
          <w:snapToGrid w:val="0"/>
          <w:sz w:val="22"/>
          <w:szCs w:val="22"/>
          <w:lang w:val="fr" w:eastAsia="en-US"/>
        </w:rPr>
        <w:tab/>
        <w:t>Améliorer les mesures de sauvegarde du patrimoine vivant dans les situations d</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urgence climatique</w:t>
      </w:r>
    </w:p>
    <w:p w14:paraId="3F4C98BA" w14:textId="03AB59D3" w:rsidR="00766AD5" w:rsidRPr="00F52718" w:rsidRDefault="00766AD5" w:rsidP="00F52718">
      <w:pPr>
        <w:widowControl w:val="0"/>
        <w:spacing w:after="120"/>
        <w:ind w:left="990"/>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Le patrimoine vivant a été une source importante de résilience face aux transformations lentes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environnement local et aux catastrophes à déclenchement rapide et il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avérera vital en tant que ressource pour les communautés et pour la sauvegarde de leur patrimoine dans le cadre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urgence climatique. Le fait de comprendre les sources de vulnérabilité aux effets directs et indirects du changement climatique pour les communautés et leur patrimoine vivant constitue une priorité urgente si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on veut aider efficacement les parties prenantes à renforcer les mesures de sauvegarde nécessaires.</w:t>
      </w:r>
    </w:p>
    <w:p w14:paraId="788BED96" w14:textId="5875B011" w:rsidR="00766AD5" w:rsidRPr="00F52718" w:rsidRDefault="00766AD5" w:rsidP="004600F5">
      <w:pPr>
        <w:pStyle w:val="COMPara"/>
        <w:widowControl w:val="0"/>
        <w:numPr>
          <w:ilvl w:val="0"/>
          <w:numId w:val="6"/>
        </w:numPr>
        <w:ind w:left="567" w:hanging="567"/>
        <w:jc w:val="both"/>
        <w:rPr>
          <w:lang w:val="fr"/>
        </w:rPr>
      </w:pPr>
      <w:r w:rsidRPr="00F52718">
        <w:rPr>
          <w:lang w:val="fr"/>
        </w:rPr>
        <w:t>Deux préoccupations transversales devraient être prises en compte dans la conception et la mise en œuvre de chacun des objectifs ci-dessus, ainsi qu</w:t>
      </w:r>
      <w:r w:rsidR="00086DE2">
        <w:rPr>
          <w:lang w:val="fr"/>
        </w:rPr>
        <w:t>’</w:t>
      </w:r>
      <w:r w:rsidRPr="00F52718">
        <w:rPr>
          <w:lang w:val="fr"/>
        </w:rPr>
        <w:t>une considération des coûts directs et indirects de chaque action</w:t>
      </w:r>
      <w:r w:rsidR="00DE66E3">
        <w:rPr>
          <w:lang w:val="fr"/>
        </w:rPr>
        <w:t> :</w:t>
      </w:r>
    </w:p>
    <w:p w14:paraId="2B26816A" w14:textId="773EE1F4" w:rsidR="00766AD5" w:rsidRPr="00F52718" w:rsidRDefault="00766AD5" w:rsidP="004600F5">
      <w:pPr>
        <w:widowControl w:val="0"/>
        <w:numPr>
          <w:ilvl w:val="0"/>
          <w:numId w:val="29"/>
        </w:numPr>
        <w:spacing w:after="120"/>
        <w:ind w:left="990" w:hanging="423"/>
        <w:jc w:val="both"/>
        <w:rPr>
          <w:rFonts w:ascii="Arial" w:hAnsi="Arial" w:cs="Arial"/>
          <w:snapToGrid w:val="0"/>
          <w:sz w:val="22"/>
          <w:szCs w:val="22"/>
          <w:lang w:eastAsia="en-US"/>
        </w:rPr>
      </w:pPr>
      <w:r w:rsidRPr="00F52718">
        <w:rPr>
          <w:rFonts w:ascii="Arial" w:hAnsi="Arial" w:cs="Arial"/>
          <w:b/>
          <w:bCs/>
          <w:snapToGrid w:val="0"/>
          <w:sz w:val="22"/>
          <w:szCs w:val="22"/>
          <w:lang w:eastAsia="en-US"/>
        </w:rPr>
        <w:t xml:space="preserve">Rôles des parties prenantes et des acteurs </w:t>
      </w:r>
      <w:r w:rsidRPr="00F52718">
        <w:rPr>
          <w:rFonts w:ascii="Arial" w:hAnsi="Arial" w:cs="Arial"/>
          <w:snapToGrid w:val="0"/>
          <w:sz w:val="22"/>
          <w:szCs w:val="22"/>
          <w:lang w:eastAsia="en-US"/>
        </w:rPr>
        <w:t>: Pour chaque action climatique en faveur du patrimoine vivant - adaptation, atténuation et sauvegarde - les rôles des parties prenantes et des acteurs doivent être clairement spécifiés et compris. Pour affirmer et révéler le potentiel des connaissances et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de toutes les communautés,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nécessite un engagement à des échelles très diverses, du niveau local au niveau mondial, ainsi que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implication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acteurs multiples et variés.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à différentes échelles nécessitera une contribution variable de la part de différents acteurs, notamment des organismes mondiaux, nationaux, provinciaux et municipaux, des secteurs privé, non gouvernemental et informel, des communautés urbaines et rurales et des peuples autochtones. Tout en reflétant la primauté des communautés locales et des peuples autochtones dans la vision du patrimoine vivant de la Convention, la reconnaissance et le respect des connaissances et des contributions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ensemble des parties prenantes sont primordiaux. La diversité et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inclusion au sein des parties prenantes impliquées sont essentielles au succès des actions climatiques, exigeant un accès et une voix égaux pour les communautés marginalisées ou les membres marginalisés au sein des communautés, et au-delà des distinctions de genre,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âge,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appartenance ethnique, de localisation et de richesse.</w:t>
      </w:r>
    </w:p>
    <w:p w14:paraId="7F3F84F6" w14:textId="0C7B9E0C" w:rsidR="00766AD5" w:rsidRPr="00F52718" w:rsidRDefault="00766AD5" w:rsidP="004600F5">
      <w:pPr>
        <w:widowControl w:val="0"/>
        <w:numPr>
          <w:ilvl w:val="0"/>
          <w:numId w:val="29"/>
        </w:numPr>
        <w:spacing w:after="120"/>
        <w:ind w:left="990" w:hanging="423"/>
        <w:jc w:val="both"/>
        <w:rPr>
          <w:rFonts w:ascii="Arial" w:hAnsi="Arial" w:cs="Arial"/>
          <w:snapToGrid w:val="0"/>
          <w:sz w:val="22"/>
          <w:szCs w:val="22"/>
          <w:lang w:eastAsia="en-US"/>
        </w:rPr>
      </w:pPr>
      <w:r w:rsidRPr="00F52718">
        <w:rPr>
          <w:rFonts w:ascii="Arial" w:hAnsi="Arial" w:cs="Arial"/>
          <w:b/>
          <w:bCs/>
          <w:snapToGrid w:val="0"/>
          <w:sz w:val="22"/>
          <w:szCs w:val="22"/>
          <w:lang w:eastAsia="en-US"/>
        </w:rPr>
        <w:t xml:space="preserve">Droits et valeurs </w:t>
      </w:r>
      <w:r w:rsidRPr="00F52718">
        <w:rPr>
          <w:rFonts w:ascii="Arial" w:hAnsi="Arial" w:cs="Arial"/>
          <w:snapToGrid w:val="0"/>
          <w:sz w:val="22"/>
          <w:szCs w:val="22"/>
          <w:lang w:eastAsia="en-US"/>
        </w:rPr>
        <w:t>:</w:t>
      </w:r>
      <w:r w:rsidRPr="00F52718">
        <w:rPr>
          <w:rFonts w:ascii="Arial" w:hAnsi="Arial" w:cs="Arial"/>
          <w:b/>
          <w:bCs/>
          <w:snapToGrid w:val="0"/>
          <w:sz w:val="22"/>
          <w:szCs w:val="22"/>
          <w:lang w:eastAsia="en-US"/>
        </w:rPr>
        <w:t xml:space="preserve"> </w:t>
      </w:r>
      <w:r w:rsidRPr="00F52718">
        <w:rPr>
          <w:rFonts w:ascii="Arial" w:hAnsi="Arial" w:cs="Arial"/>
          <w:snapToGrid w:val="0"/>
          <w:sz w:val="22"/>
          <w:szCs w:val="22"/>
          <w:lang w:eastAsia="en-US"/>
        </w:rPr>
        <w:t>Pour chaque action climatique en faveur du patrimoine vivant - adaptation, atténuation et sauvegarde - il convient de prendre en considération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ensemble spécifique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instruments relatifs aux droits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homme et aux droits culturels, de normes éthiques et de valeurs pertinentes pour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proposée. Les normes relatives aux droits culturels, ancrées dans les dispositions du droit international, ainsi que les normes relatives aux droits de groupes et de peuples particuliers, y compris des peuples autochtones, des migrants, des immigrants et des réfugiés, des personnes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âges et de genres différents, des personnes handicapées et des membres de groupes vulnérables, et les normes relatives à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environnement et au changement climatique, constituent un cadre solide pour la conception et la mise en œuvre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actions climatiques en faveur du patrimoine vivant. Les valeurs sociales et culturelles propres aux communautés sont moins clairement codifiées mais exercent une influence puissante sur toutes les formes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communautaire à toutes les échelles ; les valeurs des détenteurs du patrimoine vivant doivent prévaloir dans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établissement des priorités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actions liées à leur patrimoine.</w:t>
      </w:r>
    </w:p>
    <w:p w14:paraId="42DCE02E" w14:textId="08003FEE" w:rsidR="00766AD5" w:rsidRPr="00F52718" w:rsidRDefault="00766AD5" w:rsidP="004600F5">
      <w:pPr>
        <w:pStyle w:val="COMPara"/>
        <w:keepNext/>
        <w:keepLines/>
        <w:numPr>
          <w:ilvl w:val="0"/>
          <w:numId w:val="6"/>
        </w:numPr>
        <w:ind w:left="567" w:hanging="567"/>
        <w:jc w:val="both"/>
        <w:rPr>
          <w:lang w:val="fr"/>
        </w:rPr>
      </w:pPr>
      <w:r w:rsidRPr="00F52718">
        <w:rPr>
          <w:lang w:val="fr"/>
        </w:rPr>
        <w:t xml:space="preserve">Les </w:t>
      </w:r>
      <w:r w:rsidRPr="00F52718">
        <w:rPr>
          <w:b/>
          <w:bCs/>
          <w:lang w:val="fr"/>
        </w:rPr>
        <w:t>domaines</w:t>
      </w:r>
      <w:r w:rsidRPr="00F52718">
        <w:rPr>
          <w:lang w:val="fr"/>
        </w:rPr>
        <w:t xml:space="preserve"> potentiels d</w:t>
      </w:r>
      <w:r w:rsidR="00086DE2">
        <w:rPr>
          <w:lang w:val="fr"/>
        </w:rPr>
        <w:t>’</w:t>
      </w:r>
      <w:r w:rsidRPr="00F52718">
        <w:rPr>
          <w:lang w:val="fr"/>
        </w:rPr>
        <w:t>intervention identifiés pour les parties prenantes de la Convention sont les suivants</w:t>
      </w:r>
      <w:r w:rsidR="00520991">
        <w:rPr>
          <w:lang w:val="fr"/>
        </w:rPr>
        <w:t> :</w:t>
      </w:r>
    </w:p>
    <w:p w14:paraId="2E9126A5" w14:textId="77777777" w:rsidR="00766AD5" w:rsidRPr="00F52718" w:rsidRDefault="00766AD5" w:rsidP="004600F5">
      <w:pPr>
        <w:keepNext/>
        <w:keepLines/>
        <w:numPr>
          <w:ilvl w:val="0"/>
          <w:numId w:val="30"/>
        </w:numPr>
        <w:spacing w:after="120"/>
        <w:ind w:left="567" w:hanging="567"/>
        <w:jc w:val="both"/>
        <w:rPr>
          <w:rFonts w:ascii="Arial" w:hAnsi="Arial" w:cs="Arial"/>
          <w:b/>
          <w:bCs/>
          <w:snapToGrid w:val="0"/>
          <w:sz w:val="22"/>
          <w:szCs w:val="22"/>
          <w:lang w:eastAsia="en-US"/>
        </w:rPr>
      </w:pPr>
      <w:r w:rsidRPr="00F52718">
        <w:rPr>
          <w:rFonts w:ascii="Arial" w:hAnsi="Arial" w:cs="Arial"/>
          <w:b/>
          <w:bCs/>
          <w:snapToGrid w:val="0"/>
          <w:sz w:val="22"/>
          <w:szCs w:val="22"/>
          <w:lang w:val="fr" w:eastAsia="en-US"/>
        </w:rPr>
        <w:t>Intégrer la sensibilisation au changement climatique à la sauvegarde du patrimoine vivant</w:t>
      </w:r>
    </w:p>
    <w:p w14:paraId="11844AEE" w14:textId="77777777" w:rsidR="00766AD5" w:rsidRPr="00F52718" w:rsidRDefault="00766AD5" w:rsidP="004600F5">
      <w:pPr>
        <w:pStyle w:val="COMPara"/>
        <w:keepNext/>
        <w:keepLines/>
        <w:numPr>
          <w:ilvl w:val="0"/>
          <w:numId w:val="6"/>
        </w:numPr>
        <w:ind w:left="567" w:hanging="567"/>
        <w:jc w:val="both"/>
        <w:rPr>
          <w:lang w:val="fr"/>
        </w:rPr>
      </w:pPr>
      <w:r w:rsidRPr="00E02AB6">
        <w:rPr>
          <w:lang w:val="fr"/>
        </w:rPr>
        <w:t>Toutes les parties prenantes, y compris les</w:t>
      </w:r>
      <w:r w:rsidRPr="00F52718">
        <w:rPr>
          <w:lang w:val="fr"/>
        </w:rPr>
        <w:t xml:space="preserve"> communautés qui devraient avoir le rôle principal dans la sauvegarde de leur propre patrimoine vivant</w:t>
      </w:r>
      <w:r w:rsidRPr="00E02AB6">
        <w:rPr>
          <w:lang w:val="fr"/>
        </w:rPr>
        <w:t>, sont encouragées à intégrer la sensibilisation au changement climatique aux plans et mesures de sauvegarde du patrimoine vivant à tous les niveaux. Les mécanismes existants de la Convention peuvent apporter une contribution significative à ce processus en incorporant une sensibilisation aux défis du changement climatique et aux besoins des différentes actions climatiques dans le développement et la</w:t>
      </w:r>
      <w:r w:rsidRPr="00F52718">
        <w:rPr>
          <w:lang w:val="fr"/>
        </w:rPr>
        <w:t xml:space="preserve"> </w:t>
      </w:r>
      <w:r w:rsidRPr="00E02AB6">
        <w:rPr>
          <w:lang w:val="fr"/>
        </w:rPr>
        <w:t>documentation des inventaires, la promotion des bonnes pratiques, et (le cas échéant) des dossiers de candidature et des rapports périodiques dans le cadre de la Convention.</w:t>
      </w:r>
    </w:p>
    <w:p w14:paraId="1B3B4EC6" w14:textId="1E1F34C8" w:rsidR="00766AD5" w:rsidRPr="00F52718" w:rsidRDefault="00766AD5" w:rsidP="004600F5">
      <w:pPr>
        <w:keepNext/>
        <w:keepLines/>
        <w:numPr>
          <w:ilvl w:val="0"/>
          <w:numId w:val="6"/>
        </w:numPr>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Les inventaires du patrimoine vivant constituent une ressource importante pour les stratégies de sauvegarde dans le contexte du changement climatique et de toute autre forme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urgence, et il convient de promouvoir la gestion des inventaires et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accès à ceux-ci au niveau communautaire. Un soutien supplémentaire aux inventaires gérés par les communautés pourrait permettre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explorer les modes numériques de documentation et de sauvegarde, ainsi que la diffusion de documents sur les bonnes pratiques en rapport avec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w:t>
      </w:r>
    </w:p>
    <w:p w14:paraId="4D49D241" w14:textId="4FF7A0BB" w:rsidR="00766AD5" w:rsidRPr="00F52718" w:rsidRDefault="00766AD5" w:rsidP="004600F5">
      <w:pPr>
        <w:keepNext/>
        <w:keepLines/>
        <w:numPr>
          <w:ilvl w:val="0"/>
          <w:numId w:val="6"/>
        </w:numPr>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Le développement de la relation entre la sauvegarde du patrimoine vivant et la documentation des pertes et des dommages à travers de mécanismes comme le cadre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évaluation des besoins post-catastrophe (PDNA) est également encouragé, ainsi que le suivi à plus long terme des conséquences de ces pertes et dommages.</w:t>
      </w:r>
    </w:p>
    <w:p w14:paraId="2413D6AA" w14:textId="77777777" w:rsidR="00766AD5" w:rsidRPr="00F52718" w:rsidRDefault="00766AD5" w:rsidP="004600F5">
      <w:pPr>
        <w:keepNext/>
        <w:keepLines/>
        <w:numPr>
          <w:ilvl w:val="0"/>
          <w:numId w:val="30"/>
        </w:numPr>
        <w:spacing w:after="120"/>
        <w:ind w:left="567" w:hanging="567"/>
        <w:jc w:val="both"/>
        <w:rPr>
          <w:rFonts w:ascii="Arial" w:hAnsi="Arial" w:cs="Arial"/>
          <w:b/>
          <w:bCs/>
          <w:i/>
          <w:iCs/>
          <w:snapToGrid w:val="0"/>
          <w:sz w:val="22"/>
          <w:szCs w:val="22"/>
          <w:lang w:eastAsia="en-US"/>
        </w:rPr>
      </w:pPr>
      <w:r w:rsidRPr="00F52718">
        <w:rPr>
          <w:rFonts w:ascii="Arial" w:hAnsi="Arial" w:cs="Arial"/>
          <w:b/>
          <w:bCs/>
          <w:snapToGrid w:val="0"/>
          <w:sz w:val="22"/>
          <w:szCs w:val="22"/>
          <w:lang w:eastAsia="en-US"/>
        </w:rPr>
        <w:t>Renforcer</w:t>
      </w:r>
      <w:r w:rsidRPr="00F52718">
        <w:rPr>
          <w:rFonts w:ascii="Arial" w:hAnsi="Arial" w:cs="Arial"/>
          <w:b/>
          <w:bCs/>
          <w:snapToGrid w:val="0"/>
          <w:sz w:val="22"/>
          <w:szCs w:val="22"/>
          <w:lang w:val="fr" w:eastAsia="en-US"/>
        </w:rPr>
        <w:t xml:space="preserve"> la collaboration et les partenariats avec les principales parties prenantes</w:t>
      </w:r>
    </w:p>
    <w:p w14:paraId="281F0370" w14:textId="002EBB22" w:rsidR="00766AD5" w:rsidRPr="00F52718" w:rsidRDefault="00766AD5" w:rsidP="004600F5">
      <w:pPr>
        <w:keepNext/>
        <w:keepLines/>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eastAsia="en-US"/>
        </w:rPr>
        <w:t>10.</w:t>
      </w:r>
      <w:r w:rsidRPr="00F52718">
        <w:rPr>
          <w:rFonts w:ascii="Arial" w:hAnsi="Arial" w:cs="Arial"/>
          <w:snapToGrid w:val="0"/>
          <w:sz w:val="22"/>
          <w:szCs w:val="22"/>
          <w:lang w:eastAsia="en-US"/>
        </w:rPr>
        <w:tab/>
        <w:t>Les</w:t>
      </w:r>
      <w:r w:rsidRPr="00F52718">
        <w:rPr>
          <w:rFonts w:ascii="Arial" w:hAnsi="Arial" w:cs="Arial"/>
          <w:snapToGrid w:val="0"/>
          <w:sz w:val="22"/>
          <w:szCs w:val="22"/>
          <w:lang w:val="fr" w:eastAsia="en-US"/>
        </w:rPr>
        <w:t xml:space="preserve"> collaborations et les partenariats stratégiques doivent être encouragés entre les parties prenantes du patrimoine vivant, y compris les communautés, les groupes et les individus, et les institutions et autres acteurs engagés dans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climatique en faveur du patrimoine vivant.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étendue des institutions et des instruments déjà impliqués dans ce domaine </w:t>
      </w:r>
      <w:r w:rsidRPr="00F52718">
        <w:rPr>
          <w:rFonts w:ascii="Arial" w:hAnsi="Arial" w:cs="Arial"/>
          <w:snapToGrid w:val="0"/>
          <w:sz w:val="22"/>
          <w:szCs w:val="22"/>
          <w:lang w:eastAsia="en-US"/>
        </w:rPr>
        <w:t>transversal</w:t>
      </w:r>
      <w:r w:rsidRPr="00F52718">
        <w:rPr>
          <w:rFonts w:ascii="Arial" w:hAnsi="Arial" w:cs="Arial"/>
          <w:snapToGrid w:val="0"/>
          <w:sz w:val="22"/>
          <w:szCs w:val="22"/>
          <w:lang w:val="fr" w:eastAsia="en-US"/>
        </w:rPr>
        <w:t xml:space="preserve"> nécessitera un processus stratégique et sélectif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engagement de la part des </w:t>
      </w:r>
      <w:r w:rsidRPr="00F52718">
        <w:rPr>
          <w:rFonts w:ascii="Arial" w:hAnsi="Arial" w:cs="Arial"/>
          <w:snapToGrid w:val="0"/>
          <w:spacing w:val="-2"/>
          <w:sz w:val="22"/>
          <w:szCs w:val="22"/>
          <w:lang w:val="fr" w:eastAsia="en-US"/>
        </w:rPr>
        <w:t>parties prenantes de la Convention. Les approches pour la collaboration peuvent impliquer de :</w:t>
      </w:r>
    </w:p>
    <w:p w14:paraId="48D3A4B2" w14:textId="77777777" w:rsidR="00766AD5" w:rsidRPr="00F52718" w:rsidRDefault="00766AD5" w:rsidP="004600F5">
      <w:pPr>
        <w:keepNext/>
        <w:keepLines/>
        <w:numPr>
          <w:ilvl w:val="0"/>
          <w:numId w:val="32"/>
        </w:numPr>
        <w:spacing w:after="120"/>
        <w:ind w:left="993" w:hanging="426"/>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 xml:space="preserve">Améliorer les mécanismes de partenariat existant avec les communautés, les praticiens et les autres acteurs du patrimoine vivant (y compris les ONG et les chercheurs) ; </w:t>
      </w:r>
    </w:p>
    <w:p w14:paraId="7A6225AA" w14:textId="508E6CFC" w:rsidR="00766AD5" w:rsidRPr="00F52718" w:rsidRDefault="00766AD5" w:rsidP="004600F5">
      <w:pPr>
        <w:keepNext/>
        <w:keepLines/>
        <w:numPr>
          <w:ilvl w:val="0"/>
          <w:numId w:val="32"/>
        </w:numPr>
        <w:spacing w:after="120"/>
        <w:ind w:left="993" w:hanging="426"/>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Renforcer les synergies entre les conventions culturelles et les programmes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UNESCO, et les parties prenantes qui travaillent sur le patrimoine naturel et culturel (matériel et immatériel), ainsi que sur les industries culturelles et créatives, et les secteurs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éducation ; </w:t>
      </w:r>
    </w:p>
    <w:p w14:paraId="224BE545" w14:textId="78E5A1F0" w:rsidR="00766AD5" w:rsidRPr="00F52718" w:rsidRDefault="00766AD5" w:rsidP="004600F5">
      <w:pPr>
        <w:keepNext/>
        <w:keepLines/>
        <w:numPr>
          <w:ilvl w:val="0"/>
          <w:numId w:val="32"/>
        </w:numPr>
        <w:spacing w:after="120"/>
        <w:ind w:left="993" w:hanging="426"/>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Investir dans des partenariats stratégiques, au sein et au-delà des secteurs du patrimoine, du changement climatique et de la réduction des risques de catastrophe, ainsi qu</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avec des organisations humanitaires clés et des organisations des Nations unies ; et</w:t>
      </w:r>
    </w:p>
    <w:p w14:paraId="54A73AF1" w14:textId="77777777" w:rsidR="00766AD5" w:rsidRPr="00F52718" w:rsidRDefault="00766AD5" w:rsidP="004600F5">
      <w:pPr>
        <w:keepNext/>
        <w:keepLines/>
        <w:numPr>
          <w:ilvl w:val="0"/>
          <w:numId w:val="32"/>
        </w:numPr>
        <w:spacing w:after="120"/>
        <w:ind w:left="993" w:hanging="426"/>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 xml:space="preserve">Engager ou faciliter des partenariats, des communautés de pratique et des accords régionaux et </w:t>
      </w:r>
      <w:r w:rsidRPr="00F52718">
        <w:rPr>
          <w:rFonts w:ascii="Arial" w:hAnsi="Arial" w:cs="Arial"/>
          <w:snapToGrid w:val="0"/>
          <w:sz w:val="22"/>
          <w:szCs w:val="22"/>
          <w:lang w:eastAsia="en-US"/>
        </w:rPr>
        <w:t>transfrontaliers</w:t>
      </w:r>
      <w:r w:rsidRPr="00F52718">
        <w:rPr>
          <w:rFonts w:ascii="Arial" w:hAnsi="Arial" w:cs="Arial"/>
          <w:snapToGrid w:val="0"/>
          <w:sz w:val="22"/>
          <w:szCs w:val="22"/>
          <w:lang w:val="fr" w:eastAsia="en-US"/>
        </w:rPr>
        <w:t>, le cas échéant.</w:t>
      </w:r>
    </w:p>
    <w:p w14:paraId="2E8D1634" w14:textId="503A114C" w:rsidR="00766AD5" w:rsidRPr="00F52718" w:rsidRDefault="00766AD5" w:rsidP="004600F5">
      <w:pPr>
        <w:widowControl w:val="0"/>
        <w:numPr>
          <w:ilvl w:val="0"/>
          <w:numId w:val="30"/>
        </w:numPr>
        <w:spacing w:after="120"/>
        <w:ind w:left="567" w:hanging="567"/>
        <w:jc w:val="both"/>
        <w:rPr>
          <w:rFonts w:ascii="Arial" w:hAnsi="Arial" w:cs="Arial"/>
          <w:b/>
          <w:bCs/>
          <w:snapToGrid w:val="0"/>
          <w:sz w:val="22"/>
          <w:szCs w:val="22"/>
          <w:lang w:eastAsia="en-US"/>
        </w:rPr>
      </w:pPr>
      <w:r w:rsidRPr="00F52718">
        <w:rPr>
          <w:rFonts w:ascii="Arial" w:hAnsi="Arial" w:cs="Arial"/>
          <w:b/>
          <w:bCs/>
          <w:snapToGrid w:val="0"/>
          <w:sz w:val="22"/>
          <w:szCs w:val="22"/>
          <w:lang w:eastAsia="en-US"/>
        </w:rPr>
        <w:t>Promouvoir</w:t>
      </w:r>
      <w:r w:rsidRPr="00F52718">
        <w:rPr>
          <w:rFonts w:ascii="Arial" w:hAnsi="Arial" w:cs="Arial"/>
          <w:b/>
          <w:bCs/>
          <w:snapToGrid w:val="0"/>
          <w:sz w:val="22"/>
          <w:szCs w:val="22"/>
          <w:lang w:val="fr" w:eastAsia="en-US"/>
        </w:rPr>
        <w:t xml:space="preserve"> la recherche collaborative et le développement d</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études de cas</w:t>
      </w:r>
    </w:p>
    <w:p w14:paraId="75999CE2" w14:textId="68CAD1E8" w:rsidR="00766AD5" w:rsidRPr="00F52718" w:rsidRDefault="00766AD5" w:rsidP="004600F5">
      <w:pPr>
        <w:widowControl w:val="0"/>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 xml:space="preserve">11. </w:t>
      </w:r>
      <w:r w:rsidRPr="00F52718">
        <w:rPr>
          <w:rFonts w:ascii="Arial" w:hAnsi="Arial" w:cs="Arial"/>
          <w:snapToGrid w:val="0"/>
          <w:sz w:val="22"/>
          <w:szCs w:val="22"/>
          <w:lang w:eastAsia="en-US"/>
        </w:rPr>
        <w:tab/>
      </w:r>
      <w:r w:rsidRPr="00F52718">
        <w:rPr>
          <w:rFonts w:ascii="Arial" w:hAnsi="Arial" w:cs="Arial"/>
          <w:snapToGrid w:val="0"/>
          <w:sz w:val="22"/>
          <w:szCs w:val="22"/>
          <w:lang w:val="fr" w:eastAsia="en-US"/>
        </w:rPr>
        <w:t>Toutes les parties prenantes sont invitées à encourager les programmes de recherche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élaboration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études de cas, notamment celles </w:t>
      </w:r>
      <w:r w:rsidRPr="00F52718">
        <w:rPr>
          <w:rFonts w:ascii="Arial" w:hAnsi="Arial" w:cs="Arial"/>
          <w:snapToGrid w:val="0"/>
          <w:sz w:val="22"/>
          <w:szCs w:val="22"/>
          <w:lang w:eastAsia="en-US"/>
        </w:rPr>
        <w:t>menées</w:t>
      </w:r>
      <w:r w:rsidRPr="00F52718">
        <w:rPr>
          <w:rFonts w:ascii="Arial" w:hAnsi="Arial" w:cs="Arial"/>
          <w:snapToGrid w:val="0"/>
          <w:sz w:val="22"/>
          <w:szCs w:val="22"/>
          <w:lang w:val="fr" w:eastAsia="en-US"/>
        </w:rPr>
        <w:t xml:space="preserve"> par les communautés et les groupes eux-mêmes, visant à comprendre et à suivre les dimensions du changement climatique dans la sauvegarde du patrimoine </w:t>
      </w:r>
      <w:r w:rsidRPr="00F52718">
        <w:rPr>
          <w:rFonts w:ascii="Arial" w:hAnsi="Arial" w:cs="Arial"/>
          <w:snapToGrid w:val="0"/>
          <w:sz w:val="22"/>
          <w:szCs w:val="22"/>
          <w:lang w:eastAsia="en-US"/>
        </w:rPr>
        <w:t>vivant</w:t>
      </w:r>
      <w:r w:rsidRPr="00F52718">
        <w:rPr>
          <w:rFonts w:ascii="Arial" w:hAnsi="Arial" w:cs="Arial"/>
          <w:snapToGrid w:val="0"/>
          <w:sz w:val="22"/>
          <w:szCs w:val="22"/>
          <w:lang w:val="fr" w:eastAsia="en-US"/>
        </w:rPr>
        <w:t xml:space="preserve"> dans le cadre de la Convention,</w:t>
      </w:r>
      <w:r w:rsidRPr="00F52718">
        <w:rPr>
          <w:rFonts w:ascii="Arial" w:hAnsi="Arial" w:cs="Arial"/>
          <w:snapToGrid w:val="0"/>
          <w:sz w:val="22"/>
          <w:szCs w:val="22"/>
          <w:lang w:eastAsia="en-US"/>
        </w:rPr>
        <w:t xml:space="preserve"> </w:t>
      </w:r>
      <w:r w:rsidRPr="00F52718">
        <w:rPr>
          <w:rFonts w:ascii="Arial" w:hAnsi="Arial" w:cs="Arial"/>
          <w:snapToGrid w:val="0"/>
          <w:sz w:val="22"/>
          <w:szCs w:val="22"/>
          <w:lang w:val="fr" w:eastAsia="en-US"/>
        </w:rPr>
        <w:t>afin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élaborer des orientations plus détaillées et des politiques efficaces. Il est essentiel de renouveler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engagement en faveur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une recherche profondément collaborative avec les communautés locales et les peuples autochtones, en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inspirant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autres modes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enquête et en adoptant des approches et des méthodologies de recherche intersectorielles, transculturelles et interdisciplinaires ; cela peut nécessiter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affiner les protocoles et les principes pour la recherche sur le patrimoine vivant de manière plus générale. Le réseau des chaires UNESCO et des organisations non gouvernementales accréditées devrait également s</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engager à promouvoir les objectifs de recherche et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éducation, ainsi qu</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à plaider en faveur des programmes de recherche en tant que </w:t>
      </w:r>
      <w:r w:rsidRPr="00F52718">
        <w:rPr>
          <w:rFonts w:ascii="Arial" w:hAnsi="Arial" w:cs="Arial"/>
          <w:snapToGrid w:val="0"/>
          <w:spacing w:val="-2"/>
          <w:sz w:val="22"/>
          <w:szCs w:val="22"/>
          <w:lang w:val="fr" w:eastAsia="en-US"/>
        </w:rPr>
        <w:t>source de financement. Les priorités spécifiques en matière de recherche pourraient porter sur :</w:t>
      </w:r>
    </w:p>
    <w:p w14:paraId="21247BB2" w14:textId="02C10EE2" w:rsidR="00766AD5" w:rsidRPr="00F52718" w:rsidRDefault="00766AD5" w:rsidP="004600F5">
      <w:pPr>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val="fr" w:eastAsia="en-US"/>
        </w:rPr>
        <w:t>Les conséquences négatives et positives pour le patrimoine vivant des effets directs ou indirects du changement climatique, y compris la délocalisation ou la modification des schémas migratoires, et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adoption de nouvelles formes de patrimoine vivant ;</w:t>
      </w:r>
    </w:p>
    <w:p w14:paraId="0FAA1D3B" w14:textId="77777777" w:rsidR="00766AD5" w:rsidRPr="00F52718" w:rsidRDefault="00766AD5" w:rsidP="004600F5">
      <w:pPr>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val="fr" w:eastAsia="en-US"/>
        </w:rPr>
        <w:t>La vulnérabilité de la transmission du patrimoine vivant aux effets du changement climatique ;</w:t>
      </w:r>
    </w:p>
    <w:p w14:paraId="0C301171" w14:textId="04E2C873" w:rsidR="00766AD5" w:rsidRPr="00F52718" w:rsidRDefault="00766AD5" w:rsidP="004600F5">
      <w:pPr>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eastAsia="en-US"/>
        </w:rPr>
        <w:t>La contribution du patrimoine vivant aux stratégies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atténuation du changement climatique ;</w:t>
      </w:r>
    </w:p>
    <w:p w14:paraId="2B19C796" w14:textId="5F55EABF" w:rsidR="00766AD5" w:rsidRPr="00F52718" w:rsidRDefault="00766AD5" w:rsidP="004600F5">
      <w:pPr>
        <w:widowControl w:val="0"/>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val="fr" w:eastAsia="en-US"/>
        </w:rPr>
        <w:t>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interdépendance des formes matérielles et immatérielles, culturelles et naturelles du patrimoine dans un contexte de changement climatique ;</w:t>
      </w:r>
    </w:p>
    <w:p w14:paraId="170A8D6D" w14:textId="77777777" w:rsidR="00766AD5" w:rsidRPr="00F52718" w:rsidRDefault="00766AD5" w:rsidP="004600F5">
      <w:pPr>
        <w:widowControl w:val="0"/>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val="fr" w:eastAsia="en-US"/>
        </w:rPr>
        <w:t>La relation entre le patrimoine vivant, les moyens de subsistance et le bien-être dans le contexte du changement climatique ;</w:t>
      </w:r>
    </w:p>
    <w:p w14:paraId="0AE05077" w14:textId="3B58FE9C" w:rsidR="00766AD5" w:rsidRPr="00F52718" w:rsidRDefault="00766AD5" w:rsidP="004600F5">
      <w:pPr>
        <w:widowControl w:val="0"/>
        <w:numPr>
          <w:ilvl w:val="0"/>
          <w:numId w:val="33"/>
        </w:numPr>
        <w:spacing w:after="120"/>
        <w:ind w:left="993" w:hanging="426"/>
        <w:jc w:val="both"/>
        <w:rPr>
          <w:rFonts w:ascii="Arial" w:hAnsi="Arial" w:cs="Arial"/>
          <w:snapToGrid w:val="0"/>
          <w:sz w:val="22"/>
          <w:szCs w:val="22"/>
          <w:lang w:val="fr" w:eastAsia="en-US"/>
        </w:rPr>
      </w:pPr>
      <w:r w:rsidRPr="00F52718">
        <w:rPr>
          <w:rFonts w:ascii="Arial" w:hAnsi="Arial" w:cs="Arial"/>
          <w:snapToGrid w:val="0"/>
          <w:sz w:val="22"/>
          <w:szCs w:val="22"/>
          <w:lang w:eastAsia="en-US"/>
        </w:rPr>
        <w:t>La portée de</w:t>
      </w:r>
      <w:r w:rsidRPr="00F52718">
        <w:rPr>
          <w:rFonts w:ascii="Arial" w:hAnsi="Arial" w:cs="Arial"/>
          <w:snapToGrid w:val="0"/>
          <w:sz w:val="22"/>
          <w:szCs w:val="22"/>
          <w:lang w:val="fr" w:eastAsia="en-US"/>
        </w:rPr>
        <w:t xml:space="preserv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du patrimoine vivant en matière de changement climatique dans le contexte des droits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homme et des droits culturels ;</w:t>
      </w:r>
    </w:p>
    <w:p w14:paraId="5A7B8BBE" w14:textId="1203B691" w:rsidR="00766AD5" w:rsidRPr="00F52718" w:rsidRDefault="00766AD5" w:rsidP="004600F5">
      <w:pPr>
        <w:keepNext/>
        <w:keepLines/>
        <w:widowControl w:val="0"/>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val="fr" w:eastAsia="en-US"/>
        </w:rPr>
        <w:t>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engagement dans les nouveaux domaines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intelligence artificielle et de la réflexion prospective ; et</w:t>
      </w:r>
    </w:p>
    <w:p w14:paraId="50ACDFCC" w14:textId="41C5B399" w:rsidR="00766AD5" w:rsidRPr="00F52718" w:rsidRDefault="00766AD5" w:rsidP="004600F5">
      <w:pPr>
        <w:keepNext/>
        <w:keepLines/>
        <w:widowControl w:val="0"/>
        <w:numPr>
          <w:ilvl w:val="0"/>
          <w:numId w:val="33"/>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val="fr" w:eastAsia="en-US"/>
        </w:rPr>
        <w:t>Les modèles de mesure et de suivi des impacts des initiatives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climatique.</w:t>
      </w:r>
    </w:p>
    <w:p w14:paraId="131284E8" w14:textId="77777777" w:rsidR="00766AD5" w:rsidRPr="00F52718" w:rsidRDefault="00766AD5" w:rsidP="004600F5">
      <w:pPr>
        <w:widowControl w:val="0"/>
        <w:numPr>
          <w:ilvl w:val="0"/>
          <w:numId w:val="30"/>
        </w:numPr>
        <w:spacing w:after="120"/>
        <w:ind w:left="567" w:hanging="567"/>
        <w:jc w:val="both"/>
        <w:rPr>
          <w:rFonts w:ascii="Arial" w:hAnsi="Arial" w:cs="Arial"/>
          <w:b/>
          <w:bCs/>
          <w:snapToGrid w:val="0"/>
          <w:sz w:val="22"/>
          <w:szCs w:val="22"/>
          <w:lang w:eastAsia="en-US"/>
        </w:rPr>
      </w:pPr>
      <w:proofErr w:type="spellStart"/>
      <w:r w:rsidRPr="00F52718">
        <w:rPr>
          <w:rFonts w:ascii="Arial" w:hAnsi="Arial" w:cs="Arial"/>
          <w:b/>
          <w:bCs/>
          <w:snapToGrid w:val="0"/>
          <w:sz w:val="22"/>
          <w:szCs w:val="22"/>
          <w:lang w:val="fr" w:eastAsia="en-US"/>
        </w:rPr>
        <w:t>Co-concevoir</w:t>
      </w:r>
      <w:proofErr w:type="spellEnd"/>
      <w:r w:rsidRPr="00F52718">
        <w:rPr>
          <w:rFonts w:ascii="Arial" w:hAnsi="Arial" w:cs="Arial"/>
          <w:b/>
          <w:bCs/>
          <w:snapToGrid w:val="0"/>
          <w:sz w:val="22"/>
          <w:szCs w:val="22"/>
          <w:lang w:val="fr" w:eastAsia="en-US"/>
        </w:rPr>
        <w:t xml:space="preserve"> et mettre en œuvre des politiques et des actions de plaidoyer</w:t>
      </w:r>
    </w:p>
    <w:p w14:paraId="48816C0E" w14:textId="7B34B27E" w:rsidR="00766AD5" w:rsidRPr="00F52718" w:rsidRDefault="00766AD5" w:rsidP="004600F5">
      <w:pPr>
        <w:widowControl w:val="0"/>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 xml:space="preserve">12. </w:t>
      </w:r>
      <w:r w:rsidRPr="00F52718">
        <w:rPr>
          <w:rFonts w:ascii="Arial" w:hAnsi="Arial" w:cs="Arial"/>
          <w:snapToGrid w:val="0"/>
          <w:sz w:val="22"/>
          <w:szCs w:val="22"/>
          <w:lang w:eastAsia="en-US"/>
        </w:rPr>
        <w:tab/>
        <w:t>Les États parties sont encouragés à élaborer une politique, en consultation avec les parties prenantes à tous les niveaux, sur la meilleure façon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intégrer le patrimoine vivant aux stratégies, aux plans et aux programmes qui traitent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adaptation au changement climatique,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atténuation de ses effets et de la sauvegarde dans le contexte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 xml:space="preserve">urgence climatique. </w:t>
      </w:r>
    </w:p>
    <w:p w14:paraId="281B42A2" w14:textId="5716723A" w:rsidR="00766AD5" w:rsidRPr="00F52718" w:rsidRDefault="00766AD5" w:rsidP="004600F5">
      <w:pPr>
        <w:widowControl w:val="0"/>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 xml:space="preserve">13. </w:t>
      </w:r>
      <w:r w:rsidRPr="00F52718">
        <w:rPr>
          <w:rFonts w:ascii="Arial" w:hAnsi="Arial" w:cs="Arial"/>
          <w:snapToGrid w:val="0"/>
          <w:sz w:val="22"/>
          <w:szCs w:val="22"/>
          <w:lang w:eastAsia="en-US"/>
        </w:rPr>
        <w:tab/>
        <w:t>Les États parties sont encouragés à envisager la meilleure façon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adopter les mesures juridiques, techniques, administratives et financières adéquates pour intégrer pleinement le patrimoine vivant dans les systèmes et programmes de réduction des risques de catastrophes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adaptation au changement climatique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atténuation de ses effets. Il s</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agirait notamment de mettre en place des mécanismes efficaces de suivi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évaluation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aux niveaux régional, national ou infranational, éclairés, entre autres sources, par les indicateurs thématiques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UNESCO pour la culture dans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Agenda 2030.</w:t>
      </w:r>
    </w:p>
    <w:p w14:paraId="38D809C2" w14:textId="25C6DAA1" w:rsidR="00766AD5" w:rsidRPr="00F52718" w:rsidRDefault="00766AD5" w:rsidP="004600F5">
      <w:pPr>
        <w:widowControl w:val="0"/>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 xml:space="preserve">14. </w:t>
      </w:r>
      <w:r w:rsidRPr="00F52718">
        <w:rPr>
          <w:rFonts w:ascii="Arial" w:hAnsi="Arial" w:cs="Arial"/>
          <w:snapToGrid w:val="0"/>
          <w:sz w:val="22"/>
          <w:szCs w:val="22"/>
          <w:lang w:eastAsia="en-US"/>
        </w:rPr>
        <w:tab/>
        <w:t>Les communautés et les organisations devraient être équitablement représentées dans ce processus, afin de garantir que les valeurs et les préoccupations des porteurs du patrimoine vivant éclairent le développement et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affinement continu de ces mécanismes.</w:t>
      </w:r>
    </w:p>
    <w:p w14:paraId="52FB2733" w14:textId="0E78D513" w:rsidR="00766AD5" w:rsidRPr="00F52718" w:rsidRDefault="00766AD5" w:rsidP="004600F5">
      <w:pPr>
        <w:widowControl w:val="0"/>
        <w:spacing w:after="120"/>
        <w:ind w:left="567" w:hanging="567"/>
        <w:jc w:val="both"/>
        <w:rPr>
          <w:rFonts w:ascii="Arial" w:hAnsi="Arial" w:cs="Arial"/>
          <w:snapToGrid w:val="0"/>
          <w:sz w:val="22"/>
          <w:szCs w:val="22"/>
          <w:lang w:eastAsia="en-US"/>
        </w:rPr>
      </w:pPr>
      <w:r w:rsidRPr="00F52718">
        <w:rPr>
          <w:rFonts w:ascii="Arial" w:hAnsi="Arial" w:cs="Arial"/>
          <w:snapToGrid w:val="0"/>
          <w:sz w:val="22"/>
          <w:szCs w:val="22"/>
          <w:lang w:eastAsia="en-US"/>
        </w:rPr>
        <w:t>15.</w:t>
      </w:r>
      <w:r w:rsidRPr="00F52718">
        <w:rPr>
          <w:rFonts w:ascii="Arial" w:hAnsi="Arial" w:cs="Arial"/>
          <w:snapToGrid w:val="0"/>
          <w:sz w:val="22"/>
          <w:szCs w:val="22"/>
          <w:lang w:eastAsia="en-US"/>
        </w:rPr>
        <w:tab/>
        <w:t>Les parties prenantes à tous les niveaux devraient défendre le rôle du patrimoine vivant dans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y compris dans les discussions internationales sur le changement climatique et en synergie avec les organisations, les cadres et les mécanismes internationaux concernés.</w:t>
      </w:r>
    </w:p>
    <w:p w14:paraId="081BB38F" w14:textId="3F134C98" w:rsidR="00766AD5" w:rsidRPr="00F52718" w:rsidRDefault="00766AD5" w:rsidP="004600F5">
      <w:pPr>
        <w:widowControl w:val="0"/>
        <w:numPr>
          <w:ilvl w:val="0"/>
          <w:numId w:val="30"/>
        </w:numPr>
        <w:spacing w:after="120"/>
        <w:ind w:left="567" w:hanging="567"/>
        <w:jc w:val="both"/>
        <w:rPr>
          <w:rFonts w:ascii="Arial" w:hAnsi="Arial" w:cs="Arial"/>
          <w:b/>
          <w:bCs/>
          <w:snapToGrid w:val="0"/>
          <w:sz w:val="22"/>
          <w:szCs w:val="22"/>
          <w:lang w:eastAsia="en-US"/>
        </w:rPr>
      </w:pPr>
      <w:r w:rsidRPr="00F52718">
        <w:rPr>
          <w:rFonts w:ascii="Arial" w:hAnsi="Arial" w:cs="Arial"/>
          <w:b/>
          <w:bCs/>
          <w:snapToGrid w:val="0"/>
          <w:sz w:val="22"/>
          <w:szCs w:val="22"/>
          <w:lang w:val="fr" w:eastAsia="en-US"/>
        </w:rPr>
        <w:t>Renforcer les capacités par la communication, l</w:t>
      </w:r>
      <w:r w:rsidR="00086DE2">
        <w:rPr>
          <w:rFonts w:ascii="Arial" w:hAnsi="Arial" w:cs="Arial"/>
          <w:b/>
          <w:bCs/>
          <w:snapToGrid w:val="0"/>
          <w:sz w:val="22"/>
          <w:szCs w:val="22"/>
          <w:lang w:val="fr" w:eastAsia="en-US"/>
        </w:rPr>
        <w:t>’</w:t>
      </w:r>
      <w:r w:rsidRPr="00F52718">
        <w:rPr>
          <w:rFonts w:ascii="Arial" w:hAnsi="Arial" w:cs="Arial"/>
          <w:b/>
          <w:bCs/>
          <w:snapToGrid w:val="0"/>
          <w:sz w:val="22"/>
          <w:szCs w:val="22"/>
          <w:lang w:val="fr" w:eastAsia="en-US"/>
        </w:rPr>
        <w:t xml:space="preserve">éducation, la formation et les </w:t>
      </w:r>
      <w:r w:rsidRPr="00F52718">
        <w:rPr>
          <w:rFonts w:ascii="Arial" w:hAnsi="Arial" w:cs="Arial"/>
          <w:b/>
          <w:bCs/>
          <w:snapToGrid w:val="0"/>
          <w:sz w:val="22"/>
          <w:szCs w:val="22"/>
          <w:lang w:eastAsia="en-US"/>
        </w:rPr>
        <w:t>échanges</w:t>
      </w:r>
    </w:p>
    <w:p w14:paraId="29C43B3C" w14:textId="555BEDFC" w:rsidR="00766AD5" w:rsidRPr="00F52718" w:rsidRDefault="00766AD5" w:rsidP="004600F5">
      <w:pPr>
        <w:widowControl w:val="0"/>
        <w:spacing w:after="120"/>
        <w:ind w:left="567" w:hanging="567"/>
        <w:jc w:val="both"/>
        <w:rPr>
          <w:rFonts w:ascii="Arial" w:hAnsi="Arial" w:cs="Arial"/>
          <w:snapToGrid w:val="0"/>
          <w:sz w:val="22"/>
          <w:szCs w:val="22"/>
          <w:lang w:val="fr" w:eastAsia="en-US"/>
        </w:rPr>
      </w:pPr>
      <w:r w:rsidRPr="00F52718">
        <w:rPr>
          <w:rFonts w:ascii="Arial" w:hAnsi="Arial" w:cs="Arial"/>
          <w:snapToGrid w:val="0"/>
          <w:sz w:val="22"/>
          <w:szCs w:val="22"/>
          <w:lang w:val="fr" w:eastAsia="en-US"/>
        </w:rPr>
        <w:t xml:space="preserve">16. </w:t>
      </w:r>
      <w:r w:rsidRPr="00F52718">
        <w:rPr>
          <w:rFonts w:ascii="Arial" w:hAnsi="Arial" w:cs="Arial"/>
          <w:snapToGrid w:val="0"/>
          <w:sz w:val="22"/>
          <w:szCs w:val="22"/>
          <w:lang w:val="fr" w:eastAsia="en-US"/>
        </w:rPr>
        <w:tab/>
      </w:r>
      <w:r w:rsidRPr="00F52718">
        <w:rPr>
          <w:rFonts w:ascii="Arial" w:hAnsi="Arial" w:cs="Arial"/>
          <w:snapToGrid w:val="0"/>
          <w:sz w:val="22"/>
          <w:szCs w:val="22"/>
          <w:lang w:eastAsia="en-US"/>
        </w:rPr>
        <w:t>Le</w:t>
      </w:r>
      <w:r w:rsidRPr="00F52718">
        <w:rPr>
          <w:rFonts w:ascii="Arial" w:hAnsi="Arial" w:cs="Arial"/>
          <w:snapToGrid w:val="0"/>
          <w:sz w:val="22"/>
          <w:szCs w:val="22"/>
          <w:lang w:val="fr" w:eastAsia="en-US"/>
        </w:rPr>
        <w:t xml:space="preserve"> renforcement de la communication,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 xml:space="preserve">éducation, de la formation et des échanges </w:t>
      </w:r>
      <w:r w:rsidRPr="00F52718">
        <w:rPr>
          <w:rFonts w:ascii="Arial" w:hAnsi="Arial" w:cs="Arial"/>
          <w:snapToGrid w:val="0"/>
          <w:sz w:val="22"/>
          <w:szCs w:val="22"/>
          <w:lang w:eastAsia="en-US"/>
        </w:rPr>
        <w:t>devrait</w:t>
      </w:r>
      <w:r w:rsidRPr="00F52718">
        <w:rPr>
          <w:rFonts w:ascii="Arial" w:hAnsi="Arial" w:cs="Arial"/>
          <w:snapToGrid w:val="0"/>
          <w:sz w:val="22"/>
          <w:szCs w:val="22"/>
          <w:lang w:val="fr" w:eastAsia="en-US"/>
        </w:rPr>
        <w:t xml:space="preserve"> être encouragée afin d</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améliorer les capacités et la compréhension de toutes les parties prenantes dans la mise en œuvre de l</w:t>
      </w:r>
      <w:r w:rsidR="00086DE2">
        <w:rPr>
          <w:rFonts w:ascii="Arial" w:hAnsi="Arial" w:cs="Arial"/>
          <w:snapToGrid w:val="0"/>
          <w:sz w:val="22"/>
          <w:szCs w:val="22"/>
          <w:lang w:val="fr" w:eastAsia="en-US"/>
        </w:rPr>
        <w:t>’</w:t>
      </w:r>
      <w:r w:rsidRPr="00F52718">
        <w:rPr>
          <w:rFonts w:ascii="Arial" w:hAnsi="Arial" w:cs="Arial"/>
          <w:snapToGrid w:val="0"/>
          <w:sz w:val="22"/>
          <w:szCs w:val="22"/>
          <w:lang w:val="fr" w:eastAsia="en-US"/>
        </w:rPr>
        <w:t>action climatique pour la sauvegarde du patrimoine vivant.</w:t>
      </w:r>
      <w:r w:rsidRPr="00F52718">
        <w:rPr>
          <w:rFonts w:ascii="Arial" w:hAnsi="Arial" w:cs="Arial"/>
          <w:snapToGrid w:val="0"/>
          <w:sz w:val="22"/>
          <w:szCs w:val="22"/>
          <w:lang w:eastAsia="en-US"/>
        </w:rPr>
        <w:t xml:space="preserve"> </w:t>
      </w:r>
      <w:r w:rsidRPr="00F52718">
        <w:rPr>
          <w:rFonts w:ascii="Arial" w:hAnsi="Arial" w:cs="Arial"/>
          <w:snapToGrid w:val="0"/>
          <w:sz w:val="22"/>
          <w:szCs w:val="22"/>
          <w:lang w:val="fr" w:eastAsia="en-US"/>
        </w:rPr>
        <w:t>Parmi les mesures qui pourraient être adoptées pour atteindre cet objectif, on peut citer les suivantes :</w:t>
      </w:r>
    </w:p>
    <w:p w14:paraId="68212ECE" w14:textId="392A1376" w:rsidR="00766AD5" w:rsidRPr="00F52718" w:rsidRDefault="00766AD5" w:rsidP="004600F5">
      <w:pPr>
        <w:keepNext/>
        <w:keepLines/>
        <w:widowControl w:val="0"/>
        <w:numPr>
          <w:ilvl w:val="0"/>
          <w:numId w:val="31"/>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eastAsia="en-US"/>
        </w:rPr>
        <w:t>Intégrer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pour le patrimoine vivant dans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pour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autonomisation climatique (ACE) de la CCNUCC, qui fournit un cadre important pour le développement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éducation et de la sensibilisation du public, de la formation, de la participation du public,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accès du public à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information et de la coopération internationale à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intersection du changement climatique et du patrimoine vivant ;</w:t>
      </w:r>
    </w:p>
    <w:p w14:paraId="5C0D9603" w14:textId="3DB23838" w:rsidR="00766AD5" w:rsidRPr="00F52718" w:rsidRDefault="00766AD5" w:rsidP="004600F5">
      <w:pPr>
        <w:widowControl w:val="0"/>
        <w:numPr>
          <w:ilvl w:val="0"/>
          <w:numId w:val="31"/>
        </w:numPr>
        <w:spacing w:after="120"/>
        <w:ind w:left="990" w:hanging="426"/>
        <w:jc w:val="both"/>
        <w:rPr>
          <w:rFonts w:ascii="Arial" w:hAnsi="Arial" w:cs="Arial"/>
          <w:snapToGrid w:val="0"/>
          <w:sz w:val="22"/>
          <w:szCs w:val="22"/>
          <w:lang w:eastAsia="en-US"/>
        </w:rPr>
      </w:pPr>
      <w:r w:rsidRPr="00F52718">
        <w:rPr>
          <w:rFonts w:ascii="Arial" w:hAnsi="Arial" w:cs="Arial"/>
          <w:snapToGrid w:val="0"/>
          <w:sz w:val="22"/>
          <w:szCs w:val="22"/>
          <w:lang w:eastAsia="en-US"/>
        </w:rPr>
        <w:t>Adapter la communication à des publics particuliers et rechercher des partenariats innovants avec des personnes et des organisations dans le domaine des médias et des arts afin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élargir la portée des messages relatifs à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pour le patrimoine vivant</w:t>
      </w:r>
      <w:r w:rsidR="00520991">
        <w:rPr>
          <w:rFonts w:ascii="Arial" w:hAnsi="Arial" w:cs="Arial"/>
          <w:snapToGrid w:val="0"/>
          <w:sz w:val="22"/>
          <w:szCs w:val="22"/>
          <w:lang w:eastAsia="en-US"/>
        </w:rPr>
        <w:t xml:space="preserve"> </w:t>
      </w:r>
      <w:r w:rsidRPr="00F52718">
        <w:rPr>
          <w:rFonts w:ascii="Arial" w:hAnsi="Arial" w:cs="Arial"/>
          <w:snapToGrid w:val="0"/>
          <w:sz w:val="22"/>
          <w:szCs w:val="22"/>
          <w:lang w:eastAsia="en-US"/>
        </w:rPr>
        <w:t>;</w:t>
      </w:r>
    </w:p>
    <w:p w14:paraId="1040D0A0" w14:textId="649322C3" w:rsidR="00766AD5" w:rsidRPr="00F52718" w:rsidRDefault="00766AD5" w:rsidP="004600F5">
      <w:pPr>
        <w:widowControl w:val="0"/>
        <w:numPr>
          <w:ilvl w:val="0"/>
          <w:numId w:val="31"/>
        </w:numPr>
        <w:spacing w:after="120"/>
        <w:ind w:left="990" w:hanging="426"/>
        <w:jc w:val="both"/>
        <w:rPr>
          <w:rFonts w:ascii="Arial" w:hAnsi="Arial" w:cs="Arial"/>
          <w:snapToGrid w:val="0"/>
          <w:sz w:val="22"/>
          <w:szCs w:val="22"/>
          <w:lang w:eastAsia="en-US"/>
        </w:rPr>
      </w:pPr>
      <w:r w:rsidRPr="00F52718">
        <w:rPr>
          <w:rFonts w:ascii="Arial" w:hAnsi="Arial" w:cs="Arial"/>
          <w:snapToGrid w:val="0"/>
          <w:sz w:val="22"/>
          <w:szCs w:val="22"/>
          <w:lang w:eastAsia="en-US"/>
        </w:rPr>
        <w:t>Promouvoir des modes alternatifs de formation et de transfert déjà pratiqués par les communautés, basés sur le respect mutuel et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échange entre les systèmes de connaissance</w:t>
      </w:r>
      <w:r w:rsidR="00520991">
        <w:rPr>
          <w:rFonts w:ascii="Arial" w:hAnsi="Arial" w:cs="Arial"/>
          <w:snapToGrid w:val="0"/>
          <w:sz w:val="22"/>
          <w:szCs w:val="22"/>
          <w:lang w:eastAsia="en-US"/>
        </w:rPr>
        <w:t xml:space="preserve"> </w:t>
      </w:r>
      <w:r w:rsidRPr="00F52718">
        <w:rPr>
          <w:rFonts w:ascii="Arial" w:hAnsi="Arial" w:cs="Arial"/>
          <w:snapToGrid w:val="0"/>
          <w:sz w:val="22"/>
          <w:szCs w:val="22"/>
          <w:lang w:eastAsia="en-US"/>
        </w:rPr>
        <w:t>;</w:t>
      </w:r>
    </w:p>
    <w:p w14:paraId="2190544E" w14:textId="3C80D670" w:rsidR="00766AD5" w:rsidRPr="00F52718" w:rsidRDefault="00766AD5" w:rsidP="004600F5">
      <w:pPr>
        <w:keepNext/>
        <w:keepLines/>
        <w:widowControl w:val="0"/>
        <w:numPr>
          <w:ilvl w:val="0"/>
          <w:numId w:val="31"/>
        </w:numPr>
        <w:spacing w:after="120"/>
        <w:ind w:left="993" w:hanging="426"/>
        <w:jc w:val="both"/>
        <w:rPr>
          <w:rFonts w:ascii="Arial" w:hAnsi="Arial" w:cs="Arial"/>
          <w:snapToGrid w:val="0"/>
          <w:sz w:val="22"/>
          <w:szCs w:val="22"/>
          <w:lang w:eastAsia="en-US"/>
        </w:rPr>
      </w:pPr>
      <w:r w:rsidRPr="00F52718">
        <w:rPr>
          <w:rFonts w:ascii="Arial" w:hAnsi="Arial" w:cs="Arial"/>
          <w:snapToGrid w:val="0"/>
          <w:sz w:val="22"/>
          <w:szCs w:val="22"/>
          <w:lang w:eastAsia="en-US"/>
        </w:rPr>
        <w:t>Renforcer la collaboration et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commune avec les parties prenantes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éducation au changement climatique pour améliorer la transmission du patrimoine vivant dans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éducation formelle et non formelle et créer des synergies avec les initiatives visant à intégrer la sensibilisation au changement climatique dans les systèmes éducatifs</w:t>
      </w:r>
      <w:r w:rsidR="00520991">
        <w:rPr>
          <w:rFonts w:ascii="Arial" w:hAnsi="Arial" w:cs="Arial"/>
          <w:snapToGrid w:val="0"/>
          <w:sz w:val="22"/>
          <w:szCs w:val="22"/>
          <w:lang w:eastAsia="en-US"/>
        </w:rPr>
        <w:t xml:space="preserve"> </w:t>
      </w:r>
      <w:r w:rsidRPr="00F52718">
        <w:rPr>
          <w:rFonts w:ascii="Arial" w:hAnsi="Arial" w:cs="Arial"/>
          <w:snapToGrid w:val="0"/>
          <w:sz w:val="22"/>
          <w:szCs w:val="22"/>
          <w:lang w:eastAsia="en-US"/>
        </w:rPr>
        <w:t>; et</w:t>
      </w:r>
    </w:p>
    <w:p w14:paraId="38FF076F" w14:textId="21B4D3CE" w:rsidR="00766AD5" w:rsidRPr="00F52718" w:rsidRDefault="00766AD5" w:rsidP="004600F5">
      <w:pPr>
        <w:widowControl w:val="0"/>
        <w:numPr>
          <w:ilvl w:val="0"/>
          <w:numId w:val="31"/>
        </w:numPr>
        <w:spacing w:after="120"/>
        <w:ind w:left="990" w:hanging="426"/>
        <w:jc w:val="both"/>
        <w:rPr>
          <w:rFonts w:ascii="Arial" w:hAnsi="Arial" w:cs="Arial"/>
          <w:snapToGrid w:val="0"/>
          <w:sz w:val="22"/>
          <w:szCs w:val="22"/>
          <w:lang w:eastAsia="en-US"/>
        </w:rPr>
      </w:pPr>
      <w:r w:rsidRPr="00F52718">
        <w:rPr>
          <w:rFonts w:ascii="Arial" w:hAnsi="Arial" w:cs="Arial"/>
          <w:snapToGrid w:val="0"/>
          <w:sz w:val="22"/>
          <w:szCs w:val="22"/>
          <w:lang w:eastAsia="en-US"/>
        </w:rPr>
        <w:t>Développer ou améliorer les programmes de formation visant à intégrer les connaissances sur le patrimoine vivant et le changement climatique, en répondant aux besoins particuliers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ensemble des parties prenantes et en s</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appuyant sur les capacités existantes des participants.</w:t>
      </w:r>
    </w:p>
    <w:p w14:paraId="404C40AA" w14:textId="1B4E60AE" w:rsidR="00766AD5" w:rsidRPr="00F52718" w:rsidRDefault="00766AD5" w:rsidP="004600F5">
      <w:pPr>
        <w:widowControl w:val="0"/>
        <w:spacing w:after="120"/>
        <w:ind w:left="567" w:hanging="567"/>
        <w:jc w:val="both"/>
        <w:rPr>
          <w:rFonts w:ascii="Arial" w:eastAsia="SimSun" w:hAnsi="Arial" w:cs="Arial"/>
          <w:sz w:val="22"/>
          <w:szCs w:val="22"/>
          <w:u w:val="single"/>
        </w:rPr>
      </w:pPr>
      <w:r w:rsidRPr="00F52718">
        <w:rPr>
          <w:rFonts w:ascii="Arial" w:hAnsi="Arial" w:cs="Arial"/>
          <w:snapToGrid w:val="0"/>
          <w:sz w:val="22"/>
          <w:szCs w:val="22"/>
          <w:lang w:eastAsia="en-US"/>
        </w:rPr>
        <w:t>17.</w:t>
      </w:r>
      <w:r w:rsidRPr="00F52718">
        <w:rPr>
          <w:rFonts w:ascii="Arial" w:hAnsi="Arial" w:cs="Arial"/>
          <w:snapToGrid w:val="0"/>
          <w:sz w:val="22"/>
          <w:szCs w:val="22"/>
          <w:lang w:eastAsia="en-US"/>
        </w:rPr>
        <w:tab/>
        <w:t>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UNESCO est bien placée pour promouvoir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échange en ligne de bonnes pratiques,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études de cas et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expériences relatives à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action climatique en faveur du patrimoine vivant, et pour aider les États Parties et les organisations internationales à mettre en place des forums, des réseaux et des alliances aux niveaux national et régional, en s</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appuyant sur des alliances stratégiques entre les bureaux régionaux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UNESCO, les centres de catégorie 2 sous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égide de l</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UNESCO, les institutions et les agences nationales chargées du patrimoine, des situations d</w:t>
      </w:r>
      <w:r w:rsidR="00086DE2">
        <w:rPr>
          <w:rFonts w:ascii="Arial" w:hAnsi="Arial" w:cs="Arial"/>
          <w:snapToGrid w:val="0"/>
          <w:sz w:val="22"/>
          <w:szCs w:val="22"/>
          <w:lang w:eastAsia="en-US"/>
        </w:rPr>
        <w:t>’</w:t>
      </w:r>
      <w:r w:rsidRPr="00F52718">
        <w:rPr>
          <w:rFonts w:ascii="Arial" w:hAnsi="Arial" w:cs="Arial"/>
          <w:snapToGrid w:val="0"/>
          <w:sz w:val="22"/>
          <w:szCs w:val="22"/>
          <w:lang w:eastAsia="en-US"/>
        </w:rPr>
        <w:t>urgence et du changement climatique, ainsi que les praticiens et les communautés.</w:t>
      </w:r>
    </w:p>
    <w:sectPr w:rsidR="00766AD5" w:rsidRPr="00F52718" w:rsidSect="00655736">
      <w:headerReference w:type="even" r:id="rId40"/>
      <w:headerReference w:type="default" r:id="rId41"/>
      <w:headerReference w:type="first" r:id="rId42"/>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C8A1B" w14:textId="77777777" w:rsidR="00D61336" w:rsidRDefault="00D61336" w:rsidP="00655736">
      <w:r>
        <w:separator/>
      </w:r>
    </w:p>
  </w:endnote>
  <w:endnote w:type="continuationSeparator" w:id="0">
    <w:p w14:paraId="305D89B5" w14:textId="77777777" w:rsidR="00D61336" w:rsidRDefault="00D61336"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070DF" w14:textId="77777777" w:rsidR="00D61336" w:rsidRDefault="00D61336" w:rsidP="00655736">
      <w:r>
        <w:separator/>
      </w:r>
    </w:p>
  </w:footnote>
  <w:footnote w:type="continuationSeparator" w:id="0">
    <w:p w14:paraId="48CF114B" w14:textId="77777777" w:rsidR="00D61336" w:rsidRDefault="00D61336" w:rsidP="00655736">
      <w:r>
        <w:continuationSeparator/>
      </w:r>
    </w:p>
  </w:footnote>
  <w:footnote w:id="1">
    <w:p w14:paraId="53BCCA0D" w14:textId="3947432D" w:rsidR="00251922" w:rsidRPr="00F52718" w:rsidRDefault="00251922" w:rsidP="00681167">
      <w:pPr>
        <w:pStyle w:val="FootnoteText"/>
        <w:spacing w:after="60"/>
        <w:rPr>
          <w:rFonts w:asciiTheme="minorBidi" w:hAnsiTheme="minorBidi" w:cstheme="minorBidi"/>
          <w:sz w:val="18"/>
          <w:szCs w:val="18"/>
        </w:rPr>
      </w:pPr>
      <w:r w:rsidRPr="00F52718">
        <w:rPr>
          <w:rStyle w:val="FootnoteReference"/>
          <w:rFonts w:asciiTheme="minorBidi" w:hAnsiTheme="minorBidi" w:cstheme="minorBidi"/>
          <w:sz w:val="18"/>
          <w:szCs w:val="18"/>
        </w:rPr>
        <w:footnoteRef/>
      </w:r>
      <w:r w:rsidRPr="00F52718">
        <w:rPr>
          <w:rFonts w:asciiTheme="minorBidi" w:hAnsiTheme="minorBidi" w:cstheme="minorBidi"/>
          <w:sz w:val="18"/>
          <w:szCs w:val="18"/>
        </w:rPr>
        <w:t xml:space="preserve"> Voir la </w:t>
      </w:r>
      <w:hyperlink r:id="rId1" w:history="1">
        <w:r w:rsidRPr="00F52718">
          <w:rPr>
            <w:rStyle w:val="Hyperlink"/>
            <w:rFonts w:asciiTheme="minorBidi" w:hAnsiTheme="minorBidi" w:cstheme="minorBidi"/>
            <w:sz w:val="18"/>
            <w:szCs w:val="18"/>
          </w:rPr>
          <w:t xml:space="preserve">page </w:t>
        </w:r>
        <w:r w:rsidR="00086DE2">
          <w:rPr>
            <w:rStyle w:val="Hyperlink"/>
            <w:rFonts w:asciiTheme="minorBidi" w:hAnsiTheme="minorBidi" w:cstheme="minorBidi"/>
            <w:sz w:val="18"/>
            <w:szCs w:val="18"/>
          </w:rPr>
          <w:t>I</w:t>
        </w:r>
        <w:r w:rsidRPr="00F52718">
          <w:rPr>
            <w:rStyle w:val="Hyperlink"/>
            <w:rFonts w:asciiTheme="minorBidi" w:hAnsiTheme="minorBidi" w:cstheme="minorBidi"/>
            <w:sz w:val="18"/>
            <w:szCs w:val="18"/>
          </w:rPr>
          <w:t>nternet</w:t>
        </w:r>
      </w:hyperlink>
      <w:r w:rsidRPr="00F52718">
        <w:rPr>
          <w:rFonts w:asciiTheme="minorBidi" w:hAnsiTheme="minorBidi" w:cstheme="minorBidi"/>
          <w:sz w:val="18"/>
          <w:szCs w:val="18"/>
        </w:rPr>
        <w:t xml:space="preserve"> de la Convention dédiée à cette réunion d</w:t>
      </w:r>
      <w:r w:rsidR="00086DE2">
        <w:rPr>
          <w:rFonts w:asciiTheme="minorBidi" w:hAnsiTheme="minorBidi" w:cstheme="minorBidi"/>
          <w:sz w:val="18"/>
          <w:szCs w:val="18"/>
        </w:rPr>
        <w:t>’</w:t>
      </w:r>
      <w:r w:rsidRPr="00F52718">
        <w:rPr>
          <w:rFonts w:asciiTheme="minorBidi" w:hAnsiTheme="minorBidi" w:cstheme="minorBidi"/>
          <w:sz w:val="18"/>
          <w:szCs w:val="18"/>
        </w:rPr>
        <w:t>experts.</w:t>
      </w:r>
    </w:p>
  </w:footnote>
  <w:footnote w:id="2">
    <w:p w14:paraId="5F09B500" w14:textId="01D79760" w:rsidR="00A31F95" w:rsidRPr="00F52718" w:rsidRDefault="00A31F95" w:rsidP="00681167">
      <w:pPr>
        <w:pStyle w:val="FootnoteText"/>
        <w:spacing w:after="60"/>
        <w:jc w:val="both"/>
        <w:rPr>
          <w:rFonts w:asciiTheme="minorBidi" w:hAnsiTheme="minorBidi" w:cstheme="minorBidi"/>
          <w:sz w:val="18"/>
          <w:szCs w:val="18"/>
        </w:rPr>
      </w:pPr>
      <w:r w:rsidRPr="00F52718">
        <w:rPr>
          <w:rStyle w:val="FootnoteReference"/>
          <w:rFonts w:asciiTheme="minorBidi" w:hAnsiTheme="minorBidi" w:cstheme="minorBidi"/>
          <w:sz w:val="18"/>
          <w:szCs w:val="18"/>
        </w:rPr>
        <w:footnoteRef/>
      </w:r>
      <w:r w:rsidR="00681167">
        <w:rPr>
          <w:rFonts w:asciiTheme="minorBidi" w:hAnsiTheme="minorBidi" w:cstheme="minorBidi"/>
          <w:sz w:val="18"/>
          <w:szCs w:val="18"/>
        </w:rPr>
        <w:t xml:space="preserve"> </w:t>
      </w:r>
      <w:r w:rsidRPr="00F52718">
        <w:rPr>
          <w:rStyle w:val="FootnoteReference"/>
          <w:rFonts w:asciiTheme="minorBidi" w:hAnsiTheme="minorBidi" w:cstheme="minorBidi"/>
          <w:snapToGrid w:val="0"/>
          <w:sz w:val="18"/>
          <w:szCs w:val="18"/>
          <w:vertAlign w:val="baseline"/>
          <w:lang w:eastAsia="en-US"/>
        </w:rPr>
        <w:t>Les documents 3 à 5 ont été préparés avec la contribution d</w:t>
      </w:r>
      <w:r w:rsidR="00086DE2">
        <w:rPr>
          <w:rFonts w:asciiTheme="minorBidi" w:hAnsiTheme="minorBidi" w:cstheme="minorBidi"/>
          <w:snapToGrid w:val="0"/>
          <w:sz w:val="18"/>
          <w:szCs w:val="18"/>
          <w:lang w:eastAsia="en-US"/>
        </w:rPr>
        <w:t>’</w:t>
      </w:r>
      <w:r w:rsidRPr="00F52718">
        <w:rPr>
          <w:rStyle w:val="FootnoteReference"/>
          <w:rFonts w:asciiTheme="minorBidi" w:hAnsiTheme="minorBidi" w:cstheme="minorBidi"/>
          <w:snapToGrid w:val="0"/>
          <w:sz w:val="18"/>
          <w:szCs w:val="18"/>
          <w:vertAlign w:val="baseline"/>
          <w:lang w:eastAsia="en-US"/>
        </w:rPr>
        <w:t>un groupe d</w:t>
      </w:r>
      <w:r w:rsidR="00086DE2">
        <w:rPr>
          <w:rStyle w:val="FootnoteReference"/>
          <w:snapToGrid w:val="0"/>
          <w:vertAlign w:val="baseline"/>
          <w:lang w:eastAsia="en-US"/>
        </w:rPr>
        <w:t>’</w:t>
      </w:r>
      <w:r w:rsidRPr="00F52718">
        <w:rPr>
          <w:rStyle w:val="FootnoteReference"/>
          <w:rFonts w:asciiTheme="minorBidi" w:hAnsiTheme="minorBidi" w:cstheme="minorBidi"/>
          <w:snapToGrid w:val="0"/>
          <w:sz w:val="18"/>
          <w:szCs w:val="18"/>
          <w:vertAlign w:val="baseline"/>
          <w:lang w:eastAsia="en-US"/>
        </w:rPr>
        <w:t>examen préliminaire par les pairs qui a fourni des informations sur les versions antérieures. Le document 3 a été révisé après la première partie de la</w:t>
      </w:r>
      <w:r w:rsidR="00066068">
        <w:rPr>
          <w:rFonts w:asciiTheme="minorBidi" w:hAnsiTheme="minorBidi" w:cstheme="minorBidi"/>
          <w:snapToGrid w:val="0"/>
          <w:sz w:val="18"/>
          <w:szCs w:val="18"/>
          <w:lang w:eastAsia="en-US"/>
        </w:rPr>
        <w:t xml:space="preserve"> </w:t>
      </w:r>
      <w:r w:rsidRPr="00F52718">
        <w:rPr>
          <w:rStyle w:val="FootnoteReference"/>
          <w:rFonts w:asciiTheme="minorBidi" w:hAnsiTheme="minorBidi" w:cstheme="minorBidi"/>
          <w:snapToGrid w:val="0"/>
          <w:sz w:val="18"/>
          <w:szCs w:val="18"/>
          <w:vertAlign w:val="baseline"/>
          <w:lang w:eastAsia="en-US"/>
        </w:rPr>
        <w:t>réunion pour refléter les réactions des participants et a ensuite été présenté et discuté en détail au cours de la deuxième partie de la réunion.</w:t>
      </w:r>
    </w:p>
  </w:footnote>
  <w:footnote w:id="3">
    <w:p w14:paraId="1BE70D9D" w14:textId="2B50A0E2" w:rsidR="00AB34E6" w:rsidRPr="00F52718" w:rsidRDefault="00AB34E6" w:rsidP="00681167">
      <w:pPr>
        <w:pStyle w:val="FootnoteText"/>
        <w:spacing w:after="60"/>
        <w:jc w:val="both"/>
        <w:rPr>
          <w:rFonts w:asciiTheme="minorBidi" w:hAnsiTheme="minorBidi" w:cstheme="minorBidi"/>
          <w:sz w:val="18"/>
          <w:szCs w:val="18"/>
        </w:rPr>
      </w:pPr>
      <w:r w:rsidRPr="00F52718">
        <w:rPr>
          <w:rStyle w:val="FootnoteReference"/>
          <w:rFonts w:asciiTheme="minorBidi" w:hAnsiTheme="minorBidi" w:cstheme="minorBidi"/>
          <w:sz w:val="18"/>
          <w:szCs w:val="18"/>
        </w:rPr>
        <w:footnoteRef/>
      </w:r>
      <w:r w:rsidR="00681167">
        <w:rPr>
          <w:rFonts w:asciiTheme="minorBidi" w:hAnsiTheme="minorBidi" w:cstheme="minorBidi"/>
          <w:sz w:val="18"/>
          <w:szCs w:val="18"/>
        </w:rPr>
        <w:t xml:space="preserve"> </w:t>
      </w:r>
      <w:r w:rsidRPr="00F52718">
        <w:rPr>
          <w:rFonts w:asciiTheme="minorBidi" w:hAnsiTheme="minorBidi" w:cstheme="minorBidi"/>
          <w:sz w:val="18"/>
          <w:szCs w:val="18"/>
        </w:rPr>
        <w:t>Document</w:t>
      </w:r>
      <w:r w:rsidR="00E363C4" w:rsidRPr="00A46704">
        <w:rPr>
          <w:rFonts w:asciiTheme="minorBidi" w:hAnsiTheme="minorBidi" w:cstheme="minorBidi"/>
          <w:sz w:val="18"/>
          <w:szCs w:val="18"/>
        </w:rPr>
        <w:t xml:space="preserve"> </w:t>
      </w:r>
      <w:hyperlink r:id="rId2" w:history="1">
        <w:r w:rsidR="00E363C4" w:rsidRPr="00F52718">
          <w:rPr>
            <w:rStyle w:val="Hyperlink"/>
            <w:rFonts w:asciiTheme="minorBidi" w:hAnsiTheme="minorBidi" w:cstheme="minorBidi"/>
            <w:sz w:val="18"/>
            <w:szCs w:val="18"/>
          </w:rPr>
          <w:t>LHE/24/EXP THEMA-CLIMA/4e Rev.</w:t>
        </w:r>
      </w:hyperlink>
      <w:r w:rsidR="00E363C4" w:rsidRPr="00F52718">
        <w:t xml:space="preserve"> </w:t>
      </w:r>
      <w:r w:rsidRPr="00F52718">
        <w:rPr>
          <w:rFonts w:asciiTheme="minorBidi" w:hAnsiTheme="minorBidi" w:cstheme="minorBidi"/>
          <w:sz w:val="18"/>
          <w:szCs w:val="18"/>
        </w:rPr>
        <w:t>fournit de plus amples détails sur les cadres politiques internationaux pertinents concernant le patrimoine vivant dans le contexte de l</w:t>
      </w:r>
      <w:r w:rsidR="00086DE2">
        <w:rPr>
          <w:rFonts w:asciiTheme="minorBidi" w:hAnsiTheme="minorBidi" w:cstheme="minorBidi"/>
          <w:sz w:val="18"/>
          <w:szCs w:val="18"/>
        </w:rPr>
        <w:t>’</w:t>
      </w:r>
      <w:r w:rsidRPr="00F52718">
        <w:rPr>
          <w:rFonts w:asciiTheme="minorBidi" w:hAnsiTheme="minorBidi" w:cstheme="minorBidi"/>
          <w:sz w:val="18"/>
          <w:szCs w:val="18"/>
        </w:rPr>
        <w:t>urgence climatique.</w:t>
      </w:r>
    </w:p>
  </w:footnote>
  <w:footnote w:id="4">
    <w:p w14:paraId="07F4B608" w14:textId="7DE8F148" w:rsidR="00237852" w:rsidRPr="00F52718" w:rsidRDefault="00237852" w:rsidP="00681167">
      <w:pPr>
        <w:pStyle w:val="FootnoteText"/>
        <w:spacing w:after="60"/>
        <w:rPr>
          <w:rFonts w:asciiTheme="minorBidi" w:hAnsiTheme="minorBidi" w:cstheme="minorBidi"/>
          <w:sz w:val="18"/>
          <w:szCs w:val="18"/>
        </w:rPr>
      </w:pPr>
      <w:r w:rsidRPr="00F52718">
        <w:rPr>
          <w:rStyle w:val="FootnoteReference"/>
          <w:rFonts w:asciiTheme="minorBidi" w:hAnsiTheme="minorBidi" w:cstheme="minorBidi"/>
          <w:sz w:val="18"/>
          <w:szCs w:val="18"/>
        </w:rPr>
        <w:footnoteRef/>
      </w:r>
      <w:r w:rsidRPr="00F52718">
        <w:rPr>
          <w:rFonts w:asciiTheme="minorBidi" w:hAnsiTheme="minorBidi" w:cstheme="minorBidi"/>
          <w:sz w:val="18"/>
          <w:szCs w:val="18"/>
        </w:rPr>
        <w:t xml:space="preserve"> </w:t>
      </w:r>
      <w:r w:rsidRPr="00F52718">
        <w:rPr>
          <w:rStyle w:val="Hyperlink"/>
          <w:rFonts w:asciiTheme="minorBidi" w:hAnsiTheme="minorBidi" w:cstheme="minorBidi"/>
          <w:snapToGrid w:val="0"/>
          <w:sz w:val="18"/>
          <w:szCs w:val="18"/>
          <w:lang w:eastAsia="en-US"/>
        </w:rPr>
        <w:t>https://ich.unesco.org/fr/evenement-mondial-01375</w:t>
      </w:r>
    </w:p>
  </w:footnote>
  <w:footnote w:id="5">
    <w:p w14:paraId="0F2B8038" w14:textId="37E326DF" w:rsidR="00825959" w:rsidRPr="00F52718" w:rsidRDefault="00825959" w:rsidP="00681167">
      <w:pPr>
        <w:pStyle w:val="FootnoteText"/>
        <w:spacing w:after="60"/>
        <w:jc w:val="both"/>
        <w:rPr>
          <w:rFonts w:asciiTheme="minorBidi" w:hAnsiTheme="minorBidi" w:cstheme="minorBidi"/>
          <w:sz w:val="18"/>
          <w:szCs w:val="18"/>
        </w:rPr>
      </w:pPr>
      <w:r w:rsidRPr="00F52718">
        <w:rPr>
          <w:rStyle w:val="FootnoteReference"/>
          <w:rFonts w:asciiTheme="minorBidi" w:hAnsiTheme="minorBidi" w:cstheme="minorBidi"/>
          <w:sz w:val="18"/>
          <w:szCs w:val="18"/>
          <w:lang w:val="fr"/>
        </w:rPr>
        <w:footnoteRef/>
      </w:r>
      <w:r w:rsidRPr="00F52718">
        <w:rPr>
          <w:rFonts w:asciiTheme="minorBidi" w:hAnsiTheme="minorBidi" w:cstheme="minorBidi"/>
          <w:sz w:val="18"/>
          <w:szCs w:val="18"/>
          <w:lang w:val="fr"/>
        </w:rPr>
        <w:t xml:space="preserve"> Cette note d</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orientation a été préparée par le consultant Chris Ballard, avec l</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aide des participants à la réunion d</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experts de catégorie VI et du groupe d</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évaluation par les pairs sur la sauvegarde du patrimoine culturel immatériel et le changement climatique (</w:t>
      </w:r>
      <w:proofErr w:type="spellStart"/>
      <w:r w:rsidRPr="00F52718">
        <w:rPr>
          <w:rFonts w:asciiTheme="minorBidi" w:hAnsiTheme="minorBidi" w:cstheme="minorBidi"/>
          <w:sz w:val="18"/>
          <w:szCs w:val="18"/>
          <w:lang w:val="fr"/>
        </w:rPr>
        <w:t>Ibidun</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Adelekan</w:t>
      </w:r>
      <w:proofErr w:type="spellEnd"/>
      <w:r w:rsidRPr="00F52718">
        <w:rPr>
          <w:rFonts w:asciiTheme="minorBidi" w:hAnsiTheme="minorBidi" w:cstheme="minorBidi"/>
          <w:sz w:val="18"/>
          <w:szCs w:val="18"/>
          <w:lang w:val="fr"/>
        </w:rPr>
        <w:t xml:space="preserve">, Gül </w:t>
      </w:r>
      <w:proofErr w:type="spellStart"/>
      <w:r w:rsidRPr="00F52718">
        <w:rPr>
          <w:rFonts w:asciiTheme="minorBidi" w:hAnsiTheme="minorBidi" w:cstheme="minorBidi"/>
          <w:sz w:val="18"/>
          <w:szCs w:val="18"/>
          <w:lang w:val="fr"/>
        </w:rPr>
        <w:t>Aktürk</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Aet</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Annist</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Saruul</w:t>
      </w:r>
      <w:proofErr w:type="spellEnd"/>
      <w:r w:rsidRPr="00F52718">
        <w:rPr>
          <w:rFonts w:asciiTheme="minorBidi" w:hAnsiTheme="minorBidi" w:cstheme="minorBidi"/>
          <w:sz w:val="18"/>
          <w:szCs w:val="18"/>
          <w:lang w:val="fr"/>
        </w:rPr>
        <w:t xml:space="preserve"> Arslan, </w:t>
      </w:r>
      <w:proofErr w:type="spellStart"/>
      <w:r w:rsidRPr="00F52718">
        <w:rPr>
          <w:rFonts w:asciiTheme="minorBidi" w:hAnsiTheme="minorBidi" w:cstheme="minorBidi"/>
          <w:sz w:val="18"/>
          <w:szCs w:val="18"/>
          <w:lang w:val="fr"/>
        </w:rPr>
        <w:t>Heba</w:t>
      </w:r>
      <w:proofErr w:type="spellEnd"/>
      <w:r w:rsidRPr="00F52718">
        <w:rPr>
          <w:rFonts w:asciiTheme="minorBidi" w:hAnsiTheme="minorBidi" w:cstheme="minorBidi"/>
          <w:sz w:val="18"/>
          <w:szCs w:val="18"/>
          <w:lang w:val="fr"/>
        </w:rPr>
        <w:t xml:space="preserve"> Aziz, Greg </w:t>
      </w:r>
      <w:proofErr w:type="spellStart"/>
      <w:r w:rsidRPr="00F52718">
        <w:rPr>
          <w:rFonts w:asciiTheme="minorBidi" w:hAnsiTheme="minorBidi" w:cstheme="minorBidi"/>
          <w:sz w:val="18"/>
          <w:szCs w:val="18"/>
          <w:lang w:val="fr"/>
        </w:rPr>
        <w:t>Bankoff</w:t>
      </w:r>
      <w:proofErr w:type="spellEnd"/>
      <w:r w:rsidRPr="00F52718">
        <w:rPr>
          <w:rFonts w:asciiTheme="minorBidi" w:hAnsiTheme="minorBidi" w:cstheme="minorBidi"/>
          <w:sz w:val="18"/>
          <w:szCs w:val="18"/>
          <w:lang w:val="fr"/>
        </w:rPr>
        <w:t xml:space="preserve">, Karima </w:t>
      </w:r>
      <w:proofErr w:type="spellStart"/>
      <w:r w:rsidRPr="00F52718">
        <w:rPr>
          <w:rFonts w:asciiTheme="minorBidi" w:hAnsiTheme="minorBidi" w:cstheme="minorBidi"/>
          <w:sz w:val="18"/>
          <w:szCs w:val="18"/>
          <w:lang w:val="fr"/>
        </w:rPr>
        <w:t>Bennoune</w:t>
      </w:r>
      <w:proofErr w:type="spellEnd"/>
      <w:r w:rsidRPr="00F52718">
        <w:rPr>
          <w:rFonts w:asciiTheme="minorBidi" w:hAnsiTheme="minorBidi" w:cstheme="minorBidi"/>
          <w:sz w:val="18"/>
          <w:szCs w:val="18"/>
          <w:lang w:val="fr"/>
        </w:rPr>
        <w:t xml:space="preserve">, Chantal </w:t>
      </w:r>
      <w:proofErr w:type="spellStart"/>
      <w:r w:rsidRPr="00F52718">
        <w:rPr>
          <w:rFonts w:asciiTheme="minorBidi" w:hAnsiTheme="minorBidi" w:cstheme="minorBidi"/>
          <w:sz w:val="18"/>
          <w:szCs w:val="18"/>
          <w:lang w:val="fr"/>
        </w:rPr>
        <w:t>Bisschop</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Donatas</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Brandišauskas</w:t>
      </w:r>
      <w:proofErr w:type="spellEnd"/>
      <w:r w:rsidRPr="00F52718">
        <w:rPr>
          <w:rFonts w:asciiTheme="minorBidi" w:hAnsiTheme="minorBidi" w:cstheme="minorBidi"/>
          <w:sz w:val="18"/>
          <w:szCs w:val="18"/>
          <w:lang w:val="fr"/>
        </w:rPr>
        <w:t xml:space="preserve">, Luciana Gonçalves de Carvalho, Nigel Crawhall, </w:t>
      </w:r>
      <w:proofErr w:type="spellStart"/>
      <w:r w:rsidRPr="00F52718">
        <w:rPr>
          <w:rFonts w:asciiTheme="minorBidi" w:hAnsiTheme="minorBidi" w:cstheme="minorBidi"/>
          <w:sz w:val="18"/>
          <w:szCs w:val="18"/>
          <w:lang w:val="fr"/>
        </w:rPr>
        <w:t>Ginbert</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Cuaton</w:t>
      </w:r>
      <w:proofErr w:type="spellEnd"/>
      <w:r w:rsidRPr="00F52718">
        <w:rPr>
          <w:rFonts w:asciiTheme="minorBidi" w:hAnsiTheme="minorBidi" w:cstheme="minorBidi"/>
          <w:sz w:val="18"/>
          <w:szCs w:val="18"/>
          <w:lang w:val="fr"/>
        </w:rPr>
        <w:t xml:space="preserve">, Harriet Deacon, Gabriel Philip </w:t>
      </w:r>
      <w:proofErr w:type="spellStart"/>
      <w:r w:rsidRPr="00F52718">
        <w:rPr>
          <w:rFonts w:asciiTheme="minorBidi" w:hAnsiTheme="minorBidi" w:cstheme="minorBidi"/>
          <w:sz w:val="18"/>
          <w:szCs w:val="18"/>
          <w:lang w:val="fr"/>
        </w:rPr>
        <w:t>Essack</w:t>
      </w:r>
      <w:proofErr w:type="spellEnd"/>
      <w:r w:rsidRPr="00F52718">
        <w:rPr>
          <w:rFonts w:asciiTheme="minorBidi" w:hAnsiTheme="minorBidi" w:cstheme="minorBidi"/>
          <w:sz w:val="18"/>
          <w:szCs w:val="18"/>
          <w:lang w:val="fr"/>
        </w:rPr>
        <w:t xml:space="preserve">, Sandra </w:t>
      </w:r>
      <w:proofErr w:type="spellStart"/>
      <w:r w:rsidRPr="00F52718">
        <w:rPr>
          <w:rFonts w:asciiTheme="minorBidi" w:hAnsiTheme="minorBidi" w:cstheme="minorBidi"/>
          <w:sz w:val="18"/>
          <w:szCs w:val="18"/>
          <w:lang w:val="fr"/>
        </w:rPr>
        <w:t>Fatorić</w:t>
      </w:r>
      <w:proofErr w:type="spellEnd"/>
      <w:r w:rsidRPr="00F52718">
        <w:rPr>
          <w:rFonts w:asciiTheme="minorBidi" w:hAnsiTheme="minorBidi" w:cstheme="minorBidi"/>
          <w:sz w:val="18"/>
          <w:szCs w:val="18"/>
          <w:lang w:val="fr"/>
        </w:rPr>
        <w:t xml:space="preserve">, James D. Ford, Rahul Goswami, </w:t>
      </w:r>
      <w:proofErr w:type="spellStart"/>
      <w:r w:rsidRPr="00F52718">
        <w:rPr>
          <w:rFonts w:asciiTheme="minorBidi" w:hAnsiTheme="minorBidi" w:cstheme="minorBidi"/>
          <w:sz w:val="18"/>
          <w:szCs w:val="18"/>
          <w:lang w:val="fr"/>
        </w:rPr>
        <w:t>Qunli</w:t>
      </w:r>
      <w:proofErr w:type="spellEnd"/>
      <w:r w:rsidRPr="00F52718">
        <w:rPr>
          <w:rFonts w:asciiTheme="minorBidi" w:hAnsiTheme="minorBidi" w:cstheme="minorBidi"/>
          <w:sz w:val="18"/>
          <w:szCs w:val="18"/>
          <w:lang w:val="fr"/>
        </w:rPr>
        <w:t xml:space="preserve"> Han, Kristen </w:t>
      </w:r>
      <w:proofErr w:type="spellStart"/>
      <w:r w:rsidRPr="00F52718">
        <w:rPr>
          <w:rFonts w:asciiTheme="minorBidi" w:hAnsiTheme="minorBidi" w:cstheme="minorBidi"/>
          <w:sz w:val="18"/>
          <w:szCs w:val="18"/>
          <w:lang w:val="fr"/>
        </w:rPr>
        <w:t>Hausler</w:t>
      </w:r>
      <w:proofErr w:type="spellEnd"/>
      <w:r w:rsidRPr="00F52718">
        <w:rPr>
          <w:rFonts w:asciiTheme="minorBidi" w:hAnsiTheme="minorBidi" w:cstheme="minorBidi"/>
          <w:sz w:val="18"/>
          <w:szCs w:val="18"/>
          <w:lang w:val="fr"/>
        </w:rPr>
        <w:t xml:space="preserve">, Lisa </w:t>
      </w:r>
      <w:proofErr w:type="spellStart"/>
      <w:r w:rsidRPr="00F52718">
        <w:rPr>
          <w:rFonts w:asciiTheme="minorBidi" w:hAnsiTheme="minorBidi" w:cstheme="minorBidi"/>
          <w:sz w:val="18"/>
          <w:szCs w:val="18"/>
          <w:lang w:val="fr"/>
        </w:rPr>
        <w:t>Hiwasaki</w:t>
      </w:r>
      <w:proofErr w:type="spellEnd"/>
      <w:r w:rsidRPr="00F52718">
        <w:rPr>
          <w:rFonts w:asciiTheme="minorBidi" w:hAnsiTheme="minorBidi" w:cstheme="minorBidi"/>
          <w:sz w:val="18"/>
          <w:szCs w:val="18"/>
          <w:lang w:val="fr"/>
        </w:rPr>
        <w:t xml:space="preserve">, Cornelius </w:t>
      </w:r>
      <w:proofErr w:type="spellStart"/>
      <w:r w:rsidRPr="00F52718">
        <w:rPr>
          <w:rFonts w:asciiTheme="minorBidi" w:hAnsiTheme="minorBidi" w:cstheme="minorBidi"/>
          <w:sz w:val="18"/>
          <w:szCs w:val="18"/>
          <w:lang w:val="fr"/>
        </w:rPr>
        <w:t>Holtorf</w:t>
      </w:r>
      <w:proofErr w:type="spellEnd"/>
      <w:r w:rsidRPr="00F52718">
        <w:rPr>
          <w:rFonts w:asciiTheme="minorBidi" w:hAnsiTheme="minorBidi" w:cstheme="minorBidi"/>
          <w:sz w:val="18"/>
          <w:szCs w:val="18"/>
          <w:lang w:val="fr"/>
        </w:rPr>
        <w:t xml:space="preserve">, Susan </w:t>
      </w:r>
      <w:proofErr w:type="spellStart"/>
      <w:r w:rsidRPr="00F52718">
        <w:rPr>
          <w:rFonts w:asciiTheme="minorBidi" w:hAnsiTheme="minorBidi" w:cstheme="minorBidi"/>
          <w:sz w:val="18"/>
          <w:szCs w:val="18"/>
          <w:lang w:val="fr"/>
        </w:rPr>
        <w:t>Keitumetse</w:t>
      </w:r>
      <w:proofErr w:type="spellEnd"/>
      <w:r w:rsidRPr="00F52718">
        <w:rPr>
          <w:rFonts w:asciiTheme="minorBidi" w:hAnsiTheme="minorBidi" w:cstheme="minorBidi"/>
          <w:sz w:val="18"/>
          <w:szCs w:val="18"/>
          <w:lang w:val="fr"/>
        </w:rPr>
        <w:t xml:space="preserve">, Lucas </w:t>
      </w:r>
      <w:proofErr w:type="spellStart"/>
      <w:r w:rsidRPr="00F52718">
        <w:rPr>
          <w:rFonts w:asciiTheme="minorBidi" w:hAnsiTheme="minorBidi" w:cstheme="minorBidi"/>
          <w:sz w:val="18"/>
          <w:szCs w:val="18"/>
          <w:lang w:val="fr"/>
        </w:rPr>
        <w:t>Lixinski</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Anare</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Leweniqila</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Přemysl</w:t>
      </w:r>
      <w:proofErr w:type="spellEnd"/>
      <w:r w:rsidRPr="00F52718">
        <w:rPr>
          <w:rFonts w:asciiTheme="minorBidi" w:hAnsiTheme="minorBidi" w:cstheme="minorBidi"/>
          <w:sz w:val="18"/>
          <w:szCs w:val="18"/>
          <w:lang w:val="fr"/>
        </w:rPr>
        <w:t xml:space="preserve"> Mácha, Eva Martinez </w:t>
      </w:r>
      <w:proofErr w:type="spellStart"/>
      <w:r w:rsidRPr="00F52718">
        <w:rPr>
          <w:rFonts w:asciiTheme="minorBidi" w:hAnsiTheme="minorBidi" w:cstheme="minorBidi"/>
          <w:sz w:val="18"/>
          <w:szCs w:val="18"/>
          <w:lang w:val="fr"/>
        </w:rPr>
        <w:t>Ordoñez</w:t>
      </w:r>
      <w:proofErr w:type="spellEnd"/>
      <w:r w:rsidRPr="00F52718">
        <w:rPr>
          <w:rFonts w:asciiTheme="minorBidi" w:hAnsiTheme="minorBidi" w:cstheme="minorBidi"/>
          <w:sz w:val="18"/>
          <w:szCs w:val="18"/>
          <w:lang w:val="fr"/>
        </w:rPr>
        <w:t xml:space="preserve">, Barbara </w:t>
      </w:r>
      <w:proofErr w:type="spellStart"/>
      <w:r w:rsidRPr="00F52718">
        <w:rPr>
          <w:rFonts w:asciiTheme="minorBidi" w:hAnsiTheme="minorBidi" w:cstheme="minorBidi"/>
          <w:sz w:val="18"/>
          <w:szCs w:val="18"/>
          <w:lang w:val="fr"/>
        </w:rPr>
        <w:t>Mínguez</w:t>
      </w:r>
      <w:proofErr w:type="spellEnd"/>
      <w:r w:rsidRPr="00F52718">
        <w:rPr>
          <w:rFonts w:asciiTheme="minorBidi" w:hAnsiTheme="minorBidi" w:cstheme="minorBidi"/>
          <w:sz w:val="18"/>
          <w:szCs w:val="18"/>
          <w:lang w:val="fr"/>
        </w:rPr>
        <w:t xml:space="preserve"> García, </w:t>
      </w:r>
      <w:proofErr w:type="spellStart"/>
      <w:r w:rsidRPr="00F52718">
        <w:rPr>
          <w:rFonts w:asciiTheme="minorBidi" w:hAnsiTheme="minorBidi" w:cstheme="minorBidi"/>
          <w:sz w:val="18"/>
          <w:szCs w:val="18"/>
          <w:lang w:val="fr"/>
        </w:rPr>
        <w:t>Elinaza</w:t>
      </w:r>
      <w:proofErr w:type="spellEnd"/>
      <w:r w:rsidRPr="00F52718">
        <w:rPr>
          <w:rFonts w:asciiTheme="minorBidi" w:hAnsiTheme="minorBidi" w:cstheme="minorBidi"/>
          <w:sz w:val="18"/>
          <w:szCs w:val="18"/>
          <w:lang w:val="fr"/>
        </w:rPr>
        <w:t xml:space="preserve"> </w:t>
      </w:r>
      <w:proofErr w:type="spellStart"/>
      <w:r w:rsidRPr="00F52718">
        <w:rPr>
          <w:rFonts w:asciiTheme="minorBidi" w:hAnsiTheme="minorBidi" w:cstheme="minorBidi"/>
          <w:sz w:val="18"/>
          <w:szCs w:val="18"/>
          <w:lang w:val="fr"/>
        </w:rPr>
        <w:t>Mjema</w:t>
      </w:r>
      <w:proofErr w:type="spellEnd"/>
      <w:r w:rsidRPr="00F52718">
        <w:rPr>
          <w:rFonts w:asciiTheme="minorBidi" w:hAnsiTheme="minorBidi" w:cstheme="minorBidi"/>
          <w:sz w:val="18"/>
          <w:szCs w:val="18"/>
          <w:lang w:val="fr"/>
        </w:rPr>
        <w:t xml:space="preserve">, Edaly </w:t>
      </w:r>
      <w:proofErr w:type="spellStart"/>
      <w:r w:rsidRPr="00F52718">
        <w:rPr>
          <w:rFonts w:asciiTheme="minorBidi" w:hAnsiTheme="minorBidi" w:cstheme="minorBidi"/>
          <w:sz w:val="18"/>
          <w:szCs w:val="18"/>
          <w:lang w:val="fr"/>
        </w:rPr>
        <w:t>Quiroz</w:t>
      </w:r>
      <w:proofErr w:type="spellEnd"/>
      <w:r w:rsidRPr="00F52718">
        <w:rPr>
          <w:rFonts w:asciiTheme="minorBidi" w:hAnsiTheme="minorBidi" w:cstheme="minorBidi"/>
          <w:sz w:val="18"/>
          <w:szCs w:val="18"/>
          <w:lang w:val="fr"/>
        </w:rPr>
        <w:t xml:space="preserve"> Moreno, Victoria Reyes-García, Andrea Richards-Cummins, Irina Ruiz, Getachew Senishaw, </w:t>
      </w:r>
      <w:proofErr w:type="spellStart"/>
      <w:r w:rsidRPr="00F52718">
        <w:rPr>
          <w:rFonts w:asciiTheme="minorBidi" w:hAnsiTheme="minorBidi" w:cstheme="minorBidi"/>
          <w:sz w:val="18"/>
          <w:szCs w:val="18"/>
          <w:lang w:val="fr"/>
        </w:rPr>
        <w:t>Pasang</w:t>
      </w:r>
      <w:proofErr w:type="spellEnd"/>
      <w:r w:rsidRPr="00F52718">
        <w:rPr>
          <w:rFonts w:asciiTheme="minorBidi" w:hAnsiTheme="minorBidi" w:cstheme="minorBidi"/>
          <w:sz w:val="18"/>
          <w:szCs w:val="18"/>
          <w:lang w:val="fr"/>
        </w:rPr>
        <w:t xml:space="preserve"> Dolma Sherpa, Ahmed Skounti, Annie </w:t>
      </w:r>
      <w:proofErr w:type="spellStart"/>
      <w:r w:rsidRPr="00F52718">
        <w:rPr>
          <w:rFonts w:asciiTheme="minorBidi" w:hAnsiTheme="minorBidi" w:cstheme="minorBidi"/>
          <w:sz w:val="18"/>
          <w:szCs w:val="18"/>
          <w:lang w:val="fr"/>
        </w:rPr>
        <w:t>Tohme</w:t>
      </w:r>
      <w:proofErr w:type="spellEnd"/>
      <w:r w:rsidRPr="00F52718">
        <w:rPr>
          <w:rFonts w:asciiTheme="minorBidi" w:hAnsiTheme="minorBidi" w:cstheme="minorBidi"/>
          <w:sz w:val="18"/>
          <w:szCs w:val="18"/>
          <w:lang w:val="fr"/>
        </w:rPr>
        <w:t xml:space="preserve"> Tabet, Laurier Turgeon, et </w:t>
      </w:r>
      <w:proofErr w:type="spellStart"/>
      <w:r w:rsidRPr="00F52718">
        <w:rPr>
          <w:rFonts w:asciiTheme="minorBidi" w:hAnsiTheme="minorBidi" w:cstheme="minorBidi"/>
          <w:sz w:val="18"/>
          <w:szCs w:val="18"/>
          <w:lang w:val="fr"/>
        </w:rPr>
        <w:t>Chul</w:t>
      </w:r>
      <w:proofErr w:type="spellEnd"/>
      <w:r w:rsidRPr="00F52718">
        <w:rPr>
          <w:rFonts w:asciiTheme="minorBidi" w:hAnsiTheme="minorBidi" w:cstheme="minorBidi"/>
          <w:sz w:val="18"/>
          <w:szCs w:val="18"/>
          <w:lang w:val="fr"/>
        </w:rPr>
        <w:t>-In Yoo), en collaboration avec l</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Entité du patrimoine vivant de l</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UNESCO. Le contenu ne reflète pas nécessairement les points de vue institutionnels de l</w:t>
      </w:r>
      <w:r w:rsidR="00086DE2">
        <w:rPr>
          <w:rFonts w:asciiTheme="minorBidi" w:hAnsiTheme="minorBidi" w:cstheme="minorBidi"/>
          <w:sz w:val="18"/>
          <w:szCs w:val="18"/>
          <w:lang w:val="fr"/>
        </w:rPr>
        <w:t>’</w:t>
      </w:r>
      <w:r w:rsidRPr="00F52718">
        <w:rPr>
          <w:rFonts w:asciiTheme="minorBidi" w:hAnsiTheme="minorBidi" w:cstheme="minorBidi"/>
          <w:sz w:val="18"/>
          <w:szCs w:val="18"/>
          <w:lang w:val="fr"/>
        </w:rPr>
        <w:t>UNESCO, ni ceux des pairs évaluateurs individuels ou des experts consultés.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7C89480" w:rsidR="00D95C4C" w:rsidRPr="00C23A97" w:rsidRDefault="00C5776D" w:rsidP="00C5776D">
    <w:pPr>
      <w:pStyle w:val="Header"/>
      <w:rPr>
        <w:rFonts w:ascii="Arial" w:hAnsi="Arial" w:cs="Arial"/>
      </w:rPr>
    </w:pPr>
    <w:r>
      <w:rPr>
        <w:rFonts w:ascii="Arial" w:hAnsi="Arial"/>
        <w:sz w:val="20"/>
      </w:rPr>
      <w:t xml:space="preserve">LHE/24/19.COM/11 – page </w:t>
    </w:r>
    <w:r w:rsidR="00D95C4C" w:rsidRPr="00C23A97">
      <w:rPr>
        <w:rStyle w:val="PageNumber"/>
        <w:rFonts w:ascii="Arial" w:hAnsi="Arial" w:cs="Arial"/>
        <w:sz w:val="20"/>
      </w:rPr>
      <w:fldChar w:fldCharType="begin"/>
    </w:r>
    <w:r w:rsidR="00D95C4C" w:rsidRPr="00C23A97">
      <w:rPr>
        <w:rStyle w:val="PageNumber"/>
        <w:rFonts w:ascii="Arial" w:hAnsi="Arial" w:cs="Arial"/>
        <w:sz w:val="20"/>
      </w:rPr>
      <w:instrText xml:space="preserve"> PAGE </w:instrText>
    </w:r>
    <w:r w:rsidR="00D95C4C" w:rsidRPr="00C23A97">
      <w:rPr>
        <w:rStyle w:val="PageNumber"/>
        <w:rFonts w:ascii="Arial" w:hAnsi="Arial" w:cs="Arial"/>
        <w:sz w:val="20"/>
      </w:rPr>
      <w:fldChar w:fldCharType="separate"/>
    </w:r>
    <w:r w:rsidR="006E75EB">
      <w:rPr>
        <w:rStyle w:val="PageNumber"/>
        <w:rFonts w:ascii="Arial" w:hAnsi="Arial" w:cs="Arial"/>
        <w:sz w:val="20"/>
      </w:rPr>
      <w:t>2</w:t>
    </w:r>
    <w:r w:rsidR="00D95C4C" w:rsidRPr="00C23A97">
      <w:rPr>
        <w:rStyle w:val="PageNumbe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3344CBBF" w:rsidR="00D95C4C" w:rsidRPr="0063300C" w:rsidRDefault="00C5776D" w:rsidP="00C5776D">
    <w:pPr>
      <w:pStyle w:val="Header"/>
      <w:jc w:val="right"/>
      <w:rPr>
        <w:rFonts w:ascii="Arial" w:hAnsi="Arial" w:cs="Arial"/>
      </w:rPr>
    </w:pPr>
    <w:r>
      <w:rPr>
        <w:rFonts w:ascii="Arial" w:hAnsi="Arial"/>
        <w:sz w:val="20"/>
      </w:rPr>
      <w:t>LHE/24/19.COM/11 – page</w:t>
    </w:r>
    <w:r w:rsidR="00151BE2">
      <w:rPr>
        <w:rFonts w:ascii="Arial" w:hAnsi="Arial"/>
        <w:sz w:val="20"/>
      </w:rPr>
      <w:t> </w:t>
    </w:r>
    <w:r w:rsidR="004A34A0" w:rsidRPr="0063300C">
      <w:rPr>
        <w:rStyle w:val="PageNumber"/>
        <w:rFonts w:ascii="Arial" w:hAnsi="Arial" w:cs="Arial"/>
        <w:sz w:val="20"/>
      </w:rPr>
      <w:fldChar w:fldCharType="begin"/>
    </w:r>
    <w:r w:rsidR="004A34A0" w:rsidRPr="0063300C">
      <w:rPr>
        <w:rStyle w:val="PageNumber"/>
        <w:rFonts w:ascii="Arial" w:hAnsi="Arial" w:cs="Arial"/>
        <w:sz w:val="20"/>
      </w:rPr>
      <w:instrText xml:space="preserve"> PAGE </w:instrText>
    </w:r>
    <w:r w:rsidR="004A34A0" w:rsidRPr="0063300C">
      <w:rPr>
        <w:rStyle w:val="PageNumber"/>
        <w:rFonts w:ascii="Arial" w:hAnsi="Arial" w:cs="Arial"/>
        <w:sz w:val="20"/>
      </w:rPr>
      <w:fldChar w:fldCharType="separate"/>
    </w:r>
    <w:r w:rsidR="00190205">
      <w:rPr>
        <w:rStyle w:val="PageNumber"/>
        <w:rFonts w:ascii="Arial" w:hAnsi="Arial" w:cs="Arial"/>
        <w:sz w:val="20"/>
      </w:rPr>
      <w:t>3</w:t>
    </w:r>
    <w:r w:rsidR="004A34A0" w:rsidRPr="0063300C">
      <w:rPr>
        <w:rStyle w:val="PageNumbe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46198571" w:rsidR="00D95C4C" w:rsidRPr="00E95AE2" w:rsidRDefault="00B643E3">
    <w:pPr>
      <w:pStyle w:val="Header"/>
      <w:rPr>
        <w:sz w:val="22"/>
        <w:szCs w:val="22"/>
      </w:rPr>
    </w:pPr>
    <w:r>
      <w:rPr>
        <w:rFonts w:ascii="Arial" w:hAnsi="Arial" w:cs="Arial"/>
        <w:b/>
        <w:noProof/>
        <w:sz w:val="44"/>
        <w:szCs w:val="44"/>
        <w:lang w:val="pt-PT"/>
      </w:rPr>
      <w:drawing>
        <wp:anchor distT="0" distB="0" distL="114300" distR="114300" simplePos="0" relativeHeight="251659264" behindDoc="1" locked="0" layoutInCell="1" allowOverlap="1" wp14:anchorId="5C211684" wp14:editId="35163A5F">
          <wp:simplePos x="0" y="0"/>
          <wp:positionH relativeFrom="margin">
            <wp:posOffset>0</wp:posOffset>
          </wp:positionH>
          <wp:positionV relativeFrom="paragraph">
            <wp:posOffset>103909</wp:posOffset>
          </wp:positionV>
          <wp:extent cx="1710000" cy="1436138"/>
          <wp:effectExtent l="0" t="0" r="5080" b="0"/>
          <wp:wrapNone/>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rPr>
    </w:pPr>
    <w:r>
      <w:rPr>
        <w:rFonts w:ascii="Arial" w:hAnsi="Arial"/>
        <w:b/>
        <w:sz w:val="44"/>
      </w:rPr>
      <w:t>19 COM</w:t>
    </w:r>
  </w:p>
  <w:p w14:paraId="306484B8" w14:textId="7427D5A8" w:rsidR="00D95C4C" w:rsidRPr="00D7105A" w:rsidRDefault="00C5776D" w:rsidP="00C5776D">
    <w:pPr>
      <w:jc w:val="right"/>
      <w:rPr>
        <w:rFonts w:ascii="Arial" w:hAnsi="Arial" w:cs="Arial"/>
        <w:b/>
        <w:sz w:val="22"/>
        <w:szCs w:val="22"/>
      </w:rPr>
    </w:pPr>
    <w:r>
      <w:rPr>
        <w:rFonts w:ascii="Arial" w:hAnsi="Arial"/>
        <w:b/>
        <w:sz w:val="22"/>
      </w:rPr>
      <w:t>LHE/24/19.COM/11</w:t>
    </w:r>
  </w:p>
  <w:p w14:paraId="1B4446C3" w14:textId="28CC3635" w:rsidR="00D95C4C" w:rsidRPr="00D7105A" w:rsidRDefault="00D95C4C" w:rsidP="00655736">
    <w:pPr>
      <w:jc w:val="right"/>
      <w:rPr>
        <w:rFonts w:ascii="Arial" w:eastAsiaTheme="minorEastAsia" w:hAnsi="Arial" w:cs="Arial"/>
        <w:b/>
        <w:sz w:val="22"/>
        <w:szCs w:val="22"/>
      </w:rPr>
    </w:pPr>
    <w:r>
      <w:rPr>
        <w:rFonts w:ascii="Arial" w:hAnsi="Arial"/>
        <w:b/>
        <w:sz w:val="22"/>
      </w:rPr>
      <w:t>Paris,</w:t>
    </w:r>
    <w:r w:rsidR="00B643E3">
      <w:rPr>
        <w:rFonts w:ascii="Arial" w:hAnsi="Arial"/>
        <w:b/>
        <w:sz w:val="22"/>
      </w:rPr>
      <w:t xml:space="preserve"> le</w:t>
    </w:r>
    <w:r>
      <w:rPr>
        <w:rFonts w:ascii="Arial" w:hAnsi="Arial"/>
        <w:b/>
        <w:sz w:val="22"/>
      </w:rPr>
      <w:t xml:space="preserve"> 4 novembre 2024</w:t>
    </w:r>
  </w:p>
  <w:p w14:paraId="3C4B8B1B" w14:textId="6CDF55A4" w:rsidR="00D95C4C" w:rsidRDefault="00D95C4C" w:rsidP="00EC42DA">
    <w:pPr>
      <w:spacing w:after="120"/>
      <w:jc w:val="right"/>
      <w:rPr>
        <w:rFonts w:ascii="Arial" w:hAnsi="Arial" w:cs="Arial"/>
        <w:b/>
        <w:sz w:val="22"/>
        <w:szCs w:val="22"/>
      </w:rPr>
    </w:pPr>
    <w:r>
      <w:rPr>
        <w:rFonts w:ascii="Arial" w:hAnsi="Arial"/>
        <w:b/>
        <w:sz w:val="22"/>
      </w:rPr>
      <w:t xml:space="preserve">Original : </w:t>
    </w:r>
    <w:r w:rsidR="009A2498">
      <w:rPr>
        <w:rFonts w:ascii="Arial" w:hAnsi="Arial"/>
        <w:b/>
        <w:sz w:val="22"/>
      </w:rPr>
      <w:t>a</w:t>
    </w:r>
    <w:r>
      <w:rPr>
        <w:rFonts w:ascii="Arial" w:hAnsi="Arial"/>
        <w:b/>
        <w:sz w:val="22"/>
      </w:rPr>
      <w:t>nglais</w:t>
    </w:r>
  </w:p>
  <w:p w14:paraId="586FA69A" w14:textId="77777777" w:rsidR="00EC42DA" w:rsidRPr="00B643E3" w:rsidRDefault="00EC42DA" w:rsidP="00EC42DA">
    <w:pPr>
      <w:spacing w:after="120"/>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D6C"/>
    <w:multiLevelType w:val="hybridMultilevel"/>
    <w:tmpl w:val="36E8BAE6"/>
    <w:lvl w:ilvl="0" w:tplc="86E44D4E">
      <w:start w:val="1"/>
      <w:numFmt w:val="decimal"/>
      <w:lvlText w:val="%1."/>
      <w:lvlJc w:val="left"/>
      <w:pPr>
        <w:ind w:left="1280" w:hanging="360"/>
      </w:pPr>
    </w:lvl>
    <w:lvl w:ilvl="1" w:tplc="02AE27A2">
      <w:start w:val="1"/>
      <w:numFmt w:val="decimal"/>
      <w:lvlText w:val="%2."/>
      <w:lvlJc w:val="left"/>
      <w:pPr>
        <w:ind w:left="1280" w:hanging="360"/>
      </w:pPr>
    </w:lvl>
    <w:lvl w:ilvl="2" w:tplc="CAEC6312">
      <w:start w:val="1"/>
      <w:numFmt w:val="decimal"/>
      <w:lvlText w:val="%3."/>
      <w:lvlJc w:val="left"/>
      <w:pPr>
        <w:ind w:left="1280" w:hanging="360"/>
      </w:pPr>
    </w:lvl>
    <w:lvl w:ilvl="3" w:tplc="2DEC2A0E">
      <w:start w:val="1"/>
      <w:numFmt w:val="decimal"/>
      <w:lvlText w:val="%4."/>
      <w:lvlJc w:val="left"/>
      <w:pPr>
        <w:ind w:left="1280" w:hanging="360"/>
      </w:pPr>
    </w:lvl>
    <w:lvl w:ilvl="4" w:tplc="AEEC06CC">
      <w:start w:val="1"/>
      <w:numFmt w:val="decimal"/>
      <w:lvlText w:val="%5."/>
      <w:lvlJc w:val="left"/>
      <w:pPr>
        <w:ind w:left="1280" w:hanging="360"/>
      </w:pPr>
    </w:lvl>
    <w:lvl w:ilvl="5" w:tplc="1AE886EA">
      <w:start w:val="1"/>
      <w:numFmt w:val="decimal"/>
      <w:lvlText w:val="%6."/>
      <w:lvlJc w:val="left"/>
      <w:pPr>
        <w:ind w:left="1280" w:hanging="360"/>
      </w:pPr>
    </w:lvl>
    <w:lvl w:ilvl="6" w:tplc="4CA4856A">
      <w:start w:val="1"/>
      <w:numFmt w:val="decimal"/>
      <w:lvlText w:val="%7."/>
      <w:lvlJc w:val="left"/>
      <w:pPr>
        <w:ind w:left="1280" w:hanging="360"/>
      </w:pPr>
    </w:lvl>
    <w:lvl w:ilvl="7" w:tplc="A10602A2">
      <w:start w:val="1"/>
      <w:numFmt w:val="decimal"/>
      <w:lvlText w:val="%8."/>
      <w:lvlJc w:val="left"/>
      <w:pPr>
        <w:ind w:left="1280" w:hanging="360"/>
      </w:pPr>
    </w:lvl>
    <w:lvl w:ilvl="8" w:tplc="54581C4E">
      <w:start w:val="1"/>
      <w:numFmt w:val="decimal"/>
      <w:lvlText w:val="%9."/>
      <w:lvlJc w:val="left"/>
      <w:pPr>
        <w:ind w:left="1280" w:hanging="360"/>
      </w:pPr>
    </w:lvl>
  </w:abstractNum>
  <w:abstractNum w:abstractNumId="1" w15:restartNumberingAfterBreak="0">
    <w:nsid w:val="053C09A7"/>
    <w:multiLevelType w:val="multilevel"/>
    <w:tmpl w:val="3CC22758"/>
    <w:lvl w:ilvl="0">
      <w:start w:val="5"/>
      <w:numFmt w:val="decimal"/>
      <w:lvlText w:val="%1."/>
      <w:lvlJc w:val="left"/>
      <w:pPr>
        <w:ind w:left="643" w:hanging="360"/>
      </w:pPr>
      <w:rPr>
        <w:rFonts w:hint="default"/>
        <w:lang w:val="en-GB"/>
      </w:rPr>
    </w:lvl>
    <w:lvl w:ilvl="1">
      <w:start w:val="1"/>
      <w:numFmt w:val="bullet"/>
      <w:lvlText w:val="●"/>
      <w:lvlJc w:val="left"/>
      <w:pPr>
        <w:ind w:left="1363" w:hanging="360"/>
      </w:pPr>
      <w:rPr>
        <w:rFonts w:ascii="Noto Sans Symbols" w:eastAsia="Noto Sans Symbols" w:hAnsi="Noto Sans Symbols" w:cs="Noto Sans Symbol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 w15:restartNumberingAfterBreak="0">
    <w:nsid w:val="077D6B03"/>
    <w:multiLevelType w:val="hybridMultilevel"/>
    <w:tmpl w:val="1A94EBA2"/>
    <w:lvl w:ilvl="0" w:tplc="40101484">
      <w:start w:val="1"/>
      <w:numFmt w:val="decimal"/>
      <w:lvlText w:val="%1."/>
      <w:lvlJc w:val="left"/>
      <w:pPr>
        <w:ind w:left="720" w:hanging="360"/>
      </w:pPr>
      <w:rPr>
        <w:rFonts w:ascii="Arial" w:eastAsia="Times New Roman" w:hAnsi="Arial" w:cs="Arial"/>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433C6"/>
    <w:multiLevelType w:val="hybridMultilevel"/>
    <w:tmpl w:val="E2AEEC7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B00FB0"/>
    <w:multiLevelType w:val="hybridMultilevel"/>
    <w:tmpl w:val="2AE02A30"/>
    <w:lvl w:ilvl="0" w:tplc="CA281430">
      <w:start w:val="1"/>
      <w:numFmt w:val="decimal"/>
      <w:lvlText w:val="%1."/>
      <w:lvlJc w:val="left"/>
      <w:pPr>
        <w:ind w:left="720" w:hanging="360"/>
      </w:pPr>
    </w:lvl>
    <w:lvl w:ilvl="1" w:tplc="EF44C924">
      <w:start w:val="1"/>
      <w:numFmt w:val="decimal"/>
      <w:lvlText w:val="%2."/>
      <w:lvlJc w:val="left"/>
      <w:pPr>
        <w:ind w:left="720" w:hanging="360"/>
      </w:pPr>
    </w:lvl>
    <w:lvl w:ilvl="2" w:tplc="1BB0B1A6">
      <w:start w:val="1"/>
      <w:numFmt w:val="decimal"/>
      <w:lvlText w:val="%3."/>
      <w:lvlJc w:val="left"/>
      <w:pPr>
        <w:ind w:left="720" w:hanging="360"/>
      </w:pPr>
    </w:lvl>
    <w:lvl w:ilvl="3" w:tplc="BA0C153E">
      <w:start w:val="1"/>
      <w:numFmt w:val="decimal"/>
      <w:lvlText w:val="%4."/>
      <w:lvlJc w:val="left"/>
      <w:pPr>
        <w:ind w:left="720" w:hanging="360"/>
      </w:pPr>
    </w:lvl>
    <w:lvl w:ilvl="4" w:tplc="559E1218">
      <w:start w:val="1"/>
      <w:numFmt w:val="decimal"/>
      <w:lvlText w:val="%5."/>
      <w:lvlJc w:val="left"/>
      <w:pPr>
        <w:ind w:left="720" w:hanging="360"/>
      </w:pPr>
    </w:lvl>
    <w:lvl w:ilvl="5" w:tplc="75165112">
      <w:start w:val="1"/>
      <w:numFmt w:val="decimal"/>
      <w:lvlText w:val="%6."/>
      <w:lvlJc w:val="left"/>
      <w:pPr>
        <w:ind w:left="720" w:hanging="360"/>
      </w:pPr>
    </w:lvl>
    <w:lvl w:ilvl="6" w:tplc="9F1A38C4">
      <w:start w:val="1"/>
      <w:numFmt w:val="decimal"/>
      <w:lvlText w:val="%7."/>
      <w:lvlJc w:val="left"/>
      <w:pPr>
        <w:ind w:left="720" w:hanging="360"/>
      </w:pPr>
    </w:lvl>
    <w:lvl w:ilvl="7" w:tplc="1772F2EA">
      <w:start w:val="1"/>
      <w:numFmt w:val="decimal"/>
      <w:lvlText w:val="%8."/>
      <w:lvlJc w:val="left"/>
      <w:pPr>
        <w:ind w:left="720" w:hanging="360"/>
      </w:pPr>
    </w:lvl>
    <w:lvl w:ilvl="8" w:tplc="8772A61A">
      <w:start w:val="1"/>
      <w:numFmt w:val="decimal"/>
      <w:lvlText w:val="%9."/>
      <w:lvlJc w:val="left"/>
      <w:pPr>
        <w:ind w:left="720" w:hanging="360"/>
      </w:pPr>
    </w:lvl>
  </w:abstractNum>
  <w:abstractNum w:abstractNumId="5"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1400733"/>
    <w:multiLevelType w:val="multilevel"/>
    <w:tmpl w:val="CF64E110"/>
    <w:lvl w:ilvl="0">
      <w:start w:val="1"/>
      <w:numFmt w:val="lowerRoman"/>
      <w:lvlText w:val="%1."/>
      <w:lvlJc w:val="righ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15:restartNumberingAfterBreak="0">
    <w:nsid w:val="19854ACB"/>
    <w:multiLevelType w:val="hybridMultilevel"/>
    <w:tmpl w:val="0286194C"/>
    <w:lvl w:ilvl="0" w:tplc="CAE8E3C4">
      <w:start w:val="1"/>
      <w:numFmt w:val="decimal"/>
      <w:lvlText w:val="%1."/>
      <w:lvlJc w:val="left"/>
      <w:pPr>
        <w:ind w:left="720" w:hanging="360"/>
      </w:pPr>
    </w:lvl>
    <w:lvl w:ilvl="1" w:tplc="756AD612">
      <w:start w:val="1"/>
      <w:numFmt w:val="decimal"/>
      <w:lvlText w:val="%2."/>
      <w:lvlJc w:val="left"/>
      <w:pPr>
        <w:ind w:left="720" w:hanging="360"/>
      </w:pPr>
    </w:lvl>
    <w:lvl w:ilvl="2" w:tplc="E6DE8A6A">
      <w:start w:val="1"/>
      <w:numFmt w:val="decimal"/>
      <w:lvlText w:val="%3."/>
      <w:lvlJc w:val="left"/>
      <w:pPr>
        <w:ind w:left="720" w:hanging="360"/>
      </w:pPr>
    </w:lvl>
    <w:lvl w:ilvl="3" w:tplc="80BAF112">
      <w:start w:val="1"/>
      <w:numFmt w:val="decimal"/>
      <w:lvlText w:val="%4."/>
      <w:lvlJc w:val="left"/>
      <w:pPr>
        <w:ind w:left="720" w:hanging="360"/>
      </w:pPr>
    </w:lvl>
    <w:lvl w:ilvl="4" w:tplc="FBCA34A2">
      <w:start w:val="1"/>
      <w:numFmt w:val="decimal"/>
      <w:lvlText w:val="%5."/>
      <w:lvlJc w:val="left"/>
      <w:pPr>
        <w:ind w:left="720" w:hanging="360"/>
      </w:pPr>
    </w:lvl>
    <w:lvl w:ilvl="5" w:tplc="BC3A828C">
      <w:start w:val="1"/>
      <w:numFmt w:val="decimal"/>
      <w:lvlText w:val="%6."/>
      <w:lvlJc w:val="left"/>
      <w:pPr>
        <w:ind w:left="720" w:hanging="360"/>
      </w:pPr>
    </w:lvl>
    <w:lvl w:ilvl="6" w:tplc="A65490C0">
      <w:start w:val="1"/>
      <w:numFmt w:val="decimal"/>
      <w:lvlText w:val="%7."/>
      <w:lvlJc w:val="left"/>
      <w:pPr>
        <w:ind w:left="720" w:hanging="360"/>
      </w:pPr>
    </w:lvl>
    <w:lvl w:ilvl="7" w:tplc="7B2E0EB4">
      <w:start w:val="1"/>
      <w:numFmt w:val="decimal"/>
      <w:lvlText w:val="%8."/>
      <w:lvlJc w:val="left"/>
      <w:pPr>
        <w:ind w:left="720" w:hanging="360"/>
      </w:pPr>
    </w:lvl>
    <w:lvl w:ilvl="8" w:tplc="57667AAE">
      <w:start w:val="1"/>
      <w:numFmt w:val="decimal"/>
      <w:lvlText w:val="%9."/>
      <w:lvlJc w:val="left"/>
      <w:pPr>
        <w:ind w:left="720" w:hanging="360"/>
      </w:pPr>
    </w:lvl>
  </w:abstractNum>
  <w:abstractNum w:abstractNumId="8" w15:restartNumberingAfterBreak="0">
    <w:nsid w:val="19866766"/>
    <w:multiLevelType w:val="hybridMultilevel"/>
    <w:tmpl w:val="9E1867C6"/>
    <w:lvl w:ilvl="0" w:tplc="F8F4423E">
      <w:start w:val="1"/>
      <w:numFmt w:val="lowerLetter"/>
      <w:lvlText w:val="%1."/>
      <w:lvlJc w:val="left"/>
      <w:pPr>
        <w:ind w:left="1421" w:hanging="520"/>
      </w:pPr>
      <w:rPr>
        <w:rFonts w:hint="default"/>
        <w:b/>
      </w:rPr>
    </w:lvl>
    <w:lvl w:ilvl="1" w:tplc="040C0019" w:tentative="1">
      <w:start w:val="1"/>
      <w:numFmt w:val="lowerLetter"/>
      <w:lvlText w:val="%2."/>
      <w:lvlJc w:val="left"/>
      <w:pPr>
        <w:ind w:left="1981" w:hanging="360"/>
      </w:pPr>
    </w:lvl>
    <w:lvl w:ilvl="2" w:tplc="040C001B" w:tentative="1">
      <w:start w:val="1"/>
      <w:numFmt w:val="lowerRoman"/>
      <w:lvlText w:val="%3."/>
      <w:lvlJc w:val="right"/>
      <w:pPr>
        <w:ind w:left="2701" w:hanging="180"/>
      </w:pPr>
    </w:lvl>
    <w:lvl w:ilvl="3" w:tplc="040C000F" w:tentative="1">
      <w:start w:val="1"/>
      <w:numFmt w:val="decimal"/>
      <w:lvlText w:val="%4."/>
      <w:lvlJc w:val="left"/>
      <w:pPr>
        <w:ind w:left="3421" w:hanging="360"/>
      </w:pPr>
    </w:lvl>
    <w:lvl w:ilvl="4" w:tplc="040C0019" w:tentative="1">
      <w:start w:val="1"/>
      <w:numFmt w:val="lowerLetter"/>
      <w:lvlText w:val="%5."/>
      <w:lvlJc w:val="left"/>
      <w:pPr>
        <w:ind w:left="4141" w:hanging="360"/>
      </w:pPr>
    </w:lvl>
    <w:lvl w:ilvl="5" w:tplc="040C001B" w:tentative="1">
      <w:start w:val="1"/>
      <w:numFmt w:val="lowerRoman"/>
      <w:lvlText w:val="%6."/>
      <w:lvlJc w:val="right"/>
      <w:pPr>
        <w:ind w:left="4861" w:hanging="180"/>
      </w:pPr>
    </w:lvl>
    <w:lvl w:ilvl="6" w:tplc="040C000F" w:tentative="1">
      <w:start w:val="1"/>
      <w:numFmt w:val="decimal"/>
      <w:lvlText w:val="%7."/>
      <w:lvlJc w:val="left"/>
      <w:pPr>
        <w:ind w:left="5581" w:hanging="360"/>
      </w:pPr>
    </w:lvl>
    <w:lvl w:ilvl="7" w:tplc="040C0019" w:tentative="1">
      <w:start w:val="1"/>
      <w:numFmt w:val="lowerLetter"/>
      <w:lvlText w:val="%8."/>
      <w:lvlJc w:val="left"/>
      <w:pPr>
        <w:ind w:left="6301" w:hanging="360"/>
      </w:pPr>
    </w:lvl>
    <w:lvl w:ilvl="8" w:tplc="040C001B" w:tentative="1">
      <w:start w:val="1"/>
      <w:numFmt w:val="lowerRoman"/>
      <w:lvlText w:val="%9."/>
      <w:lvlJc w:val="right"/>
      <w:pPr>
        <w:ind w:left="7021" w:hanging="180"/>
      </w:pPr>
    </w:lvl>
  </w:abstractNum>
  <w:abstractNum w:abstractNumId="9" w15:restartNumberingAfterBreak="0">
    <w:nsid w:val="240B74C7"/>
    <w:multiLevelType w:val="hybridMultilevel"/>
    <w:tmpl w:val="BC6AA45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A000153"/>
    <w:multiLevelType w:val="hybridMultilevel"/>
    <w:tmpl w:val="0DAE5054"/>
    <w:lvl w:ilvl="0" w:tplc="F98040B0">
      <w:start w:val="1"/>
      <w:numFmt w:val="decimal"/>
      <w:lvlText w:val="%1."/>
      <w:lvlJc w:val="left"/>
      <w:pPr>
        <w:ind w:left="1280" w:hanging="360"/>
      </w:pPr>
    </w:lvl>
    <w:lvl w:ilvl="1" w:tplc="17601FE6">
      <w:start w:val="1"/>
      <w:numFmt w:val="decimal"/>
      <w:lvlText w:val="%2."/>
      <w:lvlJc w:val="left"/>
      <w:pPr>
        <w:ind w:left="1280" w:hanging="360"/>
      </w:pPr>
    </w:lvl>
    <w:lvl w:ilvl="2" w:tplc="0D80341A">
      <w:start w:val="1"/>
      <w:numFmt w:val="decimal"/>
      <w:lvlText w:val="%3."/>
      <w:lvlJc w:val="left"/>
      <w:pPr>
        <w:ind w:left="1280" w:hanging="360"/>
      </w:pPr>
    </w:lvl>
    <w:lvl w:ilvl="3" w:tplc="37B232C8">
      <w:start w:val="1"/>
      <w:numFmt w:val="decimal"/>
      <w:lvlText w:val="%4."/>
      <w:lvlJc w:val="left"/>
      <w:pPr>
        <w:ind w:left="1280" w:hanging="360"/>
      </w:pPr>
    </w:lvl>
    <w:lvl w:ilvl="4" w:tplc="90245B40">
      <w:start w:val="1"/>
      <w:numFmt w:val="decimal"/>
      <w:lvlText w:val="%5."/>
      <w:lvlJc w:val="left"/>
      <w:pPr>
        <w:ind w:left="1280" w:hanging="360"/>
      </w:pPr>
    </w:lvl>
    <w:lvl w:ilvl="5" w:tplc="29E80CAC">
      <w:start w:val="1"/>
      <w:numFmt w:val="decimal"/>
      <w:lvlText w:val="%6."/>
      <w:lvlJc w:val="left"/>
      <w:pPr>
        <w:ind w:left="1280" w:hanging="360"/>
      </w:pPr>
    </w:lvl>
    <w:lvl w:ilvl="6" w:tplc="9CBEC36E">
      <w:start w:val="1"/>
      <w:numFmt w:val="decimal"/>
      <w:lvlText w:val="%7."/>
      <w:lvlJc w:val="left"/>
      <w:pPr>
        <w:ind w:left="1280" w:hanging="360"/>
      </w:pPr>
    </w:lvl>
    <w:lvl w:ilvl="7" w:tplc="0A3281F2">
      <w:start w:val="1"/>
      <w:numFmt w:val="decimal"/>
      <w:lvlText w:val="%8."/>
      <w:lvlJc w:val="left"/>
      <w:pPr>
        <w:ind w:left="1280" w:hanging="360"/>
      </w:pPr>
    </w:lvl>
    <w:lvl w:ilvl="8" w:tplc="C2B08518">
      <w:start w:val="1"/>
      <w:numFmt w:val="decimal"/>
      <w:lvlText w:val="%9."/>
      <w:lvlJc w:val="left"/>
      <w:pPr>
        <w:ind w:left="1280" w:hanging="360"/>
      </w:pPr>
    </w:lvl>
  </w:abstractNum>
  <w:abstractNum w:abstractNumId="11" w15:restartNumberingAfterBreak="0">
    <w:nsid w:val="2A6F1FAC"/>
    <w:multiLevelType w:val="hybridMultilevel"/>
    <w:tmpl w:val="A3D6B1FC"/>
    <w:lvl w:ilvl="0" w:tplc="C14CF8F2">
      <w:start w:val="1"/>
      <w:numFmt w:val="decimal"/>
      <w:lvlText w:val="%1."/>
      <w:lvlJc w:val="left"/>
      <w:pPr>
        <w:ind w:left="1280" w:hanging="360"/>
      </w:pPr>
    </w:lvl>
    <w:lvl w:ilvl="1" w:tplc="EFC87F96">
      <w:start w:val="1"/>
      <w:numFmt w:val="decimal"/>
      <w:lvlText w:val="%2."/>
      <w:lvlJc w:val="left"/>
      <w:pPr>
        <w:ind w:left="1280" w:hanging="360"/>
      </w:pPr>
    </w:lvl>
    <w:lvl w:ilvl="2" w:tplc="0472DCF0">
      <w:start w:val="1"/>
      <w:numFmt w:val="decimal"/>
      <w:lvlText w:val="%3."/>
      <w:lvlJc w:val="left"/>
      <w:pPr>
        <w:ind w:left="1280" w:hanging="360"/>
      </w:pPr>
    </w:lvl>
    <w:lvl w:ilvl="3" w:tplc="905ED2C6">
      <w:start w:val="1"/>
      <w:numFmt w:val="decimal"/>
      <w:lvlText w:val="%4."/>
      <w:lvlJc w:val="left"/>
      <w:pPr>
        <w:ind w:left="1280" w:hanging="360"/>
      </w:pPr>
    </w:lvl>
    <w:lvl w:ilvl="4" w:tplc="6DAA7BE0">
      <w:start w:val="1"/>
      <w:numFmt w:val="decimal"/>
      <w:lvlText w:val="%5."/>
      <w:lvlJc w:val="left"/>
      <w:pPr>
        <w:ind w:left="1280" w:hanging="360"/>
      </w:pPr>
    </w:lvl>
    <w:lvl w:ilvl="5" w:tplc="D6A2BD64">
      <w:start w:val="1"/>
      <w:numFmt w:val="decimal"/>
      <w:lvlText w:val="%6."/>
      <w:lvlJc w:val="left"/>
      <w:pPr>
        <w:ind w:left="1280" w:hanging="360"/>
      </w:pPr>
    </w:lvl>
    <w:lvl w:ilvl="6" w:tplc="15362F94">
      <w:start w:val="1"/>
      <w:numFmt w:val="decimal"/>
      <w:lvlText w:val="%7."/>
      <w:lvlJc w:val="left"/>
      <w:pPr>
        <w:ind w:left="1280" w:hanging="360"/>
      </w:pPr>
    </w:lvl>
    <w:lvl w:ilvl="7" w:tplc="BF28161A">
      <w:start w:val="1"/>
      <w:numFmt w:val="decimal"/>
      <w:lvlText w:val="%8."/>
      <w:lvlJc w:val="left"/>
      <w:pPr>
        <w:ind w:left="1280" w:hanging="360"/>
      </w:pPr>
    </w:lvl>
    <w:lvl w:ilvl="8" w:tplc="23C47A02">
      <w:start w:val="1"/>
      <w:numFmt w:val="decimal"/>
      <w:lvlText w:val="%9."/>
      <w:lvlJc w:val="left"/>
      <w:pPr>
        <w:ind w:left="1280" w:hanging="360"/>
      </w:pPr>
    </w:lvl>
  </w:abstractNum>
  <w:abstractNum w:abstractNumId="12" w15:restartNumberingAfterBreak="0">
    <w:nsid w:val="310D791D"/>
    <w:multiLevelType w:val="hybridMultilevel"/>
    <w:tmpl w:val="BD3C502A"/>
    <w:lvl w:ilvl="0" w:tplc="4C2A3932">
      <w:start w:val="1"/>
      <w:numFmt w:val="decimal"/>
      <w:lvlText w:val="%1."/>
      <w:lvlJc w:val="left"/>
      <w:pPr>
        <w:ind w:left="720" w:hanging="360"/>
      </w:pPr>
      <w:rPr>
        <w:rFonts w:asciiTheme="minorBidi" w:hAnsiTheme="minorBid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F07BFE"/>
    <w:multiLevelType w:val="hybridMultilevel"/>
    <w:tmpl w:val="A962C676"/>
    <w:lvl w:ilvl="0" w:tplc="5778242E">
      <w:start w:val="1"/>
      <w:numFmt w:val="decimal"/>
      <w:lvlText w:val="%1."/>
      <w:lvlJc w:val="left"/>
      <w:pPr>
        <w:ind w:left="7740" w:hanging="360"/>
      </w:pPr>
      <w:rPr>
        <w:b w:val="0"/>
        <w:bCs w:val="0"/>
      </w:rPr>
    </w:lvl>
    <w:lvl w:ilvl="1" w:tplc="04090001">
      <w:start w:val="1"/>
      <w:numFmt w:val="bullet"/>
      <w:lvlText w:val=""/>
      <w:lvlJc w:val="left"/>
      <w:pPr>
        <w:ind w:left="8460" w:hanging="360"/>
      </w:pPr>
      <w:rPr>
        <w:rFonts w:ascii="Symbol" w:hAnsi="Symbol" w:hint="default"/>
      </w:rPr>
    </w:lvl>
    <w:lvl w:ilvl="2" w:tplc="040C001B">
      <w:start w:val="1"/>
      <w:numFmt w:val="lowerRoman"/>
      <w:lvlText w:val="%3."/>
      <w:lvlJc w:val="right"/>
      <w:pPr>
        <w:ind w:left="9180" w:hanging="180"/>
      </w:pPr>
    </w:lvl>
    <w:lvl w:ilvl="3" w:tplc="040C000F">
      <w:start w:val="1"/>
      <w:numFmt w:val="decimal"/>
      <w:lvlText w:val="%4."/>
      <w:lvlJc w:val="left"/>
      <w:pPr>
        <w:ind w:left="9900" w:hanging="360"/>
      </w:pPr>
    </w:lvl>
    <w:lvl w:ilvl="4" w:tplc="040C0019" w:tentative="1">
      <w:start w:val="1"/>
      <w:numFmt w:val="lowerLetter"/>
      <w:lvlText w:val="%5."/>
      <w:lvlJc w:val="left"/>
      <w:pPr>
        <w:ind w:left="10620" w:hanging="360"/>
      </w:pPr>
    </w:lvl>
    <w:lvl w:ilvl="5" w:tplc="040C001B" w:tentative="1">
      <w:start w:val="1"/>
      <w:numFmt w:val="lowerRoman"/>
      <w:lvlText w:val="%6."/>
      <w:lvlJc w:val="right"/>
      <w:pPr>
        <w:ind w:left="11340" w:hanging="180"/>
      </w:pPr>
    </w:lvl>
    <w:lvl w:ilvl="6" w:tplc="040C000F" w:tentative="1">
      <w:start w:val="1"/>
      <w:numFmt w:val="decimal"/>
      <w:lvlText w:val="%7."/>
      <w:lvlJc w:val="left"/>
      <w:pPr>
        <w:ind w:left="12060" w:hanging="360"/>
      </w:pPr>
    </w:lvl>
    <w:lvl w:ilvl="7" w:tplc="040C0019" w:tentative="1">
      <w:start w:val="1"/>
      <w:numFmt w:val="lowerLetter"/>
      <w:lvlText w:val="%8."/>
      <w:lvlJc w:val="left"/>
      <w:pPr>
        <w:ind w:left="12780" w:hanging="360"/>
      </w:pPr>
    </w:lvl>
    <w:lvl w:ilvl="8" w:tplc="040C001B" w:tentative="1">
      <w:start w:val="1"/>
      <w:numFmt w:val="lowerRoman"/>
      <w:lvlText w:val="%9."/>
      <w:lvlJc w:val="right"/>
      <w:pPr>
        <w:ind w:left="13500" w:hanging="180"/>
      </w:pPr>
    </w:lvl>
  </w:abstractNum>
  <w:abstractNum w:abstractNumId="14" w15:restartNumberingAfterBreak="0">
    <w:nsid w:val="363F5116"/>
    <w:multiLevelType w:val="hybridMultilevel"/>
    <w:tmpl w:val="0A1C1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3AC30BD2"/>
    <w:multiLevelType w:val="hybridMultilevel"/>
    <w:tmpl w:val="90A6C2D6"/>
    <w:lvl w:ilvl="0" w:tplc="0B900900">
      <w:start w:val="1"/>
      <w:numFmt w:val="upperLetter"/>
      <w:pStyle w:val="Heading4"/>
      <w:lvlText w:val="%1."/>
      <w:lvlJc w:val="right"/>
      <w:pPr>
        <w:ind w:left="720" w:hanging="360"/>
      </w:pPr>
      <w:rPr>
        <w:rFonts w:ascii="Arial" w:eastAsia="Times New Roman" w:hAnsi="Arial" w:cs="Arial"/>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ADE2037"/>
    <w:multiLevelType w:val="hybridMultilevel"/>
    <w:tmpl w:val="505EAFCC"/>
    <w:lvl w:ilvl="0" w:tplc="D7660F2A">
      <w:start w:val="1"/>
      <w:numFmt w:val="decimal"/>
      <w:lvlText w:val="%1."/>
      <w:lvlJc w:val="left"/>
      <w:pPr>
        <w:ind w:left="1280" w:hanging="360"/>
      </w:pPr>
    </w:lvl>
    <w:lvl w:ilvl="1" w:tplc="28D83F24">
      <w:start w:val="1"/>
      <w:numFmt w:val="decimal"/>
      <w:lvlText w:val="%2."/>
      <w:lvlJc w:val="left"/>
      <w:pPr>
        <w:ind w:left="1280" w:hanging="360"/>
      </w:pPr>
    </w:lvl>
    <w:lvl w:ilvl="2" w:tplc="98EC0D94">
      <w:start w:val="1"/>
      <w:numFmt w:val="decimal"/>
      <w:lvlText w:val="%3."/>
      <w:lvlJc w:val="left"/>
      <w:pPr>
        <w:ind w:left="1280" w:hanging="360"/>
      </w:pPr>
    </w:lvl>
    <w:lvl w:ilvl="3" w:tplc="473641BC">
      <w:start w:val="1"/>
      <w:numFmt w:val="decimal"/>
      <w:lvlText w:val="%4."/>
      <w:lvlJc w:val="left"/>
      <w:pPr>
        <w:ind w:left="1280" w:hanging="360"/>
      </w:pPr>
    </w:lvl>
    <w:lvl w:ilvl="4" w:tplc="4F9A59BC">
      <w:start w:val="1"/>
      <w:numFmt w:val="decimal"/>
      <w:lvlText w:val="%5."/>
      <w:lvlJc w:val="left"/>
      <w:pPr>
        <w:ind w:left="1280" w:hanging="360"/>
      </w:pPr>
    </w:lvl>
    <w:lvl w:ilvl="5" w:tplc="DAAC8D64">
      <w:start w:val="1"/>
      <w:numFmt w:val="decimal"/>
      <w:lvlText w:val="%6."/>
      <w:lvlJc w:val="left"/>
      <w:pPr>
        <w:ind w:left="1280" w:hanging="360"/>
      </w:pPr>
    </w:lvl>
    <w:lvl w:ilvl="6" w:tplc="D3DA099C">
      <w:start w:val="1"/>
      <w:numFmt w:val="decimal"/>
      <w:lvlText w:val="%7."/>
      <w:lvlJc w:val="left"/>
      <w:pPr>
        <w:ind w:left="1280" w:hanging="360"/>
      </w:pPr>
    </w:lvl>
    <w:lvl w:ilvl="7" w:tplc="0602B984">
      <w:start w:val="1"/>
      <w:numFmt w:val="decimal"/>
      <w:lvlText w:val="%8."/>
      <w:lvlJc w:val="left"/>
      <w:pPr>
        <w:ind w:left="1280" w:hanging="360"/>
      </w:pPr>
    </w:lvl>
    <w:lvl w:ilvl="8" w:tplc="7AEAC46A">
      <w:start w:val="1"/>
      <w:numFmt w:val="decimal"/>
      <w:lvlText w:val="%9."/>
      <w:lvlJc w:val="left"/>
      <w:pPr>
        <w:ind w:left="1280" w:hanging="360"/>
      </w:pPr>
    </w:lvl>
  </w:abstractNum>
  <w:abstractNum w:abstractNumId="18" w15:restartNumberingAfterBreak="0">
    <w:nsid w:val="3B492D3C"/>
    <w:multiLevelType w:val="hybridMultilevel"/>
    <w:tmpl w:val="306873B8"/>
    <w:lvl w:ilvl="0" w:tplc="FDEE25A2">
      <w:start w:val="1"/>
      <w:numFmt w:val="decimal"/>
      <w:lvlText w:val="%1."/>
      <w:lvlJc w:val="left"/>
      <w:pPr>
        <w:ind w:left="720" w:hanging="360"/>
      </w:pPr>
    </w:lvl>
    <w:lvl w:ilvl="1" w:tplc="0928AB36">
      <w:start w:val="1"/>
      <w:numFmt w:val="decimal"/>
      <w:lvlText w:val="%2."/>
      <w:lvlJc w:val="left"/>
      <w:pPr>
        <w:ind w:left="720" w:hanging="360"/>
      </w:pPr>
    </w:lvl>
    <w:lvl w:ilvl="2" w:tplc="E61090DA">
      <w:start w:val="1"/>
      <w:numFmt w:val="decimal"/>
      <w:lvlText w:val="%3."/>
      <w:lvlJc w:val="left"/>
      <w:pPr>
        <w:ind w:left="720" w:hanging="360"/>
      </w:pPr>
    </w:lvl>
    <w:lvl w:ilvl="3" w:tplc="756AD278">
      <w:start w:val="1"/>
      <w:numFmt w:val="decimal"/>
      <w:lvlText w:val="%4."/>
      <w:lvlJc w:val="left"/>
      <w:pPr>
        <w:ind w:left="720" w:hanging="360"/>
      </w:pPr>
    </w:lvl>
    <w:lvl w:ilvl="4" w:tplc="BF3E50E6">
      <w:start w:val="1"/>
      <w:numFmt w:val="decimal"/>
      <w:lvlText w:val="%5."/>
      <w:lvlJc w:val="left"/>
      <w:pPr>
        <w:ind w:left="720" w:hanging="360"/>
      </w:pPr>
    </w:lvl>
    <w:lvl w:ilvl="5" w:tplc="E01C2594">
      <w:start w:val="1"/>
      <w:numFmt w:val="decimal"/>
      <w:lvlText w:val="%6."/>
      <w:lvlJc w:val="left"/>
      <w:pPr>
        <w:ind w:left="720" w:hanging="360"/>
      </w:pPr>
    </w:lvl>
    <w:lvl w:ilvl="6" w:tplc="17F67B48">
      <w:start w:val="1"/>
      <w:numFmt w:val="decimal"/>
      <w:lvlText w:val="%7."/>
      <w:lvlJc w:val="left"/>
      <w:pPr>
        <w:ind w:left="720" w:hanging="360"/>
      </w:pPr>
    </w:lvl>
    <w:lvl w:ilvl="7" w:tplc="FA30A676">
      <w:start w:val="1"/>
      <w:numFmt w:val="decimal"/>
      <w:lvlText w:val="%8."/>
      <w:lvlJc w:val="left"/>
      <w:pPr>
        <w:ind w:left="720" w:hanging="360"/>
      </w:pPr>
    </w:lvl>
    <w:lvl w:ilvl="8" w:tplc="9DB6E5DE">
      <w:start w:val="1"/>
      <w:numFmt w:val="decimal"/>
      <w:lvlText w:val="%9."/>
      <w:lvlJc w:val="left"/>
      <w:pPr>
        <w:ind w:left="720" w:hanging="360"/>
      </w:pPr>
    </w:lvl>
  </w:abstractNum>
  <w:abstractNum w:abstractNumId="19" w15:restartNumberingAfterBreak="0">
    <w:nsid w:val="3D216D24"/>
    <w:multiLevelType w:val="hybridMultilevel"/>
    <w:tmpl w:val="306032CC"/>
    <w:lvl w:ilvl="0" w:tplc="3738AD08">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D9124D4"/>
    <w:multiLevelType w:val="hybridMultilevel"/>
    <w:tmpl w:val="1B6455EC"/>
    <w:lvl w:ilvl="0" w:tplc="C7D487D2">
      <w:start w:val="1"/>
      <w:numFmt w:val="decimal"/>
      <w:lvlText w:val="%1."/>
      <w:lvlJc w:val="left"/>
      <w:pPr>
        <w:ind w:left="1280" w:hanging="360"/>
      </w:pPr>
    </w:lvl>
    <w:lvl w:ilvl="1" w:tplc="1A2C5842">
      <w:start w:val="1"/>
      <w:numFmt w:val="decimal"/>
      <w:lvlText w:val="%2."/>
      <w:lvlJc w:val="left"/>
      <w:pPr>
        <w:ind w:left="1280" w:hanging="360"/>
      </w:pPr>
    </w:lvl>
    <w:lvl w:ilvl="2" w:tplc="3D5A0E6C">
      <w:start w:val="1"/>
      <w:numFmt w:val="decimal"/>
      <w:lvlText w:val="%3."/>
      <w:lvlJc w:val="left"/>
      <w:pPr>
        <w:ind w:left="1280" w:hanging="360"/>
      </w:pPr>
    </w:lvl>
    <w:lvl w:ilvl="3" w:tplc="800253FE">
      <w:start w:val="1"/>
      <w:numFmt w:val="decimal"/>
      <w:lvlText w:val="%4."/>
      <w:lvlJc w:val="left"/>
      <w:pPr>
        <w:ind w:left="1280" w:hanging="360"/>
      </w:pPr>
    </w:lvl>
    <w:lvl w:ilvl="4" w:tplc="CE8E91EE">
      <w:start w:val="1"/>
      <w:numFmt w:val="decimal"/>
      <w:lvlText w:val="%5."/>
      <w:lvlJc w:val="left"/>
      <w:pPr>
        <w:ind w:left="1280" w:hanging="360"/>
      </w:pPr>
    </w:lvl>
    <w:lvl w:ilvl="5" w:tplc="D50CD688">
      <w:start w:val="1"/>
      <w:numFmt w:val="decimal"/>
      <w:lvlText w:val="%6."/>
      <w:lvlJc w:val="left"/>
      <w:pPr>
        <w:ind w:left="1280" w:hanging="360"/>
      </w:pPr>
    </w:lvl>
    <w:lvl w:ilvl="6" w:tplc="B8A07750">
      <w:start w:val="1"/>
      <w:numFmt w:val="decimal"/>
      <w:lvlText w:val="%7."/>
      <w:lvlJc w:val="left"/>
      <w:pPr>
        <w:ind w:left="1280" w:hanging="360"/>
      </w:pPr>
    </w:lvl>
    <w:lvl w:ilvl="7" w:tplc="D0D6484A">
      <w:start w:val="1"/>
      <w:numFmt w:val="decimal"/>
      <w:lvlText w:val="%8."/>
      <w:lvlJc w:val="left"/>
      <w:pPr>
        <w:ind w:left="1280" w:hanging="360"/>
      </w:pPr>
    </w:lvl>
    <w:lvl w:ilvl="8" w:tplc="92B4A83E">
      <w:start w:val="1"/>
      <w:numFmt w:val="decimal"/>
      <w:lvlText w:val="%9."/>
      <w:lvlJc w:val="left"/>
      <w:pPr>
        <w:ind w:left="1280" w:hanging="360"/>
      </w:pPr>
    </w:lvl>
  </w:abstractNum>
  <w:abstractNum w:abstractNumId="21" w15:restartNumberingAfterBreak="0">
    <w:nsid w:val="3FA60008"/>
    <w:multiLevelType w:val="hybridMultilevel"/>
    <w:tmpl w:val="D2800562"/>
    <w:lvl w:ilvl="0" w:tplc="BF9C5468">
      <w:start w:val="1"/>
      <w:numFmt w:val="upperLetter"/>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6638E8"/>
    <w:multiLevelType w:val="hybridMultilevel"/>
    <w:tmpl w:val="B934A180"/>
    <w:lvl w:ilvl="0" w:tplc="040C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29349AD"/>
    <w:multiLevelType w:val="hybridMultilevel"/>
    <w:tmpl w:val="91FC1E6E"/>
    <w:lvl w:ilvl="0" w:tplc="B17A3186">
      <w:start w:val="1"/>
      <w:numFmt w:val="decimal"/>
      <w:lvlText w:val="%1."/>
      <w:lvlJc w:val="left"/>
      <w:pPr>
        <w:ind w:left="720" w:hanging="360"/>
      </w:pPr>
    </w:lvl>
    <w:lvl w:ilvl="1" w:tplc="404E59B6">
      <w:start w:val="1"/>
      <w:numFmt w:val="decimal"/>
      <w:lvlText w:val="%2."/>
      <w:lvlJc w:val="left"/>
      <w:pPr>
        <w:ind w:left="720" w:hanging="360"/>
      </w:pPr>
    </w:lvl>
    <w:lvl w:ilvl="2" w:tplc="388808F0">
      <w:start w:val="1"/>
      <w:numFmt w:val="decimal"/>
      <w:lvlText w:val="%3."/>
      <w:lvlJc w:val="left"/>
      <w:pPr>
        <w:ind w:left="720" w:hanging="360"/>
      </w:pPr>
    </w:lvl>
    <w:lvl w:ilvl="3" w:tplc="56C89504">
      <w:start w:val="1"/>
      <w:numFmt w:val="decimal"/>
      <w:lvlText w:val="%4."/>
      <w:lvlJc w:val="left"/>
      <w:pPr>
        <w:ind w:left="720" w:hanging="360"/>
      </w:pPr>
    </w:lvl>
    <w:lvl w:ilvl="4" w:tplc="2EF6E88A">
      <w:start w:val="1"/>
      <w:numFmt w:val="decimal"/>
      <w:lvlText w:val="%5."/>
      <w:lvlJc w:val="left"/>
      <w:pPr>
        <w:ind w:left="720" w:hanging="360"/>
      </w:pPr>
    </w:lvl>
    <w:lvl w:ilvl="5" w:tplc="A23E8E64">
      <w:start w:val="1"/>
      <w:numFmt w:val="decimal"/>
      <w:lvlText w:val="%6."/>
      <w:lvlJc w:val="left"/>
      <w:pPr>
        <w:ind w:left="720" w:hanging="360"/>
      </w:pPr>
    </w:lvl>
    <w:lvl w:ilvl="6" w:tplc="0E9A66E6">
      <w:start w:val="1"/>
      <w:numFmt w:val="decimal"/>
      <w:lvlText w:val="%7."/>
      <w:lvlJc w:val="left"/>
      <w:pPr>
        <w:ind w:left="720" w:hanging="360"/>
      </w:pPr>
    </w:lvl>
    <w:lvl w:ilvl="7" w:tplc="F0E041B8">
      <w:start w:val="1"/>
      <w:numFmt w:val="decimal"/>
      <w:lvlText w:val="%8."/>
      <w:lvlJc w:val="left"/>
      <w:pPr>
        <w:ind w:left="720" w:hanging="360"/>
      </w:pPr>
    </w:lvl>
    <w:lvl w:ilvl="8" w:tplc="7FD8FC60">
      <w:start w:val="1"/>
      <w:numFmt w:val="decimal"/>
      <w:lvlText w:val="%9."/>
      <w:lvlJc w:val="left"/>
      <w:pPr>
        <w:ind w:left="720" w:hanging="360"/>
      </w:pPr>
    </w:lvl>
  </w:abstractNum>
  <w:abstractNum w:abstractNumId="24" w15:restartNumberingAfterBreak="0">
    <w:nsid w:val="442D2A85"/>
    <w:multiLevelType w:val="hybridMultilevel"/>
    <w:tmpl w:val="CFE65FC2"/>
    <w:lvl w:ilvl="0" w:tplc="E9F27264">
      <w:start w:val="1"/>
      <w:numFmt w:val="decimal"/>
      <w:lvlText w:val="%1."/>
      <w:lvlJc w:val="left"/>
      <w:pPr>
        <w:ind w:left="720" w:hanging="360"/>
      </w:pPr>
    </w:lvl>
    <w:lvl w:ilvl="1" w:tplc="FFA63AA0">
      <w:start w:val="1"/>
      <w:numFmt w:val="decimal"/>
      <w:lvlText w:val="%2."/>
      <w:lvlJc w:val="left"/>
      <w:pPr>
        <w:ind w:left="720" w:hanging="360"/>
      </w:pPr>
    </w:lvl>
    <w:lvl w:ilvl="2" w:tplc="6D9A46C8">
      <w:start w:val="1"/>
      <w:numFmt w:val="decimal"/>
      <w:lvlText w:val="%3."/>
      <w:lvlJc w:val="left"/>
      <w:pPr>
        <w:ind w:left="720" w:hanging="360"/>
      </w:pPr>
    </w:lvl>
    <w:lvl w:ilvl="3" w:tplc="F474BF54">
      <w:start w:val="1"/>
      <w:numFmt w:val="decimal"/>
      <w:lvlText w:val="%4."/>
      <w:lvlJc w:val="left"/>
      <w:pPr>
        <w:ind w:left="720" w:hanging="360"/>
      </w:pPr>
    </w:lvl>
    <w:lvl w:ilvl="4" w:tplc="ABA0AD08">
      <w:start w:val="1"/>
      <w:numFmt w:val="decimal"/>
      <w:lvlText w:val="%5."/>
      <w:lvlJc w:val="left"/>
      <w:pPr>
        <w:ind w:left="720" w:hanging="360"/>
      </w:pPr>
    </w:lvl>
    <w:lvl w:ilvl="5" w:tplc="7DC440E0">
      <w:start w:val="1"/>
      <w:numFmt w:val="decimal"/>
      <w:lvlText w:val="%6."/>
      <w:lvlJc w:val="left"/>
      <w:pPr>
        <w:ind w:left="720" w:hanging="360"/>
      </w:pPr>
    </w:lvl>
    <w:lvl w:ilvl="6" w:tplc="3F422580">
      <w:start w:val="1"/>
      <w:numFmt w:val="decimal"/>
      <w:lvlText w:val="%7."/>
      <w:lvlJc w:val="left"/>
      <w:pPr>
        <w:ind w:left="720" w:hanging="360"/>
      </w:pPr>
    </w:lvl>
    <w:lvl w:ilvl="7" w:tplc="0366B570">
      <w:start w:val="1"/>
      <w:numFmt w:val="decimal"/>
      <w:lvlText w:val="%8."/>
      <w:lvlJc w:val="left"/>
      <w:pPr>
        <w:ind w:left="720" w:hanging="360"/>
      </w:pPr>
    </w:lvl>
    <w:lvl w:ilvl="8" w:tplc="293E774C">
      <w:start w:val="1"/>
      <w:numFmt w:val="decimal"/>
      <w:lvlText w:val="%9."/>
      <w:lvlJc w:val="left"/>
      <w:pPr>
        <w:ind w:left="720" w:hanging="360"/>
      </w:pPr>
    </w:lvl>
  </w:abstractNum>
  <w:abstractNum w:abstractNumId="25" w15:restartNumberingAfterBreak="0">
    <w:nsid w:val="466D1657"/>
    <w:multiLevelType w:val="hybridMultilevel"/>
    <w:tmpl w:val="019E8A1E"/>
    <w:lvl w:ilvl="0" w:tplc="040C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6C64E0B"/>
    <w:multiLevelType w:val="multilevel"/>
    <w:tmpl w:val="64741E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47A3709B"/>
    <w:multiLevelType w:val="hybridMultilevel"/>
    <w:tmpl w:val="078CF55E"/>
    <w:lvl w:ilvl="0" w:tplc="D356321A">
      <w:start w:val="1"/>
      <w:numFmt w:val="lowerRoman"/>
      <w:lvlText w:val="%1."/>
      <w:lvlJc w:val="left"/>
      <w:pPr>
        <w:ind w:left="1440" w:hanging="72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4A3F0CA5"/>
    <w:multiLevelType w:val="hybridMultilevel"/>
    <w:tmpl w:val="6CDA78E8"/>
    <w:lvl w:ilvl="0" w:tplc="C7824AB4">
      <w:start w:val="1"/>
      <w:numFmt w:val="decimal"/>
      <w:lvlText w:val="%1."/>
      <w:lvlJc w:val="left"/>
      <w:pPr>
        <w:ind w:left="1280" w:hanging="360"/>
      </w:pPr>
    </w:lvl>
    <w:lvl w:ilvl="1" w:tplc="514AD630">
      <w:start w:val="1"/>
      <w:numFmt w:val="decimal"/>
      <w:lvlText w:val="%2."/>
      <w:lvlJc w:val="left"/>
      <w:pPr>
        <w:ind w:left="1280" w:hanging="360"/>
      </w:pPr>
    </w:lvl>
    <w:lvl w:ilvl="2" w:tplc="724C5D50">
      <w:start w:val="1"/>
      <w:numFmt w:val="decimal"/>
      <w:lvlText w:val="%3."/>
      <w:lvlJc w:val="left"/>
      <w:pPr>
        <w:ind w:left="1280" w:hanging="360"/>
      </w:pPr>
    </w:lvl>
    <w:lvl w:ilvl="3" w:tplc="448CFB88">
      <w:start w:val="1"/>
      <w:numFmt w:val="decimal"/>
      <w:lvlText w:val="%4."/>
      <w:lvlJc w:val="left"/>
      <w:pPr>
        <w:ind w:left="1280" w:hanging="360"/>
      </w:pPr>
    </w:lvl>
    <w:lvl w:ilvl="4" w:tplc="1D76A7FC">
      <w:start w:val="1"/>
      <w:numFmt w:val="decimal"/>
      <w:lvlText w:val="%5."/>
      <w:lvlJc w:val="left"/>
      <w:pPr>
        <w:ind w:left="1280" w:hanging="360"/>
      </w:pPr>
    </w:lvl>
    <w:lvl w:ilvl="5" w:tplc="F97230D4">
      <w:start w:val="1"/>
      <w:numFmt w:val="decimal"/>
      <w:lvlText w:val="%6."/>
      <w:lvlJc w:val="left"/>
      <w:pPr>
        <w:ind w:left="1280" w:hanging="360"/>
      </w:pPr>
    </w:lvl>
    <w:lvl w:ilvl="6" w:tplc="A546FC74">
      <w:start w:val="1"/>
      <w:numFmt w:val="decimal"/>
      <w:lvlText w:val="%7."/>
      <w:lvlJc w:val="left"/>
      <w:pPr>
        <w:ind w:left="1280" w:hanging="360"/>
      </w:pPr>
    </w:lvl>
    <w:lvl w:ilvl="7" w:tplc="9D207772">
      <w:start w:val="1"/>
      <w:numFmt w:val="decimal"/>
      <w:lvlText w:val="%8."/>
      <w:lvlJc w:val="left"/>
      <w:pPr>
        <w:ind w:left="1280" w:hanging="360"/>
      </w:pPr>
    </w:lvl>
    <w:lvl w:ilvl="8" w:tplc="C7189CF2">
      <w:start w:val="1"/>
      <w:numFmt w:val="decimal"/>
      <w:lvlText w:val="%9."/>
      <w:lvlJc w:val="left"/>
      <w:pPr>
        <w:ind w:left="1280" w:hanging="360"/>
      </w:pPr>
    </w:lvl>
  </w:abstractNum>
  <w:abstractNum w:abstractNumId="29" w15:restartNumberingAfterBreak="0">
    <w:nsid w:val="51142CFC"/>
    <w:multiLevelType w:val="multilevel"/>
    <w:tmpl w:val="12BC24D8"/>
    <w:lvl w:ilvl="0">
      <w:start w:val="1"/>
      <w:numFmt w:val="lowerLetter"/>
      <w:lvlText w:val="%1)"/>
      <w:lvlJc w:val="left"/>
      <w:pPr>
        <w:ind w:left="360"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0" w15:restartNumberingAfterBreak="0">
    <w:nsid w:val="53CF74AF"/>
    <w:multiLevelType w:val="multilevel"/>
    <w:tmpl w:val="410481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5554420C"/>
    <w:multiLevelType w:val="hybridMultilevel"/>
    <w:tmpl w:val="0630A6C8"/>
    <w:lvl w:ilvl="0" w:tplc="9B7A0526">
      <w:start w:val="3"/>
      <w:numFmt w:val="lowerLetter"/>
      <w:lvlText w:val="%1."/>
      <w:lvlJc w:val="left"/>
      <w:pPr>
        <w:ind w:left="1260" w:hanging="360"/>
      </w:pPr>
      <w:rPr>
        <w:rFonts w:hint="default"/>
        <w:b/>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32" w15:restartNumberingAfterBreak="0">
    <w:nsid w:val="56316D85"/>
    <w:multiLevelType w:val="multilevel"/>
    <w:tmpl w:val="A0964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58A31B23"/>
    <w:multiLevelType w:val="multilevel"/>
    <w:tmpl w:val="841231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B42DEF"/>
    <w:multiLevelType w:val="hybridMultilevel"/>
    <w:tmpl w:val="22B281A8"/>
    <w:lvl w:ilvl="0" w:tplc="04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A1D27BA"/>
    <w:multiLevelType w:val="hybridMultilevel"/>
    <w:tmpl w:val="306032CC"/>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EA6AE5"/>
    <w:multiLevelType w:val="hybridMultilevel"/>
    <w:tmpl w:val="1D00C86A"/>
    <w:lvl w:ilvl="0" w:tplc="E22091CE">
      <w:start w:val="1"/>
      <w:numFmt w:val="decimal"/>
      <w:lvlText w:val="%1."/>
      <w:lvlJc w:val="left"/>
      <w:pPr>
        <w:ind w:left="900" w:hanging="360"/>
      </w:pPr>
      <w:rPr>
        <w:rFonts w:asciiTheme="minorBidi" w:hAnsiTheme="minorBidi" w:cstheme="minorBidi"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7" w15:restartNumberingAfterBreak="0">
    <w:nsid w:val="78203FA1"/>
    <w:multiLevelType w:val="hybridMultilevel"/>
    <w:tmpl w:val="A962C676"/>
    <w:lvl w:ilvl="0" w:tplc="FFFFFFFF">
      <w:start w:val="1"/>
      <w:numFmt w:val="decimal"/>
      <w:lvlText w:val="%1."/>
      <w:lvlJc w:val="left"/>
      <w:pPr>
        <w:ind w:left="7740" w:hanging="360"/>
      </w:pPr>
      <w:rPr>
        <w:b w:val="0"/>
        <w:bCs w:val="0"/>
      </w:rPr>
    </w:lvl>
    <w:lvl w:ilvl="1" w:tplc="FFFFFFFF">
      <w:start w:val="1"/>
      <w:numFmt w:val="bullet"/>
      <w:lvlText w:val=""/>
      <w:lvlJc w:val="left"/>
      <w:pPr>
        <w:ind w:left="8460" w:hanging="360"/>
      </w:pPr>
      <w:rPr>
        <w:rFonts w:ascii="Symbol" w:hAnsi="Symbol" w:hint="default"/>
      </w:rPr>
    </w:lvl>
    <w:lvl w:ilvl="2" w:tplc="FFFFFFFF">
      <w:start w:val="1"/>
      <w:numFmt w:val="lowerRoman"/>
      <w:lvlText w:val="%3."/>
      <w:lvlJc w:val="right"/>
      <w:pPr>
        <w:ind w:left="9180" w:hanging="180"/>
      </w:pPr>
    </w:lvl>
    <w:lvl w:ilvl="3" w:tplc="FFFFFFFF">
      <w:start w:val="1"/>
      <w:numFmt w:val="decimal"/>
      <w:lvlText w:val="%4."/>
      <w:lvlJc w:val="left"/>
      <w:pPr>
        <w:ind w:left="9900" w:hanging="360"/>
      </w:pPr>
    </w:lvl>
    <w:lvl w:ilvl="4" w:tplc="FFFFFFFF" w:tentative="1">
      <w:start w:val="1"/>
      <w:numFmt w:val="lowerLetter"/>
      <w:lvlText w:val="%5."/>
      <w:lvlJc w:val="left"/>
      <w:pPr>
        <w:ind w:left="10620" w:hanging="360"/>
      </w:pPr>
    </w:lvl>
    <w:lvl w:ilvl="5" w:tplc="FFFFFFFF" w:tentative="1">
      <w:start w:val="1"/>
      <w:numFmt w:val="lowerRoman"/>
      <w:lvlText w:val="%6."/>
      <w:lvlJc w:val="right"/>
      <w:pPr>
        <w:ind w:left="11340" w:hanging="180"/>
      </w:pPr>
    </w:lvl>
    <w:lvl w:ilvl="6" w:tplc="FFFFFFFF" w:tentative="1">
      <w:start w:val="1"/>
      <w:numFmt w:val="decimal"/>
      <w:lvlText w:val="%7."/>
      <w:lvlJc w:val="left"/>
      <w:pPr>
        <w:ind w:left="12060" w:hanging="360"/>
      </w:pPr>
    </w:lvl>
    <w:lvl w:ilvl="7" w:tplc="FFFFFFFF" w:tentative="1">
      <w:start w:val="1"/>
      <w:numFmt w:val="lowerLetter"/>
      <w:lvlText w:val="%8."/>
      <w:lvlJc w:val="left"/>
      <w:pPr>
        <w:ind w:left="12780" w:hanging="360"/>
      </w:pPr>
    </w:lvl>
    <w:lvl w:ilvl="8" w:tplc="FFFFFFFF" w:tentative="1">
      <w:start w:val="1"/>
      <w:numFmt w:val="lowerRoman"/>
      <w:lvlText w:val="%9."/>
      <w:lvlJc w:val="right"/>
      <w:pPr>
        <w:ind w:left="13500" w:hanging="180"/>
      </w:pPr>
    </w:lvl>
  </w:abstractNum>
  <w:abstractNum w:abstractNumId="38"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54072632">
    <w:abstractNumId w:val="5"/>
  </w:num>
  <w:num w:numId="2" w16cid:durableId="1408334881">
    <w:abstractNumId w:val="13"/>
  </w:num>
  <w:num w:numId="3" w16cid:durableId="1448968148">
    <w:abstractNumId w:val="15"/>
  </w:num>
  <w:num w:numId="4" w16cid:durableId="1482691217">
    <w:abstractNumId w:val="16"/>
  </w:num>
  <w:num w:numId="5" w16cid:durableId="607933427">
    <w:abstractNumId w:val="38"/>
  </w:num>
  <w:num w:numId="6" w16cid:durableId="1890217501">
    <w:abstractNumId w:val="3"/>
  </w:num>
  <w:num w:numId="7" w16cid:durableId="303048910">
    <w:abstractNumId w:val="29"/>
  </w:num>
  <w:num w:numId="8" w16cid:durableId="1762605269">
    <w:abstractNumId w:val="1"/>
  </w:num>
  <w:num w:numId="9" w16cid:durableId="542795420">
    <w:abstractNumId w:val="33"/>
  </w:num>
  <w:num w:numId="10" w16cid:durableId="42759158">
    <w:abstractNumId w:val="18"/>
  </w:num>
  <w:num w:numId="11" w16cid:durableId="1431464364">
    <w:abstractNumId w:val="4"/>
  </w:num>
  <w:num w:numId="12" w16cid:durableId="776364758">
    <w:abstractNumId w:val="28"/>
  </w:num>
  <w:num w:numId="13" w16cid:durableId="1301377386">
    <w:abstractNumId w:val="17"/>
  </w:num>
  <w:num w:numId="14" w16cid:durableId="789590162">
    <w:abstractNumId w:val="10"/>
  </w:num>
  <w:num w:numId="15" w16cid:durableId="109475502">
    <w:abstractNumId w:val="11"/>
  </w:num>
  <w:num w:numId="16" w16cid:durableId="1667511533">
    <w:abstractNumId w:val="20"/>
  </w:num>
  <w:num w:numId="17" w16cid:durableId="581570538">
    <w:abstractNumId w:val="0"/>
  </w:num>
  <w:num w:numId="18" w16cid:durableId="164825120">
    <w:abstractNumId w:val="24"/>
  </w:num>
  <w:num w:numId="19" w16cid:durableId="95096301">
    <w:abstractNumId w:val="7"/>
  </w:num>
  <w:num w:numId="20" w16cid:durableId="1526753472">
    <w:abstractNumId w:val="23"/>
  </w:num>
  <w:num w:numId="21" w16cid:durableId="1677805022">
    <w:abstractNumId w:val="34"/>
  </w:num>
  <w:num w:numId="22" w16cid:durableId="391119857">
    <w:abstractNumId w:val="6"/>
  </w:num>
  <w:num w:numId="23" w16cid:durableId="1022702249">
    <w:abstractNumId w:val="26"/>
  </w:num>
  <w:num w:numId="24" w16cid:durableId="1035890592">
    <w:abstractNumId w:val="32"/>
  </w:num>
  <w:num w:numId="25" w16cid:durableId="163595970">
    <w:abstractNumId w:val="30"/>
  </w:num>
  <w:num w:numId="26" w16cid:durableId="1078021444">
    <w:abstractNumId w:val="37"/>
  </w:num>
  <w:num w:numId="27" w16cid:durableId="873083608">
    <w:abstractNumId w:val="25"/>
  </w:num>
  <w:num w:numId="28" w16cid:durableId="1520923396">
    <w:abstractNumId w:val="19"/>
  </w:num>
  <w:num w:numId="29" w16cid:durableId="1856574216">
    <w:abstractNumId w:val="27"/>
  </w:num>
  <w:num w:numId="30" w16cid:durableId="1670789217">
    <w:abstractNumId w:val="21"/>
  </w:num>
  <w:num w:numId="31" w16cid:durableId="1930775351">
    <w:abstractNumId w:val="14"/>
  </w:num>
  <w:num w:numId="32" w16cid:durableId="528688918">
    <w:abstractNumId w:val="9"/>
  </w:num>
  <w:num w:numId="33" w16cid:durableId="48498629">
    <w:abstractNumId w:val="22"/>
  </w:num>
  <w:num w:numId="34" w16cid:durableId="278219303">
    <w:abstractNumId w:val="36"/>
  </w:num>
  <w:num w:numId="35" w16cid:durableId="497772596">
    <w:abstractNumId w:val="31"/>
  </w:num>
  <w:num w:numId="36" w16cid:durableId="125785209">
    <w:abstractNumId w:val="8"/>
  </w:num>
  <w:num w:numId="37" w16cid:durableId="882600163">
    <w:abstractNumId w:val="12"/>
  </w:num>
  <w:num w:numId="38" w16cid:durableId="1192644120">
    <w:abstractNumId w:val="35"/>
  </w:num>
  <w:num w:numId="39" w16cid:durableId="2933646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19C"/>
    <w:rsid w:val="0000488A"/>
    <w:rsid w:val="000048ED"/>
    <w:rsid w:val="00005C91"/>
    <w:rsid w:val="00005F04"/>
    <w:rsid w:val="00010F56"/>
    <w:rsid w:val="000129AC"/>
    <w:rsid w:val="00012D42"/>
    <w:rsid w:val="00014915"/>
    <w:rsid w:val="00034A20"/>
    <w:rsid w:val="00035E28"/>
    <w:rsid w:val="0003623C"/>
    <w:rsid w:val="00041A66"/>
    <w:rsid w:val="00042D88"/>
    <w:rsid w:val="00043379"/>
    <w:rsid w:val="00045359"/>
    <w:rsid w:val="00045ED6"/>
    <w:rsid w:val="0004632C"/>
    <w:rsid w:val="00047118"/>
    <w:rsid w:val="00050A58"/>
    <w:rsid w:val="0005176E"/>
    <w:rsid w:val="00055F97"/>
    <w:rsid w:val="00056A3B"/>
    <w:rsid w:val="00057FC4"/>
    <w:rsid w:val="000606D3"/>
    <w:rsid w:val="0006093E"/>
    <w:rsid w:val="000637B1"/>
    <w:rsid w:val="00063C02"/>
    <w:rsid w:val="0006429C"/>
    <w:rsid w:val="00064CF4"/>
    <w:rsid w:val="00066068"/>
    <w:rsid w:val="00066C8B"/>
    <w:rsid w:val="00067841"/>
    <w:rsid w:val="00070BD2"/>
    <w:rsid w:val="00072D1B"/>
    <w:rsid w:val="000765F7"/>
    <w:rsid w:val="0007725F"/>
    <w:rsid w:val="00077AB7"/>
    <w:rsid w:val="00081CD8"/>
    <w:rsid w:val="00086DE2"/>
    <w:rsid w:val="0009015B"/>
    <w:rsid w:val="000924D5"/>
    <w:rsid w:val="000969FA"/>
    <w:rsid w:val="000A18E0"/>
    <w:rsid w:val="000A2B5B"/>
    <w:rsid w:val="000A7F0E"/>
    <w:rsid w:val="000B1C8F"/>
    <w:rsid w:val="000B4766"/>
    <w:rsid w:val="000B6CC4"/>
    <w:rsid w:val="000B71DA"/>
    <w:rsid w:val="000B79FE"/>
    <w:rsid w:val="000B7CC8"/>
    <w:rsid w:val="000C0D61"/>
    <w:rsid w:val="000C32C7"/>
    <w:rsid w:val="000D2F9B"/>
    <w:rsid w:val="000E2ED6"/>
    <w:rsid w:val="000E53F7"/>
    <w:rsid w:val="000E5E2E"/>
    <w:rsid w:val="000E5E4A"/>
    <w:rsid w:val="000F26C3"/>
    <w:rsid w:val="000F3A3F"/>
    <w:rsid w:val="000F3BF9"/>
    <w:rsid w:val="000F6179"/>
    <w:rsid w:val="000F624D"/>
    <w:rsid w:val="000F6A02"/>
    <w:rsid w:val="00102557"/>
    <w:rsid w:val="0011086B"/>
    <w:rsid w:val="00110D6D"/>
    <w:rsid w:val="001115FC"/>
    <w:rsid w:val="0011261F"/>
    <w:rsid w:val="001231A9"/>
    <w:rsid w:val="0012703F"/>
    <w:rsid w:val="0014481B"/>
    <w:rsid w:val="001463FB"/>
    <w:rsid w:val="001472EC"/>
    <w:rsid w:val="00147600"/>
    <w:rsid w:val="00147A38"/>
    <w:rsid w:val="00151BE2"/>
    <w:rsid w:val="00152054"/>
    <w:rsid w:val="0015656B"/>
    <w:rsid w:val="00157C15"/>
    <w:rsid w:val="0016030D"/>
    <w:rsid w:val="00160CD0"/>
    <w:rsid w:val="00161173"/>
    <w:rsid w:val="0016342F"/>
    <w:rsid w:val="00163D90"/>
    <w:rsid w:val="00164D56"/>
    <w:rsid w:val="00165417"/>
    <w:rsid w:val="00166302"/>
    <w:rsid w:val="00167B10"/>
    <w:rsid w:val="00171DC0"/>
    <w:rsid w:val="0017402F"/>
    <w:rsid w:val="00176B32"/>
    <w:rsid w:val="00177654"/>
    <w:rsid w:val="00181294"/>
    <w:rsid w:val="00183CE8"/>
    <w:rsid w:val="001866F8"/>
    <w:rsid w:val="00190205"/>
    <w:rsid w:val="001924F4"/>
    <w:rsid w:val="00192CCA"/>
    <w:rsid w:val="001931F9"/>
    <w:rsid w:val="00193DC1"/>
    <w:rsid w:val="00196C1B"/>
    <w:rsid w:val="001970BA"/>
    <w:rsid w:val="001A2C5E"/>
    <w:rsid w:val="001B0F73"/>
    <w:rsid w:val="001B6DA4"/>
    <w:rsid w:val="001B756A"/>
    <w:rsid w:val="001C2DB7"/>
    <w:rsid w:val="001D14FE"/>
    <w:rsid w:val="001D1642"/>
    <w:rsid w:val="001D4209"/>
    <w:rsid w:val="001D4D0D"/>
    <w:rsid w:val="001D5C04"/>
    <w:rsid w:val="001E0914"/>
    <w:rsid w:val="001E3E46"/>
    <w:rsid w:val="001E7D9E"/>
    <w:rsid w:val="001F0DCA"/>
    <w:rsid w:val="001F26CF"/>
    <w:rsid w:val="001F591F"/>
    <w:rsid w:val="001F5B4C"/>
    <w:rsid w:val="002011DD"/>
    <w:rsid w:val="002053CA"/>
    <w:rsid w:val="00210C51"/>
    <w:rsid w:val="00212EDA"/>
    <w:rsid w:val="002178F4"/>
    <w:rsid w:val="00222A2D"/>
    <w:rsid w:val="00223029"/>
    <w:rsid w:val="002251B9"/>
    <w:rsid w:val="00233220"/>
    <w:rsid w:val="002346AD"/>
    <w:rsid w:val="00234745"/>
    <w:rsid w:val="002351A6"/>
    <w:rsid w:val="002362AC"/>
    <w:rsid w:val="00236523"/>
    <w:rsid w:val="00237852"/>
    <w:rsid w:val="002407AF"/>
    <w:rsid w:val="002422E4"/>
    <w:rsid w:val="00243794"/>
    <w:rsid w:val="00245501"/>
    <w:rsid w:val="00246B87"/>
    <w:rsid w:val="00250632"/>
    <w:rsid w:val="00251922"/>
    <w:rsid w:val="00252BBB"/>
    <w:rsid w:val="00254B26"/>
    <w:rsid w:val="0025541C"/>
    <w:rsid w:val="00257527"/>
    <w:rsid w:val="00260D83"/>
    <w:rsid w:val="0026221A"/>
    <w:rsid w:val="002625C3"/>
    <w:rsid w:val="00264AD8"/>
    <w:rsid w:val="002726C9"/>
    <w:rsid w:val="00272DEC"/>
    <w:rsid w:val="0027466B"/>
    <w:rsid w:val="00277876"/>
    <w:rsid w:val="002800C1"/>
    <w:rsid w:val="002803FE"/>
    <w:rsid w:val="002814F6"/>
    <w:rsid w:val="002838A5"/>
    <w:rsid w:val="00285764"/>
    <w:rsid w:val="00285BB4"/>
    <w:rsid w:val="00287B00"/>
    <w:rsid w:val="00287BE5"/>
    <w:rsid w:val="00291635"/>
    <w:rsid w:val="00294A7E"/>
    <w:rsid w:val="00295BB5"/>
    <w:rsid w:val="00296DC6"/>
    <w:rsid w:val="002A5585"/>
    <w:rsid w:val="002A66ED"/>
    <w:rsid w:val="002A70D6"/>
    <w:rsid w:val="002B3E63"/>
    <w:rsid w:val="002B5D3D"/>
    <w:rsid w:val="002B64C9"/>
    <w:rsid w:val="002C09E3"/>
    <w:rsid w:val="002C2D79"/>
    <w:rsid w:val="002C47B7"/>
    <w:rsid w:val="002C4EC5"/>
    <w:rsid w:val="002C6A2C"/>
    <w:rsid w:val="002D1244"/>
    <w:rsid w:val="002D396D"/>
    <w:rsid w:val="002D67FC"/>
    <w:rsid w:val="002E0429"/>
    <w:rsid w:val="002E7AFE"/>
    <w:rsid w:val="002E7B84"/>
    <w:rsid w:val="002F6A65"/>
    <w:rsid w:val="00300440"/>
    <w:rsid w:val="0030167A"/>
    <w:rsid w:val="0030370C"/>
    <w:rsid w:val="00305A5E"/>
    <w:rsid w:val="00310EC7"/>
    <w:rsid w:val="0031142F"/>
    <w:rsid w:val="00312EF4"/>
    <w:rsid w:val="0031317A"/>
    <w:rsid w:val="00314A96"/>
    <w:rsid w:val="00315BEB"/>
    <w:rsid w:val="003166C9"/>
    <w:rsid w:val="0032068D"/>
    <w:rsid w:val="0032297D"/>
    <w:rsid w:val="00322A83"/>
    <w:rsid w:val="00332FF8"/>
    <w:rsid w:val="00333158"/>
    <w:rsid w:val="00335542"/>
    <w:rsid w:val="00337CEB"/>
    <w:rsid w:val="0034015F"/>
    <w:rsid w:val="00340BCF"/>
    <w:rsid w:val="00340DC0"/>
    <w:rsid w:val="00342AE4"/>
    <w:rsid w:val="0034349F"/>
    <w:rsid w:val="00344B58"/>
    <w:rsid w:val="0034539A"/>
    <w:rsid w:val="00345CB4"/>
    <w:rsid w:val="00347717"/>
    <w:rsid w:val="0035627E"/>
    <w:rsid w:val="003650A3"/>
    <w:rsid w:val="0037007C"/>
    <w:rsid w:val="00374051"/>
    <w:rsid w:val="00375872"/>
    <w:rsid w:val="00375D42"/>
    <w:rsid w:val="00376363"/>
    <w:rsid w:val="00377BA5"/>
    <w:rsid w:val="003871E7"/>
    <w:rsid w:val="00395E29"/>
    <w:rsid w:val="00397F88"/>
    <w:rsid w:val="003A5FF9"/>
    <w:rsid w:val="003B0992"/>
    <w:rsid w:val="003B21A6"/>
    <w:rsid w:val="003B3EF2"/>
    <w:rsid w:val="003B43B3"/>
    <w:rsid w:val="003C1682"/>
    <w:rsid w:val="003C41BF"/>
    <w:rsid w:val="003C4D82"/>
    <w:rsid w:val="003D0106"/>
    <w:rsid w:val="003D069C"/>
    <w:rsid w:val="003D2138"/>
    <w:rsid w:val="003D7646"/>
    <w:rsid w:val="003E0FE3"/>
    <w:rsid w:val="003F113A"/>
    <w:rsid w:val="003F3DF9"/>
    <w:rsid w:val="003F3E63"/>
    <w:rsid w:val="003F41EC"/>
    <w:rsid w:val="003F5F0A"/>
    <w:rsid w:val="003F607D"/>
    <w:rsid w:val="003F6873"/>
    <w:rsid w:val="003F6C6B"/>
    <w:rsid w:val="00402B55"/>
    <w:rsid w:val="00403011"/>
    <w:rsid w:val="00405E6F"/>
    <w:rsid w:val="00406F60"/>
    <w:rsid w:val="00407480"/>
    <w:rsid w:val="004075EA"/>
    <w:rsid w:val="004078AB"/>
    <w:rsid w:val="00412719"/>
    <w:rsid w:val="00412E33"/>
    <w:rsid w:val="00414643"/>
    <w:rsid w:val="004211CA"/>
    <w:rsid w:val="004262A8"/>
    <w:rsid w:val="0042693C"/>
    <w:rsid w:val="00430220"/>
    <w:rsid w:val="004313C4"/>
    <w:rsid w:val="004325FB"/>
    <w:rsid w:val="004349F0"/>
    <w:rsid w:val="00437754"/>
    <w:rsid w:val="004406F3"/>
    <w:rsid w:val="004421E5"/>
    <w:rsid w:val="00442818"/>
    <w:rsid w:val="00450139"/>
    <w:rsid w:val="004506F6"/>
    <w:rsid w:val="00452284"/>
    <w:rsid w:val="00457C8E"/>
    <w:rsid w:val="004600F5"/>
    <w:rsid w:val="004611E8"/>
    <w:rsid w:val="0047036D"/>
    <w:rsid w:val="0047090F"/>
    <w:rsid w:val="00471289"/>
    <w:rsid w:val="0047132D"/>
    <w:rsid w:val="00480175"/>
    <w:rsid w:val="00480EF8"/>
    <w:rsid w:val="004856CA"/>
    <w:rsid w:val="004857A8"/>
    <w:rsid w:val="00487E67"/>
    <w:rsid w:val="0049011F"/>
    <w:rsid w:val="004906B7"/>
    <w:rsid w:val="00491348"/>
    <w:rsid w:val="004923D6"/>
    <w:rsid w:val="0049705E"/>
    <w:rsid w:val="004A1AC9"/>
    <w:rsid w:val="004A2875"/>
    <w:rsid w:val="004A2C82"/>
    <w:rsid w:val="004A34A0"/>
    <w:rsid w:val="004A7377"/>
    <w:rsid w:val="004B28A1"/>
    <w:rsid w:val="004C02C3"/>
    <w:rsid w:val="004C0843"/>
    <w:rsid w:val="004C24DE"/>
    <w:rsid w:val="004C7C82"/>
    <w:rsid w:val="004D0ED1"/>
    <w:rsid w:val="004E2602"/>
    <w:rsid w:val="004E7420"/>
    <w:rsid w:val="004F049B"/>
    <w:rsid w:val="004F287A"/>
    <w:rsid w:val="004F40CF"/>
    <w:rsid w:val="005008A8"/>
    <w:rsid w:val="00506D16"/>
    <w:rsid w:val="00515CAD"/>
    <w:rsid w:val="00517572"/>
    <w:rsid w:val="00517FD8"/>
    <w:rsid w:val="00520991"/>
    <w:rsid w:val="0052272B"/>
    <w:rsid w:val="00526857"/>
    <w:rsid w:val="00526B7B"/>
    <w:rsid w:val="005274D2"/>
    <w:rsid w:val="0052792C"/>
    <w:rsid w:val="005308CE"/>
    <w:rsid w:val="00530B9F"/>
    <w:rsid w:val="00530E79"/>
    <w:rsid w:val="00531772"/>
    <w:rsid w:val="005329D8"/>
    <w:rsid w:val="00533104"/>
    <w:rsid w:val="0053318C"/>
    <w:rsid w:val="005338AE"/>
    <w:rsid w:val="0053410D"/>
    <w:rsid w:val="00535416"/>
    <w:rsid w:val="00540D66"/>
    <w:rsid w:val="00542E0B"/>
    <w:rsid w:val="0054398E"/>
    <w:rsid w:val="005520A9"/>
    <w:rsid w:val="00552C8D"/>
    <w:rsid w:val="00553824"/>
    <w:rsid w:val="00554783"/>
    <w:rsid w:val="005568A3"/>
    <w:rsid w:val="0055740A"/>
    <w:rsid w:val="00565092"/>
    <w:rsid w:val="005661A3"/>
    <w:rsid w:val="0057439C"/>
    <w:rsid w:val="00574EA4"/>
    <w:rsid w:val="0057560B"/>
    <w:rsid w:val="00586EB7"/>
    <w:rsid w:val="00593FAA"/>
    <w:rsid w:val="005960FA"/>
    <w:rsid w:val="005A05BB"/>
    <w:rsid w:val="005A1DAA"/>
    <w:rsid w:val="005B0127"/>
    <w:rsid w:val="005B07F2"/>
    <w:rsid w:val="005B231A"/>
    <w:rsid w:val="005B7A35"/>
    <w:rsid w:val="005C2761"/>
    <w:rsid w:val="005C4B73"/>
    <w:rsid w:val="005C6264"/>
    <w:rsid w:val="005D07C1"/>
    <w:rsid w:val="005D08C6"/>
    <w:rsid w:val="005D2239"/>
    <w:rsid w:val="005E1859"/>
    <w:rsid w:val="005E1D2B"/>
    <w:rsid w:val="005E6470"/>
    <w:rsid w:val="005E7074"/>
    <w:rsid w:val="005F2BAF"/>
    <w:rsid w:val="005F72DA"/>
    <w:rsid w:val="00600D93"/>
    <w:rsid w:val="00601172"/>
    <w:rsid w:val="006101E1"/>
    <w:rsid w:val="00612CE5"/>
    <w:rsid w:val="00614923"/>
    <w:rsid w:val="00614997"/>
    <w:rsid w:val="00614FED"/>
    <w:rsid w:val="00622E4F"/>
    <w:rsid w:val="00623821"/>
    <w:rsid w:val="00625099"/>
    <w:rsid w:val="00626BEA"/>
    <w:rsid w:val="00626D52"/>
    <w:rsid w:val="0063300C"/>
    <w:rsid w:val="00633209"/>
    <w:rsid w:val="00633F99"/>
    <w:rsid w:val="00637521"/>
    <w:rsid w:val="00642FFB"/>
    <w:rsid w:val="006467E0"/>
    <w:rsid w:val="00646B0E"/>
    <w:rsid w:val="00650A37"/>
    <w:rsid w:val="006510AD"/>
    <w:rsid w:val="00651A5B"/>
    <w:rsid w:val="00654AB2"/>
    <w:rsid w:val="00655736"/>
    <w:rsid w:val="00663B8D"/>
    <w:rsid w:val="006659F7"/>
    <w:rsid w:val="00670ABD"/>
    <w:rsid w:val="006722BC"/>
    <w:rsid w:val="0067267F"/>
    <w:rsid w:val="006776BB"/>
    <w:rsid w:val="00681167"/>
    <w:rsid w:val="00686A24"/>
    <w:rsid w:val="006942EC"/>
    <w:rsid w:val="00696C8D"/>
    <w:rsid w:val="006A2AC2"/>
    <w:rsid w:val="006A3617"/>
    <w:rsid w:val="006A5DCA"/>
    <w:rsid w:val="006B4452"/>
    <w:rsid w:val="006B783A"/>
    <w:rsid w:val="006C43B6"/>
    <w:rsid w:val="006C52D5"/>
    <w:rsid w:val="006D77C4"/>
    <w:rsid w:val="006E3E2D"/>
    <w:rsid w:val="006E43C0"/>
    <w:rsid w:val="006E46E4"/>
    <w:rsid w:val="006E67E0"/>
    <w:rsid w:val="006E75EB"/>
    <w:rsid w:val="007007BA"/>
    <w:rsid w:val="00704559"/>
    <w:rsid w:val="007078C5"/>
    <w:rsid w:val="007108A6"/>
    <w:rsid w:val="00715958"/>
    <w:rsid w:val="00716F80"/>
    <w:rsid w:val="00717DA5"/>
    <w:rsid w:val="00720006"/>
    <w:rsid w:val="00721CB1"/>
    <w:rsid w:val="00722B27"/>
    <w:rsid w:val="00724AB5"/>
    <w:rsid w:val="00727B9E"/>
    <w:rsid w:val="007322E8"/>
    <w:rsid w:val="007333D0"/>
    <w:rsid w:val="00742A85"/>
    <w:rsid w:val="00743EDB"/>
    <w:rsid w:val="007440F5"/>
    <w:rsid w:val="00744484"/>
    <w:rsid w:val="00747566"/>
    <w:rsid w:val="00751D37"/>
    <w:rsid w:val="00753A99"/>
    <w:rsid w:val="00761FD4"/>
    <w:rsid w:val="007636F0"/>
    <w:rsid w:val="0076573E"/>
    <w:rsid w:val="00765D74"/>
    <w:rsid w:val="00766AD5"/>
    <w:rsid w:val="00770D49"/>
    <w:rsid w:val="00772A62"/>
    <w:rsid w:val="00773188"/>
    <w:rsid w:val="007759DB"/>
    <w:rsid w:val="00776315"/>
    <w:rsid w:val="007768E5"/>
    <w:rsid w:val="00781141"/>
    <w:rsid w:val="00782B51"/>
    <w:rsid w:val="0078317E"/>
    <w:rsid w:val="00783782"/>
    <w:rsid w:val="00784B8C"/>
    <w:rsid w:val="0078554B"/>
    <w:rsid w:val="00785DA4"/>
    <w:rsid w:val="007879E1"/>
    <w:rsid w:val="00793230"/>
    <w:rsid w:val="00796146"/>
    <w:rsid w:val="007A0795"/>
    <w:rsid w:val="007A702A"/>
    <w:rsid w:val="007B211F"/>
    <w:rsid w:val="007B21CF"/>
    <w:rsid w:val="007B2902"/>
    <w:rsid w:val="007B46D5"/>
    <w:rsid w:val="007B78C0"/>
    <w:rsid w:val="007C222D"/>
    <w:rsid w:val="007C518B"/>
    <w:rsid w:val="007D1276"/>
    <w:rsid w:val="007D33BA"/>
    <w:rsid w:val="007D39A3"/>
    <w:rsid w:val="007E0089"/>
    <w:rsid w:val="007E1087"/>
    <w:rsid w:val="007E11B1"/>
    <w:rsid w:val="007E57AA"/>
    <w:rsid w:val="007F1CA6"/>
    <w:rsid w:val="007F240A"/>
    <w:rsid w:val="007F3585"/>
    <w:rsid w:val="007F3EFB"/>
    <w:rsid w:val="00805638"/>
    <w:rsid w:val="00805D86"/>
    <w:rsid w:val="00807B43"/>
    <w:rsid w:val="008118A7"/>
    <w:rsid w:val="00814CB7"/>
    <w:rsid w:val="00814D20"/>
    <w:rsid w:val="0081656D"/>
    <w:rsid w:val="00817599"/>
    <w:rsid w:val="00820A43"/>
    <w:rsid w:val="00822C0E"/>
    <w:rsid w:val="00823A11"/>
    <w:rsid w:val="00825959"/>
    <w:rsid w:val="00825A6D"/>
    <w:rsid w:val="00825E22"/>
    <w:rsid w:val="00826CF3"/>
    <w:rsid w:val="00827BB3"/>
    <w:rsid w:val="0083219E"/>
    <w:rsid w:val="008340C2"/>
    <w:rsid w:val="00840DBD"/>
    <w:rsid w:val="008411F6"/>
    <w:rsid w:val="0084362B"/>
    <w:rsid w:val="0085405E"/>
    <w:rsid w:val="0085414A"/>
    <w:rsid w:val="00854AEF"/>
    <w:rsid w:val="0085640D"/>
    <w:rsid w:val="0085678E"/>
    <w:rsid w:val="00857EB9"/>
    <w:rsid w:val="00860A60"/>
    <w:rsid w:val="0086269D"/>
    <w:rsid w:val="00863677"/>
    <w:rsid w:val="008648D9"/>
    <w:rsid w:val="0086543A"/>
    <w:rsid w:val="00866783"/>
    <w:rsid w:val="00867C68"/>
    <w:rsid w:val="008724E5"/>
    <w:rsid w:val="0087316C"/>
    <w:rsid w:val="008765C9"/>
    <w:rsid w:val="008838CB"/>
    <w:rsid w:val="00884A9D"/>
    <w:rsid w:val="0088512B"/>
    <w:rsid w:val="008918A5"/>
    <w:rsid w:val="00894584"/>
    <w:rsid w:val="00896B21"/>
    <w:rsid w:val="008A2B2D"/>
    <w:rsid w:val="008A2EBC"/>
    <w:rsid w:val="008A4E1E"/>
    <w:rsid w:val="008A6458"/>
    <w:rsid w:val="008B4C58"/>
    <w:rsid w:val="008B6A3B"/>
    <w:rsid w:val="008B74AA"/>
    <w:rsid w:val="008B7BB0"/>
    <w:rsid w:val="008C296C"/>
    <w:rsid w:val="008C2AAD"/>
    <w:rsid w:val="008C4AFA"/>
    <w:rsid w:val="008D0602"/>
    <w:rsid w:val="008D110C"/>
    <w:rsid w:val="008D2448"/>
    <w:rsid w:val="008D4305"/>
    <w:rsid w:val="008D4931"/>
    <w:rsid w:val="008D763B"/>
    <w:rsid w:val="008E1034"/>
    <w:rsid w:val="008E1A85"/>
    <w:rsid w:val="008E344F"/>
    <w:rsid w:val="008E3ABB"/>
    <w:rsid w:val="008F0A8C"/>
    <w:rsid w:val="008F1AD0"/>
    <w:rsid w:val="008F2EEA"/>
    <w:rsid w:val="008F3174"/>
    <w:rsid w:val="008F64ED"/>
    <w:rsid w:val="009001E1"/>
    <w:rsid w:val="00900799"/>
    <w:rsid w:val="00900DB6"/>
    <w:rsid w:val="00901A72"/>
    <w:rsid w:val="00905296"/>
    <w:rsid w:val="00907B86"/>
    <w:rsid w:val="00911731"/>
    <w:rsid w:val="009163A7"/>
    <w:rsid w:val="009165F1"/>
    <w:rsid w:val="00924014"/>
    <w:rsid w:val="009249EA"/>
    <w:rsid w:val="00926926"/>
    <w:rsid w:val="00931E28"/>
    <w:rsid w:val="00937D53"/>
    <w:rsid w:val="0094598F"/>
    <w:rsid w:val="00946D0B"/>
    <w:rsid w:val="009478AC"/>
    <w:rsid w:val="0095390F"/>
    <w:rsid w:val="00955877"/>
    <w:rsid w:val="00957D77"/>
    <w:rsid w:val="00962034"/>
    <w:rsid w:val="00962D9C"/>
    <w:rsid w:val="00964496"/>
    <w:rsid w:val="00965493"/>
    <w:rsid w:val="009709AE"/>
    <w:rsid w:val="00972603"/>
    <w:rsid w:val="0097465F"/>
    <w:rsid w:val="00977CDF"/>
    <w:rsid w:val="00983FC4"/>
    <w:rsid w:val="00985B71"/>
    <w:rsid w:val="00992CA4"/>
    <w:rsid w:val="00994E12"/>
    <w:rsid w:val="00995464"/>
    <w:rsid w:val="009968B9"/>
    <w:rsid w:val="00996F54"/>
    <w:rsid w:val="009A0FF2"/>
    <w:rsid w:val="009A18CD"/>
    <w:rsid w:val="009A18FF"/>
    <w:rsid w:val="009A2498"/>
    <w:rsid w:val="009A7666"/>
    <w:rsid w:val="009B0F46"/>
    <w:rsid w:val="009B11F7"/>
    <w:rsid w:val="009B1596"/>
    <w:rsid w:val="009B16DA"/>
    <w:rsid w:val="009B2E7E"/>
    <w:rsid w:val="009B3274"/>
    <w:rsid w:val="009C0145"/>
    <w:rsid w:val="009C1948"/>
    <w:rsid w:val="009C1D3F"/>
    <w:rsid w:val="009C3DB5"/>
    <w:rsid w:val="009D22FA"/>
    <w:rsid w:val="009D5428"/>
    <w:rsid w:val="009E1487"/>
    <w:rsid w:val="009E31BC"/>
    <w:rsid w:val="009E3E1F"/>
    <w:rsid w:val="009E54C7"/>
    <w:rsid w:val="009E5CD7"/>
    <w:rsid w:val="009E63AE"/>
    <w:rsid w:val="009E76E6"/>
    <w:rsid w:val="009F2DD5"/>
    <w:rsid w:val="00A00D4C"/>
    <w:rsid w:val="00A042E5"/>
    <w:rsid w:val="00A06161"/>
    <w:rsid w:val="00A1036A"/>
    <w:rsid w:val="00A12558"/>
    <w:rsid w:val="00A13903"/>
    <w:rsid w:val="00A14AC4"/>
    <w:rsid w:val="00A14B1E"/>
    <w:rsid w:val="00A177D7"/>
    <w:rsid w:val="00A24D56"/>
    <w:rsid w:val="00A255D7"/>
    <w:rsid w:val="00A261B2"/>
    <w:rsid w:val="00A268F6"/>
    <w:rsid w:val="00A3016A"/>
    <w:rsid w:val="00A31F95"/>
    <w:rsid w:val="00A330E9"/>
    <w:rsid w:val="00A34ED5"/>
    <w:rsid w:val="00A36289"/>
    <w:rsid w:val="00A36EDB"/>
    <w:rsid w:val="00A45DBF"/>
    <w:rsid w:val="00A46704"/>
    <w:rsid w:val="00A50E27"/>
    <w:rsid w:val="00A50F6C"/>
    <w:rsid w:val="00A5161D"/>
    <w:rsid w:val="00A5230B"/>
    <w:rsid w:val="00A542A2"/>
    <w:rsid w:val="00A57F1E"/>
    <w:rsid w:val="00A625D1"/>
    <w:rsid w:val="00A6525A"/>
    <w:rsid w:val="00A668A8"/>
    <w:rsid w:val="00A66919"/>
    <w:rsid w:val="00A71AA0"/>
    <w:rsid w:val="00A725CF"/>
    <w:rsid w:val="00A735BC"/>
    <w:rsid w:val="00A73768"/>
    <w:rsid w:val="00A74468"/>
    <w:rsid w:val="00A755A2"/>
    <w:rsid w:val="00A80918"/>
    <w:rsid w:val="00A80CDC"/>
    <w:rsid w:val="00A83B45"/>
    <w:rsid w:val="00A87191"/>
    <w:rsid w:val="00A91430"/>
    <w:rsid w:val="00A91739"/>
    <w:rsid w:val="00AA121D"/>
    <w:rsid w:val="00AA44EF"/>
    <w:rsid w:val="00AA590D"/>
    <w:rsid w:val="00AA6660"/>
    <w:rsid w:val="00AA68D9"/>
    <w:rsid w:val="00AB1E89"/>
    <w:rsid w:val="00AB2C36"/>
    <w:rsid w:val="00AB34E6"/>
    <w:rsid w:val="00AB6DDE"/>
    <w:rsid w:val="00AB70B6"/>
    <w:rsid w:val="00AC18C1"/>
    <w:rsid w:val="00AC2E45"/>
    <w:rsid w:val="00AC36B1"/>
    <w:rsid w:val="00AC5D3E"/>
    <w:rsid w:val="00AD1A86"/>
    <w:rsid w:val="00AD43BF"/>
    <w:rsid w:val="00AD44BE"/>
    <w:rsid w:val="00AD598F"/>
    <w:rsid w:val="00AD5C46"/>
    <w:rsid w:val="00AE103E"/>
    <w:rsid w:val="00AE1AA3"/>
    <w:rsid w:val="00AE6DD3"/>
    <w:rsid w:val="00AF09F1"/>
    <w:rsid w:val="00AF0A07"/>
    <w:rsid w:val="00AF1E3D"/>
    <w:rsid w:val="00AF32AA"/>
    <w:rsid w:val="00AF4AEC"/>
    <w:rsid w:val="00AF5218"/>
    <w:rsid w:val="00AF625E"/>
    <w:rsid w:val="00B01D7E"/>
    <w:rsid w:val="00B02340"/>
    <w:rsid w:val="00B11057"/>
    <w:rsid w:val="00B121C6"/>
    <w:rsid w:val="00B121D2"/>
    <w:rsid w:val="00B137F7"/>
    <w:rsid w:val="00B139BE"/>
    <w:rsid w:val="00B145C0"/>
    <w:rsid w:val="00B2172B"/>
    <w:rsid w:val="00B237D7"/>
    <w:rsid w:val="00B24427"/>
    <w:rsid w:val="00B24751"/>
    <w:rsid w:val="00B2581E"/>
    <w:rsid w:val="00B25F38"/>
    <w:rsid w:val="00B3141A"/>
    <w:rsid w:val="00B3178E"/>
    <w:rsid w:val="00B34428"/>
    <w:rsid w:val="00B37567"/>
    <w:rsid w:val="00B44732"/>
    <w:rsid w:val="00B44EDE"/>
    <w:rsid w:val="00B45B14"/>
    <w:rsid w:val="00B51FBE"/>
    <w:rsid w:val="00B5483D"/>
    <w:rsid w:val="00B5556E"/>
    <w:rsid w:val="00B643E3"/>
    <w:rsid w:val="00B65B2F"/>
    <w:rsid w:val="00B66194"/>
    <w:rsid w:val="00B71830"/>
    <w:rsid w:val="00B72443"/>
    <w:rsid w:val="00B730CF"/>
    <w:rsid w:val="00B74474"/>
    <w:rsid w:val="00B80EED"/>
    <w:rsid w:val="00B8147E"/>
    <w:rsid w:val="00B90318"/>
    <w:rsid w:val="00B9132A"/>
    <w:rsid w:val="00B917D2"/>
    <w:rsid w:val="00B92C4A"/>
    <w:rsid w:val="00B957D3"/>
    <w:rsid w:val="00B97EB3"/>
    <w:rsid w:val="00BA02C4"/>
    <w:rsid w:val="00BA241A"/>
    <w:rsid w:val="00BA563D"/>
    <w:rsid w:val="00BB04AF"/>
    <w:rsid w:val="00BB238E"/>
    <w:rsid w:val="00BB51BE"/>
    <w:rsid w:val="00BB5E8B"/>
    <w:rsid w:val="00BB69E6"/>
    <w:rsid w:val="00BB6EEC"/>
    <w:rsid w:val="00BC1A5B"/>
    <w:rsid w:val="00BC3F3A"/>
    <w:rsid w:val="00BD05B1"/>
    <w:rsid w:val="00BD15E5"/>
    <w:rsid w:val="00BD1686"/>
    <w:rsid w:val="00BD2A27"/>
    <w:rsid w:val="00BD52C9"/>
    <w:rsid w:val="00BE0B6F"/>
    <w:rsid w:val="00BE2AC3"/>
    <w:rsid w:val="00BE4F21"/>
    <w:rsid w:val="00BE5460"/>
    <w:rsid w:val="00BE6354"/>
    <w:rsid w:val="00BF07A6"/>
    <w:rsid w:val="00BF51E5"/>
    <w:rsid w:val="00BF6C20"/>
    <w:rsid w:val="00BF768A"/>
    <w:rsid w:val="00C00659"/>
    <w:rsid w:val="00C0138A"/>
    <w:rsid w:val="00C035AA"/>
    <w:rsid w:val="00C12E67"/>
    <w:rsid w:val="00C138D1"/>
    <w:rsid w:val="00C146A3"/>
    <w:rsid w:val="00C2219A"/>
    <w:rsid w:val="00C2324C"/>
    <w:rsid w:val="00C23282"/>
    <w:rsid w:val="00C23A97"/>
    <w:rsid w:val="00C24051"/>
    <w:rsid w:val="00C24F13"/>
    <w:rsid w:val="00C354A1"/>
    <w:rsid w:val="00C36D8E"/>
    <w:rsid w:val="00C45BB7"/>
    <w:rsid w:val="00C52265"/>
    <w:rsid w:val="00C52EBE"/>
    <w:rsid w:val="00C542F3"/>
    <w:rsid w:val="00C55370"/>
    <w:rsid w:val="00C556CF"/>
    <w:rsid w:val="00C5776D"/>
    <w:rsid w:val="00C60D09"/>
    <w:rsid w:val="00C64855"/>
    <w:rsid w:val="00C67FF1"/>
    <w:rsid w:val="00C70EA7"/>
    <w:rsid w:val="00C727FA"/>
    <w:rsid w:val="00C7295E"/>
    <w:rsid w:val="00C7433F"/>
    <w:rsid w:val="00C7516E"/>
    <w:rsid w:val="00C75770"/>
    <w:rsid w:val="00C80351"/>
    <w:rsid w:val="00C829F7"/>
    <w:rsid w:val="00C846B1"/>
    <w:rsid w:val="00C860B9"/>
    <w:rsid w:val="00C872B9"/>
    <w:rsid w:val="00C958AD"/>
    <w:rsid w:val="00C97544"/>
    <w:rsid w:val="00CA1B2C"/>
    <w:rsid w:val="00CA56BB"/>
    <w:rsid w:val="00CA63CD"/>
    <w:rsid w:val="00CA7E4D"/>
    <w:rsid w:val="00CB0542"/>
    <w:rsid w:val="00CB4B12"/>
    <w:rsid w:val="00CD1F64"/>
    <w:rsid w:val="00CD7548"/>
    <w:rsid w:val="00CE2C6E"/>
    <w:rsid w:val="00CE6066"/>
    <w:rsid w:val="00CF0A64"/>
    <w:rsid w:val="00CF10EC"/>
    <w:rsid w:val="00CF257F"/>
    <w:rsid w:val="00CF271D"/>
    <w:rsid w:val="00CF2AEE"/>
    <w:rsid w:val="00CF3C72"/>
    <w:rsid w:val="00CF4CAC"/>
    <w:rsid w:val="00D00B2B"/>
    <w:rsid w:val="00D03C2A"/>
    <w:rsid w:val="00D05802"/>
    <w:rsid w:val="00D14CB0"/>
    <w:rsid w:val="00D1721C"/>
    <w:rsid w:val="00D20CA2"/>
    <w:rsid w:val="00D217E9"/>
    <w:rsid w:val="00D24877"/>
    <w:rsid w:val="00D24942"/>
    <w:rsid w:val="00D27F03"/>
    <w:rsid w:val="00D303EC"/>
    <w:rsid w:val="00D330C9"/>
    <w:rsid w:val="00D423B2"/>
    <w:rsid w:val="00D42800"/>
    <w:rsid w:val="00D52F1C"/>
    <w:rsid w:val="00D60C16"/>
    <w:rsid w:val="00D61336"/>
    <w:rsid w:val="00D63318"/>
    <w:rsid w:val="00D64296"/>
    <w:rsid w:val="00D67A67"/>
    <w:rsid w:val="00D7105A"/>
    <w:rsid w:val="00D7284E"/>
    <w:rsid w:val="00D73BFD"/>
    <w:rsid w:val="00D77171"/>
    <w:rsid w:val="00D8250F"/>
    <w:rsid w:val="00D82890"/>
    <w:rsid w:val="00D84737"/>
    <w:rsid w:val="00D84C7E"/>
    <w:rsid w:val="00D86BB3"/>
    <w:rsid w:val="00D95C4C"/>
    <w:rsid w:val="00D962C0"/>
    <w:rsid w:val="00D97122"/>
    <w:rsid w:val="00DA36ED"/>
    <w:rsid w:val="00DA5B94"/>
    <w:rsid w:val="00DA7F2D"/>
    <w:rsid w:val="00DB0E7D"/>
    <w:rsid w:val="00DB42E0"/>
    <w:rsid w:val="00DB7B27"/>
    <w:rsid w:val="00DB7DE6"/>
    <w:rsid w:val="00DC4423"/>
    <w:rsid w:val="00DC4575"/>
    <w:rsid w:val="00DC5AE5"/>
    <w:rsid w:val="00DC604B"/>
    <w:rsid w:val="00DC74E7"/>
    <w:rsid w:val="00DD05D2"/>
    <w:rsid w:val="00DD1470"/>
    <w:rsid w:val="00DD1782"/>
    <w:rsid w:val="00DD189D"/>
    <w:rsid w:val="00DD43B0"/>
    <w:rsid w:val="00DD4C6B"/>
    <w:rsid w:val="00DE1D69"/>
    <w:rsid w:val="00DE20AB"/>
    <w:rsid w:val="00DE24D6"/>
    <w:rsid w:val="00DE34F1"/>
    <w:rsid w:val="00DE4CC3"/>
    <w:rsid w:val="00DE6160"/>
    <w:rsid w:val="00DE66E3"/>
    <w:rsid w:val="00DE7383"/>
    <w:rsid w:val="00DF4942"/>
    <w:rsid w:val="00DF70C1"/>
    <w:rsid w:val="00E000A2"/>
    <w:rsid w:val="00E00AA4"/>
    <w:rsid w:val="00E00E76"/>
    <w:rsid w:val="00E023B5"/>
    <w:rsid w:val="00E02AB6"/>
    <w:rsid w:val="00E03BEE"/>
    <w:rsid w:val="00E03E86"/>
    <w:rsid w:val="00E051BD"/>
    <w:rsid w:val="00E074A3"/>
    <w:rsid w:val="00E10135"/>
    <w:rsid w:val="00E20534"/>
    <w:rsid w:val="00E2125F"/>
    <w:rsid w:val="00E244E1"/>
    <w:rsid w:val="00E25E1F"/>
    <w:rsid w:val="00E27EC4"/>
    <w:rsid w:val="00E30B3B"/>
    <w:rsid w:val="00E36017"/>
    <w:rsid w:val="00E363C4"/>
    <w:rsid w:val="00E37563"/>
    <w:rsid w:val="00E4150C"/>
    <w:rsid w:val="00E434B3"/>
    <w:rsid w:val="00E46479"/>
    <w:rsid w:val="00E51261"/>
    <w:rsid w:val="00E52592"/>
    <w:rsid w:val="00E5263B"/>
    <w:rsid w:val="00E52D44"/>
    <w:rsid w:val="00E623BB"/>
    <w:rsid w:val="00E627B1"/>
    <w:rsid w:val="00E62EA2"/>
    <w:rsid w:val="00E62FA8"/>
    <w:rsid w:val="00E654F8"/>
    <w:rsid w:val="00E65907"/>
    <w:rsid w:val="00E6695D"/>
    <w:rsid w:val="00E70169"/>
    <w:rsid w:val="00E72B4C"/>
    <w:rsid w:val="00E73F0D"/>
    <w:rsid w:val="00E747A4"/>
    <w:rsid w:val="00E755A4"/>
    <w:rsid w:val="00E75978"/>
    <w:rsid w:val="00E802B7"/>
    <w:rsid w:val="00E9010E"/>
    <w:rsid w:val="00E92E3F"/>
    <w:rsid w:val="00E930E4"/>
    <w:rsid w:val="00E9376C"/>
    <w:rsid w:val="00E95AE2"/>
    <w:rsid w:val="00E96876"/>
    <w:rsid w:val="00E9788A"/>
    <w:rsid w:val="00EA0940"/>
    <w:rsid w:val="00EA335E"/>
    <w:rsid w:val="00EA4959"/>
    <w:rsid w:val="00EA528C"/>
    <w:rsid w:val="00EA5766"/>
    <w:rsid w:val="00EA580C"/>
    <w:rsid w:val="00EA7DB0"/>
    <w:rsid w:val="00EB6606"/>
    <w:rsid w:val="00EB6A41"/>
    <w:rsid w:val="00EB7C49"/>
    <w:rsid w:val="00EC42DA"/>
    <w:rsid w:val="00EC5EE4"/>
    <w:rsid w:val="00EC6563"/>
    <w:rsid w:val="00EC6F8D"/>
    <w:rsid w:val="00ED39B2"/>
    <w:rsid w:val="00ED639D"/>
    <w:rsid w:val="00ED67E0"/>
    <w:rsid w:val="00ED71BE"/>
    <w:rsid w:val="00EE112F"/>
    <w:rsid w:val="00EE3083"/>
    <w:rsid w:val="00EE49F4"/>
    <w:rsid w:val="00EE6705"/>
    <w:rsid w:val="00EF1C76"/>
    <w:rsid w:val="00EF34E2"/>
    <w:rsid w:val="00EF68F6"/>
    <w:rsid w:val="00F0103A"/>
    <w:rsid w:val="00F01414"/>
    <w:rsid w:val="00F02F2F"/>
    <w:rsid w:val="00F05B00"/>
    <w:rsid w:val="00F100C1"/>
    <w:rsid w:val="00F10CA2"/>
    <w:rsid w:val="00F1247F"/>
    <w:rsid w:val="00F12E09"/>
    <w:rsid w:val="00F15E00"/>
    <w:rsid w:val="00F17081"/>
    <w:rsid w:val="00F20B98"/>
    <w:rsid w:val="00F21139"/>
    <w:rsid w:val="00F216C0"/>
    <w:rsid w:val="00F22457"/>
    <w:rsid w:val="00F266B3"/>
    <w:rsid w:val="00F30DC6"/>
    <w:rsid w:val="00F31F96"/>
    <w:rsid w:val="00F32C23"/>
    <w:rsid w:val="00F333ED"/>
    <w:rsid w:val="00F40798"/>
    <w:rsid w:val="00F410AB"/>
    <w:rsid w:val="00F469CD"/>
    <w:rsid w:val="00F51057"/>
    <w:rsid w:val="00F52718"/>
    <w:rsid w:val="00F53DE9"/>
    <w:rsid w:val="00F576CB"/>
    <w:rsid w:val="00F57EE2"/>
    <w:rsid w:val="00F6318A"/>
    <w:rsid w:val="00F66961"/>
    <w:rsid w:val="00F7035D"/>
    <w:rsid w:val="00F70CC5"/>
    <w:rsid w:val="00F71A02"/>
    <w:rsid w:val="00F7252F"/>
    <w:rsid w:val="00F766A2"/>
    <w:rsid w:val="00F77AD1"/>
    <w:rsid w:val="00F816EA"/>
    <w:rsid w:val="00F84A8B"/>
    <w:rsid w:val="00F85855"/>
    <w:rsid w:val="00F85E8E"/>
    <w:rsid w:val="00F9271A"/>
    <w:rsid w:val="00F95BEF"/>
    <w:rsid w:val="00FA0D63"/>
    <w:rsid w:val="00FA10F5"/>
    <w:rsid w:val="00FA5ACC"/>
    <w:rsid w:val="00FB1B9D"/>
    <w:rsid w:val="00FB5B78"/>
    <w:rsid w:val="00FC216B"/>
    <w:rsid w:val="00FD1226"/>
    <w:rsid w:val="00FD2EE8"/>
    <w:rsid w:val="00FD4586"/>
    <w:rsid w:val="00FD4BC8"/>
    <w:rsid w:val="00FD72F6"/>
    <w:rsid w:val="00FD73B1"/>
    <w:rsid w:val="00FE1503"/>
    <w:rsid w:val="00FE3464"/>
    <w:rsid w:val="00FE42A9"/>
    <w:rsid w:val="00FE63D1"/>
    <w:rsid w:val="00FE6CC6"/>
    <w:rsid w:val="00FF0159"/>
    <w:rsid w:val="00FF0924"/>
    <w:rsid w:val="00FF4830"/>
    <w:rsid w:val="00FF4BA5"/>
    <w:rsid w:val="00FF4E18"/>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COMPara"/>
    <w:next w:val="Normal"/>
    <w:link w:val="Heading4Char"/>
    <w:qFormat/>
    <w:rsid w:val="008A2EBC"/>
    <w:pPr>
      <w:numPr>
        <w:numId w:val="4"/>
      </w:numPr>
      <w:spacing w:before="240"/>
      <w:ind w:left="567" w:hanging="297"/>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8A2EBC"/>
    <w:rPr>
      <w:rFonts w:ascii="Arial" w:eastAsia="Times New Roman" w:hAnsi="Arial" w:cs="Arial"/>
      <w:b/>
      <w:bCs/>
      <w:snapToGrid w:val="0"/>
      <w:sz w:val="22"/>
      <w:szCs w:val="22"/>
      <w:lang w:val="fr-FR"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3"/>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unhideWhenUsed/>
    <w:rsid w:val="004313C4"/>
    <w:rPr>
      <w:vertAlign w:val="superscript"/>
    </w:rPr>
  </w:style>
  <w:style w:type="character" w:styleId="Hyperlink">
    <w:name w:val="Hyperlink"/>
    <w:basedOn w:val="DefaultParagraphFont"/>
    <w:uiPriority w:val="99"/>
    <w:rsid w:val="00EC42DA"/>
    <w:rPr>
      <w:rFonts w:cs="Times New Roman"/>
      <w:color w:val="0000FF"/>
      <w:u w:val="single"/>
    </w:rPr>
  </w:style>
  <w:style w:type="character" w:styleId="CommentReference">
    <w:name w:val="annotation reference"/>
    <w:basedOn w:val="DefaultParagraphFont"/>
    <w:uiPriority w:val="99"/>
    <w:semiHidden/>
    <w:unhideWhenUsed/>
    <w:rsid w:val="001F591F"/>
    <w:rPr>
      <w:sz w:val="16"/>
      <w:szCs w:val="16"/>
    </w:rPr>
  </w:style>
  <w:style w:type="paragraph" w:styleId="CommentText">
    <w:name w:val="annotation text"/>
    <w:basedOn w:val="Normal"/>
    <w:link w:val="CommentTextChar"/>
    <w:unhideWhenUsed/>
    <w:rsid w:val="001F591F"/>
    <w:rPr>
      <w:sz w:val="20"/>
      <w:szCs w:val="20"/>
    </w:rPr>
  </w:style>
  <w:style w:type="character" w:customStyle="1" w:styleId="CommentTextChar">
    <w:name w:val="Comment Text Char"/>
    <w:basedOn w:val="DefaultParagraphFont"/>
    <w:link w:val="CommentText"/>
    <w:rsid w:val="001F591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591F"/>
    <w:rPr>
      <w:b/>
      <w:bCs/>
    </w:rPr>
  </w:style>
  <w:style w:type="character" w:customStyle="1" w:styleId="CommentSubjectChar">
    <w:name w:val="Comment Subject Char"/>
    <w:basedOn w:val="CommentTextChar"/>
    <w:link w:val="CommentSubject"/>
    <w:uiPriority w:val="99"/>
    <w:semiHidden/>
    <w:rsid w:val="001F591F"/>
    <w:rPr>
      <w:rFonts w:ascii="Times New Roman" w:eastAsia="Times New Roman" w:hAnsi="Times New Roman"/>
      <w:b/>
      <w:bCs/>
    </w:rPr>
  </w:style>
  <w:style w:type="character" w:styleId="UnresolvedMention">
    <w:name w:val="Unresolved Mention"/>
    <w:basedOn w:val="DefaultParagraphFont"/>
    <w:uiPriority w:val="99"/>
    <w:semiHidden/>
    <w:unhideWhenUsed/>
    <w:rsid w:val="003C41BF"/>
    <w:rPr>
      <w:color w:val="605E5C"/>
      <w:shd w:val="clear" w:color="auto" w:fill="E1DFDD"/>
    </w:rPr>
  </w:style>
  <w:style w:type="character" w:styleId="Strong">
    <w:name w:val="Strong"/>
    <w:basedOn w:val="DefaultParagraphFont"/>
    <w:uiPriority w:val="22"/>
    <w:qFormat/>
    <w:rsid w:val="00793230"/>
    <w:rPr>
      <w:b/>
      <w:bCs/>
    </w:rPr>
  </w:style>
  <w:style w:type="paragraph" w:customStyle="1" w:styleId="1GAPara">
    <w:name w:val="1. GA Para"/>
    <w:qFormat/>
    <w:rsid w:val="00CA7E4D"/>
    <w:pPr>
      <w:spacing w:after="120"/>
    </w:pPr>
    <w:rPr>
      <w:rFonts w:ascii="Arial" w:eastAsia="Times New Roman" w:hAnsi="Arial" w:cs="Arial"/>
      <w:snapToGrid w:val="0"/>
      <w:sz w:val="22"/>
      <w:szCs w:val="22"/>
      <w:lang w:eastAsia="en-US"/>
    </w:rPr>
  </w:style>
  <w:style w:type="character" w:styleId="FollowedHyperlink">
    <w:name w:val="FollowedHyperlink"/>
    <w:basedOn w:val="DefaultParagraphFont"/>
    <w:uiPriority w:val="99"/>
    <w:semiHidden/>
    <w:unhideWhenUsed/>
    <w:rsid w:val="00D77171"/>
    <w:rPr>
      <w:color w:val="800080" w:themeColor="followedHyperlink"/>
      <w:u w:val="single"/>
    </w:rPr>
  </w:style>
  <w:style w:type="paragraph" w:styleId="Revision">
    <w:name w:val="Revision"/>
    <w:hidden/>
    <w:uiPriority w:val="99"/>
    <w:semiHidden/>
    <w:rsid w:val="0016030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03125881">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82012940">
      <w:bodyDiv w:val="1"/>
      <w:marLeft w:val="0"/>
      <w:marRight w:val="0"/>
      <w:marTop w:val="0"/>
      <w:marBottom w:val="0"/>
      <w:divBdr>
        <w:top w:val="none" w:sz="0" w:space="0" w:color="auto"/>
        <w:left w:val="none" w:sz="0" w:space="0" w:color="auto"/>
        <w:bottom w:val="none" w:sz="0" w:space="0" w:color="auto"/>
        <w:right w:val="none" w:sz="0" w:space="0" w:color="auto"/>
      </w:divBdr>
    </w:div>
    <w:div w:id="1296984456">
      <w:bodyDiv w:val="1"/>
      <w:marLeft w:val="0"/>
      <w:marRight w:val="0"/>
      <w:marTop w:val="0"/>
      <w:marBottom w:val="0"/>
      <w:divBdr>
        <w:top w:val="none" w:sz="0" w:space="0" w:color="auto"/>
        <w:left w:val="none" w:sz="0" w:space="0" w:color="auto"/>
        <w:bottom w:val="none" w:sz="0" w:space="0" w:color="auto"/>
        <w:right w:val="none" w:sz="0" w:space="0" w:color="auto"/>
      </w:divBdr>
    </w:div>
    <w:div w:id="1297299934">
      <w:bodyDiv w:val="1"/>
      <w:marLeft w:val="0"/>
      <w:marRight w:val="0"/>
      <w:marTop w:val="0"/>
      <w:marBottom w:val="0"/>
      <w:divBdr>
        <w:top w:val="none" w:sz="0" w:space="0" w:color="auto"/>
        <w:left w:val="none" w:sz="0" w:space="0" w:color="auto"/>
        <w:bottom w:val="none" w:sz="0" w:space="0" w:color="auto"/>
        <w:right w:val="none" w:sz="0" w:space="0" w:color="auto"/>
      </w:divBdr>
    </w:div>
    <w:div w:id="1383019973">
      <w:bodyDiv w:val="1"/>
      <w:marLeft w:val="0"/>
      <w:marRight w:val="0"/>
      <w:marTop w:val="0"/>
      <w:marBottom w:val="0"/>
      <w:divBdr>
        <w:top w:val="none" w:sz="0" w:space="0" w:color="auto"/>
        <w:left w:val="none" w:sz="0" w:space="0" w:color="auto"/>
        <w:bottom w:val="none" w:sz="0" w:space="0" w:color="auto"/>
        <w:right w:val="none" w:sz="0" w:space="0" w:color="auto"/>
      </w:divBdr>
    </w:div>
    <w:div w:id="152482828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80808308">
      <w:bodyDiv w:val="1"/>
      <w:marLeft w:val="0"/>
      <w:marRight w:val="0"/>
      <w:marTop w:val="0"/>
      <w:marBottom w:val="0"/>
      <w:divBdr>
        <w:top w:val="none" w:sz="0" w:space="0" w:color="auto"/>
        <w:left w:val="none" w:sz="0" w:space="0" w:color="auto"/>
        <w:bottom w:val="none" w:sz="0" w:space="0" w:color="auto"/>
        <w:right w:val="none" w:sz="0" w:space="0" w:color="auto"/>
      </w:divBdr>
    </w:div>
    <w:div w:id="173508249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894610697">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fr/mondiacult2022" TargetMode="External"/><Relationship Id="rId13" Type="http://schemas.openxmlformats.org/officeDocument/2006/relationships/hyperlink" Target="https://ich.unesco.org/doc/src/LHE-23-18.COM-12_FR_Rev..docx" TargetMode="External"/><Relationship Id="rId18" Type="http://schemas.openxmlformats.org/officeDocument/2006/relationships/hyperlink" Target="https://ich.unesco.org/doc/src/66767-FR.docx" TargetMode="External"/><Relationship Id="rId26" Type="http://schemas.openxmlformats.org/officeDocument/2006/relationships/hyperlink" Target="https://ich.unesco.org/doc/src/65034.docx" TargetMode="External"/><Relationship Id="rId39" Type="http://schemas.openxmlformats.org/officeDocument/2006/relationships/hyperlink" Target="https://ich.unesco.org/fr/les-principes-et-modalites-operationnels-en-situations-d-urgence-01143" TargetMode="External"/><Relationship Id="rId3" Type="http://schemas.openxmlformats.org/officeDocument/2006/relationships/styles" Target="styles.xml"/><Relationship Id="rId21" Type="http://schemas.openxmlformats.org/officeDocument/2006/relationships/hyperlink" Target="https://ich.unesco.org/doc/src/65163-FR.docx" TargetMode="External"/><Relationship Id="rId34" Type="http://schemas.openxmlformats.org/officeDocument/2006/relationships/hyperlink" Target="https://ich.unesco.org/fr/les-principes-et-modalites-operationnels-en-situations-d-urgence-0114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h.unesco.org/fr/decisions/18.COM/12" TargetMode="External"/><Relationship Id="rId17" Type="http://schemas.openxmlformats.org/officeDocument/2006/relationships/hyperlink" Target="https://ich.unesco.org/doc/src/66490.docx" TargetMode="External"/><Relationship Id="rId25" Type="http://schemas.openxmlformats.org/officeDocument/2006/relationships/hyperlink" Target="https://ich.unesco.org/doc/src/65055-FR.docx" TargetMode="External"/><Relationship Id="rId33" Type="http://schemas.openxmlformats.org/officeDocument/2006/relationships/hyperlink" Target="https://ich.unesco.org/doc/src/2003_Convention_Basic_Texts_2022_version-FR.pdf" TargetMode="External"/><Relationship Id="rId38" Type="http://schemas.openxmlformats.org/officeDocument/2006/relationships/hyperlink" Target="https://unesdoc.unesco.org/ark:/48223/pf0000262748_fre" TargetMode="External"/><Relationship Id="rId2" Type="http://schemas.openxmlformats.org/officeDocument/2006/relationships/numbering" Target="numbering.xml"/><Relationship Id="rId16" Type="http://schemas.openxmlformats.org/officeDocument/2006/relationships/hyperlink" Target="https://ich.unesco.org/fr/decisions/18.COM/12" TargetMode="External"/><Relationship Id="rId20" Type="http://schemas.openxmlformats.org/officeDocument/2006/relationships/hyperlink" Target="https://ich.unesco.org/doc/src/65033-FR.docx" TargetMode="External"/><Relationship Id="rId29" Type="http://schemas.openxmlformats.org/officeDocument/2006/relationships/hyperlink" Target="https://ich.unesco.org/fr/les-principes-et-modalites-operationnels-en-situations-d-urgence-0114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un.org/doc/undoc/gen/n24/272/23/pdf/n2427223.pdf" TargetMode="External"/><Relationship Id="rId24" Type="http://schemas.openxmlformats.org/officeDocument/2006/relationships/hyperlink" Target="https://ich.unesco.org/doc/src/66768-FR.docx" TargetMode="External"/><Relationship Id="rId32" Type="http://schemas.openxmlformats.org/officeDocument/2006/relationships/hyperlink" Target="https://ich.unesco.org/doc/src/2003_Convention_Basic_Texts_2022_version-FR.pdf" TargetMode="External"/><Relationship Id="rId37" Type="http://schemas.openxmlformats.org/officeDocument/2006/relationships/hyperlink" Target="https://unesdoc.unesco.org/ark:/48223/pf0000260129_fr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fr/livelihoods-01315" TargetMode="External"/><Relationship Id="rId23" Type="http://schemas.openxmlformats.org/officeDocument/2006/relationships/hyperlink" Target="https://ich.unesco.org/doc/src/65051-FR.docx" TargetMode="External"/><Relationship Id="rId28" Type="http://schemas.openxmlformats.org/officeDocument/2006/relationships/hyperlink" Target="https://ich.unesco.org/fr/decisions/18.COM/12" TargetMode="External"/><Relationship Id="rId36" Type="http://schemas.openxmlformats.org/officeDocument/2006/relationships/hyperlink" Target="https://ich.unesco.org/fr/ethique-et-pci-00866" TargetMode="External"/><Relationship Id="rId10" Type="http://schemas.openxmlformats.org/officeDocument/2006/relationships/hyperlink" Target="https://www.unesco.org/fr/articles/lunesco-salue-la-declaration-des-ministres-de-la-culture-du-g7" TargetMode="External"/><Relationship Id="rId19" Type="http://schemas.openxmlformats.org/officeDocument/2006/relationships/hyperlink" Target="https://ich.unesco.org/doc/src/66345-FR.docx" TargetMode="External"/><Relationship Id="rId31" Type="http://schemas.openxmlformats.org/officeDocument/2006/relationships/hyperlink" Target="https://www.unesco.org/sites/default/files/medias/fichiers/2022/10/6.MONDIACULT_EN_DRAFT%20FINAL%20DECLARATION_FINAL_1.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esco.org/fr/g20" TargetMode="External"/><Relationship Id="rId14" Type="http://schemas.openxmlformats.org/officeDocument/2006/relationships/hyperlink" Target="https://ich.unesco.org/fr/decisions/18.COM/12" TargetMode="External"/><Relationship Id="rId22" Type="http://schemas.openxmlformats.org/officeDocument/2006/relationships/hyperlink" Target="https://ich.unesco.org/doc/src/65054-FR.docx" TargetMode="External"/><Relationship Id="rId27" Type="http://schemas.openxmlformats.org/officeDocument/2006/relationships/hyperlink" Target="https://ich.unesco.org/doc/src/LHE-24-19.COM-13_FR.docx" TargetMode="External"/><Relationship Id="rId30" Type="http://schemas.openxmlformats.org/officeDocument/2006/relationships/hyperlink" Target="https://ich.unesco.org/fr/ethique-et-pci-00866" TargetMode="External"/><Relationship Id="rId35" Type="http://schemas.openxmlformats.org/officeDocument/2006/relationships/hyperlink" Target="https://ich.unesco.org/doc/src/2003_Convention_Basic_Texts_2022_version-FR.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doc/src/66768-FR.docx" TargetMode="External"/><Relationship Id="rId1" Type="http://schemas.openxmlformats.org/officeDocument/2006/relationships/hyperlink" Target="https://ich.unesco.org/fr/reunion-d-experts-categorie-vi-sur-la-sauvegarde-du-patrimoine-culturel-immateriel-et-le-changement-climatique-013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1896</TotalTime>
  <Pages>17</Pages>
  <Words>9526</Words>
  <Characters>52397</Characters>
  <Application>Microsoft Office Word</Application>
  <DocSecurity>0</DocSecurity>
  <Lines>436</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687</cp:revision>
  <cp:lastPrinted>2011-08-06T10:22:00Z</cp:lastPrinted>
  <dcterms:created xsi:type="dcterms:W3CDTF">2024-10-02T10:05:00Z</dcterms:created>
  <dcterms:modified xsi:type="dcterms:W3CDTF">2024-11-04T19:17:00Z</dcterms:modified>
</cp:coreProperties>
</file>