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1D025" w14:textId="77777777" w:rsidR="00BC3420" w:rsidRPr="00736E2F" w:rsidRDefault="00BC3420" w:rsidP="00BC3420">
      <w:pPr>
        <w:spacing w:before="1440"/>
        <w:jc w:val="center"/>
        <w:rPr>
          <w:rFonts w:ascii="Arial" w:hAnsi="Arial" w:cs="Arial"/>
          <w:b/>
          <w:sz w:val="22"/>
          <w:szCs w:val="22"/>
        </w:rPr>
      </w:pPr>
      <w:r w:rsidRPr="00736E2F">
        <w:rPr>
          <w:rFonts w:ascii="Arial" w:hAnsi="Arial" w:cs="Arial"/>
          <w:b/>
          <w:sz w:val="22"/>
          <w:szCs w:val="22"/>
        </w:rPr>
        <w:t>CONVENTION POUR LA SAUVEGARDE DU</w:t>
      </w:r>
      <w:r w:rsidRPr="00736E2F">
        <w:rPr>
          <w:rFonts w:ascii="Arial" w:hAnsi="Arial" w:cs="Arial"/>
          <w:b/>
          <w:sz w:val="22"/>
          <w:szCs w:val="22"/>
        </w:rPr>
        <w:br/>
        <w:t>PATRIMOINE CULTUREL IMMATÉRIEL</w:t>
      </w:r>
    </w:p>
    <w:p w14:paraId="2F1AD104" w14:textId="77777777" w:rsidR="00BC3420" w:rsidRPr="00736E2F" w:rsidRDefault="00BC3420" w:rsidP="00BC3420">
      <w:pPr>
        <w:spacing w:before="1200"/>
        <w:jc w:val="center"/>
        <w:rPr>
          <w:rFonts w:ascii="Arial" w:hAnsi="Arial" w:cs="Arial"/>
          <w:b/>
          <w:sz w:val="22"/>
          <w:szCs w:val="22"/>
        </w:rPr>
      </w:pPr>
      <w:r w:rsidRPr="00736E2F">
        <w:rPr>
          <w:rFonts w:ascii="Arial" w:hAnsi="Arial" w:cs="Arial"/>
          <w:b/>
          <w:sz w:val="22"/>
          <w:szCs w:val="22"/>
        </w:rPr>
        <w:t>COMITÉ INTERGOUVERNEMENTAL DE SAUVEGARDE</w:t>
      </w:r>
      <w:r w:rsidRPr="00736E2F">
        <w:rPr>
          <w:rFonts w:ascii="Arial" w:hAnsi="Arial" w:cs="Arial"/>
          <w:b/>
          <w:sz w:val="22"/>
          <w:szCs w:val="22"/>
        </w:rPr>
        <w:br/>
        <w:t>DU PATRIMOINE CULTUREL IMMATÉRIEL</w:t>
      </w:r>
    </w:p>
    <w:p w14:paraId="32D15B6C" w14:textId="0EAF3647" w:rsidR="00BC3420" w:rsidRPr="00736E2F" w:rsidRDefault="007A000F" w:rsidP="00F4581D">
      <w:pPr>
        <w:spacing w:before="840"/>
        <w:jc w:val="center"/>
        <w:rPr>
          <w:rFonts w:ascii="Arial" w:hAnsi="Arial" w:cs="Arial"/>
          <w:b/>
          <w:sz w:val="22"/>
          <w:szCs w:val="22"/>
        </w:rPr>
      </w:pPr>
      <w:r w:rsidRPr="00736E2F">
        <w:rPr>
          <w:rFonts w:ascii="Arial" w:hAnsi="Arial" w:cs="Arial"/>
          <w:b/>
          <w:sz w:val="22"/>
          <w:szCs w:val="22"/>
        </w:rPr>
        <w:t>Dix-</w:t>
      </w:r>
      <w:r w:rsidR="00247AFC" w:rsidRPr="00736E2F">
        <w:rPr>
          <w:rFonts w:ascii="Arial" w:hAnsi="Arial" w:cs="Arial"/>
          <w:b/>
          <w:sz w:val="22"/>
          <w:szCs w:val="22"/>
        </w:rPr>
        <w:t>neuvième</w:t>
      </w:r>
      <w:r w:rsidR="00F4581D" w:rsidRPr="00736E2F">
        <w:rPr>
          <w:rFonts w:ascii="Arial" w:hAnsi="Arial" w:cs="Arial"/>
          <w:b/>
          <w:sz w:val="22"/>
          <w:szCs w:val="22"/>
        </w:rPr>
        <w:t xml:space="preserve"> </w:t>
      </w:r>
      <w:r w:rsidR="00BC3420" w:rsidRPr="00736E2F">
        <w:rPr>
          <w:rFonts w:ascii="Arial" w:hAnsi="Arial" w:cs="Arial"/>
          <w:b/>
          <w:sz w:val="22"/>
          <w:szCs w:val="22"/>
        </w:rPr>
        <w:t>session</w:t>
      </w:r>
    </w:p>
    <w:p w14:paraId="7309CEF6" w14:textId="1A4BEB0E" w:rsidR="00F4581D" w:rsidRPr="00736E2F" w:rsidRDefault="00247AFC" w:rsidP="00F4581D">
      <w:pPr>
        <w:jc w:val="center"/>
        <w:rPr>
          <w:rFonts w:ascii="Arial" w:hAnsi="Arial" w:cs="Arial"/>
          <w:b/>
          <w:sz w:val="22"/>
        </w:rPr>
      </w:pPr>
      <w:r w:rsidRPr="00736E2F">
        <w:rPr>
          <w:rFonts w:ascii="Arial" w:hAnsi="Arial" w:cs="Arial"/>
          <w:b/>
          <w:sz w:val="22"/>
        </w:rPr>
        <w:t>Asunción</w:t>
      </w:r>
      <w:r w:rsidR="004417A7" w:rsidRPr="00736E2F">
        <w:rPr>
          <w:rFonts w:ascii="Arial" w:hAnsi="Arial" w:cs="Arial"/>
          <w:b/>
          <w:sz w:val="22"/>
        </w:rPr>
        <w:t xml:space="preserve">, </w:t>
      </w:r>
      <w:r w:rsidR="008F5A4F" w:rsidRPr="00736E2F">
        <w:rPr>
          <w:rFonts w:ascii="Arial" w:hAnsi="Arial" w:cs="Arial"/>
          <w:b/>
          <w:sz w:val="22"/>
        </w:rPr>
        <w:t xml:space="preserve">République du </w:t>
      </w:r>
      <w:r w:rsidRPr="00736E2F">
        <w:rPr>
          <w:rFonts w:ascii="Arial" w:hAnsi="Arial" w:cs="Arial"/>
          <w:b/>
          <w:sz w:val="22"/>
        </w:rPr>
        <w:t>Paraguay</w:t>
      </w:r>
    </w:p>
    <w:p w14:paraId="552550E8" w14:textId="1BC1C890" w:rsidR="00EF74E3" w:rsidRPr="00736E2F" w:rsidRDefault="00247AFC" w:rsidP="00F4581D">
      <w:pPr>
        <w:jc w:val="center"/>
        <w:rPr>
          <w:rFonts w:ascii="Arial" w:hAnsi="Arial" w:cs="Arial"/>
          <w:b/>
          <w:sz w:val="22"/>
        </w:rPr>
      </w:pPr>
      <w:r w:rsidRPr="00736E2F">
        <w:rPr>
          <w:rFonts w:ascii="Arial" w:hAnsi="Arial" w:cs="Arial"/>
          <w:b/>
          <w:sz w:val="22"/>
        </w:rPr>
        <w:t>2</w:t>
      </w:r>
      <w:r w:rsidR="00171986" w:rsidRPr="00736E2F">
        <w:rPr>
          <w:rFonts w:ascii="Arial" w:hAnsi="Arial" w:cs="Arial"/>
          <w:b/>
          <w:sz w:val="22"/>
        </w:rPr>
        <w:t xml:space="preserve"> </w:t>
      </w:r>
      <w:r w:rsidR="007A000F" w:rsidRPr="00736E2F">
        <w:rPr>
          <w:rFonts w:ascii="Arial" w:hAnsi="Arial" w:cs="Arial"/>
          <w:b/>
          <w:sz w:val="22"/>
        </w:rPr>
        <w:t>–</w:t>
      </w:r>
      <w:r w:rsidR="00F4581D" w:rsidRPr="00736E2F">
        <w:rPr>
          <w:rFonts w:ascii="Arial" w:hAnsi="Arial" w:cs="Arial"/>
          <w:b/>
          <w:sz w:val="22"/>
        </w:rPr>
        <w:t xml:space="preserve"> </w:t>
      </w:r>
      <w:r w:rsidRPr="00736E2F">
        <w:rPr>
          <w:rFonts w:ascii="Arial" w:hAnsi="Arial" w:cs="Arial"/>
          <w:b/>
          <w:sz w:val="22"/>
        </w:rPr>
        <w:t>7</w:t>
      </w:r>
      <w:r w:rsidR="007A000F" w:rsidRPr="00736E2F">
        <w:rPr>
          <w:rFonts w:ascii="Arial" w:hAnsi="Arial" w:cs="Arial"/>
          <w:b/>
          <w:sz w:val="22"/>
        </w:rPr>
        <w:t xml:space="preserve"> </w:t>
      </w:r>
      <w:r w:rsidR="00F4581D" w:rsidRPr="00736E2F">
        <w:rPr>
          <w:rFonts w:ascii="Arial" w:hAnsi="Arial" w:cs="Arial"/>
          <w:b/>
          <w:sz w:val="22"/>
        </w:rPr>
        <w:t>décembre 202</w:t>
      </w:r>
      <w:r w:rsidRPr="00736E2F">
        <w:rPr>
          <w:rFonts w:ascii="Arial" w:hAnsi="Arial" w:cs="Arial"/>
          <w:b/>
          <w:sz w:val="22"/>
        </w:rPr>
        <w:t>4</w:t>
      </w:r>
    </w:p>
    <w:p w14:paraId="72EF57E2" w14:textId="21F1F46B" w:rsidR="008F09EC" w:rsidRPr="00736E2F" w:rsidRDefault="008F09EC" w:rsidP="008F09EC">
      <w:pPr>
        <w:pStyle w:val="Sansinterligne2"/>
        <w:spacing w:before="1200"/>
        <w:jc w:val="center"/>
        <w:rPr>
          <w:rFonts w:ascii="Arial" w:hAnsi="Arial" w:cs="Arial"/>
          <w:b/>
          <w:sz w:val="22"/>
          <w:szCs w:val="22"/>
        </w:rPr>
      </w:pPr>
      <w:r w:rsidRPr="00736E2F">
        <w:rPr>
          <w:rFonts w:ascii="Arial" w:hAnsi="Arial" w:cs="Arial"/>
          <w:b/>
          <w:sz w:val="22"/>
          <w:szCs w:val="22"/>
          <w:u w:val="single"/>
        </w:rPr>
        <w:t xml:space="preserve">Point </w:t>
      </w:r>
      <w:r w:rsidR="00CE7C1E" w:rsidRPr="00736E2F">
        <w:rPr>
          <w:rFonts w:ascii="Arial" w:hAnsi="Arial" w:cs="Arial"/>
          <w:b/>
          <w:sz w:val="22"/>
          <w:szCs w:val="22"/>
          <w:u w:val="single"/>
        </w:rPr>
        <w:t>10</w:t>
      </w:r>
      <w:r w:rsidRPr="00736E2F">
        <w:rPr>
          <w:rFonts w:ascii="Arial" w:hAnsi="Arial" w:cs="Arial"/>
          <w:b/>
          <w:sz w:val="22"/>
          <w:szCs w:val="22"/>
          <w:u w:val="single"/>
        </w:rPr>
        <w:t xml:space="preserve"> de l</w:t>
      </w:r>
      <w:r w:rsidR="00CE7C1E" w:rsidRPr="00736E2F">
        <w:rPr>
          <w:rFonts w:ascii="Arial" w:hAnsi="Arial" w:cs="Arial"/>
          <w:b/>
          <w:sz w:val="22"/>
          <w:szCs w:val="22"/>
          <w:u w:val="single"/>
        </w:rPr>
        <w:t>’</w:t>
      </w:r>
      <w:r w:rsidRPr="00736E2F">
        <w:rPr>
          <w:rFonts w:ascii="Arial" w:hAnsi="Arial" w:cs="Arial"/>
          <w:b/>
          <w:sz w:val="22"/>
          <w:szCs w:val="22"/>
          <w:u w:val="single"/>
        </w:rPr>
        <w:t>ordre du jour provisoire</w:t>
      </w:r>
      <w:r w:rsidRPr="00736E2F">
        <w:rPr>
          <w:rFonts w:ascii="Arial" w:hAnsi="Arial" w:cs="Arial"/>
          <w:b/>
          <w:sz w:val="22"/>
          <w:szCs w:val="22"/>
        </w:rPr>
        <w:t> :</w:t>
      </w:r>
    </w:p>
    <w:p w14:paraId="630B69F1" w14:textId="11AAED2A" w:rsidR="008F09EC" w:rsidRPr="00736E2F" w:rsidRDefault="00CE7C1E" w:rsidP="00114C01">
      <w:pPr>
        <w:pStyle w:val="Sansinterligne"/>
        <w:tabs>
          <w:tab w:val="left" w:pos="4410"/>
          <w:tab w:val="center" w:pos="4819"/>
        </w:tabs>
        <w:spacing w:after="1200"/>
        <w:jc w:val="center"/>
        <w:rPr>
          <w:rFonts w:ascii="Arial" w:hAnsi="Arial" w:cs="Arial"/>
          <w:b/>
          <w:sz w:val="22"/>
          <w:szCs w:val="22"/>
        </w:rPr>
      </w:pPr>
      <w:r w:rsidRPr="00736E2F">
        <w:rPr>
          <w:rFonts w:ascii="Arial" w:hAnsi="Arial" w:cs="Arial"/>
          <w:b/>
          <w:sz w:val="22"/>
          <w:szCs w:val="22"/>
        </w:rPr>
        <w:t>Mise en œuvre plus large de l’article 18 de la Convention</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736E2F" w14:paraId="730CE323" w14:textId="77777777" w:rsidTr="00FF2F30">
        <w:trPr>
          <w:jc w:val="center"/>
        </w:trPr>
        <w:tc>
          <w:tcPr>
            <w:tcW w:w="7825" w:type="dxa"/>
            <w:vAlign w:val="center"/>
          </w:tcPr>
          <w:p w14:paraId="47EC31AB" w14:textId="77777777" w:rsidR="008F09EC" w:rsidRPr="00736E2F" w:rsidRDefault="008F09EC" w:rsidP="00FF2F30">
            <w:pPr>
              <w:pStyle w:val="Sansinterligne1"/>
              <w:spacing w:before="200" w:after="200"/>
              <w:jc w:val="center"/>
              <w:rPr>
                <w:rFonts w:ascii="Arial" w:hAnsi="Arial" w:cs="Arial"/>
                <w:b/>
                <w:sz w:val="22"/>
                <w:szCs w:val="22"/>
              </w:rPr>
            </w:pPr>
            <w:r w:rsidRPr="00736E2F">
              <w:rPr>
                <w:rFonts w:ascii="Arial" w:hAnsi="Arial" w:cs="Arial"/>
                <w:b/>
                <w:sz w:val="22"/>
                <w:szCs w:val="22"/>
              </w:rPr>
              <w:t>Résumé</w:t>
            </w:r>
          </w:p>
          <w:p w14:paraId="48861C19" w14:textId="43F11D81" w:rsidR="00CE7C1E" w:rsidRPr="00736E2F" w:rsidRDefault="00CE7C1E" w:rsidP="00CE7C1E">
            <w:pPr>
              <w:jc w:val="both"/>
              <w:rPr>
                <w:rStyle w:val="Lienhypertexte"/>
                <w:rFonts w:ascii="Arial" w:eastAsia="Times" w:hAnsi="Arial" w:cs="Arial"/>
                <w:color w:val="000000" w:themeColor="text1"/>
                <w:sz w:val="22"/>
                <w:szCs w:val="22"/>
                <w:u w:val="none"/>
              </w:rPr>
            </w:pPr>
            <w:r w:rsidRPr="00736E2F">
              <w:rPr>
                <w:rFonts w:ascii="Arial" w:hAnsi="Arial" w:cs="Arial"/>
                <w:sz w:val="22"/>
                <w:szCs w:val="22"/>
              </w:rPr>
              <w:t xml:space="preserve">Le présent document décrit les progrès réalisés dans la réflexion en cours sur une mise en œuvre plus large de l’article 18 de la Convention, en mettant </w:t>
            </w:r>
            <w:r w:rsidRPr="00736E2F">
              <w:rPr>
                <w:rFonts w:ascii="Arial" w:hAnsi="Arial" w:cs="Arial"/>
                <w:bCs/>
                <w:snapToGrid w:val="0"/>
                <w:sz w:val="22"/>
                <w:szCs w:val="22"/>
                <w:lang w:eastAsia="en-US"/>
              </w:rPr>
              <w:t>l</w:t>
            </w:r>
            <w:r w:rsidRPr="00736E2F">
              <w:rPr>
                <w:rFonts w:ascii="Arial" w:hAnsi="Arial" w:cs="Arial"/>
                <w:sz w:val="22"/>
                <w:szCs w:val="22"/>
              </w:rPr>
              <w:t xml:space="preserve">’accent sur la </w:t>
            </w:r>
            <w:r w:rsidRPr="00736E2F">
              <w:rPr>
                <w:rFonts w:ascii="Arial" w:hAnsi="Arial" w:cs="Arial"/>
                <w:bCs/>
                <w:snapToGrid w:val="0"/>
                <w:sz w:val="22"/>
                <w:szCs w:val="22"/>
                <w:lang w:eastAsia="en-US"/>
              </w:rPr>
              <w:t>mise en place de la plateforme en ligne pour le partage de bonnes expériences de sauvegarde.</w:t>
            </w:r>
          </w:p>
          <w:p w14:paraId="17E62457" w14:textId="5BF0D734" w:rsidR="008F09EC" w:rsidRPr="00736E2F" w:rsidRDefault="00CE7C1E" w:rsidP="00CE7C1E">
            <w:pPr>
              <w:pStyle w:val="Sansinterligne2"/>
              <w:spacing w:before="200" w:after="200"/>
              <w:ind w:right="284"/>
              <w:jc w:val="both"/>
              <w:rPr>
                <w:rFonts w:ascii="Arial" w:hAnsi="Arial" w:cs="Arial"/>
                <w:b/>
                <w:sz w:val="22"/>
                <w:szCs w:val="22"/>
              </w:rPr>
            </w:pPr>
            <w:r w:rsidRPr="00736E2F">
              <w:rPr>
                <w:rFonts w:ascii="Arial" w:hAnsi="Arial" w:cs="Arial"/>
                <w:b/>
                <w:sz w:val="22"/>
                <w:szCs w:val="22"/>
              </w:rPr>
              <w:t xml:space="preserve">Décision requise : </w:t>
            </w:r>
            <w:r w:rsidRPr="00736E2F">
              <w:rPr>
                <w:rFonts w:ascii="Arial" w:hAnsi="Arial" w:cs="Arial"/>
                <w:bCs/>
                <w:sz w:val="22"/>
                <w:szCs w:val="22"/>
              </w:rPr>
              <w:t>paragraphe 9</w:t>
            </w:r>
          </w:p>
        </w:tc>
      </w:tr>
    </w:tbl>
    <w:p w14:paraId="5072A522" w14:textId="77777777" w:rsidR="009B5302" w:rsidRPr="00736E2F" w:rsidRDefault="00BC3420" w:rsidP="007E60C6">
      <w:pPr>
        <w:pStyle w:val="COMTitleDecision"/>
        <w:spacing w:before="360" w:after="240"/>
        <w:ind w:left="0"/>
      </w:pPr>
      <w:r w:rsidRPr="00736E2F">
        <w:br w:type="page"/>
      </w:r>
    </w:p>
    <w:p w14:paraId="20685ED5" w14:textId="77777777" w:rsidR="00CE7C1E" w:rsidRPr="00736E2F" w:rsidRDefault="00CE7C1E" w:rsidP="00CE7C1E">
      <w:pPr>
        <w:keepNext/>
        <w:spacing w:before="240" w:after="120"/>
        <w:jc w:val="both"/>
        <w:rPr>
          <w:rFonts w:ascii="Arial" w:hAnsi="Arial" w:cs="Arial"/>
          <w:b/>
          <w:bCs/>
          <w:snapToGrid w:val="0"/>
          <w:sz w:val="22"/>
          <w:szCs w:val="22"/>
          <w:lang w:eastAsia="en-US"/>
        </w:rPr>
      </w:pPr>
      <w:r w:rsidRPr="00736E2F">
        <w:rPr>
          <w:rFonts w:ascii="Arial" w:hAnsi="Arial" w:cs="Arial"/>
          <w:b/>
          <w:bCs/>
          <w:snapToGrid w:val="0"/>
          <w:sz w:val="22"/>
          <w:szCs w:val="22"/>
          <w:lang w:eastAsia="en-US"/>
        </w:rPr>
        <w:lastRenderedPageBreak/>
        <w:t>Contexte</w:t>
      </w:r>
    </w:p>
    <w:p w14:paraId="5F0AC66D" w14:textId="41AA638D" w:rsidR="00CE7C1E" w:rsidRPr="00736E2F" w:rsidRDefault="00CE7C1E" w:rsidP="00CE7C1E">
      <w:pPr>
        <w:pStyle w:val="COMPara"/>
        <w:numPr>
          <w:ilvl w:val="0"/>
          <w:numId w:val="25"/>
        </w:numPr>
        <w:ind w:left="567" w:hanging="567"/>
        <w:jc w:val="both"/>
        <w:rPr>
          <w:lang w:val="fr-FR"/>
        </w:rPr>
      </w:pPr>
      <w:proofErr w:type="gramStart"/>
      <w:r w:rsidRPr="00736E2F">
        <w:rPr>
          <w:lang w:val="fr-FR"/>
        </w:rPr>
        <w:t>Suite à</w:t>
      </w:r>
      <w:proofErr w:type="gramEnd"/>
      <w:r w:rsidRPr="00736E2F">
        <w:rPr>
          <w:lang w:val="fr-FR"/>
        </w:rPr>
        <w:t xml:space="preserve"> la réflexion globale sur les mécanismes d’inscription </w:t>
      </w:r>
      <w:r w:rsidR="00453FEA" w:rsidRPr="00736E2F">
        <w:rPr>
          <w:lang w:val="fr-FR"/>
        </w:rPr>
        <w:t xml:space="preserve">sur les listes </w:t>
      </w:r>
      <w:r w:rsidRPr="00736E2F">
        <w:rPr>
          <w:lang w:val="fr-FR"/>
        </w:rPr>
        <w:t>de la Convention de 2003, le Comité, lors de sa seizième session (</w:t>
      </w:r>
      <w:r w:rsidR="00560B9C" w:rsidRPr="00736E2F">
        <w:rPr>
          <w:lang w:val="fr-FR"/>
        </w:rPr>
        <w:t>D</w:t>
      </w:r>
      <w:r w:rsidRPr="00736E2F">
        <w:rPr>
          <w:lang w:val="fr-FR"/>
        </w:rPr>
        <w:t xml:space="preserve">écision </w:t>
      </w:r>
      <w:hyperlink r:id="rId8" w:history="1">
        <w:r w:rsidRPr="00736E2F">
          <w:rPr>
            <w:rFonts w:eastAsia="Times"/>
            <w:color w:val="0000FF" w:themeColor="hyperlink"/>
            <w:u w:val="single"/>
            <w:lang w:val="fr-FR"/>
          </w:rPr>
          <w:t>16.COM 14</w:t>
        </w:r>
      </w:hyperlink>
      <w:r w:rsidRPr="00736E2F">
        <w:rPr>
          <w:lang w:val="fr-FR"/>
        </w:rPr>
        <w:t xml:space="preserve">), a lancé une réflexion séparée afin d’explorer tout le potentiel de l’article 18 de la Convention de 2003 et la manière de le mettre en œuvre de manière plus large. L’idée était non seulement de continuer à discuter des questions soulevées lors de la réflexion globale concernant le </w:t>
      </w:r>
      <w:r w:rsidR="00FF4291" w:rsidRPr="00736E2F">
        <w:rPr>
          <w:lang w:val="fr-FR"/>
        </w:rPr>
        <w:t>R</w:t>
      </w:r>
      <w:r w:rsidRPr="00736E2F">
        <w:rPr>
          <w:lang w:val="fr-FR"/>
        </w:rPr>
        <w:t xml:space="preserve">egistre de bonnes pratiques de sauvegarde (ci-après </w:t>
      </w:r>
      <w:r w:rsidR="00500494" w:rsidRPr="00736E2F">
        <w:rPr>
          <w:lang w:val="fr-FR"/>
        </w:rPr>
        <w:t>« </w:t>
      </w:r>
      <w:r w:rsidRPr="00736E2F">
        <w:rPr>
          <w:lang w:val="fr-FR"/>
        </w:rPr>
        <w:t xml:space="preserve">le </w:t>
      </w:r>
      <w:r w:rsidR="00FF4291" w:rsidRPr="00736E2F">
        <w:rPr>
          <w:lang w:val="fr-FR"/>
        </w:rPr>
        <w:t>R</w:t>
      </w:r>
      <w:r w:rsidRPr="00736E2F">
        <w:rPr>
          <w:lang w:val="fr-FR"/>
        </w:rPr>
        <w:t>egistre</w:t>
      </w:r>
      <w:r w:rsidR="00500494" w:rsidRPr="00736E2F">
        <w:rPr>
          <w:lang w:val="fr-FR"/>
        </w:rPr>
        <w:t> »</w:t>
      </w:r>
      <w:r w:rsidRPr="00736E2F">
        <w:rPr>
          <w:lang w:val="fr-FR"/>
        </w:rPr>
        <w:t xml:space="preserve">), mais aussi de prêter attention à la mise en œuvre de l’article 18 au-delà des mécanismes d’inscription sur </w:t>
      </w:r>
      <w:r w:rsidR="00453FEA" w:rsidRPr="00736E2F">
        <w:rPr>
          <w:lang w:val="fr-FR"/>
        </w:rPr>
        <w:t>les listes</w:t>
      </w:r>
      <w:r w:rsidRPr="00736E2F">
        <w:rPr>
          <w:lang w:val="fr-FR"/>
        </w:rPr>
        <w:t xml:space="preserve">. Avec le soutien du Royaume de Suède, une réunion d’experts de catégorie VI (19 </w:t>
      </w:r>
      <w:r w:rsidR="00453FEA" w:rsidRPr="00736E2F">
        <w:rPr>
          <w:lang w:val="fr-FR"/>
        </w:rPr>
        <w:t xml:space="preserve">– </w:t>
      </w:r>
      <w:r w:rsidRPr="00736E2F">
        <w:rPr>
          <w:lang w:val="fr-FR"/>
        </w:rPr>
        <w:t>21</w:t>
      </w:r>
      <w:r w:rsidR="00453FEA" w:rsidRPr="00736E2F">
        <w:rPr>
          <w:lang w:val="fr-FR"/>
        </w:rPr>
        <w:t xml:space="preserve"> </w:t>
      </w:r>
      <w:r w:rsidRPr="00736E2F">
        <w:rPr>
          <w:lang w:val="fr-FR"/>
        </w:rPr>
        <w:t>avril 2023</w:t>
      </w:r>
      <w:r w:rsidR="00B52A11" w:rsidRPr="00736E2F">
        <w:rPr>
          <w:lang w:val="fr-FR"/>
        </w:rPr>
        <w:t>,</w:t>
      </w:r>
      <w:r w:rsidRPr="00736E2F">
        <w:rPr>
          <w:lang w:val="fr-FR"/>
        </w:rPr>
        <w:t xml:space="preserve"> Stockholm, Suède) et une réunion du groupe de travail intergouvernemental à composition non limitée (4</w:t>
      </w:r>
      <w:r w:rsidR="00736E2F" w:rsidRPr="00736E2F">
        <w:rPr>
          <w:lang w:val="fr-FR"/>
        </w:rPr>
        <w:t> </w:t>
      </w:r>
      <w:r w:rsidRPr="00736E2F">
        <w:rPr>
          <w:lang w:val="fr-FR"/>
        </w:rPr>
        <w:t>et 5 juillet 2023, Siège de l’UNESCO) ont été organisées pour discuter des sujets de réflexion.</w:t>
      </w:r>
    </w:p>
    <w:p w14:paraId="3B6B3484" w14:textId="18403BC8" w:rsidR="00CE7C1E" w:rsidRPr="00736E2F" w:rsidRDefault="00CE7C1E" w:rsidP="00CE7C1E">
      <w:pPr>
        <w:pStyle w:val="COMPara"/>
        <w:numPr>
          <w:ilvl w:val="0"/>
          <w:numId w:val="25"/>
        </w:numPr>
        <w:ind w:left="567" w:hanging="567"/>
        <w:jc w:val="both"/>
        <w:rPr>
          <w:lang w:val="fr-FR"/>
        </w:rPr>
      </w:pPr>
      <w:r w:rsidRPr="00736E2F">
        <w:rPr>
          <w:lang w:val="fr-FR"/>
        </w:rPr>
        <w:t xml:space="preserve">Lors de sa dix-huitième session, le Comité a approuvé les recommandations du groupe de travail, qui comprennent la création d’une plateforme en ligne pour le partage de bonnes expériences de sauvegarde, et une proposition d’amendements aux Directives opérationnelles visant à simplifier les critères de sélection pour le Registre (Décision </w:t>
      </w:r>
      <w:hyperlink r:id="rId9" w:history="1">
        <w:r w:rsidRPr="00736E2F">
          <w:rPr>
            <w:color w:val="0000FF" w:themeColor="hyperlink"/>
            <w:u w:val="single"/>
            <w:lang w:val="fr-FR"/>
          </w:rPr>
          <w:t>18.COM 11</w:t>
        </w:r>
      </w:hyperlink>
      <w:r w:rsidRPr="00736E2F">
        <w:rPr>
          <w:lang w:val="fr-FR"/>
        </w:rPr>
        <w:t xml:space="preserve">), qui ont ensuite été adoptées par la dixième session de l’Assemblée générale (Résolution </w:t>
      </w:r>
      <w:hyperlink r:id="rId10" w:history="1">
        <w:r w:rsidRPr="00736E2F">
          <w:rPr>
            <w:color w:val="0000FF" w:themeColor="hyperlink"/>
            <w:u w:val="single"/>
            <w:lang w:val="fr-FR"/>
          </w:rPr>
          <w:t>10.GA 7</w:t>
        </w:r>
      </w:hyperlink>
      <w:r w:rsidRPr="00736E2F">
        <w:rPr>
          <w:lang w:val="fr-FR"/>
        </w:rPr>
        <w:t>). Le présent document décrit les progrès accomplis vers une mise en œuvre plus large de l’article 18 depuis la précédente session du Comité, notamment en ce qui concerne la mise en place de la plateforme en ligne (Section A) et présente les moyens à mettre en œuvre pour la rendre pleinement opérationnelle (Section B).</w:t>
      </w:r>
    </w:p>
    <w:p w14:paraId="1ACA7B88" w14:textId="77777777" w:rsidR="00CE7C1E" w:rsidRPr="00736E2F" w:rsidRDefault="00CE7C1E" w:rsidP="00B71F04">
      <w:pPr>
        <w:numPr>
          <w:ilvl w:val="0"/>
          <w:numId w:val="24"/>
        </w:numPr>
        <w:pBdr>
          <w:top w:val="nil"/>
          <w:left w:val="nil"/>
          <w:bottom w:val="nil"/>
          <w:right w:val="nil"/>
          <w:between w:val="nil"/>
          <w:bar w:val="nil"/>
        </w:pBdr>
        <w:spacing w:before="240" w:after="120"/>
        <w:ind w:left="567" w:hanging="567"/>
        <w:jc w:val="both"/>
        <w:rPr>
          <w:rFonts w:ascii="Arial" w:hAnsi="Arial" w:cs="Arial"/>
          <w:snapToGrid w:val="0"/>
          <w:sz w:val="22"/>
          <w:szCs w:val="22"/>
          <w:u w:val="single"/>
          <w:lang w:eastAsia="en-US"/>
        </w:rPr>
      </w:pPr>
      <w:r w:rsidRPr="00736E2F">
        <w:rPr>
          <w:rFonts w:ascii="Arial" w:hAnsi="Arial" w:cs="Arial"/>
          <w:b/>
          <w:bCs/>
          <w:snapToGrid w:val="0"/>
          <w:sz w:val="22"/>
          <w:szCs w:val="22"/>
          <w:lang w:eastAsia="en-US"/>
        </w:rPr>
        <w:t>Progrès réalisés depuis la dernière session du Comité</w:t>
      </w:r>
    </w:p>
    <w:p w14:paraId="64F1C022" w14:textId="734238E0" w:rsidR="00CE7C1E" w:rsidRPr="00736E2F" w:rsidRDefault="00CE7C1E" w:rsidP="00CE7C1E">
      <w:pPr>
        <w:pStyle w:val="COMPara"/>
        <w:numPr>
          <w:ilvl w:val="0"/>
          <w:numId w:val="25"/>
        </w:numPr>
        <w:ind w:left="567" w:hanging="567"/>
        <w:jc w:val="both"/>
        <w:rPr>
          <w:lang w:val="fr-FR"/>
        </w:rPr>
      </w:pPr>
      <w:r w:rsidRPr="00736E2F">
        <w:rPr>
          <w:lang w:val="fr-FR"/>
        </w:rPr>
        <w:t>La création d’une plateforme en ligne pour le partage de bonnes expériences de sauvegarde est l’un des principaux objectifs identifiés par la réflexion en cours. L’idée est que la nouvelle plateforme fournisse un espace numérique aux communautés et aux autres parties prenantes de la Convention pour échanger, communiquer et renforcer les capacités en matière d’approches et de méthodologies de sauvegarde. Cette plateforme permettra de mettre en avant les aspirations des communautés, en répondant aux besoins et en mettant en lumière les expériences de sauvegarde qui pourraient le mieux refléter les principes et les objectifs de la Convention de 2003. Cette nouvelle plateforme devrait permettre d’élargir la participation des communautés à la mise en œuvre de l’article 18 et de contribuer à la sensibilisation mondiale à l’importance de la sauvegarde du patrimoine vivant pour le développement durable, tout en relevant les défis locaux et mondiaux.</w:t>
      </w:r>
    </w:p>
    <w:p w14:paraId="2964CD3E" w14:textId="0E542B3E" w:rsidR="00CE7C1E" w:rsidRPr="00736E2F" w:rsidRDefault="00CE7C1E" w:rsidP="00CE7C1E">
      <w:pPr>
        <w:pStyle w:val="COMPara"/>
        <w:numPr>
          <w:ilvl w:val="0"/>
          <w:numId w:val="25"/>
        </w:numPr>
        <w:ind w:left="567" w:hanging="567"/>
        <w:jc w:val="both"/>
        <w:rPr>
          <w:lang w:val="fr-FR"/>
        </w:rPr>
      </w:pPr>
      <w:r w:rsidRPr="00736E2F">
        <w:rPr>
          <w:lang w:val="fr-FR"/>
        </w:rPr>
        <w:t>Compte tenu de l’approche progressive établie par la précédente session du Comité (</w:t>
      </w:r>
      <w:r w:rsidR="00B52A11" w:rsidRPr="00736E2F">
        <w:rPr>
          <w:lang w:val="fr-FR"/>
        </w:rPr>
        <w:t>D</w:t>
      </w:r>
      <w:r w:rsidRPr="00736E2F">
        <w:rPr>
          <w:lang w:val="fr-FR"/>
        </w:rPr>
        <w:t xml:space="preserve">écision </w:t>
      </w:r>
      <w:hyperlink r:id="rId11" w:history="1">
        <w:r w:rsidRPr="00736E2F">
          <w:rPr>
            <w:color w:val="0000FF" w:themeColor="hyperlink"/>
            <w:u w:val="single"/>
            <w:lang w:val="fr-FR"/>
          </w:rPr>
          <w:t>18.COM 11</w:t>
        </w:r>
      </w:hyperlink>
      <w:r w:rsidRPr="00736E2F">
        <w:rPr>
          <w:lang w:val="fr-FR"/>
        </w:rPr>
        <w:t>), les points suivants méritent d’être soulignés :</w:t>
      </w:r>
    </w:p>
    <w:p w14:paraId="1B2284CA" w14:textId="7A7A1D8A" w:rsidR="00CE7C1E" w:rsidRPr="00736E2F" w:rsidRDefault="00CE7C1E" w:rsidP="00CE7C1E">
      <w:pPr>
        <w:numPr>
          <w:ilvl w:val="0"/>
          <w:numId w:val="20"/>
        </w:numPr>
        <w:snapToGrid w:val="0"/>
        <w:spacing w:before="120" w:after="120"/>
        <w:ind w:left="1134" w:hanging="540"/>
        <w:jc w:val="both"/>
        <w:rPr>
          <w:rFonts w:ascii="Arial" w:hAnsi="Arial" w:cs="Arial"/>
          <w:snapToGrid w:val="0"/>
          <w:sz w:val="22"/>
          <w:lang w:eastAsia="en-US"/>
        </w:rPr>
      </w:pPr>
      <w:r w:rsidRPr="00736E2F">
        <w:rPr>
          <w:rFonts w:ascii="Arial" w:hAnsi="Arial" w:cs="Arial"/>
          <w:b/>
          <w:bCs/>
          <w:snapToGrid w:val="0"/>
          <w:sz w:val="22"/>
          <w:lang w:eastAsia="en-US"/>
        </w:rPr>
        <w:t xml:space="preserve">Étude documentaire </w:t>
      </w:r>
      <w:r w:rsidRPr="00736E2F">
        <w:rPr>
          <w:rFonts w:ascii="Arial" w:hAnsi="Arial" w:cs="Arial"/>
          <w:snapToGrid w:val="0"/>
          <w:sz w:val="22"/>
          <w:lang w:eastAsia="en-US"/>
        </w:rPr>
        <w:t xml:space="preserve">: Le Secrétariat a entrepris une étude documentaire pour </w:t>
      </w:r>
      <w:r w:rsidRPr="00736E2F">
        <w:rPr>
          <w:rFonts w:ascii="Arial" w:eastAsia="Calibri" w:hAnsi="Arial" w:cs="Arial"/>
          <w:snapToGrid w:val="0"/>
          <w:sz w:val="22"/>
          <w:lang w:eastAsia="en-US"/>
        </w:rPr>
        <w:t>identifier les bases de données et les plates-formes en ligne</w:t>
      </w:r>
      <w:r w:rsidRPr="00736E2F">
        <w:rPr>
          <w:rFonts w:ascii="Arial" w:hAnsi="Arial" w:cs="Arial"/>
          <w:snapToGrid w:val="0"/>
          <w:sz w:val="22"/>
          <w:lang w:eastAsia="en-US"/>
        </w:rPr>
        <w:t xml:space="preserve"> existantes </w:t>
      </w:r>
      <w:r w:rsidRPr="00736E2F">
        <w:rPr>
          <w:rFonts w:ascii="Arial" w:eastAsia="Calibri" w:hAnsi="Arial" w:cs="Arial"/>
          <w:snapToGrid w:val="0"/>
          <w:sz w:val="22"/>
          <w:lang w:eastAsia="en-US"/>
        </w:rPr>
        <w:t>pour le partage de bonnes pratiques, que ce soit dans le domaine de la sauvegarde du patrimoine vivant ou d’autres programmes de l’UNESCO. Les résultats obtenus jusqu’à présent (annexe I) indiquent que la nouvelle plateforme prévue par la Convention de 2003 pourrait devenir un outil innovant et efficace lorsqu’elle sera pleinement opérationnelle, avec un espace numérique pour présenter les ressources web pertinentes (</w:t>
      </w:r>
      <w:r w:rsidRPr="00736E2F">
        <w:rPr>
          <w:rFonts w:ascii="Arial" w:hAnsi="Arial" w:cs="Arial"/>
          <w:snapToGrid w:val="0"/>
          <w:sz w:val="22"/>
          <w:lang w:eastAsia="en-US"/>
        </w:rPr>
        <w:t>images, vidéos, audio, graphiques</w:t>
      </w:r>
      <w:r w:rsidRPr="00736E2F">
        <w:rPr>
          <w:rFonts w:ascii="Arial" w:eastAsia="Calibri" w:hAnsi="Arial" w:cs="Arial"/>
          <w:snapToGrid w:val="0"/>
          <w:sz w:val="22"/>
          <w:lang w:eastAsia="en-US"/>
        </w:rPr>
        <w:t xml:space="preserve">) des bonnes pratiques, tout en facilitant les expériences interactives </w:t>
      </w:r>
      <w:r w:rsidR="00B52A11" w:rsidRPr="00736E2F">
        <w:rPr>
          <w:rFonts w:ascii="Arial" w:hAnsi="Arial" w:cs="Arial"/>
          <w:snapToGrid w:val="0"/>
          <w:sz w:val="22"/>
          <w:lang w:eastAsia="en-US"/>
        </w:rPr>
        <w:t>modérées</w:t>
      </w:r>
      <w:r w:rsidR="00B52A11" w:rsidRPr="00736E2F">
        <w:rPr>
          <w:rFonts w:ascii="Arial" w:eastAsia="Calibri" w:hAnsi="Arial" w:cs="Arial"/>
          <w:snapToGrid w:val="0"/>
          <w:sz w:val="22"/>
          <w:lang w:eastAsia="en-US"/>
        </w:rPr>
        <w:t xml:space="preserve"> </w:t>
      </w:r>
      <w:r w:rsidRPr="00736E2F">
        <w:rPr>
          <w:rFonts w:ascii="Arial" w:eastAsia="Calibri" w:hAnsi="Arial" w:cs="Arial"/>
          <w:snapToGrid w:val="0"/>
          <w:sz w:val="22"/>
          <w:lang w:eastAsia="en-US"/>
        </w:rPr>
        <w:t xml:space="preserve">et l’engagement des utilisateurs grâce à </w:t>
      </w:r>
      <w:r w:rsidRPr="00736E2F">
        <w:rPr>
          <w:rFonts w:ascii="Arial" w:hAnsi="Arial" w:cs="Arial"/>
          <w:snapToGrid w:val="0"/>
          <w:sz w:val="22"/>
          <w:lang w:eastAsia="en-US"/>
        </w:rPr>
        <w:t xml:space="preserve">des </w:t>
      </w:r>
      <w:r w:rsidRPr="00736E2F">
        <w:rPr>
          <w:rFonts w:ascii="Arial" w:eastAsia="Calibri" w:hAnsi="Arial" w:cs="Arial"/>
          <w:snapToGrid w:val="0"/>
          <w:sz w:val="22"/>
          <w:lang w:eastAsia="en-US"/>
        </w:rPr>
        <w:t>contributions de leur part</w:t>
      </w:r>
      <w:r w:rsidRPr="00736E2F">
        <w:rPr>
          <w:rFonts w:ascii="Arial" w:hAnsi="Arial" w:cs="Arial"/>
          <w:snapToGrid w:val="0"/>
          <w:sz w:val="22"/>
          <w:lang w:eastAsia="en-US"/>
        </w:rPr>
        <w:t>.</w:t>
      </w:r>
    </w:p>
    <w:p w14:paraId="164CF4E1" w14:textId="20A9F3D5" w:rsidR="00CE7C1E" w:rsidRPr="00736E2F" w:rsidRDefault="00CE7C1E" w:rsidP="00CE7C1E">
      <w:pPr>
        <w:numPr>
          <w:ilvl w:val="0"/>
          <w:numId w:val="20"/>
        </w:numPr>
        <w:snapToGrid w:val="0"/>
        <w:spacing w:before="120" w:after="120"/>
        <w:ind w:left="1134" w:hanging="540"/>
        <w:jc w:val="both"/>
        <w:rPr>
          <w:rFonts w:ascii="Arial" w:hAnsi="Arial" w:cs="Arial"/>
          <w:snapToGrid w:val="0"/>
          <w:sz w:val="22"/>
          <w:szCs w:val="22"/>
          <w:lang w:eastAsia="en-US"/>
        </w:rPr>
      </w:pPr>
      <w:r w:rsidRPr="00736E2F">
        <w:rPr>
          <w:rFonts w:ascii="Arial" w:hAnsi="Arial" w:cs="Arial"/>
          <w:b/>
          <w:bCs/>
          <w:snapToGrid w:val="0"/>
          <w:sz w:val="22"/>
          <w:lang w:eastAsia="en-US"/>
        </w:rPr>
        <w:t xml:space="preserve">Recensement des expériences pilotes </w:t>
      </w:r>
      <w:r w:rsidRPr="00736E2F">
        <w:rPr>
          <w:rFonts w:ascii="Arial" w:hAnsi="Arial" w:cs="Arial"/>
          <w:snapToGrid w:val="0"/>
          <w:sz w:val="22"/>
          <w:lang w:eastAsia="en-US"/>
        </w:rPr>
        <w:t xml:space="preserve">: Afin d’établir un groupe pilote de bonnes expériences à présenter sur la plateforme, un processus de cartographie est </w:t>
      </w:r>
      <w:proofErr w:type="gramStart"/>
      <w:r w:rsidRPr="00736E2F">
        <w:rPr>
          <w:rFonts w:ascii="Arial" w:hAnsi="Arial" w:cs="Arial"/>
          <w:snapToGrid w:val="0"/>
          <w:sz w:val="22"/>
          <w:lang w:eastAsia="en-US"/>
        </w:rPr>
        <w:t>actuellement en cours</w:t>
      </w:r>
      <w:proofErr w:type="gramEnd"/>
      <w:r w:rsidRPr="00736E2F">
        <w:rPr>
          <w:rFonts w:ascii="Arial" w:hAnsi="Arial" w:cs="Arial"/>
          <w:snapToGrid w:val="0"/>
          <w:sz w:val="22"/>
          <w:lang w:eastAsia="en-US"/>
        </w:rPr>
        <w:t xml:space="preserve"> pour les expériences de sauvegarde existantes </w:t>
      </w:r>
      <w:r w:rsidRPr="00736E2F">
        <w:rPr>
          <w:rFonts w:ascii="Arial" w:eastAsia="Calibri" w:hAnsi="Arial" w:cs="Arial"/>
          <w:snapToGrid w:val="0"/>
          <w:sz w:val="22"/>
          <w:lang w:eastAsia="en-US"/>
        </w:rPr>
        <w:t xml:space="preserve">mises en œuvre, entre autres, par le biais des mécanismes de coopération internationale de la </w:t>
      </w:r>
      <w:r w:rsidRPr="00736E2F">
        <w:rPr>
          <w:rFonts w:ascii="Arial" w:hAnsi="Arial" w:cs="Arial"/>
          <w:snapToGrid w:val="0"/>
          <w:sz w:val="22"/>
          <w:szCs w:val="22"/>
          <w:lang w:eastAsia="en-US"/>
        </w:rPr>
        <w:t xml:space="preserve">Convention. </w:t>
      </w:r>
      <w:r w:rsidRPr="00736E2F">
        <w:rPr>
          <w:rFonts w:ascii="Arial" w:hAnsi="Arial" w:cs="Arial"/>
          <w:snapToGrid w:val="0"/>
          <w:sz w:val="22"/>
          <w:lang w:eastAsia="en-US"/>
        </w:rPr>
        <w:t>Les ressources proviennent : i) des programmes, projets et activités déjà sélectionnés pour le Registre ; ii) des plans de sauvegarde des éléments inscrits sur la Liste de sauvegarde urgente qui traitent des menaces et des risques identifiés ; ii</w:t>
      </w:r>
      <w:r w:rsidR="00B52A11" w:rsidRPr="00736E2F">
        <w:rPr>
          <w:rFonts w:ascii="Arial" w:hAnsi="Arial" w:cs="Arial"/>
          <w:snapToGrid w:val="0"/>
          <w:sz w:val="22"/>
          <w:lang w:eastAsia="en-US"/>
        </w:rPr>
        <w:t>i</w:t>
      </w:r>
      <w:r w:rsidRPr="00736E2F">
        <w:rPr>
          <w:rFonts w:ascii="Arial" w:hAnsi="Arial" w:cs="Arial"/>
          <w:snapToGrid w:val="0"/>
          <w:sz w:val="22"/>
          <w:lang w:eastAsia="en-US"/>
        </w:rPr>
        <w:t xml:space="preserve">) des rapports de mise en œuvre et des évaluations des projets mis en œuvre par le biais de </w:t>
      </w:r>
      <w:r w:rsidRPr="00736E2F">
        <w:rPr>
          <w:rFonts w:ascii="Arial" w:hAnsi="Arial" w:cs="Arial"/>
          <w:snapToGrid w:val="0"/>
          <w:sz w:val="22"/>
          <w:lang w:eastAsia="en-US"/>
        </w:rPr>
        <w:lastRenderedPageBreak/>
        <w:t>l’assistance internationale et i</w:t>
      </w:r>
      <w:r w:rsidR="00952C94" w:rsidRPr="00736E2F">
        <w:rPr>
          <w:rFonts w:ascii="Arial" w:hAnsi="Arial" w:cs="Arial"/>
          <w:snapToGrid w:val="0"/>
          <w:sz w:val="22"/>
          <w:lang w:eastAsia="en-US"/>
        </w:rPr>
        <w:t>v</w:t>
      </w:r>
      <w:r w:rsidRPr="00736E2F">
        <w:rPr>
          <w:rFonts w:ascii="Arial" w:hAnsi="Arial" w:cs="Arial"/>
          <w:snapToGrid w:val="0"/>
          <w:sz w:val="22"/>
          <w:lang w:eastAsia="en-US"/>
        </w:rPr>
        <w:t xml:space="preserve">) des rapports périodiques soumis par les États parties. En outre, d’autres ressources pertinentes sont envisagées, telles que les </w:t>
      </w:r>
      <w:r w:rsidRPr="00736E2F">
        <w:rPr>
          <w:rFonts w:ascii="Arial" w:hAnsi="Arial" w:cs="Arial"/>
          <w:snapToGrid w:val="0"/>
          <w:sz w:val="22"/>
          <w:szCs w:val="22"/>
          <w:lang w:eastAsia="en-US"/>
        </w:rPr>
        <w:t>rapports analytiques des premiers cycles régionaux de rapports périodiques</w:t>
      </w:r>
      <w:r w:rsidRPr="00736E2F">
        <w:rPr>
          <w:rFonts w:ascii="Arial" w:hAnsi="Arial" w:cs="Arial"/>
          <w:snapToGrid w:val="0"/>
          <w:sz w:val="22"/>
          <w:lang w:eastAsia="en-US"/>
        </w:rPr>
        <w:t xml:space="preserve">, les activités des </w:t>
      </w:r>
      <w:hyperlink r:id="rId12" w:history="1">
        <w:r w:rsidRPr="00736E2F">
          <w:rPr>
            <w:rFonts w:ascii="Arial" w:hAnsi="Arial" w:cs="Arial"/>
            <w:snapToGrid w:val="0"/>
            <w:color w:val="0000FF" w:themeColor="hyperlink"/>
            <w:sz w:val="22"/>
            <w:u w:val="single"/>
            <w:lang w:eastAsia="en-US"/>
          </w:rPr>
          <w:t>ONG accréditées</w:t>
        </w:r>
      </w:hyperlink>
      <w:r w:rsidRPr="00736E2F">
        <w:rPr>
          <w:rFonts w:ascii="Arial" w:hAnsi="Arial" w:cs="Arial"/>
          <w:snapToGrid w:val="0"/>
          <w:sz w:val="22"/>
          <w:lang w:eastAsia="en-US"/>
        </w:rPr>
        <w:t xml:space="preserve">, les entrées pertinentes du </w:t>
      </w:r>
      <w:hyperlink r:id="rId13" w:history="1">
        <w:r w:rsidRPr="00736E2F">
          <w:rPr>
            <w:rFonts w:ascii="Arial" w:hAnsi="Arial" w:cs="Arial"/>
            <w:snapToGrid w:val="0"/>
            <w:color w:val="0000FF" w:themeColor="hyperlink"/>
            <w:sz w:val="22"/>
            <w:u w:val="single"/>
            <w:lang w:eastAsia="en-US"/>
          </w:rPr>
          <w:t>centre d’échange d’informations de l’UNESCO sur le patrimoine vivant et l’éducation</w:t>
        </w:r>
      </w:hyperlink>
      <w:r w:rsidRPr="00736E2F">
        <w:rPr>
          <w:rFonts w:ascii="Arial" w:hAnsi="Arial" w:cs="Arial"/>
          <w:snapToGrid w:val="0"/>
          <w:sz w:val="22"/>
          <w:lang w:eastAsia="en-US"/>
        </w:rPr>
        <w:t>, ainsi que la boîte à outils de l’UNESCO sur le développement durable.</w:t>
      </w:r>
    </w:p>
    <w:p w14:paraId="215B17C2" w14:textId="412153DA" w:rsidR="00CE7C1E" w:rsidRPr="00736E2F" w:rsidRDefault="00CE7C1E" w:rsidP="00CE7C1E">
      <w:pPr>
        <w:numPr>
          <w:ilvl w:val="0"/>
          <w:numId w:val="20"/>
        </w:numPr>
        <w:snapToGrid w:val="0"/>
        <w:spacing w:before="120" w:after="120"/>
        <w:ind w:left="1134" w:hanging="540"/>
        <w:jc w:val="both"/>
        <w:rPr>
          <w:rFonts w:ascii="Arial" w:hAnsi="Arial" w:cs="Arial"/>
          <w:snapToGrid w:val="0"/>
          <w:sz w:val="22"/>
          <w:szCs w:val="22"/>
          <w:lang w:eastAsia="en-US"/>
        </w:rPr>
      </w:pPr>
      <w:r w:rsidRPr="00736E2F">
        <w:rPr>
          <w:rFonts w:ascii="Arial" w:hAnsi="Arial" w:cs="Arial"/>
          <w:b/>
          <w:bCs/>
          <w:snapToGrid w:val="0"/>
          <w:sz w:val="22"/>
          <w:lang w:eastAsia="en-US"/>
        </w:rPr>
        <w:t xml:space="preserve">Méthodologie de cartographie </w:t>
      </w:r>
      <w:r w:rsidRPr="00736E2F">
        <w:rPr>
          <w:rFonts w:ascii="Arial" w:hAnsi="Arial" w:cs="Arial"/>
          <w:snapToGrid w:val="0"/>
          <w:sz w:val="22"/>
          <w:lang w:eastAsia="en-US"/>
        </w:rPr>
        <w:t xml:space="preserve">: Compte tenu de l’hétérogénéité des données et des sources et du large éventail d’activités et de projets de sauvegarde existants, une méthodologie est en cours d’élaboration afin d’identifier les bonnes expériences en matière de sauvegarde. Cet exercice accorde une attention particulière à la </w:t>
      </w:r>
      <w:r w:rsidRPr="00736E2F">
        <w:rPr>
          <w:rFonts w:ascii="Arial" w:hAnsi="Arial" w:cs="Arial"/>
          <w:snapToGrid w:val="0"/>
          <w:sz w:val="22"/>
          <w:szCs w:val="22"/>
          <w:lang w:eastAsia="en-US"/>
        </w:rPr>
        <w:t xml:space="preserve">normalisation de la </w:t>
      </w:r>
      <w:r w:rsidRPr="00736E2F">
        <w:rPr>
          <w:rFonts w:ascii="Arial" w:hAnsi="Arial" w:cs="Arial"/>
          <w:snapToGrid w:val="0"/>
          <w:sz w:val="22"/>
          <w:lang w:eastAsia="en-US"/>
        </w:rPr>
        <w:t xml:space="preserve">collecte et de la présentation des </w:t>
      </w:r>
      <w:r w:rsidRPr="00736E2F">
        <w:rPr>
          <w:rFonts w:ascii="Arial" w:hAnsi="Arial" w:cs="Arial"/>
          <w:snapToGrid w:val="0"/>
          <w:sz w:val="22"/>
          <w:szCs w:val="22"/>
          <w:lang w:eastAsia="en-US"/>
        </w:rPr>
        <w:t>données</w:t>
      </w:r>
      <w:r w:rsidRPr="00736E2F">
        <w:rPr>
          <w:rFonts w:ascii="Arial" w:hAnsi="Arial" w:cs="Arial"/>
          <w:snapToGrid w:val="0"/>
          <w:sz w:val="22"/>
          <w:lang w:eastAsia="en-US"/>
        </w:rPr>
        <w:t xml:space="preserve">, ainsi qu’à l’identification de </w:t>
      </w:r>
      <w:r w:rsidRPr="00736E2F">
        <w:rPr>
          <w:rFonts w:ascii="Arial" w:hAnsi="Arial" w:cs="Arial"/>
          <w:snapToGrid w:val="0"/>
          <w:sz w:val="22"/>
          <w:szCs w:val="22"/>
          <w:lang w:eastAsia="en-US"/>
        </w:rPr>
        <w:t xml:space="preserve">paramètres mesurables </w:t>
      </w:r>
      <w:r w:rsidRPr="00736E2F">
        <w:rPr>
          <w:rFonts w:ascii="Arial" w:hAnsi="Arial" w:cs="Arial"/>
          <w:snapToGrid w:val="0"/>
          <w:sz w:val="22"/>
          <w:lang w:eastAsia="en-US"/>
        </w:rPr>
        <w:t xml:space="preserve">communs, afin de garantir la cohérence de la sélection, de la présentation et de l’indexation des documents. L’objectif est de faire en sorte que chaque expérience de sauvegarde </w:t>
      </w:r>
      <w:r w:rsidRPr="00736E2F">
        <w:rPr>
          <w:rFonts w:ascii="Arial" w:hAnsi="Arial" w:cs="Arial"/>
          <w:snapToGrid w:val="0"/>
          <w:sz w:val="22"/>
          <w:szCs w:val="22"/>
          <w:lang w:eastAsia="en-US"/>
        </w:rPr>
        <w:t>soit facilement consultable</w:t>
      </w:r>
      <w:r w:rsidRPr="00736E2F">
        <w:rPr>
          <w:rFonts w:ascii="Arial" w:hAnsi="Arial" w:cs="Arial"/>
          <w:snapToGrid w:val="0"/>
          <w:sz w:val="22"/>
          <w:lang w:eastAsia="en-US"/>
        </w:rPr>
        <w:t xml:space="preserve">, au moyen d’une </w:t>
      </w:r>
      <w:r w:rsidR="00560B9C" w:rsidRPr="00736E2F">
        <w:rPr>
          <w:rFonts w:ascii="Arial" w:hAnsi="Arial" w:cs="Arial"/>
          <w:snapToGrid w:val="0"/>
          <w:sz w:val="22"/>
          <w:lang w:eastAsia="en-US"/>
        </w:rPr>
        <w:t xml:space="preserve">série </w:t>
      </w:r>
      <w:r w:rsidRPr="00736E2F">
        <w:rPr>
          <w:rFonts w:ascii="Arial" w:hAnsi="Arial" w:cs="Arial"/>
          <w:snapToGrid w:val="0"/>
          <w:sz w:val="22"/>
          <w:lang w:eastAsia="en-US"/>
        </w:rPr>
        <w:t>détaillée d</w:t>
      </w:r>
      <w:r w:rsidR="00C802E9" w:rsidRPr="00736E2F">
        <w:rPr>
          <w:rFonts w:ascii="Arial" w:hAnsi="Arial" w:cs="Arial"/>
          <w:snapToGrid w:val="0"/>
          <w:sz w:val="22"/>
          <w:lang w:eastAsia="en-US"/>
        </w:rPr>
        <w:t>e</w:t>
      </w:r>
      <w:r w:rsidR="00F058AA" w:rsidRPr="00736E2F">
        <w:rPr>
          <w:rFonts w:ascii="Arial" w:hAnsi="Arial" w:cs="Arial"/>
          <w:snapToGrid w:val="0"/>
          <w:sz w:val="22"/>
          <w:lang w:eastAsia="en-US"/>
        </w:rPr>
        <w:t> « </w:t>
      </w:r>
      <w:r w:rsidR="00C802E9" w:rsidRPr="00736E2F">
        <w:rPr>
          <w:rFonts w:ascii="Arial" w:hAnsi="Arial" w:cs="Arial"/>
          <w:snapToGrid w:val="0"/>
          <w:sz w:val="22"/>
          <w:lang w:eastAsia="en-US"/>
        </w:rPr>
        <w:t>mots-clés</w:t>
      </w:r>
      <w:r w:rsidR="00F058AA" w:rsidRPr="00736E2F">
        <w:rPr>
          <w:rFonts w:ascii="Arial" w:hAnsi="Arial" w:cs="Arial"/>
          <w:snapToGrid w:val="0"/>
          <w:sz w:val="22"/>
          <w:lang w:eastAsia="en-US"/>
        </w:rPr>
        <w:t> »</w:t>
      </w:r>
      <w:r w:rsidRPr="00736E2F">
        <w:rPr>
          <w:rFonts w:ascii="Arial" w:hAnsi="Arial" w:cs="Arial"/>
          <w:snapToGrid w:val="0"/>
          <w:sz w:val="22"/>
          <w:lang w:eastAsia="en-US"/>
        </w:rPr>
        <w:t xml:space="preserve"> d’identification. Ces </w:t>
      </w:r>
      <w:r w:rsidR="00F058AA" w:rsidRPr="00736E2F">
        <w:rPr>
          <w:rFonts w:ascii="Arial" w:hAnsi="Arial" w:cs="Arial"/>
          <w:snapToGrid w:val="0"/>
          <w:sz w:val="22"/>
          <w:lang w:eastAsia="en-US"/>
        </w:rPr>
        <w:t>« </w:t>
      </w:r>
      <w:r w:rsidR="00C802E9" w:rsidRPr="00736E2F">
        <w:rPr>
          <w:rFonts w:ascii="Arial" w:hAnsi="Arial" w:cs="Arial"/>
          <w:snapToGrid w:val="0"/>
          <w:sz w:val="22"/>
          <w:lang w:eastAsia="en-US"/>
        </w:rPr>
        <w:t>mots-clés</w:t>
      </w:r>
      <w:r w:rsidR="00F058AA" w:rsidRPr="00736E2F">
        <w:rPr>
          <w:rFonts w:ascii="Arial" w:hAnsi="Arial" w:cs="Arial"/>
          <w:snapToGrid w:val="0"/>
          <w:sz w:val="22"/>
          <w:lang w:eastAsia="en-US"/>
        </w:rPr>
        <w:t> »</w:t>
      </w:r>
      <w:r w:rsidRPr="00736E2F">
        <w:rPr>
          <w:rFonts w:ascii="Arial" w:hAnsi="Arial" w:cs="Arial"/>
          <w:snapToGrid w:val="0"/>
          <w:sz w:val="22"/>
          <w:lang w:eastAsia="en-US"/>
        </w:rPr>
        <w:t xml:space="preserve"> comprennent, sans s’y limiter : i) le </w:t>
      </w:r>
      <w:r w:rsidRPr="00736E2F">
        <w:rPr>
          <w:rFonts w:ascii="Arial" w:hAnsi="Arial" w:cs="Arial"/>
          <w:snapToGrid w:val="0"/>
          <w:sz w:val="22"/>
          <w:szCs w:val="22"/>
          <w:lang w:eastAsia="en-US"/>
        </w:rPr>
        <w:t xml:space="preserve">contexte de la mise en œuvre </w:t>
      </w:r>
      <w:r w:rsidRPr="00736E2F">
        <w:rPr>
          <w:rFonts w:ascii="Arial" w:hAnsi="Arial" w:cs="Arial"/>
          <w:snapToGrid w:val="0"/>
          <w:sz w:val="22"/>
          <w:lang w:eastAsia="en-US"/>
        </w:rPr>
        <w:t xml:space="preserve">; ii) les </w:t>
      </w:r>
      <w:r w:rsidRPr="00736E2F">
        <w:rPr>
          <w:rFonts w:ascii="Arial" w:hAnsi="Arial" w:cs="Arial"/>
          <w:snapToGrid w:val="0"/>
          <w:sz w:val="22"/>
          <w:szCs w:val="22"/>
          <w:lang w:eastAsia="en-US"/>
        </w:rPr>
        <w:t xml:space="preserve">domaines du patrimoine culturel immatériel concernés ; </w:t>
      </w:r>
      <w:r w:rsidRPr="00736E2F">
        <w:rPr>
          <w:rFonts w:ascii="Arial" w:hAnsi="Arial" w:cs="Arial"/>
          <w:snapToGrid w:val="0"/>
          <w:sz w:val="22"/>
          <w:lang w:eastAsia="en-US"/>
        </w:rPr>
        <w:t xml:space="preserve">iii) </w:t>
      </w:r>
      <w:r w:rsidRPr="00736E2F">
        <w:rPr>
          <w:rFonts w:ascii="Arial" w:hAnsi="Arial" w:cs="Arial"/>
          <w:snapToGrid w:val="0"/>
          <w:sz w:val="22"/>
          <w:szCs w:val="22"/>
          <w:lang w:eastAsia="en-US"/>
        </w:rPr>
        <w:t xml:space="preserve">les types de mesures et de méthodologies ; iv) les besoins de sauvegarde ; </w:t>
      </w:r>
      <w:r w:rsidRPr="00736E2F">
        <w:rPr>
          <w:rFonts w:ascii="Arial" w:hAnsi="Arial" w:cs="Arial"/>
          <w:snapToGrid w:val="0"/>
          <w:sz w:val="22"/>
          <w:lang w:eastAsia="en-US"/>
        </w:rPr>
        <w:t xml:space="preserve">v) </w:t>
      </w:r>
      <w:r w:rsidRPr="00736E2F">
        <w:rPr>
          <w:rFonts w:ascii="Arial" w:hAnsi="Arial" w:cs="Arial"/>
          <w:snapToGrid w:val="0"/>
          <w:sz w:val="22"/>
          <w:szCs w:val="22"/>
          <w:lang w:eastAsia="en-US"/>
        </w:rPr>
        <w:t xml:space="preserve">la relation avec les </w:t>
      </w:r>
      <w:r w:rsidRPr="00736E2F">
        <w:rPr>
          <w:rFonts w:ascii="Arial" w:hAnsi="Arial" w:cs="Arial"/>
          <w:snapToGrid w:val="0"/>
          <w:sz w:val="22"/>
          <w:lang w:eastAsia="en-US"/>
        </w:rPr>
        <w:t xml:space="preserve">initiatives thématiques et les groupes prioritaires de </w:t>
      </w:r>
      <w:r w:rsidRPr="00736E2F">
        <w:rPr>
          <w:rFonts w:ascii="Arial" w:hAnsi="Arial" w:cs="Arial"/>
          <w:snapToGrid w:val="0"/>
          <w:sz w:val="22"/>
          <w:szCs w:val="22"/>
          <w:lang w:eastAsia="en-US"/>
        </w:rPr>
        <w:t xml:space="preserve">l’UNESCO </w:t>
      </w:r>
      <w:r w:rsidRPr="00736E2F">
        <w:rPr>
          <w:rFonts w:ascii="Arial" w:hAnsi="Arial" w:cs="Arial"/>
          <w:snapToGrid w:val="0"/>
          <w:sz w:val="22"/>
          <w:lang w:eastAsia="en-US"/>
        </w:rPr>
        <w:t xml:space="preserve">; vi) les </w:t>
      </w:r>
      <w:r w:rsidRPr="00736E2F">
        <w:rPr>
          <w:rFonts w:ascii="Arial" w:hAnsi="Arial" w:cs="Arial"/>
          <w:snapToGrid w:val="0"/>
          <w:sz w:val="22"/>
          <w:szCs w:val="22"/>
          <w:lang w:eastAsia="en-US"/>
        </w:rPr>
        <w:t xml:space="preserve">liens avec le développement durable dans le cadre des </w:t>
      </w:r>
      <w:r w:rsidR="00952C94" w:rsidRPr="00736E2F">
        <w:rPr>
          <w:rFonts w:ascii="Arial" w:hAnsi="Arial" w:cs="Arial"/>
          <w:snapToGrid w:val="0"/>
          <w:sz w:val="22"/>
          <w:szCs w:val="22"/>
          <w:lang w:eastAsia="en-US"/>
        </w:rPr>
        <w:t>D</w:t>
      </w:r>
      <w:r w:rsidRPr="00736E2F">
        <w:rPr>
          <w:rFonts w:ascii="Arial" w:hAnsi="Arial" w:cs="Arial"/>
          <w:snapToGrid w:val="0"/>
          <w:sz w:val="22"/>
          <w:szCs w:val="22"/>
          <w:lang w:eastAsia="en-US"/>
        </w:rPr>
        <w:t xml:space="preserve">irectives opérationnelles de la Convention </w:t>
      </w:r>
      <w:r w:rsidRPr="00736E2F">
        <w:rPr>
          <w:rFonts w:ascii="Arial" w:hAnsi="Arial" w:cs="Arial"/>
          <w:snapToGrid w:val="0"/>
          <w:sz w:val="22"/>
          <w:lang w:eastAsia="en-US"/>
        </w:rPr>
        <w:t xml:space="preserve">; et vii) les domaines thématiques du </w:t>
      </w:r>
      <w:r w:rsidR="00952C94" w:rsidRPr="00736E2F">
        <w:rPr>
          <w:rFonts w:ascii="Arial" w:hAnsi="Arial" w:cs="Arial"/>
          <w:snapToGrid w:val="0"/>
          <w:sz w:val="22"/>
          <w:lang w:eastAsia="en-US"/>
        </w:rPr>
        <w:t>C</w:t>
      </w:r>
      <w:r w:rsidRPr="00736E2F">
        <w:rPr>
          <w:rFonts w:ascii="Arial" w:hAnsi="Arial" w:cs="Arial"/>
          <w:snapToGrid w:val="0"/>
          <w:sz w:val="22"/>
          <w:lang w:eastAsia="en-US"/>
        </w:rPr>
        <w:t xml:space="preserve">adre </w:t>
      </w:r>
      <w:r w:rsidR="00952C94" w:rsidRPr="00736E2F">
        <w:rPr>
          <w:rFonts w:ascii="Arial" w:hAnsi="Arial" w:cs="Arial"/>
          <w:snapToGrid w:val="0"/>
          <w:sz w:val="22"/>
          <w:lang w:eastAsia="en-US"/>
        </w:rPr>
        <w:t xml:space="preserve">global </w:t>
      </w:r>
      <w:r w:rsidRPr="00736E2F">
        <w:rPr>
          <w:rFonts w:ascii="Arial" w:hAnsi="Arial" w:cs="Arial"/>
          <w:snapToGrid w:val="0"/>
          <w:sz w:val="22"/>
          <w:lang w:eastAsia="en-US"/>
        </w:rPr>
        <w:t xml:space="preserve">des résultats de la Convention. La méthodologie de cartographie définira également des </w:t>
      </w:r>
      <w:r w:rsidRPr="00736E2F">
        <w:rPr>
          <w:rFonts w:ascii="Arial" w:hAnsi="Arial" w:cs="Arial"/>
          <w:snapToGrid w:val="0"/>
          <w:sz w:val="22"/>
          <w:szCs w:val="22"/>
          <w:lang w:eastAsia="en-US"/>
        </w:rPr>
        <w:t xml:space="preserve">protocoles </w:t>
      </w:r>
      <w:r w:rsidRPr="00736E2F">
        <w:rPr>
          <w:rFonts w:ascii="Arial" w:hAnsi="Arial" w:cs="Arial"/>
          <w:snapToGrid w:val="0"/>
          <w:sz w:val="22"/>
          <w:lang w:eastAsia="en-US"/>
        </w:rPr>
        <w:t xml:space="preserve">éthiques </w:t>
      </w:r>
      <w:r w:rsidRPr="00736E2F">
        <w:rPr>
          <w:rFonts w:ascii="Arial" w:hAnsi="Arial" w:cs="Arial"/>
          <w:snapToGrid w:val="0"/>
          <w:sz w:val="22"/>
          <w:szCs w:val="22"/>
          <w:lang w:eastAsia="en-US"/>
        </w:rPr>
        <w:t xml:space="preserve">pour la vérification des faits avec les parties prenantes et les communautés concernées, </w:t>
      </w:r>
      <w:r w:rsidRPr="00736E2F">
        <w:rPr>
          <w:rFonts w:ascii="Arial" w:hAnsi="Arial" w:cs="Arial"/>
          <w:snapToGrid w:val="0"/>
          <w:sz w:val="22"/>
          <w:lang w:eastAsia="en-US"/>
        </w:rPr>
        <w:t xml:space="preserve">afin d’assurer le plein respect des </w:t>
      </w:r>
      <w:hyperlink r:id="rId14" w:history="1">
        <w:r w:rsidRPr="00736E2F">
          <w:rPr>
            <w:rFonts w:ascii="Arial" w:hAnsi="Arial" w:cs="Arial"/>
            <w:snapToGrid w:val="0"/>
            <w:color w:val="0000FF" w:themeColor="hyperlink"/>
            <w:sz w:val="22"/>
            <w:u w:val="single"/>
            <w:lang w:eastAsia="en-US"/>
          </w:rPr>
          <w:t>principes éthiques pour la sauvegarde du patrimoine culturel immatériel</w:t>
        </w:r>
      </w:hyperlink>
      <w:r w:rsidRPr="00736E2F">
        <w:rPr>
          <w:rFonts w:ascii="Arial" w:hAnsi="Arial" w:cs="Arial"/>
          <w:snapToGrid w:val="0"/>
          <w:sz w:val="22"/>
          <w:lang w:eastAsia="en-US"/>
        </w:rPr>
        <w:t>, avec une référence spécifique au principe du consentement libre, préalable, durable et éclairé.</w:t>
      </w:r>
    </w:p>
    <w:p w14:paraId="3EAB33E9" w14:textId="5E325D61" w:rsidR="00CE7C1E" w:rsidRPr="00736E2F" w:rsidRDefault="00CE7C1E" w:rsidP="00CE7C1E">
      <w:pPr>
        <w:numPr>
          <w:ilvl w:val="0"/>
          <w:numId w:val="20"/>
        </w:numPr>
        <w:snapToGrid w:val="0"/>
        <w:spacing w:before="120" w:after="120"/>
        <w:ind w:left="1134" w:hanging="540"/>
        <w:jc w:val="both"/>
        <w:rPr>
          <w:rFonts w:ascii="Arial" w:hAnsi="Arial" w:cs="Arial"/>
          <w:snapToGrid w:val="0"/>
          <w:sz w:val="22"/>
          <w:szCs w:val="22"/>
          <w:lang w:eastAsia="en-US"/>
        </w:rPr>
      </w:pPr>
      <w:r w:rsidRPr="00736E2F">
        <w:rPr>
          <w:rFonts w:ascii="Arial" w:hAnsi="Arial" w:cs="Arial"/>
          <w:b/>
          <w:bCs/>
          <w:snapToGrid w:val="0"/>
          <w:sz w:val="22"/>
          <w:lang w:eastAsia="en-US"/>
        </w:rPr>
        <w:t xml:space="preserve">Développement et pilotage de la plateforme : </w:t>
      </w:r>
      <w:r w:rsidRPr="00736E2F">
        <w:rPr>
          <w:rFonts w:ascii="Arial" w:hAnsi="Arial" w:cs="Arial"/>
          <w:snapToGrid w:val="0"/>
          <w:sz w:val="22"/>
          <w:lang w:eastAsia="en-US"/>
        </w:rPr>
        <w:t xml:space="preserve">Un appel à manifestation d’intérêt est lancé </w:t>
      </w:r>
      <w:bookmarkStart w:id="0" w:name="_Hlk178245946"/>
      <w:r w:rsidRPr="00736E2F">
        <w:rPr>
          <w:rFonts w:ascii="Arial" w:hAnsi="Arial" w:cs="Arial"/>
          <w:snapToGrid w:val="0"/>
          <w:sz w:val="22"/>
          <w:lang w:eastAsia="en-US"/>
        </w:rPr>
        <w:t xml:space="preserve">afin d’identifier des </w:t>
      </w:r>
      <w:r w:rsidRPr="00736E2F">
        <w:rPr>
          <w:rFonts w:ascii="Arial" w:hAnsi="Arial" w:cs="Arial"/>
          <w:snapToGrid w:val="0"/>
          <w:sz w:val="22"/>
          <w:szCs w:val="22"/>
          <w:lang w:eastAsia="en-US"/>
        </w:rPr>
        <w:t xml:space="preserve">entreprises ou des studios de production </w:t>
      </w:r>
      <w:r w:rsidRPr="00736E2F">
        <w:rPr>
          <w:rFonts w:ascii="Arial" w:hAnsi="Arial" w:cs="Arial"/>
          <w:snapToGrid w:val="0"/>
          <w:sz w:val="22"/>
          <w:lang w:eastAsia="en-US"/>
        </w:rPr>
        <w:t>qualifiés pour développer la plateforme interactive et grand public,</w:t>
      </w:r>
      <w:bookmarkEnd w:id="0"/>
      <w:r w:rsidRPr="00736E2F">
        <w:rPr>
          <w:rFonts w:ascii="Arial" w:hAnsi="Arial" w:cs="Arial"/>
          <w:snapToGrid w:val="0"/>
          <w:sz w:val="22"/>
          <w:lang w:eastAsia="en-US"/>
        </w:rPr>
        <w:t xml:space="preserve"> conformément aux exigences fixées par l’Organisation. La société sélectionnée sera chargée d’assurer la viabilité à long terme de la plateforme en conseillant l’UNESCO sur les technologies numériques émergentes, en établissant un </w:t>
      </w:r>
      <w:r w:rsidR="00F0202B" w:rsidRPr="00736E2F">
        <w:rPr>
          <w:rFonts w:ascii="Arial" w:hAnsi="Arial" w:cs="Arial"/>
          <w:snapToGrid w:val="0"/>
          <w:sz w:val="22"/>
          <w:lang w:eastAsia="en-US"/>
        </w:rPr>
        <w:t>« </w:t>
      </w:r>
      <w:proofErr w:type="spellStart"/>
      <w:r w:rsidRPr="00736E2F">
        <w:rPr>
          <w:rFonts w:ascii="Arial" w:hAnsi="Arial" w:cs="Arial"/>
          <w:snapToGrid w:val="0"/>
          <w:sz w:val="22"/>
          <w:lang w:eastAsia="en-US"/>
        </w:rPr>
        <w:t>back-end</w:t>
      </w:r>
      <w:proofErr w:type="spellEnd"/>
      <w:r w:rsidR="00F0202B" w:rsidRPr="00736E2F">
        <w:rPr>
          <w:rFonts w:ascii="Arial" w:hAnsi="Arial" w:cs="Arial"/>
          <w:snapToGrid w:val="0"/>
          <w:sz w:val="22"/>
          <w:lang w:eastAsia="en-US"/>
        </w:rPr>
        <w:t> »</w:t>
      </w:r>
      <w:r w:rsidRPr="00736E2F">
        <w:rPr>
          <w:rFonts w:ascii="Arial" w:hAnsi="Arial" w:cs="Arial"/>
          <w:snapToGrid w:val="0"/>
          <w:sz w:val="22"/>
          <w:lang w:eastAsia="en-US"/>
        </w:rPr>
        <w:t xml:space="preserve"> </w:t>
      </w:r>
      <w:r w:rsidR="00D85B58" w:rsidRPr="00736E2F">
        <w:rPr>
          <w:rFonts w:ascii="Arial" w:hAnsi="Arial" w:cs="Arial"/>
          <w:snapToGrid w:val="0"/>
          <w:sz w:val="22"/>
          <w:lang w:eastAsia="en-US"/>
        </w:rPr>
        <w:t>(serveur</w:t>
      </w:r>
      <w:r w:rsidR="00E81851" w:rsidRPr="00736E2F">
        <w:rPr>
          <w:rFonts w:ascii="Arial" w:hAnsi="Arial" w:cs="Arial"/>
          <w:snapToGrid w:val="0"/>
          <w:sz w:val="22"/>
          <w:lang w:eastAsia="en-US"/>
        </w:rPr>
        <w:t xml:space="preserve"> interne</w:t>
      </w:r>
      <w:r w:rsidR="00D85B58" w:rsidRPr="00736E2F">
        <w:rPr>
          <w:rFonts w:ascii="Arial" w:hAnsi="Arial" w:cs="Arial"/>
          <w:snapToGrid w:val="0"/>
          <w:sz w:val="22"/>
          <w:lang w:eastAsia="en-US"/>
        </w:rPr>
        <w:t xml:space="preserve">) </w:t>
      </w:r>
      <w:r w:rsidRPr="00736E2F">
        <w:rPr>
          <w:rFonts w:ascii="Arial" w:hAnsi="Arial" w:cs="Arial"/>
          <w:snapToGrid w:val="0"/>
          <w:sz w:val="22"/>
          <w:lang w:eastAsia="en-US"/>
        </w:rPr>
        <w:t xml:space="preserve">fonctionnel et en développant un plan d’action pour le transfert de connaissances et d’actifs à l’UNESCO. </w:t>
      </w:r>
      <w:r w:rsidRPr="00736E2F">
        <w:rPr>
          <w:rFonts w:ascii="Arial" w:hAnsi="Arial" w:cs="Arial"/>
          <w:snapToGrid w:val="0"/>
          <w:sz w:val="22"/>
          <w:szCs w:val="22"/>
          <w:lang w:eastAsia="en-US"/>
        </w:rPr>
        <w:t xml:space="preserve">Il </w:t>
      </w:r>
      <w:r w:rsidRPr="00736E2F">
        <w:rPr>
          <w:rFonts w:ascii="Arial" w:hAnsi="Arial" w:cs="Arial"/>
          <w:snapToGrid w:val="0"/>
          <w:sz w:val="22"/>
          <w:lang w:eastAsia="en-US"/>
        </w:rPr>
        <w:t xml:space="preserve">est proposé </w:t>
      </w:r>
      <w:r w:rsidRPr="00736E2F">
        <w:rPr>
          <w:rFonts w:ascii="Arial" w:hAnsi="Arial" w:cs="Arial"/>
          <w:snapToGrid w:val="0"/>
          <w:sz w:val="22"/>
          <w:szCs w:val="22"/>
          <w:lang w:eastAsia="en-US"/>
        </w:rPr>
        <w:t xml:space="preserve">de lancer une version </w:t>
      </w:r>
      <w:r w:rsidR="001D2E65" w:rsidRPr="00736E2F">
        <w:rPr>
          <w:rFonts w:ascii="Arial" w:hAnsi="Arial" w:cs="Arial"/>
          <w:snapToGrid w:val="0"/>
          <w:sz w:val="22"/>
          <w:szCs w:val="22"/>
          <w:lang w:eastAsia="en-US"/>
        </w:rPr>
        <w:t>« </w:t>
      </w:r>
      <w:r w:rsidRPr="00736E2F">
        <w:rPr>
          <w:rFonts w:ascii="Arial" w:hAnsi="Arial" w:cs="Arial"/>
          <w:snapToGrid w:val="0"/>
          <w:sz w:val="22"/>
          <w:szCs w:val="22"/>
          <w:lang w:eastAsia="en-US"/>
        </w:rPr>
        <w:t>démo</w:t>
      </w:r>
      <w:r w:rsidR="001D2E65" w:rsidRPr="00736E2F">
        <w:rPr>
          <w:rFonts w:ascii="Arial" w:hAnsi="Arial" w:cs="Arial"/>
          <w:snapToGrid w:val="0"/>
          <w:sz w:val="22"/>
          <w:szCs w:val="22"/>
          <w:lang w:eastAsia="en-US"/>
        </w:rPr>
        <w:t> »</w:t>
      </w:r>
      <w:r w:rsidRPr="00736E2F">
        <w:rPr>
          <w:rFonts w:ascii="Arial" w:hAnsi="Arial" w:cs="Arial"/>
          <w:snapToGrid w:val="0"/>
          <w:sz w:val="22"/>
          <w:szCs w:val="22"/>
          <w:lang w:eastAsia="en-US"/>
        </w:rPr>
        <w:t xml:space="preserve"> de la plateforme en ligne au cours du second semestre 2025 afin de présenter, à titre expérimental, le groupe pilote de bonnes expériences de sauvegarde tirées des diverses ressources existantes mentionnées ci-dessus. </w:t>
      </w:r>
      <w:bookmarkStart w:id="1" w:name="_Hlk178246329"/>
      <w:r w:rsidRPr="00736E2F">
        <w:rPr>
          <w:rFonts w:ascii="Arial" w:hAnsi="Arial" w:cs="Arial"/>
          <w:snapToGrid w:val="0"/>
          <w:sz w:val="22"/>
          <w:szCs w:val="22"/>
          <w:lang w:eastAsia="en-US"/>
        </w:rPr>
        <w:t>Cela permettra de tester les différents éléments interactifs de la plateforme, de mesurer l’engagement en ligne, le partage d’informations et la sensibilisation, et de recueillir les réactions des utilisateurs parmi les parties prenantes concernées et le public.</w:t>
      </w:r>
      <w:bookmarkEnd w:id="1"/>
    </w:p>
    <w:p w14:paraId="48F34198" w14:textId="2BAF1BDA" w:rsidR="00CE7C1E" w:rsidRPr="00736E2F" w:rsidRDefault="00CE7C1E" w:rsidP="00CE7C1E">
      <w:pPr>
        <w:numPr>
          <w:ilvl w:val="0"/>
          <w:numId w:val="24"/>
        </w:numPr>
        <w:pBdr>
          <w:top w:val="nil"/>
          <w:left w:val="nil"/>
          <w:bottom w:val="nil"/>
          <w:right w:val="nil"/>
          <w:between w:val="nil"/>
          <w:bar w:val="nil"/>
        </w:pBdr>
        <w:spacing w:before="240" w:after="120"/>
        <w:ind w:left="567" w:hanging="567"/>
        <w:jc w:val="both"/>
        <w:rPr>
          <w:rFonts w:ascii="Arial" w:hAnsi="Arial" w:cs="Arial"/>
          <w:b/>
          <w:bCs/>
          <w:snapToGrid w:val="0"/>
          <w:sz w:val="22"/>
          <w:szCs w:val="22"/>
          <w:lang w:eastAsia="en-US"/>
        </w:rPr>
      </w:pPr>
      <w:r w:rsidRPr="00736E2F">
        <w:rPr>
          <w:rFonts w:ascii="Arial" w:hAnsi="Arial" w:cs="Arial"/>
          <w:b/>
          <w:bCs/>
          <w:snapToGrid w:val="0"/>
          <w:sz w:val="22"/>
          <w:szCs w:val="22"/>
          <w:lang w:eastAsia="en-US"/>
        </w:rPr>
        <w:t>Vers l’opérationnalisation complète de la plateforme en ligne</w:t>
      </w:r>
    </w:p>
    <w:p w14:paraId="372836CA" w14:textId="7165359B" w:rsidR="00CE7C1E" w:rsidRPr="00736E2F" w:rsidRDefault="00CE7C1E" w:rsidP="00CE7C1E">
      <w:pPr>
        <w:pStyle w:val="COMPara"/>
        <w:numPr>
          <w:ilvl w:val="0"/>
          <w:numId w:val="25"/>
        </w:numPr>
        <w:ind w:left="567" w:hanging="567"/>
        <w:jc w:val="both"/>
        <w:rPr>
          <w:lang w:val="fr-FR"/>
        </w:rPr>
      </w:pPr>
      <w:r w:rsidRPr="00736E2F">
        <w:rPr>
          <w:lang w:val="fr-FR"/>
        </w:rPr>
        <w:t>Pour aller de l’avant, les questions énumérées ci-dessous doivent être prises en considération lors de la mise en place de la plateforme en ligne :</w:t>
      </w:r>
    </w:p>
    <w:p w14:paraId="1CCAC3AB" w14:textId="60747B40" w:rsidR="00CE7C1E" w:rsidRPr="00736E2F" w:rsidRDefault="00CE7C1E" w:rsidP="00CE7C1E">
      <w:pPr>
        <w:numPr>
          <w:ilvl w:val="0"/>
          <w:numId w:val="22"/>
        </w:numPr>
        <w:tabs>
          <w:tab w:val="left" w:pos="567"/>
        </w:tabs>
        <w:snapToGrid w:val="0"/>
        <w:spacing w:before="120" w:after="120"/>
        <w:ind w:left="1134" w:hanging="567"/>
        <w:jc w:val="both"/>
        <w:rPr>
          <w:rFonts w:ascii="Arial" w:hAnsi="Arial" w:cs="Arial"/>
          <w:snapToGrid w:val="0"/>
          <w:sz w:val="22"/>
          <w:lang w:eastAsia="en-US"/>
        </w:rPr>
      </w:pPr>
      <w:r w:rsidRPr="00736E2F">
        <w:rPr>
          <w:rFonts w:ascii="Arial" w:hAnsi="Arial" w:cs="Arial"/>
          <w:b/>
          <w:bCs/>
          <w:snapToGrid w:val="0"/>
          <w:sz w:val="22"/>
          <w:lang w:eastAsia="en-US"/>
        </w:rPr>
        <w:t xml:space="preserve">Mise en place d’un groupe consultatif volontaire </w:t>
      </w:r>
      <w:r w:rsidRPr="00736E2F">
        <w:rPr>
          <w:rFonts w:ascii="Arial" w:hAnsi="Arial" w:cs="Arial"/>
          <w:snapToGrid w:val="0"/>
          <w:sz w:val="22"/>
          <w:lang w:eastAsia="en-US"/>
        </w:rPr>
        <w:t xml:space="preserve">: Conformément aux recommandations du groupe de travail et à l’avis du </w:t>
      </w:r>
      <w:r w:rsidR="00D85B58" w:rsidRPr="00736E2F">
        <w:rPr>
          <w:rFonts w:ascii="Arial" w:hAnsi="Arial" w:cs="Arial"/>
          <w:snapToGrid w:val="0"/>
          <w:sz w:val="22"/>
          <w:lang w:eastAsia="en-US"/>
        </w:rPr>
        <w:t>C</w:t>
      </w:r>
      <w:r w:rsidRPr="00736E2F">
        <w:rPr>
          <w:rFonts w:ascii="Arial" w:hAnsi="Arial" w:cs="Arial"/>
          <w:snapToGrid w:val="0"/>
          <w:sz w:val="22"/>
          <w:lang w:eastAsia="en-US"/>
        </w:rPr>
        <w:t>omité, il est proposé de créer un groupe consultatif une fois que les essais pilotes initiaux de la plateforme seront terminés. Les principes suivants peuvent être suivis lors de la création d’un tel groupe consultatif, qui fonctionnera sur une base volontaire :</w:t>
      </w:r>
    </w:p>
    <w:p w14:paraId="29C13A42" w14:textId="4A7F1083" w:rsidR="00CE7C1E" w:rsidRPr="00736E2F" w:rsidRDefault="00CE7C1E" w:rsidP="00CE7C1E">
      <w:pPr>
        <w:numPr>
          <w:ilvl w:val="0"/>
          <w:numId w:val="23"/>
        </w:numPr>
        <w:tabs>
          <w:tab w:val="left" w:pos="567"/>
        </w:tabs>
        <w:snapToGrid w:val="0"/>
        <w:spacing w:before="120" w:after="120"/>
        <w:ind w:left="1701" w:hanging="567"/>
        <w:jc w:val="both"/>
        <w:rPr>
          <w:rFonts w:ascii="Arial" w:hAnsi="Arial" w:cs="Arial"/>
          <w:snapToGrid w:val="0"/>
          <w:sz w:val="22"/>
          <w:lang w:eastAsia="en-US"/>
        </w:rPr>
      </w:pPr>
      <w:r w:rsidRPr="00736E2F">
        <w:rPr>
          <w:rFonts w:ascii="Arial" w:hAnsi="Arial" w:cs="Arial"/>
          <w:snapToGrid w:val="0"/>
          <w:sz w:val="22"/>
          <w:lang w:eastAsia="en-US"/>
        </w:rPr>
        <w:t>Le groupe consultatif serait chargé d’accompagner le développement de la plateforme en ligne, en particulier sur des questions telles que : la méthodologie de cartographie, la représentation géographique et thématique équitable des bonnes expériences de sauvegarde, la diffusion éthique des informations, ainsi que l’identification d’autres expériences de sauvegarde réussies, entre autres.</w:t>
      </w:r>
    </w:p>
    <w:p w14:paraId="74E4C639" w14:textId="11600DB1" w:rsidR="00CE7C1E" w:rsidRPr="00736E2F" w:rsidRDefault="00CE7C1E" w:rsidP="00CE7C1E">
      <w:pPr>
        <w:numPr>
          <w:ilvl w:val="0"/>
          <w:numId w:val="23"/>
        </w:numPr>
        <w:tabs>
          <w:tab w:val="left" w:pos="567"/>
        </w:tabs>
        <w:snapToGrid w:val="0"/>
        <w:spacing w:before="120" w:after="120"/>
        <w:ind w:left="1701" w:hanging="567"/>
        <w:jc w:val="both"/>
        <w:rPr>
          <w:rFonts w:ascii="Arial" w:hAnsi="Arial" w:cs="Arial"/>
          <w:snapToGrid w:val="0"/>
          <w:sz w:val="22"/>
          <w:lang w:eastAsia="en-US"/>
        </w:rPr>
      </w:pPr>
      <w:r w:rsidRPr="00736E2F">
        <w:rPr>
          <w:rFonts w:ascii="Arial" w:hAnsi="Arial" w:cs="Arial"/>
          <w:snapToGrid w:val="0"/>
          <w:sz w:val="22"/>
          <w:lang w:eastAsia="en-US"/>
        </w:rPr>
        <w:t xml:space="preserve">La composition du groupe consultatif reflète une représentation géographique équitable des diverses parties prenantes de la Convention et peut inclure : i) des personnes de contact pour les éléments ou propositions inscrits sur les </w:t>
      </w:r>
      <w:r w:rsidR="00D85B58" w:rsidRPr="00736E2F">
        <w:rPr>
          <w:rFonts w:ascii="Arial" w:hAnsi="Arial" w:cs="Arial"/>
          <w:snapToGrid w:val="0"/>
          <w:sz w:val="22"/>
          <w:lang w:eastAsia="en-US"/>
        </w:rPr>
        <w:t>L</w:t>
      </w:r>
      <w:r w:rsidRPr="00736E2F">
        <w:rPr>
          <w:rFonts w:ascii="Arial" w:hAnsi="Arial" w:cs="Arial"/>
          <w:snapToGrid w:val="0"/>
          <w:sz w:val="22"/>
          <w:lang w:eastAsia="en-US"/>
        </w:rPr>
        <w:t xml:space="preserve">istes et le </w:t>
      </w:r>
      <w:r w:rsidR="00D85B58" w:rsidRPr="00736E2F">
        <w:rPr>
          <w:rFonts w:ascii="Arial" w:hAnsi="Arial" w:cs="Arial"/>
          <w:snapToGrid w:val="0"/>
          <w:sz w:val="22"/>
          <w:lang w:eastAsia="en-US"/>
        </w:rPr>
        <w:t>R</w:t>
      </w:r>
      <w:r w:rsidRPr="00736E2F">
        <w:rPr>
          <w:rFonts w:ascii="Arial" w:hAnsi="Arial" w:cs="Arial"/>
          <w:snapToGrid w:val="0"/>
          <w:sz w:val="22"/>
          <w:lang w:eastAsia="en-US"/>
        </w:rPr>
        <w:t xml:space="preserve">egistre ; ii) des membres du </w:t>
      </w:r>
      <w:r w:rsidR="00D85B58" w:rsidRPr="00736E2F">
        <w:rPr>
          <w:rFonts w:ascii="Arial" w:hAnsi="Arial" w:cs="Arial"/>
          <w:snapToGrid w:val="0"/>
          <w:sz w:val="22"/>
          <w:lang w:eastAsia="en-US"/>
        </w:rPr>
        <w:t>F</w:t>
      </w:r>
      <w:r w:rsidRPr="00736E2F">
        <w:rPr>
          <w:rFonts w:ascii="Arial" w:hAnsi="Arial" w:cs="Arial"/>
          <w:snapToGrid w:val="0"/>
          <w:sz w:val="22"/>
          <w:lang w:eastAsia="en-US"/>
        </w:rPr>
        <w:t xml:space="preserve">orum des ONG du PCI ; iii) des points focaux nationaux pour les rapports périodiques ; iv) des représentants des centres de catégorie 2 ; v) des chaires UNESCO ; vi) des facilitateurs du programme </w:t>
      </w:r>
      <w:r w:rsidR="00E81851" w:rsidRPr="00736E2F">
        <w:rPr>
          <w:rFonts w:ascii="Arial" w:hAnsi="Arial" w:cs="Arial"/>
          <w:snapToGrid w:val="0"/>
          <w:sz w:val="22"/>
          <w:lang w:eastAsia="en-US"/>
        </w:rPr>
        <w:t xml:space="preserve">global </w:t>
      </w:r>
      <w:r w:rsidRPr="00736E2F">
        <w:rPr>
          <w:rFonts w:ascii="Arial" w:hAnsi="Arial" w:cs="Arial"/>
          <w:snapToGrid w:val="0"/>
          <w:sz w:val="22"/>
          <w:lang w:eastAsia="en-US"/>
        </w:rPr>
        <w:t>de renforcement des capacités de la Convention et</w:t>
      </w:r>
      <w:r w:rsidR="00397A4D" w:rsidRPr="00736E2F">
        <w:rPr>
          <w:rFonts w:ascii="Arial" w:hAnsi="Arial" w:cs="Arial"/>
          <w:snapToGrid w:val="0"/>
          <w:sz w:val="22"/>
          <w:lang w:eastAsia="en-US"/>
        </w:rPr>
        <w:t xml:space="preserve"> ; </w:t>
      </w:r>
      <w:r w:rsidRPr="00736E2F">
        <w:rPr>
          <w:rFonts w:ascii="Arial" w:hAnsi="Arial" w:cs="Arial"/>
          <w:snapToGrid w:val="0"/>
          <w:sz w:val="22"/>
          <w:lang w:eastAsia="en-US"/>
        </w:rPr>
        <w:t>vii) d’autres experts.</w:t>
      </w:r>
    </w:p>
    <w:p w14:paraId="07956728" w14:textId="0AD839FF" w:rsidR="00CE7C1E" w:rsidRPr="00736E2F" w:rsidRDefault="00CE7C1E" w:rsidP="00CE7C1E">
      <w:pPr>
        <w:numPr>
          <w:ilvl w:val="0"/>
          <w:numId w:val="23"/>
        </w:numPr>
        <w:tabs>
          <w:tab w:val="left" w:pos="567"/>
        </w:tabs>
        <w:snapToGrid w:val="0"/>
        <w:spacing w:before="120" w:after="120"/>
        <w:ind w:left="1701" w:hanging="567"/>
        <w:jc w:val="both"/>
        <w:rPr>
          <w:rFonts w:ascii="Arial" w:hAnsi="Arial" w:cs="Arial"/>
          <w:snapToGrid w:val="0"/>
          <w:sz w:val="22"/>
          <w:lang w:eastAsia="en-US"/>
        </w:rPr>
      </w:pPr>
      <w:r w:rsidRPr="00736E2F">
        <w:rPr>
          <w:rFonts w:ascii="Arial" w:hAnsi="Arial" w:cs="Arial"/>
          <w:snapToGrid w:val="0"/>
          <w:sz w:val="22"/>
          <w:lang w:eastAsia="en-US"/>
        </w:rPr>
        <w:t>Le groupe consultatif peut comprendre jusqu’à 30 membres sur la base d’une rotation. La liste consolidée des membres d</w:t>
      </w:r>
      <w:r w:rsidR="00397A4D" w:rsidRPr="00736E2F">
        <w:rPr>
          <w:rFonts w:ascii="Arial" w:hAnsi="Arial" w:cs="Arial"/>
          <w:snapToGrid w:val="0"/>
          <w:sz w:val="22"/>
          <w:lang w:eastAsia="en-US"/>
        </w:rPr>
        <w:t xml:space="preserve">u groupe </w:t>
      </w:r>
      <w:r w:rsidRPr="00736E2F">
        <w:rPr>
          <w:rFonts w:ascii="Arial" w:hAnsi="Arial" w:cs="Arial"/>
          <w:snapToGrid w:val="0"/>
          <w:sz w:val="22"/>
          <w:lang w:eastAsia="en-US"/>
        </w:rPr>
        <w:t>consultatif est communiquée au Comité lors de sa réunion annuelle, à compter de sa vingtième session en 2025.</w:t>
      </w:r>
    </w:p>
    <w:p w14:paraId="09A3131F" w14:textId="628CAFBA" w:rsidR="00CE7C1E" w:rsidRPr="00736E2F" w:rsidRDefault="00CE7C1E" w:rsidP="00CE7C1E">
      <w:pPr>
        <w:numPr>
          <w:ilvl w:val="0"/>
          <w:numId w:val="22"/>
        </w:numPr>
        <w:snapToGrid w:val="0"/>
        <w:spacing w:before="120" w:after="120"/>
        <w:ind w:hanging="502"/>
        <w:jc w:val="both"/>
        <w:rPr>
          <w:rFonts w:ascii="Arial" w:hAnsi="Arial" w:cs="Arial"/>
          <w:snapToGrid w:val="0"/>
          <w:sz w:val="22"/>
          <w:lang w:eastAsia="en-US"/>
        </w:rPr>
      </w:pPr>
      <w:bookmarkStart w:id="2" w:name="_Hlk147855837"/>
      <w:r w:rsidRPr="00736E2F">
        <w:rPr>
          <w:rFonts w:ascii="Arial" w:hAnsi="Arial" w:cs="Arial"/>
          <w:b/>
          <w:bCs/>
          <w:snapToGrid w:val="0"/>
          <w:sz w:val="22"/>
          <w:lang w:eastAsia="en-US"/>
        </w:rPr>
        <w:t xml:space="preserve">Feuille de route pour l’opérationnalisation complète de la plateforme : </w:t>
      </w:r>
      <w:r w:rsidRPr="00736E2F">
        <w:rPr>
          <w:rFonts w:ascii="Arial" w:hAnsi="Arial" w:cs="Arial"/>
          <w:snapToGrid w:val="0"/>
          <w:sz w:val="22"/>
          <w:lang w:eastAsia="en-US"/>
        </w:rPr>
        <w:t>L</w:t>
      </w:r>
      <w:r w:rsidR="00397A4D" w:rsidRPr="00736E2F">
        <w:rPr>
          <w:rFonts w:ascii="Arial" w:hAnsi="Arial" w:cs="Arial"/>
          <w:snapToGrid w:val="0"/>
          <w:sz w:val="22"/>
          <w:lang w:eastAsia="en-US"/>
        </w:rPr>
        <w:t>a</w:t>
      </w:r>
      <w:r w:rsidRPr="00736E2F">
        <w:rPr>
          <w:rFonts w:ascii="Arial" w:hAnsi="Arial" w:cs="Arial"/>
          <w:snapToGrid w:val="0"/>
          <w:sz w:val="22"/>
          <w:lang w:eastAsia="en-US"/>
        </w:rPr>
        <w:t xml:space="preserve"> feuille de route figurant à l’annexe II reflète les progrès réalisés en 2024 et les projets pour l’avenir. L’année 2025 sera l’occasion de développer les technologies de l’information de la plateforme en ligne, de la mettre à l’essai avec la première série de bonnes expériences de sauvegarde répertoriées, ainsi que de mettre en place le groupe consultatif. L’état d’avancement de ces activités pourrait être présenté pour examen à la vingtième session du Comité à la fin de 2025, conformément à la </w:t>
      </w:r>
      <w:r w:rsidR="00736E2F">
        <w:rPr>
          <w:rFonts w:ascii="Arial" w:hAnsi="Arial" w:cs="Arial"/>
          <w:snapToGrid w:val="0"/>
          <w:sz w:val="22"/>
          <w:lang w:eastAsia="en-US"/>
        </w:rPr>
        <w:t>d</w:t>
      </w:r>
      <w:r w:rsidRPr="00736E2F">
        <w:rPr>
          <w:rFonts w:ascii="Arial" w:hAnsi="Arial" w:cs="Arial"/>
          <w:snapToGrid w:val="0"/>
          <w:sz w:val="22"/>
          <w:lang w:eastAsia="en-US"/>
        </w:rPr>
        <w:t xml:space="preserve">écision </w:t>
      </w:r>
      <w:hyperlink r:id="rId15" w:history="1">
        <w:r w:rsidRPr="00736E2F">
          <w:rPr>
            <w:rFonts w:ascii="Arial" w:hAnsi="Arial" w:cs="Arial"/>
            <w:snapToGrid w:val="0"/>
            <w:color w:val="0000FF" w:themeColor="hyperlink"/>
            <w:sz w:val="22"/>
            <w:u w:val="single"/>
            <w:lang w:eastAsia="en-US"/>
          </w:rPr>
          <w:t>18.COM 11</w:t>
        </w:r>
      </w:hyperlink>
      <w:r w:rsidRPr="00736E2F">
        <w:rPr>
          <w:rFonts w:ascii="Arial" w:hAnsi="Arial" w:cs="Arial"/>
          <w:snapToGrid w:val="0"/>
          <w:sz w:val="22"/>
          <w:lang w:eastAsia="en-US"/>
        </w:rPr>
        <w:t>. En fonction de la situation à ce stade, le Comité pourrait décider d’encourager le Secrétariat à lancer d’autres mesures en 2026, telles que l’identification d’</w:t>
      </w:r>
      <w:r w:rsidRPr="00736E2F">
        <w:rPr>
          <w:rFonts w:ascii="Arial" w:hAnsi="Arial" w:cs="Arial"/>
          <w:snapToGrid w:val="0"/>
          <w:sz w:val="22"/>
          <w:szCs w:val="22"/>
          <w:lang w:eastAsia="en-US"/>
        </w:rPr>
        <w:t>un éventail plus large d’expériences de sauvegarde à présenter sur la plateforme (avec le soutien du groupe consultatif), ainsi que l’</w:t>
      </w:r>
      <w:r w:rsidRPr="00736E2F">
        <w:rPr>
          <w:rFonts w:ascii="Arial" w:hAnsi="Arial" w:cs="Arial"/>
          <w:snapToGrid w:val="0"/>
          <w:sz w:val="22"/>
          <w:lang w:eastAsia="en-US"/>
        </w:rPr>
        <w:t>élaboration de matériel spécifique et d’activités de sensibilisation pour promouvoir l’utilisation généralisée de la plateforme. Des progrès dans ces domaines permettraient d’envisager le lancement de la plateforme pleinement opérationnelle lors de la onzième session de l’Assemblée générale (mi-2026).</w:t>
      </w:r>
    </w:p>
    <w:bookmarkEnd w:id="2"/>
    <w:p w14:paraId="50213878" w14:textId="77777777" w:rsidR="00CE7C1E" w:rsidRPr="00736E2F" w:rsidRDefault="00CE7C1E" w:rsidP="00CE7C1E">
      <w:pPr>
        <w:spacing w:before="240" w:after="120"/>
        <w:jc w:val="both"/>
        <w:rPr>
          <w:rFonts w:ascii="Arial" w:hAnsi="Arial" w:cs="Arial"/>
          <w:b/>
          <w:bCs/>
          <w:snapToGrid w:val="0"/>
          <w:sz w:val="22"/>
          <w:szCs w:val="22"/>
          <w:lang w:eastAsia="en-US"/>
        </w:rPr>
      </w:pPr>
      <w:r w:rsidRPr="00736E2F">
        <w:rPr>
          <w:rFonts w:ascii="Arial" w:hAnsi="Arial" w:cs="Arial"/>
          <w:b/>
          <w:bCs/>
          <w:snapToGrid w:val="0"/>
          <w:sz w:val="22"/>
          <w:szCs w:val="22"/>
          <w:lang w:eastAsia="en-US"/>
        </w:rPr>
        <w:t>Perspectives</w:t>
      </w:r>
    </w:p>
    <w:p w14:paraId="258033E1" w14:textId="05FD469F" w:rsidR="00CE7C1E" w:rsidRPr="00736E2F" w:rsidRDefault="00CE7C1E" w:rsidP="00CE7C1E">
      <w:pPr>
        <w:pStyle w:val="COMPara"/>
        <w:numPr>
          <w:ilvl w:val="0"/>
          <w:numId w:val="25"/>
        </w:numPr>
        <w:ind w:left="567" w:hanging="567"/>
        <w:jc w:val="both"/>
        <w:rPr>
          <w:lang w:val="fr-FR"/>
        </w:rPr>
      </w:pPr>
      <w:r w:rsidRPr="00736E2F">
        <w:rPr>
          <w:lang w:val="fr-FR"/>
        </w:rPr>
        <w:t>Une mise en œuvre plus large de l’article 18 incarne pleinement les objectifs et les buts de la Convention, en traçant de nouveaux horizons pour aider les communautés, les États parties et les autres parties prenantes à échanger leurs points de vue et leurs expériences, tout en fournissant également de nouveaux canaux de communication pour leur participation active. En s’appuyant sur le travail accompli jusqu’à présent, l’année 2025 verra une accélération des progrès vers la mise en place de la plateforme en ligne. Dans un avenir proche, la plateforme pourrait devenir un outil complet et riche en ressources permettant aux parties prenantes de trouver des expériences précieuses pour divers aspects de la sauvegarde. Il pourrait s’agir, par exemple, de méthodes d’inventaire efficaces du patrimoine vivant dans des contextes urbains, de bons exemples de communautés assurant une subsistance durable grâce à la pratique de leur patrimoine, ou de la contribution d’éléments spécifiques du patrimoine vivant à la gestion des risques de catastrophes, à l’action climatique et à d’autres situations d’urgence.</w:t>
      </w:r>
    </w:p>
    <w:p w14:paraId="425301E0" w14:textId="41F1CEAD" w:rsidR="00CE7C1E" w:rsidRPr="00736E2F" w:rsidRDefault="00CE7C1E" w:rsidP="00CE7C1E">
      <w:pPr>
        <w:pStyle w:val="COMPara"/>
        <w:numPr>
          <w:ilvl w:val="0"/>
          <w:numId w:val="25"/>
        </w:numPr>
        <w:ind w:left="567" w:hanging="567"/>
        <w:jc w:val="both"/>
        <w:rPr>
          <w:lang w:val="fr-FR"/>
        </w:rPr>
      </w:pPr>
      <w:r w:rsidRPr="00736E2F">
        <w:rPr>
          <w:lang w:val="fr-FR"/>
        </w:rPr>
        <w:t>Le développement continu des services de gestion des connaissances de la Convention nécessitera des sources de financement plus importantes et une dotation en personnel durable. Ces ressources sont essentielles pour rationaliser efficacement la production de données, gérer l’afflux important de données, maintenir des normes élevées pour les informations disponibles en ligne et faciliter la modération des échanges sur la plateforme. Comme prévu dans le plan d’utilisation des ressources du Fonds du patrimoine culturel immatériel, qui a été examiné par le Comité à sa dix-huitième session (</w:t>
      </w:r>
      <w:r w:rsidR="00397A4D" w:rsidRPr="00736E2F">
        <w:rPr>
          <w:lang w:val="fr-FR"/>
        </w:rPr>
        <w:t>D</w:t>
      </w:r>
      <w:r w:rsidRPr="00736E2F">
        <w:rPr>
          <w:lang w:val="fr-FR"/>
        </w:rPr>
        <w:t xml:space="preserve">écision </w:t>
      </w:r>
      <w:hyperlink r:id="rId16" w:history="1">
        <w:r w:rsidRPr="00736E2F">
          <w:rPr>
            <w:color w:val="0000FF" w:themeColor="hyperlink"/>
            <w:u w:val="single"/>
            <w:lang w:val="fr-FR"/>
          </w:rPr>
          <w:t>18.COM</w:t>
        </w:r>
        <w:r w:rsidR="004B5568">
          <w:rPr>
            <w:color w:val="0000FF" w:themeColor="hyperlink"/>
            <w:u w:val="single"/>
            <w:lang w:val="fr-FR"/>
          </w:rPr>
          <w:t xml:space="preserve"> </w:t>
        </w:r>
        <w:r w:rsidRPr="00736E2F">
          <w:rPr>
            <w:color w:val="0000FF" w:themeColor="hyperlink"/>
            <w:u w:val="single"/>
            <w:lang w:val="fr-FR"/>
          </w:rPr>
          <w:t>14</w:t>
        </w:r>
      </w:hyperlink>
      <w:r w:rsidRPr="00736E2F">
        <w:rPr>
          <w:lang w:val="fr-FR"/>
        </w:rPr>
        <w:t>) et approuvé par la dixième session de l’Assemblée générale des États parties (</w:t>
      </w:r>
      <w:r w:rsidR="00397A4D" w:rsidRPr="00736E2F">
        <w:rPr>
          <w:lang w:val="fr-FR"/>
        </w:rPr>
        <w:t>R</w:t>
      </w:r>
      <w:r w:rsidRPr="00736E2F">
        <w:rPr>
          <w:lang w:val="fr-FR"/>
        </w:rPr>
        <w:t xml:space="preserve">ésolution </w:t>
      </w:r>
      <w:hyperlink r:id="rId17" w:history="1">
        <w:r w:rsidRPr="00736E2F">
          <w:rPr>
            <w:color w:val="0000FF" w:themeColor="hyperlink"/>
            <w:u w:val="single"/>
            <w:lang w:val="fr-FR"/>
          </w:rPr>
          <w:t>10.GA 8</w:t>
        </w:r>
      </w:hyperlink>
      <w:r w:rsidRPr="00736E2F">
        <w:rPr>
          <w:lang w:val="fr-FR"/>
        </w:rPr>
        <w:t>), des ajustements ont été apportés aux allocations au titre de la ligne budgétaire 7 (« Services consultatifs au Comité ») pour couvrir les coûts associés à la mise en place initiale de la plate-forme, y compris l’étude documentaire, la cartographie des expériences pilotes, le développement informatique initial et la gestion pilote de la plate-forme. Le Comité souhaitera peut-être encourager les États parties et d’autres partenaires potentiels à envisager de fournir des contributions financières pour soutenir la durabilité de l’initiative.</w:t>
      </w:r>
    </w:p>
    <w:p w14:paraId="057BBEA1" w14:textId="73C01FEC" w:rsidR="00CE7C1E" w:rsidRPr="00736E2F" w:rsidRDefault="00CE7C1E" w:rsidP="00CE7C1E">
      <w:pPr>
        <w:pStyle w:val="COMPara"/>
        <w:numPr>
          <w:ilvl w:val="0"/>
          <w:numId w:val="25"/>
        </w:numPr>
        <w:ind w:left="567" w:hanging="567"/>
        <w:jc w:val="both"/>
        <w:rPr>
          <w:lang w:val="fr-FR"/>
        </w:rPr>
      </w:pPr>
      <w:r w:rsidRPr="00736E2F">
        <w:rPr>
          <w:lang w:val="fr-FR"/>
        </w:rPr>
        <w:t>Si le présent document s’attache à faire le point sur la mise en place de la plateforme en ligne, cette réf</w:t>
      </w:r>
      <w:r w:rsidR="00397A4D" w:rsidRPr="00736E2F">
        <w:rPr>
          <w:lang w:val="fr-FR"/>
        </w:rPr>
        <w:t>lexion</w:t>
      </w:r>
      <w:r w:rsidRPr="00736E2F">
        <w:rPr>
          <w:lang w:val="fr-FR"/>
        </w:rPr>
        <w:t xml:space="preserve"> en cours concerne également la gestion du Registre de bonnes pratiques de sauvegarde, qui continue d’être sous-utilisé (3 % de l’ensemble des dossiers traités au cours des cycles 2024 et 2025 ; voir le document </w:t>
      </w:r>
      <w:hyperlink r:id="rId18" w:history="1">
        <w:r w:rsidRPr="00736E2F">
          <w:rPr>
            <w:rStyle w:val="Lienhypertexte"/>
            <w:lang w:val="fr-FR"/>
          </w:rPr>
          <w:t>LHE/24/19.COM/15</w:t>
        </w:r>
      </w:hyperlink>
      <w:r w:rsidRPr="00736E2F">
        <w:rPr>
          <w:lang w:val="fr-FR"/>
        </w:rPr>
        <w:t>). Grâce à la réflexion globale sur les mécanismes d’inscription</w:t>
      </w:r>
      <w:r w:rsidR="00E81851" w:rsidRPr="00736E2F">
        <w:rPr>
          <w:lang w:val="fr-FR"/>
        </w:rPr>
        <w:t xml:space="preserve"> sur les listes</w:t>
      </w:r>
      <w:r w:rsidRPr="00736E2F">
        <w:rPr>
          <w:lang w:val="fr-FR"/>
        </w:rPr>
        <w:t xml:space="preserve"> et aux amendements des Directives opérationnelles, les organes directeurs de la Convention ont pris plusieurs mesures pour améliorer l’accès au Registre et en accroître la visibilité. Ces mesures comprennent</w:t>
      </w:r>
      <w:r w:rsidR="00752582" w:rsidRPr="00736E2F">
        <w:rPr>
          <w:lang w:val="fr-FR"/>
        </w:rPr>
        <w:t xml:space="preserve"> : </w:t>
      </w:r>
      <w:r w:rsidRPr="00736E2F">
        <w:rPr>
          <w:lang w:val="fr-FR"/>
        </w:rPr>
        <w:t>(a) la possibilité d’inclure des expériences de sauvegarde réussies dans le Registre de bonnes pratiques de sauvegarde, dans le contexte d’un transfert (paragraphe 39.3 des Directives opérationnelles)</w:t>
      </w:r>
      <w:r w:rsidR="00752582" w:rsidRPr="00736E2F">
        <w:rPr>
          <w:lang w:val="fr-FR"/>
        </w:rPr>
        <w:t> ;</w:t>
      </w:r>
      <w:r w:rsidRPr="00736E2F">
        <w:rPr>
          <w:lang w:val="fr-FR"/>
        </w:rPr>
        <w:t xml:space="preserve"> (b) la simplification des critères de sélection (paragraphe 7 des Directives opérationnelles)</w:t>
      </w:r>
      <w:r w:rsidR="00752582" w:rsidRPr="00736E2F">
        <w:rPr>
          <w:lang w:val="fr-FR"/>
        </w:rPr>
        <w:t> ;</w:t>
      </w:r>
      <w:r w:rsidRPr="00736E2F">
        <w:rPr>
          <w:lang w:val="fr-FR"/>
        </w:rPr>
        <w:t xml:space="preserve"> (c) l’opérationnalisation du Registre grâce à de meilleures connexions avec d’autres mécanismes (</w:t>
      </w:r>
      <w:r w:rsidR="00752582" w:rsidRPr="00736E2F">
        <w:rPr>
          <w:lang w:val="fr-FR"/>
        </w:rPr>
        <w:t>a</w:t>
      </w:r>
      <w:r w:rsidRPr="00736E2F">
        <w:rPr>
          <w:lang w:val="fr-FR"/>
        </w:rPr>
        <w:t>ssistance internationale et rapports périodiques)</w:t>
      </w:r>
      <w:r w:rsidR="00752582" w:rsidRPr="00736E2F">
        <w:rPr>
          <w:lang w:val="fr-FR"/>
        </w:rPr>
        <w:t> ;</w:t>
      </w:r>
      <w:r w:rsidRPr="00736E2F">
        <w:rPr>
          <w:lang w:val="fr-FR"/>
        </w:rPr>
        <w:t xml:space="preserve"> et (d) la mise en place d’une plateforme en ligne modérée pour partager les bonnes expériences de sauvegarde (telle que décrite dans ce document). La mise en place de la plateforme en ligne, qui est la dernière de ces mesures, devrait également contribuer à cet effort positif.</w:t>
      </w:r>
    </w:p>
    <w:p w14:paraId="774CC834" w14:textId="0AB2E380" w:rsidR="00CE7C1E" w:rsidRPr="00736E2F" w:rsidRDefault="00CE7C1E" w:rsidP="00CE7C1E">
      <w:pPr>
        <w:pStyle w:val="COMPara"/>
        <w:numPr>
          <w:ilvl w:val="0"/>
          <w:numId w:val="25"/>
        </w:numPr>
        <w:ind w:left="567" w:hanging="567"/>
        <w:jc w:val="both"/>
        <w:rPr>
          <w:lang w:val="fr-FR"/>
        </w:rPr>
      </w:pPr>
      <w:r w:rsidRPr="00736E2F">
        <w:rPr>
          <w:lang w:val="fr-FR"/>
        </w:rPr>
        <w:t>Le Comité souhaiter</w:t>
      </w:r>
      <w:r w:rsidR="008A2140" w:rsidRPr="00736E2F">
        <w:rPr>
          <w:lang w:val="fr-FR"/>
        </w:rPr>
        <w:t>a peut-être</w:t>
      </w:r>
      <w:r w:rsidRPr="00736E2F">
        <w:rPr>
          <w:lang w:val="fr-FR"/>
        </w:rPr>
        <w:t xml:space="preserve"> adopter la décision suivante :</w:t>
      </w:r>
    </w:p>
    <w:p w14:paraId="57A9690D" w14:textId="77777777" w:rsidR="00CE7C1E" w:rsidRPr="00736E2F" w:rsidRDefault="00CE7C1E" w:rsidP="00B71F04">
      <w:pPr>
        <w:keepNext/>
        <w:spacing w:before="240" w:after="120"/>
        <w:ind w:left="567"/>
        <w:jc w:val="both"/>
        <w:rPr>
          <w:rFonts w:ascii="Arial" w:eastAsia="SimSun" w:hAnsi="Arial" w:cs="Arial"/>
          <w:b/>
          <w:sz w:val="22"/>
          <w:szCs w:val="22"/>
        </w:rPr>
      </w:pPr>
      <w:r w:rsidRPr="00736E2F">
        <w:rPr>
          <w:rFonts w:ascii="Arial" w:hAnsi="Arial" w:cs="Arial"/>
          <w:b/>
          <w:sz w:val="22"/>
          <w:szCs w:val="22"/>
        </w:rPr>
        <w:t>PROJET DE DÉCISION 19.COM 10</w:t>
      </w:r>
    </w:p>
    <w:p w14:paraId="193002CC" w14:textId="07ED2CD7" w:rsidR="00CE7C1E" w:rsidRPr="00736E2F" w:rsidRDefault="00CE7C1E" w:rsidP="00CE7C1E">
      <w:pPr>
        <w:keepNext/>
        <w:spacing w:after="120"/>
        <w:ind w:left="567"/>
        <w:jc w:val="both"/>
        <w:rPr>
          <w:rFonts w:ascii="Arial" w:eastAsia="SimSun" w:hAnsi="Arial" w:cs="Arial"/>
          <w:sz w:val="22"/>
          <w:szCs w:val="22"/>
        </w:rPr>
      </w:pPr>
      <w:r w:rsidRPr="00736E2F">
        <w:rPr>
          <w:rFonts w:ascii="Arial" w:hAnsi="Arial" w:cs="Arial"/>
          <w:sz w:val="22"/>
          <w:szCs w:val="22"/>
        </w:rPr>
        <w:t>L</w:t>
      </w:r>
      <w:r w:rsidR="00752582" w:rsidRPr="00736E2F">
        <w:rPr>
          <w:rFonts w:ascii="Arial" w:hAnsi="Arial" w:cs="Arial"/>
          <w:sz w:val="22"/>
          <w:szCs w:val="22"/>
        </w:rPr>
        <w:t>e</w:t>
      </w:r>
      <w:r w:rsidRPr="00736E2F">
        <w:rPr>
          <w:rFonts w:ascii="Arial" w:hAnsi="Arial" w:cs="Arial"/>
          <w:sz w:val="22"/>
          <w:szCs w:val="22"/>
        </w:rPr>
        <w:t xml:space="preserve"> </w:t>
      </w:r>
      <w:r w:rsidR="00752582" w:rsidRPr="00736E2F">
        <w:rPr>
          <w:rFonts w:ascii="Arial" w:hAnsi="Arial" w:cs="Arial"/>
          <w:sz w:val="22"/>
          <w:szCs w:val="22"/>
        </w:rPr>
        <w:t>Comité</w:t>
      </w:r>
      <w:r w:rsidRPr="00736E2F">
        <w:rPr>
          <w:rFonts w:ascii="Arial" w:hAnsi="Arial" w:cs="Arial"/>
          <w:sz w:val="22"/>
          <w:szCs w:val="22"/>
        </w:rPr>
        <w:t>,</w:t>
      </w:r>
    </w:p>
    <w:p w14:paraId="61E8153D" w14:textId="77777777" w:rsidR="00CE7C1E" w:rsidRPr="00736E2F" w:rsidRDefault="00CE7C1E" w:rsidP="00CE7C1E">
      <w:pPr>
        <w:numPr>
          <w:ilvl w:val="0"/>
          <w:numId w:val="9"/>
        </w:numPr>
        <w:autoSpaceDE w:val="0"/>
        <w:autoSpaceDN w:val="0"/>
        <w:adjustRightInd w:val="0"/>
        <w:spacing w:after="120"/>
        <w:ind w:left="1134" w:hanging="567"/>
        <w:jc w:val="both"/>
        <w:rPr>
          <w:rFonts w:ascii="Arial" w:eastAsia="SimSun" w:hAnsi="Arial" w:cs="Arial"/>
          <w:sz w:val="22"/>
          <w:szCs w:val="22"/>
          <w:u w:val="single"/>
        </w:rPr>
      </w:pPr>
      <w:r w:rsidRPr="00736E2F">
        <w:rPr>
          <w:rFonts w:ascii="Arial" w:eastAsia="SimSun" w:hAnsi="Arial" w:cs="Arial"/>
          <w:sz w:val="22"/>
          <w:szCs w:val="22"/>
          <w:u w:val="single"/>
        </w:rPr>
        <w:t>Ayant examiné</w:t>
      </w:r>
      <w:r w:rsidRPr="00736E2F">
        <w:rPr>
          <w:rFonts w:ascii="Arial" w:eastAsia="SimSun" w:hAnsi="Arial" w:cs="Arial"/>
          <w:sz w:val="22"/>
          <w:szCs w:val="22"/>
        </w:rPr>
        <w:t xml:space="preserve"> le document LHE/24/19.COM/10 et ses annexes,</w:t>
      </w:r>
    </w:p>
    <w:p w14:paraId="1F83A9CB" w14:textId="76137A0D" w:rsidR="00CE7C1E" w:rsidRPr="00736E2F" w:rsidRDefault="00CE7C1E" w:rsidP="00CE7C1E">
      <w:pPr>
        <w:numPr>
          <w:ilvl w:val="0"/>
          <w:numId w:val="9"/>
        </w:numPr>
        <w:autoSpaceDE w:val="0"/>
        <w:autoSpaceDN w:val="0"/>
        <w:adjustRightInd w:val="0"/>
        <w:spacing w:after="120"/>
        <w:ind w:left="1134" w:hanging="567"/>
        <w:jc w:val="both"/>
        <w:rPr>
          <w:rFonts w:ascii="Arial" w:eastAsia="SimSun" w:hAnsi="Arial" w:cs="Arial"/>
          <w:sz w:val="22"/>
          <w:szCs w:val="22"/>
        </w:rPr>
      </w:pPr>
      <w:r w:rsidRPr="00736E2F">
        <w:rPr>
          <w:rFonts w:ascii="Arial" w:eastAsia="SimSun" w:hAnsi="Arial" w:cs="Arial"/>
          <w:sz w:val="22"/>
          <w:szCs w:val="22"/>
          <w:u w:val="single"/>
        </w:rPr>
        <w:t>Rappelant</w:t>
      </w:r>
      <w:r w:rsidRPr="00736E2F">
        <w:rPr>
          <w:rFonts w:ascii="Arial" w:eastAsia="SimSun" w:hAnsi="Arial" w:cs="Arial"/>
          <w:sz w:val="22"/>
          <w:szCs w:val="22"/>
        </w:rPr>
        <w:t xml:space="preserve"> les </w:t>
      </w:r>
      <w:r w:rsidR="00736E2F">
        <w:rPr>
          <w:rFonts w:ascii="Arial" w:eastAsia="SimSun" w:hAnsi="Arial" w:cs="Arial"/>
          <w:sz w:val="22"/>
          <w:szCs w:val="22"/>
        </w:rPr>
        <w:t>r</w:t>
      </w:r>
      <w:r w:rsidRPr="00736E2F">
        <w:rPr>
          <w:rFonts w:ascii="Arial" w:eastAsia="SimSun" w:hAnsi="Arial" w:cs="Arial"/>
          <w:sz w:val="22"/>
          <w:szCs w:val="22"/>
        </w:rPr>
        <w:t xml:space="preserve">ésolutions </w:t>
      </w:r>
      <w:hyperlink r:id="rId19" w:history="1">
        <w:r w:rsidRPr="00736E2F">
          <w:rPr>
            <w:rFonts w:ascii="Arial" w:eastAsia="SimSun" w:hAnsi="Arial" w:cs="Arial"/>
            <w:color w:val="0000FF" w:themeColor="hyperlink"/>
            <w:sz w:val="22"/>
            <w:szCs w:val="22"/>
            <w:u w:val="single"/>
          </w:rPr>
          <w:t>10.GA</w:t>
        </w:r>
        <w:r w:rsidR="00F10CC1">
          <w:rPr>
            <w:rFonts w:ascii="Arial" w:eastAsia="SimSun" w:hAnsi="Arial" w:cs="Arial"/>
            <w:color w:val="0000FF" w:themeColor="hyperlink"/>
            <w:sz w:val="22"/>
            <w:szCs w:val="22"/>
            <w:u w:val="single"/>
          </w:rPr>
          <w:t> </w:t>
        </w:r>
        <w:r w:rsidRPr="00736E2F">
          <w:rPr>
            <w:rFonts w:ascii="Arial" w:eastAsia="SimSun" w:hAnsi="Arial" w:cs="Arial"/>
            <w:color w:val="0000FF" w:themeColor="hyperlink"/>
            <w:sz w:val="22"/>
            <w:szCs w:val="22"/>
            <w:u w:val="single"/>
          </w:rPr>
          <w:t>7</w:t>
        </w:r>
      </w:hyperlink>
      <w:r w:rsidRPr="00736E2F">
        <w:rPr>
          <w:rFonts w:ascii="Arial" w:eastAsia="SimSun" w:hAnsi="Arial" w:cs="Arial"/>
          <w:sz w:val="22"/>
          <w:szCs w:val="22"/>
        </w:rPr>
        <w:t xml:space="preserve"> et </w:t>
      </w:r>
      <w:hyperlink r:id="rId20" w:history="1">
        <w:r w:rsidRPr="00736E2F">
          <w:rPr>
            <w:rFonts w:ascii="Arial" w:eastAsia="SimSun" w:hAnsi="Arial" w:cs="Arial"/>
            <w:color w:val="0000FF" w:themeColor="hyperlink"/>
            <w:sz w:val="22"/>
            <w:szCs w:val="22"/>
            <w:u w:val="single"/>
          </w:rPr>
          <w:t>10.GA</w:t>
        </w:r>
        <w:r w:rsidR="00F10CC1">
          <w:rPr>
            <w:rFonts w:ascii="Arial" w:eastAsia="SimSun" w:hAnsi="Arial" w:cs="Arial"/>
            <w:color w:val="0000FF" w:themeColor="hyperlink"/>
            <w:sz w:val="22"/>
            <w:szCs w:val="22"/>
            <w:u w:val="single"/>
          </w:rPr>
          <w:t> </w:t>
        </w:r>
        <w:r w:rsidRPr="00736E2F">
          <w:rPr>
            <w:rFonts w:ascii="Arial" w:eastAsia="SimSun" w:hAnsi="Arial" w:cs="Arial"/>
            <w:color w:val="0000FF" w:themeColor="hyperlink"/>
            <w:sz w:val="22"/>
            <w:szCs w:val="22"/>
            <w:u w:val="single"/>
          </w:rPr>
          <w:t>8</w:t>
        </w:r>
      </w:hyperlink>
      <w:r w:rsidRPr="00736E2F">
        <w:rPr>
          <w:rFonts w:ascii="Arial" w:eastAsia="SimSun" w:hAnsi="Arial" w:cs="Arial"/>
          <w:sz w:val="22"/>
          <w:szCs w:val="22"/>
        </w:rPr>
        <w:t xml:space="preserve">, ainsi que les </w:t>
      </w:r>
      <w:r w:rsidR="00736E2F">
        <w:rPr>
          <w:rFonts w:ascii="Arial" w:eastAsia="SimSun" w:hAnsi="Arial" w:cs="Arial"/>
          <w:sz w:val="22"/>
          <w:szCs w:val="22"/>
        </w:rPr>
        <w:t>d</w:t>
      </w:r>
      <w:r w:rsidRPr="00736E2F">
        <w:rPr>
          <w:rFonts w:ascii="Arial" w:eastAsia="SimSun" w:hAnsi="Arial" w:cs="Arial"/>
          <w:sz w:val="22"/>
          <w:szCs w:val="22"/>
        </w:rPr>
        <w:t>écisions</w:t>
      </w:r>
      <w:bookmarkStart w:id="3" w:name="_Hlk118129117"/>
      <w:r w:rsidRPr="00736E2F">
        <w:rPr>
          <w:rFonts w:ascii="Arial" w:eastAsia="SimSun" w:hAnsi="Arial" w:cs="Arial"/>
          <w:sz w:val="22"/>
          <w:szCs w:val="22"/>
        </w:rPr>
        <w:t xml:space="preserve"> </w:t>
      </w:r>
      <w:bookmarkEnd w:id="3"/>
      <w:r w:rsidRPr="00736E2F">
        <w:rPr>
          <w:rFonts w:ascii="Arial" w:eastAsia="SimSun" w:hAnsi="Arial" w:cs="Arial"/>
          <w:sz w:val="22"/>
          <w:szCs w:val="22"/>
          <w:u w:val="single"/>
        </w:rPr>
        <w:fldChar w:fldCharType="begin"/>
      </w:r>
      <w:r w:rsidR="00F30E9A" w:rsidRPr="00736E2F">
        <w:rPr>
          <w:rFonts w:ascii="Arial" w:eastAsia="SimSun" w:hAnsi="Arial" w:cs="Arial"/>
          <w:sz w:val="22"/>
          <w:szCs w:val="22"/>
          <w:u w:val="single"/>
        </w:rPr>
        <w:instrText>HYPERLINK "https://ich.unesco.org/fr/decisions/16.COM/14"</w:instrText>
      </w:r>
      <w:r w:rsidRPr="00736E2F">
        <w:rPr>
          <w:rFonts w:ascii="Arial" w:eastAsia="SimSun" w:hAnsi="Arial" w:cs="Arial"/>
          <w:sz w:val="22"/>
          <w:szCs w:val="22"/>
          <w:u w:val="single"/>
        </w:rPr>
      </w:r>
      <w:r w:rsidRPr="00736E2F">
        <w:rPr>
          <w:rFonts w:ascii="Arial" w:eastAsia="SimSun" w:hAnsi="Arial" w:cs="Arial"/>
          <w:sz w:val="22"/>
          <w:szCs w:val="22"/>
          <w:u w:val="single"/>
        </w:rPr>
        <w:fldChar w:fldCharType="separate"/>
      </w:r>
      <w:r w:rsidRPr="00736E2F">
        <w:rPr>
          <w:rFonts w:ascii="Arial" w:eastAsia="SimSun" w:hAnsi="Arial" w:cs="Arial"/>
          <w:color w:val="0000FF" w:themeColor="hyperlink"/>
          <w:sz w:val="22"/>
          <w:szCs w:val="22"/>
          <w:u w:val="single"/>
        </w:rPr>
        <w:t>16.COM</w:t>
      </w:r>
      <w:r w:rsidR="00F10CC1">
        <w:rPr>
          <w:rFonts w:ascii="Arial" w:eastAsia="SimSun" w:hAnsi="Arial" w:cs="Arial"/>
          <w:color w:val="0000FF" w:themeColor="hyperlink"/>
          <w:sz w:val="22"/>
          <w:szCs w:val="22"/>
          <w:u w:val="single"/>
        </w:rPr>
        <w:t> </w:t>
      </w:r>
      <w:r w:rsidRPr="00736E2F">
        <w:rPr>
          <w:rFonts w:ascii="Arial" w:eastAsia="SimSun" w:hAnsi="Arial" w:cs="Arial"/>
          <w:color w:val="0000FF" w:themeColor="hyperlink"/>
          <w:sz w:val="22"/>
          <w:szCs w:val="22"/>
          <w:u w:val="single"/>
        </w:rPr>
        <w:t>14</w:t>
      </w:r>
      <w:r w:rsidRPr="00736E2F">
        <w:rPr>
          <w:rFonts w:ascii="Arial" w:eastAsia="SimSun" w:hAnsi="Arial" w:cs="Arial"/>
          <w:color w:val="0000FF" w:themeColor="hyperlink"/>
          <w:sz w:val="22"/>
          <w:szCs w:val="22"/>
          <w:u w:val="single"/>
        </w:rPr>
        <w:fldChar w:fldCharType="end"/>
      </w:r>
      <w:r w:rsidRPr="00736E2F">
        <w:rPr>
          <w:rFonts w:ascii="Arial" w:eastAsia="SimSun" w:hAnsi="Arial" w:cs="Arial"/>
          <w:sz w:val="22"/>
          <w:szCs w:val="22"/>
        </w:rPr>
        <w:t xml:space="preserve">, </w:t>
      </w:r>
      <w:hyperlink r:id="rId21" w:history="1">
        <w:r w:rsidRPr="00736E2F">
          <w:rPr>
            <w:rFonts w:ascii="Arial" w:eastAsia="SimSun" w:hAnsi="Arial" w:cs="Arial"/>
            <w:color w:val="0000FF" w:themeColor="hyperlink"/>
            <w:sz w:val="22"/>
            <w:szCs w:val="22"/>
            <w:u w:val="single"/>
          </w:rPr>
          <w:t>17.COM</w:t>
        </w:r>
        <w:r w:rsidR="00F10CC1">
          <w:rPr>
            <w:rFonts w:ascii="Arial" w:eastAsia="SimSun" w:hAnsi="Arial" w:cs="Arial"/>
            <w:color w:val="0000FF" w:themeColor="hyperlink"/>
            <w:sz w:val="22"/>
            <w:szCs w:val="22"/>
            <w:u w:val="single"/>
          </w:rPr>
          <w:t> </w:t>
        </w:r>
        <w:r w:rsidRPr="00736E2F">
          <w:rPr>
            <w:rFonts w:ascii="Arial" w:eastAsia="SimSun" w:hAnsi="Arial" w:cs="Arial"/>
            <w:color w:val="0000FF" w:themeColor="hyperlink"/>
            <w:sz w:val="22"/>
            <w:szCs w:val="22"/>
            <w:u w:val="single"/>
          </w:rPr>
          <w:t>10</w:t>
        </w:r>
      </w:hyperlink>
      <w:r w:rsidR="004830AB">
        <w:rPr>
          <w:rFonts w:ascii="Arial" w:eastAsia="SimSun" w:hAnsi="Arial" w:cs="Arial"/>
          <w:sz w:val="22"/>
          <w:szCs w:val="22"/>
        </w:rPr>
        <w:t xml:space="preserve">, </w:t>
      </w:r>
      <w:hyperlink r:id="rId22" w:history="1">
        <w:r w:rsidRPr="00736E2F">
          <w:rPr>
            <w:rFonts w:ascii="Arial" w:eastAsia="SimSun" w:hAnsi="Arial" w:cs="Arial"/>
            <w:color w:val="0000FF" w:themeColor="hyperlink"/>
            <w:sz w:val="22"/>
            <w:szCs w:val="22"/>
            <w:u w:val="single"/>
          </w:rPr>
          <w:t>18.COM</w:t>
        </w:r>
        <w:r w:rsidR="00F10CC1">
          <w:rPr>
            <w:rFonts w:ascii="Arial" w:eastAsia="SimSun" w:hAnsi="Arial" w:cs="Arial"/>
            <w:color w:val="0000FF" w:themeColor="hyperlink"/>
            <w:sz w:val="22"/>
            <w:szCs w:val="22"/>
            <w:u w:val="single"/>
          </w:rPr>
          <w:t> </w:t>
        </w:r>
        <w:r w:rsidRPr="00736E2F">
          <w:rPr>
            <w:rFonts w:ascii="Arial" w:eastAsia="SimSun" w:hAnsi="Arial" w:cs="Arial"/>
            <w:color w:val="0000FF" w:themeColor="hyperlink"/>
            <w:sz w:val="22"/>
            <w:szCs w:val="22"/>
            <w:u w:val="single"/>
          </w:rPr>
          <w:t>1</w:t>
        </w:r>
        <w:r w:rsidR="004830AB">
          <w:rPr>
            <w:rFonts w:ascii="Arial" w:eastAsia="SimSun" w:hAnsi="Arial" w:cs="Arial"/>
            <w:color w:val="0000FF" w:themeColor="hyperlink"/>
            <w:sz w:val="22"/>
            <w:szCs w:val="22"/>
            <w:u w:val="single"/>
          </w:rPr>
          <w:t>1</w:t>
        </w:r>
      </w:hyperlink>
      <w:r w:rsidRPr="00736E2F">
        <w:rPr>
          <w:rFonts w:ascii="Arial" w:eastAsia="SimSun" w:hAnsi="Arial" w:cs="Arial"/>
          <w:sz w:val="22"/>
          <w:szCs w:val="22"/>
        </w:rPr>
        <w:t>,</w:t>
      </w:r>
      <w:r w:rsidR="004830AB" w:rsidRPr="004830AB">
        <w:t xml:space="preserve"> </w:t>
      </w:r>
      <w:r w:rsidR="004830AB" w:rsidRPr="00736E2F">
        <w:rPr>
          <w:rFonts w:ascii="Arial" w:eastAsia="SimSun" w:hAnsi="Arial" w:cs="Arial"/>
          <w:sz w:val="22"/>
          <w:szCs w:val="22"/>
        </w:rPr>
        <w:t xml:space="preserve">et </w:t>
      </w:r>
      <w:hyperlink r:id="rId23" w:history="1">
        <w:r w:rsidR="004830AB" w:rsidRPr="00595810">
          <w:rPr>
            <w:rStyle w:val="Lienhypertexte"/>
            <w:rFonts w:asciiTheme="minorBidi" w:hAnsiTheme="minorBidi" w:cstheme="minorBidi"/>
            <w:sz w:val="22"/>
            <w:szCs w:val="22"/>
          </w:rPr>
          <w:t>18.COM</w:t>
        </w:r>
        <w:r w:rsidR="00F10CC1">
          <w:rPr>
            <w:rStyle w:val="Lienhypertexte"/>
            <w:rFonts w:asciiTheme="minorBidi" w:hAnsiTheme="minorBidi" w:cstheme="minorBidi"/>
            <w:sz w:val="22"/>
            <w:szCs w:val="22"/>
          </w:rPr>
          <w:t> </w:t>
        </w:r>
        <w:r w:rsidR="004830AB" w:rsidRPr="00595810">
          <w:rPr>
            <w:rStyle w:val="Lienhypertexte"/>
            <w:rFonts w:asciiTheme="minorBidi" w:hAnsiTheme="minorBidi" w:cstheme="minorBidi"/>
            <w:sz w:val="22"/>
            <w:szCs w:val="22"/>
          </w:rPr>
          <w:t>14</w:t>
        </w:r>
      </w:hyperlink>
      <w:r w:rsidR="004830AB" w:rsidRPr="00595810">
        <w:rPr>
          <w:rStyle w:val="Lienhypertexte"/>
          <w:rFonts w:asciiTheme="minorBidi" w:hAnsiTheme="minorBidi" w:cstheme="minorBidi"/>
          <w:color w:val="auto"/>
          <w:sz w:val="22"/>
          <w:szCs w:val="22"/>
          <w:u w:val="none"/>
        </w:rPr>
        <w:t>,</w:t>
      </w:r>
    </w:p>
    <w:p w14:paraId="1915820D" w14:textId="24705671" w:rsidR="00CE7C1E" w:rsidRPr="00736E2F" w:rsidRDefault="00CE7C1E" w:rsidP="00CE7C1E">
      <w:pPr>
        <w:numPr>
          <w:ilvl w:val="0"/>
          <w:numId w:val="9"/>
        </w:numPr>
        <w:autoSpaceDE w:val="0"/>
        <w:autoSpaceDN w:val="0"/>
        <w:adjustRightInd w:val="0"/>
        <w:spacing w:after="120"/>
        <w:ind w:left="1134" w:hanging="567"/>
        <w:jc w:val="both"/>
        <w:rPr>
          <w:rFonts w:ascii="Arial" w:eastAsia="SimSun" w:hAnsi="Arial" w:cs="Arial"/>
          <w:sz w:val="22"/>
          <w:szCs w:val="22"/>
        </w:rPr>
      </w:pPr>
      <w:r w:rsidRPr="00736E2F">
        <w:rPr>
          <w:rFonts w:ascii="Arial" w:eastAsia="SimSun" w:hAnsi="Arial" w:cs="Arial"/>
          <w:sz w:val="22"/>
          <w:szCs w:val="22"/>
          <w:u w:val="single"/>
        </w:rPr>
        <w:t>Prend note</w:t>
      </w:r>
      <w:r w:rsidRPr="00736E2F">
        <w:rPr>
          <w:rFonts w:ascii="Arial" w:eastAsia="SimSun" w:hAnsi="Arial" w:cs="Arial"/>
          <w:sz w:val="22"/>
          <w:szCs w:val="22"/>
        </w:rPr>
        <w:t xml:space="preserve"> des activités entreprises par le Secrétariat depuis sa dernière session concernant </w:t>
      </w:r>
      <w:r w:rsidR="00EF344C" w:rsidRPr="00736E2F">
        <w:rPr>
          <w:rFonts w:ascii="Arial" w:eastAsia="SimSun" w:hAnsi="Arial" w:cs="Arial"/>
          <w:sz w:val="22"/>
          <w:szCs w:val="22"/>
        </w:rPr>
        <w:t>une</w:t>
      </w:r>
      <w:r w:rsidRPr="00736E2F">
        <w:rPr>
          <w:rFonts w:ascii="Arial" w:eastAsia="SimSun" w:hAnsi="Arial" w:cs="Arial"/>
          <w:sz w:val="22"/>
          <w:szCs w:val="22"/>
        </w:rPr>
        <w:t xml:space="preserve"> mise en œuvre plus large de l’article 18, notamment en ce qui concerne la mise en place de la plateforme en ligne pour le partage de bonnes expériences de sauvegarde ; </w:t>
      </w:r>
    </w:p>
    <w:p w14:paraId="692AF421" w14:textId="3C7E6914" w:rsidR="00CE7C1E" w:rsidRPr="00736E2F" w:rsidRDefault="00CE7C1E" w:rsidP="00CE7C1E">
      <w:pPr>
        <w:numPr>
          <w:ilvl w:val="0"/>
          <w:numId w:val="9"/>
        </w:numPr>
        <w:autoSpaceDE w:val="0"/>
        <w:autoSpaceDN w:val="0"/>
        <w:adjustRightInd w:val="0"/>
        <w:spacing w:after="120"/>
        <w:ind w:left="1134" w:hanging="567"/>
        <w:jc w:val="both"/>
        <w:rPr>
          <w:rFonts w:ascii="Arial" w:eastAsia="SimSun" w:hAnsi="Arial" w:cs="Arial"/>
          <w:sz w:val="22"/>
          <w:szCs w:val="22"/>
        </w:rPr>
      </w:pPr>
      <w:r w:rsidRPr="00736E2F">
        <w:rPr>
          <w:rFonts w:ascii="Arial" w:eastAsia="SimSun" w:hAnsi="Arial" w:cs="Arial"/>
          <w:sz w:val="22"/>
          <w:szCs w:val="22"/>
          <w:u w:val="single"/>
        </w:rPr>
        <w:t xml:space="preserve">Prend note </w:t>
      </w:r>
      <w:r w:rsidR="00EF344C" w:rsidRPr="00736E2F">
        <w:rPr>
          <w:rFonts w:ascii="Arial" w:eastAsia="SimSun" w:hAnsi="Arial" w:cs="Arial"/>
          <w:sz w:val="22"/>
          <w:szCs w:val="22"/>
          <w:u w:val="single"/>
        </w:rPr>
        <w:t>en outre</w:t>
      </w:r>
      <w:r w:rsidR="008A2140" w:rsidRPr="00736E2F">
        <w:rPr>
          <w:rFonts w:ascii="Arial" w:eastAsia="SimSun" w:hAnsi="Arial" w:cs="Arial"/>
          <w:sz w:val="22"/>
          <w:szCs w:val="22"/>
        </w:rPr>
        <w:t xml:space="preserve"> </w:t>
      </w:r>
      <w:r w:rsidRPr="00736E2F">
        <w:rPr>
          <w:rFonts w:ascii="Arial" w:eastAsia="SimSun" w:hAnsi="Arial" w:cs="Arial"/>
          <w:sz w:val="22"/>
          <w:szCs w:val="22"/>
        </w:rPr>
        <w:t xml:space="preserve">de la feuille de route indiquant les étapes à suivre pour rendre pleinement opérationnelle la plateforme en ligne de partage de bonnes expériences de sauvegarde, y compris le plan annexé au document LHE/24/19.COM/10 (annexe II), et </w:t>
      </w:r>
      <w:r w:rsidRPr="00736E2F">
        <w:rPr>
          <w:rFonts w:ascii="Arial" w:eastAsia="SimSun" w:hAnsi="Arial" w:cs="Arial"/>
          <w:sz w:val="22"/>
          <w:szCs w:val="22"/>
          <w:u w:val="single"/>
        </w:rPr>
        <w:t>encourage</w:t>
      </w:r>
      <w:r w:rsidRPr="00736E2F">
        <w:rPr>
          <w:rFonts w:ascii="Arial" w:eastAsia="SimSun" w:hAnsi="Arial" w:cs="Arial"/>
          <w:sz w:val="22"/>
          <w:szCs w:val="22"/>
        </w:rPr>
        <w:t xml:space="preserve"> le Secrétariat à poursuivre ses efforts conformément à ce plan ;</w:t>
      </w:r>
    </w:p>
    <w:p w14:paraId="2FE473CD" w14:textId="77777777" w:rsidR="00CE7C1E" w:rsidRPr="00736E2F" w:rsidRDefault="00CE7C1E" w:rsidP="00CE7C1E">
      <w:pPr>
        <w:numPr>
          <w:ilvl w:val="0"/>
          <w:numId w:val="9"/>
        </w:numPr>
        <w:autoSpaceDE w:val="0"/>
        <w:autoSpaceDN w:val="0"/>
        <w:adjustRightInd w:val="0"/>
        <w:spacing w:after="120"/>
        <w:ind w:left="1134" w:hanging="567"/>
        <w:jc w:val="both"/>
        <w:rPr>
          <w:rFonts w:ascii="Arial" w:hAnsi="Arial" w:cs="Arial"/>
          <w:sz w:val="22"/>
          <w:szCs w:val="22"/>
        </w:rPr>
      </w:pPr>
      <w:r w:rsidRPr="00736E2F">
        <w:rPr>
          <w:rFonts w:ascii="Arial" w:eastAsia="SimSun" w:hAnsi="Arial" w:cs="Arial"/>
          <w:sz w:val="22"/>
          <w:szCs w:val="22"/>
          <w:u w:val="single"/>
        </w:rPr>
        <w:t>Invite</w:t>
      </w:r>
      <w:r w:rsidRPr="00736E2F">
        <w:rPr>
          <w:rFonts w:ascii="Arial" w:eastAsia="SimSun" w:hAnsi="Arial" w:cs="Arial"/>
          <w:sz w:val="22"/>
          <w:szCs w:val="22"/>
        </w:rPr>
        <w:t xml:space="preserve"> les États parties et les autres parties prenantes à soutenir financièrement le développement de la plateforme en ligne par la modalité de leur choix </w:t>
      </w:r>
      <w:r w:rsidRPr="00736E2F">
        <w:rPr>
          <w:rFonts w:ascii="Arial" w:hAnsi="Arial" w:cs="Arial"/>
          <w:sz w:val="22"/>
          <w:szCs w:val="22"/>
        </w:rPr>
        <w:t>;</w:t>
      </w:r>
    </w:p>
    <w:p w14:paraId="6A3B42D5" w14:textId="3E52079F" w:rsidR="00CE7C1E" w:rsidRPr="00736E2F" w:rsidRDefault="00CE7C1E" w:rsidP="00CE7C1E">
      <w:pPr>
        <w:numPr>
          <w:ilvl w:val="0"/>
          <w:numId w:val="9"/>
        </w:numPr>
        <w:autoSpaceDE w:val="0"/>
        <w:autoSpaceDN w:val="0"/>
        <w:adjustRightInd w:val="0"/>
        <w:spacing w:after="120"/>
        <w:ind w:left="1134" w:hanging="567"/>
        <w:jc w:val="both"/>
        <w:rPr>
          <w:rFonts w:ascii="Arial" w:eastAsia="SimSun" w:hAnsi="Arial" w:cs="Arial"/>
          <w:sz w:val="22"/>
          <w:szCs w:val="22"/>
        </w:rPr>
      </w:pPr>
      <w:r w:rsidRPr="00736E2F">
        <w:rPr>
          <w:rFonts w:ascii="Arial" w:eastAsia="SimSun" w:hAnsi="Arial" w:cs="Arial"/>
          <w:sz w:val="22"/>
          <w:szCs w:val="22"/>
          <w:u w:val="single"/>
        </w:rPr>
        <w:t>Demande</w:t>
      </w:r>
      <w:r w:rsidRPr="00736E2F">
        <w:rPr>
          <w:rFonts w:ascii="Arial" w:eastAsia="SimSun" w:hAnsi="Arial" w:cs="Arial"/>
          <w:sz w:val="22"/>
          <w:szCs w:val="22"/>
        </w:rPr>
        <w:t xml:space="preserve"> au Secrétariat de faire un rapport sur l’état d’avancement de la réflexion sur une mise en œuvre plus large de l’article 18 de la Convention pour examen par le Comité lors de sa vingtième session.</w:t>
      </w:r>
    </w:p>
    <w:p w14:paraId="7E7FCA87" w14:textId="4797A8E9" w:rsidR="00CE7C1E" w:rsidRPr="00736E2F" w:rsidRDefault="00CE7C1E" w:rsidP="00B71F04">
      <w:pPr>
        <w:autoSpaceDE w:val="0"/>
        <w:autoSpaceDN w:val="0"/>
        <w:adjustRightInd w:val="0"/>
        <w:spacing w:after="240"/>
        <w:jc w:val="center"/>
        <w:rPr>
          <w:rFonts w:ascii="Arial" w:eastAsia="SimSun" w:hAnsi="Arial" w:cs="Arial"/>
          <w:b/>
          <w:bCs/>
          <w:sz w:val="22"/>
          <w:szCs w:val="22"/>
        </w:rPr>
      </w:pPr>
      <w:r w:rsidRPr="00736E2F">
        <w:rPr>
          <w:rFonts w:ascii="Arial" w:eastAsia="SimSun" w:hAnsi="Arial" w:cs="Arial"/>
          <w:sz w:val="22"/>
          <w:szCs w:val="22"/>
        </w:rPr>
        <w:br w:type="page"/>
      </w:r>
      <w:r w:rsidRPr="00736E2F">
        <w:rPr>
          <w:rFonts w:ascii="Arial" w:eastAsia="SimSun" w:hAnsi="Arial" w:cs="Arial"/>
          <w:b/>
          <w:bCs/>
          <w:sz w:val="22"/>
          <w:szCs w:val="22"/>
        </w:rPr>
        <w:t xml:space="preserve">Annexe I </w:t>
      </w:r>
      <w:r w:rsidR="00E32FA7" w:rsidRPr="00736E2F">
        <w:rPr>
          <w:rFonts w:ascii="Arial" w:eastAsia="SimSun" w:hAnsi="Arial" w:cs="Arial"/>
          <w:b/>
          <w:bCs/>
          <w:sz w:val="22"/>
          <w:szCs w:val="22"/>
        </w:rPr>
        <w:t>–</w:t>
      </w:r>
      <w:r w:rsidRPr="00736E2F">
        <w:rPr>
          <w:rFonts w:ascii="Arial" w:eastAsia="SimSun" w:hAnsi="Arial" w:cs="Arial"/>
          <w:b/>
          <w:bCs/>
          <w:sz w:val="22"/>
          <w:szCs w:val="22"/>
        </w:rPr>
        <w:t xml:space="preserve"> Examen préliminaire de plateformes existantes d’échange de bonnes pratiques</w:t>
      </w:r>
    </w:p>
    <w:tbl>
      <w:tblPr>
        <w:tblStyle w:val="Grilledutableau"/>
        <w:tblW w:w="9356" w:type="dxa"/>
        <w:tblInd w:w="137" w:type="dxa"/>
        <w:tblLayout w:type="fixed"/>
        <w:tblLook w:val="04A0" w:firstRow="1" w:lastRow="0" w:firstColumn="1" w:lastColumn="0" w:noHBand="0" w:noVBand="1"/>
      </w:tblPr>
      <w:tblGrid>
        <w:gridCol w:w="2552"/>
        <w:gridCol w:w="6804"/>
      </w:tblGrid>
      <w:tr w:rsidR="00CE7C1E" w:rsidRPr="00736E2F" w14:paraId="469E7D68" w14:textId="77777777" w:rsidTr="0021679D">
        <w:tc>
          <w:tcPr>
            <w:tcW w:w="9356" w:type="dxa"/>
            <w:gridSpan w:val="2"/>
            <w:shd w:val="clear" w:color="auto" w:fill="8DB3E2" w:themeFill="text2" w:themeFillTint="66"/>
          </w:tcPr>
          <w:p w14:paraId="0789A57E" w14:textId="0095C29B" w:rsidR="00CE7C1E" w:rsidRPr="00736E2F" w:rsidRDefault="00CE7C1E" w:rsidP="00B71F04">
            <w:pPr>
              <w:rPr>
                <w:rFonts w:ascii="Arial" w:hAnsi="Arial" w:cs="Arial"/>
                <w:b/>
                <w:bCs/>
                <w:snapToGrid w:val="0"/>
                <w:sz w:val="20"/>
                <w:szCs w:val="20"/>
                <w:lang w:eastAsia="en-US"/>
              </w:rPr>
            </w:pPr>
            <w:r w:rsidRPr="00736E2F">
              <w:rPr>
                <w:rFonts w:ascii="Arial" w:hAnsi="Arial" w:cs="Arial"/>
                <w:b/>
                <w:bCs/>
                <w:snapToGrid w:val="0"/>
                <w:sz w:val="20"/>
                <w:szCs w:val="20"/>
                <w:lang w:eastAsia="en-US"/>
              </w:rPr>
              <w:t>Plateformes de l’UNESCO pour l’échange de bonnes pratiques</w:t>
            </w:r>
          </w:p>
        </w:tc>
      </w:tr>
      <w:tr w:rsidR="00CE7C1E" w:rsidRPr="00736E2F" w14:paraId="69A06367" w14:textId="77777777" w:rsidTr="0021679D">
        <w:tc>
          <w:tcPr>
            <w:tcW w:w="2552" w:type="dxa"/>
          </w:tcPr>
          <w:p w14:paraId="493DE62F" w14:textId="34D7C049" w:rsidR="00CE7C1E" w:rsidRPr="00736E2F" w:rsidRDefault="00595810" w:rsidP="00CE7C1E">
            <w:pPr>
              <w:spacing w:after="120"/>
              <w:rPr>
                <w:rFonts w:ascii="Arial" w:hAnsi="Arial" w:cs="Arial"/>
                <w:snapToGrid w:val="0"/>
                <w:sz w:val="20"/>
                <w:szCs w:val="20"/>
                <w:lang w:eastAsia="en-US"/>
              </w:rPr>
            </w:pPr>
            <w:hyperlink r:id="rId24" w:history="1">
              <w:r w:rsidR="00CE7C1E" w:rsidRPr="00736E2F">
                <w:rPr>
                  <w:rFonts w:ascii="Arial" w:hAnsi="Arial" w:cs="Arial"/>
                  <w:snapToGrid w:val="0"/>
                  <w:color w:val="0000FF" w:themeColor="hyperlink"/>
                  <w:sz w:val="20"/>
                  <w:szCs w:val="20"/>
                  <w:u w:val="single"/>
                  <w:lang w:eastAsia="en-US"/>
                </w:rPr>
                <w:t>Plate-forme électronique sur le dialogue interculturel</w:t>
              </w:r>
            </w:hyperlink>
          </w:p>
          <w:p w14:paraId="66B46606" w14:textId="77777777" w:rsidR="00CE7C1E" w:rsidRPr="00736E2F" w:rsidRDefault="00CE7C1E" w:rsidP="00CE7C1E">
            <w:pPr>
              <w:spacing w:after="120"/>
              <w:rPr>
                <w:rFonts w:ascii="Arial" w:hAnsi="Arial" w:cs="Arial"/>
                <w:snapToGrid w:val="0"/>
                <w:sz w:val="20"/>
                <w:szCs w:val="20"/>
                <w:lang w:eastAsia="en-US"/>
              </w:rPr>
            </w:pPr>
          </w:p>
        </w:tc>
        <w:tc>
          <w:tcPr>
            <w:tcW w:w="6804" w:type="dxa"/>
          </w:tcPr>
          <w:p w14:paraId="31BAE2ED" w14:textId="3541BE0B" w:rsidR="00CE7C1E" w:rsidRPr="00736E2F" w:rsidRDefault="00CE7C1E" w:rsidP="00CE7C1E">
            <w:pPr>
              <w:spacing w:after="120"/>
              <w:jc w:val="both"/>
              <w:rPr>
                <w:rFonts w:ascii="Arial" w:hAnsi="Arial" w:cs="Arial"/>
                <w:snapToGrid w:val="0"/>
                <w:sz w:val="20"/>
                <w:szCs w:val="20"/>
                <w:lang w:eastAsia="en-US"/>
              </w:rPr>
            </w:pPr>
            <w:r w:rsidRPr="00736E2F">
              <w:rPr>
                <w:rFonts w:ascii="Arial" w:hAnsi="Arial" w:cs="Arial"/>
                <w:snapToGrid w:val="0"/>
                <w:sz w:val="20"/>
                <w:szCs w:val="20"/>
                <w:lang w:eastAsia="en-US"/>
              </w:rPr>
              <w:t>Plateforme dédiée au partage de connaissances, de ressources et d’expériences sur les bonnes pratiques en matière de dialogue interculturel. Une variété de projets, de programmes, de publications, d’expressions artistiques et de matériel de formation du monde entier sont indexés selon des thèmes clés (citoyenneté, genre, jeunesse, langues, migration, minorités</w:t>
            </w:r>
            <w:r w:rsidR="008B05F3" w:rsidRPr="00736E2F">
              <w:rPr>
                <w:rFonts w:ascii="Arial" w:hAnsi="Arial" w:cs="Arial"/>
                <w:snapToGrid w:val="0"/>
                <w:sz w:val="20"/>
                <w:szCs w:val="20"/>
                <w:lang w:eastAsia="en-US"/>
              </w:rPr>
              <w:t>/groupes marginalisés</w:t>
            </w:r>
            <w:r w:rsidRPr="00736E2F">
              <w:rPr>
                <w:rFonts w:ascii="Arial" w:hAnsi="Arial" w:cs="Arial"/>
                <w:snapToGrid w:val="0"/>
                <w:sz w:val="20"/>
                <w:szCs w:val="20"/>
                <w:lang w:eastAsia="en-US"/>
              </w:rPr>
              <w:t xml:space="preserve">, </w:t>
            </w:r>
            <w:r w:rsidR="00EF344C" w:rsidRPr="00736E2F">
              <w:rPr>
                <w:rFonts w:ascii="Arial" w:hAnsi="Arial" w:cs="Arial"/>
                <w:snapToGrid w:val="0"/>
                <w:sz w:val="20"/>
                <w:szCs w:val="20"/>
                <w:lang w:eastAsia="en-US"/>
              </w:rPr>
              <w:t>paix</w:t>
            </w:r>
            <w:r w:rsidR="008B05F3" w:rsidRPr="00736E2F">
              <w:rPr>
                <w:rFonts w:ascii="Arial" w:hAnsi="Arial" w:cs="Arial"/>
                <w:snapToGrid w:val="0"/>
                <w:sz w:val="20"/>
                <w:szCs w:val="20"/>
                <w:lang w:eastAsia="en-US"/>
              </w:rPr>
              <w:t>/</w:t>
            </w:r>
            <w:r w:rsidRPr="00736E2F">
              <w:rPr>
                <w:rFonts w:ascii="Arial" w:hAnsi="Arial" w:cs="Arial"/>
                <w:snapToGrid w:val="0"/>
                <w:sz w:val="20"/>
                <w:szCs w:val="20"/>
                <w:lang w:eastAsia="en-US"/>
              </w:rPr>
              <w:t>résolution des conflits, religions et traditions). Ouvert aux contributions du public.</w:t>
            </w:r>
          </w:p>
        </w:tc>
      </w:tr>
      <w:tr w:rsidR="00CE7C1E" w:rsidRPr="00736E2F" w14:paraId="57253BBB" w14:textId="77777777" w:rsidTr="0021679D">
        <w:tc>
          <w:tcPr>
            <w:tcW w:w="2552" w:type="dxa"/>
          </w:tcPr>
          <w:p w14:paraId="4912674B" w14:textId="309706C8" w:rsidR="00CE7C1E" w:rsidRPr="00736E2F" w:rsidRDefault="00595810" w:rsidP="00CE7C1E">
            <w:pPr>
              <w:spacing w:after="120"/>
              <w:rPr>
                <w:rFonts w:ascii="Arial" w:hAnsi="Arial" w:cs="Arial"/>
                <w:snapToGrid w:val="0"/>
                <w:sz w:val="20"/>
                <w:szCs w:val="20"/>
                <w:lang w:eastAsia="en-US"/>
              </w:rPr>
            </w:pPr>
            <w:hyperlink r:id="rId25" w:history="1">
              <w:r w:rsidR="00CE7C1E" w:rsidRPr="00736E2F">
                <w:rPr>
                  <w:rFonts w:ascii="Arial" w:hAnsi="Arial" w:cs="Arial"/>
                  <w:snapToGrid w:val="0"/>
                  <w:color w:val="0000FF" w:themeColor="hyperlink"/>
                  <w:sz w:val="20"/>
                  <w:szCs w:val="20"/>
                  <w:u w:val="single"/>
                  <w:lang w:eastAsia="en-US"/>
                </w:rPr>
                <w:t>Centre d’échange d’informations de l’UNESCO sur l’éducation à la citoyenneté mondiale</w:t>
              </w:r>
            </w:hyperlink>
          </w:p>
        </w:tc>
        <w:tc>
          <w:tcPr>
            <w:tcW w:w="6804" w:type="dxa"/>
          </w:tcPr>
          <w:p w14:paraId="62119245" w14:textId="375F9053" w:rsidR="00CE7C1E" w:rsidRPr="00736E2F" w:rsidRDefault="00CE7C1E" w:rsidP="00CE7C1E">
            <w:pPr>
              <w:spacing w:after="120"/>
              <w:jc w:val="both"/>
              <w:rPr>
                <w:rFonts w:ascii="Arial" w:hAnsi="Arial" w:cs="Arial"/>
                <w:snapToGrid w:val="0"/>
                <w:sz w:val="20"/>
                <w:szCs w:val="20"/>
                <w:lang w:eastAsia="en-US"/>
              </w:rPr>
            </w:pPr>
            <w:r w:rsidRPr="00736E2F">
              <w:rPr>
                <w:rFonts w:ascii="Arial" w:hAnsi="Arial" w:cs="Arial"/>
                <w:snapToGrid w:val="0"/>
                <w:sz w:val="20"/>
                <w:szCs w:val="20"/>
                <w:lang w:eastAsia="en-US"/>
              </w:rPr>
              <w:t xml:space="preserve">Base de données mondiale indexant les politiques, les bonnes pratiques, le matériel d’enseignement et d’apprentissage, les articles et autres ressources liées à l’éducation à la citoyenneté mondiale. Ouverte aux contributions du public. </w:t>
            </w:r>
          </w:p>
        </w:tc>
      </w:tr>
      <w:tr w:rsidR="00CE7C1E" w:rsidRPr="00736E2F" w14:paraId="316C145D" w14:textId="77777777" w:rsidTr="0021679D">
        <w:tc>
          <w:tcPr>
            <w:tcW w:w="2552" w:type="dxa"/>
          </w:tcPr>
          <w:p w14:paraId="4A714688" w14:textId="5C46D645" w:rsidR="00CE7C1E" w:rsidRPr="00736E2F" w:rsidRDefault="00595810" w:rsidP="00CE7C1E">
            <w:pPr>
              <w:spacing w:after="120"/>
              <w:rPr>
                <w:rFonts w:ascii="Arial" w:hAnsi="Arial" w:cs="Arial"/>
                <w:snapToGrid w:val="0"/>
                <w:sz w:val="20"/>
                <w:szCs w:val="20"/>
                <w:lang w:eastAsia="en-US"/>
              </w:rPr>
            </w:pPr>
            <w:hyperlink r:id="rId26" w:history="1">
              <w:r w:rsidR="00CE7C1E" w:rsidRPr="00736E2F">
                <w:rPr>
                  <w:rStyle w:val="Lienhypertexte"/>
                  <w:rFonts w:ascii="Arial" w:hAnsi="Arial" w:cs="Arial"/>
                  <w:sz w:val="20"/>
                  <w:szCs w:val="20"/>
                </w:rPr>
                <w:t>Observatoire</w:t>
              </w:r>
              <w:r w:rsidR="006F6D63" w:rsidRPr="00736E2F">
                <w:rPr>
                  <w:rStyle w:val="Lienhypertexte"/>
                  <w:rFonts w:ascii="Arial" w:hAnsi="Arial" w:cs="Arial"/>
                  <w:sz w:val="20"/>
                  <w:szCs w:val="20"/>
                </w:rPr>
                <w:t xml:space="preserve"> mondial </w:t>
              </w:r>
              <w:r w:rsidR="00CE7C1E" w:rsidRPr="00736E2F">
                <w:rPr>
                  <w:rStyle w:val="Lienhypertexte"/>
                  <w:rFonts w:ascii="Arial" w:hAnsi="Arial" w:cs="Arial"/>
                  <w:sz w:val="20"/>
                  <w:szCs w:val="20"/>
                </w:rPr>
                <w:t>de l’</w:t>
              </w:r>
              <w:r w:rsidR="006F6D63" w:rsidRPr="00736E2F">
                <w:rPr>
                  <w:rStyle w:val="Lienhypertexte"/>
                  <w:rFonts w:ascii="Arial" w:hAnsi="Arial" w:cs="Arial"/>
                  <w:sz w:val="20"/>
                  <w:szCs w:val="20"/>
                </w:rPr>
                <w:t>éthique et de la gouvernance de l’IA</w:t>
              </w:r>
            </w:hyperlink>
            <w:r w:rsidR="006F6D63" w:rsidRPr="00736E2F">
              <w:rPr>
                <w:rFonts w:ascii="Arial" w:hAnsi="Arial" w:cs="Arial"/>
                <w:snapToGrid w:val="0"/>
                <w:color w:val="0000FF" w:themeColor="hyperlink"/>
                <w:sz w:val="20"/>
                <w:szCs w:val="20"/>
                <w:u w:val="single"/>
                <w:lang w:eastAsia="en-US"/>
              </w:rPr>
              <w:t xml:space="preserve"> </w:t>
            </w:r>
          </w:p>
        </w:tc>
        <w:tc>
          <w:tcPr>
            <w:tcW w:w="6804" w:type="dxa"/>
          </w:tcPr>
          <w:p w14:paraId="76ABA1D3" w14:textId="3147C510" w:rsidR="00CE7C1E" w:rsidRPr="00736E2F" w:rsidRDefault="00CE7C1E" w:rsidP="00CE7C1E">
            <w:pPr>
              <w:spacing w:after="120"/>
              <w:jc w:val="both"/>
              <w:rPr>
                <w:rFonts w:ascii="Arial" w:hAnsi="Arial" w:cs="Arial"/>
                <w:snapToGrid w:val="0"/>
                <w:sz w:val="20"/>
                <w:szCs w:val="20"/>
                <w:lang w:eastAsia="en-US"/>
              </w:rPr>
            </w:pPr>
            <w:r w:rsidRPr="00736E2F">
              <w:rPr>
                <w:rFonts w:ascii="Arial" w:hAnsi="Arial" w:cs="Arial"/>
                <w:snapToGrid w:val="0"/>
                <w:sz w:val="20"/>
                <w:szCs w:val="20"/>
                <w:lang w:eastAsia="en-US"/>
              </w:rPr>
              <w:t>Plateforme de partage de connaissances et d’avis d’experts, présentant des études de cas et des bonnes pratiques sur l’éthique et la gouvernance de l’intelligence artificielle. Ouvert aux contributions du public.</w:t>
            </w:r>
          </w:p>
        </w:tc>
      </w:tr>
      <w:tr w:rsidR="00CE7C1E" w:rsidRPr="00736E2F" w14:paraId="2104F47E" w14:textId="77777777" w:rsidTr="0021679D">
        <w:tc>
          <w:tcPr>
            <w:tcW w:w="2552" w:type="dxa"/>
          </w:tcPr>
          <w:p w14:paraId="1A55FF3E" w14:textId="2CEBE36D" w:rsidR="00CE7C1E" w:rsidRPr="00736E2F" w:rsidRDefault="00595810" w:rsidP="00CE7C1E">
            <w:pPr>
              <w:spacing w:after="120"/>
              <w:rPr>
                <w:rFonts w:ascii="Arial" w:hAnsi="Arial" w:cs="Arial"/>
                <w:snapToGrid w:val="0"/>
                <w:sz w:val="20"/>
                <w:szCs w:val="20"/>
                <w:lang w:eastAsia="en-US"/>
              </w:rPr>
            </w:pPr>
            <w:hyperlink r:id="rId27" w:history="1">
              <w:r w:rsidR="00CE7C1E" w:rsidRPr="00736E2F">
                <w:rPr>
                  <w:rFonts w:ascii="Arial" w:hAnsi="Arial" w:cs="Arial"/>
                  <w:snapToGrid w:val="0"/>
                  <w:color w:val="0000FF" w:themeColor="hyperlink"/>
                  <w:sz w:val="20"/>
                  <w:szCs w:val="20"/>
                  <w:u w:val="single"/>
                  <w:lang w:eastAsia="en-US"/>
                </w:rPr>
                <w:t>Partager les meilleures pratiques en matière de gestion du patrimoine mondial</w:t>
              </w:r>
            </w:hyperlink>
          </w:p>
        </w:tc>
        <w:tc>
          <w:tcPr>
            <w:tcW w:w="6804" w:type="dxa"/>
          </w:tcPr>
          <w:p w14:paraId="702D9DA0" w14:textId="70808BFC" w:rsidR="00CE7C1E" w:rsidRPr="00736E2F" w:rsidRDefault="00CE7C1E" w:rsidP="00CE7C1E">
            <w:pPr>
              <w:spacing w:after="120"/>
              <w:jc w:val="both"/>
              <w:rPr>
                <w:rFonts w:ascii="Arial" w:hAnsi="Arial" w:cs="Arial"/>
                <w:snapToGrid w:val="0"/>
                <w:sz w:val="20"/>
                <w:szCs w:val="20"/>
                <w:lang w:eastAsia="en-US"/>
              </w:rPr>
            </w:pPr>
            <w:r w:rsidRPr="00736E2F">
              <w:rPr>
                <w:rFonts w:ascii="Arial" w:hAnsi="Arial" w:cs="Arial"/>
                <w:snapToGrid w:val="0"/>
                <w:sz w:val="20"/>
                <w:szCs w:val="20"/>
                <w:lang w:eastAsia="en-US"/>
              </w:rPr>
              <w:t xml:space="preserve">À la demande du Comité du patrimoine mondial lors de sa 35e session, un appel à la reconnaissance des meilleures pratiques de gestion du patrimoine mondial a été lancé en 2012 afin d’identifier les biens du patrimoine mondial dont les pratiques de gestion durable ont fait leurs preuves. Les candidatures ont été reçues et évaluées par un comité de sélection international comprenant des représentants des organisations consultatives de la Convention. Un numéro </w:t>
            </w:r>
            <w:r w:rsidR="008B05F3" w:rsidRPr="00736E2F">
              <w:rPr>
                <w:rFonts w:ascii="Arial" w:hAnsi="Arial" w:cs="Arial"/>
                <w:snapToGrid w:val="0"/>
                <w:sz w:val="20"/>
                <w:szCs w:val="20"/>
                <w:lang w:eastAsia="en-US"/>
              </w:rPr>
              <w:t>de la Revue</w:t>
            </w:r>
            <w:r w:rsidRPr="00736E2F">
              <w:rPr>
                <w:rFonts w:ascii="Arial" w:hAnsi="Arial" w:cs="Arial"/>
                <w:snapToGrid w:val="0"/>
                <w:sz w:val="20"/>
                <w:szCs w:val="20"/>
                <w:lang w:eastAsia="en-US"/>
              </w:rPr>
              <w:t xml:space="preserve"> du patrimoine mondial (n°67) a été consacré aux pratiques sélectionnées.</w:t>
            </w:r>
          </w:p>
        </w:tc>
      </w:tr>
      <w:tr w:rsidR="00CE7C1E" w:rsidRPr="00736E2F" w14:paraId="755C4DFB" w14:textId="77777777" w:rsidTr="0021679D">
        <w:tc>
          <w:tcPr>
            <w:tcW w:w="2552" w:type="dxa"/>
          </w:tcPr>
          <w:p w14:paraId="562458DE" w14:textId="0E873604" w:rsidR="00CE7C1E" w:rsidRPr="00736E2F" w:rsidRDefault="00595810" w:rsidP="00CE7C1E">
            <w:pPr>
              <w:spacing w:after="120"/>
              <w:rPr>
                <w:rFonts w:ascii="Arial" w:hAnsi="Arial" w:cs="Arial"/>
                <w:snapToGrid w:val="0"/>
                <w:sz w:val="20"/>
                <w:szCs w:val="20"/>
                <w:lang w:eastAsia="en-US"/>
              </w:rPr>
            </w:pPr>
            <w:hyperlink r:id="rId28" w:history="1">
              <w:r w:rsidR="00CE7C1E" w:rsidRPr="00736E2F">
                <w:rPr>
                  <w:rFonts w:ascii="Arial" w:hAnsi="Arial" w:cs="Arial"/>
                  <w:snapToGrid w:val="0"/>
                  <w:color w:val="0000FF" w:themeColor="hyperlink"/>
                  <w:sz w:val="20"/>
                  <w:szCs w:val="20"/>
                  <w:u w:val="single"/>
                  <w:lang w:eastAsia="en-US"/>
                </w:rPr>
                <w:t>Meilleures pratiques pour le patrimoine culturel subaquatique</w:t>
              </w:r>
            </w:hyperlink>
          </w:p>
        </w:tc>
        <w:tc>
          <w:tcPr>
            <w:tcW w:w="6804" w:type="dxa"/>
          </w:tcPr>
          <w:p w14:paraId="4B722759" w14:textId="6CD04414" w:rsidR="00CE7C1E" w:rsidRPr="00736E2F" w:rsidRDefault="00CE7C1E" w:rsidP="00B71F04">
            <w:pPr>
              <w:spacing w:after="120"/>
              <w:jc w:val="both"/>
              <w:rPr>
                <w:rFonts w:ascii="Arial" w:hAnsi="Arial" w:cs="Arial"/>
                <w:sz w:val="20"/>
                <w:szCs w:val="20"/>
              </w:rPr>
            </w:pPr>
            <w:r w:rsidRPr="00736E2F">
              <w:rPr>
                <w:rFonts w:ascii="Arial" w:hAnsi="Arial" w:cs="Arial"/>
                <w:sz w:val="20"/>
                <w:szCs w:val="20"/>
              </w:rPr>
              <w:t xml:space="preserve">Plateforme pour la promotion des meilleures pratiques sur l’accès responsable au patrimoine culturel subaquatique, présentant des études de cas et apportant des réponses spécifiques aux défis de la protection du patrimoine subaquatique. La plateforme est associée à un </w:t>
            </w:r>
            <w:r w:rsidR="00500494" w:rsidRPr="00736E2F">
              <w:rPr>
                <w:rFonts w:ascii="Arial" w:hAnsi="Arial" w:cs="Arial"/>
                <w:sz w:val="20"/>
                <w:szCs w:val="20"/>
              </w:rPr>
              <w:t>« </w:t>
            </w:r>
            <w:r w:rsidRPr="00736E2F">
              <w:rPr>
                <w:rFonts w:ascii="Arial" w:hAnsi="Arial" w:cs="Arial"/>
                <w:sz w:val="20"/>
                <w:szCs w:val="20"/>
              </w:rPr>
              <w:t>Label UNESCO des meilleures pratiques</w:t>
            </w:r>
            <w:r w:rsidR="00500494" w:rsidRPr="00736E2F">
              <w:rPr>
                <w:rFonts w:ascii="Arial" w:hAnsi="Arial" w:cs="Arial"/>
                <w:sz w:val="20"/>
                <w:szCs w:val="20"/>
              </w:rPr>
              <w:t> »</w:t>
            </w:r>
            <w:r w:rsidRPr="00736E2F">
              <w:rPr>
                <w:rFonts w:ascii="Arial" w:hAnsi="Arial" w:cs="Arial"/>
                <w:sz w:val="20"/>
                <w:szCs w:val="20"/>
              </w:rPr>
              <w:t xml:space="preserve"> désigné par la Conférence des États parties, sur recommandation du Conseil consultatif scientifique et technique dans le cadre de la Convention de 2001.</w:t>
            </w:r>
          </w:p>
        </w:tc>
      </w:tr>
      <w:tr w:rsidR="00CE7C1E" w:rsidRPr="00736E2F" w14:paraId="3C12D1D0" w14:textId="77777777" w:rsidTr="0021679D">
        <w:tc>
          <w:tcPr>
            <w:tcW w:w="9356" w:type="dxa"/>
            <w:gridSpan w:val="2"/>
            <w:shd w:val="clear" w:color="auto" w:fill="8DB3E2" w:themeFill="text2" w:themeFillTint="66"/>
          </w:tcPr>
          <w:p w14:paraId="71288F6A" w14:textId="085AA78A" w:rsidR="00CE7C1E" w:rsidRPr="00736E2F" w:rsidRDefault="00CE7C1E" w:rsidP="00B71F04">
            <w:pPr>
              <w:rPr>
                <w:rFonts w:ascii="Arial" w:hAnsi="Arial" w:cs="Arial"/>
                <w:b/>
                <w:bCs/>
                <w:snapToGrid w:val="0"/>
                <w:sz w:val="20"/>
                <w:szCs w:val="20"/>
                <w:lang w:eastAsia="en-US"/>
              </w:rPr>
            </w:pPr>
            <w:r w:rsidRPr="00736E2F">
              <w:rPr>
                <w:rFonts w:ascii="Arial" w:hAnsi="Arial" w:cs="Arial"/>
                <w:b/>
                <w:bCs/>
                <w:snapToGrid w:val="0"/>
                <w:sz w:val="20"/>
                <w:szCs w:val="20"/>
                <w:lang w:eastAsia="en-US"/>
              </w:rPr>
              <w:t xml:space="preserve">Plates-formes de collaboration existantes dans le cadre de la </w:t>
            </w:r>
            <w:r w:rsidR="00B71F04" w:rsidRPr="00736E2F">
              <w:rPr>
                <w:rFonts w:ascii="Arial" w:hAnsi="Arial" w:cs="Arial"/>
                <w:b/>
                <w:bCs/>
                <w:snapToGrid w:val="0"/>
                <w:sz w:val="20"/>
                <w:szCs w:val="20"/>
                <w:lang w:eastAsia="en-US"/>
              </w:rPr>
              <w:t>C</w:t>
            </w:r>
            <w:r w:rsidRPr="00736E2F">
              <w:rPr>
                <w:rFonts w:ascii="Arial" w:hAnsi="Arial" w:cs="Arial"/>
                <w:b/>
                <w:bCs/>
                <w:snapToGrid w:val="0"/>
                <w:sz w:val="20"/>
                <w:szCs w:val="20"/>
                <w:lang w:eastAsia="en-US"/>
              </w:rPr>
              <w:t>onvention de 2003</w:t>
            </w:r>
          </w:p>
        </w:tc>
      </w:tr>
      <w:tr w:rsidR="00CE7C1E" w:rsidRPr="00736E2F" w14:paraId="2949B781" w14:textId="77777777" w:rsidTr="0021679D">
        <w:tc>
          <w:tcPr>
            <w:tcW w:w="2552" w:type="dxa"/>
          </w:tcPr>
          <w:p w14:paraId="3907FF97" w14:textId="0CD0B0C6" w:rsidR="00CE7C1E" w:rsidRPr="00736E2F" w:rsidRDefault="00595810" w:rsidP="00CE7C1E">
            <w:pPr>
              <w:spacing w:after="120"/>
              <w:rPr>
                <w:rFonts w:ascii="Arial" w:hAnsi="Arial" w:cs="Arial"/>
                <w:snapToGrid w:val="0"/>
                <w:sz w:val="20"/>
                <w:szCs w:val="20"/>
                <w:lang w:eastAsia="en-US"/>
              </w:rPr>
            </w:pPr>
            <w:hyperlink r:id="rId29" w:history="1">
              <w:r w:rsidR="00CE7C1E" w:rsidRPr="00736E2F">
                <w:rPr>
                  <w:rFonts w:ascii="Arial" w:hAnsi="Arial" w:cs="Arial"/>
                  <w:snapToGrid w:val="0"/>
                  <w:color w:val="0000FF" w:themeColor="hyperlink"/>
                  <w:sz w:val="20"/>
                  <w:szCs w:val="20"/>
                  <w:u w:val="single"/>
                  <w:lang w:eastAsia="en-US"/>
                </w:rPr>
                <w:t>Centre d’échange sur le patrimoine vivant et l’éducation</w:t>
              </w:r>
            </w:hyperlink>
          </w:p>
        </w:tc>
        <w:tc>
          <w:tcPr>
            <w:tcW w:w="6804" w:type="dxa"/>
          </w:tcPr>
          <w:p w14:paraId="02E51455" w14:textId="5A8140AB" w:rsidR="00CE7C1E" w:rsidRPr="00736E2F" w:rsidRDefault="00CE7C1E" w:rsidP="00B71F04">
            <w:pPr>
              <w:spacing w:after="120"/>
              <w:jc w:val="both"/>
              <w:rPr>
                <w:rFonts w:ascii="Arial" w:hAnsi="Arial" w:cs="Arial"/>
                <w:sz w:val="20"/>
                <w:szCs w:val="20"/>
              </w:rPr>
            </w:pPr>
            <w:r w:rsidRPr="00736E2F">
              <w:rPr>
                <w:rFonts w:ascii="Arial" w:hAnsi="Arial" w:cs="Arial"/>
                <w:snapToGrid w:val="0"/>
                <w:sz w:val="20"/>
                <w:szCs w:val="20"/>
                <w:lang w:eastAsia="en-US"/>
              </w:rPr>
              <w:t>Plateforme</w:t>
            </w:r>
            <w:r w:rsidRPr="00736E2F">
              <w:rPr>
                <w:rFonts w:ascii="Arial" w:hAnsi="Arial" w:cs="Arial"/>
                <w:sz w:val="20"/>
                <w:szCs w:val="20"/>
              </w:rPr>
              <w:t xml:space="preserve"> collaborative </w:t>
            </w:r>
            <w:r w:rsidRPr="00736E2F">
              <w:rPr>
                <w:rFonts w:ascii="Arial" w:hAnsi="Arial" w:cs="Arial"/>
                <w:snapToGrid w:val="0"/>
                <w:sz w:val="20"/>
                <w:szCs w:val="20"/>
                <w:lang w:eastAsia="en-US"/>
              </w:rPr>
              <w:t xml:space="preserve">pour partager des connaissances, des exemples et des outils sur le patrimoine culturel immatériel et l’éducation. Les ressources (actualités, projets et événements) sont organisées en fonction des régions, des domaines du patrimoine vivant, du niveau d’éducation et du sujet d’apprentissage. </w:t>
            </w:r>
            <w:r w:rsidRPr="00736E2F">
              <w:rPr>
                <w:rFonts w:ascii="Arial" w:hAnsi="Arial" w:cs="Arial"/>
                <w:sz w:val="20"/>
                <w:szCs w:val="20"/>
              </w:rPr>
              <w:t>Ouvert aux contributions du public.</w:t>
            </w:r>
          </w:p>
        </w:tc>
      </w:tr>
      <w:tr w:rsidR="00CE7C1E" w:rsidRPr="00736E2F" w14:paraId="327D7A31" w14:textId="77777777" w:rsidTr="0021679D">
        <w:tc>
          <w:tcPr>
            <w:tcW w:w="2552" w:type="dxa"/>
          </w:tcPr>
          <w:p w14:paraId="0C11934E" w14:textId="3D1A58FF" w:rsidR="00CE7C1E" w:rsidRPr="00736E2F" w:rsidRDefault="00595810" w:rsidP="00CE7C1E">
            <w:pPr>
              <w:spacing w:after="120"/>
              <w:rPr>
                <w:rFonts w:ascii="Arial" w:hAnsi="Arial" w:cs="Arial"/>
                <w:snapToGrid w:val="0"/>
                <w:sz w:val="20"/>
                <w:szCs w:val="20"/>
                <w:lang w:eastAsia="en-US"/>
              </w:rPr>
            </w:pPr>
            <w:hyperlink r:id="rId30" w:history="1">
              <w:r w:rsidR="00CE7C1E" w:rsidRPr="00736E2F">
                <w:rPr>
                  <w:rFonts w:ascii="Arial" w:hAnsi="Arial" w:cs="Arial"/>
                  <w:snapToGrid w:val="0"/>
                  <w:color w:val="0000FF" w:themeColor="hyperlink"/>
                  <w:sz w:val="20"/>
                  <w:szCs w:val="20"/>
                  <w:u w:val="single"/>
                  <w:lang w:eastAsia="en-US"/>
                </w:rPr>
                <w:t>Plateforme sur les expériences du patrimoine vivant dans</w:t>
              </w:r>
              <w:r w:rsidR="006B2E58" w:rsidRPr="00736E2F">
                <w:rPr>
                  <w:rFonts w:ascii="Arial" w:hAnsi="Arial" w:cs="Arial"/>
                  <w:snapToGrid w:val="0"/>
                  <w:color w:val="0000FF" w:themeColor="hyperlink"/>
                  <w:sz w:val="20"/>
                  <w:szCs w:val="20"/>
                  <w:u w:val="single"/>
                  <w:lang w:eastAsia="en-US"/>
                </w:rPr>
                <w:t xml:space="preserve"> le contexte de</w:t>
              </w:r>
              <w:r w:rsidR="00CE7C1E" w:rsidRPr="00736E2F">
                <w:rPr>
                  <w:rFonts w:ascii="Arial" w:hAnsi="Arial" w:cs="Arial"/>
                  <w:snapToGrid w:val="0"/>
                  <w:color w:val="0000FF" w:themeColor="hyperlink"/>
                  <w:sz w:val="20"/>
                  <w:szCs w:val="20"/>
                  <w:u w:val="single"/>
                  <w:lang w:eastAsia="en-US"/>
                </w:rPr>
                <w:t xml:space="preserve"> la pandémie</w:t>
              </w:r>
            </w:hyperlink>
          </w:p>
        </w:tc>
        <w:tc>
          <w:tcPr>
            <w:tcW w:w="6804" w:type="dxa"/>
          </w:tcPr>
          <w:p w14:paraId="194CCDBD" w14:textId="77777777" w:rsidR="00CE7C1E" w:rsidRPr="00736E2F" w:rsidRDefault="00CE7C1E" w:rsidP="00CE7C1E">
            <w:pPr>
              <w:spacing w:after="120"/>
              <w:jc w:val="both"/>
              <w:rPr>
                <w:rFonts w:ascii="Arial" w:hAnsi="Arial" w:cs="Arial"/>
                <w:b/>
                <w:bCs/>
                <w:snapToGrid w:val="0"/>
                <w:sz w:val="20"/>
                <w:szCs w:val="20"/>
                <w:lang w:eastAsia="en-US"/>
              </w:rPr>
            </w:pPr>
            <w:r w:rsidRPr="00736E2F">
              <w:rPr>
                <w:rFonts w:ascii="Arial" w:hAnsi="Arial" w:cs="Arial"/>
                <w:snapToGrid w:val="0"/>
                <w:sz w:val="20"/>
                <w:szCs w:val="20"/>
                <w:lang w:eastAsia="en-US"/>
              </w:rPr>
              <w:t>Plate-forme collaborative créée pour partager les expériences en matière de patrimoine vivant pendant la pandémie de COVID-19. Les expériences ont été répertoriées en fonction des régions, des domaines du patrimoine vivant, des impacts et des acteurs impliqués. Ouverte aux contributions du public.</w:t>
            </w:r>
          </w:p>
        </w:tc>
      </w:tr>
      <w:tr w:rsidR="00CE7C1E" w:rsidRPr="00736E2F" w14:paraId="3D2FE992" w14:textId="77777777" w:rsidTr="0021679D">
        <w:tc>
          <w:tcPr>
            <w:tcW w:w="9356" w:type="dxa"/>
            <w:gridSpan w:val="2"/>
            <w:shd w:val="clear" w:color="auto" w:fill="8DB3E2" w:themeFill="text2" w:themeFillTint="66"/>
          </w:tcPr>
          <w:p w14:paraId="12C57BED" w14:textId="77777777" w:rsidR="00CE7C1E" w:rsidRPr="00736E2F" w:rsidRDefault="00CE7C1E" w:rsidP="00B71F04">
            <w:pPr>
              <w:rPr>
                <w:rFonts w:ascii="Arial" w:hAnsi="Arial" w:cs="Arial"/>
                <w:b/>
                <w:bCs/>
                <w:snapToGrid w:val="0"/>
                <w:sz w:val="20"/>
                <w:szCs w:val="20"/>
                <w:lang w:eastAsia="en-US"/>
              </w:rPr>
            </w:pPr>
            <w:r w:rsidRPr="00736E2F">
              <w:rPr>
                <w:rFonts w:ascii="Arial" w:hAnsi="Arial" w:cs="Arial"/>
                <w:b/>
                <w:bCs/>
                <w:sz w:val="20"/>
                <w:szCs w:val="20"/>
                <w:lang w:eastAsia="en-US"/>
              </w:rPr>
              <w:t xml:space="preserve">Autres </w:t>
            </w:r>
            <w:r w:rsidRPr="00736E2F">
              <w:rPr>
                <w:rFonts w:ascii="Arial" w:hAnsi="Arial" w:cs="Arial"/>
                <w:b/>
                <w:bCs/>
                <w:snapToGrid w:val="0"/>
                <w:sz w:val="20"/>
                <w:szCs w:val="20"/>
                <w:lang w:eastAsia="en-US"/>
              </w:rPr>
              <w:t>exemples de plateformes collaboratives liées à la sauvegarde du patrimoine vivant</w:t>
            </w:r>
          </w:p>
        </w:tc>
      </w:tr>
      <w:tr w:rsidR="00CE7C1E" w:rsidRPr="00736E2F" w14:paraId="67551CA8" w14:textId="77777777" w:rsidTr="0021679D">
        <w:tc>
          <w:tcPr>
            <w:tcW w:w="2552" w:type="dxa"/>
          </w:tcPr>
          <w:p w14:paraId="722061E6" w14:textId="36D509E6" w:rsidR="00CE7C1E" w:rsidRPr="00736E2F" w:rsidRDefault="00595810" w:rsidP="00CE7C1E">
            <w:pPr>
              <w:spacing w:after="120"/>
              <w:rPr>
                <w:rFonts w:ascii="Arial" w:hAnsi="Arial" w:cs="Arial"/>
                <w:b/>
                <w:bCs/>
                <w:snapToGrid w:val="0"/>
                <w:sz w:val="20"/>
                <w:szCs w:val="20"/>
                <w:lang w:eastAsia="en-US"/>
              </w:rPr>
            </w:pPr>
            <w:hyperlink r:id="rId31" w:history="1">
              <w:r w:rsidR="00CE7C1E" w:rsidRPr="00736E2F">
                <w:rPr>
                  <w:rFonts w:ascii="Arial" w:hAnsi="Arial" w:cs="Arial"/>
                  <w:snapToGrid w:val="0"/>
                  <w:color w:val="0000FF" w:themeColor="hyperlink"/>
                  <w:sz w:val="20"/>
                  <w:szCs w:val="20"/>
                  <w:u w:val="single"/>
                  <w:lang w:eastAsia="en-US"/>
                </w:rPr>
                <w:t>Plate-forme numérique pour l’inventaire national des références culturelles - INRC</w:t>
              </w:r>
            </w:hyperlink>
            <w:r w:rsidR="00CE7C1E" w:rsidRPr="00736E2F">
              <w:rPr>
                <w:rFonts w:ascii="Arial" w:hAnsi="Arial" w:cs="Arial"/>
                <w:snapToGrid w:val="0"/>
                <w:sz w:val="20"/>
                <w:szCs w:val="20"/>
                <w:lang w:eastAsia="en-US"/>
              </w:rPr>
              <w:t xml:space="preserve"> </w:t>
            </w:r>
          </w:p>
        </w:tc>
        <w:tc>
          <w:tcPr>
            <w:tcW w:w="6804" w:type="dxa"/>
          </w:tcPr>
          <w:p w14:paraId="5F58A8EB" w14:textId="25E99F89" w:rsidR="00CE7C1E" w:rsidRPr="00736E2F" w:rsidRDefault="00CE7C1E" w:rsidP="00CE7C1E">
            <w:pPr>
              <w:spacing w:after="120"/>
              <w:jc w:val="both"/>
              <w:rPr>
                <w:rFonts w:ascii="Arial" w:hAnsi="Arial" w:cs="Arial"/>
                <w:b/>
                <w:bCs/>
                <w:snapToGrid w:val="0"/>
                <w:sz w:val="20"/>
                <w:szCs w:val="20"/>
                <w:lang w:eastAsia="en-US"/>
              </w:rPr>
            </w:pPr>
            <w:r w:rsidRPr="00736E2F">
              <w:rPr>
                <w:rFonts w:ascii="Arial" w:hAnsi="Arial" w:cs="Arial"/>
                <w:snapToGrid w:val="0"/>
                <w:sz w:val="20"/>
                <w:szCs w:val="20"/>
                <w:lang w:eastAsia="en-US"/>
              </w:rPr>
              <w:t>Plateforme ouverte aux gouvernements locaux, aux organisations non gouvernementales et aux communautés, l’INRC cherche à héberger des documents, des photos, des audios et des vidéos sur les manifestations culturelles au Brésil. Il est ouvert aux contributions du public par le biais d’appels à projets dans le cadre du programme national du patrimoine immatériel.</w:t>
            </w:r>
          </w:p>
        </w:tc>
      </w:tr>
      <w:tr w:rsidR="00CE7C1E" w:rsidRPr="00736E2F" w14:paraId="3DC152FC" w14:textId="77777777" w:rsidTr="00CE7C1E">
        <w:trPr>
          <w:trHeight w:val="558"/>
        </w:trPr>
        <w:tc>
          <w:tcPr>
            <w:tcW w:w="2552" w:type="dxa"/>
          </w:tcPr>
          <w:p w14:paraId="47393857" w14:textId="4A2DA9D6" w:rsidR="00CE7C1E" w:rsidRPr="00736E2F" w:rsidRDefault="00595810" w:rsidP="00CE7C1E">
            <w:pPr>
              <w:spacing w:after="120"/>
              <w:rPr>
                <w:rFonts w:ascii="Arial" w:hAnsi="Arial" w:cs="Arial"/>
                <w:b/>
                <w:bCs/>
                <w:snapToGrid w:val="0"/>
                <w:sz w:val="20"/>
                <w:szCs w:val="20"/>
                <w:lang w:eastAsia="en-US"/>
              </w:rPr>
            </w:pPr>
            <w:hyperlink r:id="rId32" w:history="1">
              <w:r w:rsidR="00CE7C1E" w:rsidRPr="00736E2F">
                <w:rPr>
                  <w:rFonts w:ascii="Arial" w:hAnsi="Arial" w:cs="Arial"/>
                  <w:snapToGrid w:val="0"/>
                  <w:color w:val="0000FF" w:themeColor="hyperlink"/>
                  <w:sz w:val="20"/>
                  <w:szCs w:val="20"/>
                  <w:u w:val="single"/>
                  <w:lang w:eastAsia="en-US"/>
                </w:rPr>
                <w:t>Pratiques de sauvegarde</w:t>
              </w:r>
            </w:hyperlink>
          </w:p>
        </w:tc>
        <w:tc>
          <w:tcPr>
            <w:tcW w:w="6804" w:type="dxa"/>
          </w:tcPr>
          <w:p w14:paraId="79333D3D" w14:textId="2F515D2C" w:rsidR="00CE7C1E" w:rsidRPr="00736E2F" w:rsidRDefault="00CE7C1E" w:rsidP="00CE7C1E">
            <w:pPr>
              <w:spacing w:after="120"/>
              <w:jc w:val="both"/>
              <w:rPr>
                <w:rFonts w:ascii="Arial" w:hAnsi="Arial" w:cs="Arial"/>
                <w:snapToGrid w:val="0"/>
                <w:sz w:val="20"/>
                <w:szCs w:val="20"/>
                <w:lang w:eastAsia="en-US"/>
              </w:rPr>
            </w:pPr>
            <w:r w:rsidRPr="00736E2F">
              <w:rPr>
                <w:rFonts w:ascii="Arial" w:hAnsi="Arial" w:cs="Arial"/>
                <w:snapToGrid w:val="0"/>
                <w:sz w:val="20"/>
                <w:szCs w:val="20"/>
                <w:lang w:eastAsia="en-US"/>
              </w:rPr>
              <w:t xml:space="preserve">Site </w:t>
            </w:r>
            <w:r w:rsidR="006B2E58" w:rsidRPr="00736E2F">
              <w:rPr>
                <w:rFonts w:ascii="Arial" w:hAnsi="Arial" w:cs="Arial"/>
                <w:snapToGrid w:val="0"/>
                <w:sz w:val="20"/>
                <w:szCs w:val="20"/>
                <w:lang w:eastAsia="en-US"/>
              </w:rPr>
              <w:t>internet</w:t>
            </w:r>
            <w:r w:rsidRPr="00736E2F">
              <w:rPr>
                <w:rFonts w:ascii="Arial" w:hAnsi="Arial" w:cs="Arial"/>
                <w:snapToGrid w:val="0"/>
                <w:sz w:val="20"/>
                <w:szCs w:val="20"/>
                <w:lang w:eastAsia="en-US"/>
              </w:rPr>
              <w:t xml:space="preserve"> présentant des expériences de sauvegarde du patrimoine vivant dans la région nordique et baltique, en mettant l’accent sur les approches innovantes et communautaires. Les expériences sont présentées en fonction des objectifs, menaces et besoins identifiés, ainsi que des stratégies et mesures employées. </w:t>
            </w:r>
            <w:r w:rsidR="00497BAB" w:rsidRPr="00736E2F">
              <w:rPr>
                <w:rFonts w:ascii="Arial" w:hAnsi="Arial" w:cs="Arial"/>
                <w:snapToGrid w:val="0"/>
                <w:sz w:val="20"/>
                <w:szCs w:val="20"/>
                <w:lang w:eastAsia="en-US"/>
              </w:rPr>
              <w:t>O</w:t>
            </w:r>
            <w:r w:rsidRPr="00736E2F">
              <w:rPr>
                <w:rFonts w:ascii="Arial" w:hAnsi="Arial" w:cs="Arial"/>
                <w:snapToGrid w:val="0"/>
                <w:sz w:val="20"/>
                <w:szCs w:val="20"/>
                <w:lang w:eastAsia="en-US"/>
              </w:rPr>
              <w:t>uverte aux contributions du public par le biais d’appels à articles.</w:t>
            </w:r>
          </w:p>
        </w:tc>
      </w:tr>
    </w:tbl>
    <w:p w14:paraId="5B1C9BB4" w14:textId="3854EDBC" w:rsidR="00CE7C1E" w:rsidRPr="00736E2F" w:rsidRDefault="00CE7C1E" w:rsidP="00CE7C1E">
      <w:pPr>
        <w:autoSpaceDE w:val="0"/>
        <w:autoSpaceDN w:val="0"/>
        <w:adjustRightInd w:val="0"/>
        <w:spacing w:after="240"/>
        <w:jc w:val="center"/>
        <w:rPr>
          <w:rFonts w:ascii="Arial" w:eastAsia="SimSun" w:hAnsi="Arial" w:cs="Arial"/>
          <w:b/>
          <w:bCs/>
          <w:sz w:val="22"/>
          <w:szCs w:val="22"/>
        </w:rPr>
      </w:pPr>
      <w:r w:rsidRPr="00736E2F">
        <w:rPr>
          <w:rFonts w:ascii="Arial" w:eastAsia="SimSun" w:hAnsi="Arial" w:cs="Arial"/>
          <w:b/>
          <w:bCs/>
          <w:sz w:val="22"/>
          <w:szCs w:val="22"/>
        </w:rPr>
        <w:t xml:space="preserve">Annexe II </w:t>
      </w:r>
      <w:r w:rsidR="008A2140" w:rsidRPr="00736E2F">
        <w:rPr>
          <w:rFonts w:ascii="Arial" w:eastAsia="SimSun" w:hAnsi="Arial" w:cs="Arial"/>
          <w:b/>
          <w:bCs/>
          <w:sz w:val="22"/>
          <w:szCs w:val="22"/>
        </w:rPr>
        <w:t>–</w:t>
      </w:r>
      <w:r w:rsidRPr="00736E2F">
        <w:rPr>
          <w:rFonts w:ascii="Arial" w:eastAsia="SimSun" w:hAnsi="Arial" w:cs="Arial"/>
          <w:b/>
          <w:bCs/>
          <w:sz w:val="22"/>
          <w:szCs w:val="22"/>
        </w:rPr>
        <w:t xml:space="preserve"> Feuille</w:t>
      </w:r>
      <w:r w:rsidR="008A2140" w:rsidRPr="00736E2F">
        <w:rPr>
          <w:rFonts w:ascii="Arial" w:eastAsia="SimSun" w:hAnsi="Arial" w:cs="Arial"/>
          <w:b/>
          <w:bCs/>
          <w:sz w:val="22"/>
          <w:szCs w:val="22"/>
        </w:rPr>
        <w:t xml:space="preserve"> </w:t>
      </w:r>
      <w:r w:rsidRPr="00736E2F">
        <w:rPr>
          <w:rFonts w:ascii="Arial" w:eastAsia="SimSun" w:hAnsi="Arial" w:cs="Arial"/>
          <w:b/>
          <w:bCs/>
          <w:sz w:val="22"/>
          <w:szCs w:val="22"/>
        </w:rPr>
        <w:t xml:space="preserve">de route proposée pour la mise en place et le fonctionnement de la plateforme en ligne </w:t>
      </w:r>
      <w:r w:rsidR="00497BAB" w:rsidRPr="00736E2F">
        <w:rPr>
          <w:rFonts w:ascii="Arial" w:eastAsia="SimSun" w:hAnsi="Arial" w:cs="Arial"/>
          <w:b/>
          <w:bCs/>
          <w:sz w:val="22"/>
          <w:szCs w:val="22"/>
        </w:rPr>
        <w:t>pour le</w:t>
      </w:r>
      <w:r w:rsidRPr="00736E2F">
        <w:rPr>
          <w:rFonts w:ascii="Arial" w:eastAsia="SimSun" w:hAnsi="Arial" w:cs="Arial"/>
          <w:b/>
          <w:bCs/>
          <w:sz w:val="22"/>
          <w:szCs w:val="22"/>
        </w:rPr>
        <w:t xml:space="preserve"> partage de bonnes expériences de sauvegarde</w:t>
      </w:r>
    </w:p>
    <w:tbl>
      <w:tblPr>
        <w:tblStyle w:val="Grilledutableau"/>
        <w:tblW w:w="9213" w:type="dxa"/>
        <w:tblInd w:w="421" w:type="dxa"/>
        <w:tblLook w:val="04A0" w:firstRow="1" w:lastRow="0" w:firstColumn="1" w:lastColumn="0" w:noHBand="0" w:noVBand="1"/>
      </w:tblPr>
      <w:tblGrid>
        <w:gridCol w:w="1559"/>
        <w:gridCol w:w="7654"/>
      </w:tblGrid>
      <w:tr w:rsidR="00CE7C1E" w:rsidRPr="00736E2F" w14:paraId="1C5EDAF3" w14:textId="77777777" w:rsidTr="0021679D">
        <w:tc>
          <w:tcPr>
            <w:tcW w:w="1559" w:type="dxa"/>
            <w:shd w:val="clear" w:color="auto" w:fill="F2F2F2" w:themeFill="background1" w:themeFillShade="F2"/>
          </w:tcPr>
          <w:p w14:paraId="738E28D3" w14:textId="77777777" w:rsidR="00CE7C1E" w:rsidRPr="00736E2F" w:rsidRDefault="00CE7C1E" w:rsidP="00CE7C1E">
            <w:pPr>
              <w:tabs>
                <w:tab w:val="left" w:pos="567"/>
              </w:tabs>
              <w:snapToGrid w:val="0"/>
              <w:spacing w:after="120"/>
              <w:jc w:val="both"/>
              <w:rPr>
                <w:rFonts w:ascii="Arial" w:hAnsi="Arial" w:cs="Arial"/>
                <w:b/>
                <w:bCs/>
                <w:snapToGrid w:val="0"/>
                <w:sz w:val="20"/>
                <w:szCs w:val="20"/>
                <w:lang w:eastAsia="en-US"/>
              </w:rPr>
            </w:pPr>
            <w:r w:rsidRPr="00736E2F">
              <w:rPr>
                <w:rFonts w:ascii="Arial" w:hAnsi="Arial" w:cs="Arial"/>
                <w:b/>
                <w:bCs/>
                <w:snapToGrid w:val="0"/>
                <w:sz w:val="20"/>
                <w:szCs w:val="20"/>
                <w:lang w:eastAsia="en-US"/>
              </w:rPr>
              <w:t>Année</w:t>
            </w:r>
          </w:p>
        </w:tc>
        <w:tc>
          <w:tcPr>
            <w:tcW w:w="7654" w:type="dxa"/>
            <w:shd w:val="clear" w:color="auto" w:fill="F2F2F2" w:themeFill="background1" w:themeFillShade="F2"/>
          </w:tcPr>
          <w:p w14:paraId="2FC10EBB" w14:textId="77777777" w:rsidR="00CE7C1E" w:rsidRPr="00736E2F" w:rsidRDefault="00CE7C1E" w:rsidP="00CE7C1E">
            <w:pPr>
              <w:tabs>
                <w:tab w:val="left" w:pos="567"/>
              </w:tabs>
              <w:snapToGrid w:val="0"/>
              <w:spacing w:after="120"/>
              <w:jc w:val="both"/>
              <w:rPr>
                <w:rFonts w:ascii="Arial" w:hAnsi="Arial" w:cs="Arial"/>
                <w:b/>
                <w:bCs/>
                <w:snapToGrid w:val="0"/>
                <w:sz w:val="20"/>
                <w:szCs w:val="20"/>
                <w:lang w:eastAsia="en-US"/>
              </w:rPr>
            </w:pPr>
            <w:r w:rsidRPr="00736E2F">
              <w:rPr>
                <w:rFonts w:ascii="Arial" w:hAnsi="Arial" w:cs="Arial"/>
                <w:b/>
                <w:bCs/>
                <w:snapToGrid w:val="0"/>
                <w:sz w:val="20"/>
                <w:szCs w:val="20"/>
                <w:lang w:eastAsia="en-US"/>
              </w:rPr>
              <w:t>Étapes</w:t>
            </w:r>
          </w:p>
        </w:tc>
      </w:tr>
      <w:tr w:rsidR="00CE7C1E" w:rsidRPr="00736E2F" w14:paraId="3A23942F" w14:textId="77777777" w:rsidTr="0021679D">
        <w:tc>
          <w:tcPr>
            <w:tcW w:w="1559" w:type="dxa"/>
          </w:tcPr>
          <w:p w14:paraId="7E026CE6" w14:textId="77777777" w:rsidR="00CE7C1E" w:rsidRPr="00736E2F" w:rsidRDefault="00CE7C1E" w:rsidP="00CE7C1E">
            <w:pPr>
              <w:spacing w:after="120"/>
              <w:jc w:val="both"/>
              <w:rPr>
                <w:rFonts w:ascii="Arial" w:eastAsia="Times" w:hAnsi="Arial" w:cs="Arial"/>
                <w:b/>
                <w:bCs/>
                <w:sz w:val="20"/>
                <w:szCs w:val="20"/>
                <w:lang w:eastAsia="en-US"/>
              </w:rPr>
            </w:pPr>
            <w:r w:rsidRPr="00736E2F">
              <w:rPr>
                <w:rFonts w:ascii="Arial" w:eastAsia="Times" w:hAnsi="Arial" w:cs="Arial"/>
                <w:b/>
                <w:bCs/>
                <w:sz w:val="20"/>
                <w:szCs w:val="20"/>
                <w:lang w:eastAsia="en-US"/>
              </w:rPr>
              <w:t>2024</w:t>
            </w:r>
          </w:p>
        </w:tc>
        <w:tc>
          <w:tcPr>
            <w:tcW w:w="7654" w:type="dxa"/>
          </w:tcPr>
          <w:p w14:paraId="3E189E7A" w14:textId="77777777" w:rsidR="00CE7C1E" w:rsidRPr="00736E2F" w:rsidRDefault="00CE7C1E" w:rsidP="00CE7C1E">
            <w:pPr>
              <w:spacing w:after="120"/>
              <w:jc w:val="both"/>
              <w:rPr>
                <w:rFonts w:ascii="Arial" w:eastAsia="Times" w:hAnsi="Arial" w:cs="Arial"/>
                <w:b/>
                <w:bCs/>
                <w:color w:val="4F81BD" w:themeColor="accent1"/>
                <w:sz w:val="20"/>
                <w:szCs w:val="20"/>
                <w:lang w:eastAsia="en-US"/>
              </w:rPr>
            </w:pPr>
            <w:r w:rsidRPr="00736E2F">
              <w:rPr>
                <w:rFonts w:ascii="Arial" w:eastAsia="Times" w:hAnsi="Arial" w:cs="Arial"/>
                <w:b/>
                <w:bCs/>
                <w:color w:val="4F81BD" w:themeColor="accent1"/>
                <w:sz w:val="20"/>
                <w:szCs w:val="20"/>
                <w:lang w:eastAsia="en-US"/>
              </w:rPr>
              <w:t>Développements initiaux</w:t>
            </w:r>
          </w:p>
          <w:p w14:paraId="51848FF3" w14:textId="2D3117F2" w:rsidR="00CE7C1E" w:rsidRPr="00736E2F" w:rsidRDefault="00560B9C" w:rsidP="00CE7C1E">
            <w:pPr>
              <w:numPr>
                <w:ilvl w:val="0"/>
                <w:numId w:val="21"/>
              </w:numPr>
              <w:spacing w:after="120"/>
              <w:jc w:val="both"/>
              <w:rPr>
                <w:rFonts w:ascii="Arial" w:eastAsia="Times" w:hAnsi="Arial" w:cs="Arial"/>
                <w:sz w:val="20"/>
                <w:szCs w:val="20"/>
                <w:lang w:eastAsia="en-US"/>
              </w:rPr>
            </w:pPr>
            <w:r w:rsidRPr="00736E2F">
              <w:rPr>
                <w:rFonts w:ascii="Arial" w:hAnsi="Arial" w:cs="Arial"/>
                <w:snapToGrid w:val="0"/>
                <w:sz w:val="20"/>
                <w:szCs w:val="20"/>
                <w:lang w:eastAsia="en-US"/>
              </w:rPr>
              <w:t>É</w:t>
            </w:r>
            <w:r w:rsidR="00497BAB" w:rsidRPr="00736E2F">
              <w:rPr>
                <w:rFonts w:ascii="Arial" w:eastAsia="Times" w:hAnsi="Arial" w:cs="Arial"/>
                <w:sz w:val="20"/>
                <w:szCs w:val="20"/>
                <w:lang w:eastAsia="en-US"/>
              </w:rPr>
              <w:t>tude documentaire</w:t>
            </w:r>
            <w:r w:rsidR="00CE7C1E" w:rsidRPr="00736E2F">
              <w:rPr>
                <w:rFonts w:ascii="Arial" w:eastAsia="Times" w:hAnsi="Arial" w:cs="Arial"/>
                <w:sz w:val="20"/>
                <w:szCs w:val="20"/>
                <w:lang w:eastAsia="en-US"/>
              </w:rPr>
              <w:t xml:space="preserve"> ;</w:t>
            </w:r>
          </w:p>
          <w:p w14:paraId="6593511D" w14:textId="5BF15A08" w:rsidR="00CE7C1E" w:rsidRPr="00736E2F" w:rsidRDefault="00CE7C1E" w:rsidP="00CE7C1E">
            <w:pPr>
              <w:numPr>
                <w:ilvl w:val="0"/>
                <w:numId w:val="21"/>
              </w:numPr>
              <w:spacing w:after="120"/>
              <w:jc w:val="both"/>
              <w:rPr>
                <w:rFonts w:ascii="Arial" w:eastAsia="Times" w:hAnsi="Arial" w:cs="Arial"/>
                <w:sz w:val="20"/>
                <w:szCs w:val="20"/>
                <w:lang w:eastAsia="en-US"/>
              </w:rPr>
            </w:pPr>
            <w:r w:rsidRPr="00736E2F">
              <w:rPr>
                <w:rFonts w:ascii="Arial" w:eastAsia="Times" w:hAnsi="Arial" w:cs="Arial"/>
                <w:sz w:val="20"/>
                <w:szCs w:val="20"/>
                <w:lang w:eastAsia="en-US"/>
              </w:rPr>
              <w:t>Développement d’une méthodologie de cartographie</w:t>
            </w:r>
            <w:r w:rsidR="00497BAB" w:rsidRPr="00736E2F">
              <w:rPr>
                <w:rFonts w:ascii="Arial" w:eastAsia="Times" w:hAnsi="Arial" w:cs="Arial"/>
                <w:sz w:val="20"/>
                <w:szCs w:val="20"/>
                <w:lang w:eastAsia="en-US"/>
              </w:rPr>
              <w:t> ;</w:t>
            </w:r>
          </w:p>
          <w:p w14:paraId="5F9BBEB1" w14:textId="77777777" w:rsidR="00CE7C1E" w:rsidRPr="00736E2F" w:rsidRDefault="00CE7C1E" w:rsidP="00CE7C1E">
            <w:pPr>
              <w:numPr>
                <w:ilvl w:val="0"/>
                <w:numId w:val="21"/>
              </w:numPr>
              <w:spacing w:after="120"/>
              <w:jc w:val="both"/>
              <w:rPr>
                <w:rFonts w:ascii="Arial" w:eastAsia="Times" w:hAnsi="Arial" w:cs="Arial"/>
                <w:sz w:val="20"/>
                <w:szCs w:val="20"/>
                <w:lang w:eastAsia="en-US"/>
              </w:rPr>
            </w:pPr>
            <w:r w:rsidRPr="00736E2F">
              <w:rPr>
                <w:rFonts w:ascii="Arial" w:eastAsia="Times" w:hAnsi="Arial" w:cs="Arial"/>
                <w:sz w:val="20"/>
                <w:szCs w:val="20"/>
                <w:lang w:eastAsia="en-US"/>
              </w:rPr>
              <w:t>Cartographie pilote des expériences de sauvegarde ;</w:t>
            </w:r>
          </w:p>
          <w:p w14:paraId="74EF817C" w14:textId="4645739F" w:rsidR="00CE7C1E" w:rsidRPr="00736E2F" w:rsidRDefault="00CE7C1E" w:rsidP="00CE7C1E">
            <w:pPr>
              <w:numPr>
                <w:ilvl w:val="0"/>
                <w:numId w:val="21"/>
              </w:numPr>
              <w:spacing w:after="120"/>
              <w:jc w:val="both"/>
              <w:rPr>
                <w:rFonts w:ascii="Arial" w:eastAsia="Times" w:hAnsi="Arial" w:cs="Arial"/>
                <w:b/>
                <w:sz w:val="20"/>
                <w:szCs w:val="20"/>
                <w:lang w:eastAsia="en-US"/>
              </w:rPr>
            </w:pPr>
            <w:r w:rsidRPr="00736E2F">
              <w:rPr>
                <w:rFonts w:ascii="Arial" w:eastAsia="Times" w:hAnsi="Arial" w:cs="Arial"/>
                <w:sz w:val="20"/>
                <w:szCs w:val="20"/>
                <w:lang w:eastAsia="en-US"/>
              </w:rPr>
              <w:t>Appel à l’identification d’entreprises pour le développement de la plateforme en ligne ;</w:t>
            </w:r>
            <w:r w:rsidRPr="00736E2F">
              <w:rPr>
                <w:rFonts w:ascii="Arial" w:eastAsia="Times" w:hAnsi="Arial" w:cs="Arial"/>
                <w:b/>
                <w:bCs/>
                <w:sz w:val="20"/>
                <w:szCs w:val="20"/>
                <w:lang w:eastAsia="en-US"/>
              </w:rPr>
              <w:t xml:space="preserve"> </w:t>
            </w:r>
          </w:p>
          <w:p w14:paraId="2347758C" w14:textId="251820DA" w:rsidR="00CE7C1E" w:rsidRPr="00736E2F" w:rsidRDefault="00CE7C1E" w:rsidP="00CE7C1E">
            <w:pPr>
              <w:spacing w:after="120"/>
              <w:jc w:val="both"/>
              <w:rPr>
                <w:rFonts w:ascii="Arial" w:eastAsia="Times" w:hAnsi="Arial" w:cs="Arial"/>
                <w:b/>
                <w:color w:val="4F81BD" w:themeColor="accent1"/>
                <w:sz w:val="20"/>
                <w:szCs w:val="20"/>
                <w:lang w:eastAsia="en-US"/>
              </w:rPr>
            </w:pPr>
            <w:r w:rsidRPr="00736E2F">
              <w:rPr>
                <w:rFonts w:ascii="Arial" w:eastAsia="Times" w:hAnsi="Arial" w:cs="Arial"/>
                <w:b/>
                <w:bCs/>
                <w:color w:val="4F81BD" w:themeColor="accent1"/>
                <w:sz w:val="20"/>
                <w:szCs w:val="20"/>
                <w:lang w:eastAsia="en-US"/>
              </w:rPr>
              <w:t xml:space="preserve">Dix-neuvième session du Comité (2 </w:t>
            </w:r>
            <w:r w:rsidR="008A2140" w:rsidRPr="00736E2F">
              <w:rPr>
                <w:rFonts w:ascii="Arial" w:eastAsia="Times" w:hAnsi="Arial" w:cs="Arial"/>
                <w:b/>
                <w:bCs/>
                <w:color w:val="4F81BD" w:themeColor="accent1"/>
                <w:sz w:val="20"/>
                <w:szCs w:val="20"/>
                <w:lang w:eastAsia="en-US"/>
              </w:rPr>
              <w:t>–</w:t>
            </w:r>
            <w:r w:rsidRPr="00736E2F">
              <w:rPr>
                <w:rFonts w:ascii="Arial" w:eastAsia="Times" w:hAnsi="Arial" w:cs="Arial"/>
                <w:b/>
                <w:bCs/>
                <w:color w:val="4F81BD" w:themeColor="accent1"/>
                <w:sz w:val="20"/>
                <w:szCs w:val="20"/>
                <w:lang w:eastAsia="en-US"/>
              </w:rPr>
              <w:t xml:space="preserve"> 7</w:t>
            </w:r>
            <w:r w:rsidR="008A2140" w:rsidRPr="00736E2F">
              <w:rPr>
                <w:rFonts w:ascii="Arial" w:eastAsia="Times" w:hAnsi="Arial" w:cs="Arial"/>
                <w:b/>
                <w:bCs/>
                <w:color w:val="4F81BD" w:themeColor="accent1"/>
                <w:sz w:val="20"/>
                <w:szCs w:val="20"/>
                <w:lang w:eastAsia="en-US"/>
              </w:rPr>
              <w:t xml:space="preserve"> </w:t>
            </w:r>
            <w:r w:rsidRPr="00736E2F">
              <w:rPr>
                <w:rFonts w:ascii="Arial" w:eastAsia="Times" w:hAnsi="Arial" w:cs="Arial"/>
                <w:b/>
                <w:bCs/>
                <w:color w:val="4F81BD" w:themeColor="accent1"/>
                <w:sz w:val="20"/>
                <w:szCs w:val="20"/>
                <w:lang w:eastAsia="en-US"/>
              </w:rPr>
              <w:t>décembre 2024, Asunción, République du Paraguay)</w:t>
            </w:r>
          </w:p>
          <w:p w14:paraId="07754D4F" w14:textId="77777777" w:rsidR="00CE7C1E" w:rsidRPr="00736E2F" w:rsidRDefault="00CE7C1E" w:rsidP="00CE7C1E">
            <w:pPr>
              <w:numPr>
                <w:ilvl w:val="0"/>
                <w:numId w:val="21"/>
              </w:numPr>
              <w:spacing w:after="120"/>
              <w:jc w:val="both"/>
              <w:rPr>
                <w:rFonts w:ascii="Arial" w:eastAsia="Times" w:hAnsi="Arial" w:cs="Arial"/>
                <w:b/>
                <w:sz w:val="20"/>
                <w:szCs w:val="20"/>
                <w:lang w:eastAsia="en-US"/>
              </w:rPr>
            </w:pPr>
            <w:r w:rsidRPr="00736E2F">
              <w:rPr>
                <w:rFonts w:ascii="Arial" w:eastAsia="Times" w:hAnsi="Arial" w:cs="Arial"/>
                <w:bCs/>
                <w:sz w:val="20"/>
                <w:szCs w:val="20"/>
                <w:lang w:eastAsia="en-US"/>
              </w:rPr>
              <w:t xml:space="preserve">Discussion sur les premiers développements et les voies à </w:t>
            </w:r>
            <w:r w:rsidRPr="00736E2F">
              <w:rPr>
                <w:rFonts w:ascii="Arial" w:eastAsia="Times" w:hAnsi="Arial" w:cs="Arial"/>
                <w:sz w:val="20"/>
                <w:szCs w:val="20"/>
                <w:lang w:eastAsia="en-US"/>
              </w:rPr>
              <w:t xml:space="preserve">suivre </w:t>
            </w:r>
            <w:r w:rsidRPr="00736E2F">
              <w:rPr>
                <w:rFonts w:ascii="Arial" w:eastAsia="Times" w:hAnsi="Arial" w:cs="Arial"/>
                <w:bCs/>
                <w:sz w:val="20"/>
                <w:szCs w:val="20"/>
                <w:lang w:eastAsia="en-US"/>
              </w:rPr>
              <w:t xml:space="preserve">pour la mise en place de la plateforme en ligne ; </w:t>
            </w:r>
          </w:p>
        </w:tc>
      </w:tr>
      <w:tr w:rsidR="00CE7C1E" w:rsidRPr="00736E2F" w14:paraId="50B48A44" w14:textId="77777777" w:rsidTr="0021679D">
        <w:tc>
          <w:tcPr>
            <w:tcW w:w="1559" w:type="dxa"/>
          </w:tcPr>
          <w:p w14:paraId="01F8A9AB" w14:textId="77777777" w:rsidR="00CE7C1E" w:rsidRPr="00736E2F" w:rsidRDefault="00CE7C1E" w:rsidP="00CE7C1E">
            <w:pPr>
              <w:spacing w:after="120"/>
              <w:jc w:val="both"/>
              <w:rPr>
                <w:rFonts w:ascii="Arial" w:eastAsia="Times" w:hAnsi="Arial" w:cs="Arial"/>
                <w:b/>
                <w:sz w:val="20"/>
                <w:szCs w:val="20"/>
                <w:lang w:eastAsia="en-US"/>
              </w:rPr>
            </w:pPr>
            <w:r w:rsidRPr="00736E2F">
              <w:rPr>
                <w:rFonts w:ascii="Arial" w:eastAsia="Times" w:hAnsi="Arial" w:cs="Arial"/>
                <w:b/>
                <w:sz w:val="20"/>
                <w:szCs w:val="20"/>
                <w:lang w:eastAsia="en-US"/>
              </w:rPr>
              <w:t>2025</w:t>
            </w:r>
          </w:p>
        </w:tc>
        <w:tc>
          <w:tcPr>
            <w:tcW w:w="7654" w:type="dxa"/>
          </w:tcPr>
          <w:p w14:paraId="3B91A963" w14:textId="77777777" w:rsidR="00CE7C1E" w:rsidRPr="00736E2F" w:rsidRDefault="00CE7C1E" w:rsidP="00CE7C1E">
            <w:pPr>
              <w:spacing w:after="120"/>
              <w:jc w:val="both"/>
              <w:rPr>
                <w:rFonts w:ascii="Arial" w:eastAsia="Times" w:hAnsi="Arial" w:cs="Arial"/>
                <w:b/>
                <w:color w:val="4F81BD" w:themeColor="accent1"/>
                <w:sz w:val="20"/>
                <w:szCs w:val="20"/>
                <w:lang w:eastAsia="en-US"/>
              </w:rPr>
            </w:pPr>
            <w:r w:rsidRPr="00736E2F">
              <w:rPr>
                <w:rFonts w:ascii="Arial" w:eastAsia="Times" w:hAnsi="Arial" w:cs="Arial"/>
                <w:b/>
                <w:color w:val="4F81BD" w:themeColor="accent1"/>
                <w:sz w:val="20"/>
                <w:szCs w:val="20"/>
                <w:lang w:eastAsia="en-US"/>
              </w:rPr>
              <w:t>Premier semestre</w:t>
            </w:r>
          </w:p>
          <w:p w14:paraId="5E1C1182" w14:textId="77777777" w:rsidR="00CE7C1E" w:rsidRPr="00736E2F" w:rsidRDefault="00CE7C1E" w:rsidP="00CE7C1E">
            <w:pPr>
              <w:numPr>
                <w:ilvl w:val="0"/>
                <w:numId w:val="21"/>
              </w:numPr>
              <w:spacing w:after="120"/>
              <w:jc w:val="both"/>
              <w:rPr>
                <w:rFonts w:ascii="Arial" w:eastAsia="Times" w:hAnsi="Arial" w:cs="Arial"/>
                <w:sz w:val="20"/>
                <w:szCs w:val="20"/>
                <w:lang w:eastAsia="en-US"/>
              </w:rPr>
            </w:pPr>
            <w:r w:rsidRPr="00736E2F">
              <w:rPr>
                <w:rFonts w:ascii="Arial" w:eastAsia="Times" w:hAnsi="Arial" w:cs="Arial"/>
                <w:sz w:val="20"/>
                <w:szCs w:val="20"/>
                <w:lang w:eastAsia="en-US"/>
              </w:rPr>
              <w:t>Formation du groupe consultatif ;</w:t>
            </w:r>
          </w:p>
          <w:p w14:paraId="75D89133" w14:textId="77777777" w:rsidR="00CE7C1E" w:rsidRPr="00736E2F" w:rsidRDefault="00CE7C1E" w:rsidP="00CE7C1E">
            <w:pPr>
              <w:numPr>
                <w:ilvl w:val="0"/>
                <w:numId w:val="21"/>
              </w:numPr>
              <w:spacing w:after="120"/>
              <w:jc w:val="both"/>
              <w:rPr>
                <w:rFonts w:ascii="Arial" w:eastAsia="Times" w:hAnsi="Arial" w:cs="Arial"/>
                <w:b/>
                <w:bCs/>
                <w:sz w:val="20"/>
                <w:szCs w:val="20"/>
                <w:lang w:eastAsia="en-US"/>
              </w:rPr>
            </w:pPr>
            <w:r w:rsidRPr="00736E2F">
              <w:rPr>
                <w:rFonts w:ascii="Arial" w:eastAsia="Times" w:hAnsi="Arial" w:cs="Arial"/>
                <w:sz w:val="20"/>
                <w:szCs w:val="20"/>
                <w:lang w:eastAsia="en-US"/>
              </w:rPr>
              <w:t>Développement</w:t>
            </w:r>
            <w:r w:rsidRPr="00736E2F">
              <w:rPr>
                <w:rFonts w:ascii="Arial" w:eastAsia="Times" w:hAnsi="Arial" w:cs="Arial"/>
                <w:bCs/>
                <w:sz w:val="20"/>
                <w:szCs w:val="20"/>
                <w:lang w:eastAsia="en-US"/>
              </w:rPr>
              <w:t xml:space="preserve"> informatique </w:t>
            </w:r>
            <w:r w:rsidRPr="00736E2F">
              <w:rPr>
                <w:rFonts w:ascii="Arial" w:eastAsia="Times" w:hAnsi="Arial" w:cs="Arial"/>
                <w:sz w:val="20"/>
                <w:szCs w:val="20"/>
                <w:lang w:eastAsia="en-US"/>
              </w:rPr>
              <w:t xml:space="preserve">de la plate-forme </w:t>
            </w:r>
            <w:r w:rsidRPr="00736E2F">
              <w:rPr>
                <w:rFonts w:ascii="Arial" w:eastAsia="Times" w:hAnsi="Arial" w:cs="Arial"/>
                <w:bCs/>
                <w:sz w:val="20"/>
                <w:szCs w:val="20"/>
                <w:lang w:eastAsia="en-US"/>
              </w:rPr>
              <w:t>;</w:t>
            </w:r>
          </w:p>
          <w:p w14:paraId="10473DBA" w14:textId="77777777" w:rsidR="00CE7C1E" w:rsidRPr="00736E2F" w:rsidRDefault="00CE7C1E" w:rsidP="00CE7C1E">
            <w:pPr>
              <w:spacing w:after="120"/>
              <w:jc w:val="both"/>
              <w:rPr>
                <w:rFonts w:ascii="Arial" w:eastAsia="Times" w:hAnsi="Arial" w:cs="Arial"/>
                <w:b/>
                <w:color w:val="4F81BD" w:themeColor="accent1"/>
                <w:sz w:val="20"/>
                <w:szCs w:val="20"/>
                <w:lang w:eastAsia="en-US"/>
              </w:rPr>
            </w:pPr>
            <w:r w:rsidRPr="00736E2F">
              <w:rPr>
                <w:rFonts w:ascii="Arial" w:eastAsia="Times" w:hAnsi="Arial" w:cs="Arial"/>
                <w:b/>
                <w:color w:val="4F81BD" w:themeColor="accent1"/>
                <w:sz w:val="20"/>
                <w:szCs w:val="20"/>
                <w:lang w:eastAsia="en-US"/>
              </w:rPr>
              <w:t>Deuxième semestre</w:t>
            </w:r>
          </w:p>
          <w:p w14:paraId="1817C723" w14:textId="77777777" w:rsidR="00CE7C1E" w:rsidRPr="00736E2F" w:rsidRDefault="00CE7C1E" w:rsidP="00CE7C1E">
            <w:pPr>
              <w:numPr>
                <w:ilvl w:val="0"/>
                <w:numId w:val="21"/>
              </w:numPr>
              <w:spacing w:after="120"/>
              <w:jc w:val="both"/>
              <w:rPr>
                <w:rFonts w:ascii="Arial" w:eastAsia="Times" w:hAnsi="Arial" w:cs="Arial"/>
                <w:sz w:val="20"/>
                <w:szCs w:val="20"/>
                <w:lang w:eastAsia="en-US"/>
              </w:rPr>
            </w:pPr>
            <w:r w:rsidRPr="00736E2F">
              <w:rPr>
                <w:rFonts w:ascii="Arial" w:eastAsia="Times" w:hAnsi="Arial" w:cs="Arial"/>
                <w:sz w:val="20"/>
                <w:szCs w:val="20"/>
                <w:lang w:eastAsia="en-US"/>
              </w:rPr>
              <w:t>Pilotage et test de la plateforme ;</w:t>
            </w:r>
          </w:p>
          <w:p w14:paraId="633F56E4" w14:textId="77777777" w:rsidR="00CE7C1E" w:rsidRPr="00736E2F" w:rsidRDefault="00CE7C1E" w:rsidP="00CE7C1E">
            <w:pPr>
              <w:numPr>
                <w:ilvl w:val="0"/>
                <w:numId w:val="21"/>
              </w:numPr>
              <w:spacing w:after="120"/>
              <w:jc w:val="both"/>
              <w:rPr>
                <w:rFonts w:ascii="Arial" w:eastAsia="Times" w:hAnsi="Arial" w:cs="Arial"/>
                <w:sz w:val="20"/>
                <w:szCs w:val="20"/>
                <w:lang w:eastAsia="en-US"/>
              </w:rPr>
            </w:pPr>
            <w:r w:rsidRPr="00736E2F">
              <w:rPr>
                <w:rFonts w:ascii="Arial" w:eastAsia="Times" w:hAnsi="Arial" w:cs="Arial"/>
                <w:sz w:val="20"/>
                <w:szCs w:val="20"/>
                <w:lang w:eastAsia="en-US"/>
              </w:rPr>
              <w:t>Recueillir les commentaires des utilisateurs ;</w:t>
            </w:r>
          </w:p>
          <w:p w14:paraId="0FF5461E" w14:textId="77777777" w:rsidR="00CE7C1E" w:rsidRPr="00736E2F" w:rsidRDefault="00CE7C1E" w:rsidP="00CE7C1E">
            <w:pPr>
              <w:spacing w:after="120"/>
              <w:jc w:val="both"/>
              <w:rPr>
                <w:rFonts w:ascii="Arial" w:eastAsia="Times" w:hAnsi="Arial" w:cs="Arial"/>
                <w:b/>
                <w:color w:val="4F81BD" w:themeColor="accent1"/>
                <w:sz w:val="20"/>
                <w:szCs w:val="20"/>
                <w:lang w:eastAsia="en-US"/>
              </w:rPr>
            </w:pPr>
            <w:r w:rsidRPr="00736E2F">
              <w:rPr>
                <w:rFonts w:ascii="Arial" w:eastAsia="Times" w:hAnsi="Arial" w:cs="Arial"/>
                <w:b/>
                <w:bCs/>
                <w:color w:val="4F81BD" w:themeColor="accent1"/>
                <w:sz w:val="20"/>
                <w:szCs w:val="20"/>
                <w:lang w:eastAsia="en-US"/>
              </w:rPr>
              <w:t>Vingtième session du Comité (novembre/décembre 2025)</w:t>
            </w:r>
          </w:p>
          <w:p w14:paraId="4F8FA5D8" w14:textId="78C0312B" w:rsidR="00CE7C1E" w:rsidRPr="00736E2F" w:rsidRDefault="00CE7C1E" w:rsidP="00CE7C1E">
            <w:pPr>
              <w:numPr>
                <w:ilvl w:val="0"/>
                <w:numId w:val="21"/>
              </w:numPr>
              <w:spacing w:after="120"/>
              <w:jc w:val="both"/>
              <w:rPr>
                <w:rFonts w:ascii="Arial" w:eastAsia="Times" w:hAnsi="Arial" w:cs="Arial"/>
                <w:sz w:val="20"/>
                <w:szCs w:val="20"/>
                <w:lang w:eastAsia="en-US"/>
              </w:rPr>
            </w:pPr>
            <w:r w:rsidRPr="00736E2F">
              <w:rPr>
                <w:rFonts w:ascii="Arial" w:eastAsia="Times" w:hAnsi="Arial" w:cs="Arial"/>
                <w:sz w:val="20"/>
                <w:szCs w:val="20"/>
                <w:lang w:eastAsia="en-US"/>
              </w:rPr>
              <w:t>Discussion sur l’état d’avancement des travaux ;</w:t>
            </w:r>
          </w:p>
          <w:p w14:paraId="54DA2B1B" w14:textId="0A850BDA" w:rsidR="00CE7C1E" w:rsidRPr="00736E2F" w:rsidRDefault="00CE7C1E" w:rsidP="00CE7C1E">
            <w:pPr>
              <w:numPr>
                <w:ilvl w:val="0"/>
                <w:numId w:val="21"/>
              </w:numPr>
              <w:spacing w:after="120"/>
              <w:jc w:val="both"/>
              <w:rPr>
                <w:rFonts w:ascii="Arial" w:eastAsia="Times" w:hAnsi="Arial" w:cs="Arial"/>
                <w:sz w:val="20"/>
                <w:szCs w:val="20"/>
                <w:lang w:eastAsia="en-US"/>
              </w:rPr>
            </w:pPr>
            <w:r w:rsidRPr="00736E2F">
              <w:rPr>
                <w:rFonts w:ascii="Arial" w:eastAsia="Times" w:hAnsi="Arial" w:cs="Arial"/>
                <w:sz w:val="20"/>
                <w:szCs w:val="20"/>
                <w:lang w:eastAsia="en-US"/>
              </w:rPr>
              <w:t xml:space="preserve">Présentation </w:t>
            </w:r>
            <w:r w:rsidRPr="00736E2F">
              <w:rPr>
                <w:rFonts w:ascii="Arial" w:eastAsia="Times" w:hAnsi="Arial" w:cs="Arial"/>
                <w:bCs/>
                <w:sz w:val="20"/>
                <w:szCs w:val="20"/>
                <w:lang w:eastAsia="en-US"/>
              </w:rPr>
              <w:t xml:space="preserve">de la cartographie pilote des bonnes expériences de sauvegarde (version </w:t>
            </w:r>
            <w:r w:rsidR="00500494" w:rsidRPr="00736E2F">
              <w:rPr>
                <w:rFonts w:ascii="Arial" w:eastAsia="Times" w:hAnsi="Arial" w:cs="Arial"/>
                <w:bCs/>
                <w:sz w:val="20"/>
                <w:szCs w:val="20"/>
                <w:lang w:eastAsia="en-US"/>
              </w:rPr>
              <w:t>« </w:t>
            </w:r>
            <w:r w:rsidRPr="00736E2F">
              <w:rPr>
                <w:rFonts w:ascii="Arial" w:eastAsia="Times" w:hAnsi="Arial" w:cs="Arial"/>
                <w:bCs/>
                <w:sz w:val="20"/>
                <w:szCs w:val="20"/>
                <w:lang w:eastAsia="en-US"/>
              </w:rPr>
              <w:t>démo</w:t>
            </w:r>
            <w:r w:rsidR="00500494" w:rsidRPr="00736E2F">
              <w:rPr>
                <w:rFonts w:ascii="Arial" w:eastAsia="Times" w:hAnsi="Arial" w:cs="Arial"/>
                <w:bCs/>
                <w:sz w:val="20"/>
                <w:szCs w:val="20"/>
                <w:lang w:eastAsia="en-US"/>
              </w:rPr>
              <w:t> »</w:t>
            </w:r>
            <w:r w:rsidRPr="00736E2F">
              <w:rPr>
                <w:rFonts w:ascii="Arial" w:eastAsia="Times" w:hAnsi="Arial" w:cs="Arial"/>
                <w:bCs/>
                <w:sz w:val="20"/>
                <w:szCs w:val="20"/>
                <w:lang w:eastAsia="en-US"/>
              </w:rPr>
              <w:t xml:space="preserve"> de la plateforme) ;</w:t>
            </w:r>
          </w:p>
        </w:tc>
      </w:tr>
      <w:tr w:rsidR="00CE7C1E" w:rsidRPr="00B71F04" w14:paraId="3472D44B" w14:textId="77777777" w:rsidTr="0021679D">
        <w:tc>
          <w:tcPr>
            <w:tcW w:w="1559" w:type="dxa"/>
          </w:tcPr>
          <w:p w14:paraId="39293C47" w14:textId="77777777" w:rsidR="00CE7C1E" w:rsidRPr="00736E2F" w:rsidRDefault="00CE7C1E" w:rsidP="00CE7C1E">
            <w:pPr>
              <w:spacing w:after="120"/>
              <w:jc w:val="both"/>
              <w:rPr>
                <w:rFonts w:ascii="Arial" w:eastAsia="Times" w:hAnsi="Arial" w:cs="Arial"/>
                <w:b/>
                <w:sz w:val="20"/>
                <w:szCs w:val="20"/>
                <w:lang w:eastAsia="en-US"/>
              </w:rPr>
            </w:pPr>
            <w:r w:rsidRPr="00736E2F">
              <w:rPr>
                <w:rFonts w:ascii="Arial" w:eastAsia="Times" w:hAnsi="Arial" w:cs="Arial"/>
                <w:b/>
                <w:sz w:val="20"/>
                <w:szCs w:val="20"/>
                <w:lang w:eastAsia="en-US"/>
              </w:rPr>
              <w:t>2026</w:t>
            </w:r>
          </w:p>
        </w:tc>
        <w:tc>
          <w:tcPr>
            <w:tcW w:w="7654" w:type="dxa"/>
          </w:tcPr>
          <w:p w14:paraId="7DFA4702" w14:textId="130259D6" w:rsidR="00CE7C1E" w:rsidRPr="00736E2F" w:rsidRDefault="00CE7C1E" w:rsidP="00CE7C1E">
            <w:pPr>
              <w:spacing w:after="120"/>
              <w:jc w:val="both"/>
              <w:rPr>
                <w:rFonts w:ascii="Arial" w:eastAsia="Times" w:hAnsi="Arial" w:cs="Arial"/>
                <w:b/>
                <w:color w:val="4F81BD" w:themeColor="accent1"/>
                <w:sz w:val="20"/>
                <w:szCs w:val="20"/>
                <w:lang w:eastAsia="en-US"/>
              </w:rPr>
            </w:pPr>
            <w:r w:rsidRPr="00736E2F">
              <w:rPr>
                <w:rFonts w:ascii="Arial" w:eastAsia="Times" w:hAnsi="Arial" w:cs="Arial"/>
                <w:b/>
                <w:color w:val="4F81BD" w:themeColor="accent1"/>
                <w:sz w:val="20"/>
                <w:szCs w:val="20"/>
                <w:lang w:eastAsia="en-US"/>
              </w:rPr>
              <w:t>Tout au long de l’</w:t>
            </w:r>
            <w:r w:rsidRPr="00736E2F">
              <w:rPr>
                <w:rFonts w:ascii="Arial" w:eastAsia="Times" w:hAnsi="Arial" w:cs="Arial"/>
                <w:b/>
                <w:bCs/>
                <w:color w:val="4F81BD" w:themeColor="accent1"/>
                <w:sz w:val="20"/>
                <w:szCs w:val="20"/>
                <w:lang w:eastAsia="en-US"/>
              </w:rPr>
              <w:t>année</w:t>
            </w:r>
          </w:p>
          <w:p w14:paraId="0583020E" w14:textId="305DD5DA" w:rsidR="00CE7C1E" w:rsidRPr="00736E2F" w:rsidRDefault="00CE7C1E" w:rsidP="00CE7C1E">
            <w:pPr>
              <w:numPr>
                <w:ilvl w:val="0"/>
                <w:numId w:val="21"/>
              </w:numPr>
              <w:spacing w:after="120"/>
              <w:jc w:val="both"/>
              <w:rPr>
                <w:rFonts w:ascii="Arial" w:eastAsia="Times" w:hAnsi="Arial" w:cs="Arial"/>
                <w:sz w:val="20"/>
                <w:szCs w:val="20"/>
                <w:lang w:eastAsia="en-US"/>
              </w:rPr>
            </w:pPr>
            <w:r w:rsidRPr="00736E2F">
              <w:rPr>
                <w:rFonts w:ascii="Arial" w:eastAsia="Times" w:hAnsi="Arial" w:cs="Arial"/>
                <w:snapToGrid w:val="0"/>
                <w:sz w:val="20"/>
                <w:szCs w:val="20"/>
                <w:lang w:eastAsia="en-US"/>
              </w:rPr>
              <w:t>Identification d</w:t>
            </w:r>
            <w:r w:rsidRPr="00736E2F">
              <w:rPr>
                <w:rFonts w:ascii="Arial" w:hAnsi="Arial" w:cs="Arial"/>
                <w:snapToGrid w:val="0"/>
                <w:sz w:val="20"/>
                <w:szCs w:val="20"/>
                <w:lang w:eastAsia="en-US"/>
              </w:rPr>
              <w:t xml:space="preserve">’un </w:t>
            </w:r>
            <w:r w:rsidRPr="00736E2F">
              <w:rPr>
                <w:rFonts w:ascii="Arial" w:eastAsia="Times" w:hAnsi="Arial" w:cs="Arial"/>
                <w:snapToGrid w:val="0"/>
                <w:sz w:val="20"/>
                <w:szCs w:val="20"/>
                <w:lang w:eastAsia="en-US"/>
              </w:rPr>
              <w:t xml:space="preserve">éventail </w:t>
            </w:r>
            <w:r w:rsidRPr="00736E2F">
              <w:rPr>
                <w:rFonts w:ascii="Arial" w:hAnsi="Arial" w:cs="Arial"/>
                <w:snapToGrid w:val="0"/>
                <w:sz w:val="20"/>
                <w:szCs w:val="20"/>
                <w:lang w:eastAsia="en-US"/>
              </w:rPr>
              <w:t xml:space="preserve">plus large </w:t>
            </w:r>
            <w:r w:rsidRPr="00736E2F">
              <w:rPr>
                <w:rFonts w:ascii="Arial" w:eastAsia="Times" w:hAnsi="Arial" w:cs="Arial"/>
                <w:snapToGrid w:val="0"/>
                <w:sz w:val="20"/>
                <w:szCs w:val="20"/>
                <w:lang w:eastAsia="en-US"/>
              </w:rPr>
              <w:t xml:space="preserve">d’expériences de sauvegarde, avec le soutien du groupe consultatif </w:t>
            </w:r>
            <w:r w:rsidRPr="00736E2F">
              <w:rPr>
                <w:rFonts w:ascii="Arial" w:eastAsia="Times" w:hAnsi="Arial" w:cs="Arial"/>
                <w:sz w:val="20"/>
                <w:szCs w:val="20"/>
                <w:lang w:eastAsia="en-US"/>
              </w:rPr>
              <w:t>;</w:t>
            </w:r>
          </w:p>
          <w:p w14:paraId="0DF27CF9" w14:textId="2D246564" w:rsidR="00CE7C1E" w:rsidRPr="00736E2F" w:rsidRDefault="00CE7C1E" w:rsidP="00CE7C1E">
            <w:pPr>
              <w:numPr>
                <w:ilvl w:val="0"/>
                <w:numId w:val="21"/>
              </w:numPr>
              <w:spacing w:after="120"/>
              <w:jc w:val="both"/>
              <w:rPr>
                <w:rFonts w:ascii="Arial" w:eastAsia="Times" w:hAnsi="Arial" w:cs="Arial"/>
                <w:sz w:val="20"/>
                <w:szCs w:val="20"/>
                <w:lang w:eastAsia="en-US"/>
              </w:rPr>
            </w:pPr>
            <w:r w:rsidRPr="00736E2F">
              <w:rPr>
                <w:rFonts w:ascii="Arial" w:eastAsia="Times" w:hAnsi="Arial" w:cs="Arial"/>
                <w:snapToGrid w:val="0"/>
                <w:sz w:val="20"/>
                <w:szCs w:val="20"/>
                <w:lang w:eastAsia="en-US"/>
              </w:rPr>
              <w:t>Développement de matériel et campagne de sensibilisation pour promouvoir l’utilisation de la plateforme ;</w:t>
            </w:r>
          </w:p>
          <w:p w14:paraId="2AB1248A" w14:textId="7C943BF5" w:rsidR="00CE7C1E" w:rsidRPr="00736E2F" w:rsidRDefault="00CE7C1E" w:rsidP="00CE7C1E">
            <w:pPr>
              <w:spacing w:after="120"/>
              <w:jc w:val="both"/>
              <w:rPr>
                <w:rFonts w:ascii="Arial" w:eastAsia="Times" w:hAnsi="Arial" w:cs="Arial"/>
                <w:b/>
                <w:bCs/>
                <w:color w:val="4F81BD" w:themeColor="accent1"/>
                <w:sz w:val="20"/>
                <w:szCs w:val="20"/>
                <w:lang w:eastAsia="en-US"/>
              </w:rPr>
            </w:pPr>
            <w:r w:rsidRPr="00736E2F">
              <w:rPr>
                <w:rFonts w:ascii="Arial" w:eastAsia="Times" w:hAnsi="Arial" w:cs="Arial"/>
                <w:b/>
                <w:bCs/>
                <w:color w:val="4F81BD" w:themeColor="accent1"/>
                <w:sz w:val="20"/>
                <w:szCs w:val="20"/>
                <w:lang w:eastAsia="en-US"/>
              </w:rPr>
              <w:t>Onzième session de l’Assemblée générale (mi-2026)</w:t>
            </w:r>
          </w:p>
          <w:p w14:paraId="68D391EE" w14:textId="599B8B1B" w:rsidR="00CE7C1E" w:rsidRPr="00736E2F" w:rsidRDefault="00CE7C1E" w:rsidP="00CE7C1E">
            <w:pPr>
              <w:numPr>
                <w:ilvl w:val="0"/>
                <w:numId w:val="21"/>
              </w:numPr>
              <w:spacing w:after="120"/>
              <w:jc w:val="both"/>
              <w:rPr>
                <w:rFonts w:ascii="Arial" w:eastAsia="Times" w:hAnsi="Arial" w:cs="Arial"/>
                <w:sz w:val="20"/>
                <w:szCs w:val="20"/>
                <w:lang w:eastAsia="en-US"/>
              </w:rPr>
            </w:pPr>
            <w:r w:rsidRPr="00736E2F">
              <w:rPr>
                <w:rFonts w:ascii="Arial" w:eastAsia="Times" w:hAnsi="Arial" w:cs="Arial"/>
                <w:b/>
                <w:sz w:val="20"/>
                <w:szCs w:val="20"/>
                <w:lang w:eastAsia="en-US"/>
              </w:rPr>
              <w:t>Lancement de la plateforme en ligne pour le partage de bonnes expériences de sauvegarde ;</w:t>
            </w:r>
          </w:p>
          <w:p w14:paraId="17924276" w14:textId="77777777" w:rsidR="00CE7C1E" w:rsidRPr="00736E2F" w:rsidRDefault="00CE7C1E" w:rsidP="00CE7C1E">
            <w:pPr>
              <w:spacing w:after="120"/>
              <w:jc w:val="both"/>
              <w:rPr>
                <w:rFonts w:ascii="Arial" w:eastAsia="Times" w:hAnsi="Arial" w:cs="Arial"/>
                <w:b/>
                <w:color w:val="4F81BD" w:themeColor="accent1"/>
                <w:sz w:val="20"/>
                <w:szCs w:val="20"/>
                <w:lang w:eastAsia="en-US"/>
              </w:rPr>
            </w:pPr>
            <w:r w:rsidRPr="00736E2F">
              <w:rPr>
                <w:rFonts w:ascii="Arial" w:eastAsia="Times" w:hAnsi="Arial" w:cs="Arial"/>
                <w:b/>
                <w:color w:val="4F81BD" w:themeColor="accent1"/>
                <w:sz w:val="20"/>
                <w:szCs w:val="20"/>
                <w:lang w:eastAsia="en-US"/>
              </w:rPr>
              <w:t>Vingt</w:t>
            </w:r>
            <w:r w:rsidRPr="00736E2F">
              <w:rPr>
                <w:rFonts w:ascii="Arial" w:eastAsia="Times" w:hAnsi="Arial" w:cs="Arial"/>
                <w:b/>
                <w:bCs/>
                <w:color w:val="4F81BD" w:themeColor="accent1"/>
                <w:sz w:val="20"/>
                <w:szCs w:val="20"/>
                <w:lang w:eastAsia="en-US"/>
              </w:rPr>
              <w:t xml:space="preserve"> et unième session du Comité (novembre/décembre 2026)</w:t>
            </w:r>
          </w:p>
          <w:p w14:paraId="610C6B07" w14:textId="77777777" w:rsidR="00CE7C1E" w:rsidRPr="00736E2F" w:rsidRDefault="00CE7C1E" w:rsidP="00CE7C1E">
            <w:pPr>
              <w:numPr>
                <w:ilvl w:val="0"/>
                <w:numId w:val="21"/>
              </w:numPr>
              <w:spacing w:after="120"/>
              <w:jc w:val="both"/>
              <w:rPr>
                <w:rFonts w:ascii="Arial" w:eastAsia="Times" w:hAnsi="Arial" w:cs="Arial"/>
                <w:sz w:val="20"/>
                <w:szCs w:val="20"/>
                <w:lang w:eastAsia="en-US"/>
              </w:rPr>
            </w:pPr>
            <w:r w:rsidRPr="00736E2F">
              <w:rPr>
                <w:rFonts w:ascii="Arial" w:eastAsia="Times" w:hAnsi="Arial" w:cs="Arial"/>
                <w:sz w:val="20"/>
                <w:szCs w:val="20"/>
                <w:lang w:eastAsia="en-US"/>
              </w:rPr>
              <w:t>Examen des progrès accomplis.</w:t>
            </w:r>
          </w:p>
        </w:tc>
      </w:tr>
    </w:tbl>
    <w:p w14:paraId="3447188A" w14:textId="77777777" w:rsidR="00CE7C1E" w:rsidRPr="00B71F04" w:rsidRDefault="00CE7C1E" w:rsidP="00CE7C1E">
      <w:pPr>
        <w:autoSpaceDE w:val="0"/>
        <w:autoSpaceDN w:val="0"/>
        <w:adjustRightInd w:val="0"/>
        <w:spacing w:after="120"/>
        <w:ind w:left="1134" w:hanging="567"/>
        <w:jc w:val="both"/>
        <w:rPr>
          <w:rFonts w:ascii="Arial" w:eastAsia="SimSun" w:hAnsi="Arial" w:cs="Arial"/>
          <w:sz w:val="22"/>
          <w:szCs w:val="22"/>
        </w:rPr>
      </w:pPr>
    </w:p>
    <w:p w14:paraId="65261340" w14:textId="77777777" w:rsidR="002E2F53" w:rsidRPr="00B71F04" w:rsidRDefault="002E2F53" w:rsidP="008F5A4F">
      <w:pPr>
        <w:pStyle w:val="COMParaDecision"/>
        <w:numPr>
          <w:ilvl w:val="0"/>
          <w:numId w:val="0"/>
        </w:numPr>
        <w:jc w:val="left"/>
      </w:pPr>
    </w:p>
    <w:sectPr w:rsidR="002E2F53" w:rsidRPr="00B71F04" w:rsidSect="00655736">
      <w:headerReference w:type="even" r:id="rId33"/>
      <w:headerReference w:type="default" r:id="rId34"/>
      <w:headerReference w:type="first" r:id="rId3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9410C" w14:textId="77777777" w:rsidR="00993211" w:rsidRDefault="00993211" w:rsidP="00655736">
      <w:r>
        <w:separator/>
      </w:r>
    </w:p>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35C5C" w14:textId="2EBF06EC" w:rsidR="006B5001" w:rsidRPr="002E58D4" w:rsidRDefault="008F09EC" w:rsidP="00461168">
    <w:pPr>
      <w:pStyle w:val="En-tte"/>
      <w:rPr>
        <w:rFonts w:ascii="Arial" w:hAnsi="Arial" w:cs="Arial"/>
        <w:lang w:val="en-US"/>
      </w:rPr>
    </w:pPr>
    <w:r>
      <w:rPr>
        <w:rFonts w:ascii="Arial" w:hAnsi="Arial" w:cs="Arial"/>
        <w:sz w:val="20"/>
        <w:szCs w:val="20"/>
        <w:lang w:val="en-US"/>
      </w:rPr>
      <w:t>LHE/</w:t>
    </w:r>
    <w:r w:rsidR="00D520C1">
      <w:rPr>
        <w:rFonts w:ascii="Arial" w:hAnsi="Arial" w:cs="Arial"/>
        <w:sz w:val="20"/>
        <w:szCs w:val="20"/>
        <w:lang w:val="en-US"/>
      </w:rPr>
      <w:t>2</w:t>
    </w:r>
    <w:r w:rsidR="00247AFC">
      <w:rPr>
        <w:rFonts w:ascii="Arial" w:hAnsi="Arial" w:cs="Arial"/>
        <w:sz w:val="20"/>
        <w:szCs w:val="20"/>
        <w:lang w:val="en-US"/>
      </w:rPr>
      <w:t>4</w:t>
    </w:r>
    <w:r>
      <w:rPr>
        <w:rFonts w:ascii="Arial" w:hAnsi="Arial" w:cs="Arial"/>
        <w:sz w:val="20"/>
        <w:szCs w:val="20"/>
        <w:lang w:val="en-US"/>
      </w:rPr>
      <w:t>/1</w:t>
    </w:r>
    <w:r w:rsidR="00247AFC">
      <w:rPr>
        <w:rFonts w:ascii="Arial" w:hAnsi="Arial" w:cs="Arial"/>
        <w:sz w:val="20"/>
        <w:szCs w:val="20"/>
        <w:lang w:val="en-US"/>
      </w:rPr>
      <w:t>9</w:t>
    </w:r>
    <w:r>
      <w:rPr>
        <w:rFonts w:ascii="Arial" w:hAnsi="Arial" w:cs="Arial"/>
        <w:sz w:val="20"/>
        <w:szCs w:val="20"/>
        <w:lang w:val="en-US"/>
      </w:rPr>
      <w:t>.COM</w:t>
    </w:r>
    <w:r w:rsidR="00E9376C">
      <w:rPr>
        <w:rFonts w:ascii="Arial" w:hAnsi="Arial" w:cs="Arial"/>
        <w:sz w:val="20"/>
        <w:szCs w:val="20"/>
        <w:lang w:val="en-US"/>
      </w:rPr>
      <w:t>/</w:t>
    </w:r>
    <w:r w:rsidR="00CE7C1E">
      <w:rPr>
        <w:rFonts w:ascii="Arial" w:hAnsi="Arial" w:cs="Arial"/>
        <w:sz w:val="20"/>
        <w:szCs w:val="20"/>
        <w:lang w:val="en-US"/>
      </w:rPr>
      <w:t>10</w:t>
    </w:r>
    <w:r w:rsidR="00E9376C" w:rsidRPr="00EF563B">
      <w:rPr>
        <w:rFonts w:ascii="Arial" w:hAnsi="Arial" w:cs="Arial"/>
        <w:sz w:val="20"/>
        <w:szCs w:val="20"/>
        <w:lang w:val="en-US"/>
      </w:rPr>
      <w:t xml:space="preserve"> – page </w:t>
    </w:r>
    <w:r w:rsidR="00E9376C" w:rsidRPr="00EF563B">
      <w:rPr>
        <w:rStyle w:val="Numrodepage"/>
        <w:rFonts w:ascii="Arial" w:hAnsi="Arial" w:cs="Arial"/>
        <w:sz w:val="20"/>
        <w:szCs w:val="20"/>
      </w:rPr>
      <w:fldChar w:fldCharType="begin"/>
    </w:r>
    <w:r w:rsidR="00E9376C" w:rsidRPr="00EF563B">
      <w:rPr>
        <w:rStyle w:val="Numrodepage"/>
        <w:rFonts w:ascii="Arial" w:hAnsi="Arial" w:cs="Arial"/>
        <w:sz w:val="20"/>
        <w:szCs w:val="20"/>
        <w:lang w:val="en-US"/>
      </w:rPr>
      <w:instrText xml:space="preserve"> </w:instrText>
    </w:r>
    <w:r w:rsidR="00E9376C">
      <w:rPr>
        <w:rStyle w:val="Numrodepage"/>
        <w:rFonts w:ascii="Arial" w:hAnsi="Arial" w:cs="Arial"/>
        <w:sz w:val="20"/>
        <w:szCs w:val="20"/>
        <w:lang w:val="en-US"/>
      </w:rPr>
      <w:instrText>PAGE</w:instrText>
    </w:r>
    <w:r w:rsidR="00E9376C" w:rsidRPr="00EF563B">
      <w:rPr>
        <w:rStyle w:val="Numrodepage"/>
        <w:rFonts w:ascii="Arial" w:hAnsi="Arial" w:cs="Arial"/>
        <w:sz w:val="20"/>
        <w:szCs w:val="20"/>
        <w:lang w:val="en-US"/>
      </w:rPr>
      <w:instrText xml:space="preserve"> </w:instrText>
    </w:r>
    <w:r w:rsidR="00E9376C" w:rsidRPr="00EF563B">
      <w:rPr>
        <w:rStyle w:val="Numrodepage"/>
        <w:rFonts w:ascii="Arial" w:hAnsi="Arial" w:cs="Arial"/>
        <w:sz w:val="20"/>
        <w:szCs w:val="20"/>
      </w:rPr>
      <w:fldChar w:fldCharType="separate"/>
    </w:r>
    <w:r w:rsidR="009B223B">
      <w:rPr>
        <w:rStyle w:val="Numrodepage"/>
        <w:rFonts w:ascii="Arial" w:hAnsi="Arial" w:cs="Arial"/>
        <w:noProof/>
        <w:sz w:val="20"/>
        <w:szCs w:val="20"/>
        <w:lang w:val="en-US"/>
      </w:rPr>
      <w:t>2</w:t>
    </w:r>
    <w:r w:rsidR="00E9376C" w:rsidRPr="00EF563B">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F0CBE" w14:textId="6FA42A7E" w:rsidR="006B5001" w:rsidRPr="00BC3420" w:rsidRDefault="008F09EC" w:rsidP="00461168">
    <w:pPr>
      <w:pStyle w:val="En-tte"/>
      <w:jc w:val="right"/>
      <w:rPr>
        <w:rFonts w:ascii="Arial" w:hAnsi="Arial" w:cs="Arial"/>
        <w:lang w:val="en-US"/>
      </w:rPr>
    </w:pPr>
    <w:r>
      <w:rPr>
        <w:rFonts w:ascii="Arial" w:hAnsi="Arial" w:cs="Arial"/>
        <w:sz w:val="20"/>
        <w:szCs w:val="20"/>
        <w:lang w:val="en-US"/>
      </w:rPr>
      <w:t>LHE/</w:t>
    </w:r>
    <w:r w:rsidR="00EF74E3">
      <w:rPr>
        <w:rFonts w:ascii="Arial" w:hAnsi="Arial" w:cs="Arial"/>
        <w:sz w:val="20"/>
        <w:szCs w:val="20"/>
        <w:lang w:val="en-US"/>
      </w:rPr>
      <w:t>2</w:t>
    </w:r>
    <w:r w:rsidR="00247AFC">
      <w:rPr>
        <w:rFonts w:ascii="Arial" w:hAnsi="Arial" w:cs="Arial"/>
        <w:sz w:val="20"/>
        <w:szCs w:val="20"/>
        <w:lang w:val="en-US"/>
      </w:rPr>
      <w:t>4</w:t>
    </w:r>
    <w:r w:rsidR="00EF74E3">
      <w:rPr>
        <w:rFonts w:ascii="Arial" w:hAnsi="Arial" w:cs="Arial"/>
        <w:sz w:val="20"/>
        <w:szCs w:val="20"/>
        <w:lang w:val="en-US"/>
      </w:rPr>
      <w:t>/1</w:t>
    </w:r>
    <w:r w:rsidR="00247AFC">
      <w:rPr>
        <w:rFonts w:ascii="Arial" w:hAnsi="Arial" w:cs="Arial"/>
        <w:sz w:val="20"/>
        <w:szCs w:val="20"/>
        <w:lang w:val="en-US"/>
      </w:rPr>
      <w:t>9</w:t>
    </w:r>
    <w:r>
      <w:rPr>
        <w:rFonts w:ascii="Arial" w:hAnsi="Arial" w:cs="Arial"/>
        <w:sz w:val="20"/>
        <w:szCs w:val="20"/>
        <w:lang w:val="en-US"/>
      </w:rPr>
      <w:t>.COM</w:t>
    </w:r>
    <w:r w:rsidR="002C0D14">
      <w:rPr>
        <w:rFonts w:ascii="Arial" w:hAnsi="Arial" w:cs="Arial"/>
        <w:sz w:val="20"/>
        <w:szCs w:val="20"/>
        <w:lang w:val="en-US"/>
      </w:rPr>
      <w:t>/</w:t>
    </w:r>
    <w:r w:rsidR="00CE7C1E">
      <w:rPr>
        <w:rFonts w:ascii="Arial" w:hAnsi="Arial" w:cs="Arial"/>
        <w:sz w:val="20"/>
        <w:szCs w:val="20"/>
        <w:lang w:val="en-US"/>
      </w:rPr>
      <w:t>10</w:t>
    </w:r>
    <w:r w:rsidR="002C0D14" w:rsidRPr="00EF563B">
      <w:rPr>
        <w:rFonts w:ascii="Arial" w:hAnsi="Arial" w:cs="Arial"/>
        <w:sz w:val="20"/>
        <w:szCs w:val="20"/>
        <w:lang w:val="en-US"/>
      </w:rPr>
      <w:t xml:space="preserve"> – page </w:t>
    </w:r>
    <w:r w:rsidR="002C0D14" w:rsidRPr="00EF563B">
      <w:rPr>
        <w:rStyle w:val="Numrodepage"/>
        <w:rFonts w:ascii="Arial" w:hAnsi="Arial" w:cs="Arial"/>
        <w:sz w:val="20"/>
        <w:szCs w:val="20"/>
      </w:rPr>
      <w:fldChar w:fldCharType="begin"/>
    </w:r>
    <w:r w:rsidR="002C0D14" w:rsidRPr="00EF563B">
      <w:rPr>
        <w:rStyle w:val="Numrodepage"/>
        <w:rFonts w:ascii="Arial" w:hAnsi="Arial" w:cs="Arial"/>
        <w:sz w:val="20"/>
        <w:szCs w:val="20"/>
        <w:lang w:val="en-US"/>
      </w:rPr>
      <w:instrText xml:space="preserve"> </w:instrText>
    </w:r>
    <w:r w:rsidR="002C0D14">
      <w:rPr>
        <w:rStyle w:val="Numrodepage"/>
        <w:rFonts w:ascii="Arial" w:hAnsi="Arial" w:cs="Arial"/>
        <w:sz w:val="20"/>
        <w:szCs w:val="20"/>
        <w:lang w:val="en-US"/>
      </w:rPr>
      <w:instrText>PAGE</w:instrText>
    </w:r>
    <w:r w:rsidR="002C0D14" w:rsidRPr="00EF563B">
      <w:rPr>
        <w:rStyle w:val="Numrodepage"/>
        <w:rFonts w:ascii="Arial" w:hAnsi="Arial" w:cs="Arial"/>
        <w:sz w:val="20"/>
        <w:szCs w:val="20"/>
        <w:lang w:val="en-US"/>
      </w:rPr>
      <w:instrText xml:space="preserve"> </w:instrText>
    </w:r>
    <w:r w:rsidR="002C0D14" w:rsidRPr="00EF563B">
      <w:rPr>
        <w:rStyle w:val="Numrodepage"/>
        <w:rFonts w:ascii="Arial" w:hAnsi="Arial" w:cs="Arial"/>
        <w:sz w:val="20"/>
        <w:szCs w:val="20"/>
      </w:rPr>
      <w:fldChar w:fldCharType="separate"/>
    </w:r>
    <w:r w:rsidR="007C354B">
      <w:rPr>
        <w:rStyle w:val="Numrodepage"/>
        <w:rFonts w:ascii="Arial" w:hAnsi="Arial" w:cs="Arial"/>
        <w:noProof/>
        <w:sz w:val="20"/>
        <w:szCs w:val="20"/>
        <w:lang w:val="en-US"/>
      </w:rPr>
      <w:t>3</w:t>
    </w:r>
    <w:r w:rsidR="002C0D14" w:rsidRPr="00EF563B">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8E5A4" w14:textId="645F339E" w:rsidR="00E9376C" w:rsidRPr="008B64DF" w:rsidRDefault="00F84A0B">
    <w:pPr>
      <w:pStyle w:val="En-tte"/>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42A0A2A2">
          <wp:simplePos x="0" y="0"/>
          <wp:positionH relativeFrom="margin">
            <wp:align>left</wp:align>
          </wp:positionH>
          <wp:positionV relativeFrom="paragraph">
            <wp:posOffset>60960</wp:posOffset>
          </wp:positionV>
          <wp:extent cx="1710000" cy="1436138"/>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2BDC1962" w:rsidR="00E9376C" w:rsidRPr="00C318BF" w:rsidRDefault="00EA602C" w:rsidP="008F09EC">
    <w:pPr>
      <w:pStyle w:val="En-tte"/>
      <w:spacing w:after="520"/>
      <w:jc w:val="right"/>
      <w:rPr>
        <w:rFonts w:ascii="Arial" w:hAnsi="Arial" w:cs="Arial"/>
        <w:b/>
        <w:sz w:val="44"/>
        <w:szCs w:val="44"/>
        <w:lang w:val="pt-PT"/>
      </w:rPr>
    </w:pPr>
    <w:r w:rsidRPr="00C318BF">
      <w:rPr>
        <w:rFonts w:ascii="Arial" w:hAnsi="Arial" w:cs="Arial"/>
        <w:b/>
        <w:sz w:val="44"/>
        <w:szCs w:val="44"/>
        <w:lang w:val="pt-PT"/>
      </w:rPr>
      <w:t>1</w:t>
    </w:r>
    <w:r w:rsidR="00247AFC">
      <w:rPr>
        <w:rFonts w:ascii="Arial" w:hAnsi="Arial" w:cs="Arial"/>
        <w:b/>
        <w:sz w:val="44"/>
        <w:szCs w:val="44"/>
        <w:lang w:val="pt-PT"/>
      </w:rPr>
      <w:t>9</w:t>
    </w:r>
    <w:r w:rsidR="00E9376C" w:rsidRPr="00C318BF">
      <w:rPr>
        <w:rFonts w:ascii="Arial" w:hAnsi="Arial" w:cs="Arial"/>
        <w:b/>
        <w:sz w:val="44"/>
        <w:szCs w:val="44"/>
        <w:lang w:val="pt-PT"/>
      </w:rPr>
      <w:t xml:space="preserve"> </w:t>
    </w:r>
    <w:r w:rsidR="00BC3420" w:rsidRPr="00C318BF">
      <w:rPr>
        <w:rFonts w:ascii="Arial" w:hAnsi="Arial" w:cs="Arial"/>
        <w:b/>
        <w:sz w:val="44"/>
        <w:szCs w:val="44"/>
        <w:lang w:val="pt-PT"/>
      </w:rPr>
      <w:t>COM</w:t>
    </w:r>
  </w:p>
  <w:p w14:paraId="4AD38C3D" w14:textId="5F22D6B0"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D520C1">
      <w:rPr>
        <w:rFonts w:ascii="Arial" w:hAnsi="Arial" w:cs="Arial"/>
        <w:b/>
        <w:sz w:val="22"/>
        <w:szCs w:val="22"/>
        <w:lang w:val="pt-PT"/>
      </w:rPr>
      <w:t>2</w:t>
    </w:r>
    <w:r w:rsidR="00247AFC">
      <w:rPr>
        <w:rFonts w:ascii="Arial" w:hAnsi="Arial" w:cs="Arial"/>
        <w:b/>
        <w:sz w:val="22"/>
        <w:szCs w:val="22"/>
        <w:lang w:val="pt-PT"/>
      </w:rPr>
      <w:t>4</w:t>
    </w:r>
    <w:r w:rsidR="00E9376C" w:rsidRPr="00C318BF">
      <w:rPr>
        <w:rFonts w:ascii="Arial" w:hAnsi="Arial" w:cs="Arial"/>
        <w:b/>
        <w:sz w:val="22"/>
        <w:szCs w:val="22"/>
        <w:lang w:val="pt-PT"/>
      </w:rPr>
      <w:t>/</w:t>
    </w:r>
    <w:r w:rsidR="00EA602C" w:rsidRPr="00C318BF">
      <w:rPr>
        <w:rFonts w:ascii="Arial" w:hAnsi="Arial" w:cs="Arial"/>
        <w:b/>
        <w:sz w:val="22"/>
        <w:szCs w:val="22"/>
        <w:lang w:val="pt-PT"/>
      </w:rPr>
      <w:t>1</w:t>
    </w:r>
    <w:r w:rsidR="00247AFC">
      <w:rPr>
        <w:rFonts w:ascii="Arial" w:hAnsi="Arial" w:cs="Arial"/>
        <w:b/>
        <w:sz w:val="22"/>
        <w:szCs w:val="22"/>
        <w:lang w:val="pt-PT"/>
      </w:rPr>
      <w:t>9</w:t>
    </w:r>
    <w:r w:rsidR="00E9376C" w:rsidRPr="00C318BF">
      <w:rPr>
        <w:rFonts w:ascii="Arial" w:hAnsi="Arial" w:cs="Arial"/>
        <w:b/>
        <w:sz w:val="22"/>
        <w:szCs w:val="22"/>
        <w:lang w:val="pt-PT"/>
      </w:rPr>
      <w:t>.</w:t>
    </w:r>
    <w:r w:rsidR="00BC3420" w:rsidRPr="00C318BF">
      <w:rPr>
        <w:rFonts w:ascii="Arial" w:hAnsi="Arial" w:cs="Arial"/>
        <w:b/>
        <w:sz w:val="22"/>
        <w:szCs w:val="22"/>
        <w:lang w:val="pt-PT"/>
      </w:rPr>
      <w:t>COM</w:t>
    </w:r>
    <w:r w:rsidR="00E9376C" w:rsidRPr="00C318BF">
      <w:rPr>
        <w:rFonts w:ascii="Arial" w:hAnsi="Arial" w:cs="Arial"/>
        <w:b/>
        <w:sz w:val="22"/>
        <w:szCs w:val="22"/>
        <w:lang w:val="pt-PT"/>
      </w:rPr>
      <w:t>/</w:t>
    </w:r>
    <w:r w:rsidR="00CE7C1E">
      <w:rPr>
        <w:rFonts w:ascii="Arial" w:hAnsi="Arial" w:cs="Arial"/>
        <w:b/>
        <w:sz w:val="22"/>
        <w:szCs w:val="22"/>
        <w:lang w:val="pt-PT"/>
      </w:rPr>
      <w:t>10</w:t>
    </w:r>
  </w:p>
  <w:p w14:paraId="30B7DEB9" w14:textId="08556648" w:rsidR="00E9376C" w:rsidRPr="00C318BF" w:rsidRDefault="008F09EC" w:rsidP="007E60C6">
    <w:pPr>
      <w:jc w:val="right"/>
      <w:rPr>
        <w:rFonts w:ascii="Arial" w:eastAsiaTheme="minorEastAsia" w:hAnsi="Arial" w:cs="Arial"/>
        <w:b/>
        <w:sz w:val="22"/>
        <w:szCs w:val="22"/>
        <w:lang w:val="pt-PT" w:eastAsia="ko-KR"/>
      </w:rPr>
    </w:pPr>
    <w:r w:rsidRPr="00CE7C1E">
      <w:rPr>
        <w:rFonts w:ascii="Arial" w:hAnsi="Arial" w:cs="Arial"/>
        <w:b/>
        <w:sz w:val="22"/>
        <w:szCs w:val="22"/>
        <w:lang w:val="pt-PT"/>
      </w:rPr>
      <w:t>Paris</w:t>
    </w:r>
    <w:r w:rsidR="00E9376C" w:rsidRPr="00CE7C1E">
      <w:rPr>
        <w:rFonts w:ascii="Arial" w:hAnsi="Arial" w:cs="Arial"/>
        <w:b/>
        <w:sz w:val="22"/>
        <w:szCs w:val="22"/>
        <w:lang w:val="pt-PT"/>
      </w:rPr>
      <w:t xml:space="preserve">, </w:t>
    </w:r>
    <w:r w:rsidR="00962119" w:rsidRPr="00CE7C1E">
      <w:rPr>
        <w:rFonts w:ascii="Arial" w:hAnsi="Arial" w:cs="Arial"/>
        <w:b/>
        <w:sz w:val="22"/>
        <w:szCs w:val="22"/>
        <w:lang w:val="pt-PT"/>
      </w:rPr>
      <w:t xml:space="preserve">le </w:t>
    </w:r>
    <w:r w:rsidR="00CE7C1E" w:rsidRPr="00CE7C1E">
      <w:rPr>
        <w:rFonts w:ascii="Arial" w:hAnsi="Arial" w:cs="Arial"/>
        <w:b/>
        <w:sz w:val="22"/>
        <w:szCs w:val="22"/>
        <w:lang w:val="pt-PT"/>
      </w:rPr>
      <w:t>4 novembre</w:t>
    </w:r>
    <w:r w:rsidR="0057439C" w:rsidRPr="00CE7C1E">
      <w:rPr>
        <w:rFonts w:ascii="Arial" w:hAnsi="Arial" w:cs="Arial"/>
        <w:b/>
        <w:sz w:val="22"/>
        <w:szCs w:val="22"/>
        <w:lang w:val="pt-PT"/>
      </w:rPr>
      <w:t xml:space="preserve"> </w:t>
    </w:r>
    <w:r w:rsidR="00495C25" w:rsidRPr="00CE7C1E">
      <w:rPr>
        <w:rFonts w:ascii="Arial" w:hAnsi="Arial" w:cs="Arial"/>
        <w:b/>
        <w:sz w:val="22"/>
        <w:szCs w:val="22"/>
        <w:lang w:val="pt-PT"/>
      </w:rPr>
      <w:t>20</w:t>
    </w:r>
    <w:r w:rsidR="00D520C1" w:rsidRPr="00CE7C1E">
      <w:rPr>
        <w:rFonts w:ascii="Arial" w:hAnsi="Arial" w:cs="Arial"/>
        <w:b/>
        <w:sz w:val="22"/>
        <w:szCs w:val="22"/>
        <w:lang w:val="pt-PT"/>
      </w:rPr>
      <w:t>2</w:t>
    </w:r>
    <w:r w:rsidR="00247AFC" w:rsidRPr="00CE7C1E">
      <w:rPr>
        <w:rFonts w:ascii="Arial" w:hAnsi="Arial" w:cs="Arial"/>
        <w:b/>
        <w:sz w:val="22"/>
        <w:szCs w:val="22"/>
        <w:lang w:val="pt-PT"/>
      </w:rPr>
      <w:t>4</w:t>
    </w:r>
  </w:p>
  <w:p w14:paraId="18E81B87" w14:textId="5DC57AC5"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 xml:space="preserve">: </w:t>
    </w:r>
    <w:r w:rsidR="00CE7C1E">
      <w:rPr>
        <w:rFonts w:ascii="Arial" w:hAnsi="Arial" w:cs="Arial"/>
        <w:b/>
        <w:sz w:val="22"/>
        <w:szCs w:val="22"/>
      </w:rPr>
      <w:t>anglais</w:t>
    </w:r>
  </w:p>
  <w:p w14:paraId="1B74C5FD" w14:textId="77777777" w:rsidR="00E9376C" w:rsidRPr="008B64DF" w:rsidRDefault="00E9376C">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F5EB7"/>
    <w:multiLevelType w:val="hybridMultilevel"/>
    <w:tmpl w:val="B720C902"/>
    <w:lvl w:ilvl="0" w:tplc="91D2C300">
      <w:start w:val="1"/>
      <w:numFmt w:val="lowerLetter"/>
      <w:lvlText w:val="%1)"/>
      <w:lvlJc w:val="left"/>
      <w:pPr>
        <w:ind w:left="1440" w:hanging="360"/>
      </w:pPr>
      <w:rPr>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F55C5"/>
    <w:multiLevelType w:val="hybridMultilevel"/>
    <w:tmpl w:val="6B9CAC12"/>
    <w:lvl w:ilvl="0" w:tplc="9AFC364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344E47B5"/>
    <w:multiLevelType w:val="hybridMultilevel"/>
    <w:tmpl w:val="68FE4832"/>
    <w:lvl w:ilvl="0" w:tplc="1BC24516">
      <w:start w:val="1"/>
      <w:numFmt w:val="upperRoman"/>
      <w:pStyle w:val="Titre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F07BFE"/>
    <w:multiLevelType w:val="hybridMultilevel"/>
    <w:tmpl w:val="1A1C2972"/>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464FFC"/>
    <w:multiLevelType w:val="hybridMultilevel"/>
    <w:tmpl w:val="8FA2D8B6"/>
    <w:lvl w:ilvl="0" w:tplc="7CD8DD8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D85751"/>
    <w:multiLevelType w:val="hybridMultilevel"/>
    <w:tmpl w:val="0ABE746E"/>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3AA7921"/>
    <w:multiLevelType w:val="hybridMultilevel"/>
    <w:tmpl w:val="623050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524A62"/>
    <w:multiLevelType w:val="hybridMultilevel"/>
    <w:tmpl w:val="7F86943A"/>
    <w:lvl w:ilvl="0" w:tplc="8A66E040">
      <w:start w:val="1"/>
      <w:numFmt w:val="upperLetter"/>
      <w:lvlText w:val="%1."/>
      <w:lvlJc w:val="left"/>
      <w:pPr>
        <w:ind w:left="927" w:hanging="360"/>
      </w:pPr>
      <w:rPr>
        <w:rFonts w:hint="default"/>
        <w:b/>
        <w:u w:val="none"/>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8"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9" w15:restartNumberingAfterBreak="0">
    <w:nsid w:val="619D7EC7"/>
    <w:multiLevelType w:val="hybridMultilevel"/>
    <w:tmpl w:val="B720C902"/>
    <w:lvl w:ilvl="0" w:tplc="FFFFFFFF">
      <w:start w:val="1"/>
      <w:numFmt w:val="lowerLetter"/>
      <w:lvlText w:val="%1)"/>
      <w:lvlJc w:val="left"/>
      <w:pPr>
        <w:ind w:left="1069" w:hanging="360"/>
      </w:pPr>
      <w:rPr>
        <w:lang w:val="en-US"/>
      </w:rPr>
    </w:lvl>
    <w:lvl w:ilvl="1" w:tplc="FFFFFFFF">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701643F"/>
    <w:multiLevelType w:val="hybridMultilevel"/>
    <w:tmpl w:val="1BB8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6332148">
    <w:abstractNumId w:val="18"/>
  </w:num>
  <w:num w:numId="2" w16cid:durableId="853350057">
    <w:abstractNumId w:val="9"/>
  </w:num>
  <w:num w:numId="3" w16cid:durableId="1589851626">
    <w:abstractNumId w:val="3"/>
  </w:num>
  <w:num w:numId="4" w16cid:durableId="1870560250">
    <w:abstractNumId w:val="23"/>
  </w:num>
  <w:num w:numId="5" w16cid:durableId="1596859225">
    <w:abstractNumId w:val="20"/>
  </w:num>
  <w:num w:numId="6" w16cid:durableId="2080975943">
    <w:abstractNumId w:val="2"/>
  </w:num>
  <w:num w:numId="7" w16cid:durableId="1851137970">
    <w:abstractNumId w:val="4"/>
  </w:num>
  <w:num w:numId="8" w16cid:durableId="1715739635">
    <w:abstractNumId w:val="13"/>
  </w:num>
  <w:num w:numId="9" w16cid:durableId="1954705027">
    <w:abstractNumId w:val="8"/>
  </w:num>
  <w:num w:numId="10" w16cid:durableId="1949507549">
    <w:abstractNumId w:val="10"/>
  </w:num>
  <w:num w:numId="11" w16cid:durableId="671029231">
    <w:abstractNumId w:val="7"/>
  </w:num>
  <w:num w:numId="12" w16cid:durableId="1165126896">
    <w:abstractNumId w:val="6"/>
  </w:num>
  <w:num w:numId="13" w16cid:durableId="90053317">
    <w:abstractNumId w:val="16"/>
  </w:num>
  <w:num w:numId="14" w16cid:durableId="1645357661">
    <w:abstractNumId w:val="5"/>
  </w:num>
  <w:num w:numId="15" w16cid:durableId="797996451">
    <w:abstractNumId w:val="22"/>
  </w:num>
  <w:num w:numId="16" w16cid:durableId="164127508">
    <w:abstractNumId w:val="14"/>
  </w:num>
  <w:num w:numId="17" w16cid:durableId="1405369454">
    <w:abstractNumId w:val="10"/>
    <w:lvlOverride w:ilvl="0">
      <w:startOverride w:val="1"/>
    </w:lvlOverride>
  </w:num>
  <w:num w:numId="18" w16cid:durableId="918949064">
    <w:abstractNumId w:val="21"/>
  </w:num>
  <w:num w:numId="19" w16cid:durableId="1916747193">
    <w:abstractNumId w:val="11"/>
  </w:num>
  <w:num w:numId="20" w16cid:durableId="898134036">
    <w:abstractNumId w:val="0"/>
  </w:num>
  <w:num w:numId="21" w16cid:durableId="359161391">
    <w:abstractNumId w:val="1"/>
  </w:num>
  <w:num w:numId="22" w16cid:durableId="1744645650">
    <w:abstractNumId w:val="19"/>
  </w:num>
  <w:num w:numId="23" w16cid:durableId="1317224793">
    <w:abstractNumId w:val="12"/>
  </w:num>
  <w:num w:numId="24" w16cid:durableId="453986964">
    <w:abstractNumId w:val="17"/>
  </w:num>
  <w:num w:numId="25" w16cid:durableId="1781949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63BA"/>
    <w:rsid w:val="0003530D"/>
    <w:rsid w:val="0005176E"/>
    <w:rsid w:val="000573DC"/>
    <w:rsid w:val="00061CCF"/>
    <w:rsid w:val="000716F1"/>
    <w:rsid w:val="00077AB7"/>
    <w:rsid w:val="00081CD8"/>
    <w:rsid w:val="0008329C"/>
    <w:rsid w:val="00084F78"/>
    <w:rsid w:val="000A7F0E"/>
    <w:rsid w:val="000C11F1"/>
    <w:rsid w:val="000C25A8"/>
    <w:rsid w:val="000E6CD7"/>
    <w:rsid w:val="000F3A3F"/>
    <w:rsid w:val="00114C01"/>
    <w:rsid w:val="00164D56"/>
    <w:rsid w:val="00165170"/>
    <w:rsid w:val="00167B10"/>
    <w:rsid w:val="00171986"/>
    <w:rsid w:val="0019264E"/>
    <w:rsid w:val="00196C1B"/>
    <w:rsid w:val="001A766C"/>
    <w:rsid w:val="001B0F73"/>
    <w:rsid w:val="001B28AF"/>
    <w:rsid w:val="001B5C7D"/>
    <w:rsid w:val="001B7905"/>
    <w:rsid w:val="001D2E65"/>
    <w:rsid w:val="0020150F"/>
    <w:rsid w:val="00222A2D"/>
    <w:rsid w:val="002407AF"/>
    <w:rsid w:val="00247AFC"/>
    <w:rsid w:val="00280D62"/>
    <w:rsid w:val="002A6C11"/>
    <w:rsid w:val="002A6F73"/>
    <w:rsid w:val="002C0D14"/>
    <w:rsid w:val="002D4E0F"/>
    <w:rsid w:val="002E2F53"/>
    <w:rsid w:val="002E3D25"/>
    <w:rsid w:val="002E58D4"/>
    <w:rsid w:val="0032583C"/>
    <w:rsid w:val="003732E4"/>
    <w:rsid w:val="003845BE"/>
    <w:rsid w:val="00397A4D"/>
    <w:rsid w:val="003C1678"/>
    <w:rsid w:val="003D069C"/>
    <w:rsid w:val="003E07D8"/>
    <w:rsid w:val="003E2A08"/>
    <w:rsid w:val="003F113A"/>
    <w:rsid w:val="00414B12"/>
    <w:rsid w:val="004239C7"/>
    <w:rsid w:val="00440F9B"/>
    <w:rsid w:val="004417A7"/>
    <w:rsid w:val="004421E5"/>
    <w:rsid w:val="0044231E"/>
    <w:rsid w:val="00443880"/>
    <w:rsid w:val="00452284"/>
    <w:rsid w:val="00453FEA"/>
    <w:rsid w:val="00461168"/>
    <w:rsid w:val="00467FBE"/>
    <w:rsid w:val="004830AB"/>
    <w:rsid w:val="00486429"/>
    <w:rsid w:val="00486948"/>
    <w:rsid w:val="00495C25"/>
    <w:rsid w:val="0049705E"/>
    <w:rsid w:val="00497BAB"/>
    <w:rsid w:val="004B5568"/>
    <w:rsid w:val="00500494"/>
    <w:rsid w:val="005158FF"/>
    <w:rsid w:val="00526B7B"/>
    <w:rsid w:val="005308CE"/>
    <w:rsid w:val="00541C4E"/>
    <w:rsid w:val="00545CD2"/>
    <w:rsid w:val="00560B9C"/>
    <w:rsid w:val="005678AF"/>
    <w:rsid w:val="0057439C"/>
    <w:rsid w:val="00595810"/>
    <w:rsid w:val="005B0127"/>
    <w:rsid w:val="005C094D"/>
    <w:rsid w:val="005C4B73"/>
    <w:rsid w:val="00600D93"/>
    <w:rsid w:val="006042C6"/>
    <w:rsid w:val="00605EC1"/>
    <w:rsid w:val="00616C7B"/>
    <w:rsid w:val="00627C5C"/>
    <w:rsid w:val="00655736"/>
    <w:rsid w:val="00663B8D"/>
    <w:rsid w:val="006923BD"/>
    <w:rsid w:val="00696C8D"/>
    <w:rsid w:val="006A2AC2"/>
    <w:rsid w:val="006A3617"/>
    <w:rsid w:val="006B2E58"/>
    <w:rsid w:val="006B5001"/>
    <w:rsid w:val="006D21D9"/>
    <w:rsid w:val="006D2536"/>
    <w:rsid w:val="006E46E4"/>
    <w:rsid w:val="006F444F"/>
    <w:rsid w:val="006F6D63"/>
    <w:rsid w:val="007108A6"/>
    <w:rsid w:val="00717AAB"/>
    <w:rsid w:val="00717DBD"/>
    <w:rsid w:val="00736E2F"/>
    <w:rsid w:val="00741016"/>
    <w:rsid w:val="00752582"/>
    <w:rsid w:val="00764CF9"/>
    <w:rsid w:val="007679AA"/>
    <w:rsid w:val="00784B8C"/>
    <w:rsid w:val="007A000F"/>
    <w:rsid w:val="007C354B"/>
    <w:rsid w:val="007C64F1"/>
    <w:rsid w:val="007E071E"/>
    <w:rsid w:val="007E42EA"/>
    <w:rsid w:val="007E60C6"/>
    <w:rsid w:val="008064F0"/>
    <w:rsid w:val="00823A11"/>
    <w:rsid w:val="00824EF7"/>
    <w:rsid w:val="00850505"/>
    <w:rsid w:val="0085414A"/>
    <w:rsid w:val="0086269D"/>
    <w:rsid w:val="00863302"/>
    <w:rsid w:val="008712A2"/>
    <w:rsid w:val="00871C8F"/>
    <w:rsid w:val="008724E5"/>
    <w:rsid w:val="00884A9D"/>
    <w:rsid w:val="008A2140"/>
    <w:rsid w:val="008A4E1E"/>
    <w:rsid w:val="008B05F3"/>
    <w:rsid w:val="008B64DF"/>
    <w:rsid w:val="008C0E44"/>
    <w:rsid w:val="008C296C"/>
    <w:rsid w:val="008D4305"/>
    <w:rsid w:val="008D4D0D"/>
    <w:rsid w:val="008F09EC"/>
    <w:rsid w:val="008F0E3D"/>
    <w:rsid w:val="008F5A4F"/>
    <w:rsid w:val="00913D86"/>
    <w:rsid w:val="00914098"/>
    <w:rsid w:val="009163A7"/>
    <w:rsid w:val="00922E3E"/>
    <w:rsid w:val="00933C6B"/>
    <w:rsid w:val="00941037"/>
    <w:rsid w:val="00950F68"/>
    <w:rsid w:val="00952C94"/>
    <w:rsid w:val="00962119"/>
    <w:rsid w:val="00974249"/>
    <w:rsid w:val="00993211"/>
    <w:rsid w:val="009A18CD"/>
    <w:rsid w:val="009B223B"/>
    <w:rsid w:val="009B5302"/>
    <w:rsid w:val="009E1B50"/>
    <w:rsid w:val="00A12558"/>
    <w:rsid w:val="00A13903"/>
    <w:rsid w:val="00A22951"/>
    <w:rsid w:val="00A34ED5"/>
    <w:rsid w:val="00A45DBF"/>
    <w:rsid w:val="00A61C6E"/>
    <w:rsid w:val="00A755A2"/>
    <w:rsid w:val="00A86606"/>
    <w:rsid w:val="00A90761"/>
    <w:rsid w:val="00A95A6B"/>
    <w:rsid w:val="00AB2C36"/>
    <w:rsid w:val="00AC35FB"/>
    <w:rsid w:val="00AD1A86"/>
    <w:rsid w:val="00AE103E"/>
    <w:rsid w:val="00AE3322"/>
    <w:rsid w:val="00AF0A07"/>
    <w:rsid w:val="00AF5AE5"/>
    <w:rsid w:val="00AF625E"/>
    <w:rsid w:val="00AF721B"/>
    <w:rsid w:val="00B152B1"/>
    <w:rsid w:val="00B43974"/>
    <w:rsid w:val="00B45750"/>
    <w:rsid w:val="00B52A11"/>
    <w:rsid w:val="00B675B6"/>
    <w:rsid w:val="00B71F04"/>
    <w:rsid w:val="00B90701"/>
    <w:rsid w:val="00B907C4"/>
    <w:rsid w:val="00BC3420"/>
    <w:rsid w:val="00BD52C9"/>
    <w:rsid w:val="00BE6354"/>
    <w:rsid w:val="00C06C42"/>
    <w:rsid w:val="00C318BF"/>
    <w:rsid w:val="00C358C4"/>
    <w:rsid w:val="00C377F5"/>
    <w:rsid w:val="00C6524A"/>
    <w:rsid w:val="00C70EA7"/>
    <w:rsid w:val="00C7516E"/>
    <w:rsid w:val="00C802E9"/>
    <w:rsid w:val="00CD0D5A"/>
    <w:rsid w:val="00CE7C1E"/>
    <w:rsid w:val="00D02465"/>
    <w:rsid w:val="00D02494"/>
    <w:rsid w:val="00D24877"/>
    <w:rsid w:val="00D520C1"/>
    <w:rsid w:val="00D5368D"/>
    <w:rsid w:val="00D75D42"/>
    <w:rsid w:val="00D85B58"/>
    <w:rsid w:val="00DA36ED"/>
    <w:rsid w:val="00DB4A84"/>
    <w:rsid w:val="00DC0F3C"/>
    <w:rsid w:val="00DE34F1"/>
    <w:rsid w:val="00DF3BED"/>
    <w:rsid w:val="00DF4942"/>
    <w:rsid w:val="00E22288"/>
    <w:rsid w:val="00E32FA7"/>
    <w:rsid w:val="00E421CD"/>
    <w:rsid w:val="00E47AD3"/>
    <w:rsid w:val="00E60B9D"/>
    <w:rsid w:val="00E627B1"/>
    <w:rsid w:val="00E62B4C"/>
    <w:rsid w:val="00E81851"/>
    <w:rsid w:val="00E9376C"/>
    <w:rsid w:val="00EA053F"/>
    <w:rsid w:val="00EA602C"/>
    <w:rsid w:val="00EB3E31"/>
    <w:rsid w:val="00ED3691"/>
    <w:rsid w:val="00EF344C"/>
    <w:rsid w:val="00EF74E3"/>
    <w:rsid w:val="00F0202B"/>
    <w:rsid w:val="00F058AA"/>
    <w:rsid w:val="00F10CC1"/>
    <w:rsid w:val="00F134B7"/>
    <w:rsid w:val="00F279C0"/>
    <w:rsid w:val="00F30E9A"/>
    <w:rsid w:val="00F37C65"/>
    <w:rsid w:val="00F4581D"/>
    <w:rsid w:val="00F576CB"/>
    <w:rsid w:val="00F62542"/>
    <w:rsid w:val="00F84A0B"/>
    <w:rsid w:val="00FC2940"/>
    <w:rsid w:val="00FC4715"/>
    <w:rsid w:val="00FD1226"/>
    <w:rsid w:val="00FE3464"/>
    <w:rsid w:val="00FF429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Sansinterligne">
    <w:name w:val="No Spacing"/>
    <w:uiPriority w:val="1"/>
    <w:qFormat/>
    <w:rsid w:val="00BC3420"/>
    <w:rPr>
      <w:rFonts w:ascii="Times New Roman" w:eastAsia="Times New Roman" w:hAnsi="Times New Roman"/>
      <w:sz w:val="24"/>
      <w:szCs w:val="24"/>
    </w:rPr>
  </w:style>
  <w:style w:type="table" w:customStyle="1" w:styleId="TableGrid1">
    <w:name w:val="Table Grid1"/>
    <w:basedOn w:val="TableauNormal"/>
    <w:next w:val="Grilledutableau"/>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Paragraphedeliste">
    <w:name w:val="List Paragraph"/>
    <w:basedOn w:val="Normal"/>
    <w:uiPriority w:val="34"/>
    <w:rsid w:val="005158FF"/>
    <w:pPr>
      <w:ind w:left="720"/>
      <w:contextualSpacing/>
    </w:pPr>
  </w:style>
  <w:style w:type="character" w:styleId="Lienhypertexte">
    <w:name w:val="Hyperlink"/>
    <w:basedOn w:val="Policepardfaut"/>
    <w:uiPriority w:val="99"/>
    <w:unhideWhenUsed/>
    <w:rsid w:val="009B5302"/>
    <w:rPr>
      <w:color w:val="0000FF" w:themeColor="hyperlink"/>
      <w:u w:val="single"/>
    </w:rPr>
  </w:style>
  <w:style w:type="paragraph" w:styleId="Notedebasdepage">
    <w:name w:val="footnote text"/>
    <w:basedOn w:val="Normal"/>
    <w:link w:val="NotedebasdepageCar"/>
    <w:uiPriority w:val="99"/>
    <w:semiHidden/>
    <w:unhideWhenUsed/>
    <w:rsid w:val="008F5A4F"/>
    <w:rPr>
      <w:sz w:val="20"/>
      <w:szCs w:val="20"/>
    </w:rPr>
  </w:style>
  <w:style w:type="character" w:customStyle="1" w:styleId="NotedebasdepageCar">
    <w:name w:val="Note de bas de page Car"/>
    <w:basedOn w:val="Policepardfaut"/>
    <w:link w:val="Notedebasdepage"/>
    <w:uiPriority w:val="99"/>
    <w:semiHidden/>
    <w:rsid w:val="008F5A4F"/>
    <w:rPr>
      <w:rFonts w:ascii="Times New Roman" w:eastAsia="Times New Roman" w:hAnsi="Times New Roman"/>
    </w:rPr>
  </w:style>
  <w:style w:type="character" w:styleId="Appelnotedebasdep">
    <w:name w:val="footnote reference"/>
    <w:basedOn w:val="Policepardfaut"/>
    <w:uiPriority w:val="99"/>
    <w:semiHidden/>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vision">
    <w:name w:val="Revision"/>
    <w:hidden/>
    <w:uiPriority w:val="99"/>
    <w:semiHidden/>
    <w:rsid w:val="00F62542"/>
    <w:rPr>
      <w:rFonts w:ascii="Times New Roman" w:eastAsia="Times New Roman" w:hAnsi="Times New Roman"/>
      <w:sz w:val="24"/>
      <w:szCs w:val="24"/>
    </w:rPr>
  </w:style>
  <w:style w:type="character" w:styleId="Mentionnonrsolue">
    <w:name w:val="Unresolved Mention"/>
    <w:basedOn w:val="Policepardfaut"/>
    <w:uiPriority w:val="99"/>
    <w:semiHidden/>
    <w:unhideWhenUsed/>
    <w:rsid w:val="006F6D63"/>
    <w:rPr>
      <w:color w:val="605E5C"/>
      <w:shd w:val="clear" w:color="auto" w:fill="E1DFDD"/>
    </w:rPr>
  </w:style>
  <w:style w:type="character" w:styleId="Lienhypertextesuivivisit">
    <w:name w:val="FollowedHyperlink"/>
    <w:basedOn w:val="Policepardfaut"/>
    <w:uiPriority w:val="99"/>
    <w:semiHidden/>
    <w:unhideWhenUsed/>
    <w:rsid w:val="004830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6.COM/14" TargetMode="External"/><Relationship Id="rId13" Type="http://schemas.openxmlformats.org/officeDocument/2006/relationships/hyperlink" Target="https://ich.unesco.org/fr/resources-education" TargetMode="External"/><Relationship Id="rId18" Type="http://schemas.openxmlformats.org/officeDocument/2006/relationships/hyperlink" Target="https://ich.unesco.org/doc/src/LHE-24-19.COM-15_FR.docx" TargetMode="External"/><Relationship Id="rId26" Type="http://schemas.openxmlformats.org/officeDocument/2006/relationships/hyperlink" Target="https://www.unesco.org/ethics-ai/en" TargetMode="External"/><Relationship Id="rId3" Type="http://schemas.openxmlformats.org/officeDocument/2006/relationships/styles" Target="styles.xml"/><Relationship Id="rId21" Type="http://schemas.openxmlformats.org/officeDocument/2006/relationships/hyperlink" Target="https://ich.unesco.org/fr/Decisions/17.COM/10"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ch.unesco.org/fr/ong-accreditees" TargetMode="External"/><Relationship Id="rId17" Type="http://schemas.openxmlformats.org/officeDocument/2006/relationships/hyperlink" Target="https://ich.unesco.org/fr/Resolutions/10.GA/8" TargetMode="External"/><Relationship Id="rId25" Type="http://schemas.openxmlformats.org/officeDocument/2006/relationships/hyperlink" Target="https://www.gcedclearinghouse.org/front?language=fr"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h.unesco.org/fr/decisions/18.COM/14" TargetMode="External"/><Relationship Id="rId20" Type="http://schemas.openxmlformats.org/officeDocument/2006/relationships/hyperlink" Target="https://ich.unesco.org/fr/Resolutions/10.GA/8" TargetMode="External"/><Relationship Id="rId29" Type="http://schemas.openxmlformats.org/officeDocument/2006/relationships/hyperlink" Target="https://ich.unesco.org/fr/resources-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8.COM/11" TargetMode="External"/><Relationship Id="rId24" Type="http://schemas.openxmlformats.org/officeDocument/2006/relationships/hyperlink" Target="https://www.unesco.org/interculturaldialogue/" TargetMode="External"/><Relationship Id="rId32" Type="http://schemas.openxmlformats.org/officeDocument/2006/relationships/hyperlink" Target="https://safeguardingpractices.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fr/decisions/18.COM/11" TargetMode="External"/><Relationship Id="rId23" Type="http://schemas.openxmlformats.org/officeDocument/2006/relationships/hyperlink" Target="https://ich.unesco.org/fr/decisions/18.COM/14" TargetMode="External"/><Relationship Id="rId28" Type="http://schemas.openxmlformats.org/officeDocument/2006/relationships/hyperlink" Target="https://www.unesco.org/fr/underwater-heritage/best-practices" TargetMode="External"/><Relationship Id="rId36" Type="http://schemas.openxmlformats.org/officeDocument/2006/relationships/fontTable" Target="fontTable.xml"/><Relationship Id="rId10" Type="http://schemas.openxmlformats.org/officeDocument/2006/relationships/hyperlink" Target="https://ich.unesco.org/fr/decisions/10.GA/7" TargetMode="External"/><Relationship Id="rId19" Type="http://schemas.openxmlformats.org/officeDocument/2006/relationships/hyperlink" Target="https://ich.unesco.org/fr/decisions/10.GA/7" TargetMode="External"/><Relationship Id="rId31" Type="http://schemas.openxmlformats.org/officeDocument/2006/relationships/hyperlink" Target="https://inrc.iphan.gov.br/" TargetMode="External"/><Relationship Id="rId4" Type="http://schemas.openxmlformats.org/officeDocument/2006/relationships/settings" Target="settings.xml"/><Relationship Id="rId9" Type="http://schemas.openxmlformats.org/officeDocument/2006/relationships/hyperlink" Target="https://ich.unesco.org/fr/decisions/18.COM/11" TargetMode="External"/><Relationship Id="rId14" Type="http://schemas.openxmlformats.org/officeDocument/2006/relationships/hyperlink" Target="https://ich.unesco.org/fr/ethique-et-pci-00866" TargetMode="External"/><Relationship Id="rId22" Type="http://schemas.openxmlformats.org/officeDocument/2006/relationships/hyperlink" Target="https://ich.unesco.org/fr/decisions/18.COM/11" TargetMode="External"/><Relationship Id="rId27" Type="http://schemas.openxmlformats.org/officeDocument/2006/relationships/hyperlink" Target="https://whc.unesco.org/fr/recognition-of-best-practices/" TargetMode="External"/><Relationship Id="rId30" Type="http://schemas.openxmlformats.org/officeDocument/2006/relationships/hyperlink" Target="https://ich.unesco.org/fr/platform-on-living-heritage-experiences-and-covid-19-01123" TargetMode="External"/><Relationship Id="rId35"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document_FR.dotx</Template>
  <TotalTime>185</TotalTime>
  <Pages>7</Pages>
  <Words>3603</Words>
  <Characters>19822</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Ohinata, Fumiko</cp:lastModifiedBy>
  <cp:revision>13</cp:revision>
  <cp:lastPrinted>2011-08-06T10:22:00Z</cp:lastPrinted>
  <dcterms:created xsi:type="dcterms:W3CDTF">2024-11-03T10:16:00Z</dcterms:created>
  <dcterms:modified xsi:type="dcterms:W3CDTF">2024-11-04T20:54:00Z</dcterms:modified>
</cp:coreProperties>
</file>