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1D025" w14:textId="77777777" w:rsidR="00BC3420" w:rsidRPr="00A61C6E" w:rsidRDefault="00BC3420" w:rsidP="00A972FE">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3C73EFB5" w:rsidR="00BC3420" w:rsidRPr="00A61C6E" w:rsidRDefault="00886994" w:rsidP="00A972FE">
      <w:pPr>
        <w:spacing w:before="1200"/>
        <w:jc w:val="center"/>
        <w:rPr>
          <w:rFonts w:ascii="Arial" w:hAnsi="Arial" w:cs="Arial"/>
          <w:b/>
          <w:sz w:val="22"/>
          <w:szCs w:val="22"/>
        </w:rPr>
      </w:pPr>
      <w:r w:rsidRPr="00886994">
        <w:rPr>
          <w:rFonts w:ascii="Arial" w:hAnsi="Arial" w:cs="Arial"/>
          <w:b/>
          <w:sz w:val="22"/>
          <w:szCs w:val="22"/>
        </w:rPr>
        <w:t>ASSEMBLÉE GÉNÉRALE DES ÉTATS PARTIES À LA CONVENTION</w:t>
      </w:r>
    </w:p>
    <w:p w14:paraId="32D15B6C" w14:textId="0CAD5B06" w:rsidR="00BC3420" w:rsidRPr="00B43974" w:rsidRDefault="007A000F" w:rsidP="00A972FE">
      <w:pPr>
        <w:spacing w:before="840"/>
        <w:jc w:val="center"/>
        <w:rPr>
          <w:rFonts w:ascii="Arial" w:hAnsi="Arial" w:cs="Arial"/>
          <w:b/>
          <w:sz w:val="22"/>
          <w:szCs w:val="22"/>
        </w:rPr>
      </w:pPr>
      <w:r>
        <w:rPr>
          <w:rFonts w:ascii="Arial" w:hAnsi="Arial" w:cs="Arial"/>
          <w:b/>
          <w:sz w:val="22"/>
          <w:szCs w:val="22"/>
        </w:rPr>
        <w:t>Dix</w:t>
      </w:r>
      <w:r w:rsidR="00886994">
        <w:rPr>
          <w:rFonts w:ascii="Arial" w:eastAsiaTheme="minorEastAsia" w:hAnsi="Arial" w:cs="Arial"/>
          <w:b/>
          <w:sz w:val="22"/>
          <w:szCs w:val="22"/>
          <w:lang w:eastAsia="ko-KR"/>
        </w:rPr>
        <w:t>ièm</w:t>
      </w:r>
      <w:r>
        <w:rPr>
          <w:rFonts w:ascii="Arial" w:hAnsi="Arial" w:cs="Arial"/>
          <w:b/>
          <w:sz w:val="22"/>
          <w:szCs w:val="22"/>
        </w:rPr>
        <w:t>e</w:t>
      </w:r>
      <w:r w:rsidR="00F4581D" w:rsidRPr="00F4581D">
        <w:rPr>
          <w:rFonts w:ascii="Arial" w:hAnsi="Arial" w:cs="Arial"/>
          <w:b/>
          <w:sz w:val="22"/>
          <w:szCs w:val="22"/>
        </w:rPr>
        <w:t xml:space="preserve"> </w:t>
      </w:r>
      <w:r w:rsidR="00BC3420" w:rsidRPr="00B43974">
        <w:rPr>
          <w:rFonts w:ascii="Arial" w:hAnsi="Arial" w:cs="Arial"/>
          <w:b/>
          <w:sz w:val="22"/>
          <w:szCs w:val="22"/>
        </w:rPr>
        <w:t>session</w:t>
      </w:r>
    </w:p>
    <w:p w14:paraId="7309CEF6" w14:textId="5F6FA9C8" w:rsidR="00F4581D" w:rsidRPr="00F4581D" w:rsidRDefault="00886994" w:rsidP="00A972FE">
      <w:pPr>
        <w:tabs>
          <w:tab w:val="center" w:pos="4819"/>
          <w:tab w:val="left" w:pos="7073"/>
        </w:tabs>
        <w:jc w:val="center"/>
        <w:rPr>
          <w:rFonts w:ascii="Arial" w:hAnsi="Arial"/>
          <w:b/>
          <w:sz w:val="22"/>
        </w:rPr>
      </w:pPr>
      <w:r w:rsidRPr="00886994">
        <w:rPr>
          <w:rFonts w:ascii="Arial" w:hAnsi="Arial"/>
          <w:b/>
          <w:sz w:val="22"/>
        </w:rPr>
        <w:t>Siège de l’UNESCO, Salle I</w:t>
      </w:r>
    </w:p>
    <w:p w14:paraId="552550E8" w14:textId="017D3652" w:rsidR="00EF74E3" w:rsidRPr="00F4581D" w:rsidRDefault="007C38A9" w:rsidP="00A972FE">
      <w:pPr>
        <w:jc w:val="center"/>
        <w:rPr>
          <w:rFonts w:ascii="Arial" w:hAnsi="Arial"/>
          <w:b/>
          <w:sz w:val="22"/>
        </w:rPr>
      </w:pPr>
      <w:r>
        <w:rPr>
          <w:rFonts w:ascii="Arial" w:hAnsi="Arial"/>
          <w:b/>
          <w:sz w:val="22"/>
        </w:rPr>
        <w:t>11</w:t>
      </w:r>
      <w:r w:rsidR="00F4581D" w:rsidRPr="00F4581D">
        <w:rPr>
          <w:rFonts w:ascii="Arial" w:hAnsi="Arial"/>
          <w:b/>
          <w:sz w:val="22"/>
        </w:rPr>
        <w:t> </w:t>
      </w:r>
      <w:r w:rsidR="007A000F">
        <w:rPr>
          <w:rFonts w:ascii="Arial" w:hAnsi="Arial"/>
          <w:b/>
          <w:sz w:val="22"/>
        </w:rPr>
        <w:t>–</w:t>
      </w:r>
      <w:r w:rsidR="00F4581D" w:rsidRPr="00F4581D">
        <w:rPr>
          <w:rFonts w:ascii="Arial" w:hAnsi="Arial"/>
          <w:b/>
          <w:sz w:val="22"/>
        </w:rPr>
        <w:t xml:space="preserve"> </w:t>
      </w:r>
      <w:r>
        <w:rPr>
          <w:rFonts w:ascii="Arial" w:hAnsi="Arial"/>
          <w:b/>
          <w:sz w:val="22"/>
        </w:rPr>
        <w:t>1</w:t>
      </w:r>
      <w:r w:rsidR="00D074E3">
        <w:rPr>
          <w:rFonts w:ascii="Arial" w:hAnsi="Arial"/>
          <w:b/>
          <w:sz w:val="22"/>
        </w:rPr>
        <w:t>2</w:t>
      </w:r>
      <w:r>
        <w:rPr>
          <w:rFonts w:ascii="Arial" w:hAnsi="Arial"/>
          <w:b/>
          <w:sz w:val="22"/>
        </w:rPr>
        <w:t xml:space="preserve"> juin</w:t>
      </w:r>
      <w:r w:rsidR="00F4581D" w:rsidRPr="00F4581D">
        <w:rPr>
          <w:rFonts w:ascii="Arial" w:hAnsi="Arial"/>
          <w:b/>
          <w:sz w:val="22"/>
        </w:rPr>
        <w:t> 202</w:t>
      </w:r>
      <w:r w:rsidR="00886994">
        <w:rPr>
          <w:rFonts w:ascii="Arial" w:hAnsi="Arial"/>
          <w:b/>
          <w:sz w:val="22"/>
        </w:rPr>
        <w:t>4</w:t>
      </w:r>
    </w:p>
    <w:p w14:paraId="630B69F1" w14:textId="3B998E61" w:rsidR="008F09EC" w:rsidRDefault="008F09EC" w:rsidP="00A972FE">
      <w:pPr>
        <w:pStyle w:val="Sansinterligne"/>
        <w:tabs>
          <w:tab w:val="left" w:pos="4410"/>
          <w:tab w:val="center" w:pos="4819"/>
        </w:tabs>
        <w:spacing w:after="1200"/>
        <w:jc w:val="center"/>
        <w:rPr>
          <w:rFonts w:ascii="Arial" w:hAnsi="Arial" w:cs="Arial"/>
          <w:b/>
          <w:sz w:val="22"/>
          <w:szCs w:val="22"/>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D074E3">
        <w:trPr>
          <w:jc w:val="center"/>
        </w:trPr>
        <w:tc>
          <w:tcPr>
            <w:tcW w:w="5670" w:type="dxa"/>
            <w:vAlign w:val="center"/>
          </w:tcPr>
          <w:p w14:paraId="17E62457" w14:textId="010C93D8" w:rsidR="008F09EC" w:rsidRPr="00B43974" w:rsidRDefault="00D074E3" w:rsidP="00A972FE">
            <w:pPr>
              <w:pStyle w:val="Sansinterligne2"/>
              <w:spacing w:before="200" w:after="200"/>
              <w:ind w:right="284"/>
              <w:jc w:val="center"/>
              <w:rPr>
                <w:rFonts w:ascii="Arial" w:hAnsi="Arial" w:cs="Arial"/>
                <w:b/>
                <w:sz w:val="22"/>
                <w:szCs w:val="22"/>
              </w:rPr>
            </w:pPr>
            <w:r w:rsidRPr="0073388D">
              <w:rPr>
                <w:rFonts w:ascii="Arial" w:hAnsi="Arial" w:cs="Arial"/>
                <w:b/>
                <w:sz w:val="36"/>
                <w:szCs w:val="36"/>
              </w:rPr>
              <w:t>Résolutions</w:t>
            </w:r>
          </w:p>
        </w:tc>
      </w:tr>
    </w:tbl>
    <w:p w14:paraId="5072A522" w14:textId="77777777" w:rsidR="009B5302" w:rsidRDefault="00BC3420" w:rsidP="00A972FE">
      <w:pPr>
        <w:pStyle w:val="COMTitleDecision"/>
        <w:spacing w:before="360" w:after="240"/>
        <w:ind w:left="0"/>
      </w:pPr>
      <w:r w:rsidRPr="00022428">
        <w:br w:type="page"/>
      </w:r>
    </w:p>
    <w:p w14:paraId="740A2119" w14:textId="5EAB36A6" w:rsidR="008E4D0D" w:rsidRPr="008E4D0D" w:rsidRDefault="008E4D0D" w:rsidP="00A972FE">
      <w:pPr>
        <w:keepNext/>
        <w:spacing w:before="240" w:after="120"/>
        <w:jc w:val="both"/>
        <w:rPr>
          <w:rFonts w:ascii="Arial" w:eastAsia="SimSun" w:hAnsi="Arial" w:cs="Arial"/>
          <w:b/>
          <w:sz w:val="22"/>
          <w:szCs w:val="22"/>
        </w:rPr>
      </w:pPr>
      <w:r w:rsidRPr="008E4D0D">
        <w:rPr>
          <w:rFonts w:ascii="Arial" w:hAnsi="Arial" w:cs="Arial"/>
          <w:b/>
          <w:sz w:val="22"/>
          <w:szCs w:val="22"/>
        </w:rPr>
        <w:lastRenderedPageBreak/>
        <w:t>RÉSOLUTION 10.GA 2</w:t>
      </w:r>
    </w:p>
    <w:p w14:paraId="43A4B697" w14:textId="77777777" w:rsidR="008E4D0D" w:rsidRPr="008E4D0D" w:rsidRDefault="008E4D0D" w:rsidP="00A972FE">
      <w:pPr>
        <w:keepNext/>
        <w:spacing w:after="120"/>
        <w:jc w:val="both"/>
        <w:rPr>
          <w:rFonts w:ascii="Arial" w:eastAsia="SimSun" w:hAnsi="Arial" w:cs="Arial"/>
          <w:sz w:val="22"/>
          <w:szCs w:val="22"/>
        </w:rPr>
      </w:pPr>
      <w:r w:rsidRPr="008E4D0D">
        <w:rPr>
          <w:rFonts w:ascii="Arial" w:hAnsi="Arial" w:cs="Arial"/>
          <w:sz w:val="22"/>
          <w:szCs w:val="22"/>
        </w:rPr>
        <w:t>L’Assemblée générale,</w:t>
      </w:r>
    </w:p>
    <w:p w14:paraId="20FD9819" w14:textId="4A75F4F6" w:rsidR="008E4D0D" w:rsidRPr="008E4D0D" w:rsidRDefault="008E4D0D" w:rsidP="00A972FE">
      <w:pPr>
        <w:numPr>
          <w:ilvl w:val="0"/>
          <w:numId w:val="10"/>
        </w:numPr>
        <w:autoSpaceDE w:val="0"/>
        <w:autoSpaceDN w:val="0"/>
        <w:adjustRightInd w:val="0"/>
        <w:spacing w:after="120"/>
        <w:ind w:left="0" w:firstLine="0"/>
        <w:jc w:val="both"/>
        <w:rPr>
          <w:rFonts w:ascii="Arial" w:eastAsia="SimSun" w:hAnsi="Arial" w:cs="Arial"/>
          <w:sz w:val="22"/>
          <w:szCs w:val="22"/>
          <w:u w:val="single"/>
        </w:rPr>
      </w:pPr>
      <w:r w:rsidRPr="008E4D0D">
        <w:rPr>
          <w:rFonts w:ascii="Arial" w:eastAsia="SimSun" w:hAnsi="Arial" w:cs="Arial"/>
          <w:sz w:val="22"/>
          <w:szCs w:val="22"/>
          <w:u w:val="single"/>
        </w:rPr>
        <w:t>Ayant examiné</w:t>
      </w:r>
      <w:r w:rsidRPr="008E4D0D">
        <w:rPr>
          <w:rFonts w:ascii="Arial" w:eastAsia="SimSun" w:hAnsi="Arial" w:cs="Arial"/>
          <w:sz w:val="22"/>
          <w:szCs w:val="22"/>
        </w:rPr>
        <w:t xml:space="preserve"> le document </w:t>
      </w:r>
      <w:hyperlink r:id="rId8" w:history="1">
        <w:r w:rsidRPr="00402861">
          <w:rPr>
            <w:rStyle w:val="Lienhypertexte"/>
            <w:rFonts w:ascii="Arial" w:eastAsia="SimSun" w:hAnsi="Arial" w:cs="Arial"/>
            <w:sz w:val="22"/>
            <w:szCs w:val="22"/>
          </w:rPr>
          <w:t>LHE/24/10.GA/2</w:t>
        </w:r>
      </w:hyperlink>
      <w:r w:rsidRPr="008E4D0D">
        <w:rPr>
          <w:rFonts w:ascii="Arial" w:eastAsia="SimSun" w:hAnsi="Arial" w:cs="Arial"/>
          <w:sz w:val="22"/>
          <w:szCs w:val="22"/>
        </w:rPr>
        <w:t>,</w:t>
      </w:r>
    </w:p>
    <w:p w14:paraId="3BC0B75F" w14:textId="77777777" w:rsidR="008E4D0D" w:rsidRPr="008E4D0D" w:rsidRDefault="008E4D0D" w:rsidP="00A972FE">
      <w:pPr>
        <w:numPr>
          <w:ilvl w:val="0"/>
          <w:numId w:val="10"/>
        </w:numPr>
        <w:autoSpaceDE w:val="0"/>
        <w:autoSpaceDN w:val="0"/>
        <w:adjustRightInd w:val="0"/>
        <w:spacing w:after="120"/>
        <w:ind w:left="0" w:firstLine="0"/>
        <w:jc w:val="both"/>
        <w:rPr>
          <w:rFonts w:ascii="Arial" w:eastAsia="SimSun" w:hAnsi="Arial" w:cs="Arial"/>
          <w:sz w:val="22"/>
          <w:szCs w:val="22"/>
          <w:u w:val="single"/>
        </w:rPr>
      </w:pPr>
      <w:r w:rsidRPr="008E4D0D">
        <w:rPr>
          <w:rFonts w:ascii="Arial" w:eastAsia="SimSun" w:hAnsi="Arial" w:cs="Arial"/>
          <w:sz w:val="22"/>
          <w:szCs w:val="22"/>
          <w:u w:val="single"/>
        </w:rPr>
        <w:t>Rappelant</w:t>
      </w:r>
      <w:r w:rsidRPr="008E4D0D">
        <w:rPr>
          <w:rFonts w:ascii="Arial" w:eastAsia="SimSun" w:hAnsi="Arial" w:cs="Arial"/>
          <w:sz w:val="22"/>
          <w:szCs w:val="22"/>
        </w:rPr>
        <w:t xml:space="preserve"> l’article 11 de son Règlement intérieur,</w:t>
      </w:r>
    </w:p>
    <w:p w14:paraId="6B478B81" w14:textId="185FBD04" w:rsidR="008E4D0D" w:rsidRPr="00402861" w:rsidRDefault="008E4D0D" w:rsidP="00A972FE">
      <w:pPr>
        <w:numPr>
          <w:ilvl w:val="0"/>
          <w:numId w:val="10"/>
        </w:numPr>
        <w:autoSpaceDE w:val="0"/>
        <w:autoSpaceDN w:val="0"/>
        <w:adjustRightInd w:val="0"/>
        <w:spacing w:after="120"/>
        <w:ind w:left="0" w:firstLine="0"/>
        <w:rPr>
          <w:rFonts w:ascii="Arial" w:eastAsia="SimSun" w:hAnsi="Arial" w:cs="Arial"/>
          <w:sz w:val="22"/>
          <w:szCs w:val="22"/>
          <w:u w:val="single"/>
        </w:rPr>
      </w:pPr>
      <w:r w:rsidRPr="004962EB">
        <w:rPr>
          <w:rFonts w:ascii="Arial" w:eastAsia="SimSun" w:hAnsi="Arial" w:cs="Arial"/>
          <w:sz w:val="22"/>
          <w:szCs w:val="22"/>
          <w:u w:val="single"/>
        </w:rPr>
        <w:t>Élit</w:t>
      </w:r>
      <w:r w:rsidRPr="004962EB">
        <w:rPr>
          <w:rFonts w:ascii="Arial" w:eastAsia="SimSun" w:hAnsi="Arial" w:cs="Arial"/>
          <w:sz w:val="22"/>
          <w:szCs w:val="22"/>
        </w:rPr>
        <w:t xml:space="preserve"> </w:t>
      </w:r>
      <w:r w:rsidR="00161EF5" w:rsidRPr="004962EB">
        <w:rPr>
          <w:rFonts w:ascii="Arial" w:eastAsia="SimSun" w:hAnsi="Arial" w:cs="Arial"/>
          <w:sz w:val="22"/>
          <w:szCs w:val="22"/>
        </w:rPr>
        <w:t>S. Exc.</w:t>
      </w:r>
      <w:r w:rsidR="00161EF5" w:rsidRPr="004962EB">
        <w:t xml:space="preserve"> </w:t>
      </w:r>
      <w:r w:rsidR="00161EF5" w:rsidRPr="004962EB">
        <w:rPr>
          <w:rFonts w:ascii="Arial" w:eastAsia="SimSun" w:hAnsi="Arial" w:cs="Arial"/>
          <w:sz w:val="22"/>
          <w:szCs w:val="22"/>
        </w:rPr>
        <w:t>M</w:t>
      </w:r>
      <w:r w:rsidR="00040164">
        <w:rPr>
          <w:rFonts w:ascii="Arial" w:eastAsia="SimSun" w:hAnsi="Arial" w:cs="Arial"/>
          <w:sz w:val="22"/>
          <w:szCs w:val="22"/>
        </w:rPr>
        <w:t>.</w:t>
      </w:r>
      <w:r w:rsidR="00161EF5" w:rsidRPr="004962EB">
        <w:rPr>
          <w:rFonts w:ascii="Arial" w:eastAsia="SimSun" w:hAnsi="Arial" w:cs="Arial"/>
          <w:sz w:val="22"/>
          <w:szCs w:val="22"/>
        </w:rPr>
        <w:t xml:space="preserve"> Mariusz Lewicki (Pologne</w:t>
      </w:r>
      <w:r w:rsidR="00161EF5" w:rsidRPr="00402861">
        <w:rPr>
          <w:rFonts w:ascii="Arial" w:eastAsia="SimSun" w:hAnsi="Arial" w:cs="Arial"/>
          <w:sz w:val="22"/>
          <w:szCs w:val="22"/>
        </w:rPr>
        <w:t xml:space="preserve">) </w:t>
      </w:r>
      <w:r w:rsidRPr="00402861">
        <w:rPr>
          <w:rFonts w:ascii="Arial" w:eastAsia="SimSun" w:hAnsi="Arial" w:cs="Arial"/>
          <w:sz w:val="22"/>
          <w:szCs w:val="22"/>
        </w:rPr>
        <w:t>Président</w:t>
      </w:r>
      <w:r w:rsidR="00161EF5" w:rsidRPr="00402861">
        <w:rPr>
          <w:rFonts w:ascii="Arial" w:eastAsia="SimSun" w:hAnsi="Arial" w:cs="Arial"/>
          <w:sz w:val="22"/>
          <w:szCs w:val="22"/>
        </w:rPr>
        <w:t xml:space="preserve"> </w:t>
      </w:r>
      <w:r w:rsidRPr="00402861">
        <w:rPr>
          <w:rFonts w:ascii="Arial" w:eastAsia="SimSun" w:hAnsi="Arial" w:cs="Arial"/>
          <w:sz w:val="22"/>
          <w:szCs w:val="22"/>
        </w:rPr>
        <w:t>de l’Assemblée générale ;</w:t>
      </w:r>
    </w:p>
    <w:p w14:paraId="32BFC575" w14:textId="1146B5B1" w:rsidR="008E4D0D" w:rsidRPr="004962EB" w:rsidRDefault="008E4D0D" w:rsidP="00A972FE">
      <w:pPr>
        <w:numPr>
          <w:ilvl w:val="0"/>
          <w:numId w:val="10"/>
        </w:numPr>
        <w:autoSpaceDE w:val="0"/>
        <w:autoSpaceDN w:val="0"/>
        <w:adjustRightInd w:val="0"/>
        <w:spacing w:after="120"/>
        <w:ind w:left="0" w:firstLine="0"/>
        <w:rPr>
          <w:rFonts w:ascii="Arial" w:eastAsia="SimSun" w:hAnsi="Arial" w:cs="Arial"/>
          <w:sz w:val="22"/>
          <w:szCs w:val="22"/>
          <w:u w:val="single"/>
        </w:rPr>
      </w:pPr>
      <w:r w:rsidRPr="004962EB">
        <w:rPr>
          <w:rFonts w:ascii="Arial" w:eastAsia="SimSun" w:hAnsi="Arial" w:cs="Arial"/>
          <w:sz w:val="22"/>
          <w:szCs w:val="22"/>
          <w:u w:val="single"/>
        </w:rPr>
        <w:t>Élit</w:t>
      </w:r>
      <w:r w:rsidRPr="004962EB">
        <w:rPr>
          <w:rFonts w:ascii="Arial" w:eastAsia="SimSun" w:hAnsi="Arial" w:cs="Arial"/>
          <w:sz w:val="22"/>
          <w:szCs w:val="22"/>
        </w:rPr>
        <w:t xml:space="preserve"> </w:t>
      </w:r>
      <w:r w:rsidR="00161EF5" w:rsidRPr="004962EB">
        <w:rPr>
          <w:rFonts w:ascii="Arial" w:eastAsia="SimSun" w:hAnsi="Arial" w:cs="Arial"/>
          <w:sz w:val="22"/>
          <w:szCs w:val="22"/>
        </w:rPr>
        <w:t>M. Souleymane Konate (Mali)</w:t>
      </w:r>
      <w:r w:rsidRPr="004962EB">
        <w:rPr>
          <w:rFonts w:ascii="Arial" w:eastAsia="SimSun" w:hAnsi="Arial" w:cs="Arial"/>
          <w:sz w:val="22"/>
          <w:szCs w:val="22"/>
        </w:rPr>
        <w:t xml:space="preserve"> Rapporteur de l’Assemblée générale ;</w:t>
      </w:r>
    </w:p>
    <w:p w14:paraId="0206DB12" w14:textId="58795A9B" w:rsidR="008E4D0D" w:rsidRPr="004962EB" w:rsidRDefault="008E4D0D" w:rsidP="00C8040F">
      <w:pPr>
        <w:numPr>
          <w:ilvl w:val="0"/>
          <w:numId w:val="10"/>
        </w:numPr>
        <w:autoSpaceDE w:val="0"/>
        <w:autoSpaceDN w:val="0"/>
        <w:adjustRightInd w:val="0"/>
        <w:spacing w:after="120"/>
        <w:ind w:left="709" w:hanging="709"/>
        <w:rPr>
          <w:rFonts w:ascii="Arial" w:eastAsia="SimSun" w:hAnsi="Arial" w:cs="Arial"/>
          <w:sz w:val="22"/>
          <w:szCs w:val="22"/>
          <w:u w:val="single"/>
        </w:rPr>
      </w:pPr>
      <w:r w:rsidRPr="004962EB">
        <w:rPr>
          <w:rFonts w:ascii="Arial" w:eastAsia="SimSun" w:hAnsi="Arial" w:cs="Arial"/>
          <w:sz w:val="22"/>
          <w:szCs w:val="22"/>
          <w:u w:val="single"/>
        </w:rPr>
        <w:t>Élit</w:t>
      </w:r>
      <w:r w:rsidRPr="004962EB">
        <w:rPr>
          <w:rFonts w:ascii="Arial" w:eastAsia="SimSun" w:hAnsi="Arial" w:cs="Arial"/>
          <w:sz w:val="22"/>
          <w:szCs w:val="22"/>
        </w:rPr>
        <w:t xml:space="preserve"> </w:t>
      </w:r>
      <w:r w:rsidR="00161EF5" w:rsidRPr="004962EB">
        <w:rPr>
          <w:rFonts w:ascii="Arial" w:eastAsia="SimSun" w:hAnsi="Arial" w:cs="Arial"/>
          <w:sz w:val="22"/>
          <w:szCs w:val="22"/>
        </w:rPr>
        <w:t xml:space="preserve">le Luxembourg, </w:t>
      </w:r>
      <w:r w:rsidR="00161EF5" w:rsidRPr="00C8040F">
        <w:rPr>
          <w:rFonts w:ascii="Arial" w:eastAsia="SimSun" w:hAnsi="Arial" w:cs="Arial"/>
          <w:sz w:val="22"/>
          <w:szCs w:val="22"/>
        </w:rPr>
        <w:t xml:space="preserve">El </w:t>
      </w:r>
      <w:r w:rsidR="00161EF5" w:rsidRPr="004962EB">
        <w:rPr>
          <w:rFonts w:ascii="Arial" w:eastAsia="SimSun" w:hAnsi="Arial" w:cs="Arial"/>
          <w:sz w:val="22"/>
          <w:szCs w:val="22"/>
        </w:rPr>
        <w:t xml:space="preserve">Salvador, le Vietnam, l’Éthiopie et le Maroc </w:t>
      </w:r>
      <w:r w:rsidRPr="004962EB">
        <w:rPr>
          <w:rFonts w:ascii="Arial" w:eastAsia="SimSun" w:hAnsi="Arial" w:cs="Arial"/>
          <w:sz w:val="22"/>
          <w:szCs w:val="22"/>
        </w:rPr>
        <w:t>Vice-Présidents de l’Assemblée générale.</w:t>
      </w:r>
    </w:p>
    <w:p w14:paraId="7AC1E455" w14:textId="2ABD16EE" w:rsidR="008E4D0D" w:rsidRPr="00B43974" w:rsidRDefault="008E4D0D" w:rsidP="00A972FE">
      <w:pPr>
        <w:pStyle w:val="GATitleResolution"/>
        <w:ind w:left="0"/>
      </w:pPr>
      <w:r>
        <w:t>RÉSOLUTION 10</w:t>
      </w:r>
      <w:r w:rsidRPr="0020150F">
        <w:t>.</w:t>
      </w:r>
      <w:r>
        <w:t>GA 3</w:t>
      </w:r>
    </w:p>
    <w:p w14:paraId="7B617880" w14:textId="77777777" w:rsidR="008E4D0D" w:rsidRPr="00B43974" w:rsidRDefault="008E4D0D" w:rsidP="00A972FE">
      <w:pPr>
        <w:pStyle w:val="COMPreambulaDecision"/>
        <w:ind w:left="0"/>
      </w:pPr>
      <w:r w:rsidRPr="00886994">
        <w:t>L’Assemblée générale,</w:t>
      </w:r>
    </w:p>
    <w:p w14:paraId="6558CECB" w14:textId="07E2E44A" w:rsidR="008E4D0D" w:rsidRPr="00022428" w:rsidRDefault="008E4D0D" w:rsidP="00A972FE">
      <w:pPr>
        <w:pStyle w:val="COMParaDecision"/>
        <w:numPr>
          <w:ilvl w:val="0"/>
          <w:numId w:val="32"/>
        </w:numPr>
        <w:ind w:left="567" w:hanging="567"/>
        <w:jc w:val="left"/>
      </w:pPr>
      <w:r w:rsidRPr="00B43974">
        <w:t>Ayant examiné</w:t>
      </w:r>
      <w:r w:rsidRPr="00A972FE">
        <w:rPr>
          <w:u w:val="none"/>
        </w:rPr>
        <w:t xml:space="preserve"> le document </w:t>
      </w:r>
      <w:hyperlink r:id="rId9" w:history="1">
        <w:r w:rsidRPr="00402861">
          <w:rPr>
            <w:rStyle w:val="Lienhypertexte"/>
          </w:rPr>
          <w:t xml:space="preserve">LHE/24/10.GA/3 </w:t>
        </w:r>
        <w:r w:rsidRPr="001C14F4">
          <w:rPr>
            <w:rStyle w:val="Lienhypertexte"/>
            <w:color w:val="0000FF"/>
          </w:rPr>
          <w:t>R</w:t>
        </w:r>
        <w:r w:rsidRPr="00402861">
          <w:rPr>
            <w:rStyle w:val="Lienhypertexte"/>
          </w:rPr>
          <w:t>ev</w:t>
        </w:r>
      </w:hyperlink>
      <w:r w:rsidRPr="001C14F4">
        <w:rPr>
          <w:color w:val="0000FF"/>
        </w:rPr>
        <w:t>.</w:t>
      </w:r>
      <w:r w:rsidRPr="00A972FE">
        <w:rPr>
          <w:u w:val="none"/>
        </w:rPr>
        <w:t>,</w:t>
      </w:r>
    </w:p>
    <w:p w14:paraId="1B022B2C" w14:textId="452BF256" w:rsidR="008E4D0D" w:rsidRPr="00D237DD" w:rsidRDefault="008E4D0D" w:rsidP="001C14F4">
      <w:pPr>
        <w:pStyle w:val="COMParaDecision"/>
        <w:numPr>
          <w:ilvl w:val="0"/>
          <w:numId w:val="32"/>
        </w:numPr>
        <w:ind w:left="567" w:hanging="567"/>
        <w:jc w:val="left"/>
      </w:pPr>
      <w:r>
        <w:t>Adopte</w:t>
      </w:r>
      <w:r w:rsidRPr="00B43974">
        <w:rPr>
          <w:u w:val="none"/>
        </w:rPr>
        <w:t xml:space="preserve"> </w:t>
      </w:r>
      <w:r>
        <w:rPr>
          <w:u w:val="none"/>
        </w:rPr>
        <w:t>l’ordre du jour de sa dixième session (Paris, siège de l’UNESCO, 11 – 12</w:t>
      </w:r>
      <w:r w:rsidR="00F14572">
        <w:rPr>
          <w:u w:val="none"/>
        </w:rPr>
        <w:t xml:space="preserve"> </w:t>
      </w:r>
      <w:r w:rsidR="00A972FE">
        <w:rPr>
          <w:u w:val="none"/>
        </w:rPr>
        <w:t>j</w:t>
      </w:r>
      <w:r>
        <w:rPr>
          <w:u w:val="none"/>
        </w:rPr>
        <w:t>uin 2024) comme suit :</w:t>
      </w:r>
    </w:p>
    <w:p w14:paraId="3D3F0044" w14:textId="77777777" w:rsidR="008E4D0D" w:rsidRPr="00D237DD" w:rsidRDefault="008E4D0D" w:rsidP="00A972FE">
      <w:pPr>
        <w:pStyle w:val="COMParaDecision"/>
        <w:numPr>
          <w:ilvl w:val="0"/>
          <w:numId w:val="0"/>
        </w:numPr>
        <w:spacing w:before="360" w:after="240"/>
        <w:ind w:left="567"/>
        <w:jc w:val="left"/>
        <w:rPr>
          <w:b/>
          <w:bCs/>
          <w:u w:val="none"/>
        </w:rPr>
      </w:pPr>
      <w:r>
        <w:rPr>
          <w:b/>
          <w:bCs/>
          <w:u w:val="none"/>
        </w:rPr>
        <w:t>Ordre du jour</w:t>
      </w:r>
    </w:p>
    <w:p w14:paraId="34F9FCE8" w14:textId="77777777" w:rsidR="008E4D0D" w:rsidRDefault="008E4D0D" w:rsidP="001C14F4">
      <w:pPr>
        <w:pStyle w:val="COMParaDecision"/>
        <w:numPr>
          <w:ilvl w:val="0"/>
          <w:numId w:val="20"/>
        </w:numPr>
        <w:ind w:left="1134" w:hanging="567"/>
        <w:rPr>
          <w:u w:val="none"/>
        </w:rPr>
      </w:pPr>
      <w:r w:rsidRPr="00D237DD">
        <w:rPr>
          <w:u w:val="none"/>
        </w:rPr>
        <w:t>Ouverture</w:t>
      </w:r>
    </w:p>
    <w:p w14:paraId="75681FB4" w14:textId="77777777" w:rsidR="008E4D0D" w:rsidRDefault="008E4D0D" w:rsidP="001C14F4">
      <w:pPr>
        <w:pStyle w:val="COMParaDecision"/>
        <w:numPr>
          <w:ilvl w:val="0"/>
          <w:numId w:val="20"/>
        </w:numPr>
        <w:ind w:left="1134" w:hanging="567"/>
        <w:rPr>
          <w:u w:val="none"/>
        </w:rPr>
      </w:pPr>
      <w:r>
        <w:rPr>
          <w:u w:val="none"/>
        </w:rPr>
        <w:t xml:space="preserve">Élection du Bureau </w:t>
      </w:r>
    </w:p>
    <w:p w14:paraId="36952AE9" w14:textId="77777777" w:rsidR="008E4D0D" w:rsidRDefault="008E4D0D" w:rsidP="001C14F4">
      <w:pPr>
        <w:pStyle w:val="COMParaDecision"/>
        <w:numPr>
          <w:ilvl w:val="0"/>
          <w:numId w:val="20"/>
        </w:numPr>
        <w:ind w:left="1134" w:hanging="567"/>
        <w:rPr>
          <w:u w:val="none"/>
        </w:rPr>
      </w:pPr>
      <w:r>
        <w:rPr>
          <w:u w:val="none"/>
        </w:rPr>
        <w:t>Adoption de l’ordre du jour</w:t>
      </w:r>
    </w:p>
    <w:p w14:paraId="139C037D" w14:textId="77777777" w:rsidR="008E4D0D" w:rsidRPr="00D237DD" w:rsidRDefault="008E4D0D" w:rsidP="001C14F4">
      <w:pPr>
        <w:pStyle w:val="COMParaDecision"/>
        <w:numPr>
          <w:ilvl w:val="0"/>
          <w:numId w:val="20"/>
        </w:numPr>
        <w:ind w:left="1134" w:hanging="567"/>
        <w:rPr>
          <w:u w:val="none"/>
        </w:rPr>
      </w:pPr>
      <w:r w:rsidRPr="00D237DD">
        <w:rPr>
          <w:u w:val="none"/>
        </w:rPr>
        <w:t>Distribution des sièges au Comité par groupe électoral</w:t>
      </w:r>
    </w:p>
    <w:p w14:paraId="633E99E4" w14:textId="77777777" w:rsidR="008E4D0D" w:rsidRDefault="008E4D0D" w:rsidP="001C14F4">
      <w:pPr>
        <w:pStyle w:val="COMParaDecision"/>
        <w:numPr>
          <w:ilvl w:val="0"/>
          <w:numId w:val="20"/>
        </w:numPr>
        <w:ind w:left="1134" w:hanging="567"/>
        <w:rPr>
          <w:u w:val="none"/>
        </w:rPr>
      </w:pPr>
      <w:r w:rsidRPr="00D237DD">
        <w:rPr>
          <w:u w:val="none"/>
        </w:rPr>
        <w:t>Rapport du Comité à l’Assemblée générale (de janvier 202</w:t>
      </w:r>
      <w:r>
        <w:rPr>
          <w:u w:val="none"/>
        </w:rPr>
        <w:t>2</w:t>
      </w:r>
      <w:r w:rsidRPr="00D237DD">
        <w:rPr>
          <w:u w:val="none"/>
        </w:rPr>
        <w:t xml:space="preserve"> à décembre 202</w:t>
      </w:r>
      <w:r>
        <w:rPr>
          <w:u w:val="none"/>
        </w:rPr>
        <w:t>3</w:t>
      </w:r>
      <w:r w:rsidRPr="00D237DD">
        <w:rPr>
          <w:u w:val="none"/>
        </w:rPr>
        <w:t>)</w:t>
      </w:r>
    </w:p>
    <w:p w14:paraId="73A2A49B" w14:textId="77777777" w:rsidR="008E4D0D" w:rsidRDefault="008E4D0D" w:rsidP="001C14F4">
      <w:pPr>
        <w:pStyle w:val="COMParaDecision"/>
        <w:numPr>
          <w:ilvl w:val="0"/>
          <w:numId w:val="20"/>
        </w:numPr>
        <w:ind w:left="1134" w:hanging="567"/>
        <w:rPr>
          <w:u w:val="none"/>
        </w:rPr>
      </w:pPr>
      <w:r w:rsidRPr="00D237DD">
        <w:rPr>
          <w:u w:val="none"/>
        </w:rPr>
        <w:t>Rapport du Secrétariat sur ses activités (de janvier 202</w:t>
      </w:r>
      <w:r>
        <w:rPr>
          <w:u w:val="none"/>
        </w:rPr>
        <w:t>2</w:t>
      </w:r>
      <w:r w:rsidRPr="00D237DD">
        <w:rPr>
          <w:u w:val="none"/>
        </w:rPr>
        <w:t xml:space="preserve"> à décembre 202</w:t>
      </w:r>
      <w:r>
        <w:rPr>
          <w:u w:val="none"/>
        </w:rPr>
        <w:t>3</w:t>
      </w:r>
      <w:r w:rsidRPr="00D237DD">
        <w:rPr>
          <w:u w:val="none"/>
        </w:rPr>
        <w:t>)</w:t>
      </w:r>
    </w:p>
    <w:p w14:paraId="4191B3E9" w14:textId="77777777" w:rsidR="008E4D0D" w:rsidRPr="00402861" w:rsidRDefault="008E4D0D" w:rsidP="001C14F4">
      <w:pPr>
        <w:pStyle w:val="COMParaDecision"/>
        <w:numPr>
          <w:ilvl w:val="0"/>
          <w:numId w:val="20"/>
        </w:numPr>
        <w:ind w:left="1134" w:hanging="567"/>
        <w:rPr>
          <w:u w:val="none"/>
        </w:rPr>
      </w:pPr>
      <w:r w:rsidRPr="00402861">
        <w:rPr>
          <w:u w:val="none"/>
        </w:rPr>
        <w:t xml:space="preserve">Révisions proposées aux Directives opérationnelles pour la mise en œuvre de la Convention </w:t>
      </w:r>
    </w:p>
    <w:p w14:paraId="0DAFD72D" w14:textId="77777777" w:rsidR="008E4D0D" w:rsidRPr="00402861" w:rsidRDefault="008E4D0D" w:rsidP="001C14F4">
      <w:pPr>
        <w:pStyle w:val="Paragraphedeliste"/>
        <w:numPr>
          <w:ilvl w:val="0"/>
          <w:numId w:val="20"/>
        </w:numPr>
        <w:spacing w:after="120"/>
        <w:ind w:left="1134" w:hanging="567"/>
        <w:contextualSpacing w:val="0"/>
        <w:jc w:val="both"/>
        <w:rPr>
          <w:rFonts w:ascii="Arial" w:hAnsi="Arial" w:cs="Arial"/>
          <w:sz w:val="22"/>
          <w:szCs w:val="22"/>
        </w:rPr>
      </w:pPr>
      <w:r w:rsidRPr="00402861">
        <w:rPr>
          <w:rFonts w:ascii="Arial" w:hAnsi="Arial" w:cs="Arial"/>
          <w:sz w:val="22"/>
          <w:szCs w:val="22"/>
        </w:rPr>
        <w:t>Utilisation des ressources du Fonds du patrimoine culturel immatériel</w:t>
      </w:r>
    </w:p>
    <w:p w14:paraId="2DDE918C" w14:textId="77777777" w:rsidR="008E4D0D" w:rsidRPr="00402861" w:rsidRDefault="008E4D0D" w:rsidP="001C14F4">
      <w:pPr>
        <w:pStyle w:val="COMParaDecision"/>
        <w:numPr>
          <w:ilvl w:val="0"/>
          <w:numId w:val="20"/>
        </w:numPr>
        <w:ind w:left="1134" w:hanging="567"/>
      </w:pPr>
      <w:r w:rsidRPr="00402861">
        <w:rPr>
          <w:u w:val="none"/>
        </w:rPr>
        <w:t>Accréditation des organisations non gouvernementales à des fins d’assistance consultative auprès du Comité</w:t>
      </w:r>
    </w:p>
    <w:p w14:paraId="4E82642D" w14:textId="77777777" w:rsidR="008E4D0D" w:rsidRPr="00402861" w:rsidRDefault="008E4D0D" w:rsidP="001C14F4">
      <w:pPr>
        <w:pStyle w:val="Paragraphedeliste"/>
        <w:numPr>
          <w:ilvl w:val="0"/>
          <w:numId w:val="20"/>
        </w:numPr>
        <w:spacing w:after="120"/>
        <w:ind w:left="1134" w:hanging="567"/>
        <w:contextualSpacing w:val="0"/>
        <w:jc w:val="both"/>
        <w:rPr>
          <w:rFonts w:ascii="Arial" w:hAnsi="Arial" w:cs="Arial"/>
          <w:sz w:val="22"/>
          <w:szCs w:val="22"/>
        </w:rPr>
      </w:pPr>
      <w:r w:rsidRPr="00402861">
        <w:rPr>
          <w:rFonts w:ascii="Arial" w:hAnsi="Arial" w:cs="Arial"/>
          <w:sz w:val="22"/>
          <w:szCs w:val="22"/>
        </w:rPr>
        <w:t>Rapport sur le vingtième anniversaire de la Convention de 2003 en 2023</w:t>
      </w:r>
    </w:p>
    <w:p w14:paraId="7B49F4A6" w14:textId="77777777" w:rsidR="008E4D0D" w:rsidRPr="00402861" w:rsidRDefault="008E4D0D" w:rsidP="001C14F4">
      <w:pPr>
        <w:pStyle w:val="COMParaDecision"/>
        <w:numPr>
          <w:ilvl w:val="0"/>
          <w:numId w:val="20"/>
        </w:numPr>
        <w:ind w:left="1134" w:hanging="567"/>
      </w:pPr>
      <w:r w:rsidRPr="00402861">
        <w:rPr>
          <w:u w:val="none"/>
        </w:rPr>
        <w:t>Élection des membres du Comité intergouvernemental de sauvegarde du patrimoine culturel immatériel</w:t>
      </w:r>
    </w:p>
    <w:p w14:paraId="5F3B907E" w14:textId="77777777" w:rsidR="008E4D0D" w:rsidRPr="00B1273A" w:rsidRDefault="008E4D0D" w:rsidP="001C14F4">
      <w:pPr>
        <w:pStyle w:val="Paragraphedeliste"/>
        <w:numPr>
          <w:ilvl w:val="0"/>
          <w:numId w:val="20"/>
        </w:numPr>
        <w:spacing w:after="120"/>
        <w:ind w:left="1134" w:hanging="567"/>
        <w:contextualSpacing w:val="0"/>
        <w:jc w:val="both"/>
        <w:rPr>
          <w:rFonts w:ascii="Arial" w:hAnsi="Arial" w:cs="Arial"/>
          <w:sz w:val="22"/>
          <w:szCs w:val="22"/>
        </w:rPr>
      </w:pPr>
      <w:r w:rsidRPr="00B1273A">
        <w:rPr>
          <w:rFonts w:ascii="Arial" w:hAnsi="Arial" w:cs="Arial"/>
          <w:sz w:val="22"/>
          <w:szCs w:val="22"/>
        </w:rPr>
        <w:t>Questions diverses</w:t>
      </w:r>
    </w:p>
    <w:p w14:paraId="0B232C49" w14:textId="77777777" w:rsidR="008E4D0D" w:rsidRDefault="008E4D0D" w:rsidP="001C14F4">
      <w:pPr>
        <w:pStyle w:val="Paragraphedeliste"/>
        <w:numPr>
          <w:ilvl w:val="0"/>
          <w:numId w:val="20"/>
        </w:numPr>
        <w:spacing w:after="120"/>
        <w:ind w:left="1134" w:hanging="567"/>
        <w:contextualSpacing w:val="0"/>
        <w:rPr>
          <w:rFonts w:ascii="Arial" w:hAnsi="Arial" w:cs="Arial"/>
          <w:sz w:val="22"/>
          <w:szCs w:val="22"/>
        </w:rPr>
      </w:pPr>
      <w:r w:rsidRPr="00B1273A">
        <w:rPr>
          <w:rFonts w:ascii="Arial" w:hAnsi="Arial" w:cs="Arial"/>
          <w:sz w:val="22"/>
          <w:szCs w:val="22"/>
        </w:rPr>
        <w:t>Clôture</w:t>
      </w:r>
    </w:p>
    <w:p w14:paraId="55D54CBF" w14:textId="77777777" w:rsidR="008E4D0D" w:rsidRPr="00D5195B" w:rsidRDefault="008E4D0D" w:rsidP="00A972FE">
      <w:pPr>
        <w:pStyle w:val="COMTitleDecision"/>
        <w:ind w:left="0"/>
        <w:rPr>
          <w:rFonts w:eastAsia="SimSun"/>
        </w:rPr>
      </w:pPr>
      <w:r>
        <w:t>RÉSOLUTION 10.GA 4</w:t>
      </w:r>
    </w:p>
    <w:p w14:paraId="72EE1380" w14:textId="77777777" w:rsidR="008E4D0D" w:rsidRPr="00D5195B" w:rsidRDefault="008E4D0D" w:rsidP="00A972FE">
      <w:pPr>
        <w:pStyle w:val="COMPreambulaDecisions"/>
        <w:ind w:left="0"/>
        <w:rPr>
          <w:rFonts w:eastAsia="SimSun"/>
        </w:rPr>
      </w:pPr>
      <w:r>
        <w:t>L’Assemblée générale,</w:t>
      </w:r>
    </w:p>
    <w:p w14:paraId="326F06B8" w14:textId="27531B35" w:rsidR="008E4D0D" w:rsidRPr="00402861" w:rsidRDefault="008E4D0D" w:rsidP="00A972FE">
      <w:pPr>
        <w:pStyle w:val="COMParaDecision"/>
        <w:numPr>
          <w:ilvl w:val="0"/>
          <w:numId w:val="33"/>
        </w:numPr>
        <w:ind w:left="567" w:hanging="567"/>
      </w:pPr>
      <w:r>
        <w:t>Ayant examiné</w:t>
      </w:r>
      <w:r w:rsidRPr="00A972FE">
        <w:rPr>
          <w:u w:val="none"/>
        </w:rPr>
        <w:t xml:space="preserve"> le </w:t>
      </w:r>
      <w:r w:rsidRPr="00402861">
        <w:rPr>
          <w:u w:val="none"/>
        </w:rPr>
        <w:t xml:space="preserve">document </w:t>
      </w:r>
      <w:hyperlink r:id="rId10" w:history="1">
        <w:r w:rsidRPr="00402861">
          <w:rPr>
            <w:rStyle w:val="Lienhypertexte"/>
          </w:rPr>
          <w:t>LHE/24/10.GA/4</w:t>
        </w:r>
      </w:hyperlink>
      <w:r w:rsidRPr="00402861">
        <w:rPr>
          <w:u w:val="none"/>
        </w:rPr>
        <w:t>,</w:t>
      </w:r>
    </w:p>
    <w:p w14:paraId="68618600" w14:textId="77777777" w:rsidR="008E4D0D" w:rsidRPr="00D5195B" w:rsidRDefault="008E4D0D" w:rsidP="00A972FE">
      <w:pPr>
        <w:pStyle w:val="COMParaDecision"/>
        <w:numPr>
          <w:ilvl w:val="0"/>
          <w:numId w:val="33"/>
        </w:numPr>
        <w:ind w:left="567" w:hanging="567"/>
      </w:pPr>
      <w:r>
        <w:t>Rappelant</w:t>
      </w:r>
      <w:r w:rsidRPr="00A972FE">
        <w:rPr>
          <w:u w:val="none"/>
        </w:rPr>
        <w:t xml:space="preserve"> l’article 6 de la Convention,</w:t>
      </w:r>
    </w:p>
    <w:p w14:paraId="005EA0F2" w14:textId="77777777" w:rsidR="008E4D0D" w:rsidRPr="00D5195B" w:rsidRDefault="008E4D0D" w:rsidP="00A972FE">
      <w:pPr>
        <w:pStyle w:val="COMParaDecision"/>
        <w:numPr>
          <w:ilvl w:val="0"/>
          <w:numId w:val="33"/>
        </w:numPr>
        <w:ind w:left="567" w:hanging="567"/>
        <w:jc w:val="left"/>
      </w:pPr>
      <w:r>
        <w:t>Rappelant en outre</w:t>
      </w:r>
      <w:r w:rsidRPr="00A972FE">
        <w:rPr>
          <w:u w:val="none"/>
        </w:rPr>
        <w:t xml:space="preserve"> l’article 35 du Règlement intérieur, ainsi que la résolution </w:t>
      </w:r>
      <w:hyperlink r:id="rId11" w:history="1">
        <w:r>
          <w:rPr>
            <w:rStyle w:val="Lienhypertexte"/>
          </w:rPr>
          <w:t>3.GA 12</w:t>
        </w:r>
      </w:hyperlink>
      <w:r w:rsidRPr="00A972FE">
        <w:rPr>
          <w:u w:val="none"/>
        </w:rPr>
        <w:t>,</w:t>
      </w:r>
    </w:p>
    <w:p w14:paraId="49510974" w14:textId="77777777" w:rsidR="008E4D0D" w:rsidRPr="00D5195B" w:rsidRDefault="008E4D0D" w:rsidP="00A972FE">
      <w:pPr>
        <w:pStyle w:val="COMParaDecision"/>
        <w:numPr>
          <w:ilvl w:val="0"/>
          <w:numId w:val="33"/>
        </w:numPr>
        <w:ind w:left="567" w:hanging="567"/>
      </w:pPr>
      <w:r>
        <w:t>Décide</w:t>
      </w:r>
      <w:r w:rsidRPr="00A972FE">
        <w:rPr>
          <w:u w:val="none"/>
        </w:rPr>
        <w:t xml:space="preserve"> qu’aux fins de l’élection lors de sa dixième session, les vingt-quatre sièges du Comité seront répartis entre les groupes électoraux comme </w:t>
      </w:r>
      <w:r w:rsidRPr="00F14572">
        <w:rPr>
          <w:u w:val="none"/>
        </w:rPr>
        <w:t>suit :</w:t>
      </w:r>
      <w:r w:rsidRPr="00A972FE">
        <w:rPr>
          <w:u w:val="none"/>
        </w:rPr>
        <w:t xml:space="preserve"> Groupe I – trois sièges ; Groupe II – trois sièges ; Groupe III – quatre sièges ; Groupe IV – cinq sièges ; Groupe V(a) – six sièges ; et Groupe V(b) – trois sièges.</w:t>
      </w:r>
    </w:p>
    <w:p w14:paraId="3A3F3508" w14:textId="59CE1FC0" w:rsidR="00E86980" w:rsidRPr="00BB6EEC" w:rsidRDefault="00E86980" w:rsidP="00E86980">
      <w:pPr>
        <w:pStyle w:val="COMTitleDecision"/>
        <w:ind w:left="0"/>
        <w:rPr>
          <w:rFonts w:eastAsia="SimSun"/>
        </w:rPr>
      </w:pPr>
      <w:r>
        <w:lastRenderedPageBreak/>
        <w:t>RÉSOLUTION 10.GA 5</w:t>
      </w:r>
    </w:p>
    <w:p w14:paraId="25E25338" w14:textId="77777777" w:rsidR="00E86980" w:rsidRPr="00BB6EEC" w:rsidRDefault="00E86980" w:rsidP="00E86980">
      <w:pPr>
        <w:pStyle w:val="COMPreambulaDecisions"/>
        <w:ind w:left="0"/>
        <w:rPr>
          <w:rFonts w:eastAsia="SimSun"/>
        </w:rPr>
      </w:pPr>
      <w:r>
        <w:t>L’Assemblée générale,</w:t>
      </w:r>
    </w:p>
    <w:p w14:paraId="769F409D" w14:textId="5FED05A3" w:rsidR="00E86980" w:rsidRPr="00BB6EEC" w:rsidRDefault="00E86980" w:rsidP="00040164">
      <w:pPr>
        <w:pStyle w:val="COMParaDecision"/>
        <w:numPr>
          <w:ilvl w:val="0"/>
          <w:numId w:val="34"/>
        </w:numPr>
        <w:ind w:left="567" w:hanging="567"/>
      </w:pPr>
      <w:r>
        <w:t>Ayant examiné</w:t>
      </w:r>
      <w:r w:rsidRPr="00E86980">
        <w:rPr>
          <w:u w:val="none"/>
        </w:rPr>
        <w:t xml:space="preserve"> le document </w:t>
      </w:r>
      <w:hyperlink r:id="rId12" w:history="1">
        <w:r w:rsidRPr="00402861">
          <w:rPr>
            <w:rStyle w:val="Lienhypertexte"/>
          </w:rPr>
          <w:t>LHE/24/10.GA/5</w:t>
        </w:r>
      </w:hyperlink>
      <w:r w:rsidRPr="00E86980">
        <w:rPr>
          <w:u w:val="none"/>
        </w:rPr>
        <w:t>,</w:t>
      </w:r>
    </w:p>
    <w:p w14:paraId="567ECCDB" w14:textId="77777777" w:rsidR="00E86980" w:rsidRPr="003B3594" w:rsidRDefault="00E86980" w:rsidP="001C14F4">
      <w:pPr>
        <w:pStyle w:val="COMParaDecision"/>
        <w:ind w:left="567" w:hanging="567"/>
      </w:pPr>
      <w:r>
        <w:t>Rappelant</w:t>
      </w:r>
      <w:r>
        <w:rPr>
          <w:u w:val="none"/>
        </w:rPr>
        <w:t xml:space="preserve"> l’article 30 de la Convention et la Résolution </w:t>
      </w:r>
      <w:hyperlink r:id="rId13" w:history="1">
        <w:r w:rsidRPr="00376166">
          <w:rPr>
            <w:rStyle w:val="Lienhypertexte"/>
          </w:rPr>
          <w:t>6.GA 5</w:t>
        </w:r>
      </w:hyperlink>
      <w:r w:rsidRPr="007827B7">
        <w:rPr>
          <w:u w:val="none"/>
        </w:rPr>
        <w:t>,</w:t>
      </w:r>
    </w:p>
    <w:p w14:paraId="5985D748" w14:textId="77777777" w:rsidR="00E86980" w:rsidRPr="008565A0" w:rsidRDefault="00E86980" w:rsidP="001C14F4">
      <w:pPr>
        <w:pStyle w:val="COMParaDecision"/>
        <w:ind w:left="567" w:hanging="567"/>
      </w:pPr>
      <w:r>
        <w:t>Accueille</w:t>
      </w:r>
      <w:r>
        <w:rPr>
          <w:u w:val="none"/>
        </w:rPr>
        <w:t xml:space="preserve"> Saint-Marin, qui a ratifié la Convention sur la période couverte par le rapport, ainsi que la Libye et le Royaume-Uni de Grande-Bretagne et d’Irlande du Nord qui l’ont ratifiée après la période couverte par le rapport, ce qui porte le nombre total d’États parties à 183, et </w:t>
      </w:r>
      <w:r w:rsidRPr="00376166">
        <w:t>encourage</w:t>
      </w:r>
      <w:r>
        <w:rPr>
          <w:u w:val="none"/>
        </w:rPr>
        <w:t xml:space="preserve"> les États qui n’ont pas encore ratifié la Convention à envisager de le faire ;</w:t>
      </w:r>
    </w:p>
    <w:p w14:paraId="7EA0CA4E" w14:textId="77777777" w:rsidR="00E86980" w:rsidRPr="005C792B" w:rsidRDefault="00E86980" w:rsidP="001C14F4">
      <w:pPr>
        <w:pStyle w:val="COMParaDecision"/>
        <w:ind w:left="567" w:hanging="567"/>
      </w:pPr>
      <w:r>
        <w:t>Prend note</w:t>
      </w:r>
      <w:r>
        <w:rPr>
          <w:u w:val="none"/>
        </w:rPr>
        <w:t xml:space="preserve"> du rapport du Comité à l’Assemblée générale sur ses activités entre janvier 2022 et décembre 2023, tel qu’annexé au présent document, et </w:t>
      </w:r>
      <w:r>
        <w:t>remercie</w:t>
      </w:r>
      <w:r>
        <w:rPr>
          <w:u w:val="none"/>
        </w:rPr>
        <w:t xml:space="preserve"> le Comité pour l’efficacité de son travail ;</w:t>
      </w:r>
    </w:p>
    <w:p w14:paraId="797E1AC7" w14:textId="77777777" w:rsidR="00E86980" w:rsidRPr="00BB6EEC" w:rsidRDefault="00E86980" w:rsidP="001C14F4">
      <w:pPr>
        <w:pStyle w:val="COMParaDecision"/>
        <w:ind w:left="567" w:hanging="567"/>
      </w:pPr>
      <w:r>
        <w:t>Félicite</w:t>
      </w:r>
      <w:r w:rsidRPr="00376166">
        <w:rPr>
          <w:u w:val="none"/>
        </w:rPr>
        <w:t xml:space="preserve"> </w:t>
      </w:r>
      <w:r w:rsidRPr="00F478FD">
        <w:rPr>
          <w:u w:val="none"/>
        </w:rPr>
        <w:t>le</w:t>
      </w:r>
      <w:r>
        <w:rPr>
          <w:u w:val="none"/>
        </w:rPr>
        <w:t xml:space="preserve"> Comité pour la préparation de la note d’orientation sur les dimensions économiques de la sauvegarde du patrimoine culturel immatériel et </w:t>
      </w:r>
      <w:r>
        <w:t>prend note</w:t>
      </w:r>
      <w:r>
        <w:rPr>
          <w:u w:val="none"/>
        </w:rPr>
        <w:t xml:space="preserve"> des travaux en cours dans le cadre des initiatives thématiques sur la sauvegarde du patrimoine culturel immatériel et le changement climatique et la sauvegarde du patrimoine culturel immatériel dans les contextes urbains ;</w:t>
      </w:r>
    </w:p>
    <w:p w14:paraId="75D63BA7" w14:textId="77777777" w:rsidR="00E86980" w:rsidRPr="009B682B" w:rsidRDefault="00E86980" w:rsidP="001C14F4">
      <w:pPr>
        <w:pStyle w:val="COMParaDecision"/>
        <w:ind w:left="567" w:hanging="567"/>
      </w:pPr>
      <w:r>
        <w:t>Félicite en outre</w:t>
      </w:r>
      <w:r>
        <w:rPr>
          <w:u w:val="none"/>
        </w:rPr>
        <w:t xml:space="preserve"> le Comité pour les progrès accomplis au niveau de </w:t>
      </w:r>
      <w:r w:rsidRPr="00286147">
        <w:rPr>
          <w:u w:val="none"/>
        </w:rPr>
        <w:t>la réflexion globale sur une mise en œuvre élargie de l’</w:t>
      </w:r>
      <w:r w:rsidRPr="00733192">
        <w:rPr>
          <w:u w:val="none"/>
        </w:rPr>
        <w:t>article 18, avec un processus de consultation inclusif avec des experts et le groupe de travail intergouvernemental à composition non limitée </w:t>
      </w:r>
      <w:r w:rsidRPr="009B682B">
        <w:rPr>
          <w:u w:val="none"/>
        </w:rPr>
        <w:t>;</w:t>
      </w:r>
    </w:p>
    <w:p w14:paraId="36BB5D25" w14:textId="0A044D45" w:rsidR="00E86980" w:rsidRPr="00EE67E0" w:rsidRDefault="00E86980" w:rsidP="001C14F4">
      <w:pPr>
        <w:pStyle w:val="COMParaDecision"/>
        <w:ind w:left="567" w:hanging="567"/>
      </w:pPr>
      <w:r>
        <w:t>Note avec satisfaction</w:t>
      </w:r>
      <w:r>
        <w:rPr>
          <w:u w:val="none"/>
        </w:rPr>
        <w:t xml:space="preserve"> l’augmentation des soumissions pour le cycle actuel des rapports périodiques et </w:t>
      </w:r>
      <w:r w:rsidR="00577793" w:rsidRPr="004962EB">
        <w:t>prend note</w:t>
      </w:r>
      <w:r w:rsidR="00577793" w:rsidRPr="00C8040F">
        <w:rPr>
          <w:u w:val="none"/>
        </w:rPr>
        <w:t xml:space="preserve"> de </w:t>
      </w:r>
      <w:r w:rsidRPr="00577793">
        <w:rPr>
          <w:u w:val="none"/>
        </w:rPr>
        <w:t>la</w:t>
      </w:r>
      <w:r w:rsidRPr="00286147">
        <w:rPr>
          <w:u w:val="none"/>
        </w:rPr>
        <w:t xml:space="preserve"> décision du Comité sur </w:t>
      </w:r>
      <w:r>
        <w:rPr>
          <w:u w:val="none"/>
        </w:rPr>
        <w:t>l’alignement proposé des mécanismes des rapports en vue d’un</w:t>
      </w:r>
      <w:r w:rsidRPr="00286147">
        <w:rPr>
          <w:u w:val="none"/>
        </w:rPr>
        <w:t xml:space="preserve"> système de soumission globale unique en préparation du Rapport mondial quadriennal sur les politiques culturelles à partir de 2025</w:t>
      </w:r>
      <w:r>
        <w:rPr>
          <w:u w:val="none"/>
        </w:rPr>
        <w:t xml:space="preserve"> (Décision </w:t>
      </w:r>
      <w:hyperlink r:id="rId14" w:history="1">
        <w:r>
          <w:rPr>
            <w:rStyle w:val="Lienhypertexte"/>
          </w:rPr>
          <w:t>18.COM 7.c</w:t>
        </w:r>
      </w:hyperlink>
      <w:r>
        <w:rPr>
          <w:u w:val="none"/>
        </w:rPr>
        <w:t>) ;</w:t>
      </w:r>
    </w:p>
    <w:p w14:paraId="4CF12870" w14:textId="4170EA0D" w:rsidR="00E86980" w:rsidRPr="00000673" w:rsidRDefault="00E86980" w:rsidP="001C14F4">
      <w:pPr>
        <w:pStyle w:val="COMParaDecision"/>
        <w:ind w:left="567" w:hanging="567"/>
      </w:pPr>
      <w:r>
        <w:t xml:space="preserve">Se félicite </w:t>
      </w:r>
      <w:r w:rsidR="00040164">
        <w:t>en outre</w:t>
      </w:r>
      <w:r w:rsidR="00040164">
        <w:rPr>
          <w:u w:val="none"/>
        </w:rPr>
        <w:t xml:space="preserve"> </w:t>
      </w:r>
      <w:r>
        <w:rPr>
          <w:u w:val="none"/>
        </w:rPr>
        <w:t>de la poursuite des travaux sur les deux priorités globales de financement de la Convention, « Renforcement des capacités de sauvegarde du patrimoine culturel immatériel par le biais d’approches multimodales et de contribution au développement durable » et « Sauvegarde du patrimoine culturel immatériel dans l’éducation formelle et non formelle », à la lumière de l’Agenda 2030 pour le développement durable et de la préparation de l’agenda post-2030 ;</w:t>
      </w:r>
    </w:p>
    <w:p w14:paraId="5AA91BEA" w14:textId="1EEFCE46" w:rsidR="00E86980" w:rsidRPr="00BB6EEC" w:rsidRDefault="00E86980" w:rsidP="001C14F4">
      <w:pPr>
        <w:pStyle w:val="COMParaDecision"/>
        <w:ind w:left="567" w:hanging="567"/>
      </w:pPr>
      <w:r>
        <w:t>Reconnaît</w:t>
      </w:r>
      <w:r>
        <w:rPr>
          <w:u w:val="none"/>
        </w:rPr>
        <w:t xml:space="preserve"> la décision du Comité d’utiliser la procédure de retrait nouvellement établie pour retirer une partie d’un élément de l’une des listes de la Convention, </w:t>
      </w:r>
      <w:r w:rsidR="00577793" w:rsidRPr="004962EB">
        <w:rPr>
          <w:u w:val="none"/>
        </w:rPr>
        <w:t xml:space="preserve">avec l’appui de l’État partie concerné, et </w:t>
      </w:r>
      <w:r w:rsidRPr="004962EB">
        <w:rPr>
          <w:u w:val="none"/>
        </w:rPr>
        <w:t>conformément aux principes fondateurs de l’UNESCO et aux principes de dignité, d’égalité et de respect mutuel entre les peuples</w:t>
      </w:r>
      <w:r>
        <w:rPr>
          <w:u w:val="none"/>
        </w:rPr>
        <w:t xml:space="preserve"> de la Convention </w:t>
      </w:r>
      <w:r w:rsidRPr="00376166">
        <w:rPr>
          <w:u w:val="none"/>
        </w:rPr>
        <w:t>;</w:t>
      </w:r>
    </w:p>
    <w:p w14:paraId="24A0C7EF" w14:textId="77777777" w:rsidR="00E86980" w:rsidRPr="00E86980" w:rsidRDefault="00E86980" w:rsidP="001C14F4">
      <w:pPr>
        <w:pStyle w:val="COMParaDecision"/>
        <w:ind w:left="567" w:hanging="567"/>
      </w:pPr>
      <w:r>
        <w:t>Demande</w:t>
      </w:r>
      <w:r>
        <w:rPr>
          <w:u w:val="none"/>
        </w:rPr>
        <w:t xml:space="preserve"> à la Directrice générale de porter ce rapport à l’attention de la Conférence générale de l’UNESCO, conformément au paragraphe 2 de l’article 30 de la Convention.</w:t>
      </w:r>
    </w:p>
    <w:p w14:paraId="44F19B2D" w14:textId="77777777" w:rsidR="00FC161D" w:rsidRPr="00E86980" w:rsidRDefault="00FC161D" w:rsidP="00FC161D">
      <w:pPr>
        <w:keepNext/>
        <w:spacing w:before="240" w:after="120"/>
        <w:jc w:val="both"/>
        <w:rPr>
          <w:rFonts w:ascii="Arial" w:eastAsia="SimSun" w:hAnsi="Arial" w:cs="Arial"/>
          <w:b/>
          <w:sz w:val="22"/>
          <w:szCs w:val="22"/>
        </w:rPr>
      </w:pPr>
      <w:r w:rsidRPr="00E86980">
        <w:rPr>
          <w:rFonts w:ascii="Arial" w:hAnsi="Arial" w:cs="Arial"/>
          <w:b/>
          <w:sz w:val="22"/>
          <w:szCs w:val="22"/>
        </w:rPr>
        <w:t>RÉSOLUTION 10.GA 6</w:t>
      </w:r>
    </w:p>
    <w:p w14:paraId="03DAD50F" w14:textId="77777777" w:rsidR="00FC161D" w:rsidRPr="00E86980" w:rsidRDefault="00FC161D" w:rsidP="00FC161D">
      <w:pPr>
        <w:keepNext/>
        <w:spacing w:after="120"/>
        <w:jc w:val="both"/>
        <w:rPr>
          <w:rFonts w:ascii="Arial" w:eastAsia="SimSun" w:hAnsi="Arial" w:cs="Arial"/>
          <w:sz w:val="22"/>
          <w:szCs w:val="22"/>
        </w:rPr>
      </w:pPr>
      <w:r w:rsidRPr="00E86980">
        <w:rPr>
          <w:rFonts w:ascii="Arial" w:hAnsi="Arial" w:cs="Arial"/>
          <w:sz w:val="22"/>
          <w:szCs w:val="22"/>
        </w:rPr>
        <w:t>L’Assemblée générale,</w:t>
      </w:r>
    </w:p>
    <w:p w14:paraId="7D2C4D67" w14:textId="22A2F135" w:rsidR="00FC161D" w:rsidRPr="00E86980" w:rsidRDefault="00FC161D" w:rsidP="00FC161D">
      <w:pPr>
        <w:pStyle w:val="COMParaDecision"/>
        <w:numPr>
          <w:ilvl w:val="0"/>
          <w:numId w:val="35"/>
        </w:numPr>
        <w:ind w:left="567" w:hanging="567"/>
        <w:rPr>
          <w:rFonts w:eastAsia="SimSun"/>
        </w:rPr>
      </w:pPr>
      <w:r w:rsidRPr="00E86980">
        <w:rPr>
          <w:rFonts w:eastAsia="SimSun"/>
        </w:rPr>
        <w:t>Ayant examiné</w:t>
      </w:r>
      <w:r w:rsidRPr="00E86980">
        <w:rPr>
          <w:rFonts w:eastAsia="SimSun"/>
          <w:u w:val="none"/>
        </w:rPr>
        <w:t xml:space="preserve"> le document </w:t>
      </w:r>
      <w:hyperlink r:id="rId15" w:history="1">
        <w:r w:rsidRPr="00402861">
          <w:rPr>
            <w:rStyle w:val="Lienhypertexte"/>
            <w:rFonts w:eastAsia="SimSun"/>
          </w:rPr>
          <w:t>LHE/24/10.GA/6</w:t>
        </w:r>
      </w:hyperlink>
      <w:r w:rsidRPr="00402861">
        <w:rPr>
          <w:rFonts w:eastAsia="SimSun"/>
          <w:u w:val="none"/>
        </w:rPr>
        <w:t xml:space="preserve"> </w:t>
      </w:r>
      <w:r w:rsidRPr="00E86980">
        <w:rPr>
          <w:rFonts w:eastAsia="SimSun"/>
          <w:u w:val="none"/>
        </w:rPr>
        <w:t>et ses annexes,</w:t>
      </w:r>
    </w:p>
    <w:p w14:paraId="27A26806" w14:textId="77777777"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Rappelant</w:t>
      </w:r>
      <w:r w:rsidRPr="00E86980">
        <w:rPr>
          <w:rFonts w:ascii="Arial" w:eastAsia="SimSun" w:hAnsi="Arial" w:cs="Arial"/>
          <w:sz w:val="22"/>
          <w:szCs w:val="22"/>
        </w:rPr>
        <w:t xml:space="preserve"> la résolution </w:t>
      </w:r>
      <w:hyperlink r:id="rId16" w:history="1">
        <w:r w:rsidRPr="00E86980">
          <w:rPr>
            <w:rFonts w:ascii="Arial" w:eastAsia="SimSun" w:hAnsi="Arial" w:cs="Arial"/>
            <w:color w:val="0000FF" w:themeColor="hyperlink"/>
            <w:sz w:val="22"/>
            <w:szCs w:val="22"/>
            <w:u w:val="single"/>
          </w:rPr>
          <w:t>9.GA 6</w:t>
        </w:r>
      </w:hyperlink>
      <w:r w:rsidRPr="00E86980">
        <w:rPr>
          <w:rFonts w:ascii="Arial" w:eastAsia="SimSun" w:hAnsi="Arial" w:cs="Arial"/>
          <w:sz w:val="22"/>
          <w:szCs w:val="22"/>
        </w:rPr>
        <w:t>, ainsi que les décisions </w:t>
      </w:r>
      <w:hyperlink r:id="rId17" w:history="1">
        <w:r w:rsidRPr="00E86980">
          <w:rPr>
            <w:rFonts w:ascii="Arial" w:eastAsia="SimSun" w:hAnsi="Arial" w:cs="Arial"/>
            <w:color w:val="0000FF" w:themeColor="hyperlink"/>
            <w:sz w:val="22"/>
            <w:szCs w:val="22"/>
            <w:u w:val="single"/>
          </w:rPr>
          <w:t>17.COM 15</w:t>
        </w:r>
      </w:hyperlink>
      <w:r w:rsidRPr="00E86980">
        <w:rPr>
          <w:rFonts w:ascii="Arial" w:eastAsia="SimSun" w:hAnsi="Arial" w:cs="Arial"/>
          <w:sz w:val="22"/>
          <w:szCs w:val="22"/>
        </w:rPr>
        <w:t xml:space="preserve"> et </w:t>
      </w:r>
      <w:hyperlink r:id="rId18" w:history="1">
        <w:r w:rsidRPr="00E86980">
          <w:rPr>
            <w:rFonts w:ascii="Arial" w:eastAsia="SimSun" w:hAnsi="Arial" w:cs="Arial"/>
            <w:color w:val="0000FF" w:themeColor="hyperlink"/>
            <w:sz w:val="22"/>
            <w:szCs w:val="22"/>
            <w:u w:val="single"/>
          </w:rPr>
          <w:t>18.COM 7.c</w:t>
        </w:r>
      </w:hyperlink>
      <w:r w:rsidRPr="00E86980">
        <w:rPr>
          <w:rFonts w:ascii="Arial" w:eastAsia="SimSun" w:hAnsi="Arial" w:cs="Arial"/>
          <w:sz w:val="22"/>
          <w:szCs w:val="22"/>
        </w:rPr>
        <w:t>,</w:t>
      </w:r>
    </w:p>
    <w:p w14:paraId="1C7D6E8C" w14:textId="73A7B957"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 xml:space="preserve">Rappelant </w:t>
      </w:r>
      <w:r w:rsidR="00040164">
        <w:rPr>
          <w:rFonts w:ascii="Arial" w:eastAsia="SimSun" w:hAnsi="Arial" w:cs="Arial"/>
          <w:sz w:val="22"/>
          <w:szCs w:val="22"/>
          <w:u w:val="single"/>
        </w:rPr>
        <w:t>en outre</w:t>
      </w:r>
      <w:r w:rsidR="00040164" w:rsidRPr="00E86980">
        <w:rPr>
          <w:rFonts w:ascii="Arial" w:eastAsia="SimSun" w:hAnsi="Arial" w:cs="Arial"/>
          <w:sz w:val="22"/>
          <w:szCs w:val="22"/>
        </w:rPr>
        <w:t xml:space="preserve"> </w:t>
      </w:r>
      <w:r w:rsidRPr="00E86980">
        <w:rPr>
          <w:rFonts w:ascii="Arial" w:eastAsia="SimSun" w:hAnsi="Arial" w:cs="Arial"/>
          <w:sz w:val="22"/>
          <w:szCs w:val="22"/>
        </w:rPr>
        <w:t>la résolution </w:t>
      </w:r>
      <w:hyperlink r:id="rId19" w:history="1">
        <w:r w:rsidRPr="00E86980">
          <w:rPr>
            <w:rFonts w:ascii="Arial" w:eastAsia="SimSun" w:hAnsi="Arial" w:cs="Arial"/>
            <w:color w:val="0000FF" w:themeColor="hyperlink"/>
            <w:sz w:val="22"/>
            <w:szCs w:val="22"/>
            <w:u w:val="single"/>
          </w:rPr>
          <w:t>42 C/81</w:t>
        </w:r>
      </w:hyperlink>
      <w:r w:rsidRPr="00E86980">
        <w:rPr>
          <w:rFonts w:ascii="Arial" w:eastAsia="SimSun" w:hAnsi="Arial" w:cs="Arial"/>
          <w:sz w:val="22"/>
          <w:szCs w:val="22"/>
        </w:rPr>
        <w:t xml:space="preserve"> de la Conférence générale et la décision </w:t>
      </w:r>
      <w:hyperlink r:id="rId20" w:history="1">
        <w:r w:rsidRPr="00E86980">
          <w:rPr>
            <w:rFonts w:ascii="Arial" w:eastAsia="SimSun" w:hAnsi="Arial" w:cs="Arial"/>
            <w:color w:val="0000FF" w:themeColor="hyperlink"/>
            <w:sz w:val="22"/>
            <w:szCs w:val="22"/>
            <w:u w:val="single"/>
          </w:rPr>
          <w:t>219 EX/13</w:t>
        </w:r>
      </w:hyperlink>
      <w:r w:rsidRPr="00E86980">
        <w:rPr>
          <w:rFonts w:ascii="Arial" w:eastAsia="SimSun" w:hAnsi="Arial" w:cs="Arial"/>
          <w:sz w:val="22"/>
          <w:szCs w:val="22"/>
        </w:rPr>
        <w:t xml:space="preserve"> du Conseil exécutif de l’UNESCO, ainsi que l’évaluation en 2021 par l’IOS de l’action de l’UNESCO dans le cadre de la Convention de 2003 et l’évaluation en 2024 par l’IOS des rapports périodiques de l’UNESCO sur les Conventions et Recommandations du secteur de la culture,</w:t>
      </w:r>
    </w:p>
    <w:p w14:paraId="1306A576" w14:textId="77777777"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lastRenderedPageBreak/>
        <w:t>Félicite</w:t>
      </w:r>
      <w:r w:rsidRPr="00E86980">
        <w:rPr>
          <w:rFonts w:ascii="Arial" w:eastAsia="SimSun" w:hAnsi="Arial" w:cs="Arial"/>
          <w:sz w:val="22"/>
          <w:szCs w:val="22"/>
        </w:rPr>
        <w:t xml:space="preserve"> le Secrétariat pour le soutien continu qu’il apporte à la bonne gouvernance de la Convention, grâce à l’organisation efficace des réunions statutaires et à la gestion des mécanismes de coopération internationale ;</w:t>
      </w:r>
    </w:p>
    <w:p w14:paraId="010666FA" w14:textId="784AFE22"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Félicite en outre</w:t>
      </w:r>
      <w:r w:rsidRPr="00E86980">
        <w:rPr>
          <w:rFonts w:ascii="Arial" w:eastAsia="SimSun" w:hAnsi="Arial" w:cs="Arial"/>
          <w:sz w:val="22"/>
          <w:szCs w:val="22"/>
        </w:rPr>
        <w:t xml:space="preserve"> le Secrétariat pour la mise en œuvre des Directives opérationnelles révisées suite à la réflexion globale sur les mécanismes d’inscription de la Convention, y compris son soutien à l’Organe d’évaluation, et </w:t>
      </w:r>
      <w:r w:rsidRPr="00E86980">
        <w:rPr>
          <w:rFonts w:ascii="Arial" w:eastAsia="SimSun" w:hAnsi="Arial" w:cs="Arial"/>
          <w:sz w:val="22"/>
          <w:szCs w:val="22"/>
          <w:u w:val="single"/>
        </w:rPr>
        <w:t>prend note</w:t>
      </w:r>
      <w:r w:rsidRPr="00E86980">
        <w:rPr>
          <w:rFonts w:ascii="Arial" w:eastAsia="SimSun" w:hAnsi="Arial" w:cs="Arial"/>
          <w:sz w:val="22"/>
          <w:szCs w:val="22"/>
        </w:rPr>
        <w:t xml:space="preserve"> des progrès réalisés </w:t>
      </w:r>
      <w:r w:rsidR="00626E9D" w:rsidRPr="004962EB">
        <w:rPr>
          <w:rFonts w:ascii="Arial" w:eastAsia="SimSun" w:hAnsi="Arial" w:cs="Arial"/>
          <w:sz w:val="22"/>
          <w:szCs w:val="22"/>
        </w:rPr>
        <w:t>et des défis restants à relever</w:t>
      </w:r>
      <w:r w:rsidR="00626E9D">
        <w:rPr>
          <w:rFonts w:ascii="Arial" w:eastAsia="SimSun" w:hAnsi="Arial" w:cs="Arial"/>
          <w:sz w:val="22"/>
          <w:szCs w:val="22"/>
        </w:rPr>
        <w:t xml:space="preserve"> </w:t>
      </w:r>
      <w:r w:rsidRPr="00E86980">
        <w:rPr>
          <w:rFonts w:ascii="Arial" w:eastAsia="SimSun" w:hAnsi="Arial" w:cs="Arial"/>
          <w:sz w:val="22"/>
          <w:szCs w:val="22"/>
        </w:rPr>
        <w:t>dans la réflexion sur une mise en œuvre plus large de l’article 18 ;</w:t>
      </w:r>
    </w:p>
    <w:p w14:paraId="6DA946C1" w14:textId="77777777"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Reconnaît</w:t>
      </w:r>
      <w:r w:rsidRPr="00E86980">
        <w:rPr>
          <w:rFonts w:ascii="Arial" w:eastAsia="SimSun" w:hAnsi="Arial" w:cs="Arial"/>
          <w:sz w:val="22"/>
          <w:szCs w:val="22"/>
        </w:rPr>
        <w:t xml:space="preserve"> le renforcement de la systématisation du mécanisme d’assistance internationale et </w:t>
      </w:r>
      <w:r w:rsidRPr="00E86980">
        <w:rPr>
          <w:rFonts w:ascii="Arial" w:eastAsia="SimSun" w:hAnsi="Arial" w:cs="Arial"/>
          <w:sz w:val="22"/>
          <w:szCs w:val="22"/>
          <w:u w:val="single"/>
        </w:rPr>
        <w:t>salue</w:t>
      </w:r>
      <w:r w:rsidRPr="00E86980">
        <w:rPr>
          <w:rFonts w:ascii="Arial" w:eastAsia="SimSun" w:hAnsi="Arial" w:cs="Arial"/>
          <w:sz w:val="22"/>
          <w:szCs w:val="22"/>
        </w:rPr>
        <w:t xml:space="preserve"> son extension à un groupe plus large de pays ayant bénéficié d’une assistance ;</w:t>
      </w:r>
    </w:p>
    <w:p w14:paraId="120C5453" w14:textId="77777777"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Note avec satisfaction</w:t>
      </w:r>
      <w:r w:rsidRPr="00E86980">
        <w:rPr>
          <w:rFonts w:ascii="Arial" w:eastAsia="SimSun" w:hAnsi="Arial" w:cs="Arial"/>
          <w:sz w:val="22"/>
          <w:szCs w:val="22"/>
        </w:rPr>
        <w:t xml:space="preserve"> l’amélioration substantielle des taux de soumission des rapports périodiques de l’Europe, des États arabes et de l’Afrique ;</w:t>
      </w:r>
    </w:p>
    <w:p w14:paraId="7E0BBD0E" w14:textId="77777777"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Apprécie</w:t>
      </w:r>
      <w:r w:rsidRPr="00E86980">
        <w:rPr>
          <w:rFonts w:ascii="Arial" w:eastAsia="SimSun" w:hAnsi="Arial" w:cs="Arial"/>
          <w:sz w:val="22"/>
          <w:szCs w:val="22"/>
        </w:rPr>
        <w:t xml:space="preserve"> la mise en œuvre continue du programme mondial de renforcement des capacités et sa réorientation vers une approche multimodale et intersectorielle, et </w:t>
      </w:r>
      <w:r w:rsidRPr="00E86980">
        <w:rPr>
          <w:rFonts w:ascii="Arial" w:eastAsia="SimSun" w:hAnsi="Arial" w:cs="Arial"/>
          <w:sz w:val="22"/>
          <w:szCs w:val="22"/>
          <w:u w:val="single"/>
        </w:rPr>
        <w:t>encourage</w:t>
      </w:r>
      <w:r w:rsidRPr="00E86980">
        <w:rPr>
          <w:rFonts w:ascii="Arial" w:eastAsia="SimSun" w:hAnsi="Arial" w:cs="Arial"/>
          <w:sz w:val="22"/>
          <w:szCs w:val="22"/>
        </w:rPr>
        <w:t xml:space="preserve"> le Secrétariat à continuer de renforcer ses synergies au sein de l’UNESCO et du système des Nations Unies dans son ensemble, dans le but d’intégrer le patrimoine vivant dans le programme de développement international post-2030 ;</w:t>
      </w:r>
    </w:p>
    <w:p w14:paraId="2360B82D" w14:textId="77777777"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Apprécie en outre</w:t>
      </w:r>
      <w:r w:rsidRPr="00E86980">
        <w:rPr>
          <w:rFonts w:ascii="Arial" w:eastAsia="SimSun" w:hAnsi="Arial" w:cs="Arial"/>
          <w:sz w:val="22"/>
          <w:szCs w:val="22"/>
        </w:rPr>
        <w:t xml:space="preserve"> les progrès réalisés dans le cadre des initiatives thématiques de la Convention, en particulier en ce qui concerne ses dimensions économiques, le changement climatique et les contextes urbains, et </w:t>
      </w:r>
      <w:r w:rsidRPr="00E86980">
        <w:rPr>
          <w:rFonts w:ascii="Arial" w:eastAsia="SimSun" w:hAnsi="Arial" w:cs="Arial"/>
          <w:sz w:val="22"/>
          <w:szCs w:val="22"/>
          <w:u w:val="single"/>
        </w:rPr>
        <w:t>invite</w:t>
      </w:r>
      <w:r w:rsidRPr="00E86980">
        <w:rPr>
          <w:rFonts w:ascii="Arial" w:eastAsia="SimSun" w:hAnsi="Arial" w:cs="Arial"/>
          <w:sz w:val="22"/>
          <w:szCs w:val="22"/>
        </w:rPr>
        <w:t xml:space="preserve"> le Secrétariat à poursuivre ces efforts, ainsi que dans d’autres domaines que le Comité pourrait demander, conformément aux domaines d’action soulignés dans la vision de Séoul pour l’avenir de la sauvegarde du patrimoine vivant pour le développement durable et la paix ;</w:t>
      </w:r>
    </w:p>
    <w:p w14:paraId="50865403" w14:textId="77777777"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Reconnaît</w:t>
      </w:r>
      <w:r w:rsidRPr="00E86980">
        <w:rPr>
          <w:rFonts w:ascii="Arial" w:eastAsia="SimSun" w:hAnsi="Arial" w:cs="Arial"/>
          <w:sz w:val="22"/>
          <w:szCs w:val="22"/>
        </w:rPr>
        <w:t xml:space="preserve"> les progrès accomplis en ce qui concerne les douze recommandations formulées dans l’évaluation en 2021 par l’IOS de l’action de l’UNESCO dans le cadre de la Convention de 2003 ;</w:t>
      </w:r>
    </w:p>
    <w:p w14:paraId="4C51E3BC" w14:textId="77777777"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Prend note</w:t>
      </w:r>
      <w:r w:rsidRPr="00E86980">
        <w:rPr>
          <w:rFonts w:ascii="Arial" w:eastAsia="SimSun" w:hAnsi="Arial" w:cs="Arial"/>
          <w:sz w:val="22"/>
          <w:szCs w:val="22"/>
        </w:rPr>
        <w:t xml:space="preserve"> de ce qui suit en ce qui concerne le développement futur de la Convention :</w:t>
      </w:r>
    </w:p>
    <w:p w14:paraId="7C9A8BAB" w14:textId="77777777" w:rsidR="00FC161D" w:rsidRPr="00C8040F" w:rsidRDefault="00FC161D" w:rsidP="00FC161D">
      <w:pPr>
        <w:numPr>
          <w:ilvl w:val="0"/>
          <w:numId w:val="22"/>
        </w:numPr>
        <w:autoSpaceDE w:val="0"/>
        <w:autoSpaceDN w:val="0"/>
        <w:adjustRightInd w:val="0"/>
        <w:spacing w:after="120"/>
        <w:ind w:left="1134" w:hanging="567"/>
        <w:jc w:val="both"/>
        <w:rPr>
          <w:rFonts w:ascii="Arial" w:eastAsia="SimSun" w:hAnsi="Arial" w:cs="Arial"/>
          <w:sz w:val="22"/>
          <w:szCs w:val="22"/>
          <w:u w:val="single"/>
        </w:rPr>
      </w:pPr>
      <w:r w:rsidRPr="00E86980">
        <w:rPr>
          <w:rFonts w:ascii="Arial" w:eastAsia="SimSun" w:hAnsi="Arial" w:cs="Arial"/>
          <w:sz w:val="22"/>
          <w:szCs w:val="22"/>
        </w:rPr>
        <w:t xml:space="preserve">La Vision de Séoul pour l’avenir de la sauvegarde du patrimoine vivant pour le développement durable et la paix, ainsi que les contributions fournies par les États parties dans le cadre de l’enquête, et </w:t>
      </w:r>
      <w:r w:rsidRPr="00E86980">
        <w:rPr>
          <w:rFonts w:ascii="Arial" w:eastAsia="SimSun" w:hAnsi="Arial" w:cs="Arial"/>
          <w:sz w:val="22"/>
          <w:szCs w:val="22"/>
          <w:u w:val="single"/>
        </w:rPr>
        <w:t>appelle</w:t>
      </w:r>
      <w:r w:rsidRPr="00E86980">
        <w:rPr>
          <w:rFonts w:ascii="Arial" w:eastAsia="SimSun" w:hAnsi="Arial" w:cs="Arial"/>
          <w:sz w:val="22"/>
          <w:szCs w:val="22"/>
        </w:rPr>
        <w:t xml:space="preserve"> les parties prenantes de la Convention à prendre en compte les principaux domaines d’action proposés dans leurs efforts de sauvegarde pour le développement futur de la Convention ;</w:t>
      </w:r>
    </w:p>
    <w:p w14:paraId="23EE4F5D" w14:textId="047E26C3" w:rsidR="00626E9D" w:rsidRPr="00C8040F" w:rsidRDefault="00626E9D" w:rsidP="00C8040F">
      <w:pPr>
        <w:pStyle w:val="Paragraphedeliste"/>
        <w:numPr>
          <w:ilvl w:val="0"/>
          <w:numId w:val="22"/>
        </w:numPr>
        <w:autoSpaceDE w:val="0"/>
        <w:autoSpaceDN w:val="0"/>
        <w:adjustRightInd w:val="0"/>
        <w:spacing w:after="120"/>
        <w:ind w:left="1134" w:hanging="567"/>
        <w:jc w:val="both"/>
        <w:rPr>
          <w:rFonts w:ascii="Arial" w:eastAsia="SimSun" w:hAnsi="Arial" w:cs="Arial"/>
          <w:sz w:val="22"/>
          <w:szCs w:val="22"/>
        </w:rPr>
      </w:pPr>
      <w:r w:rsidRPr="00C8040F">
        <w:rPr>
          <w:rFonts w:ascii="Arial" w:eastAsia="SimSun" w:hAnsi="Arial" w:cs="Arial"/>
          <w:sz w:val="22"/>
          <w:szCs w:val="22"/>
        </w:rPr>
        <w:t xml:space="preserve">L’appel à l’action « L’esprit de Naples » lancé lors de la conférence de l’UNESCO sur le patrimoine culturel au 21e siècle, et </w:t>
      </w:r>
      <w:r w:rsidRPr="001C14F4">
        <w:rPr>
          <w:rFonts w:ascii="Arial" w:eastAsia="SimSun" w:hAnsi="Arial" w:cs="Arial"/>
          <w:sz w:val="22"/>
          <w:szCs w:val="22"/>
          <w:u w:val="single"/>
        </w:rPr>
        <w:t>encourage</w:t>
      </w:r>
      <w:r w:rsidRPr="00C8040F">
        <w:rPr>
          <w:rFonts w:ascii="Arial" w:eastAsia="SimSun" w:hAnsi="Arial" w:cs="Arial"/>
          <w:sz w:val="22"/>
          <w:szCs w:val="22"/>
        </w:rPr>
        <w:t xml:space="preserve"> tous les États membres de l’UNESCO et les parties prenantes à adopter des politiques et des stratégies publiques ancrées dans les principes de l’appel à l’action et à promouvoir des approches globales pour sauvegarder le patrimoine matériel et immatériel</w:t>
      </w:r>
      <w:r w:rsidR="006811A0">
        <w:rPr>
          <w:rFonts w:ascii="Arial" w:eastAsia="SimSun" w:hAnsi="Arial" w:cs="Arial"/>
          <w:sz w:val="22"/>
          <w:szCs w:val="22"/>
        </w:rPr>
        <w:t> ;</w:t>
      </w:r>
    </w:p>
    <w:p w14:paraId="4FED204C" w14:textId="03357BFE" w:rsidR="00FC161D" w:rsidRPr="00E86980" w:rsidRDefault="00FC161D" w:rsidP="00FC161D">
      <w:pPr>
        <w:numPr>
          <w:ilvl w:val="0"/>
          <w:numId w:val="22"/>
        </w:numPr>
        <w:autoSpaceDE w:val="0"/>
        <w:autoSpaceDN w:val="0"/>
        <w:adjustRightInd w:val="0"/>
        <w:spacing w:after="120"/>
        <w:ind w:left="1134" w:hanging="567"/>
        <w:jc w:val="both"/>
        <w:rPr>
          <w:rFonts w:ascii="Arial" w:eastAsia="SimSun" w:hAnsi="Arial" w:cs="Arial"/>
          <w:sz w:val="22"/>
          <w:szCs w:val="22"/>
          <w:u w:val="single"/>
        </w:rPr>
      </w:pPr>
      <w:r w:rsidRPr="00E86980">
        <w:rPr>
          <w:rFonts w:ascii="Arial" w:eastAsia="SimSun" w:hAnsi="Arial" w:cs="Arial"/>
          <w:sz w:val="22"/>
          <w:szCs w:val="22"/>
        </w:rPr>
        <w:t xml:space="preserve">La déclaration finale de la Conférence mondiale de l’UNESCO sur les politiques culturelles et le développement durable – MONDIACULT 2022 ainsi que l’évaluation en 2024 par l’IOS des rapports périodiques de l’UNESCO sur les Conventions et Recommandations du secteur de la culture, et </w:t>
      </w:r>
      <w:r w:rsidR="004B3F6F" w:rsidRPr="001C14F4">
        <w:rPr>
          <w:rFonts w:ascii="Arial" w:eastAsia="SimSun" w:hAnsi="Arial" w:cs="Arial"/>
          <w:sz w:val="22"/>
          <w:szCs w:val="22"/>
          <w:u w:val="single"/>
        </w:rPr>
        <w:t>encourage</w:t>
      </w:r>
      <w:r w:rsidR="004B3F6F">
        <w:rPr>
          <w:rFonts w:ascii="Arial" w:eastAsia="SimSun" w:hAnsi="Arial" w:cs="Arial"/>
          <w:sz w:val="22"/>
          <w:szCs w:val="22"/>
        </w:rPr>
        <w:t xml:space="preserve"> </w:t>
      </w:r>
      <w:r w:rsidRPr="00E86980">
        <w:rPr>
          <w:rFonts w:ascii="Arial" w:eastAsia="SimSun" w:hAnsi="Arial" w:cs="Arial"/>
          <w:sz w:val="22"/>
          <w:szCs w:val="22"/>
        </w:rPr>
        <w:t>les mesures transitoires pour rationaliser les rapports périodiques vers le système unique de soumission globale, y compris en préparation du Rapport mondial de l’UNESCO sur les politiques culturelles, tel qu’approuvé par la dix-huitième session du Comité ;</w:t>
      </w:r>
    </w:p>
    <w:p w14:paraId="56FCE324" w14:textId="727913D0" w:rsidR="00FC161D" w:rsidRPr="00E86980" w:rsidRDefault="00FC161D" w:rsidP="00FC161D">
      <w:pPr>
        <w:numPr>
          <w:ilvl w:val="0"/>
          <w:numId w:val="22"/>
        </w:numPr>
        <w:autoSpaceDE w:val="0"/>
        <w:autoSpaceDN w:val="0"/>
        <w:adjustRightInd w:val="0"/>
        <w:spacing w:after="120"/>
        <w:ind w:left="1134" w:hanging="567"/>
        <w:jc w:val="both"/>
        <w:rPr>
          <w:rFonts w:ascii="Arial" w:eastAsia="SimSun" w:hAnsi="Arial" w:cs="Arial"/>
          <w:sz w:val="22"/>
          <w:szCs w:val="22"/>
          <w:u w:val="single"/>
        </w:rPr>
      </w:pPr>
      <w:r w:rsidRPr="00E86980">
        <w:rPr>
          <w:rFonts w:ascii="Arial" w:eastAsia="SimSun" w:hAnsi="Arial" w:cs="Arial"/>
          <w:sz w:val="22"/>
          <w:szCs w:val="22"/>
        </w:rPr>
        <w:t xml:space="preserve">Une invitation lancée par la Conférence générale de l’UNESCO à contribuer au processus de réflexion stratégique sur les futures orientations et priorités programmatiques pour la période quadriennale 2026-2029, </w:t>
      </w:r>
      <w:r w:rsidRPr="00E86980">
        <w:rPr>
          <w:rFonts w:ascii="Arial" w:eastAsia="SimSun" w:hAnsi="Arial" w:cs="Arial"/>
          <w:sz w:val="22"/>
          <w:szCs w:val="22"/>
          <w:u w:val="single"/>
        </w:rPr>
        <w:t>affirme</w:t>
      </w:r>
      <w:r w:rsidRPr="00E86980">
        <w:rPr>
          <w:rFonts w:ascii="Arial" w:eastAsia="SimSun" w:hAnsi="Arial" w:cs="Arial"/>
          <w:sz w:val="22"/>
          <w:szCs w:val="22"/>
        </w:rPr>
        <w:t xml:space="preserve"> l’importance stratégique du patrimoine vivant pour le développement humain durable dans les domaines de compétence de l’Organisation, et </w:t>
      </w:r>
      <w:r w:rsidRPr="00E86980">
        <w:rPr>
          <w:rFonts w:ascii="Arial" w:eastAsia="SimSun" w:hAnsi="Arial" w:cs="Arial"/>
          <w:sz w:val="22"/>
          <w:szCs w:val="22"/>
          <w:u w:val="single"/>
        </w:rPr>
        <w:t>demande</w:t>
      </w:r>
      <w:r w:rsidRPr="00E86980">
        <w:rPr>
          <w:rFonts w:ascii="Arial" w:eastAsia="SimSun" w:hAnsi="Arial" w:cs="Arial"/>
          <w:sz w:val="22"/>
          <w:szCs w:val="22"/>
        </w:rPr>
        <w:t xml:space="preserve"> au Secrétariat de refléter les discussions entreprises au cours de la présente session</w:t>
      </w:r>
      <w:r w:rsidR="006811A0">
        <w:rPr>
          <w:rFonts w:ascii="Arial" w:eastAsia="SimSun" w:hAnsi="Arial" w:cs="Arial"/>
          <w:sz w:val="22"/>
          <w:szCs w:val="22"/>
        </w:rPr>
        <w:t>,</w:t>
      </w:r>
      <w:r w:rsidRPr="00E86980">
        <w:rPr>
          <w:rFonts w:ascii="Arial" w:eastAsia="SimSun" w:hAnsi="Arial" w:cs="Arial"/>
          <w:sz w:val="22"/>
          <w:szCs w:val="22"/>
        </w:rPr>
        <w:t xml:space="preserve"> </w:t>
      </w:r>
      <w:r w:rsidR="004B3F6F" w:rsidRPr="004962EB">
        <w:rPr>
          <w:rFonts w:ascii="Arial" w:eastAsia="SimSun" w:hAnsi="Arial" w:cs="Arial"/>
          <w:sz w:val="22"/>
          <w:szCs w:val="22"/>
        </w:rPr>
        <w:t>ainsi que les contributions qui seront reçues par écrit après la présente session</w:t>
      </w:r>
      <w:r w:rsidR="006811A0">
        <w:rPr>
          <w:rFonts w:ascii="Arial" w:eastAsia="SimSun" w:hAnsi="Arial" w:cs="Arial"/>
          <w:sz w:val="22"/>
          <w:szCs w:val="22"/>
        </w:rPr>
        <w:t>,</w:t>
      </w:r>
      <w:r w:rsidR="004B3F6F" w:rsidRPr="004B3F6F">
        <w:rPr>
          <w:rFonts w:ascii="Arial" w:eastAsia="SimSun" w:hAnsi="Arial" w:cs="Arial"/>
          <w:sz w:val="22"/>
          <w:szCs w:val="22"/>
        </w:rPr>
        <w:t xml:space="preserve"> </w:t>
      </w:r>
      <w:r w:rsidRPr="00E86980">
        <w:rPr>
          <w:rFonts w:ascii="Arial" w:eastAsia="SimSun" w:hAnsi="Arial" w:cs="Arial"/>
          <w:sz w:val="22"/>
          <w:szCs w:val="22"/>
        </w:rPr>
        <w:t>dans la contribution du secteur de la culture aux propositions préliminaires de la Directrice générale sur le projet de 43 C/5 ;</w:t>
      </w:r>
    </w:p>
    <w:p w14:paraId="3EA2CC9F" w14:textId="77777777"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lastRenderedPageBreak/>
        <w:t>Demande en outre</w:t>
      </w:r>
      <w:r w:rsidRPr="00E86980">
        <w:rPr>
          <w:rFonts w:ascii="Arial" w:eastAsia="SimSun" w:hAnsi="Arial" w:cs="Arial"/>
          <w:sz w:val="22"/>
          <w:szCs w:val="22"/>
        </w:rPr>
        <w:t xml:space="preserve"> que le Secrétariat rende compte de ses activités pour la période comprise entre janvier 2024 et décembre 2025, pour examen par l’Assemblée générale lors de sa onzième session.</w:t>
      </w:r>
    </w:p>
    <w:p w14:paraId="3E9B4B6E" w14:textId="77777777" w:rsidR="00FC161D" w:rsidRPr="00B91626" w:rsidRDefault="00FC161D" w:rsidP="00FC161D">
      <w:pPr>
        <w:keepNext/>
        <w:spacing w:before="240" w:after="120"/>
        <w:jc w:val="both"/>
        <w:rPr>
          <w:rFonts w:ascii="Arial" w:eastAsia="SimSun" w:hAnsi="Arial" w:cs="Arial"/>
          <w:b/>
          <w:sz w:val="22"/>
          <w:szCs w:val="22"/>
        </w:rPr>
      </w:pPr>
      <w:r w:rsidRPr="00B91626">
        <w:rPr>
          <w:rFonts w:ascii="Arial" w:hAnsi="Arial" w:cs="Arial"/>
          <w:b/>
          <w:sz w:val="22"/>
          <w:szCs w:val="22"/>
        </w:rPr>
        <w:t>RÉSOLUTION 10.GA 7</w:t>
      </w:r>
    </w:p>
    <w:p w14:paraId="66A984C3" w14:textId="77777777" w:rsidR="00FC161D" w:rsidRPr="00B91626" w:rsidRDefault="00FC161D" w:rsidP="00FC161D">
      <w:pPr>
        <w:keepNext/>
        <w:spacing w:after="120"/>
        <w:jc w:val="both"/>
        <w:rPr>
          <w:rFonts w:ascii="Arial" w:eastAsia="SimSun" w:hAnsi="Arial" w:cs="Arial"/>
          <w:sz w:val="22"/>
          <w:szCs w:val="22"/>
        </w:rPr>
      </w:pPr>
      <w:r w:rsidRPr="00B91626">
        <w:rPr>
          <w:rFonts w:ascii="Arial" w:hAnsi="Arial" w:cs="Arial"/>
          <w:sz w:val="22"/>
          <w:szCs w:val="22"/>
        </w:rPr>
        <w:t>L’Assemblée générale,</w:t>
      </w:r>
    </w:p>
    <w:p w14:paraId="105729D3" w14:textId="04D0BE03" w:rsidR="00FC161D" w:rsidRPr="00E86980" w:rsidRDefault="00FC161D" w:rsidP="00FC161D">
      <w:pPr>
        <w:pStyle w:val="COMParaDecision"/>
        <w:numPr>
          <w:ilvl w:val="0"/>
          <w:numId w:val="36"/>
        </w:numPr>
        <w:ind w:left="567" w:hanging="567"/>
        <w:rPr>
          <w:rFonts w:eastAsia="SimSun"/>
          <w:u w:val="none"/>
        </w:rPr>
      </w:pPr>
      <w:r w:rsidRPr="00E86980">
        <w:rPr>
          <w:rFonts w:eastAsia="SimSun"/>
        </w:rPr>
        <w:t>Ayant examiné</w:t>
      </w:r>
      <w:r w:rsidRPr="00E86980">
        <w:rPr>
          <w:rFonts w:eastAsia="SimSun"/>
          <w:u w:val="none"/>
        </w:rPr>
        <w:t xml:space="preserve"> le document </w:t>
      </w:r>
      <w:hyperlink r:id="rId21" w:history="1">
        <w:r w:rsidRPr="00402861">
          <w:rPr>
            <w:rStyle w:val="Lienhypertexte"/>
            <w:rFonts w:eastAsia="SimSun"/>
          </w:rPr>
          <w:t>LHE/24/10.GA/7</w:t>
        </w:r>
      </w:hyperlink>
      <w:r w:rsidRPr="00402861">
        <w:rPr>
          <w:rFonts w:eastAsia="SimSun"/>
          <w:u w:val="none"/>
        </w:rPr>
        <w:t xml:space="preserve"> </w:t>
      </w:r>
      <w:r w:rsidRPr="00E86980">
        <w:rPr>
          <w:rFonts w:eastAsia="SimSun"/>
          <w:u w:val="none"/>
        </w:rPr>
        <w:t>et son annexe,</w:t>
      </w:r>
    </w:p>
    <w:p w14:paraId="7AEC363A" w14:textId="77777777"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Rappelant</w:t>
      </w:r>
      <w:r w:rsidRPr="00E86980">
        <w:rPr>
          <w:rFonts w:ascii="Arial" w:eastAsia="SimSun" w:hAnsi="Arial" w:cs="Arial"/>
          <w:sz w:val="22"/>
          <w:szCs w:val="22"/>
        </w:rPr>
        <w:t xml:space="preserve"> la résolution </w:t>
      </w:r>
      <w:hyperlink r:id="rId22" w:history="1">
        <w:r w:rsidRPr="00E86980">
          <w:rPr>
            <w:rFonts w:ascii="Arial" w:eastAsia="SimSun" w:hAnsi="Arial" w:cs="Arial"/>
            <w:color w:val="0000FF" w:themeColor="hyperlink"/>
            <w:sz w:val="22"/>
            <w:szCs w:val="22"/>
            <w:u w:val="single"/>
          </w:rPr>
          <w:t>9.GA 9</w:t>
        </w:r>
      </w:hyperlink>
      <w:r w:rsidRPr="00E86980">
        <w:rPr>
          <w:rFonts w:ascii="Arial" w:eastAsia="SimSun" w:hAnsi="Arial" w:cs="Arial"/>
          <w:sz w:val="22"/>
          <w:szCs w:val="22"/>
        </w:rPr>
        <w:t xml:space="preserve"> ainsi que les décisions </w:t>
      </w:r>
      <w:hyperlink r:id="rId23" w:history="1">
        <w:r w:rsidRPr="00E86980">
          <w:rPr>
            <w:rFonts w:ascii="Arial" w:eastAsia="SimSun" w:hAnsi="Arial" w:cs="Arial"/>
            <w:color w:val="0000FF" w:themeColor="hyperlink"/>
            <w:sz w:val="22"/>
            <w:szCs w:val="22"/>
            <w:u w:val="single"/>
          </w:rPr>
          <w:t>16.COM 14</w:t>
        </w:r>
      </w:hyperlink>
      <w:r w:rsidRPr="00E86980">
        <w:rPr>
          <w:rFonts w:ascii="Arial" w:eastAsia="SimSun" w:hAnsi="Arial" w:cs="Arial"/>
          <w:sz w:val="22"/>
          <w:szCs w:val="22"/>
        </w:rPr>
        <w:t xml:space="preserve">, </w:t>
      </w:r>
      <w:hyperlink r:id="rId24" w:history="1">
        <w:r w:rsidRPr="00E86980">
          <w:rPr>
            <w:rFonts w:ascii="Arial" w:eastAsia="SimSun" w:hAnsi="Arial" w:cs="Arial"/>
            <w:color w:val="0000FF" w:themeColor="hyperlink"/>
            <w:sz w:val="22"/>
            <w:szCs w:val="22"/>
            <w:u w:val="single"/>
          </w:rPr>
          <w:t>17.COM 7</w:t>
        </w:r>
      </w:hyperlink>
      <w:r w:rsidRPr="00E86980">
        <w:rPr>
          <w:rFonts w:ascii="Arial" w:eastAsia="SimSun" w:hAnsi="Arial" w:cs="Arial"/>
          <w:sz w:val="22"/>
          <w:szCs w:val="22"/>
        </w:rPr>
        <w:t xml:space="preserve">, </w:t>
      </w:r>
      <w:hyperlink r:id="rId25" w:history="1">
        <w:r w:rsidRPr="00E86980">
          <w:rPr>
            <w:rFonts w:ascii="Arial" w:eastAsia="SimSun" w:hAnsi="Arial" w:cs="Arial"/>
            <w:color w:val="0000FF" w:themeColor="hyperlink"/>
            <w:sz w:val="22"/>
            <w:szCs w:val="22"/>
            <w:u w:val="single"/>
          </w:rPr>
          <w:t>18.COM 10</w:t>
        </w:r>
      </w:hyperlink>
      <w:r w:rsidRPr="00E86980">
        <w:rPr>
          <w:rFonts w:ascii="Arial" w:eastAsia="SimSun" w:hAnsi="Arial" w:cs="Arial"/>
          <w:color w:val="0000FF" w:themeColor="hyperlink"/>
          <w:sz w:val="22"/>
          <w:szCs w:val="22"/>
        </w:rPr>
        <w:t xml:space="preserve"> </w:t>
      </w:r>
      <w:r w:rsidRPr="00E86980">
        <w:rPr>
          <w:rFonts w:ascii="Arial" w:eastAsia="SimSun" w:hAnsi="Arial" w:cs="Arial"/>
          <w:sz w:val="22"/>
          <w:szCs w:val="22"/>
        </w:rPr>
        <w:t xml:space="preserve">et </w:t>
      </w:r>
      <w:hyperlink r:id="rId26" w:history="1">
        <w:r w:rsidRPr="00E86980">
          <w:rPr>
            <w:rFonts w:ascii="Arial" w:eastAsia="SimSun" w:hAnsi="Arial" w:cs="Arial"/>
            <w:color w:val="0000FF" w:themeColor="hyperlink"/>
            <w:sz w:val="22"/>
            <w:szCs w:val="22"/>
            <w:u w:val="single"/>
          </w:rPr>
          <w:t>18.COM 11</w:t>
        </w:r>
      </w:hyperlink>
      <w:r w:rsidRPr="00E86980">
        <w:rPr>
          <w:rFonts w:ascii="Arial" w:eastAsia="SimSun" w:hAnsi="Arial" w:cs="Arial"/>
          <w:sz w:val="22"/>
          <w:szCs w:val="22"/>
        </w:rPr>
        <w:t xml:space="preserve">, </w:t>
      </w:r>
    </w:p>
    <w:p w14:paraId="59513C3F" w14:textId="77777777" w:rsidR="00FC161D" w:rsidRPr="00E86980" w:rsidRDefault="00FC161D" w:rsidP="00FC161D">
      <w:pPr>
        <w:keepNext/>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Prend note</w:t>
      </w:r>
      <w:r w:rsidRPr="00E86980">
        <w:rPr>
          <w:rFonts w:ascii="Arial" w:eastAsia="SimSun" w:hAnsi="Arial" w:cs="Arial"/>
          <w:sz w:val="22"/>
          <w:szCs w:val="22"/>
        </w:rPr>
        <w:t xml:space="preserve"> des amendements proposés aux Directives opérationnelles concernant les critères de sélection pour le Registre de bonnes pratiques de sauvegarde, approuvés par la dix-huitième session du Comité, suite aux recommandations du groupe de travail intergouvernemental à composition non limitée ;</w:t>
      </w:r>
    </w:p>
    <w:p w14:paraId="1C81148E" w14:textId="77777777" w:rsidR="00FC161D" w:rsidRPr="00E86980"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Remercie</w:t>
      </w:r>
      <w:r w:rsidRPr="00E86980">
        <w:rPr>
          <w:rFonts w:ascii="Arial" w:eastAsia="SimSun" w:hAnsi="Arial" w:cs="Arial"/>
          <w:sz w:val="22"/>
          <w:szCs w:val="22"/>
        </w:rPr>
        <w:t xml:space="preserve"> la Suède d’avoir soutenu la réflexion sur une mise en œuvre plus large de l’article 18 de la Convention ;</w:t>
      </w:r>
    </w:p>
    <w:p w14:paraId="1EFE52FF" w14:textId="77777777" w:rsidR="00FC161D" w:rsidRPr="00C8040F" w:rsidRDefault="00FC161D" w:rsidP="00FC161D">
      <w:pPr>
        <w:numPr>
          <w:ilvl w:val="0"/>
          <w:numId w:val="10"/>
        </w:numPr>
        <w:autoSpaceDE w:val="0"/>
        <w:autoSpaceDN w:val="0"/>
        <w:adjustRightInd w:val="0"/>
        <w:spacing w:after="120"/>
        <w:ind w:left="567" w:hanging="567"/>
        <w:jc w:val="both"/>
        <w:rPr>
          <w:rFonts w:ascii="Arial" w:eastAsia="SimSun" w:hAnsi="Arial" w:cs="Arial"/>
        </w:rPr>
      </w:pPr>
      <w:r w:rsidRPr="00E86980">
        <w:rPr>
          <w:rFonts w:ascii="Arial" w:eastAsia="SimSun" w:hAnsi="Arial" w:cs="Arial"/>
          <w:sz w:val="22"/>
          <w:szCs w:val="22"/>
          <w:u w:val="single"/>
        </w:rPr>
        <w:t>Exprime ses remerciements</w:t>
      </w:r>
      <w:r w:rsidRPr="00E86980">
        <w:rPr>
          <w:rFonts w:ascii="Arial" w:eastAsia="SimSun" w:hAnsi="Arial" w:cs="Arial"/>
          <w:sz w:val="22"/>
          <w:szCs w:val="22"/>
        </w:rPr>
        <w:t xml:space="preserve"> au groupe de travail intergouvernemental à composition non limitée et aux experts qui ont participé à la consultation pour leur travail et leur réflexion sur la manière d’améliorer l’accès et d’augmenter la visibilité du Registre de bonnes pratiques de sauvegarde ;</w:t>
      </w:r>
    </w:p>
    <w:p w14:paraId="4270418C" w14:textId="2D831BDF" w:rsidR="004B3F6F" w:rsidRPr="00C8040F" w:rsidRDefault="004B3F6F" w:rsidP="00C8040F">
      <w:pPr>
        <w:autoSpaceDE w:val="0"/>
        <w:autoSpaceDN w:val="0"/>
        <w:adjustRightInd w:val="0"/>
        <w:spacing w:after="120"/>
        <w:ind w:left="567" w:hanging="567"/>
        <w:jc w:val="both"/>
        <w:rPr>
          <w:rFonts w:ascii="Arial" w:eastAsia="SimSun" w:hAnsi="Arial" w:cs="Arial"/>
          <w:sz w:val="22"/>
          <w:szCs w:val="22"/>
        </w:rPr>
      </w:pPr>
      <w:r w:rsidRPr="00C8040F">
        <w:rPr>
          <w:rFonts w:ascii="Arial" w:eastAsia="SimSun" w:hAnsi="Arial" w:cs="Arial"/>
          <w:sz w:val="22"/>
          <w:szCs w:val="22"/>
        </w:rPr>
        <w:t xml:space="preserve">5bis. </w:t>
      </w:r>
      <w:r w:rsidRPr="00C8040F">
        <w:rPr>
          <w:rFonts w:ascii="Arial" w:eastAsia="SimSun" w:hAnsi="Arial" w:cs="Arial"/>
          <w:sz w:val="22"/>
          <w:szCs w:val="22"/>
          <w:u w:val="single"/>
        </w:rPr>
        <w:t>Demande</w:t>
      </w:r>
      <w:r w:rsidRPr="00C8040F">
        <w:rPr>
          <w:rFonts w:ascii="Arial" w:eastAsia="SimSun" w:hAnsi="Arial" w:cs="Arial"/>
          <w:sz w:val="22"/>
          <w:szCs w:val="22"/>
        </w:rPr>
        <w:t xml:space="preserve"> au Secrétariat, au Comité et à l’Organe d’évaluation d’explorer les moyens de refléter pleinement les résultats de la réflexion globale sur les mécanismes d'inscription sur les listes de la Convention (2018 - 2022) et de la réflexion en cours sur une mise en œuvre plus large de l’article 18 de la Convention, en vue de garantir que le Registre de bonnes pratiques de sauvegarde bénéficie d’un nombre croissant et d’une diversité d’expériences de sauvegarde et de faire rapport des résultats de cette réflexion lors de la prochaine session de l’Assemblée générale</w:t>
      </w:r>
      <w:r w:rsidRPr="004962EB">
        <w:rPr>
          <w:rFonts w:ascii="Arial" w:eastAsia="SimSun" w:hAnsi="Arial" w:cs="Arial"/>
          <w:sz w:val="22"/>
          <w:szCs w:val="22"/>
        </w:rPr>
        <w:t xml:space="preserve"> ; </w:t>
      </w:r>
    </w:p>
    <w:p w14:paraId="1DC2B816" w14:textId="77777777" w:rsidR="00FC161D" w:rsidRPr="004962EB"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4962EB">
        <w:rPr>
          <w:rFonts w:ascii="Arial" w:eastAsia="SimSun" w:hAnsi="Arial" w:cs="Arial"/>
          <w:sz w:val="22"/>
          <w:szCs w:val="22"/>
          <w:u w:val="single"/>
        </w:rPr>
        <w:t>Approuve</w:t>
      </w:r>
      <w:r w:rsidRPr="004962EB">
        <w:rPr>
          <w:rFonts w:ascii="Arial" w:eastAsia="SimSun" w:hAnsi="Arial" w:cs="Arial"/>
          <w:sz w:val="22"/>
          <w:szCs w:val="22"/>
        </w:rPr>
        <w:t xml:space="preserve"> les amendements aux Directives opérationnelles tels qu’ils figurent à la section I de l’annexe de la présente résolution ;</w:t>
      </w:r>
    </w:p>
    <w:p w14:paraId="39E44CD9" w14:textId="77777777" w:rsidR="00FC161D" w:rsidRPr="004962EB" w:rsidRDefault="00FC161D" w:rsidP="00FC161D">
      <w:pPr>
        <w:numPr>
          <w:ilvl w:val="0"/>
          <w:numId w:val="10"/>
        </w:numPr>
        <w:autoSpaceDE w:val="0"/>
        <w:autoSpaceDN w:val="0"/>
        <w:adjustRightInd w:val="0"/>
        <w:spacing w:after="120"/>
        <w:ind w:left="567" w:hanging="567"/>
        <w:jc w:val="both"/>
        <w:rPr>
          <w:rFonts w:ascii="Arial" w:eastAsia="SimSun" w:hAnsi="Arial" w:cs="Arial"/>
        </w:rPr>
      </w:pPr>
      <w:r w:rsidRPr="004962EB">
        <w:rPr>
          <w:rFonts w:ascii="Arial" w:eastAsia="SimSun" w:hAnsi="Arial" w:cs="Arial"/>
          <w:sz w:val="22"/>
          <w:szCs w:val="22"/>
          <w:u w:val="single"/>
        </w:rPr>
        <w:t>Prend note</w:t>
      </w:r>
      <w:r w:rsidRPr="004962EB">
        <w:rPr>
          <w:rFonts w:ascii="Arial" w:eastAsia="SimSun" w:hAnsi="Arial" w:cs="Arial"/>
          <w:sz w:val="22"/>
          <w:szCs w:val="22"/>
        </w:rPr>
        <w:t xml:space="preserve"> des amendements proposés aux Directives opérationnelles afin d’élargir le champ d’action de l’assistance internationale préparatoire, approuvés par la dix-huitième session du Comité ;</w:t>
      </w:r>
    </w:p>
    <w:p w14:paraId="066502EB" w14:textId="70E2C2A4" w:rsidR="00FC161D" w:rsidRPr="00E86980" w:rsidRDefault="00FC161D" w:rsidP="004B3F6F">
      <w:pPr>
        <w:numPr>
          <w:ilvl w:val="0"/>
          <w:numId w:val="10"/>
        </w:numPr>
        <w:autoSpaceDE w:val="0"/>
        <w:autoSpaceDN w:val="0"/>
        <w:adjustRightInd w:val="0"/>
        <w:spacing w:after="120"/>
        <w:ind w:left="567" w:hanging="567"/>
        <w:jc w:val="both"/>
        <w:rPr>
          <w:rFonts w:ascii="Arial" w:eastAsia="SimSun" w:hAnsi="Arial" w:cs="Arial"/>
        </w:rPr>
      </w:pPr>
      <w:r w:rsidRPr="004962EB">
        <w:rPr>
          <w:rFonts w:ascii="Arial" w:eastAsia="SimSun" w:hAnsi="Arial" w:cs="Arial"/>
          <w:sz w:val="22"/>
          <w:szCs w:val="22"/>
          <w:u w:val="single"/>
        </w:rPr>
        <w:t>Encourage</w:t>
      </w:r>
      <w:r w:rsidRPr="004962EB">
        <w:rPr>
          <w:rFonts w:ascii="Arial" w:eastAsia="SimSun" w:hAnsi="Arial" w:cs="Arial"/>
          <w:sz w:val="22"/>
          <w:szCs w:val="22"/>
        </w:rPr>
        <w:t xml:space="preserve"> les États parties éligibles n’ayant aucun élément </w:t>
      </w:r>
      <w:r w:rsidR="004B3F6F" w:rsidRPr="004962EB">
        <w:rPr>
          <w:rFonts w:ascii="Arial" w:eastAsia="SimSun" w:hAnsi="Arial" w:cs="Arial"/>
          <w:sz w:val="22"/>
          <w:szCs w:val="22"/>
        </w:rPr>
        <w:t xml:space="preserve">du patrimoine culturel immatériel présent sur leur territoire </w:t>
      </w:r>
      <w:r w:rsidRPr="004962EB">
        <w:rPr>
          <w:rFonts w:ascii="Arial" w:eastAsia="SimSun" w:hAnsi="Arial" w:cs="Arial"/>
          <w:sz w:val="22"/>
          <w:szCs w:val="22"/>
        </w:rPr>
        <w:t xml:space="preserve">inscrit sur les listes de la Convention </w:t>
      </w:r>
      <w:r w:rsidR="004B3F6F" w:rsidRPr="004962EB">
        <w:rPr>
          <w:rFonts w:ascii="Arial" w:eastAsia="SimSun" w:hAnsi="Arial" w:cs="Arial"/>
          <w:sz w:val="22"/>
          <w:szCs w:val="22"/>
        </w:rPr>
        <w:t xml:space="preserve">(à l’exception des éléments proposés par le biais de candidatures multinationales) </w:t>
      </w:r>
      <w:r w:rsidRPr="004962EB">
        <w:rPr>
          <w:rFonts w:ascii="Arial" w:eastAsia="SimSun" w:hAnsi="Arial" w:cs="Arial"/>
          <w:sz w:val="22"/>
          <w:szCs w:val="22"/>
        </w:rPr>
        <w:t>à soumettre une demande au Fonds pour préparer leur premier dossier de candidature à la Liste représentative du patrimoine culturel immatériel de l’humanité, en gardant à l’esprit la prochaine date limite du</w:t>
      </w:r>
      <w:r w:rsidRPr="00E86980">
        <w:rPr>
          <w:rFonts w:ascii="Arial" w:eastAsia="SimSun" w:hAnsi="Arial" w:cs="Arial"/>
          <w:sz w:val="22"/>
          <w:szCs w:val="22"/>
        </w:rPr>
        <w:t xml:space="preserve"> 31 mars 2025, puis tous les ans ;</w:t>
      </w:r>
    </w:p>
    <w:p w14:paraId="6C2D9BEE" w14:textId="76A1A688" w:rsidR="00FC161D"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E86980">
        <w:rPr>
          <w:rFonts w:ascii="Arial" w:eastAsia="SimSun" w:hAnsi="Arial" w:cs="Arial"/>
          <w:sz w:val="22"/>
          <w:szCs w:val="22"/>
          <w:u w:val="single"/>
        </w:rPr>
        <w:t>Approuve</w:t>
      </w:r>
      <w:r w:rsidRPr="00E86980">
        <w:rPr>
          <w:rFonts w:ascii="Arial" w:eastAsia="SimSun" w:hAnsi="Arial" w:cs="Arial"/>
          <w:sz w:val="22"/>
          <w:szCs w:val="22"/>
        </w:rPr>
        <w:t xml:space="preserve"> les amendements aux Directives opérationnelles tels qu’ils figurent </w:t>
      </w:r>
      <w:r w:rsidR="006811A0">
        <w:rPr>
          <w:rFonts w:ascii="Arial" w:eastAsia="SimSun" w:hAnsi="Arial" w:cs="Arial"/>
          <w:sz w:val="22"/>
          <w:szCs w:val="22"/>
        </w:rPr>
        <w:t xml:space="preserve">en </w:t>
      </w:r>
      <w:r w:rsidRPr="00E86980">
        <w:rPr>
          <w:rFonts w:ascii="Arial" w:eastAsia="SimSun" w:hAnsi="Arial" w:cs="Arial"/>
          <w:sz w:val="22"/>
          <w:szCs w:val="22"/>
        </w:rPr>
        <w:t>annexe de la présente résolution.</w:t>
      </w:r>
    </w:p>
    <w:p w14:paraId="2CC3D9E5" w14:textId="77777777" w:rsidR="00FC161D" w:rsidRPr="00D35E2A" w:rsidRDefault="00FC161D" w:rsidP="00FC161D">
      <w:pPr>
        <w:autoSpaceDE w:val="0"/>
        <w:autoSpaceDN w:val="0"/>
        <w:adjustRightInd w:val="0"/>
        <w:spacing w:after="120"/>
        <w:jc w:val="center"/>
        <w:rPr>
          <w:rFonts w:ascii="Arial" w:eastAsia="SimSun" w:hAnsi="Arial" w:cs="Arial"/>
          <w:b/>
          <w:bCs/>
          <w:sz w:val="22"/>
          <w:szCs w:val="22"/>
        </w:rPr>
      </w:pPr>
    </w:p>
    <w:p w14:paraId="708AF756" w14:textId="77777777" w:rsidR="00FC161D" w:rsidRPr="00D35E2A" w:rsidRDefault="00FC161D" w:rsidP="00FC161D">
      <w:pPr>
        <w:autoSpaceDE w:val="0"/>
        <w:autoSpaceDN w:val="0"/>
        <w:adjustRightInd w:val="0"/>
        <w:spacing w:after="120"/>
        <w:jc w:val="center"/>
        <w:rPr>
          <w:rFonts w:ascii="Arial" w:eastAsia="SimSun" w:hAnsi="Arial" w:cs="Arial"/>
          <w:b/>
          <w:bCs/>
          <w:sz w:val="22"/>
          <w:szCs w:val="22"/>
        </w:rPr>
      </w:pPr>
      <w:r w:rsidRPr="00D35E2A">
        <w:rPr>
          <w:rFonts w:ascii="Arial" w:eastAsia="SimSun" w:hAnsi="Arial" w:cs="Arial"/>
          <w:b/>
          <w:bCs/>
          <w:sz w:val="22"/>
          <w:szCs w:val="22"/>
        </w:rPr>
        <w:t>Annexe</w:t>
      </w:r>
    </w:p>
    <w:p w14:paraId="1E3F9395" w14:textId="77777777" w:rsidR="00FC161D" w:rsidRPr="00401183" w:rsidRDefault="00FC161D" w:rsidP="00C8040F">
      <w:pPr>
        <w:pStyle w:val="Paragraphedeliste"/>
        <w:numPr>
          <w:ilvl w:val="0"/>
          <w:numId w:val="37"/>
        </w:numPr>
        <w:autoSpaceDE w:val="0"/>
        <w:autoSpaceDN w:val="0"/>
        <w:adjustRightInd w:val="0"/>
        <w:spacing w:after="120"/>
        <w:ind w:left="990"/>
        <w:jc w:val="both"/>
        <w:rPr>
          <w:rFonts w:ascii="Arial" w:eastAsia="SimSun" w:hAnsi="Arial" w:cs="Arial"/>
          <w:b/>
          <w:bCs/>
          <w:sz w:val="22"/>
          <w:szCs w:val="22"/>
          <w:u w:val="single"/>
        </w:rPr>
      </w:pPr>
      <w:r w:rsidRPr="00401183">
        <w:rPr>
          <w:rFonts w:ascii="Arial" w:eastAsia="SimSun" w:hAnsi="Arial" w:cs="Arial"/>
          <w:b/>
          <w:bCs/>
          <w:sz w:val="22"/>
          <w:szCs w:val="22"/>
          <w:u w:val="single"/>
        </w:rPr>
        <w:t>Critères pour la sélection des programmes, projets et activités reflétant le mieux les principes et objectifs de la Convention</w:t>
      </w:r>
    </w:p>
    <w:tbl>
      <w:tblPr>
        <w:tblStyle w:val="Grilledutableau2"/>
        <w:tblW w:w="9096"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8556"/>
      </w:tblGrid>
      <w:tr w:rsidR="0008289D" w:rsidRPr="00401183" w14:paraId="67C32BAB" w14:textId="77777777" w:rsidTr="00C8040F">
        <w:tc>
          <w:tcPr>
            <w:tcW w:w="540" w:type="dxa"/>
            <w:shd w:val="clear" w:color="auto" w:fill="auto"/>
          </w:tcPr>
          <w:p w14:paraId="080D7FFE" w14:textId="77777777" w:rsidR="0008289D" w:rsidRPr="00401183" w:rsidRDefault="0008289D" w:rsidP="0033776E">
            <w:pPr>
              <w:keepNext/>
              <w:keepLines/>
              <w:spacing w:before="120" w:after="120"/>
              <w:rPr>
                <w:rFonts w:ascii="Arial" w:eastAsia="Yu Mincho" w:hAnsi="Arial"/>
                <w:sz w:val="22"/>
                <w:szCs w:val="22"/>
                <w:lang w:val="fr-CM"/>
              </w:rPr>
            </w:pPr>
            <w:r w:rsidRPr="00401183">
              <w:rPr>
                <w:rFonts w:ascii="Arial" w:eastAsia="Yu Mincho" w:hAnsi="Arial"/>
                <w:sz w:val="22"/>
                <w:szCs w:val="22"/>
                <w:lang w:val="fr-CM"/>
              </w:rPr>
              <w:t>I.3</w:t>
            </w:r>
          </w:p>
        </w:tc>
        <w:tc>
          <w:tcPr>
            <w:tcW w:w="8556" w:type="dxa"/>
            <w:shd w:val="clear" w:color="auto" w:fill="auto"/>
          </w:tcPr>
          <w:p w14:paraId="0F7DCA36" w14:textId="77777777" w:rsidR="0008289D" w:rsidRPr="00401183" w:rsidRDefault="0008289D" w:rsidP="0033776E">
            <w:pPr>
              <w:keepNext/>
              <w:keepLines/>
              <w:spacing w:before="120" w:after="120"/>
              <w:rPr>
                <w:rFonts w:ascii="Arial" w:eastAsia="Yu Mincho" w:hAnsi="Arial"/>
                <w:sz w:val="22"/>
                <w:szCs w:val="22"/>
                <w:lang w:val="fr-CM"/>
              </w:rPr>
            </w:pPr>
            <w:r w:rsidRPr="00401183">
              <w:rPr>
                <w:rFonts w:ascii="Arial" w:eastAsia="Yu Mincho" w:hAnsi="Arial"/>
                <w:sz w:val="22"/>
                <w:szCs w:val="22"/>
                <w:lang w:val="fr-CM"/>
              </w:rPr>
              <w:t>[Pas de changement].</w:t>
            </w:r>
          </w:p>
        </w:tc>
      </w:tr>
      <w:tr w:rsidR="0008289D" w:rsidRPr="00401183" w14:paraId="19BDF37A" w14:textId="77777777" w:rsidTr="00C8040F">
        <w:tc>
          <w:tcPr>
            <w:tcW w:w="540" w:type="dxa"/>
          </w:tcPr>
          <w:p w14:paraId="456F25D9" w14:textId="77777777" w:rsidR="0008289D" w:rsidRPr="00401183" w:rsidRDefault="0008289D" w:rsidP="0033776E">
            <w:pPr>
              <w:spacing w:before="60" w:after="60"/>
              <w:rPr>
                <w:rFonts w:ascii="Arial" w:eastAsia="Yu Mincho" w:hAnsi="Arial"/>
                <w:sz w:val="22"/>
                <w:szCs w:val="22"/>
                <w:lang w:val="fr-CM"/>
              </w:rPr>
            </w:pPr>
            <w:r w:rsidRPr="00401183">
              <w:rPr>
                <w:rFonts w:ascii="Arial" w:eastAsia="Yu Mincho" w:hAnsi="Arial"/>
                <w:sz w:val="22"/>
                <w:szCs w:val="22"/>
                <w:lang w:val="fr-CM"/>
              </w:rPr>
              <w:t>7.</w:t>
            </w:r>
          </w:p>
        </w:tc>
        <w:tc>
          <w:tcPr>
            <w:tcW w:w="8556" w:type="dxa"/>
            <w:shd w:val="clear" w:color="auto" w:fill="auto"/>
          </w:tcPr>
          <w:p w14:paraId="6455E937" w14:textId="77777777" w:rsidR="0008289D" w:rsidRPr="00401183" w:rsidRDefault="0008289D" w:rsidP="0033776E">
            <w:pPr>
              <w:widowControl w:val="0"/>
              <w:tabs>
                <w:tab w:val="left" w:pos="2127"/>
                <w:tab w:val="left" w:pos="2176"/>
              </w:tabs>
              <w:autoSpaceDE w:val="0"/>
              <w:autoSpaceDN w:val="0"/>
              <w:spacing w:before="60" w:after="60"/>
              <w:rPr>
                <w:rFonts w:ascii="Arial" w:eastAsia="Calibri" w:hAnsi="Arial"/>
                <w:sz w:val="22"/>
                <w:szCs w:val="22"/>
                <w:lang w:val="fr-CM" w:eastAsia="en-US"/>
              </w:rPr>
            </w:pPr>
            <w:r w:rsidRPr="00401183">
              <w:rPr>
                <w:rFonts w:ascii="Arial" w:eastAsia="Calibri" w:hAnsi="Arial"/>
                <w:sz w:val="22"/>
                <w:szCs w:val="22"/>
                <w:lang w:val="fr-CM" w:eastAsia="en-US"/>
              </w:rPr>
              <w:t xml:space="preserve">Le Comité sélectionne parmi les programmes, projets ou activités qui lui sont proposés ceux qui répondent </w:t>
            </w:r>
            <w:r w:rsidRPr="00AE37D7">
              <w:rPr>
                <w:rFonts w:ascii="Arial" w:eastAsia="Calibri" w:hAnsi="Arial"/>
                <w:strike/>
                <w:sz w:val="22"/>
                <w:szCs w:val="22"/>
                <w:lang w:val="fr-CM" w:eastAsia="en-US"/>
              </w:rPr>
              <w:t>le mieux</w:t>
            </w:r>
            <w:r w:rsidRPr="00401183">
              <w:rPr>
                <w:rFonts w:ascii="Arial" w:eastAsia="Calibri" w:hAnsi="Arial"/>
                <w:sz w:val="22"/>
                <w:szCs w:val="22"/>
                <w:lang w:val="fr-CM" w:eastAsia="en-US"/>
              </w:rPr>
              <w:t xml:space="preserve"> à tous les critères suivants :</w:t>
            </w:r>
          </w:p>
          <w:p w14:paraId="4EE0CB48" w14:textId="77777777" w:rsidR="0008289D" w:rsidRPr="00401183" w:rsidRDefault="0008289D" w:rsidP="0033776E">
            <w:pPr>
              <w:widowControl w:val="0"/>
              <w:tabs>
                <w:tab w:val="left" w:pos="2127"/>
                <w:tab w:val="left" w:pos="2176"/>
              </w:tabs>
              <w:autoSpaceDE w:val="0"/>
              <w:autoSpaceDN w:val="0"/>
              <w:spacing w:before="60" w:after="60"/>
              <w:rPr>
                <w:rFonts w:ascii="Arial" w:eastAsia="Calibri" w:hAnsi="Arial"/>
                <w:sz w:val="21"/>
                <w:szCs w:val="21"/>
                <w:lang w:val="fr-CM" w:eastAsia="en-US"/>
              </w:rPr>
            </w:pPr>
            <w:r w:rsidRPr="00401183">
              <w:rPr>
                <w:rFonts w:ascii="Arial" w:eastAsia="Calibri" w:hAnsi="Arial"/>
                <w:strike/>
                <w:sz w:val="22"/>
                <w:szCs w:val="22"/>
                <w:lang w:val="fr-CM" w:eastAsia="en-US"/>
              </w:rPr>
              <w:t xml:space="preserve">P.1 </w:t>
            </w:r>
            <w:r w:rsidRPr="00401183">
              <w:rPr>
                <w:rFonts w:ascii="Arial" w:eastAsia="Calibri" w:hAnsi="Arial"/>
                <w:sz w:val="22"/>
                <w:szCs w:val="22"/>
                <w:u w:val="single"/>
                <w:lang w:val="fr-CM" w:eastAsia="en-US"/>
              </w:rPr>
              <w:t>G.1</w:t>
            </w:r>
            <w:r w:rsidRPr="00C8040F">
              <w:rPr>
                <w:rFonts w:ascii="Arial" w:eastAsia="Calibri" w:hAnsi="Arial"/>
                <w:sz w:val="22"/>
                <w:szCs w:val="22"/>
                <w:lang w:val="fr-CM" w:eastAsia="en-US"/>
              </w:rPr>
              <w:t xml:space="preserve"> </w:t>
            </w:r>
            <w:r w:rsidRPr="00401183">
              <w:rPr>
                <w:rFonts w:ascii="Arial" w:eastAsia="Calibri" w:hAnsi="Arial"/>
                <w:sz w:val="22"/>
                <w:szCs w:val="22"/>
                <w:lang w:val="fr-CM" w:eastAsia="en-US"/>
              </w:rPr>
              <w:t xml:space="preserve">Le programme, le projet ou l’activité implique une sauvegarde telle que </w:t>
            </w:r>
            <w:r w:rsidRPr="00401183">
              <w:rPr>
                <w:rFonts w:ascii="Arial" w:eastAsia="Calibri" w:hAnsi="Arial"/>
                <w:sz w:val="22"/>
                <w:szCs w:val="22"/>
                <w:lang w:val="fr-CM" w:eastAsia="en-US"/>
              </w:rPr>
              <w:lastRenderedPageBreak/>
              <w:t>définie à l’article 2.3 de la Convention</w:t>
            </w:r>
            <w:r w:rsidRPr="00401183">
              <w:rPr>
                <w:rFonts w:ascii="Arial" w:eastAsia="Calibri" w:hAnsi="Arial"/>
                <w:sz w:val="22"/>
                <w:szCs w:val="22"/>
                <w:u w:val="single"/>
                <w:lang w:val="fr-CM" w:eastAsia="en-US"/>
              </w:rPr>
              <w:t xml:space="preserve">, </w:t>
            </w:r>
            <w:r w:rsidRPr="00401183">
              <w:rPr>
                <w:rFonts w:ascii="Arial" w:eastAsia="Yu Mincho" w:hAnsi="Arial"/>
                <w:sz w:val="22"/>
                <w:szCs w:val="22"/>
                <w:u w:val="single"/>
                <w:lang w:val="fr-CM"/>
              </w:rPr>
              <w:t>reflétant les principes et les objectifs de la Convention</w:t>
            </w:r>
            <w:r w:rsidRPr="00401183">
              <w:rPr>
                <w:rFonts w:ascii="Arial" w:eastAsia="Yu Mincho" w:hAnsi="Arial"/>
                <w:sz w:val="21"/>
                <w:szCs w:val="21"/>
                <w:lang w:val="fr-CM"/>
              </w:rPr>
              <w:t>.</w:t>
            </w:r>
          </w:p>
          <w:p w14:paraId="20E35D01" w14:textId="77777777" w:rsidR="0008289D" w:rsidRPr="00401183" w:rsidRDefault="0008289D" w:rsidP="0033776E">
            <w:pPr>
              <w:widowControl w:val="0"/>
              <w:tabs>
                <w:tab w:val="left" w:pos="2127"/>
                <w:tab w:val="left" w:pos="2176"/>
              </w:tabs>
              <w:autoSpaceDE w:val="0"/>
              <w:autoSpaceDN w:val="0"/>
              <w:spacing w:before="60" w:after="60"/>
              <w:rPr>
                <w:rFonts w:ascii="Arial" w:eastAsia="Calibri" w:hAnsi="Arial"/>
                <w:strike/>
                <w:sz w:val="22"/>
                <w:szCs w:val="22"/>
                <w:lang w:val="fr-CM" w:eastAsia="en-US"/>
              </w:rPr>
            </w:pPr>
            <w:r w:rsidRPr="00401183">
              <w:rPr>
                <w:rFonts w:ascii="Arial" w:eastAsia="Calibri" w:hAnsi="Arial"/>
                <w:strike/>
                <w:sz w:val="22"/>
                <w:szCs w:val="22"/>
                <w:lang w:val="fr-CM" w:eastAsia="en-US"/>
              </w:rPr>
              <w:t>P.2 Le programme, le projet ou l’activité aide à la coordination des efforts de sauvegarde du patrimoine culturel immatériel au niveau régional, sous-régional et/ou international.</w:t>
            </w:r>
          </w:p>
          <w:p w14:paraId="4D73ACA7" w14:textId="77777777" w:rsidR="0008289D" w:rsidRPr="00401183" w:rsidRDefault="0008289D" w:rsidP="0033776E">
            <w:pPr>
              <w:widowControl w:val="0"/>
              <w:tabs>
                <w:tab w:val="left" w:pos="2127"/>
                <w:tab w:val="left" w:pos="2176"/>
              </w:tabs>
              <w:autoSpaceDE w:val="0"/>
              <w:autoSpaceDN w:val="0"/>
              <w:spacing w:before="60" w:after="60"/>
              <w:rPr>
                <w:rFonts w:ascii="Arial" w:eastAsia="Calibri" w:hAnsi="Arial"/>
                <w:strike/>
                <w:sz w:val="22"/>
                <w:szCs w:val="22"/>
                <w:lang w:val="fr-CM" w:eastAsia="en-US"/>
              </w:rPr>
            </w:pPr>
            <w:r w:rsidRPr="00401183">
              <w:rPr>
                <w:rFonts w:ascii="Arial" w:eastAsia="Calibri" w:hAnsi="Arial"/>
                <w:strike/>
                <w:sz w:val="22"/>
                <w:szCs w:val="22"/>
                <w:lang w:val="fr-CM" w:eastAsia="en-US"/>
              </w:rPr>
              <w:t>P.3 Le programme, le projet ou l’activité reflète les principes et les objectifs de la Convention.</w:t>
            </w:r>
          </w:p>
          <w:p w14:paraId="69B372D5" w14:textId="77777777" w:rsidR="0008289D" w:rsidRPr="00401183" w:rsidRDefault="0008289D" w:rsidP="0033776E">
            <w:pPr>
              <w:widowControl w:val="0"/>
              <w:tabs>
                <w:tab w:val="left" w:pos="2127"/>
                <w:tab w:val="left" w:pos="2176"/>
              </w:tabs>
              <w:autoSpaceDE w:val="0"/>
              <w:autoSpaceDN w:val="0"/>
              <w:spacing w:before="60" w:after="60"/>
              <w:rPr>
                <w:rFonts w:ascii="Arial" w:eastAsia="Calibri" w:hAnsi="Arial"/>
                <w:sz w:val="22"/>
                <w:szCs w:val="22"/>
                <w:lang w:val="fr-CM" w:eastAsia="en-US"/>
              </w:rPr>
            </w:pPr>
            <w:r w:rsidRPr="00401183">
              <w:rPr>
                <w:rFonts w:ascii="Arial" w:eastAsia="Calibri" w:hAnsi="Arial"/>
                <w:strike/>
                <w:sz w:val="22"/>
                <w:szCs w:val="22"/>
                <w:lang w:val="fr-CM" w:eastAsia="en-US"/>
              </w:rPr>
              <w:t xml:space="preserve">P.4 </w:t>
            </w:r>
            <w:r w:rsidRPr="00401183">
              <w:rPr>
                <w:rFonts w:ascii="Arial" w:eastAsia="Calibri" w:hAnsi="Arial"/>
                <w:sz w:val="22"/>
                <w:szCs w:val="22"/>
                <w:u w:val="single"/>
                <w:lang w:val="fr-CM" w:eastAsia="en-US"/>
              </w:rPr>
              <w:t xml:space="preserve">G.2 </w:t>
            </w:r>
            <w:r w:rsidRPr="00401183">
              <w:rPr>
                <w:rFonts w:ascii="Arial" w:eastAsia="Calibri" w:hAnsi="Arial"/>
                <w:sz w:val="22"/>
                <w:szCs w:val="22"/>
                <w:lang w:val="fr-CM" w:eastAsia="en-US"/>
              </w:rPr>
              <w:t>Le programme, le projet ou l’activité a fait preuve d’efficacité en termes de contribution à la viabilité du patrimoine culturel immatériel concerné.</w:t>
            </w:r>
          </w:p>
          <w:p w14:paraId="2449525C" w14:textId="317B5D57" w:rsidR="0008289D" w:rsidRPr="00401183" w:rsidRDefault="0008289D" w:rsidP="0033776E">
            <w:pPr>
              <w:widowControl w:val="0"/>
              <w:tabs>
                <w:tab w:val="left" w:pos="2127"/>
                <w:tab w:val="left" w:pos="2176"/>
              </w:tabs>
              <w:autoSpaceDE w:val="0"/>
              <w:autoSpaceDN w:val="0"/>
              <w:spacing w:before="60" w:after="60"/>
              <w:rPr>
                <w:rFonts w:ascii="Arial" w:eastAsia="Calibri" w:hAnsi="Arial"/>
                <w:sz w:val="22"/>
                <w:szCs w:val="22"/>
                <w:lang w:val="fr-CM" w:eastAsia="en-US"/>
              </w:rPr>
            </w:pPr>
            <w:r w:rsidRPr="00401183">
              <w:rPr>
                <w:rFonts w:ascii="Arial" w:eastAsia="Calibri" w:hAnsi="Arial"/>
                <w:strike/>
                <w:sz w:val="22"/>
                <w:szCs w:val="22"/>
                <w:lang w:val="fr-CM" w:eastAsia="en-US"/>
              </w:rPr>
              <w:t xml:space="preserve">P.5 </w:t>
            </w:r>
            <w:r w:rsidRPr="00401183">
              <w:rPr>
                <w:rFonts w:ascii="Arial" w:eastAsia="Calibri" w:hAnsi="Arial"/>
                <w:sz w:val="22"/>
                <w:szCs w:val="22"/>
                <w:u w:val="single"/>
                <w:lang w:val="fr-CM" w:eastAsia="en-US"/>
              </w:rPr>
              <w:t xml:space="preserve">G.3 </w:t>
            </w:r>
            <w:r w:rsidRPr="00401183">
              <w:rPr>
                <w:rFonts w:ascii="Arial" w:eastAsia="Calibri" w:hAnsi="Arial"/>
                <w:sz w:val="22"/>
                <w:szCs w:val="22"/>
                <w:lang w:val="fr-CM" w:eastAsia="en-US"/>
              </w:rPr>
              <w:t xml:space="preserve">Le programme, le projet ou l’activité est ou a été mis en œuvre avec la participation de la communauté, du groupe ou, le cas échéant, des individus concernés, et avec leur consentement libre, préalable, </w:t>
            </w:r>
            <w:r w:rsidRPr="00401183">
              <w:rPr>
                <w:rFonts w:ascii="Arial" w:eastAsia="Calibri" w:hAnsi="Arial"/>
                <w:sz w:val="22"/>
                <w:szCs w:val="22"/>
                <w:u w:val="single"/>
                <w:lang w:val="fr-CM" w:eastAsia="en-US"/>
              </w:rPr>
              <w:t>durable</w:t>
            </w:r>
            <w:r w:rsidRPr="00401183">
              <w:rPr>
                <w:rFonts w:ascii="Arial" w:eastAsia="Calibri" w:hAnsi="Arial"/>
                <w:sz w:val="22"/>
                <w:szCs w:val="22"/>
                <w:lang w:val="fr-CM" w:eastAsia="en-US"/>
              </w:rPr>
              <w:t xml:space="preserve"> et éclairé</w:t>
            </w:r>
            <w:r>
              <w:rPr>
                <w:rFonts w:ascii="Arial" w:eastAsia="Calibri" w:hAnsi="Arial"/>
                <w:sz w:val="22"/>
                <w:szCs w:val="22"/>
                <w:lang w:val="fr-CM" w:eastAsia="en-US"/>
              </w:rPr>
              <w:t xml:space="preserve"> </w:t>
            </w:r>
            <w:r w:rsidRPr="001C14F4">
              <w:rPr>
                <w:rFonts w:ascii="Arial" w:eastAsia="Calibri" w:hAnsi="Arial"/>
                <w:sz w:val="22"/>
                <w:szCs w:val="22"/>
                <w:u w:val="single"/>
                <w:lang w:val="fr-CM" w:eastAsia="en-US"/>
              </w:rPr>
              <w:t>lors de la soumission</w:t>
            </w:r>
            <w:r w:rsidRPr="00401183">
              <w:rPr>
                <w:rFonts w:ascii="Arial" w:eastAsia="Calibri" w:hAnsi="Arial"/>
                <w:sz w:val="22"/>
                <w:szCs w:val="22"/>
                <w:lang w:val="fr-CM" w:eastAsia="en-US"/>
              </w:rPr>
              <w:t>.</w:t>
            </w:r>
          </w:p>
          <w:p w14:paraId="2BE96C5D" w14:textId="77777777" w:rsidR="0008289D" w:rsidRPr="00401183" w:rsidRDefault="0008289D" w:rsidP="0033776E">
            <w:pPr>
              <w:widowControl w:val="0"/>
              <w:tabs>
                <w:tab w:val="left" w:pos="2127"/>
                <w:tab w:val="left" w:pos="2176"/>
              </w:tabs>
              <w:autoSpaceDE w:val="0"/>
              <w:autoSpaceDN w:val="0"/>
              <w:spacing w:before="60" w:after="60"/>
              <w:rPr>
                <w:rFonts w:ascii="Arial" w:eastAsia="Calibri" w:hAnsi="Arial"/>
                <w:strike/>
                <w:sz w:val="22"/>
                <w:szCs w:val="22"/>
                <w:lang w:val="fr-CM" w:eastAsia="en-US"/>
              </w:rPr>
            </w:pPr>
            <w:r w:rsidRPr="00401183">
              <w:rPr>
                <w:rFonts w:ascii="Arial" w:eastAsia="Calibri" w:hAnsi="Arial"/>
                <w:strike/>
                <w:sz w:val="22"/>
                <w:szCs w:val="22"/>
                <w:lang w:val="fr-CM" w:eastAsia="en-US"/>
              </w:rPr>
              <w:t>P.6 Le programme, le projet ou l’activité peut servir de modèle, selon le cas sous- régional, régional ou international, à des activités de sauvegarde.</w:t>
            </w:r>
          </w:p>
          <w:p w14:paraId="34EEF691" w14:textId="77777777" w:rsidR="0008289D" w:rsidRPr="00401183" w:rsidRDefault="0008289D" w:rsidP="0033776E">
            <w:pPr>
              <w:widowControl w:val="0"/>
              <w:tabs>
                <w:tab w:val="left" w:pos="2127"/>
                <w:tab w:val="left" w:pos="2176"/>
              </w:tabs>
              <w:autoSpaceDE w:val="0"/>
              <w:autoSpaceDN w:val="0"/>
              <w:spacing w:before="60" w:after="60"/>
              <w:rPr>
                <w:rFonts w:ascii="Arial" w:eastAsia="Calibri" w:hAnsi="Arial"/>
                <w:sz w:val="22"/>
                <w:szCs w:val="22"/>
                <w:lang w:val="fr-CM" w:eastAsia="en-US"/>
              </w:rPr>
            </w:pPr>
            <w:r w:rsidRPr="00401183">
              <w:rPr>
                <w:rFonts w:ascii="Arial" w:eastAsia="Calibri" w:hAnsi="Arial"/>
                <w:strike/>
                <w:sz w:val="22"/>
                <w:szCs w:val="22"/>
                <w:lang w:val="fr-CM" w:eastAsia="en-US"/>
              </w:rPr>
              <w:t xml:space="preserve">P.7 </w:t>
            </w:r>
            <w:r w:rsidRPr="00401183">
              <w:rPr>
                <w:rFonts w:ascii="Arial" w:eastAsia="Calibri" w:hAnsi="Arial"/>
                <w:sz w:val="22"/>
                <w:szCs w:val="22"/>
                <w:u w:val="single"/>
                <w:lang w:val="fr-CM" w:eastAsia="en-US"/>
              </w:rPr>
              <w:t xml:space="preserve">G.4 </w:t>
            </w:r>
            <w:r w:rsidRPr="00401183">
              <w:rPr>
                <w:rFonts w:ascii="Arial" w:eastAsia="Calibri" w:hAnsi="Arial"/>
                <w:sz w:val="22"/>
                <w:szCs w:val="22"/>
                <w:lang w:val="fr-CM" w:eastAsia="en-US"/>
              </w:rPr>
              <w:t xml:space="preserve">L’(es) État(s) partie(s) soumissionnaire(s), l’(es) organe(s) chargé(s) de la mise en œuvre et la communauté, le groupe ou, le cas échéant, les individus concernés sont d’accord </w:t>
            </w:r>
            <w:r w:rsidRPr="00401183">
              <w:rPr>
                <w:rFonts w:ascii="Arial" w:eastAsia="Calibri" w:hAnsi="Arial"/>
                <w:sz w:val="22"/>
                <w:szCs w:val="22"/>
                <w:u w:val="single"/>
                <w:lang w:val="fr-CM" w:eastAsia="en-US"/>
              </w:rPr>
              <w:t>pour coordonner et</w:t>
            </w:r>
            <w:r w:rsidRPr="00401183">
              <w:rPr>
                <w:rFonts w:ascii="Arial" w:eastAsia="Calibri" w:hAnsi="Arial"/>
                <w:sz w:val="22"/>
                <w:szCs w:val="22"/>
                <w:lang w:val="fr-CM" w:eastAsia="en-US"/>
              </w:rPr>
              <w:t xml:space="preserve"> pour coopérer à la diffusion de </w:t>
            </w:r>
            <w:r w:rsidRPr="00401183">
              <w:rPr>
                <w:rFonts w:ascii="Arial" w:eastAsia="Calibri" w:hAnsi="Arial"/>
                <w:strike/>
                <w:sz w:val="22"/>
                <w:szCs w:val="22"/>
                <w:lang w:val="fr-CM" w:eastAsia="en-US"/>
              </w:rPr>
              <w:t xml:space="preserve">meilleures </w:t>
            </w:r>
            <w:r w:rsidRPr="00401183">
              <w:rPr>
                <w:rFonts w:ascii="Arial" w:eastAsia="Calibri" w:hAnsi="Arial"/>
                <w:sz w:val="22"/>
                <w:szCs w:val="22"/>
                <w:u w:val="single"/>
                <w:lang w:val="fr-CM" w:eastAsia="en-US"/>
              </w:rPr>
              <w:t>bonnes</w:t>
            </w:r>
            <w:r w:rsidRPr="00401183">
              <w:rPr>
                <w:rFonts w:ascii="Arial" w:eastAsia="Calibri" w:hAnsi="Arial"/>
                <w:sz w:val="22"/>
                <w:szCs w:val="22"/>
                <w:lang w:val="fr-CM" w:eastAsia="en-US"/>
              </w:rPr>
              <w:t xml:space="preserve"> pratiques si leur programme, leur projet ou leur activité est sélectionné. </w:t>
            </w:r>
            <w:r w:rsidRPr="00401183">
              <w:rPr>
                <w:rFonts w:ascii="Arial" w:eastAsia="Yu Mincho" w:hAnsi="Arial"/>
                <w:sz w:val="22"/>
                <w:szCs w:val="22"/>
                <w:u w:val="single"/>
                <w:lang w:val="fr-CM"/>
              </w:rPr>
              <w:t>Ils peuvent servir de source d’inspiration aux niveaux local, sous-régional, régional ou international, selon le cas, pour des activités de sauvegarde</w:t>
            </w:r>
            <w:r w:rsidRPr="00401183">
              <w:rPr>
                <w:rFonts w:ascii="Arial" w:eastAsia="Calibri" w:hAnsi="Arial"/>
                <w:sz w:val="22"/>
                <w:szCs w:val="22"/>
                <w:u w:val="single"/>
                <w:lang w:val="fr-CM" w:eastAsia="en-US"/>
              </w:rPr>
              <w:t>.</w:t>
            </w:r>
          </w:p>
          <w:p w14:paraId="4E75D6CA" w14:textId="77777777" w:rsidR="0008289D" w:rsidRPr="00401183" w:rsidRDefault="0008289D" w:rsidP="0033776E">
            <w:pPr>
              <w:spacing w:before="60" w:after="60"/>
              <w:rPr>
                <w:rFonts w:ascii="Arial" w:eastAsia="Yu Mincho" w:hAnsi="Arial"/>
                <w:strike/>
                <w:sz w:val="22"/>
                <w:szCs w:val="22"/>
                <w:lang w:val="fr-CM"/>
              </w:rPr>
            </w:pPr>
            <w:r w:rsidRPr="00401183">
              <w:rPr>
                <w:rFonts w:ascii="Arial" w:eastAsia="Calibri" w:hAnsi="Arial"/>
                <w:strike/>
                <w:sz w:val="22"/>
                <w:szCs w:val="22"/>
                <w:lang w:val="fr-CM" w:eastAsia="en-US"/>
              </w:rPr>
              <w:t>P.8 Le programme, le projet ou l’activité réunit des expériences qui sont susceptibles d’être évaluées sur leurs résultats.</w:t>
            </w:r>
          </w:p>
        </w:tc>
      </w:tr>
    </w:tbl>
    <w:p w14:paraId="27325EF9" w14:textId="77777777" w:rsidR="00FC161D" w:rsidRPr="00401183" w:rsidRDefault="00FC161D" w:rsidP="00FC161D">
      <w:pPr>
        <w:autoSpaceDE w:val="0"/>
        <w:autoSpaceDN w:val="0"/>
        <w:adjustRightInd w:val="0"/>
        <w:spacing w:after="120"/>
        <w:jc w:val="both"/>
        <w:rPr>
          <w:rFonts w:ascii="Arial" w:eastAsia="SimSun" w:hAnsi="Arial" w:cs="Arial"/>
          <w:sz w:val="22"/>
          <w:szCs w:val="22"/>
          <w:u w:val="single"/>
          <w:lang w:val="fr-CM"/>
        </w:rPr>
      </w:pPr>
    </w:p>
    <w:p w14:paraId="52722D27" w14:textId="77777777" w:rsidR="00FC161D" w:rsidRPr="00401183" w:rsidRDefault="00FC161D" w:rsidP="00C8040F">
      <w:pPr>
        <w:pStyle w:val="Paragraphedeliste"/>
        <w:numPr>
          <w:ilvl w:val="0"/>
          <w:numId w:val="37"/>
        </w:numPr>
        <w:autoSpaceDE w:val="0"/>
        <w:autoSpaceDN w:val="0"/>
        <w:adjustRightInd w:val="0"/>
        <w:spacing w:after="120"/>
        <w:ind w:left="1080" w:hanging="630"/>
        <w:jc w:val="both"/>
        <w:rPr>
          <w:rFonts w:ascii="Arial" w:eastAsia="SimSun" w:hAnsi="Arial" w:cs="Arial"/>
          <w:b/>
          <w:bCs/>
          <w:sz w:val="22"/>
          <w:szCs w:val="22"/>
          <w:u w:val="single"/>
        </w:rPr>
      </w:pPr>
      <w:r w:rsidRPr="00401183">
        <w:rPr>
          <w:rFonts w:ascii="Arial" w:eastAsia="SimSun" w:hAnsi="Arial" w:cs="Arial"/>
          <w:b/>
          <w:bCs/>
          <w:sz w:val="22"/>
          <w:szCs w:val="22"/>
          <w:u w:val="single"/>
        </w:rPr>
        <w:t>Soumission des dossiers</w:t>
      </w:r>
    </w:p>
    <w:tbl>
      <w:tblPr>
        <w:tblStyle w:val="Grilledutableau2"/>
        <w:tblW w:w="823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511"/>
      </w:tblGrid>
      <w:tr w:rsidR="0008289D" w:rsidRPr="00401183" w14:paraId="18CBEC27" w14:textId="77777777" w:rsidTr="00C8040F">
        <w:tc>
          <w:tcPr>
            <w:tcW w:w="720" w:type="dxa"/>
            <w:shd w:val="clear" w:color="auto" w:fill="auto"/>
          </w:tcPr>
          <w:p w14:paraId="013B21F0" w14:textId="77777777" w:rsidR="0008289D" w:rsidRPr="00C8040F" w:rsidRDefault="0008289D" w:rsidP="0033776E">
            <w:pPr>
              <w:keepNext/>
              <w:keepLines/>
              <w:spacing w:before="120"/>
              <w:rPr>
                <w:rFonts w:ascii="Arial" w:eastAsia="Yu Mincho" w:hAnsi="Arial"/>
                <w:sz w:val="22"/>
                <w:szCs w:val="22"/>
                <w:lang w:val="fr-CM"/>
              </w:rPr>
            </w:pPr>
            <w:r w:rsidRPr="00C8040F">
              <w:rPr>
                <w:rFonts w:ascii="Arial" w:eastAsia="Yu Mincho" w:hAnsi="Arial"/>
                <w:sz w:val="22"/>
                <w:szCs w:val="22"/>
                <w:lang w:val="fr-CM"/>
              </w:rPr>
              <w:t>I.7</w:t>
            </w:r>
          </w:p>
        </w:tc>
        <w:tc>
          <w:tcPr>
            <w:tcW w:w="7511" w:type="dxa"/>
            <w:shd w:val="clear" w:color="auto" w:fill="auto"/>
          </w:tcPr>
          <w:p w14:paraId="74F93DFC" w14:textId="77777777" w:rsidR="0008289D" w:rsidRPr="00401183" w:rsidRDefault="0008289D" w:rsidP="0033776E">
            <w:pPr>
              <w:keepNext/>
              <w:keepLines/>
              <w:spacing w:before="120"/>
              <w:rPr>
                <w:rFonts w:ascii="Arial" w:eastAsia="Yu Mincho" w:hAnsi="Arial"/>
                <w:sz w:val="22"/>
                <w:szCs w:val="22"/>
                <w:lang w:val="fr-CM"/>
              </w:rPr>
            </w:pPr>
            <w:r w:rsidRPr="00401183">
              <w:rPr>
                <w:rFonts w:ascii="Arial" w:eastAsia="Yu Mincho" w:hAnsi="Arial"/>
                <w:sz w:val="22"/>
                <w:szCs w:val="22"/>
                <w:lang w:val="fr-CM"/>
              </w:rPr>
              <w:t>[Pas de changement]</w:t>
            </w:r>
          </w:p>
        </w:tc>
      </w:tr>
      <w:tr w:rsidR="0008289D" w:rsidRPr="00401183" w14:paraId="5773E8B7" w14:textId="77777777" w:rsidTr="00C8040F">
        <w:tc>
          <w:tcPr>
            <w:tcW w:w="720" w:type="dxa"/>
            <w:shd w:val="clear" w:color="auto" w:fill="auto"/>
          </w:tcPr>
          <w:p w14:paraId="622F5488" w14:textId="77777777" w:rsidR="0008289D" w:rsidRPr="00401183" w:rsidRDefault="0008289D" w:rsidP="0033776E">
            <w:pPr>
              <w:widowControl w:val="0"/>
              <w:tabs>
                <w:tab w:val="left" w:pos="2127"/>
                <w:tab w:val="left" w:pos="2176"/>
              </w:tabs>
              <w:autoSpaceDE w:val="0"/>
              <w:autoSpaceDN w:val="0"/>
              <w:spacing w:before="60" w:after="60"/>
              <w:rPr>
                <w:rFonts w:ascii="Arial" w:eastAsia="Calibri" w:hAnsi="Arial"/>
                <w:sz w:val="22"/>
                <w:szCs w:val="22"/>
                <w:lang w:val="fr-CM"/>
              </w:rPr>
            </w:pPr>
            <w:r w:rsidRPr="00401183">
              <w:rPr>
                <w:rFonts w:ascii="Arial" w:eastAsia="Calibri" w:hAnsi="Arial"/>
                <w:sz w:val="22"/>
                <w:szCs w:val="22"/>
                <w:lang w:val="fr-CM"/>
              </w:rPr>
              <w:t>21.</w:t>
            </w:r>
          </w:p>
        </w:tc>
        <w:tc>
          <w:tcPr>
            <w:tcW w:w="7511" w:type="dxa"/>
            <w:shd w:val="clear" w:color="auto" w:fill="auto"/>
          </w:tcPr>
          <w:p w14:paraId="1942C39F" w14:textId="77777777" w:rsidR="0008289D" w:rsidRPr="00401183" w:rsidRDefault="0008289D" w:rsidP="001C14F4">
            <w:pPr>
              <w:widowControl w:val="0"/>
              <w:tabs>
                <w:tab w:val="left" w:pos="2127"/>
                <w:tab w:val="left" w:pos="2176"/>
              </w:tabs>
              <w:autoSpaceDE w:val="0"/>
              <w:autoSpaceDN w:val="0"/>
              <w:snapToGrid w:val="0"/>
              <w:spacing w:before="120"/>
              <w:jc w:val="both"/>
              <w:rPr>
                <w:rFonts w:ascii="Arial" w:eastAsia="Calibri" w:hAnsi="Arial"/>
                <w:sz w:val="22"/>
                <w:szCs w:val="22"/>
                <w:lang w:val="fr-CM"/>
              </w:rPr>
            </w:pPr>
            <w:r w:rsidRPr="00401183">
              <w:rPr>
                <w:rFonts w:ascii="Arial" w:eastAsia="Calibri" w:hAnsi="Arial"/>
                <w:sz w:val="22"/>
                <w:szCs w:val="22"/>
                <w:lang w:val="fr-CM"/>
              </w:rPr>
              <w:t>Les États parties peuvent demander une assistance préparatoire, en consultation avec les communautés, groupes et, le cas échéant, individus concernés pour l’élaboration de :</w:t>
            </w:r>
          </w:p>
          <w:p w14:paraId="31576CB3" w14:textId="77777777" w:rsidR="0008289D" w:rsidRPr="00401183" w:rsidRDefault="0008289D" w:rsidP="0033776E">
            <w:pPr>
              <w:widowControl w:val="0"/>
              <w:numPr>
                <w:ilvl w:val="0"/>
                <w:numId w:val="27"/>
              </w:numPr>
              <w:tabs>
                <w:tab w:val="left" w:pos="2127"/>
                <w:tab w:val="left" w:pos="2176"/>
              </w:tabs>
              <w:autoSpaceDE w:val="0"/>
              <w:autoSpaceDN w:val="0"/>
              <w:snapToGrid w:val="0"/>
              <w:spacing w:before="120"/>
              <w:ind w:left="459" w:hanging="425"/>
              <w:jc w:val="both"/>
              <w:rPr>
                <w:rFonts w:ascii="Arial" w:eastAsia="Calibri" w:hAnsi="Arial"/>
                <w:sz w:val="22"/>
                <w:szCs w:val="22"/>
                <w:lang w:val="fr-CM"/>
              </w:rPr>
            </w:pPr>
            <w:r w:rsidRPr="00401183">
              <w:rPr>
                <w:rFonts w:ascii="Arial" w:eastAsia="Calibri" w:hAnsi="Arial"/>
                <w:sz w:val="22"/>
                <w:szCs w:val="22"/>
                <w:lang w:val="fr-CM"/>
              </w:rPr>
              <w:t>dossiers de candidatures à la Liste du patrimoine culturel immatériel nécessitant une sauvegarde urgente,</w:t>
            </w:r>
          </w:p>
          <w:p w14:paraId="01F1E2E0" w14:textId="4651F893" w:rsidR="0008289D" w:rsidRPr="00C8040F" w:rsidRDefault="0008289D" w:rsidP="000A3553">
            <w:pPr>
              <w:widowControl w:val="0"/>
              <w:numPr>
                <w:ilvl w:val="0"/>
                <w:numId w:val="27"/>
              </w:numPr>
              <w:tabs>
                <w:tab w:val="left" w:pos="2127"/>
                <w:tab w:val="left" w:pos="2176"/>
              </w:tabs>
              <w:autoSpaceDE w:val="0"/>
              <w:autoSpaceDN w:val="0"/>
              <w:snapToGrid w:val="0"/>
              <w:spacing w:before="120"/>
              <w:ind w:left="459" w:hanging="425"/>
              <w:jc w:val="both"/>
              <w:rPr>
                <w:rFonts w:ascii="Arial" w:eastAsia="Calibri" w:hAnsi="Arial"/>
                <w:sz w:val="22"/>
                <w:szCs w:val="22"/>
                <w:lang w:val="fr-CM"/>
              </w:rPr>
            </w:pPr>
            <w:r w:rsidRPr="004962EB">
              <w:rPr>
                <w:rFonts w:ascii="Arial" w:eastAsia="Calibri" w:hAnsi="Arial"/>
                <w:sz w:val="22"/>
                <w:szCs w:val="22"/>
                <w:u w:val="single"/>
                <w:lang w:val="fr-CM"/>
              </w:rPr>
              <w:t>dossiers de candidature à la Liste représentative (uniquement pour les États parties n’ayant pas d’éléments du patrimoine culturel immatériel présent sur leur territoire inscrits sur cette Liste</w:t>
            </w:r>
            <w:r w:rsidRPr="00C8040F">
              <w:rPr>
                <w:rFonts w:ascii="Arial" w:eastAsia="Calibri" w:hAnsi="Arial"/>
                <w:sz w:val="22"/>
                <w:szCs w:val="22"/>
                <w:u w:val="single"/>
                <w:lang w:val="fr-CM"/>
              </w:rPr>
              <w:t xml:space="preserve"> </w:t>
            </w:r>
            <w:r w:rsidRPr="004962EB">
              <w:rPr>
                <w:rFonts w:ascii="Arial" w:eastAsia="Calibri" w:hAnsi="Arial"/>
                <w:sz w:val="22"/>
                <w:szCs w:val="22"/>
                <w:u w:val="single"/>
                <w:lang w:val="fr-CM"/>
              </w:rPr>
              <w:t>à l’exception des éléments proposés par le biais de candidatures multinationales</w:t>
            </w:r>
            <w:r w:rsidRPr="00C8040F">
              <w:rPr>
                <w:rFonts w:ascii="Arial" w:eastAsia="Calibri" w:hAnsi="Arial"/>
                <w:sz w:val="22"/>
                <w:szCs w:val="22"/>
                <w:lang w:val="fr-CM"/>
              </w:rPr>
              <w:t xml:space="preserve">), </w:t>
            </w:r>
          </w:p>
          <w:p w14:paraId="379968AB" w14:textId="77777777" w:rsidR="0008289D" w:rsidRPr="00401183" w:rsidRDefault="0008289D" w:rsidP="0033776E">
            <w:pPr>
              <w:widowControl w:val="0"/>
              <w:numPr>
                <w:ilvl w:val="0"/>
                <w:numId w:val="27"/>
              </w:numPr>
              <w:tabs>
                <w:tab w:val="left" w:pos="2127"/>
                <w:tab w:val="left" w:pos="2176"/>
              </w:tabs>
              <w:autoSpaceDE w:val="0"/>
              <w:autoSpaceDN w:val="0"/>
              <w:snapToGrid w:val="0"/>
              <w:spacing w:before="120"/>
              <w:ind w:left="459" w:hanging="425"/>
              <w:jc w:val="both"/>
              <w:rPr>
                <w:rFonts w:ascii="Arial" w:eastAsia="Calibri" w:hAnsi="Arial"/>
                <w:sz w:val="22"/>
                <w:szCs w:val="22"/>
                <w:lang w:val="fr-CM"/>
              </w:rPr>
            </w:pPr>
            <w:r w:rsidRPr="00401183">
              <w:rPr>
                <w:rFonts w:ascii="Arial" w:eastAsia="Calibri" w:hAnsi="Arial"/>
                <w:sz w:val="22"/>
                <w:szCs w:val="22"/>
                <w:lang w:val="fr-CM"/>
              </w:rPr>
              <w:t>propositions de programme, projet ou activité reflétant le mieux les principes et objectifs de la Convention,</w:t>
            </w:r>
          </w:p>
          <w:p w14:paraId="135131EE" w14:textId="77777777" w:rsidR="0008289D" w:rsidRPr="00401183" w:rsidRDefault="0008289D" w:rsidP="001C14F4">
            <w:pPr>
              <w:widowControl w:val="0"/>
              <w:numPr>
                <w:ilvl w:val="0"/>
                <w:numId w:val="27"/>
              </w:numPr>
              <w:tabs>
                <w:tab w:val="left" w:pos="2127"/>
                <w:tab w:val="left" w:pos="2176"/>
              </w:tabs>
              <w:autoSpaceDE w:val="0"/>
              <w:autoSpaceDN w:val="0"/>
              <w:snapToGrid w:val="0"/>
              <w:spacing w:before="120" w:after="120"/>
              <w:ind w:left="459" w:hanging="425"/>
              <w:jc w:val="both"/>
              <w:rPr>
                <w:rFonts w:ascii="Arial" w:eastAsia="Calibri" w:hAnsi="Arial"/>
                <w:sz w:val="22"/>
                <w:szCs w:val="22"/>
                <w:lang w:val="fr-CM"/>
              </w:rPr>
            </w:pPr>
            <w:r w:rsidRPr="00401183">
              <w:rPr>
                <w:rFonts w:ascii="Arial" w:eastAsia="Calibri" w:hAnsi="Arial"/>
                <w:sz w:val="22"/>
                <w:szCs w:val="22"/>
                <w:lang w:val="fr-CM"/>
              </w:rPr>
              <w:t>demandes de transfert d’un élément d’une liste à l’autre, et</w:t>
            </w:r>
          </w:p>
          <w:p w14:paraId="2CF53EB8" w14:textId="77777777" w:rsidR="0008289D" w:rsidRPr="00401183" w:rsidRDefault="0008289D" w:rsidP="0033776E">
            <w:pPr>
              <w:widowControl w:val="0"/>
              <w:numPr>
                <w:ilvl w:val="0"/>
                <w:numId w:val="27"/>
              </w:numPr>
              <w:tabs>
                <w:tab w:val="left" w:pos="2127"/>
                <w:tab w:val="left" w:pos="2176"/>
              </w:tabs>
              <w:autoSpaceDE w:val="0"/>
              <w:autoSpaceDN w:val="0"/>
              <w:snapToGrid w:val="0"/>
              <w:spacing w:before="120"/>
              <w:ind w:left="457" w:hanging="425"/>
              <w:contextualSpacing/>
              <w:jc w:val="both"/>
              <w:rPr>
                <w:rFonts w:ascii="Arial" w:eastAsia="Calibri" w:hAnsi="Arial"/>
                <w:sz w:val="22"/>
                <w:szCs w:val="22"/>
                <w:lang w:val="fr-CM"/>
              </w:rPr>
            </w:pPr>
            <w:r w:rsidRPr="00401183">
              <w:rPr>
                <w:rFonts w:ascii="Arial" w:eastAsia="Calibri" w:hAnsi="Arial"/>
                <w:sz w:val="22"/>
                <w:szCs w:val="22"/>
                <w:lang w:val="fr-CM"/>
              </w:rPr>
              <w:t>dossiers de candidatures sur une base élargie ou réduite d’éléments déjà inscrits.</w:t>
            </w:r>
          </w:p>
        </w:tc>
      </w:tr>
    </w:tbl>
    <w:p w14:paraId="14B3A673" w14:textId="77777777" w:rsidR="00FC161D" w:rsidRPr="00B91626" w:rsidRDefault="00FC161D" w:rsidP="00FC161D">
      <w:pPr>
        <w:keepNext/>
        <w:spacing w:before="240" w:after="120"/>
        <w:jc w:val="both"/>
        <w:rPr>
          <w:rFonts w:ascii="Arial" w:eastAsia="SimSun" w:hAnsi="Arial" w:cs="Arial"/>
          <w:b/>
          <w:sz w:val="22"/>
          <w:szCs w:val="22"/>
        </w:rPr>
      </w:pPr>
      <w:r w:rsidRPr="00B91626">
        <w:rPr>
          <w:rFonts w:ascii="Arial" w:hAnsi="Arial" w:cs="Arial"/>
          <w:b/>
          <w:sz w:val="22"/>
          <w:szCs w:val="22"/>
        </w:rPr>
        <w:t>RÉSOLUTION 10.GA 8</w:t>
      </w:r>
    </w:p>
    <w:p w14:paraId="4B0547D1" w14:textId="77777777" w:rsidR="00FC161D" w:rsidRPr="00B91626" w:rsidRDefault="00FC161D" w:rsidP="00FC161D">
      <w:pPr>
        <w:keepNext/>
        <w:spacing w:after="120"/>
        <w:jc w:val="both"/>
        <w:rPr>
          <w:rFonts w:ascii="Arial" w:eastAsia="SimSun" w:hAnsi="Arial" w:cs="Arial"/>
          <w:sz w:val="22"/>
          <w:szCs w:val="22"/>
        </w:rPr>
      </w:pPr>
      <w:r w:rsidRPr="00B91626">
        <w:rPr>
          <w:rFonts w:ascii="Arial" w:hAnsi="Arial" w:cs="Arial"/>
          <w:sz w:val="22"/>
          <w:szCs w:val="22"/>
        </w:rPr>
        <w:t>L’Assemblée générale,</w:t>
      </w:r>
    </w:p>
    <w:p w14:paraId="24A1060D" w14:textId="632DF23D" w:rsidR="00FC161D" w:rsidRPr="00B91626" w:rsidRDefault="00FC161D" w:rsidP="00FC161D">
      <w:pPr>
        <w:pStyle w:val="COMParaDecision"/>
        <w:numPr>
          <w:ilvl w:val="0"/>
          <w:numId w:val="28"/>
        </w:numPr>
        <w:ind w:left="567" w:hanging="567"/>
        <w:rPr>
          <w:rFonts w:eastAsia="SimSun"/>
          <w:u w:val="none"/>
        </w:rPr>
      </w:pPr>
      <w:r w:rsidRPr="00B91626">
        <w:rPr>
          <w:rFonts w:eastAsia="SimSun"/>
        </w:rPr>
        <w:t>Ayant examiné</w:t>
      </w:r>
      <w:r w:rsidRPr="00B91626">
        <w:rPr>
          <w:rFonts w:eastAsia="SimSun"/>
          <w:u w:val="none"/>
        </w:rPr>
        <w:t xml:space="preserve"> les documents </w:t>
      </w:r>
      <w:hyperlink r:id="rId27" w:history="1">
        <w:r w:rsidRPr="00B73DEE">
          <w:rPr>
            <w:rStyle w:val="Lienhypertexte"/>
            <w:rFonts w:eastAsia="SimSun"/>
          </w:rPr>
          <w:t>LHE/24/10.GA/8</w:t>
        </w:r>
      </w:hyperlink>
      <w:r w:rsidRPr="00402861">
        <w:rPr>
          <w:rFonts w:eastAsia="SimSun"/>
          <w:u w:val="none"/>
        </w:rPr>
        <w:t xml:space="preserve"> </w:t>
      </w:r>
      <w:r w:rsidRPr="00B91626">
        <w:rPr>
          <w:rFonts w:eastAsia="SimSun"/>
          <w:u w:val="none"/>
        </w:rPr>
        <w:t xml:space="preserve">et </w:t>
      </w:r>
      <w:hyperlink r:id="rId28" w:history="1">
        <w:r w:rsidR="00402861" w:rsidRPr="00402861">
          <w:rPr>
            <w:rStyle w:val="Lienhypertexte"/>
            <w:rFonts w:eastAsia="SimSun"/>
          </w:rPr>
          <w:t>LHE/24/10.GA/INF.8</w:t>
        </w:r>
      </w:hyperlink>
      <w:r w:rsidRPr="00B91626">
        <w:rPr>
          <w:rFonts w:eastAsia="SimSun"/>
          <w:u w:val="none"/>
        </w:rPr>
        <w:t xml:space="preserve"> et leurs annexes respectives, </w:t>
      </w:r>
    </w:p>
    <w:p w14:paraId="5071F47E"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B91626">
        <w:rPr>
          <w:rFonts w:ascii="Arial" w:eastAsia="SimSun" w:hAnsi="Arial" w:cs="Arial"/>
          <w:sz w:val="22"/>
          <w:szCs w:val="22"/>
          <w:u w:val="single"/>
        </w:rPr>
        <w:t>Rappelant</w:t>
      </w:r>
      <w:r w:rsidRPr="00B91626">
        <w:rPr>
          <w:rFonts w:ascii="Arial" w:eastAsia="SimSun" w:hAnsi="Arial" w:cs="Arial"/>
          <w:sz w:val="22"/>
          <w:szCs w:val="22"/>
        </w:rPr>
        <w:t xml:space="preserve"> l’article 7(c) de la Convention et le chapitre II.1 des Directives opérationnelles,</w:t>
      </w:r>
    </w:p>
    <w:p w14:paraId="3EBD6276"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rPr>
      </w:pPr>
      <w:r w:rsidRPr="00B91626">
        <w:rPr>
          <w:rFonts w:ascii="Arial" w:eastAsia="SimSun" w:hAnsi="Arial" w:cs="Arial"/>
          <w:sz w:val="22"/>
          <w:szCs w:val="22"/>
          <w:u w:val="single"/>
        </w:rPr>
        <w:t>Rappelant en outre</w:t>
      </w:r>
      <w:r w:rsidRPr="00B91626">
        <w:rPr>
          <w:rFonts w:ascii="Arial" w:eastAsia="SimSun" w:hAnsi="Arial" w:cs="Arial"/>
          <w:sz w:val="22"/>
          <w:szCs w:val="22"/>
        </w:rPr>
        <w:t xml:space="preserve"> la Résolution de la Conférence générale de l’UNESCO portant ouverture de crédits pour </w:t>
      </w:r>
      <w:bookmarkStart w:id="0" w:name="_Hlk150367455"/>
      <w:r w:rsidRPr="00B91626">
        <w:rPr>
          <w:rFonts w:ascii="Arial" w:eastAsia="SimSun" w:hAnsi="Arial" w:cs="Arial"/>
          <w:sz w:val="22"/>
          <w:szCs w:val="22"/>
        </w:rPr>
        <w:t>2024-</w:t>
      </w:r>
      <w:bookmarkEnd w:id="0"/>
      <w:r w:rsidRPr="00B91626">
        <w:rPr>
          <w:rFonts w:ascii="Arial" w:eastAsia="SimSun" w:hAnsi="Arial" w:cs="Arial"/>
          <w:sz w:val="22"/>
          <w:szCs w:val="22"/>
        </w:rPr>
        <w:t xml:space="preserve">2025 </w:t>
      </w:r>
      <w:r w:rsidRPr="00B91626">
        <w:rPr>
          <w:rFonts w:ascii="Arial" w:eastAsia="SimSun" w:hAnsi="Arial" w:cs="Arial"/>
          <w:color w:val="212121"/>
          <w:sz w:val="22"/>
          <w:szCs w:val="22"/>
          <w:shd w:val="clear" w:color="auto" w:fill="FFFFFF"/>
        </w:rPr>
        <w:t>(</w:t>
      </w:r>
      <w:hyperlink r:id="rId29" w:history="1">
        <w:r w:rsidRPr="00B91626">
          <w:rPr>
            <w:rFonts w:ascii="Arial" w:eastAsia="SimSun" w:hAnsi="Arial" w:cs="Arial"/>
            <w:color w:val="0000FF"/>
            <w:sz w:val="22"/>
            <w:szCs w:val="22"/>
            <w:u w:val="single"/>
          </w:rPr>
          <w:t>42 C/Résolution 80</w:t>
        </w:r>
      </w:hyperlink>
      <w:r w:rsidRPr="00B91626">
        <w:rPr>
          <w:rFonts w:ascii="Arial" w:eastAsia="SimSun" w:hAnsi="Arial" w:cs="Arial"/>
          <w:color w:val="212121"/>
          <w:sz w:val="22"/>
          <w:szCs w:val="22"/>
          <w:shd w:val="clear" w:color="auto" w:fill="FFFFFF"/>
        </w:rPr>
        <w:t>)</w:t>
      </w:r>
      <w:r w:rsidRPr="00B91626">
        <w:rPr>
          <w:rFonts w:ascii="Arial" w:eastAsia="SimSun" w:hAnsi="Arial" w:cs="Arial"/>
          <w:sz w:val="22"/>
          <w:szCs w:val="22"/>
        </w:rPr>
        <w:t>,</w:t>
      </w:r>
    </w:p>
    <w:p w14:paraId="027716CC" w14:textId="77777777" w:rsidR="00FC161D" w:rsidRPr="00B91626" w:rsidRDefault="00FC161D" w:rsidP="00FC161D">
      <w:pPr>
        <w:keepNext/>
        <w:keepLines/>
        <w:autoSpaceDE w:val="0"/>
        <w:autoSpaceDN w:val="0"/>
        <w:adjustRightInd w:val="0"/>
        <w:spacing w:after="120"/>
        <w:ind w:firstLine="567"/>
        <w:jc w:val="both"/>
        <w:rPr>
          <w:rFonts w:ascii="Arial" w:eastAsia="SimSun" w:hAnsi="Arial" w:cs="Arial"/>
          <w:b/>
          <w:bCs/>
          <w:sz w:val="22"/>
          <w:szCs w:val="22"/>
        </w:rPr>
      </w:pPr>
      <w:r w:rsidRPr="00B91626">
        <w:rPr>
          <w:rFonts w:ascii="Arial" w:eastAsia="SimSun" w:hAnsi="Arial" w:cs="Arial"/>
          <w:b/>
          <w:sz w:val="22"/>
          <w:szCs w:val="22"/>
        </w:rPr>
        <w:lastRenderedPageBreak/>
        <w:t>Situation et évolution du Fonds</w:t>
      </w:r>
    </w:p>
    <w:p w14:paraId="2DB23FFD"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B91626">
        <w:rPr>
          <w:rFonts w:ascii="Arial" w:eastAsia="SimSun" w:hAnsi="Arial" w:cs="Arial"/>
          <w:sz w:val="22"/>
          <w:szCs w:val="22"/>
          <w:u w:val="single"/>
        </w:rPr>
        <w:t>Prend note</w:t>
      </w:r>
      <w:r w:rsidRPr="00B91626">
        <w:rPr>
          <w:rFonts w:ascii="Arial" w:eastAsia="SimSun" w:hAnsi="Arial" w:cs="Arial"/>
          <w:sz w:val="22"/>
          <w:szCs w:val="22"/>
        </w:rPr>
        <w:t xml:space="preserve"> de l’état des contributions du Fonds pour 2022-2023, </w:t>
      </w:r>
      <w:r w:rsidRPr="00B91626">
        <w:rPr>
          <w:rFonts w:ascii="Arial" w:eastAsia="SimSun" w:hAnsi="Arial" w:cs="Arial"/>
          <w:sz w:val="22"/>
          <w:szCs w:val="22"/>
          <w:u w:val="single"/>
        </w:rPr>
        <w:t>rappelle</w:t>
      </w:r>
      <w:r w:rsidRPr="00B91626">
        <w:rPr>
          <w:rFonts w:ascii="Arial" w:eastAsia="SimSun" w:hAnsi="Arial" w:cs="Arial"/>
          <w:sz w:val="22"/>
          <w:szCs w:val="22"/>
        </w:rPr>
        <w:t xml:space="preserve"> que le paiement des contributions obligatoires et des contributions volontaires mises en recouvrement est, en vertu de l’article 26 de la Convention, une obligation qui incombe à tous les États parties qui ont ratifié la Convention, et </w:t>
      </w:r>
      <w:r w:rsidRPr="00B91626">
        <w:rPr>
          <w:rFonts w:ascii="Arial" w:eastAsia="SimSun" w:hAnsi="Arial" w:cs="Arial"/>
          <w:sz w:val="22"/>
          <w:szCs w:val="22"/>
          <w:u w:val="single"/>
        </w:rPr>
        <w:t>demande</w:t>
      </w:r>
      <w:r w:rsidRPr="001C14F4">
        <w:rPr>
          <w:rFonts w:ascii="Arial" w:eastAsia="SimSun" w:hAnsi="Arial" w:cs="Arial"/>
          <w:sz w:val="22"/>
          <w:szCs w:val="22"/>
        </w:rPr>
        <w:t xml:space="preserve"> à</w:t>
      </w:r>
      <w:r w:rsidRPr="00B91626">
        <w:rPr>
          <w:rFonts w:ascii="Arial" w:eastAsia="SimSun" w:hAnsi="Arial" w:cs="Arial"/>
          <w:sz w:val="22"/>
          <w:szCs w:val="22"/>
        </w:rPr>
        <w:t xml:space="preserve"> tous les États parties qui n’ont pas encore réglé la totalité de leurs contributions, y compris les contributions volontaires mises en recouvrement, à s’assurer que leurs contributions soient payées le plus tôt possible ; </w:t>
      </w:r>
    </w:p>
    <w:p w14:paraId="2A4DA960"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rPr>
      </w:pPr>
      <w:r w:rsidRPr="00B91626">
        <w:rPr>
          <w:rFonts w:ascii="Arial" w:eastAsia="SimSun" w:hAnsi="Arial" w:cs="Arial"/>
          <w:sz w:val="22"/>
          <w:szCs w:val="22"/>
          <w:u w:val="single"/>
        </w:rPr>
        <w:t>Prend en outre note</w:t>
      </w:r>
      <w:r w:rsidRPr="00B91626">
        <w:rPr>
          <w:rFonts w:ascii="Arial" w:eastAsia="SimSun" w:hAnsi="Arial" w:cs="Arial"/>
          <w:sz w:val="22"/>
          <w:szCs w:val="22"/>
        </w:rPr>
        <w:t xml:space="preserve"> des donateurs qui ont versé au cours de l’exercice biennal 2022-2023 (a) des contributions volontaires supplémentaires pour des activités spécifiques approuvées par le Comité, à savoir les Pays-Bas et le Centre international d’information et de mise en réseau pour le patrimoine culturel immatériel dans la région Asie-Pacifique (ICHCAP), ainsi que (b) des contributions volontaires supplémentaires au sous-fonds pour le renforcement des capacités humaines du Secrétariat, à savoir la France, la Lituanie, Monaco, la Slovaquie et la Slovénie ;</w:t>
      </w:r>
    </w:p>
    <w:p w14:paraId="006797E7"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B91626">
        <w:rPr>
          <w:rFonts w:ascii="Arial" w:eastAsia="SimSun" w:hAnsi="Arial" w:cs="Arial"/>
          <w:sz w:val="22"/>
          <w:szCs w:val="22"/>
          <w:u w:val="single"/>
        </w:rPr>
        <w:t>Remercie</w:t>
      </w:r>
      <w:r w:rsidRPr="00B91626">
        <w:rPr>
          <w:rFonts w:ascii="Arial" w:eastAsia="SimSun" w:hAnsi="Arial" w:cs="Arial"/>
          <w:sz w:val="22"/>
          <w:szCs w:val="22"/>
        </w:rPr>
        <w:t xml:space="preserve"> tous les contributeurs qui ont soutenu la Convention et son Secrétariat, depuis sa dernière session, par différentes formes de soutien, financier ou en nature, telles que les contributions volontaires supplémentaires au Fonds du patrimoine culturel immatériel, y compris le sous-fonds pour le renforcement des capacités humaines du Secrétariat, les fonds-en-dépôt, ou le personnel détaché, et </w:t>
      </w:r>
      <w:r w:rsidRPr="00B91626">
        <w:rPr>
          <w:rFonts w:ascii="Arial" w:eastAsia="SimSun" w:hAnsi="Arial" w:cs="Arial"/>
          <w:sz w:val="22"/>
          <w:szCs w:val="22"/>
          <w:u w:val="single"/>
        </w:rPr>
        <w:t>encourage</w:t>
      </w:r>
      <w:r w:rsidRPr="00B91626">
        <w:rPr>
          <w:rFonts w:ascii="Arial" w:eastAsia="SimSun" w:hAnsi="Arial" w:cs="Arial"/>
          <w:sz w:val="22"/>
          <w:szCs w:val="22"/>
        </w:rPr>
        <w:t xml:space="preserve"> les contributeurs potentiels à envisager la possibilité de soutenir la Convention par le biais de la modalité de leur choix ;</w:t>
      </w:r>
    </w:p>
    <w:p w14:paraId="213B2C19"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B91626">
        <w:rPr>
          <w:rFonts w:ascii="Arial" w:eastAsia="SimSun" w:hAnsi="Arial" w:cs="Arial"/>
          <w:sz w:val="22"/>
          <w:szCs w:val="22"/>
          <w:u w:val="single"/>
        </w:rPr>
        <w:t>Réaffirme</w:t>
      </w:r>
      <w:r w:rsidRPr="00B91626">
        <w:rPr>
          <w:rFonts w:ascii="Arial" w:eastAsia="SimSun" w:hAnsi="Arial" w:cs="Arial"/>
          <w:sz w:val="22"/>
          <w:szCs w:val="22"/>
        </w:rPr>
        <w:t xml:space="preserve"> la nécessité de renforcer durablement les ressources humaines du Secrétariat pour lui permettre de mieux répondre aux besoins des États parties et </w:t>
      </w:r>
      <w:r w:rsidRPr="00B91626">
        <w:rPr>
          <w:rFonts w:ascii="Arial" w:eastAsia="SimSun" w:hAnsi="Arial" w:cs="Arial"/>
          <w:sz w:val="22"/>
          <w:szCs w:val="22"/>
          <w:u w:val="single"/>
        </w:rPr>
        <w:t>invite</w:t>
      </w:r>
      <w:r w:rsidRPr="00B91626">
        <w:rPr>
          <w:rFonts w:ascii="Arial" w:eastAsia="SimSun" w:hAnsi="Arial" w:cs="Arial"/>
          <w:sz w:val="22"/>
          <w:szCs w:val="22"/>
        </w:rPr>
        <w:t xml:space="preserve"> les États parties à verser des contributions volontaires supplémentaires au sous-fonds pour renforcer des capacités humaines du Secrétariat ;</w:t>
      </w:r>
    </w:p>
    <w:p w14:paraId="761770E1" w14:textId="77777777" w:rsidR="00FC161D" w:rsidRPr="00B91626" w:rsidRDefault="00FC161D" w:rsidP="00FC161D">
      <w:pPr>
        <w:keepNext/>
        <w:keepLines/>
        <w:autoSpaceDE w:val="0"/>
        <w:autoSpaceDN w:val="0"/>
        <w:adjustRightInd w:val="0"/>
        <w:spacing w:after="120"/>
        <w:ind w:firstLine="567"/>
        <w:jc w:val="both"/>
        <w:rPr>
          <w:rFonts w:ascii="Arial" w:eastAsia="SimSun" w:hAnsi="Arial" w:cs="Arial"/>
          <w:b/>
          <w:bCs/>
          <w:sz w:val="22"/>
          <w:szCs w:val="22"/>
        </w:rPr>
      </w:pPr>
      <w:r w:rsidRPr="00B91626">
        <w:rPr>
          <w:rFonts w:ascii="Arial" w:eastAsia="SimSun" w:hAnsi="Arial" w:cs="Arial"/>
          <w:b/>
          <w:sz w:val="22"/>
          <w:szCs w:val="22"/>
        </w:rPr>
        <w:t>Plan relatif à l’utilisation des ressources du Fonds</w:t>
      </w:r>
    </w:p>
    <w:p w14:paraId="7C525FFF"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rPr>
      </w:pPr>
      <w:r w:rsidRPr="00B91626">
        <w:rPr>
          <w:rFonts w:ascii="Arial" w:eastAsia="SimSun" w:hAnsi="Arial" w:cs="Arial"/>
          <w:sz w:val="22"/>
          <w:szCs w:val="22"/>
          <w:u w:val="single"/>
        </w:rPr>
        <w:t>Approuve</w:t>
      </w:r>
      <w:r w:rsidRPr="00B91626">
        <w:rPr>
          <w:rFonts w:ascii="Arial" w:eastAsia="SimSun" w:hAnsi="Arial" w:cs="Arial"/>
          <w:sz w:val="22"/>
          <w:szCs w:val="22"/>
        </w:rPr>
        <w:t xml:space="preserve"> le plan d’utilisation des ressources du Fonds pour la période allant du 1er janvier 2024 au 31 décembre 2025 ainsi que pour la période allant du 1er janvier 2026 au 30 juin 2026 dans l’annexe à la présente Résolution ;</w:t>
      </w:r>
    </w:p>
    <w:p w14:paraId="7F39A801"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rPr>
      </w:pPr>
      <w:r w:rsidRPr="00B91626">
        <w:rPr>
          <w:rFonts w:ascii="Arial" w:eastAsia="SimSun" w:hAnsi="Arial" w:cs="Arial"/>
          <w:sz w:val="22"/>
          <w:szCs w:val="22"/>
          <w:u w:val="single"/>
        </w:rPr>
        <w:t>Comprend</w:t>
      </w:r>
      <w:r w:rsidRPr="00B91626">
        <w:rPr>
          <w:rFonts w:ascii="Arial" w:eastAsia="SimSun" w:hAnsi="Arial" w:cs="Arial"/>
          <w:sz w:val="22"/>
          <w:szCs w:val="22"/>
        </w:rPr>
        <w:t xml:space="preserve"> que, lors de sa onzième session en 2026, elle pourra réajuster le plan budgétaire du 1er janvier 2026 au 30 juin 2026 ; si l’Assemblée générale n’est pas en mesure de se réunir avant le 30 juin 2026, le Secrétariat est autorisé à poursuivre ses activités jusqu’à ce que l’Assemblée générale soit en mesure de se réunir ;</w:t>
      </w:r>
    </w:p>
    <w:p w14:paraId="61EF1DA1"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rPr>
      </w:pPr>
      <w:r w:rsidRPr="00B91626">
        <w:rPr>
          <w:rFonts w:ascii="Arial" w:eastAsia="SimSun" w:hAnsi="Arial" w:cs="Arial"/>
          <w:sz w:val="22"/>
          <w:szCs w:val="22"/>
          <w:u w:val="single"/>
        </w:rPr>
        <w:t>Prend également note</w:t>
      </w:r>
      <w:r w:rsidRPr="00B91626">
        <w:rPr>
          <w:rFonts w:ascii="Arial" w:eastAsia="SimSun" w:hAnsi="Arial" w:cs="Arial"/>
          <w:sz w:val="22"/>
          <w:szCs w:val="22"/>
        </w:rPr>
        <w:t xml:space="preserve"> de l’autorisation accordée par le Comité au Secrétariat d’utiliser, à titre expérimental, un montant ne dépassant pas 10 pour cent du budget approuvé de chaque projet d’assistance internationale, en plus du montant accordé par le Comité ou son Bureau pour chaque projet, afin de suivre et d’évaluer l’impact des projets soutenus par le Fonds ;</w:t>
      </w:r>
    </w:p>
    <w:p w14:paraId="2D509FA7"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rPr>
      </w:pPr>
      <w:r w:rsidRPr="00B91626">
        <w:rPr>
          <w:rFonts w:ascii="Arial" w:eastAsia="SimSun" w:hAnsi="Arial" w:cs="Arial"/>
          <w:sz w:val="22"/>
          <w:szCs w:val="22"/>
          <w:u w:val="single"/>
        </w:rPr>
        <w:t>Se félicite en outre</w:t>
      </w:r>
      <w:r w:rsidRPr="00B91626">
        <w:rPr>
          <w:rFonts w:ascii="Arial" w:eastAsia="SimSun" w:hAnsi="Arial" w:cs="Arial"/>
          <w:sz w:val="22"/>
          <w:szCs w:val="22"/>
        </w:rPr>
        <w:t xml:space="preserve"> des ajustements des allocations prévues pour rendre opérationnels les résultats de la réflexion globale sur les mécanismes d’inscription sur les listes de la convention de 2003, en particulier sur une mise en œuvre plus large de l’article 18 de la Convention ; </w:t>
      </w:r>
    </w:p>
    <w:p w14:paraId="09098E4E"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B91626">
        <w:rPr>
          <w:rFonts w:ascii="Arial" w:eastAsia="SimSun" w:hAnsi="Arial" w:cs="Arial"/>
          <w:sz w:val="22"/>
          <w:szCs w:val="22"/>
          <w:u w:val="single"/>
        </w:rPr>
        <w:t>Prend note en outre</w:t>
      </w:r>
      <w:r w:rsidRPr="00B91626">
        <w:rPr>
          <w:rFonts w:ascii="Arial" w:eastAsia="SimSun" w:hAnsi="Arial" w:cs="Arial"/>
          <w:sz w:val="22"/>
          <w:szCs w:val="22"/>
        </w:rPr>
        <w:t xml:space="preserve"> de l’autorisation accordée par le Comité au Secrétariat, lors de l’utilisation des fonds alloués au titre de la ligne budgétaire 3 du Plan, d’effectuer des transferts entre les activités relevant dans la ligne budgétaire 3 jusqu’à un montant cumulé équivalant à 5 pour cent de l’allocation totale initiale proposée à l’Assemblée générale à cette fin ;</w:t>
      </w:r>
    </w:p>
    <w:p w14:paraId="4EA5087F"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rPr>
      </w:pPr>
      <w:r w:rsidRPr="00B91626">
        <w:rPr>
          <w:rFonts w:ascii="Arial" w:eastAsia="SimSun" w:hAnsi="Arial" w:cs="Arial"/>
          <w:sz w:val="22"/>
          <w:szCs w:val="22"/>
          <w:u w:val="single"/>
        </w:rPr>
        <w:t>Autorise</w:t>
      </w:r>
      <w:r w:rsidRPr="00B91626">
        <w:rPr>
          <w:rFonts w:ascii="Arial" w:eastAsia="SimSun" w:hAnsi="Arial" w:cs="Arial"/>
          <w:sz w:val="22"/>
          <w:szCs w:val="22"/>
        </w:rPr>
        <w:t xml:space="preserve"> le Comité à utiliser immédiatement toutes les contributions volontaires supplémentaires qui pourraient être reçues au cours de ces périodes, telles que le prévoit l’article 27 de la Convention, conformément aux pourcentages fixés dans le Plan ;</w:t>
      </w:r>
    </w:p>
    <w:p w14:paraId="2C43D8E3" w14:textId="77777777" w:rsidR="00FC161D" w:rsidRPr="00B91626" w:rsidRDefault="00FC161D" w:rsidP="00FC161D">
      <w:pPr>
        <w:numPr>
          <w:ilvl w:val="0"/>
          <w:numId w:val="10"/>
        </w:numPr>
        <w:autoSpaceDE w:val="0"/>
        <w:autoSpaceDN w:val="0"/>
        <w:adjustRightInd w:val="0"/>
        <w:spacing w:after="120"/>
        <w:ind w:left="567" w:hanging="567"/>
        <w:jc w:val="both"/>
        <w:rPr>
          <w:rFonts w:ascii="Arial" w:eastAsia="SimSun" w:hAnsi="Arial" w:cs="Arial"/>
          <w:sz w:val="22"/>
          <w:szCs w:val="22"/>
        </w:rPr>
      </w:pPr>
      <w:r w:rsidRPr="00B91626">
        <w:rPr>
          <w:rFonts w:ascii="Arial" w:eastAsia="SimSun" w:hAnsi="Arial" w:cs="Arial"/>
          <w:sz w:val="22"/>
          <w:szCs w:val="22"/>
          <w:u w:val="single"/>
        </w:rPr>
        <w:t>Autorise en outre</w:t>
      </w:r>
      <w:r w:rsidRPr="00B91626">
        <w:rPr>
          <w:rFonts w:ascii="Arial" w:eastAsia="SimSun" w:hAnsi="Arial" w:cs="Arial"/>
          <w:sz w:val="22"/>
          <w:szCs w:val="22"/>
        </w:rPr>
        <w:t xml:space="preserve"> le Comité à utiliser immédiatement toutes les contributions qu’il pourrait accepter, pendant ces périodes, à des fins spécifiques liées à des projets spécifiques, à </w:t>
      </w:r>
      <w:r w:rsidRPr="00B91626">
        <w:rPr>
          <w:rFonts w:ascii="Arial" w:eastAsia="SimSun" w:hAnsi="Arial" w:cs="Arial"/>
          <w:sz w:val="22"/>
          <w:szCs w:val="22"/>
        </w:rPr>
        <w:lastRenderedPageBreak/>
        <w:t>condition que ces projets aient été approuvés par le Comité avant la réception des fonds, comme décrit à l’article 25.5 de la Convention ;</w:t>
      </w:r>
    </w:p>
    <w:p w14:paraId="41E453C2" w14:textId="77777777" w:rsidR="00FC161D" w:rsidRDefault="00FC161D" w:rsidP="001C14F4">
      <w:pPr>
        <w:numPr>
          <w:ilvl w:val="0"/>
          <w:numId w:val="10"/>
        </w:numPr>
        <w:autoSpaceDE w:val="0"/>
        <w:autoSpaceDN w:val="0"/>
        <w:adjustRightInd w:val="0"/>
        <w:spacing w:after="240"/>
        <w:ind w:left="567" w:hanging="567"/>
        <w:jc w:val="both"/>
        <w:rPr>
          <w:rFonts w:ascii="Arial" w:eastAsia="SimSun" w:hAnsi="Arial" w:cs="Arial"/>
          <w:sz w:val="22"/>
          <w:szCs w:val="22"/>
        </w:rPr>
      </w:pPr>
      <w:r w:rsidRPr="00B91626">
        <w:rPr>
          <w:rFonts w:ascii="Arial" w:eastAsia="SimSun" w:hAnsi="Arial" w:cs="Arial"/>
          <w:sz w:val="22"/>
          <w:szCs w:val="22"/>
          <w:u w:val="single"/>
        </w:rPr>
        <w:t>Autorise également</w:t>
      </w:r>
      <w:r w:rsidRPr="00B91626">
        <w:rPr>
          <w:rFonts w:ascii="Arial" w:eastAsia="SimSun" w:hAnsi="Arial" w:cs="Arial"/>
          <w:sz w:val="22"/>
          <w:szCs w:val="22"/>
        </w:rPr>
        <w:t xml:space="preserve"> le Secrétariat à effectuer des transferts entre les lignes budgétaires 4, 5, 6 et 7, jusqu’à un montant équivalent de 30 pour cent de leur allocation totale initiale, et </w:t>
      </w:r>
      <w:r w:rsidRPr="00B91626">
        <w:rPr>
          <w:rFonts w:ascii="Arial" w:eastAsia="SimSun" w:hAnsi="Arial" w:cs="Arial"/>
          <w:sz w:val="22"/>
          <w:szCs w:val="22"/>
          <w:u w:val="single"/>
        </w:rPr>
        <w:t>demande</w:t>
      </w:r>
      <w:r w:rsidRPr="00B91626">
        <w:rPr>
          <w:rFonts w:ascii="Arial" w:eastAsia="SimSun" w:hAnsi="Arial" w:cs="Arial"/>
          <w:sz w:val="22"/>
          <w:szCs w:val="22"/>
        </w:rPr>
        <w:t xml:space="preserve"> que le Secrétariat d’informer par écrit le Comité et l’Assemblée générale, lors de la session suivant cette action, des détails et des motifs de ces transferts.</w:t>
      </w:r>
    </w:p>
    <w:p w14:paraId="6AABD5D5" w14:textId="77777777" w:rsidR="00FC161D" w:rsidRPr="00B91626" w:rsidRDefault="00FC161D" w:rsidP="00FC161D">
      <w:pPr>
        <w:jc w:val="center"/>
        <w:rPr>
          <w:rFonts w:ascii="Arial" w:eastAsia="SimSun" w:hAnsi="Arial" w:cs="Arial"/>
          <w:b/>
          <w:bCs/>
          <w:sz w:val="22"/>
          <w:szCs w:val="22"/>
          <w:u w:val="single"/>
        </w:rPr>
      </w:pPr>
      <w:r w:rsidRPr="00B91626">
        <w:rPr>
          <w:rFonts w:ascii="Arial" w:hAnsi="Arial"/>
          <w:b/>
          <w:sz w:val="22"/>
          <w:u w:val="single"/>
        </w:rPr>
        <w:t>ANNEXE</w:t>
      </w:r>
    </w:p>
    <w:p w14:paraId="5D37344E" w14:textId="77777777" w:rsidR="00FC161D" w:rsidRPr="00B91626" w:rsidRDefault="00FC161D" w:rsidP="00FC161D">
      <w:pPr>
        <w:jc w:val="center"/>
        <w:rPr>
          <w:rFonts w:ascii="Arial" w:eastAsia="SimSun" w:hAnsi="Arial" w:cs="Arial"/>
          <w:b/>
          <w:bCs/>
          <w:sz w:val="22"/>
          <w:szCs w:val="22"/>
          <w:u w:val="single"/>
          <w:lang w:val="en-GB"/>
        </w:rPr>
      </w:pPr>
    </w:p>
    <w:tbl>
      <w:tblPr>
        <w:tblW w:w="9706" w:type="dxa"/>
        <w:tblCellMar>
          <w:left w:w="70" w:type="dxa"/>
          <w:right w:w="70" w:type="dxa"/>
        </w:tblCellMar>
        <w:tblLook w:val="04A0" w:firstRow="1" w:lastRow="0" w:firstColumn="1" w:lastColumn="0" w:noHBand="0" w:noVBand="1"/>
      </w:tblPr>
      <w:tblGrid>
        <w:gridCol w:w="622"/>
        <w:gridCol w:w="5538"/>
        <w:gridCol w:w="1301"/>
        <w:gridCol w:w="1079"/>
        <w:gridCol w:w="1166"/>
      </w:tblGrid>
      <w:tr w:rsidR="00FC161D" w:rsidRPr="00B91626" w14:paraId="6BD933C9" w14:textId="77777777" w:rsidTr="00C8040F">
        <w:trPr>
          <w:trHeight w:val="315"/>
        </w:trPr>
        <w:tc>
          <w:tcPr>
            <w:tcW w:w="7460" w:type="dxa"/>
            <w:gridSpan w:val="3"/>
            <w:tcBorders>
              <w:top w:val="single" w:sz="8" w:space="0" w:color="auto"/>
              <w:left w:val="single" w:sz="8" w:space="0" w:color="auto"/>
              <w:bottom w:val="single" w:sz="8" w:space="0" w:color="auto"/>
              <w:right w:val="single" w:sz="8" w:space="0" w:color="000000"/>
            </w:tcBorders>
            <w:shd w:val="clear" w:color="000000" w:fill="D8D8D8"/>
            <w:vAlign w:val="center"/>
            <w:hideMark/>
          </w:tcPr>
          <w:p w14:paraId="29DE6BB4" w14:textId="77777777" w:rsidR="00FC161D" w:rsidRPr="00B91626" w:rsidRDefault="00FC161D" w:rsidP="0033776E">
            <w:pPr>
              <w:jc w:val="center"/>
              <w:rPr>
                <w:rFonts w:ascii="Arial" w:hAnsi="Arial" w:cs="Arial"/>
                <w:b/>
                <w:bCs/>
                <w:color w:val="000000"/>
                <w:sz w:val="18"/>
                <w:szCs w:val="18"/>
              </w:rPr>
            </w:pPr>
            <w:r w:rsidRPr="00B91626">
              <w:rPr>
                <w:rFonts w:ascii="Arial" w:hAnsi="Arial"/>
                <w:b/>
                <w:color w:val="000000"/>
                <w:sz w:val="18"/>
              </w:rPr>
              <w:t>Projet de plan relatif à l’utilisation des ressources du Fonds</w:t>
            </w:r>
          </w:p>
        </w:tc>
        <w:tc>
          <w:tcPr>
            <w:tcW w:w="1080" w:type="dxa"/>
            <w:tcBorders>
              <w:top w:val="dashed" w:sz="4" w:space="0" w:color="auto"/>
              <w:left w:val="nil"/>
              <w:bottom w:val="dashed" w:sz="4" w:space="0" w:color="auto"/>
              <w:right w:val="dashed" w:sz="4" w:space="0" w:color="auto"/>
            </w:tcBorders>
            <w:shd w:val="clear" w:color="auto" w:fill="auto"/>
            <w:vAlign w:val="center"/>
            <w:hideMark/>
          </w:tcPr>
          <w:p w14:paraId="54D6AA49" w14:textId="77777777" w:rsidR="00FC161D" w:rsidRPr="00B91626" w:rsidRDefault="00FC161D" w:rsidP="0033776E">
            <w:pPr>
              <w:jc w:val="center"/>
              <w:rPr>
                <w:rFonts w:ascii="Arial" w:hAnsi="Arial" w:cs="Arial"/>
                <w:b/>
                <w:bCs/>
                <w:color w:val="000000"/>
                <w:sz w:val="18"/>
                <w:szCs w:val="18"/>
              </w:rPr>
            </w:pPr>
            <w:r w:rsidRPr="00B91626">
              <w:rPr>
                <w:rFonts w:ascii="Arial" w:hAnsi="Arial"/>
                <w:b/>
                <w:color w:val="000000"/>
                <w:sz w:val="18"/>
              </w:rPr>
              <w:t> </w:t>
            </w:r>
          </w:p>
        </w:tc>
        <w:tc>
          <w:tcPr>
            <w:tcW w:w="1166" w:type="dxa"/>
            <w:tcBorders>
              <w:top w:val="dashed" w:sz="4" w:space="0" w:color="auto"/>
              <w:left w:val="nil"/>
              <w:bottom w:val="dashed" w:sz="4" w:space="0" w:color="auto"/>
              <w:right w:val="dashed" w:sz="4" w:space="0" w:color="auto"/>
            </w:tcBorders>
            <w:shd w:val="clear" w:color="auto" w:fill="auto"/>
            <w:noWrap/>
            <w:vAlign w:val="bottom"/>
            <w:hideMark/>
          </w:tcPr>
          <w:p w14:paraId="4A4FA0D0" w14:textId="77777777" w:rsidR="00FC161D" w:rsidRPr="00B91626" w:rsidRDefault="00FC161D" w:rsidP="0033776E">
            <w:pPr>
              <w:jc w:val="center"/>
              <w:rPr>
                <w:rFonts w:ascii="Calibri" w:hAnsi="Calibri" w:cs="Calibri"/>
                <w:color w:val="000000"/>
                <w:sz w:val="22"/>
                <w:szCs w:val="22"/>
              </w:rPr>
            </w:pPr>
            <w:r w:rsidRPr="00B91626">
              <w:rPr>
                <w:rFonts w:ascii="Calibri" w:hAnsi="Calibri"/>
                <w:color w:val="000000"/>
                <w:sz w:val="22"/>
              </w:rPr>
              <w:t> </w:t>
            </w:r>
          </w:p>
        </w:tc>
      </w:tr>
      <w:tr w:rsidR="00B073DE" w:rsidRPr="00B91626" w14:paraId="5E4CFF7A" w14:textId="77777777" w:rsidTr="00C8040F">
        <w:trPr>
          <w:trHeight w:val="1384"/>
        </w:trPr>
        <w:tc>
          <w:tcPr>
            <w:tcW w:w="647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6A49943" w14:textId="77777777" w:rsidR="00B073DE" w:rsidRPr="00B91626" w:rsidRDefault="00B073DE" w:rsidP="0033776E">
            <w:pPr>
              <w:rPr>
                <w:rFonts w:ascii="Arial" w:hAnsi="Arial" w:cs="Arial"/>
                <w:color w:val="000000"/>
                <w:sz w:val="18"/>
                <w:szCs w:val="18"/>
              </w:rPr>
            </w:pPr>
            <w:r w:rsidRPr="00B91626">
              <w:rPr>
                <w:rFonts w:ascii="Arial" w:hAnsi="Arial"/>
                <w:color w:val="000000"/>
                <w:sz w:val="18"/>
              </w:rPr>
              <w:t>Pour la période allant du 1er janvier 2024 au 31 décembre 2025, ainsi que pour la période allant du 1er janvier au 30 juin 2026, les ressources du Fonds du patrimoine culturel immatériel peuvent être utilisées aux fins suivantes :</w:t>
            </w:r>
          </w:p>
        </w:tc>
        <w:tc>
          <w:tcPr>
            <w:tcW w:w="990" w:type="dxa"/>
            <w:tcBorders>
              <w:top w:val="nil"/>
              <w:left w:val="nil"/>
              <w:bottom w:val="single" w:sz="4" w:space="0" w:color="auto"/>
              <w:right w:val="single" w:sz="8" w:space="0" w:color="auto"/>
            </w:tcBorders>
            <w:shd w:val="clear" w:color="auto" w:fill="auto"/>
            <w:vAlign w:val="center"/>
            <w:hideMark/>
          </w:tcPr>
          <w:p w14:paraId="37CA5549" w14:textId="77777777" w:rsidR="00B073DE" w:rsidRPr="00B91626" w:rsidRDefault="00B073DE" w:rsidP="0033776E">
            <w:pPr>
              <w:jc w:val="center"/>
              <w:rPr>
                <w:rFonts w:ascii="Arial" w:hAnsi="Arial" w:cs="Arial"/>
                <w:color w:val="000000"/>
                <w:sz w:val="18"/>
                <w:szCs w:val="18"/>
              </w:rPr>
            </w:pPr>
            <w:r w:rsidRPr="00B91626">
              <w:rPr>
                <w:rFonts w:ascii="Arial" w:hAnsi="Arial"/>
                <w:color w:val="000000"/>
                <w:sz w:val="18"/>
              </w:rPr>
              <w:t>% du montant total proposé 2024-2025 [1]</w:t>
            </w:r>
          </w:p>
        </w:tc>
        <w:tc>
          <w:tcPr>
            <w:tcW w:w="1080" w:type="dxa"/>
            <w:tcBorders>
              <w:top w:val="nil"/>
              <w:left w:val="nil"/>
              <w:bottom w:val="dashed" w:sz="4" w:space="0" w:color="auto"/>
              <w:right w:val="dashed" w:sz="4" w:space="0" w:color="auto"/>
            </w:tcBorders>
            <w:shd w:val="clear" w:color="auto" w:fill="auto"/>
            <w:vAlign w:val="center"/>
            <w:hideMark/>
          </w:tcPr>
          <w:p w14:paraId="6836A390" w14:textId="77777777" w:rsidR="00B073DE" w:rsidRPr="00B91626" w:rsidRDefault="00B073DE" w:rsidP="0033776E">
            <w:pPr>
              <w:jc w:val="center"/>
              <w:rPr>
                <w:rFonts w:ascii="Arial" w:hAnsi="Arial" w:cs="Arial"/>
                <w:color w:val="000000"/>
                <w:sz w:val="18"/>
                <w:szCs w:val="18"/>
              </w:rPr>
            </w:pPr>
            <w:r w:rsidRPr="00B91626">
              <w:rPr>
                <w:rFonts w:ascii="Arial" w:hAnsi="Arial"/>
                <w:color w:val="000000"/>
                <w:sz w:val="18"/>
              </w:rPr>
              <w:t>Montants indicatifs</w:t>
            </w:r>
            <w:r w:rsidRPr="00B91626">
              <w:rPr>
                <w:rFonts w:ascii="Arial" w:hAnsi="Arial"/>
                <w:color w:val="000000"/>
                <w:sz w:val="18"/>
              </w:rPr>
              <w:br/>
              <w:t>2024-2025</w:t>
            </w:r>
          </w:p>
        </w:tc>
        <w:tc>
          <w:tcPr>
            <w:tcW w:w="1166" w:type="dxa"/>
            <w:tcBorders>
              <w:top w:val="nil"/>
              <w:left w:val="nil"/>
              <w:bottom w:val="dashed" w:sz="4" w:space="0" w:color="auto"/>
              <w:right w:val="dashed" w:sz="4" w:space="0" w:color="auto"/>
            </w:tcBorders>
            <w:shd w:val="clear" w:color="auto" w:fill="auto"/>
            <w:vAlign w:val="center"/>
            <w:hideMark/>
          </w:tcPr>
          <w:p w14:paraId="132DC78C" w14:textId="77777777" w:rsidR="00B073DE" w:rsidRPr="00B91626" w:rsidRDefault="00B073DE" w:rsidP="0033776E">
            <w:pPr>
              <w:jc w:val="center"/>
              <w:rPr>
                <w:rFonts w:ascii="Arial" w:hAnsi="Arial" w:cs="Arial"/>
                <w:color w:val="000000"/>
                <w:sz w:val="18"/>
                <w:szCs w:val="18"/>
              </w:rPr>
            </w:pPr>
            <w:r w:rsidRPr="00B91626">
              <w:rPr>
                <w:rFonts w:ascii="Arial" w:hAnsi="Arial"/>
                <w:color w:val="000000"/>
                <w:sz w:val="18"/>
              </w:rPr>
              <w:t>Montants indicatifs</w:t>
            </w:r>
            <w:r w:rsidRPr="00B91626">
              <w:rPr>
                <w:rFonts w:ascii="Arial" w:hAnsi="Arial"/>
                <w:color w:val="000000"/>
                <w:sz w:val="18"/>
              </w:rPr>
              <w:br/>
              <w:t>janvier-juin 2026</w:t>
            </w:r>
          </w:p>
        </w:tc>
      </w:tr>
      <w:tr w:rsidR="00B073DE" w:rsidRPr="00B91626" w14:paraId="53378F27" w14:textId="77777777" w:rsidTr="00C8040F">
        <w:trPr>
          <w:trHeight w:val="1880"/>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4AF1DF4F" w14:textId="77777777" w:rsidR="00B073DE" w:rsidRPr="00B91626" w:rsidRDefault="00B073DE" w:rsidP="0033776E">
            <w:pPr>
              <w:ind w:firstLineChars="100" w:firstLine="180"/>
              <w:rPr>
                <w:rFonts w:ascii="Arial" w:hAnsi="Arial" w:cs="Arial"/>
                <w:color w:val="000000"/>
                <w:sz w:val="18"/>
                <w:szCs w:val="18"/>
              </w:rPr>
            </w:pPr>
            <w:r w:rsidRPr="00B91626">
              <w:rPr>
                <w:rFonts w:ascii="Arial" w:hAnsi="Arial"/>
                <w:color w:val="000000"/>
                <w:sz w:val="18"/>
              </w:rPr>
              <w:t>1.</w:t>
            </w:r>
          </w:p>
        </w:tc>
        <w:tc>
          <w:tcPr>
            <w:tcW w:w="5848" w:type="dxa"/>
            <w:tcBorders>
              <w:top w:val="nil"/>
              <w:left w:val="nil"/>
              <w:bottom w:val="single" w:sz="4" w:space="0" w:color="auto"/>
              <w:right w:val="single" w:sz="4" w:space="0" w:color="auto"/>
            </w:tcBorders>
            <w:shd w:val="clear" w:color="auto" w:fill="auto"/>
            <w:vAlign w:val="center"/>
            <w:hideMark/>
          </w:tcPr>
          <w:p w14:paraId="3C10BA6F" w14:textId="77777777" w:rsidR="00B073DE" w:rsidRPr="00B91626" w:rsidRDefault="00B073DE" w:rsidP="0033776E">
            <w:pPr>
              <w:rPr>
                <w:rFonts w:ascii="Arial" w:hAnsi="Arial" w:cs="Arial"/>
                <w:color w:val="000000"/>
                <w:sz w:val="18"/>
                <w:szCs w:val="18"/>
              </w:rPr>
            </w:pPr>
            <w:r w:rsidRPr="00B91626">
              <w:rPr>
                <w:rFonts w:asciiTheme="minorBidi" w:hAnsiTheme="minorBidi" w:cstheme="minorBidi"/>
                <w:color w:val="000000"/>
                <w:sz w:val="18"/>
                <w:szCs w:val="18"/>
                <w:lang w:val="fr"/>
              </w:rPr>
              <w:t xml:space="preserve">Assistance internationale, y compris la sauvegarde du patrimoine inscrit sur la Liste du patrimoine culturel immatériel nécessitant une sauvegarde urgente, la préparation d’inventaires, et l’appui à d’autres programmes, projets ou activités de sauvegarde, y compris le suivi et l’évaluation des demandes approuvées ; </w:t>
            </w:r>
          </w:p>
        </w:tc>
        <w:tc>
          <w:tcPr>
            <w:tcW w:w="990" w:type="dxa"/>
            <w:tcBorders>
              <w:top w:val="nil"/>
              <w:left w:val="nil"/>
              <w:bottom w:val="single" w:sz="4" w:space="0" w:color="auto"/>
              <w:right w:val="single" w:sz="8" w:space="0" w:color="auto"/>
            </w:tcBorders>
            <w:shd w:val="clear" w:color="auto" w:fill="auto"/>
            <w:vAlign w:val="center"/>
            <w:hideMark/>
          </w:tcPr>
          <w:p w14:paraId="1AC2742B" w14:textId="77777777" w:rsidR="00B073DE" w:rsidRPr="00B91626" w:rsidRDefault="00B073DE" w:rsidP="0033776E">
            <w:pPr>
              <w:jc w:val="center"/>
              <w:rPr>
                <w:rFonts w:ascii="Arial" w:hAnsi="Arial" w:cs="Arial"/>
                <w:color w:val="000000"/>
                <w:sz w:val="18"/>
                <w:szCs w:val="18"/>
              </w:rPr>
            </w:pPr>
            <w:r w:rsidRPr="00B91626">
              <w:rPr>
                <w:rFonts w:ascii="Arial" w:hAnsi="Arial"/>
                <w:color w:val="000000"/>
                <w:sz w:val="18"/>
              </w:rPr>
              <w:t>50,00 %</w:t>
            </w:r>
          </w:p>
        </w:tc>
        <w:tc>
          <w:tcPr>
            <w:tcW w:w="1080" w:type="dxa"/>
            <w:tcBorders>
              <w:top w:val="nil"/>
              <w:left w:val="nil"/>
              <w:bottom w:val="dashed" w:sz="4" w:space="0" w:color="auto"/>
              <w:right w:val="dashed" w:sz="4" w:space="0" w:color="auto"/>
            </w:tcBorders>
            <w:shd w:val="clear" w:color="auto" w:fill="auto"/>
            <w:vAlign w:val="center"/>
            <w:hideMark/>
          </w:tcPr>
          <w:p w14:paraId="30EF5FF4"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4 094 789 $</w:t>
            </w:r>
          </w:p>
        </w:tc>
        <w:tc>
          <w:tcPr>
            <w:tcW w:w="1166" w:type="dxa"/>
            <w:tcBorders>
              <w:top w:val="nil"/>
              <w:left w:val="nil"/>
              <w:bottom w:val="dashed" w:sz="4" w:space="0" w:color="auto"/>
              <w:right w:val="dashed" w:sz="4" w:space="0" w:color="auto"/>
            </w:tcBorders>
            <w:shd w:val="clear" w:color="auto" w:fill="auto"/>
            <w:vAlign w:val="center"/>
            <w:hideMark/>
          </w:tcPr>
          <w:p w14:paraId="6A40CE4F"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1 023 697 $</w:t>
            </w:r>
          </w:p>
        </w:tc>
      </w:tr>
      <w:tr w:rsidR="00B073DE" w:rsidRPr="00B91626" w14:paraId="670D7AE2" w14:textId="77777777" w:rsidTr="00C8040F">
        <w:trPr>
          <w:trHeight w:val="1068"/>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157BBEEF" w14:textId="77777777" w:rsidR="00B073DE" w:rsidRPr="00B91626" w:rsidRDefault="00B073DE" w:rsidP="0033776E">
            <w:pPr>
              <w:ind w:firstLineChars="100" w:firstLine="180"/>
              <w:rPr>
                <w:rFonts w:ascii="Arial" w:hAnsi="Arial" w:cs="Arial"/>
                <w:color w:val="000000"/>
                <w:sz w:val="18"/>
                <w:szCs w:val="18"/>
              </w:rPr>
            </w:pPr>
            <w:r w:rsidRPr="00B91626">
              <w:rPr>
                <w:rFonts w:ascii="Arial" w:hAnsi="Arial"/>
                <w:color w:val="000000"/>
                <w:sz w:val="18"/>
              </w:rPr>
              <w:t>1.1</w:t>
            </w:r>
          </w:p>
        </w:tc>
        <w:tc>
          <w:tcPr>
            <w:tcW w:w="5848" w:type="dxa"/>
            <w:tcBorders>
              <w:top w:val="nil"/>
              <w:left w:val="nil"/>
              <w:bottom w:val="single" w:sz="4" w:space="0" w:color="auto"/>
              <w:right w:val="single" w:sz="4" w:space="0" w:color="auto"/>
            </w:tcBorders>
            <w:shd w:val="clear" w:color="auto" w:fill="auto"/>
            <w:vAlign w:val="center"/>
            <w:hideMark/>
          </w:tcPr>
          <w:p w14:paraId="4758A2A7" w14:textId="77777777" w:rsidR="00B073DE" w:rsidRPr="00B91626" w:rsidRDefault="00B073DE" w:rsidP="0033776E">
            <w:pPr>
              <w:rPr>
                <w:rFonts w:ascii="Arial" w:hAnsi="Arial" w:cs="Arial"/>
                <w:color w:val="000000"/>
                <w:sz w:val="18"/>
                <w:szCs w:val="18"/>
              </w:rPr>
            </w:pPr>
            <w:r w:rsidRPr="00B91626">
              <w:rPr>
                <w:rFonts w:ascii="Arial" w:hAnsi="Arial"/>
                <w:color w:val="000000"/>
                <w:sz w:val="18"/>
              </w:rPr>
              <w:t xml:space="preserve">Renforcement des ressources humaines pour améliorer la mise en œuvre des mécanismes d’assistance internationale à travers trois postes extrabudgétaires à durée déterminée </w:t>
            </w:r>
            <w:r w:rsidRPr="00B91626">
              <w:rPr>
                <w:rFonts w:asciiTheme="minorBidi" w:hAnsiTheme="minorBidi" w:cstheme="minorBidi"/>
                <w:color w:val="000000"/>
                <w:sz w:val="18"/>
                <w:szCs w:val="18"/>
                <w:lang w:val="fr"/>
              </w:rPr>
              <w:t>financés à l’aide de fonds extrabudgétaires (un P3, un P2 et un G5) ;</w:t>
            </w:r>
          </w:p>
        </w:tc>
        <w:tc>
          <w:tcPr>
            <w:tcW w:w="990" w:type="dxa"/>
            <w:tcBorders>
              <w:top w:val="nil"/>
              <w:left w:val="nil"/>
              <w:bottom w:val="single" w:sz="4" w:space="0" w:color="auto"/>
              <w:right w:val="single" w:sz="8" w:space="0" w:color="auto"/>
            </w:tcBorders>
            <w:shd w:val="clear" w:color="auto" w:fill="auto"/>
            <w:vAlign w:val="center"/>
            <w:hideMark/>
          </w:tcPr>
          <w:p w14:paraId="684B6ACB" w14:textId="77777777" w:rsidR="00B073DE" w:rsidRPr="00B91626" w:rsidRDefault="00B073DE" w:rsidP="0033776E">
            <w:pPr>
              <w:jc w:val="center"/>
              <w:rPr>
                <w:rFonts w:ascii="Arial" w:hAnsi="Arial" w:cs="Arial"/>
                <w:color w:val="000000"/>
                <w:sz w:val="18"/>
                <w:szCs w:val="18"/>
              </w:rPr>
            </w:pPr>
            <w:r w:rsidRPr="00B91626">
              <w:rPr>
                <w:rFonts w:ascii="Arial" w:hAnsi="Arial"/>
                <w:color w:val="000000"/>
                <w:sz w:val="18"/>
              </w:rPr>
              <w:t>12,30 %</w:t>
            </w:r>
          </w:p>
        </w:tc>
        <w:tc>
          <w:tcPr>
            <w:tcW w:w="1080" w:type="dxa"/>
            <w:tcBorders>
              <w:top w:val="nil"/>
              <w:left w:val="nil"/>
              <w:bottom w:val="dashed" w:sz="4" w:space="0" w:color="auto"/>
              <w:right w:val="dashed" w:sz="4" w:space="0" w:color="auto"/>
            </w:tcBorders>
            <w:shd w:val="clear" w:color="auto" w:fill="auto"/>
            <w:vAlign w:val="center"/>
            <w:hideMark/>
          </w:tcPr>
          <w:p w14:paraId="304CE901"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1 007 318 $</w:t>
            </w:r>
          </w:p>
        </w:tc>
        <w:tc>
          <w:tcPr>
            <w:tcW w:w="1166" w:type="dxa"/>
            <w:tcBorders>
              <w:top w:val="nil"/>
              <w:left w:val="nil"/>
              <w:bottom w:val="dashed" w:sz="4" w:space="0" w:color="auto"/>
              <w:right w:val="dashed" w:sz="4" w:space="0" w:color="auto"/>
            </w:tcBorders>
            <w:shd w:val="clear" w:color="auto" w:fill="auto"/>
            <w:vAlign w:val="center"/>
            <w:hideMark/>
          </w:tcPr>
          <w:p w14:paraId="11939D7D"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251 830 $</w:t>
            </w:r>
          </w:p>
        </w:tc>
      </w:tr>
      <w:tr w:rsidR="00B073DE" w:rsidRPr="00B91626" w14:paraId="7D02D4B0" w14:textId="77777777" w:rsidTr="00C8040F">
        <w:trPr>
          <w:trHeight w:val="932"/>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0B300BF8" w14:textId="77777777" w:rsidR="00B073DE" w:rsidRPr="00B91626" w:rsidRDefault="00B073DE" w:rsidP="0033776E">
            <w:pPr>
              <w:ind w:firstLineChars="100" w:firstLine="180"/>
              <w:rPr>
                <w:rFonts w:ascii="Arial" w:hAnsi="Arial" w:cs="Arial"/>
                <w:color w:val="000000"/>
                <w:sz w:val="18"/>
                <w:szCs w:val="18"/>
              </w:rPr>
            </w:pPr>
            <w:r w:rsidRPr="00B91626">
              <w:rPr>
                <w:rFonts w:ascii="Arial" w:hAnsi="Arial"/>
                <w:color w:val="000000"/>
                <w:sz w:val="18"/>
              </w:rPr>
              <w:t>2.</w:t>
            </w:r>
          </w:p>
        </w:tc>
        <w:tc>
          <w:tcPr>
            <w:tcW w:w="5848" w:type="dxa"/>
            <w:tcBorders>
              <w:top w:val="nil"/>
              <w:left w:val="nil"/>
              <w:bottom w:val="single" w:sz="4" w:space="0" w:color="auto"/>
              <w:right w:val="single" w:sz="4" w:space="0" w:color="auto"/>
            </w:tcBorders>
            <w:shd w:val="clear" w:color="auto" w:fill="auto"/>
            <w:vAlign w:val="center"/>
            <w:hideMark/>
          </w:tcPr>
          <w:p w14:paraId="4D47D0BB" w14:textId="77777777" w:rsidR="00B073DE" w:rsidRPr="00B91626" w:rsidRDefault="00B073DE" w:rsidP="0033776E">
            <w:pPr>
              <w:rPr>
                <w:rFonts w:ascii="Arial" w:hAnsi="Arial" w:cs="Arial"/>
                <w:color w:val="000000"/>
                <w:sz w:val="18"/>
                <w:szCs w:val="18"/>
              </w:rPr>
            </w:pPr>
            <w:r w:rsidRPr="00B91626">
              <w:rPr>
                <w:rFonts w:asciiTheme="minorBidi" w:hAnsiTheme="minorBidi" w:cstheme="minorBidi"/>
                <w:color w:val="000000"/>
                <w:sz w:val="18"/>
                <w:szCs w:val="18"/>
                <w:lang w:val="fr"/>
              </w:rPr>
              <w:t>Assistance préparatoire pour les demandes d’assistance internationale, les candidatures et les propositions pour les Listes et le Registre de la Convention ;</w:t>
            </w:r>
          </w:p>
        </w:tc>
        <w:tc>
          <w:tcPr>
            <w:tcW w:w="990" w:type="dxa"/>
            <w:tcBorders>
              <w:top w:val="nil"/>
              <w:left w:val="nil"/>
              <w:bottom w:val="single" w:sz="4" w:space="0" w:color="auto"/>
              <w:right w:val="single" w:sz="8" w:space="0" w:color="auto"/>
            </w:tcBorders>
            <w:shd w:val="clear" w:color="auto" w:fill="auto"/>
            <w:vAlign w:val="center"/>
            <w:hideMark/>
          </w:tcPr>
          <w:p w14:paraId="6C912AC8" w14:textId="77777777" w:rsidR="00B073DE" w:rsidRPr="00B91626" w:rsidRDefault="00B073DE" w:rsidP="0033776E">
            <w:pPr>
              <w:jc w:val="center"/>
              <w:rPr>
                <w:rFonts w:ascii="Arial" w:hAnsi="Arial" w:cs="Arial"/>
                <w:color w:val="000000"/>
                <w:sz w:val="18"/>
                <w:szCs w:val="18"/>
              </w:rPr>
            </w:pPr>
            <w:r w:rsidRPr="00B91626">
              <w:rPr>
                <w:rFonts w:ascii="Arial" w:hAnsi="Arial"/>
                <w:color w:val="000000"/>
                <w:sz w:val="18"/>
              </w:rPr>
              <w:t>2,80 %</w:t>
            </w:r>
          </w:p>
        </w:tc>
        <w:tc>
          <w:tcPr>
            <w:tcW w:w="1080" w:type="dxa"/>
            <w:tcBorders>
              <w:top w:val="nil"/>
              <w:left w:val="nil"/>
              <w:bottom w:val="dashed" w:sz="4" w:space="0" w:color="auto"/>
              <w:right w:val="dashed" w:sz="4" w:space="0" w:color="auto"/>
            </w:tcBorders>
            <w:shd w:val="clear" w:color="auto" w:fill="auto"/>
            <w:vAlign w:val="center"/>
            <w:hideMark/>
          </w:tcPr>
          <w:p w14:paraId="18231A6B"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229 308 $</w:t>
            </w:r>
          </w:p>
        </w:tc>
        <w:tc>
          <w:tcPr>
            <w:tcW w:w="1166" w:type="dxa"/>
            <w:tcBorders>
              <w:top w:val="nil"/>
              <w:left w:val="nil"/>
              <w:bottom w:val="dashed" w:sz="4" w:space="0" w:color="auto"/>
              <w:right w:val="dashed" w:sz="4" w:space="0" w:color="auto"/>
            </w:tcBorders>
            <w:shd w:val="clear" w:color="auto" w:fill="auto"/>
            <w:vAlign w:val="center"/>
            <w:hideMark/>
          </w:tcPr>
          <w:p w14:paraId="15B933BF"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57 327 $</w:t>
            </w:r>
          </w:p>
        </w:tc>
      </w:tr>
      <w:tr w:rsidR="00B073DE" w:rsidRPr="00B91626" w14:paraId="63B4BE1D" w14:textId="77777777" w:rsidTr="00C8040F">
        <w:trPr>
          <w:trHeight w:val="2557"/>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70A66DE1" w14:textId="77777777" w:rsidR="00B073DE" w:rsidRPr="00B91626" w:rsidRDefault="00B073DE" w:rsidP="0033776E">
            <w:pPr>
              <w:ind w:firstLineChars="100" w:firstLine="180"/>
              <w:rPr>
                <w:rFonts w:ascii="Arial" w:hAnsi="Arial" w:cs="Arial"/>
                <w:color w:val="000000"/>
                <w:sz w:val="18"/>
                <w:szCs w:val="18"/>
              </w:rPr>
            </w:pPr>
            <w:r w:rsidRPr="00B91626">
              <w:rPr>
                <w:rFonts w:ascii="Arial" w:hAnsi="Arial"/>
                <w:color w:val="000000"/>
                <w:sz w:val="18"/>
              </w:rPr>
              <w:t>3.</w:t>
            </w:r>
          </w:p>
        </w:tc>
        <w:tc>
          <w:tcPr>
            <w:tcW w:w="5848" w:type="dxa"/>
            <w:tcBorders>
              <w:top w:val="nil"/>
              <w:left w:val="nil"/>
              <w:bottom w:val="single" w:sz="4" w:space="0" w:color="auto"/>
              <w:right w:val="single" w:sz="4" w:space="0" w:color="auto"/>
            </w:tcBorders>
            <w:shd w:val="clear" w:color="auto" w:fill="auto"/>
            <w:vAlign w:val="center"/>
            <w:hideMark/>
          </w:tcPr>
          <w:p w14:paraId="3BD23A03" w14:textId="77777777" w:rsidR="00B073DE" w:rsidRPr="00B91626" w:rsidRDefault="00B073DE" w:rsidP="0033776E">
            <w:pPr>
              <w:rPr>
                <w:rFonts w:ascii="Arial" w:hAnsi="Arial" w:cs="Arial"/>
                <w:color w:val="000000"/>
                <w:sz w:val="18"/>
                <w:szCs w:val="18"/>
              </w:rPr>
            </w:pPr>
            <w:r w:rsidRPr="00B91626">
              <w:rPr>
                <w:rFonts w:asciiTheme="minorBidi" w:hAnsiTheme="minorBidi" w:cstheme="minorBidi"/>
                <w:color w:val="000000"/>
                <w:sz w:val="18"/>
                <w:szCs w:val="18"/>
                <w:lang w:val="fr"/>
              </w:rPr>
              <w:t xml:space="preserve">Autres fonctions du Comité telles que décrites à l’article 7 de la Convention, visant à promouvoir les objectifs de la Convention et à encourager et assurer le suivi de sa mise en œuvre, à travers notamment le renforcement des capacités en vue d’une sauvegarde efficace du patrimoine culturel immatériel, une plus grande sensibilisation à l’importance de ce patrimoine, la fourniture de conseils sur les bonnes pratiques de sauvegarde et la mise à jour et la publication des Listes et du Registre de bonnes pratiques de sauvegarde : </w:t>
            </w:r>
          </w:p>
        </w:tc>
        <w:tc>
          <w:tcPr>
            <w:tcW w:w="990" w:type="dxa"/>
            <w:tcBorders>
              <w:top w:val="nil"/>
              <w:left w:val="nil"/>
              <w:bottom w:val="single" w:sz="4" w:space="0" w:color="auto"/>
              <w:right w:val="single" w:sz="8" w:space="0" w:color="auto"/>
            </w:tcBorders>
            <w:shd w:val="clear" w:color="auto" w:fill="auto"/>
            <w:vAlign w:val="center"/>
            <w:hideMark/>
          </w:tcPr>
          <w:p w14:paraId="5C5F546C" w14:textId="77777777" w:rsidR="00B073DE" w:rsidRPr="00B91626" w:rsidRDefault="00B073DE" w:rsidP="0033776E">
            <w:pPr>
              <w:jc w:val="center"/>
              <w:rPr>
                <w:rFonts w:ascii="Arial" w:hAnsi="Arial" w:cs="Arial"/>
                <w:color w:val="000000"/>
                <w:sz w:val="18"/>
                <w:szCs w:val="18"/>
              </w:rPr>
            </w:pPr>
            <w:r w:rsidRPr="00B91626">
              <w:rPr>
                <w:rFonts w:ascii="Arial" w:hAnsi="Arial"/>
                <w:color w:val="000000"/>
                <w:sz w:val="18"/>
              </w:rPr>
              <w:t>20,00 %</w:t>
            </w:r>
          </w:p>
        </w:tc>
        <w:tc>
          <w:tcPr>
            <w:tcW w:w="1080" w:type="dxa"/>
            <w:tcBorders>
              <w:top w:val="nil"/>
              <w:left w:val="nil"/>
              <w:bottom w:val="dashed" w:sz="4" w:space="0" w:color="auto"/>
              <w:right w:val="dashed" w:sz="4" w:space="0" w:color="auto"/>
            </w:tcBorders>
            <w:shd w:val="clear" w:color="auto" w:fill="auto"/>
            <w:vAlign w:val="center"/>
            <w:hideMark/>
          </w:tcPr>
          <w:p w14:paraId="5036A427"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1 637 916 $</w:t>
            </w:r>
          </w:p>
        </w:tc>
        <w:tc>
          <w:tcPr>
            <w:tcW w:w="1166" w:type="dxa"/>
            <w:tcBorders>
              <w:top w:val="nil"/>
              <w:left w:val="nil"/>
              <w:bottom w:val="dashed" w:sz="4" w:space="0" w:color="auto"/>
              <w:right w:val="dashed" w:sz="4" w:space="0" w:color="auto"/>
            </w:tcBorders>
            <w:shd w:val="clear" w:color="auto" w:fill="auto"/>
            <w:vAlign w:val="center"/>
            <w:hideMark/>
          </w:tcPr>
          <w:p w14:paraId="5B443BBE"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409 479 $</w:t>
            </w:r>
          </w:p>
        </w:tc>
      </w:tr>
      <w:tr w:rsidR="00B073DE" w:rsidRPr="00B91626" w14:paraId="02C808F5" w14:textId="77777777" w:rsidTr="00C8040F">
        <w:trPr>
          <w:trHeight w:val="300"/>
        </w:trPr>
        <w:tc>
          <w:tcPr>
            <w:tcW w:w="622"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27EE536D"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 </w:t>
            </w:r>
          </w:p>
        </w:tc>
        <w:tc>
          <w:tcPr>
            <w:tcW w:w="5848" w:type="dxa"/>
            <w:vMerge w:val="restart"/>
            <w:tcBorders>
              <w:top w:val="nil"/>
              <w:left w:val="single" w:sz="4" w:space="0" w:color="auto"/>
              <w:bottom w:val="single" w:sz="4" w:space="0" w:color="auto"/>
              <w:right w:val="single" w:sz="4" w:space="0" w:color="auto"/>
            </w:tcBorders>
            <w:shd w:val="clear" w:color="000000" w:fill="E7E6E6"/>
            <w:vAlign w:val="center"/>
            <w:hideMark/>
          </w:tcPr>
          <w:p w14:paraId="7D033DDB" w14:textId="77777777" w:rsidR="00B073DE" w:rsidRPr="00B91626" w:rsidRDefault="00B073DE" w:rsidP="0033776E">
            <w:pPr>
              <w:rPr>
                <w:rFonts w:ascii="Arial" w:hAnsi="Arial" w:cs="Arial"/>
                <w:b/>
                <w:bCs/>
                <w:i/>
                <w:iCs/>
                <w:color w:val="000000"/>
                <w:sz w:val="16"/>
                <w:szCs w:val="16"/>
              </w:rPr>
            </w:pPr>
            <w:r w:rsidRPr="00B91626">
              <w:rPr>
                <w:rFonts w:asciiTheme="minorBidi" w:hAnsiTheme="minorBidi" w:cstheme="minorBidi"/>
                <w:b/>
                <w:bCs/>
                <w:i/>
                <w:iCs/>
                <w:color w:val="000000"/>
                <w:sz w:val="16"/>
                <w:szCs w:val="16"/>
                <w:lang w:val="fr"/>
              </w:rPr>
              <w:t>RE  1 : Mise en œuvre de la Convention renforcé grâce à un programme amélioré de renforcement des capacités et l’intégration du patrimoine culturel immatériel dans les plans, politiques et programmes de développement</w:t>
            </w:r>
          </w:p>
        </w:tc>
        <w:tc>
          <w:tcPr>
            <w:tcW w:w="990" w:type="dxa"/>
            <w:vMerge w:val="restart"/>
            <w:tcBorders>
              <w:top w:val="nil"/>
              <w:left w:val="single" w:sz="4" w:space="0" w:color="auto"/>
              <w:bottom w:val="single" w:sz="4" w:space="0" w:color="auto"/>
              <w:right w:val="single" w:sz="8" w:space="0" w:color="auto"/>
            </w:tcBorders>
            <w:shd w:val="clear" w:color="000000" w:fill="E7E6E6"/>
            <w:vAlign w:val="center"/>
            <w:hideMark/>
          </w:tcPr>
          <w:p w14:paraId="579C6ED3" w14:textId="77777777" w:rsidR="00B073DE" w:rsidRPr="00B91626" w:rsidRDefault="00B073DE" w:rsidP="0033776E">
            <w:pPr>
              <w:jc w:val="center"/>
              <w:rPr>
                <w:rFonts w:ascii="Arial" w:hAnsi="Arial" w:cs="Arial"/>
                <w:i/>
                <w:iCs/>
                <w:color w:val="000000"/>
                <w:sz w:val="16"/>
                <w:szCs w:val="16"/>
              </w:rPr>
            </w:pPr>
            <w:r w:rsidRPr="00B91626">
              <w:rPr>
                <w:rFonts w:ascii="Arial" w:hAnsi="Arial"/>
                <w:i/>
                <w:color w:val="000000"/>
                <w:sz w:val="16"/>
              </w:rPr>
              <w:t>10,4 %</w:t>
            </w:r>
          </w:p>
        </w:tc>
        <w:tc>
          <w:tcPr>
            <w:tcW w:w="1080" w:type="dxa"/>
            <w:vMerge w:val="restart"/>
            <w:tcBorders>
              <w:top w:val="nil"/>
              <w:left w:val="nil"/>
              <w:bottom w:val="dashed" w:sz="4" w:space="0" w:color="auto"/>
              <w:right w:val="dashed" w:sz="4" w:space="0" w:color="auto"/>
            </w:tcBorders>
            <w:shd w:val="clear" w:color="000000" w:fill="E7E6E6"/>
            <w:vAlign w:val="center"/>
            <w:hideMark/>
          </w:tcPr>
          <w:p w14:paraId="27546906"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851 716 $</w:t>
            </w:r>
          </w:p>
        </w:tc>
        <w:tc>
          <w:tcPr>
            <w:tcW w:w="1166" w:type="dxa"/>
            <w:vMerge w:val="restart"/>
            <w:tcBorders>
              <w:top w:val="nil"/>
              <w:left w:val="dashed" w:sz="4" w:space="0" w:color="auto"/>
              <w:bottom w:val="dashed" w:sz="4" w:space="0" w:color="auto"/>
              <w:right w:val="dashed" w:sz="4" w:space="0" w:color="auto"/>
            </w:tcBorders>
            <w:shd w:val="clear" w:color="000000" w:fill="E7E6E6"/>
            <w:vAlign w:val="center"/>
            <w:hideMark/>
          </w:tcPr>
          <w:p w14:paraId="6C4DE145"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212 929 $</w:t>
            </w:r>
          </w:p>
        </w:tc>
      </w:tr>
      <w:tr w:rsidR="00B073DE" w:rsidRPr="00B91626" w14:paraId="2EBE68F6" w14:textId="77777777" w:rsidTr="00C8040F">
        <w:trPr>
          <w:trHeight w:val="300"/>
        </w:trPr>
        <w:tc>
          <w:tcPr>
            <w:tcW w:w="622" w:type="dxa"/>
            <w:vMerge/>
            <w:tcBorders>
              <w:top w:val="nil"/>
              <w:left w:val="single" w:sz="8" w:space="0" w:color="auto"/>
              <w:bottom w:val="single" w:sz="4" w:space="0" w:color="auto"/>
              <w:right w:val="single" w:sz="4" w:space="0" w:color="auto"/>
            </w:tcBorders>
            <w:vAlign w:val="center"/>
            <w:hideMark/>
          </w:tcPr>
          <w:p w14:paraId="4F0C6044" w14:textId="77777777" w:rsidR="00B073DE" w:rsidRPr="00B91626" w:rsidRDefault="00B073DE" w:rsidP="0033776E">
            <w:pPr>
              <w:rPr>
                <w:rFonts w:ascii="Arial" w:hAnsi="Arial" w:cs="Arial"/>
                <w:i/>
                <w:iCs/>
                <w:color w:val="000000"/>
                <w:sz w:val="18"/>
                <w:szCs w:val="18"/>
              </w:rPr>
            </w:pPr>
          </w:p>
        </w:tc>
        <w:tc>
          <w:tcPr>
            <w:tcW w:w="5848" w:type="dxa"/>
            <w:vMerge/>
            <w:tcBorders>
              <w:top w:val="nil"/>
              <w:left w:val="single" w:sz="4" w:space="0" w:color="auto"/>
              <w:bottom w:val="single" w:sz="4" w:space="0" w:color="auto"/>
              <w:right w:val="single" w:sz="4" w:space="0" w:color="auto"/>
            </w:tcBorders>
            <w:vAlign w:val="center"/>
            <w:hideMark/>
          </w:tcPr>
          <w:p w14:paraId="28D5F290" w14:textId="77777777" w:rsidR="00B073DE" w:rsidRPr="00B91626" w:rsidRDefault="00B073DE" w:rsidP="0033776E">
            <w:pPr>
              <w:rPr>
                <w:rFonts w:ascii="Arial" w:hAnsi="Arial" w:cs="Arial"/>
                <w:b/>
                <w:bCs/>
                <w:i/>
                <w:iCs/>
                <w:color w:val="000000"/>
                <w:sz w:val="16"/>
                <w:szCs w:val="16"/>
              </w:rPr>
            </w:pPr>
          </w:p>
        </w:tc>
        <w:tc>
          <w:tcPr>
            <w:tcW w:w="990" w:type="dxa"/>
            <w:vMerge/>
            <w:tcBorders>
              <w:top w:val="nil"/>
              <w:left w:val="single" w:sz="4" w:space="0" w:color="auto"/>
              <w:bottom w:val="single" w:sz="4" w:space="0" w:color="auto"/>
              <w:right w:val="single" w:sz="8" w:space="0" w:color="auto"/>
            </w:tcBorders>
            <w:vAlign w:val="center"/>
            <w:hideMark/>
          </w:tcPr>
          <w:p w14:paraId="23880D9C" w14:textId="77777777" w:rsidR="00B073DE" w:rsidRPr="00B91626" w:rsidRDefault="00B073DE" w:rsidP="0033776E">
            <w:pPr>
              <w:jc w:val="center"/>
              <w:rPr>
                <w:rFonts w:ascii="Arial" w:hAnsi="Arial" w:cs="Arial"/>
                <w:i/>
                <w:iCs/>
                <w:color w:val="000000"/>
                <w:sz w:val="16"/>
                <w:szCs w:val="16"/>
              </w:rPr>
            </w:pPr>
          </w:p>
        </w:tc>
        <w:tc>
          <w:tcPr>
            <w:tcW w:w="1080" w:type="dxa"/>
            <w:vMerge/>
            <w:tcBorders>
              <w:top w:val="nil"/>
              <w:left w:val="nil"/>
              <w:bottom w:val="dashed" w:sz="4" w:space="0" w:color="auto"/>
              <w:right w:val="dashed" w:sz="4" w:space="0" w:color="auto"/>
            </w:tcBorders>
            <w:vAlign w:val="center"/>
            <w:hideMark/>
          </w:tcPr>
          <w:p w14:paraId="357EEA72" w14:textId="77777777" w:rsidR="00B073DE" w:rsidRPr="00B91626" w:rsidRDefault="00B073DE" w:rsidP="0033776E">
            <w:pPr>
              <w:rPr>
                <w:rFonts w:ascii="Arial" w:hAnsi="Arial" w:cs="Arial"/>
                <w:i/>
                <w:iCs/>
                <w:color w:val="000000"/>
                <w:sz w:val="18"/>
                <w:szCs w:val="18"/>
              </w:rPr>
            </w:pPr>
          </w:p>
        </w:tc>
        <w:tc>
          <w:tcPr>
            <w:tcW w:w="1166" w:type="dxa"/>
            <w:vMerge/>
            <w:tcBorders>
              <w:top w:val="nil"/>
              <w:left w:val="dashed" w:sz="4" w:space="0" w:color="auto"/>
              <w:bottom w:val="dashed" w:sz="4" w:space="0" w:color="auto"/>
              <w:right w:val="dashed" w:sz="4" w:space="0" w:color="auto"/>
            </w:tcBorders>
            <w:vAlign w:val="center"/>
            <w:hideMark/>
          </w:tcPr>
          <w:p w14:paraId="60F4E9E9" w14:textId="77777777" w:rsidR="00B073DE" w:rsidRPr="00B91626" w:rsidRDefault="00B073DE" w:rsidP="0033776E">
            <w:pPr>
              <w:rPr>
                <w:rFonts w:ascii="Arial" w:hAnsi="Arial" w:cs="Arial"/>
                <w:i/>
                <w:iCs/>
                <w:color w:val="000000"/>
                <w:sz w:val="18"/>
                <w:szCs w:val="18"/>
              </w:rPr>
            </w:pPr>
          </w:p>
        </w:tc>
      </w:tr>
      <w:tr w:rsidR="00B073DE" w:rsidRPr="00B91626" w14:paraId="7EAE5E1D" w14:textId="77777777" w:rsidTr="00C8040F">
        <w:trPr>
          <w:trHeight w:val="300"/>
        </w:trPr>
        <w:tc>
          <w:tcPr>
            <w:tcW w:w="622" w:type="dxa"/>
            <w:vMerge/>
            <w:tcBorders>
              <w:top w:val="nil"/>
              <w:left w:val="single" w:sz="8" w:space="0" w:color="auto"/>
              <w:bottom w:val="single" w:sz="4" w:space="0" w:color="auto"/>
              <w:right w:val="single" w:sz="4" w:space="0" w:color="auto"/>
            </w:tcBorders>
            <w:vAlign w:val="center"/>
            <w:hideMark/>
          </w:tcPr>
          <w:p w14:paraId="59CD6C9F" w14:textId="77777777" w:rsidR="00B073DE" w:rsidRPr="00B91626" w:rsidRDefault="00B073DE" w:rsidP="0033776E">
            <w:pPr>
              <w:rPr>
                <w:rFonts w:ascii="Arial" w:hAnsi="Arial" w:cs="Arial"/>
                <w:i/>
                <w:iCs/>
                <w:color w:val="000000"/>
                <w:sz w:val="18"/>
                <w:szCs w:val="18"/>
              </w:rPr>
            </w:pPr>
          </w:p>
        </w:tc>
        <w:tc>
          <w:tcPr>
            <w:tcW w:w="5848" w:type="dxa"/>
            <w:vMerge/>
            <w:tcBorders>
              <w:top w:val="nil"/>
              <w:left w:val="single" w:sz="4" w:space="0" w:color="auto"/>
              <w:bottom w:val="single" w:sz="4" w:space="0" w:color="auto"/>
              <w:right w:val="single" w:sz="4" w:space="0" w:color="auto"/>
            </w:tcBorders>
            <w:vAlign w:val="center"/>
            <w:hideMark/>
          </w:tcPr>
          <w:p w14:paraId="38CD0600" w14:textId="77777777" w:rsidR="00B073DE" w:rsidRPr="00B91626" w:rsidRDefault="00B073DE" w:rsidP="0033776E">
            <w:pPr>
              <w:rPr>
                <w:rFonts w:ascii="Arial" w:hAnsi="Arial" w:cs="Arial"/>
                <w:b/>
                <w:bCs/>
                <w:i/>
                <w:iCs/>
                <w:color w:val="000000"/>
                <w:sz w:val="16"/>
                <w:szCs w:val="16"/>
              </w:rPr>
            </w:pPr>
          </w:p>
        </w:tc>
        <w:tc>
          <w:tcPr>
            <w:tcW w:w="990" w:type="dxa"/>
            <w:vMerge w:val="restart"/>
            <w:tcBorders>
              <w:top w:val="nil"/>
              <w:left w:val="single" w:sz="4" w:space="0" w:color="auto"/>
              <w:bottom w:val="single" w:sz="4" w:space="0" w:color="auto"/>
              <w:right w:val="single" w:sz="8" w:space="0" w:color="auto"/>
            </w:tcBorders>
            <w:shd w:val="clear" w:color="000000" w:fill="E7E6E6"/>
            <w:vAlign w:val="center"/>
            <w:hideMark/>
          </w:tcPr>
          <w:p w14:paraId="45536D59" w14:textId="77777777" w:rsidR="00B073DE" w:rsidRPr="00B91626" w:rsidRDefault="00B073DE" w:rsidP="0033776E">
            <w:pPr>
              <w:jc w:val="center"/>
              <w:rPr>
                <w:rFonts w:ascii="Arial" w:hAnsi="Arial" w:cs="Arial"/>
                <w:i/>
                <w:iCs/>
                <w:color w:val="000000"/>
                <w:sz w:val="16"/>
                <w:szCs w:val="16"/>
              </w:rPr>
            </w:pPr>
            <w:r w:rsidRPr="00B91626">
              <w:rPr>
                <w:rFonts w:ascii="Arial" w:hAnsi="Arial"/>
                <w:i/>
                <w:color w:val="000000"/>
                <w:sz w:val="16"/>
              </w:rPr>
              <w:t>(52 % de la ligne 3)</w:t>
            </w:r>
          </w:p>
        </w:tc>
        <w:tc>
          <w:tcPr>
            <w:tcW w:w="1080" w:type="dxa"/>
            <w:vMerge/>
            <w:tcBorders>
              <w:top w:val="nil"/>
              <w:left w:val="nil"/>
              <w:bottom w:val="dashed" w:sz="4" w:space="0" w:color="auto"/>
              <w:right w:val="dashed" w:sz="4" w:space="0" w:color="auto"/>
            </w:tcBorders>
            <w:vAlign w:val="center"/>
            <w:hideMark/>
          </w:tcPr>
          <w:p w14:paraId="2C96D875" w14:textId="77777777" w:rsidR="00B073DE" w:rsidRPr="00B91626" w:rsidRDefault="00B073DE" w:rsidP="0033776E">
            <w:pPr>
              <w:rPr>
                <w:rFonts w:ascii="Arial" w:hAnsi="Arial" w:cs="Arial"/>
                <w:i/>
                <w:iCs/>
                <w:color w:val="000000"/>
                <w:sz w:val="18"/>
                <w:szCs w:val="18"/>
              </w:rPr>
            </w:pPr>
          </w:p>
        </w:tc>
        <w:tc>
          <w:tcPr>
            <w:tcW w:w="1166" w:type="dxa"/>
            <w:vMerge/>
            <w:tcBorders>
              <w:top w:val="nil"/>
              <w:left w:val="dashed" w:sz="4" w:space="0" w:color="auto"/>
              <w:bottom w:val="dashed" w:sz="4" w:space="0" w:color="auto"/>
              <w:right w:val="dashed" w:sz="4" w:space="0" w:color="auto"/>
            </w:tcBorders>
            <w:vAlign w:val="center"/>
            <w:hideMark/>
          </w:tcPr>
          <w:p w14:paraId="31FAD446" w14:textId="77777777" w:rsidR="00B073DE" w:rsidRPr="00B91626" w:rsidRDefault="00B073DE" w:rsidP="0033776E">
            <w:pPr>
              <w:rPr>
                <w:rFonts w:ascii="Arial" w:hAnsi="Arial" w:cs="Arial"/>
                <w:i/>
                <w:iCs/>
                <w:color w:val="000000"/>
                <w:sz w:val="18"/>
                <w:szCs w:val="18"/>
              </w:rPr>
            </w:pPr>
          </w:p>
        </w:tc>
      </w:tr>
      <w:tr w:rsidR="00B073DE" w:rsidRPr="00B91626" w14:paraId="54BFCE65" w14:textId="77777777" w:rsidTr="00C8040F">
        <w:trPr>
          <w:trHeight w:val="300"/>
        </w:trPr>
        <w:tc>
          <w:tcPr>
            <w:tcW w:w="622" w:type="dxa"/>
            <w:vMerge/>
            <w:tcBorders>
              <w:top w:val="nil"/>
              <w:left w:val="single" w:sz="8" w:space="0" w:color="auto"/>
              <w:bottom w:val="single" w:sz="4" w:space="0" w:color="auto"/>
              <w:right w:val="single" w:sz="4" w:space="0" w:color="auto"/>
            </w:tcBorders>
            <w:vAlign w:val="center"/>
            <w:hideMark/>
          </w:tcPr>
          <w:p w14:paraId="025D72D4" w14:textId="77777777" w:rsidR="00B073DE" w:rsidRPr="00B91626" w:rsidRDefault="00B073DE" w:rsidP="0033776E">
            <w:pPr>
              <w:rPr>
                <w:rFonts w:ascii="Arial" w:hAnsi="Arial" w:cs="Arial"/>
                <w:i/>
                <w:iCs/>
                <w:color w:val="000000"/>
                <w:sz w:val="18"/>
                <w:szCs w:val="18"/>
              </w:rPr>
            </w:pPr>
          </w:p>
        </w:tc>
        <w:tc>
          <w:tcPr>
            <w:tcW w:w="5848" w:type="dxa"/>
            <w:vMerge/>
            <w:tcBorders>
              <w:top w:val="nil"/>
              <w:left w:val="single" w:sz="4" w:space="0" w:color="auto"/>
              <w:bottom w:val="single" w:sz="4" w:space="0" w:color="auto"/>
              <w:right w:val="single" w:sz="4" w:space="0" w:color="auto"/>
            </w:tcBorders>
            <w:vAlign w:val="center"/>
            <w:hideMark/>
          </w:tcPr>
          <w:p w14:paraId="560ADEE5" w14:textId="77777777" w:rsidR="00B073DE" w:rsidRPr="00B91626" w:rsidRDefault="00B073DE" w:rsidP="0033776E">
            <w:pPr>
              <w:rPr>
                <w:rFonts w:ascii="Arial" w:hAnsi="Arial" w:cs="Arial"/>
                <w:b/>
                <w:bCs/>
                <w:i/>
                <w:iCs/>
                <w:color w:val="000000"/>
                <w:sz w:val="16"/>
                <w:szCs w:val="16"/>
              </w:rPr>
            </w:pPr>
          </w:p>
        </w:tc>
        <w:tc>
          <w:tcPr>
            <w:tcW w:w="990" w:type="dxa"/>
            <w:vMerge/>
            <w:tcBorders>
              <w:top w:val="nil"/>
              <w:left w:val="single" w:sz="4" w:space="0" w:color="auto"/>
              <w:bottom w:val="single" w:sz="4" w:space="0" w:color="auto"/>
              <w:right w:val="single" w:sz="8" w:space="0" w:color="auto"/>
            </w:tcBorders>
            <w:vAlign w:val="center"/>
            <w:hideMark/>
          </w:tcPr>
          <w:p w14:paraId="3265A40E" w14:textId="77777777" w:rsidR="00B073DE" w:rsidRPr="00B91626" w:rsidRDefault="00B073DE" w:rsidP="0033776E">
            <w:pPr>
              <w:jc w:val="center"/>
              <w:rPr>
                <w:rFonts w:ascii="Arial" w:hAnsi="Arial" w:cs="Arial"/>
                <w:i/>
                <w:iCs/>
                <w:color w:val="000000"/>
                <w:sz w:val="16"/>
                <w:szCs w:val="16"/>
              </w:rPr>
            </w:pPr>
          </w:p>
        </w:tc>
        <w:tc>
          <w:tcPr>
            <w:tcW w:w="1080" w:type="dxa"/>
            <w:vMerge/>
            <w:tcBorders>
              <w:top w:val="nil"/>
              <w:left w:val="nil"/>
              <w:bottom w:val="dashed" w:sz="4" w:space="0" w:color="auto"/>
              <w:right w:val="dashed" w:sz="4" w:space="0" w:color="auto"/>
            </w:tcBorders>
            <w:vAlign w:val="center"/>
            <w:hideMark/>
          </w:tcPr>
          <w:p w14:paraId="005386A1" w14:textId="77777777" w:rsidR="00B073DE" w:rsidRPr="00B91626" w:rsidRDefault="00B073DE" w:rsidP="0033776E">
            <w:pPr>
              <w:rPr>
                <w:rFonts w:ascii="Arial" w:hAnsi="Arial" w:cs="Arial"/>
                <w:i/>
                <w:iCs/>
                <w:color w:val="000000"/>
                <w:sz w:val="18"/>
                <w:szCs w:val="18"/>
              </w:rPr>
            </w:pPr>
          </w:p>
        </w:tc>
        <w:tc>
          <w:tcPr>
            <w:tcW w:w="1166" w:type="dxa"/>
            <w:vMerge/>
            <w:tcBorders>
              <w:top w:val="nil"/>
              <w:left w:val="dashed" w:sz="4" w:space="0" w:color="auto"/>
              <w:bottom w:val="dashed" w:sz="4" w:space="0" w:color="auto"/>
              <w:right w:val="dashed" w:sz="4" w:space="0" w:color="auto"/>
            </w:tcBorders>
            <w:vAlign w:val="center"/>
            <w:hideMark/>
          </w:tcPr>
          <w:p w14:paraId="1F60844A" w14:textId="77777777" w:rsidR="00B073DE" w:rsidRPr="00B91626" w:rsidRDefault="00B073DE" w:rsidP="0033776E">
            <w:pPr>
              <w:rPr>
                <w:rFonts w:ascii="Arial" w:hAnsi="Arial" w:cs="Arial"/>
                <w:i/>
                <w:iCs/>
                <w:color w:val="000000"/>
                <w:sz w:val="18"/>
                <w:szCs w:val="18"/>
              </w:rPr>
            </w:pPr>
          </w:p>
        </w:tc>
      </w:tr>
      <w:tr w:rsidR="00B073DE" w:rsidRPr="00B91626" w14:paraId="66F2E472" w14:textId="77777777" w:rsidTr="00C8040F">
        <w:trPr>
          <w:trHeight w:val="300"/>
        </w:trPr>
        <w:tc>
          <w:tcPr>
            <w:tcW w:w="622"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5D5DD3CE"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 </w:t>
            </w:r>
          </w:p>
        </w:tc>
        <w:tc>
          <w:tcPr>
            <w:tcW w:w="5848" w:type="dxa"/>
            <w:vMerge w:val="restart"/>
            <w:tcBorders>
              <w:top w:val="nil"/>
              <w:left w:val="single" w:sz="4" w:space="0" w:color="auto"/>
              <w:bottom w:val="single" w:sz="4" w:space="0" w:color="auto"/>
              <w:right w:val="single" w:sz="4" w:space="0" w:color="auto"/>
            </w:tcBorders>
            <w:shd w:val="clear" w:color="000000" w:fill="E7E6E6"/>
            <w:vAlign w:val="center"/>
            <w:hideMark/>
          </w:tcPr>
          <w:p w14:paraId="73935AE0" w14:textId="77777777" w:rsidR="00B073DE" w:rsidRPr="00B91626" w:rsidRDefault="00B073DE" w:rsidP="0033776E">
            <w:pPr>
              <w:rPr>
                <w:rFonts w:ascii="Arial" w:hAnsi="Arial" w:cs="Arial"/>
                <w:b/>
                <w:bCs/>
                <w:i/>
                <w:iCs/>
                <w:color w:val="000000"/>
                <w:sz w:val="16"/>
                <w:szCs w:val="16"/>
              </w:rPr>
            </w:pPr>
            <w:r w:rsidRPr="00B91626">
              <w:rPr>
                <w:rFonts w:asciiTheme="minorBidi" w:hAnsiTheme="minorBidi" w:cstheme="minorBidi"/>
                <w:b/>
                <w:bCs/>
                <w:i/>
                <w:iCs/>
                <w:color w:val="000000"/>
                <w:sz w:val="16"/>
                <w:szCs w:val="16"/>
                <w:lang w:val="fr"/>
              </w:rPr>
              <w:t>RE 2 : Bonne gouvernance de la Convention facilitée par l’amélioration du suivi, des services de gestion des connaissances et des actions de sensibilisation associés aux mécanismes de coopération internationale</w:t>
            </w:r>
          </w:p>
        </w:tc>
        <w:tc>
          <w:tcPr>
            <w:tcW w:w="990" w:type="dxa"/>
            <w:vMerge w:val="restart"/>
            <w:tcBorders>
              <w:top w:val="nil"/>
              <w:left w:val="single" w:sz="4" w:space="0" w:color="auto"/>
              <w:bottom w:val="single" w:sz="4" w:space="0" w:color="auto"/>
              <w:right w:val="single" w:sz="8" w:space="0" w:color="auto"/>
            </w:tcBorders>
            <w:shd w:val="clear" w:color="000000" w:fill="E7E6E6"/>
            <w:vAlign w:val="center"/>
            <w:hideMark/>
          </w:tcPr>
          <w:p w14:paraId="13A5EBDB" w14:textId="77777777" w:rsidR="00B073DE" w:rsidRPr="00B91626" w:rsidRDefault="00B073DE" w:rsidP="0033776E">
            <w:pPr>
              <w:jc w:val="center"/>
              <w:rPr>
                <w:rFonts w:ascii="Arial" w:hAnsi="Arial" w:cs="Arial"/>
                <w:i/>
                <w:iCs/>
                <w:color w:val="000000"/>
                <w:sz w:val="16"/>
                <w:szCs w:val="16"/>
              </w:rPr>
            </w:pPr>
            <w:r w:rsidRPr="00B91626">
              <w:rPr>
                <w:rFonts w:ascii="Arial" w:hAnsi="Arial"/>
                <w:i/>
                <w:color w:val="000000"/>
                <w:sz w:val="16"/>
              </w:rPr>
              <w:t>9,6 %</w:t>
            </w:r>
          </w:p>
        </w:tc>
        <w:tc>
          <w:tcPr>
            <w:tcW w:w="1080" w:type="dxa"/>
            <w:vMerge w:val="restart"/>
            <w:tcBorders>
              <w:top w:val="nil"/>
              <w:left w:val="nil"/>
              <w:bottom w:val="dashed" w:sz="4" w:space="0" w:color="auto"/>
              <w:right w:val="dashed" w:sz="4" w:space="0" w:color="auto"/>
            </w:tcBorders>
            <w:shd w:val="clear" w:color="000000" w:fill="E7E6E6"/>
            <w:vAlign w:val="center"/>
            <w:hideMark/>
          </w:tcPr>
          <w:p w14:paraId="5F55F4D1"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786 199 $</w:t>
            </w:r>
          </w:p>
        </w:tc>
        <w:tc>
          <w:tcPr>
            <w:tcW w:w="1166" w:type="dxa"/>
            <w:vMerge w:val="restart"/>
            <w:tcBorders>
              <w:top w:val="nil"/>
              <w:left w:val="dashed" w:sz="4" w:space="0" w:color="auto"/>
              <w:bottom w:val="dashed" w:sz="4" w:space="0" w:color="auto"/>
              <w:right w:val="dashed" w:sz="4" w:space="0" w:color="auto"/>
            </w:tcBorders>
            <w:shd w:val="clear" w:color="000000" w:fill="E7E6E6"/>
            <w:vAlign w:val="center"/>
            <w:hideMark/>
          </w:tcPr>
          <w:p w14:paraId="7F9DE1F8"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196 550 $</w:t>
            </w:r>
          </w:p>
        </w:tc>
      </w:tr>
      <w:tr w:rsidR="00B073DE" w:rsidRPr="00B91626" w14:paraId="69FEAFB7" w14:textId="77777777" w:rsidTr="00C8040F">
        <w:trPr>
          <w:trHeight w:val="300"/>
        </w:trPr>
        <w:tc>
          <w:tcPr>
            <w:tcW w:w="622" w:type="dxa"/>
            <w:vMerge/>
            <w:tcBorders>
              <w:top w:val="nil"/>
              <w:left w:val="single" w:sz="8" w:space="0" w:color="auto"/>
              <w:bottom w:val="single" w:sz="4" w:space="0" w:color="auto"/>
              <w:right w:val="single" w:sz="4" w:space="0" w:color="auto"/>
            </w:tcBorders>
            <w:vAlign w:val="center"/>
            <w:hideMark/>
          </w:tcPr>
          <w:p w14:paraId="0F32E546" w14:textId="77777777" w:rsidR="00B073DE" w:rsidRPr="00B91626" w:rsidRDefault="00B073DE" w:rsidP="0033776E">
            <w:pPr>
              <w:rPr>
                <w:rFonts w:ascii="Arial" w:hAnsi="Arial" w:cs="Arial"/>
                <w:i/>
                <w:iCs/>
                <w:color w:val="000000"/>
                <w:sz w:val="18"/>
                <w:szCs w:val="18"/>
              </w:rPr>
            </w:pPr>
          </w:p>
        </w:tc>
        <w:tc>
          <w:tcPr>
            <w:tcW w:w="5848" w:type="dxa"/>
            <w:vMerge/>
            <w:tcBorders>
              <w:top w:val="nil"/>
              <w:left w:val="single" w:sz="4" w:space="0" w:color="auto"/>
              <w:bottom w:val="single" w:sz="4" w:space="0" w:color="auto"/>
              <w:right w:val="single" w:sz="4" w:space="0" w:color="auto"/>
            </w:tcBorders>
            <w:vAlign w:val="center"/>
            <w:hideMark/>
          </w:tcPr>
          <w:p w14:paraId="2E926B93" w14:textId="77777777" w:rsidR="00B073DE" w:rsidRPr="00B91626" w:rsidRDefault="00B073DE" w:rsidP="0033776E">
            <w:pPr>
              <w:rPr>
                <w:rFonts w:ascii="Arial" w:hAnsi="Arial" w:cs="Arial"/>
                <w:b/>
                <w:bCs/>
                <w:i/>
                <w:iCs/>
                <w:color w:val="000000"/>
                <w:sz w:val="16"/>
                <w:szCs w:val="16"/>
              </w:rPr>
            </w:pPr>
          </w:p>
        </w:tc>
        <w:tc>
          <w:tcPr>
            <w:tcW w:w="990" w:type="dxa"/>
            <w:vMerge/>
            <w:tcBorders>
              <w:top w:val="nil"/>
              <w:left w:val="single" w:sz="4" w:space="0" w:color="auto"/>
              <w:bottom w:val="single" w:sz="4" w:space="0" w:color="auto"/>
              <w:right w:val="single" w:sz="8" w:space="0" w:color="auto"/>
            </w:tcBorders>
            <w:vAlign w:val="center"/>
            <w:hideMark/>
          </w:tcPr>
          <w:p w14:paraId="1E9F0FEE" w14:textId="77777777" w:rsidR="00B073DE" w:rsidRPr="00B91626" w:rsidRDefault="00B073DE" w:rsidP="0033776E">
            <w:pPr>
              <w:jc w:val="center"/>
              <w:rPr>
                <w:rFonts w:ascii="Arial" w:hAnsi="Arial" w:cs="Arial"/>
                <w:i/>
                <w:iCs/>
                <w:color w:val="000000"/>
                <w:sz w:val="16"/>
                <w:szCs w:val="16"/>
              </w:rPr>
            </w:pPr>
          </w:p>
        </w:tc>
        <w:tc>
          <w:tcPr>
            <w:tcW w:w="1080" w:type="dxa"/>
            <w:vMerge/>
            <w:tcBorders>
              <w:top w:val="nil"/>
              <w:left w:val="nil"/>
              <w:bottom w:val="dashed" w:sz="4" w:space="0" w:color="auto"/>
              <w:right w:val="dashed" w:sz="4" w:space="0" w:color="auto"/>
            </w:tcBorders>
            <w:vAlign w:val="center"/>
            <w:hideMark/>
          </w:tcPr>
          <w:p w14:paraId="5732CF4A" w14:textId="77777777" w:rsidR="00B073DE" w:rsidRPr="00B91626" w:rsidRDefault="00B073DE" w:rsidP="0033776E">
            <w:pPr>
              <w:rPr>
                <w:rFonts w:ascii="Arial" w:hAnsi="Arial" w:cs="Arial"/>
                <w:i/>
                <w:iCs/>
                <w:color w:val="000000"/>
                <w:sz w:val="18"/>
                <w:szCs w:val="18"/>
              </w:rPr>
            </w:pPr>
          </w:p>
        </w:tc>
        <w:tc>
          <w:tcPr>
            <w:tcW w:w="1166" w:type="dxa"/>
            <w:vMerge/>
            <w:tcBorders>
              <w:top w:val="nil"/>
              <w:left w:val="dashed" w:sz="4" w:space="0" w:color="auto"/>
              <w:bottom w:val="dashed" w:sz="4" w:space="0" w:color="auto"/>
              <w:right w:val="dashed" w:sz="4" w:space="0" w:color="auto"/>
            </w:tcBorders>
            <w:vAlign w:val="center"/>
            <w:hideMark/>
          </w:tcPr>
          <w:p w14:paraId="53471BB4" w14:textId="77777777" w:rsidR="00B073DE" w:rsidRPr="00B91626" w:rsidRDefault="00B073DE" w:rsidP="0033776E">
            <w:pPr>
              <w:rPr>
                <w:rFonts w:ascii="Arial" w:hAnsi="Arial" w:cs="Arial"/>
                <w:i/>
                <w:iCs/>
                <w:color w:val="000000"/>
                <w:sz w:val="18"/>
                <w:szCs w:val="18"/>
              </w:rPr>
            </w:pPr>
          </w:p>
        </w:tc>
      </w:tr>
      <w:tr w:rsidR="00B073DE" w:rsidRPr="00B91626" w14:paraId="77694767" w14:textId="77777777" w:rsidTr="00C8040F">
        <w:trPr>
          <w:trHeight w:val="300"/>
        </w:trPr>
        <w:tc>
          <w:tcPr>
            <w:tcW w:w="622" w:type="dxa"/>
            <w:vMerge/>
            <w:tcBorders>
              <w:top w:val="nil"/>
              <w:left w:val="single" w:sz="8" w:space="0" w:color="auto"/>
              <w:bottom w:val="single" w:sz="4" w:space="0" w:color="auto"/>
              <w:right w:val="single" w:sz="4" w:space="0" w:color="auto"/>
            </w:tcBorders>
            <w:vAlign w:val="center"/>
            <w:hideMark/>
          </w:tcPr>
          <w:p w14:paraId="6AA7EBD3" w14:textId="77777777" w:rsidR="00B073DE" w:rsidRPr="00B91626" w:rsidRDefault="00B073DE" w:rsidP="0033776E">
            <w:pPr>
              <w:rPr>
                <w:rFonts w:ascii="Arial" w:hAnsi="Arial" w:cs="Arial"/>
                <w:i/>
                <w:iCs/>
                <w:color w:val="000000"/>
                <w:sz w:val="18"/>
                <w:szCs w:val="18"/>
              </w:rPr>
            </w:pPr>
          </w:p>
        </w:tc>
        <w:tc>
          <w:tcPr>
            <w:tcW w:w="5848" w:type="dxa"/>
            <w:vMerge/>
            <w:tcBorders>
              <w:top w:val="nil"/>
              <w:left w:val="single" w:sz="4" w:space="0" w:color="auto"/>
              <w:bottom w:val="single" w:sz="4" w:space="0" w:color="auto"/>
              <w:right w:val="single" w:sz="4" w:space="0" w:color="auto"/>
            </w:tcBorders>
            <w:vAlign w:val="center"/>
            <w:hideMark/>
          </w:tcPr>
          <w:p w14:paraId="470EF084" w14:textId="77777777" w:rsidR="00B073DE" w:rsidRPr="00B91626" w:rsidRDefault="00B073DE" w:rsidP="0033776E">
            <w:pPr>
              <w:rPr>
                <w:rFonts w:ascii="Arial" w:hAnsi="Arial" w:cs="Arial"/>
                <w:b/>
                <w:bCs/>
                <w:i/>
                <w:iCs/>
                <w:color w:val="000000"/>
                <w:sz w:val="16"/>
                <w:szCs w:val="16"/>
              </w:rPr>
            </w:pPr>
          </w:p>
        </w:tc>
        <w:tc>
          <w:tcPr>
            <w:tcW w:w="990" w:type="dxa"/>
            <w:vMerge w:val="restart"/>
            <w:tcBorders>
              <w:top w:val="nil"/>
              <w:left w:val="single" w:sz="4" w:space="0" w:color="auto"/>
              <w:bottom w:val="single" w:sz="4" w:space="0" w:color="auto"/>
              <w:right w:val="single" w:sz="8" w:space="0" w:color="auto"/>
            </w:tcBorders>
            <w:shd w:val="clear" w:color="000000" w:fill="E7E6E6"/>
            <w:vAlign w:val="center"/>
            <w:hideMark/>
          </w:tcPr>
          <w:p w14:paraId="3273EC49" w14:textId="77777777" w:rsidR="00B073DE" w:rsidRPr="00B91626" w:rsidRDefault="00B073DE" w:rsidP="0033776E">
            <w:pPr>
              <w:jc w:val="center"/>
              <w:rPr>
                <w:rFonts w:ascii="Arial" w:hAnsi="Arial" w:cs="Arial"/>
                <w:i/>
                <w:iCs/>
                <w:color w:val="000000"/>
                <w:sz w:val="16"/>
                <w:szCs w:val="16"/>
              </w:rPr>
            </w:pPr>
            <w:r w:rsidRPr="00B91626">
              <w:rPr>
                <w:rFonts w:ascii="Arial" w:hAnsi="Arial"/>
                <w:i/>
                <w:color w:val="000000"/>
                <w:sz w:val="16"/>
              </w:rPr>
              <w:t>(48 % de la ligne 3)</w:t>
            </w:r>
          </w:p>
        </w:tc>
        <w:tc>
          <w:tcPr>
            <w:tcW w:w="1080" w:type="dxa"/>
            <w:vMerge/>
            <w:tcBorders>
              <w:top w:val="nil"/>
              <w:left w:val="nil"/>
              <w:bottom w:val="dashed" w:sz="4" w:space="0" w:color="auto"/>
              <w:right w:val="dashed" w:sz="4" w:space="0" w:color="auto"/>
            </w:tcBorders>
            <w:vAlign w:val="center"/>
            <w:hideMark/>
          </w:tcPr>
          <w:p w14:paraId="243C84C9" w14:textId="77777777" w:rsidR="00B073DE" w:rsidRPr="00B91626" w:rsidRDefault="00B073DE" w:rsidP="0033776E">
            <w:pPr>
              <w:rPr>
                <w:rFonts w:ascii="Arial" w:hAnsi="Arial" w:cs="Arial"/>
                <w:i/>
                <w:iCs/>
                <w:color w:val="000000"/>
                <w:sz w:val="18"/>
                <w:szCs w:val="18"/>
              </w:rPr>
            </w:pPr>
          </w:p>
        </w:tc>
        <w:tc>
          <w:tcPr>
            <w:tcW w:w="1166" w:type="dxa"/>
            <w:vMerge/>
            <w:tcBorders>
              <w:top w:val="nil"/>
              <w:left w:val="dashed" w:sz="4" w:space="0" w:color="auto"/>
              <w:bottom w:val="dashed" w:sz="4" w:space="0" w:color="auto"/>
              <w:right w:val="dashed" w:sz="4" w:space="0" w:color="auto"/>
            </w:tcBorders>
            <w:vAlign w:val="center"/>
            <w:hideMark/>
          </w:tcPr>
          <w:p w14:paraId="40BEEBCF" w14:textId="77777777" w:rsidR="00B073DE" w:rsidRPr="00B91626" w:rsidRDefault="00B073DE" w:rsidP="0033776E">
            <w:pPr>
              <w:rPr>
                <w:rFonts w:ascii="Arial" w:hAnsi="Arial" w:cs="Arial"/>
                <w:i/>
                <w:iCs/>
                <w:color w:val="000000"/>
                <w:sz w:val="18"/>
                <w:szCs w:val="18"/>
              </w:rPr>
            </w:pPr>
          </w:p>
        </w:tc>
      </w:tr>
      <w:tr w:rsidR="00B073DE" w:rsidRPr="00B91626" w14:paraId="2DC50C86" w14:textId="77777777" w:rsidTr="00C8040F">
        <w:trPr>
          <w:trHeight w:val="300"/>
        </w:trPr>
        <w:tc>
          <w:tcPr>
            <w:tcW w:w="622" w:type="dxa"/>
            <w:vMerge/>
            <w:tcBorders>
              <w:top w:val="nil"/>
              <w:left w:val="single" w:sz="8" w:space="0" w:color="auto"/>
              <w:bottom w:val="single" w:sz="4" w:space="0" w:color="auto"/>
              <w:right w:val="single" w:sz="4" w:space="0" w:color="auto"/>
            </w:tcBorders>
            <w:vAlign w:val="center"/>
            <w:hideMark/>
          </w:tcPr>
          <w:p w14:paraId="1CE52724" w14:textId="77777777" w:rsidR="00B073DE" w:rsidRPr="00B91626" w:rsidRDefault="00B073DE" w:rsidP="0033776E">
            <w:pPr>
              <w:rPr>
                <w:rFonts w:ascii="Arial" w:hAnsi="Arial" w:cs="Arial"/>
                <w:i/>
                <w:iCs/>
                <w:color w:val="000000"/>
                <w:sz w:val="18"/>
                <w:szCs w:val="18"/>
              </w:rPr>
            </w:pPr>
          </w:p>
        </w:tc>
        <w:tc>
          <w:tcPr>
            <w:tcW w:w="5848" w:type="dxa"/>
            <w:vMerge/>
            <w:tcBorders>
              <w:top w:val="nil"/>
              <w:left w:val="single" w:sz="4" w:space="0" w:color="auto"/>
              <w:bottom w:val="single" w:sz="4" w:space="0" w:color="auto"/>
              <w:right w:val="single" w:sz="4" w:space="0" w:color="auto"/>
            </w:tcBorders>
            <w:vAlign w:val="center"/>
            <w:hideMark/>
          </w:tcPr>
          <w:p w14:paraId="1E1B5923" w14:textId="77777777" w:rsidR="00B073DE" w:rsidRPr="00B91626" w:rsidRDefault="00B073DE" w:rsidP="0033776E">
            <w:pPr>
              <w:rPr>
                <w:rFonts w:ascii="Arial" w:hAnsi="Arial" w:cs="Arial"/>
                <w:b/>
                <w:bCs/>
                <w:i/>
                <w:iCs/>
                <w:color w:val="000000"/>
                <w:sz w:val="16"/>
                <w:szCs w:val="16"/>
              </w:rPr>
            </w:pPr>
          </w:p>
        </w:tc>
        <w:tc>
          <w:tcPr>
            <w:tcW w:w="990" w:type="dxa"/>
            <w:vMerge/>
            <w:tcBorders>
              <w:top w:val="nil"/>
              <w:left w:val="single" w:sz="4" w:space="0" w:color="auto"/>
              <w:bottom w:val="single" w:sz="4" w:space="0" w:color="auto"/>
              <w:right w:val="single" w:sz="8" w:space="0" w:color="auto"/>
            </w:tcBorders>
            <w:vAlign w:val="center"/>
            <w:hideMark/>
          </w:tcPr>
          <w:p w14:paraId="56458DE0" w14:textId="77777777" w:rsidR="00B073DE" w:rsidRPr="00B91626" w:rsidRDefault="00B073DE" w:rsidP="0033776E">
            <w:pPr>
              <w:rPr>
                <w:rFonts w:ascii="Arial" w:hAnsi="Arial" w:cs="Arial"/>
                <w:i/>
                <w:iCs/>
                <w:color w:val="000000"/>
                <w:sz w:val="16"/>
                <w:szCs w:val="16"/>
              </w:rPr>
            </w:pPr>
          </w:p>
        </w:tc>
        <w:tc>
          <w:tcPr>
            <w:tcW w:w="1080" w:type="dxa"/>
            <w:vMerge/>
            <w:tcBorders>
              <w:top w:val="nil"/>
              <w:left w:val="nil"/>
              <w:bottom w:val="dashed" w:sz="4" w:space="0" w:color="auto"/>
              <w:right w:val="dashed" w:sz="4" w:space="0" w:color="auto"/>
            </w:tcBorders>
            <w:vAlign w:val="center"/>
            <w:hideMark/>
          </w:tcPr>
          <w:p w14:paraId="4560B7C5" w14:textId="77777777" w:rsidR="00B073DE" w:rsidRPr="00B91626" w:rsidRDefault="00B073DE" w:rsidP="0033776E">
            <w:pPr>
              <w:rPr>
                <w:rFonts w:ascii="Arial" w:hAnsi="Arial" w:cs="Arial"/>
                <w:i/>
                <w:iCs/>
                <w:color w:val="000000"/>
                <w:sz w:val="18"/>
                <w:szCs w:val="18"/>
              </w:rPr>
            </w:pPr>
          </w:p>
        </w:tc>
        <w:tc>
          <w:tcPr>
            <w:tcW w:w="1166" w:type="dxa"/>
            <w:vMerge/>
            <w:tcBorders>
              <w:top w:val="nil"/>
              <w:left w:val="dashed" w:sz="4" w:space="0" w:color="auto"/>
              <w:bottom w:val="dashed" w:sz="4" w:space="0" w:color="auto"/>
              <w:right w:val="dashed" w:sz="4" w:space="0" w:color="auto"/>
            </w:tcBorders>
            <w:vAlign w:val="center"/>
            <w:hideMark/>
          </w:tcPr>
          <w:p w14:paraId="2A76E1E6" w14:textId="77777777" w:rsidR="00B073DE" w:rsidRPr="00B91626" w:rsidRDefault="00B073DE" w:rsidP="0033776E">
            <w:pPr>
              <w:rPr>
                <w:rFonts w:ascii="Arial" w:hAnsi="Arial" w:cs="Arial"/>
                <w:i/>
                <w:iCs/>
                <w:color w:val="000000"/>
                <w:sz w:val="18"/>
                <w:szCs w:val="18"/>
              </w:rPr>
            </w:pPr>
          </w:p>
        </w:tc>
      </w:tr>
      <w:tr w:rsidR="00B073DE" w:rsidRPr="00B91626" w14:paraId="52107765" w14:textId="77777777" w:rsidTr="00C8040F">
        <w:trPr>
          <w:trHeight w:val="1263"/>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7B7E2D98" w14:textId="77777777" w:rsidR="00B073DE" w:rsidRPr="00B91626" w:rsidRDefault="00B073DE" w:rsidP="0033776E">
            <w:pPr>
              <w:ind w:firstLineChars="100" w:firstLine="180"/>
              <w:rPr>
                <w:rFonts w:ascii="Arial" w:hAnsi="Arial" w:cs="Arial"/>
                <w:color w:val="000000"/>
                <w:sz w:val="18"/>
                <w:szCs w:val="18"/>
              </w:rPr>
            </w:pPr>
            <w:r w:rsidRPr="00B91626">
              <w:rPr>
                <w:rFonts w:ascii="Arial" w:hAnsi="Arial"/>
                <w:color w:val="000000"/>
                <w:sz w:val="18"/>
              </w:rPr>
              <w:lastRenderedPageBreak/>
              <w:t>4.</w:t>
            </w:r>
          </w:p>
        </w:tc>
        <w:tc>
          <w:tcPr>
            <w:tcW w:w="5848" w:type="dxa"/>
            <w:tcBorders>
              <w:top w:val="nil"/>
              <w:left w:val="nil"/>
              <w:bottom w:val="single" w:sz="4" w:space="0" w:color="auto"/>
              <w:right w:val="single" w:sz="4" w:space="0" w:color="auto"/>
            </w:tcBorders>
            <w:shd w:val="clear" w:color="auto" w:fill="auto"/>
            <w:vAlign w:val="center"/>
            <w:hideMark/>
          </w:tcPr>
          <w:p w14:paraId="32A813E9" w14:textId="77777777" w:rsidR="00B073DE" w:rsidRPr="00B91626" w:rsidRDefault="00B073DE" w:rsidP="0033776E">
            <w:pPr>
              <w:rPr>
                <w:rFonts w:ascii="Arial" w:hAnsi="Arial" w:cs="Arial"/>
                <w:color w:val="000000"/>
                <w:sz w:val="18"/>
                <w:szCs w:val="18"/>
              </w:rPr>
            </w:pPr>
            <w:r w:rsidRPr="00B91626">
              <w:rPr>
                <w:rFonts w:ascii="Arial" w:hAnsi="Arial"/>
                <w:color w:val="000000"/>
                <w:sz w:val="18"/>
              </w:rPr>
              <w:t>Participation aux sessions du Comité, de son Bureau et de ses organes subsidiaires d’experts en patrimoine culturel immatériel représentant les États en développement membres du Comité ;</w:t>
            </w:r>
          </w:p>
        </w:tc>
        <w:tc>
          <w:tcPr>
            <w:tcW w:w="990" w:type="dxa"/>
            <w:tcBorders>
              <w:top w:val="nil"/>
              <w:left w:val="nil"/>
              <w:bottom w:val="single" w:sz="4" w:space="0" w:color="auto"/>
              <w:right w:val="single" w:sz="8" w:space="0" w:color="auto"/>
            </w:tcBorders>
            <w:shd w:val="clear" w:color="auto" w:fill="auto"/>
            <w:vAlign w:val="center"/>
            <w:hideMark/>
          </w:tcPr>
          <w:p w14:paraId="186AA9EF" w14:textId="77777777" w:rsidR="00B073DE" w:rsidRPr="00B91626" w:rsidRDefault="00B073DE" w:rsidP="0033776E">
            <w:pPr>
              <w:jc w:val="center"/>
              <w:rPr>
                <w:rFonts w:ascii="Arial" w:hAnsi="Arial" w:cs="Arial"/>
                <w:color w:val="000000"/>
                <w:sz w:val="18"/>
                <w:szCs w:val="18"/>
              </w:rPr>
            </w:pPr>
            <w:r w:rsidRPr="00B91626">
              <w:rPr>
                <w:rFonts w:ascii="Arial" w:hAnsi="Arial"/>
                <w:color w:val="000000"/>
                <w:sz w:val="18"/>
              </w:rPr>
              <w:t>2,50 %</w:t>
            </w:r>
          </w:p>
        </w:tc>
        <w:tc>
          <w:tcPr>
            <w:tcW w:w="1080" w:type="dxa"/>
            <w:tcBorders>
              <w:top w:val="nil"/>
              <w:left w:val="nil"/>
              <w:bottom w:val="single" w:sz="4" w:space="0" w:color="auto"/>
              <w:right w:val="dashed" w:sz="4" w:space="0" w:color="auto"/>
            </w:tcBorders>
            <w:shd w:val="clear" w:color="auto" w:fill="auto"/>
            <w:vAlign w:val="center"/>
            <w:hideMark/>
          </w:tcPr>
          <w:p w14:paraId="4F05EBFF"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204 739 $</w:t>
            </w:r>
          </w:p>
        </w:tc>
        <w:tc>
          <w:tcPr>
            <w:tcW w:w="1166" w:type="dxa"/>
            <w:tcBorders>
              <w:top w:val="nil"/>
              <w:left w:val="nil"/>
              <w:bottom w:val="single" w:sz="4" w:space="0" w:color="auto"/>
              <w:right w:val="dashed" w:sz="4" w:space="0" w:color="auto"/>
            </w:tcBorders>
            <w:shd w:val="clear" w:color="auto" w:fill="auto"/>
            <w:vAlign w:val="center"/>
            <w:hideMark/>
          </w:tcPr>
          <w:p w14:paraId="313B7BFD"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51 185 $</w:t>
            </w:r>
          </w:p>
        </w:tc>
      </w:tr>
      <w:tr w:rsidR="00B073DE" w:rsidRPr="00B91626" w14:paraId="7D1758CA" w14:textId="77777777" w:rsidTr="00C8040F">
        <w:trPr>
          <w:trHeight w:val="1248"/>
        </w:trPr>
        <w:tc>
          <w:tcPr>
            <w:tcW w:w="6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C13967" w14:textId="77777777" w:rsidR="00B073DE" w:rsidRPr="00B91626" w:rsidRDefault="00B073DE" w:rsidP="0033776E">
            <w:pPr>
              <w:ind w:firstLineChars="100" w:firstLine="180"/>
              <w:rPr>
                <w:rFonts w:ascii="Arial" w:hAnsi="Arial" w:cs="Arial"/>
                <w:color w:val="000000"/>
                <w:sz w:val="18"/>
                <w:szCs w:val="18"/>
              </w:rPr>
            </w:pPr>
            <w:r w:rsidRPr="00B91626">
              <w:rPr>
                <w:rFonts w:ascii="Arial" w:hAnsi="Arial"/>
                <w:color w:val="000000"/>
                <w:sz w:val="18"/>
              </w:rPr>
              <w:t>5.</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14:paraId="7BC40AD7" w14:textId="77777777" w:rsidR="00B073DE" w:rsidRPr="00B91626" w:rsidRDefault="00B073DE" w:rsidP="0033776E">
            <w:pPr>
              <w:rPr>
                <w:rFonts w:ascii="Arial" w:hAnsi="Arial" w:cs="Arial"/>
                <w:color w:val="000000"/>
                <w:sz w:val="18"/>
                <w:szCs w:val="18"/>
              </w:rPr>
            </w:pPr>
            <w:r w:rsidRPr="00B91626">
              <w:rPr>
                <w:rFonts w:ascii="Arial" w:hAnsi="Arial"/>
                <w:color w:val="000000"/>
                <w:sz w:val="18"/>
              </w:rPr>
              <w:t>Participation aux sessions du Comité et de ses organes consultatifs d’experts en patrimoine culturel immatériel représentant les États en développement qui sont parties à la Convention mais non membres du Comité ;</w:t>
            </w:r>
          </w:p>
        </w:tc>
        <w:tc>
          <w:tcPr>
            <w:tcW w:w="990" w:type="dxa"/>
            <w:tcBorders>
              <w:top w:val="single" w:sz="4" w:space="0" w:color="auto"/>
              <w:left w:val="nil"/>
              <w:bottom w:val="single" w:sz="4" w:space="0" w:color="auto"/>
              <w:right w:val="single" w:sz="8" w:space="0" w:color="auto"/>
            </w:tcBorders>
            <w:shd w:val="clear" w:color="auto" w:fill="auto"/>
            <w:vAlign w:val="center"/>
            <w:hideMark/>
          </w:tcPr>
          <w:p w14:paraId="10E1667B" w14:textId="77777777" w:rsidR="00B073DE" w:rsidRPr="00B91626" w:rsidRDefault="00B073DE" w:rsidP="0033776E">
            <w:pPr>
              <w:jc w:val="center"/>
              <w:rPr>
                <w:rFonts w:ascii="Arial" w:hAnsi="Arial" w:cs="Arial"/>
                <w:color w:val="000000"/>
                <w:sz w:val="18"/>
                <w:szCs w:val="18"/>
              </w:rPr>
            </w:pPr>
            <w:r w:rsidRPr="00B91626">
              <w:rPr>
                <w:rFonts w:ascii="Arial" w:hAnsi="Arial"/>
                <w:color w:val="000000"/>
                <w:sz w:val="18"/>
              </w:rPr>
              <w:t>2,70 %</w:t>
            </w:r>
          </w:p>
        </w:tc>
        <w:tc>
          <w:tcPr>
            <w:tcW w:w="1080" w:type="dxa"/>
            <w:tcBorders>
              <w:top w:val="single" w:sz="4" w:space="0" w:color="auto"/>
              <w:left w:val="nil"/>
              <w:bottom w:val="dashed" w:sz="4" w:space="0" w:color="auto"/>
              <w:right w:val="dashed" w:sz="4" w:space="0" w:color="auto"/>
            </w:tcBorders>
            <w:shd w:val="clear" w:color="auto" w:fill="auto"/>
            <w:vAlign w:val="center"/>
            <w:hideMark/>
          </w:tcPr>
          <w:p w14:paraId="322524B2"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221 119 $</w:t>
            </w:r>
          </w:p>
        </w:tc>
        <w:tc>
          <w:tcPr>
            <w:tcW w:w="1166" w:type="dxa"/>
            <w:tcBorders>
              <w:top w:val="single" w:sz="4" w:space="0" w:color="auto"/>
              <w:left w:val="nil"/>
              <w:bottom w:val="dashed" w:sz="4" w:space="0" w:color="auto"/>
              <w:right w:val="dashed" w:sz="4" w:space="0" w:color="auto"/>
            </w:tcBorders>
            <w:shd w:val="clear" w:color="auto" w:fill="auto"/>
            <w:vAlign w:val="center"/>
            <w:hideMark/>
          </w:tcPr>
          <w:p w14:paraId="55FD9A5A"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55 280 $</w:t>
            </w:r>
          </w:p>
        </w:tc>
      </w:tr>
      <w:tr w:rsidR="00B073DE" w:rsidRPr="00B91626" w14:paraId="28DC3B4D" w14:textId="77777777" w:rsidTr="00C8040F">
        <w:trPr>
          <w:trHeight w:val="1925"/>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03B64562" w14:textId="77777777" w:rsidR="00B073DE" w:rsidRPr="00B91626" w:rsidRDefault="00B073DE" w:rsidP="0033776E">
            <w:pPr>
              <w:ind w:firstLineChars="100" w:firstLine="180"/>
              <w:rPr>
                <w:rFonts w:ascii="Arial" w:hAnsi="Arial" w:cs="Arial"/>
                <w:color w:val="000000"/>
                <w:sz w:val="18"/>
                <w:szCs w:val="18"/>
              </w:rPr>
            </w:pPr>
            <w:r w:rsidRPr="00B91626">
              <w:rPr>
                <w:rFonts w:ascii="Arial" w:hAnsi="Arial"/>
                <w:color w:val="000000"/>
                <w:sz w:val="18"/>
              </w:rPr>
              <w:t>6.</w:t>
            </w:r>
          </w:p>
        </w:tc>
        <w:tc>
          <w:tcPr>
            <w:tcW w:w="5848" w:type="dxa"/>
            <w:tcBorders>
              <w:top w:val="nil"/>
              <w:left w:val="nil"/>
              <w:bottom w:val="single" w:sz="4" w:space="0" w:color="auto"/>
              <w:right w:val="single" w:sz="4" w:space="0" w:color="auto"/>
            </w:tcBorders>
            <w:shd w:val="clear" w:color="auto" w:fill="auto"/>
            <w:vAlign w:val="center"/>
            <w:hideMark/>
          </w:tcPr>
          <w:p w14:paraId="029067CB" w14:textId="77777777" w:rsidR="00B073DE" w:rsidRPr="00B91626" w:rsidRDefault="00B073DE" w:rsidP="0033776E">
            <w:pPr>
              <w:rPr>
                <w:rFonts w:ascii="Arial" w:hAnsi="Arial" w:cs="Arial"/>
                <w:color w:val="000000"/>
                <w:sz w:val="18"/>
                <w:szCs w:val="18"/>
              </w:rPr>
            </w:pPr>
            <w:r w:rsidRPr="00B91626">
              <w:rPr>
                <w:rFonts w:asciiTheme="minorBidi" w:hAnsiTheme="minorBidi" w:cstheme="minorBidi"/>
                <w:color w:val="000000"/>
                <w:sz w:val="18"/>
                <w:szCs w:val="18"/>
                <w:lang w:val="fr"/>
              </w:rPr>
              <w:t>Participation aux sessions du Comité, de son Bureau et de ses organes consultatifs d’entités publiques ou privés et de personnes physiques, notamment de membres de communautés ou de groupes, qui ont été invités par le Comité à titre consultatif sur des questions spécifiques, ainsi que d’experts du patrimoine culturel immatériel représentant des ONG accréditées de pays en développement ;</w:t>
            </w:r>
          </w:p>
        </w:tc>
        <w:tc>
          <w:tcPr>
            <w:tcW w:w="990" w:type="dxa"/>
            <w:tcBorders>
              <w:top w:val="nil"/>
              <w:left w:val="nil"/>
              <w:bottom w:val="single" w:sz="4" w:space="0" w:color="auto"/>
              <w:right w:val="single" w:sz="8" w:space="0" w:color="auto"/>
            </w:tcBorders>
            <w:shd w:val="clear" w:color="auto" w:fill="auto"/>
            <w:vAlign w:val="center"/>
            <w:hideMark/>
          </w:tcPr>
          <w:p w14:paraId="58C29E82" w14:textId="77777777" w:rsidR="00B073DE" w:rsidRPr="00B91626" w:rsidRDefault="00B073DE" w:rsidP="0033776E">
            <w:pPr>
              <w:jc w:val="center"/>
              <w:rPr>
                <w:rFonts w:ascii="Arial" w:hAnsi="Arial" w:cs="Arial"/>
                <w:color w:val="000000"/>
                <w:sz w:val="18"/>
                <w:szCs w:val="18"/>
              </w:rPr>
            </w:pPr>
            <w:r w:rsidRPr="00B91626">
              <w:rPr>
                <w:rFonts w:ascii="Arial" w:hAnsi="Arial"/>
                <w:color w:val="000000"/>
                <w:sz w:val="18"/>
              </w:rPr>
              <w:t>2,70 %</w:t>
            </w:r>
          </w:p>
        </w:tc>
        <w:tc>
          <w:tcPr>
            <w:tcW w:w="1080" w:type="dxa"/>
            <w:tcBorders>
              <w:top w:val="nil"/>
              <w:left w:val="nil"/>
              <w:bottom w:val="dashed" w:sz="4" w:space="0" w:color="auto"/>
              <w:right w:val="dashed" w:sz="4" w:space="0" w:color="auto"/>
            </w:tcBorders>
            <w:shd w:val="clear" w:color="auto" w:fill="auto"/>
            <w:vAlign w:val="center"/>
            <w:hideMark/>
          </w:tcPr>
          <w:p w14:paraId="3D47D5BE"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221 119 $</w:t>
            </w:r>
          </w:p>
        </w:tc>
        <w:tc>
          <w:tcPr>
            <w:tcW w:w="1166" w:type="dxa"/>
            <w:tcBorders>
              <w:top w:val="nil"/>
              <w:left w:val="nil"/>
              <w:bottom w:val="dashed" w:sz="4" w:space="0" w:color="auto"/>
              <w:right w:val="dashed" w:sz="4" w:space="0" w:color="auto"/>
            </w:tcBorders>
            <w:shd w:val="clear" w:color="auto" w:fill="auto"/>
            <w:vAlign w:val="center"/>
            <w:hideMark/>
          </w:tcPr>
          <w:p w14:paraId="07DF9ED0"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55 280 $</w:t>
            </w:r>
          </w:p>
        </w:tc>
      </w:tr>
      <w:tr w:rsidR="00B073DE" w:rsidRPr="00B91626" w14:paraId="1CA0871E" w14:textId="77777777" w:rsidTr="00C8040F">
        <w:trPr>
          <w:trHeight w:val="767"/>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23DBB31E" w14:textId="77777777" w:rsidR="00B073DE" w:rsidRPr="00B91626" w:rsidRDefault="00B073DE" w:rsidP="0033776E">
            <w:pPr>
              <w:ind w:firstLineChars="100" w:firstLine="180"/>
              <w:rPr>
                <w:rFonts w:ascii="Arial" w:hAnsi="Arial" w:cs="Arial"/>
                <w:color w:val="000000"/>
                <w:sz w:val="18"/>
                <w:szCs w:val="18"/>
              </w:rPr>
            </w:pPr>
            <w:r w:rsidRPr="00B91626">
              <w:rPr>
                <w:rFonts w:ascii="Arial" w:hAnsi="Arial"/>
                <w:color w:val="000000"/>
                <w:sz w:val="18"/>
              </w:rPr>
              <w:t>7.</w:t>
            </w:r>
          </w:p>
        </w:tc>
        <w:tc>
          <w:tcPr>
            <w:tcW w:w="5848" w:type="dxa"/>
            <w:tcBorders>
              <w:top w:val="nil"/>
              <w:left w:val="nil"/>
              <w:bottom w:val="single" w:sz="4" w:space="0" w:color="auto"/>
              <w:right w:val="single" w:sz="4" w:space="0" w:color="auto"/>
            </w:tcBorders>
            <w:shd w:val="clear" w:color="auto" w:fill="auto"/>
            <w:vAlign w:val="center"/>
            <w:hideMark/>
          </w:tcPr>
          <w:p w14:paraId="3E735DF1" w14:textId="77777777" w:rsidR="00B073DE" w:rsidRPr="00B91626" w:rsidRDefault="00B073DE" w:rsidP="0033776E">
            <w:pPr>
              <w:rPr>
                <w:rFonts w:ascii="Arial" w:hAnsi="Arial" w:cs="Arial"/>
                <w:color w:val="000000"/>
                <w:sz w:val="18"/>
                <w:szCs w:val="18"/>
              </w:rPr>
            </w:pPr>
            <w:r w:rsidRPr="00B91626">
              <w:rPr>
                <w:rFonts w:ascii="Arial" w:hAnsi="Arial"/>
                <w:color w:val="000000"/>
                <w:sz w:val="18"/>
              </w:rPr>
              <w:t>Coûts des services consultatifs à fournir à la demande du Comité.</w:t>
            </w:r>
          </w:p>
        </w:tc>
        <w:tc>
          <w:tcPr>
            <w:tcW w:w="990" w:type="dxa"/>
            <w:tcBorders>
              <w:top w:val="nil"/>
              <w:left w:val="nil"/>
              <w:bottom w:val="single" w:sz="4" w:space="0" w:color="auto"/>
              <w:right w:val="single" w:sz="8" w:space="0" w:color="auto"/>
            </w:tcBorders>
            <w:shd w:val="clear" w:color="auto" w:fill="auto"/>
            <w:vAlign w:val="center"/>
            <w:hideMark/>
          </w:tcPr>
          <w:p w14:paraId="548253E4" w14:textId="77777777" w:rsidR="00B073DE" w:rsidRPr="00B91626" w:rsidRDefault="00B073DE" w:rsidP="0033776E">
            <w:pPr>
              <w:jc w:val="center"/>
              <w:rPr>
                <w:rFonts w:ascii="Arial" w:hAnsi="Arial" w:cs="Arial"/>
                <w:color w:val="000000"/>
                <w:sz w:val="18"/>
                <w:szCs w:val="18"/>
              </w:rPr>
            </w:pPr>
            <w:r w:rsidRPr="00B91626">
              <w:rPr>
                <w:rFonts w:ascii="Arial" w:hAnsi="Arial"/>
                <w:color w:val="000000"/>
                <w:sz w:val="18"/>
              </w:rPr>
              <w:t>7,00 %</w:t>
            </w:r>
          </w:p>
        </w:tc>
        <w:tc>
          <w:tcPr>
            <w:tcW w:w="1080" w:type="dxa"/>
            <w:tcBorders>
              <w:top w:val="nil"/>
              <w:left w:val="nil"/>
              <w:bottom w:val="dashed" w:sz="4" w:space="0" w:color="auto"/>
              <w:right w:val="dashed" w:sz="4" w:space="0" w:color="auto"/>
            </w:tcBorders>
            <w:shd w:val="clear" w:color="auto" w:fill="auto"/>
            <w:vAlign w:val="center"/>
            <w:hideMark/>
          </w:tcPr>
          <w:p w14:paraId="26D93D80"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573 270 $</w:t>
            </w:r>
          </w:p>
        </w:tc>
        <w:tc>
          <w:tcPr>
            <w:tcW w:w="1166" w:type="dxa"/>
            <w:tcBorders>
              <w:top w:val="nil"/>
              <w:left w:val="nil"/>
              <w:bottom w:val="dashed" w:sz="4" w:space="0" w:color="auto"/>
              <w:right w:val="dashed" w:sz="4" w:space="0" w:color="auto"/>
            </w:tcBorders>
            <w:shd w:val="clear" w:color="auto" w:fill="auto"/>
            <w:vAlign w:val="center"/>
            <w:hideMark/>
          </w:tcPr>
          <w:p w14:paraId="77193203" w14:textId="77777777" w:rsidR="00B073DE" w:rsidRPr="00B91626" w:rsidRDefault="00B073DE" w:rsidP="0033776E">
            <w:pPr>
              <w:jc w:val="center"/>
              <w:rPr>
                <w:rFonts w:ascii="Arial" w:hAnsi="Arial" w:cs="Arial"/>
                <w:i/>
                <w:iCs/>
                <w:color w:val="000000"/>
                <w:sz w:val="18"/>
                <w:szCs w:val="18"/>
              </w:rPr>
            </w:pPr>
            <w:r w:rsidRPr="00B91626">
              <w:rPr>
                <w:rFonts w:ascii="Arial" w:hAnsi="Arial"/>
                <w:i/>
                <w:color w:val="000000"/>
                <w:sz w:val="18"/>
              </w:rPr>
              <w:t>143 318 $</w:t>
            </w:r>
          </w:p>
        </w:tc>
      </w:tr>
      <w:tr w:rsidR="00B073DE" w:rsidRPr="00B91626" w14:paraId="1D1C087A" w14:textId="77777777" w:rsidTr="00C8040F">
        <w:trPr>
          <w:trHeight w:val="300"/>
        </w:trPr>
        <w:tc>
          <w:tcPr>
            <w:tcW w:w="622" w:type="dxa"/>
            <w:tcBorders>
              <w:top w:val="nil"/>
              <w:left w:val="single" w:sz="8" w:space="0" w:color="auto"/>
              <w:bottom w:val="single" w:sz="4" w:space="0" w:color="auto"/>
              <w:right w:val="single" w:sz="4" w:space="0" w:color="auto"/>
            </w:tcBorders>
            <w:shd w:val="clear" w:color="auto" w:fill="auto"/>
            <w:noWrap/>
            <w:vAlign w:val="center"/>
            <w:hideMark/>
          </w:tcPr>
          <w:p w14:paraId="556C3E46" w14:textId="77777777" w:rsidR="00B073DE" w:rsidRPr="00B91626" w:rsidRDefault="00B073DE" w:rsidP="0033776E">
            <w:pPr>
              <w:ind w:firstLineChars="100" w:firstLine="201"/>
              <w:rPr>
                <w:rFonts w:ascii="Arial" w:hAnsi="Arial" w:cs="Arial"/>
                <w:b/>
                <w:bCs/>
                <w:color w:val="000000"/>
                <w:sz w:val="20"/>
                <w:szCs w:val="20"/>
              </w:rPr>
            </w:pPr>
            <w:r w:rsidRPr="00B91626">
              <w:rPr>
                <w:rFonts w:ascii="Arial" w:hAnsi="Arial"/>
                <w:b/>
                <w:color w:val="000000"/>
                <w:sz w:val="20"/>
              </w:rPr>
              <w:t> </w:t>
            </w:r>
          </w:p>
        </w:tc>
        <w:tc>
          <w:tcPr>
            <w:tcW w:w="5848" w:type="dxa"/>
            <w:tcBorders>
              <w:top w:val="nil"/>
              <w:left w:val="nil"/>
              <w:bottom w:val="single" w:sz="4" w:space="0" w:color="auto"/>
              <w:right w:val="single" w:sz="4" w:space="0" w:color="auto"/>
            </w:tcBorders>
            <w:shd w:val="clear" w:color="auto" w:fill="auto"/>
            <w:vAlign w:val="center"/>
            <w:hideMark/>
          </w:tcPr>
          <w:p w14:paraId="349DDBFF" w14:textId="77777777" w:rsidR="00B073DE" w:rsidRPr="00B91626" w:rsidRDefault="00B073DE" w:rsidP="0033776E">
            <w:pPr>
              <w:jc w:val="both"/>
              <w:rPr>
                <w:rFonts w:ascii="Arial" w:hAnsi="Arial" w:cs="Arial"/>
                <w:b/>
                <w:bCs/>
                <w:color w:val="000000"/>
                <w:sz w:val="18"/>
                <w:szCs w:val="18"/>
              </w:rPr>
            </w:pPr>
            <w:r w:rsidRPr="00B91626">
              <w:rPr>
                <w:rFonts w:ascii="Arial" w:hAnsi="Arial"/>
                <w:b/>
                <w:color w:val="000000"/>
                <w:sz w:val="18"/>
              </w:rPr>
              <w:t>TOTAL</w:t>
            </w:r>
          </w:p>
        </w:tc>
        <w:tc>
          <w:tcPr>
            <w:tcW w:w="990" w:type="dxa"/>
            <w:tcBorders>
              <w:top w:val="nil"/>
              <w:left w:val="nil"/>
              <w:bottom w:val="single" w:sz="4" w:space="0" w:color="auto"/>
              <w:right w:val="single" w:sz="8" w:space="0" w:color="auto"/>
            </w:tcBorders>
            <w:shd w:val="clear" w:color="auto" w:fill="auto"/>
            <w:vAlign w:val="center"/>
            <w:hideMark/>
          </w:tcPr>
          <w:p w14:paraId="4EF130E8" w14:textId="77777777" w:rsidR="00B073DE" w:rsidRPr="00B91626" w:rsidRDefault="00B073DE" w:rsidP="0033776E">
            <w:pPr>
              <w:jc w:val="center"/>
              <w:rPr>
                <w:rFonts w:ascii="Arial" w:hAnsi="Arial" w:cs="Arial"/>
                <w:b/>
                <w:bCs/>
                <w:color w:val="000000"/>
                <w:sz w:val="18"/>
                <w:szCs w:val="18"/>
              </w:rPr>
            </w:pPr>
            <w:r w:rsidRPr="00B91626">
              <w:rPr>
                <w:rFonts w:ascii="Arial" w:hAnsi="Arial"/>
                <w:b/>
                <w:color w:val="000000"/>
                <w:sz w:val="18"/>
              </w:rPr>
              <w:t>100,00 %</w:t>
            </w:r>
          </w:p>
        </w:tc>
        <w:tc>
          <w:tcPr>
            <w:tcW w:w="1080" w:type="dxa"/>
            <w:tcBorders>
              <w:top w:val="nil"/>
              <w:left w:val="nil"/>
              <w:bottom w:val="dashed" w:sz="4" w:space="0" w:color="auto"/>
              <w:right w:val="dashed" w:sz="4" w:space="0" w:color="auto"/>
            </w:tcBorders>
            <w:shd w:val="clear" w:color="auto" w:fill="auto"/>
            <w:vAlign w:val="center"/>
            <w:hideMark/>
          </w:tcPr>
          <w:p w14:paraId="15EE2281" w14:textId="77777777" w:rsidR="00B073DE" w:rsidRPr="00B91626" w:rsidRDefault="00B073DE" w:rsidP="0033776E">
            <w:pPr>
              <w:jc w:val="center"/>
              <w:rPr>
                <w:rFonts w:ascii="Arial" w:hAnsi="Arial" w:cs="Arial"/>
                <w:b/>
                <w:bCs/>
                <w:i/>
                <w:iCs/>
                <w:color w:val="000000"/>
                <w:sz w:val="18"/>
                <w:szCs w:val="18"/>
              </w:rPr>
            </w:pPr>
            <w:r w:rsidRPr="00B91626">
              <w:rPr>
                <w:rFonts w:ascii="Arial" w:hAnsi="Arial"/>
                <w:b/>
                <w:i/>
                <w:color w:val="000000"/>
                <w:sz w:val="18"/>
              </w:rPr>
              <w:t>8 189 578 $</w:t>
            </w:r>
          </w:p>
        </w:tc>
        <w:tc>
          <w:tcPr>
            <w:tcW w:w="1166" w:type="dxa"/>
            <w:tcBorders>
              <w:top w:val="nil"/>
              <w:left w:val="nil"/>
              <w:bottom w:val="dashed" w:sz="4" w:space="0" w:color="auto"/>
              <w:right w:val="dashed" w:sz="4" w:space="0" w:color="auto"/>
            </w:tcBorders>
            <w:shd w:val="clear" w:color="auto" w:fill="auto"/>
            <w:vAlign w:val="center"/>
            <w:hideMark/>
          </w:tcPr>
          <w:p w14:paraId="6BAE69C1" w14:textId="77777777" w:rsidR="00B073DE" w:rsidRPr="00B91626" w:rsidRDefault="00B073DE" w:rsidP="0033776E">
            <w:pPr>
              <w:jc w:val="center"/>
              <w:rPr>
                <w:rFonts w:ascii="Arial" w:hAnsi="Arial" w:cs="Arial"/>
                <w:b/>
                <w:bCs/>
                <w:i/>
                <w:iCs/>
                <w:color w:val="000000"/>
                <w:sz w:val="18"/>
                <w:szCs w:val="18"/>
              </w:rPr>
            </w:pPr>
            <w:r w:rsidRPr="00B91626">
              <w:rPr>
                <w:rFonts w:ascii="Arial" w:hAnsi="Arial"/>
                <w:b/>
                <w:i/>
                <w:color w:val="000000"/>
                <w:sz w:val="18"/>
              </w:rPr>
              <w:t>2 047 394 $</w:t>
            </w:r>
          </w:p>
        </w:tc>
      </w:tr>
      <w:tr w:rsidR="00FC161D" w:rsidRPr="00B91626" w14:paraId="15A4033F" w14:textId="77777777" w:rsidTr="0033776E">
        <w:trPr>
          <w:trHeight w:val="812"/>
        </w:trPr>
        <w:tc>
          <w:tcPr>
            <w:tcW w:w="9706" w:type="dxa"/>
            <w:gridSpan w:val="5"/>
            <w:tcBorders>
              <w:top w:val="nil"/>
              <w:left w:val="single" w:sz="8" w:space="0" w:color="auto"/>
              <w:bottom w:val="single" w:sz="8" w:space="0" w:color="auto"/>
              <w:right w:val="single" w:sz="8" w:space="0" w:color="000000"/>
            </w:tcBorders>
            <w:shd w:val="clear" w:color="auto" w:fill="auto"/>
            <w:vAlign w:val="center"/>
            <w:hideMark/>
          </w:tcPr>
          <w:p w14:paraId="577DF16F" w14:textId="77777777" w:rsidR="00FC161D" w:rsidRPr="00B91626" w:rsidRDefault="00FC161D" w:rsidP="0033776E">
            <w:pPr>
              <w:rPr>
                <w:sz w:val="20"/>
                <w:szCs w:val="20"/>
              </w:rPr>
            </w:pPr>
            <w:r w:rsidRPr="00B91626">
              <w:rPr>
                <w:rFonts w:ascii="Arial" w:hAnsi="Arial"/>
                <w:color w:val="000000"/>
                <w:sz w:val="18"/>
              </w:rPr>
              <w:t>[1] Les pourcentages sont appliqués au solde du Fonds au 31 décembre 2023. Ce solde ne comprend pas le fonds de réserve (1 million de dollars des États-Unis).</w:t>
            </w:r>
          </w:p>
        </w:tc>
      </w:tr>
      <w:tr w:rsidR="00FC161D" w:rsidRPr="00B91626" w14:paraId="0EFF137E" w14:textId="77777777" w:rsidTr="0033776E">
        <w:trPr>
          <w:trHeight w:val="812"/>
        </w:trPr>
        <w:tc>
          <w:tcPr>
            <w:tcW w:w="970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01D4C25" w14:textId="77777777" w:rsidR="00FC161D" w:rsidRPr="00B91626" w:rsidRDefault="00FC161D" w:rsidP="0033776E">
            <w:pPr>
              <w:jc w:val="both"/>
              <w:rPr>
                <w:sz w:val="20"/>
                <w:szCs w:val="20"/>
              </w:rPr>
            </w:pPr>
            <w:r w:rsidRPr="00B91626">
              <w:rPr>
                <w:rFonts w:asciiTheme="minorBidi" w:hAnsiTheme="minorBidi" w:cstheme="minorBidi"/>
                <w:color w:val="000000"/>
                <w:sz w:val="18"/>
                <w:szCs w:val="18"/>
                <w:lang w:val="fr"/>
              </w:rPr>
              <w:t>Les fonds non engagés à la fin de la période couverte par ce plan sont reportés sur l’exercice financier suivant et doivent être affectés conformément au plan approuvé par l’Assemblée générale à ce moment.</w:t>
            </w:r>
          </w:p>
        </w:tc>
      </w:tr>
      <w:tr w:rsidR="00FC161D" w:rsidRPr="00B91626" w14:paraId="698D39D6" w14:textId="77777777" w:rsidTr="0033776E">
        <w:trPr>
          <w:trHeight w:val="887"/>
        </w:trPr>
        <w:tc>
          <w:tcPr>
            <w:tcW w:w="970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A9B7966" w14:textId="77777777" w:rsidR="00FC161D" w:rsidRPr="00B91626" w:rsidRDefault="00FC161D" w:rsidP="0033776E">
            <w:pPr>
              <w:rPr>
                <w:sz w:val="20"/>
                <w:szCs w:val="20"/>
              </w:rPr>
            </w:pPr>
            <w:r w:rsidRPr="00B91626">
              <w:rPr>
                <w:rFonts w:ascii="Arial" w:hAnsi="Arial"/>
                <w:color w:val="000000"/>
                <w:sz w:val="18"/>
              </w:rPr>
              <w:t>Pour la période allant du 1er janvier 2026 au 30 juin 2026, un quart du montant établi pour les vingt-quatre mois de l’exercice financier 2024-2025 sera alloué à titre provisoire, à l’exception du Fonds de réserve, dont le montant a été fixé par le Comité à 1 million de dollars des États-Unis (Décision </w:t>
            </w:r>
            <w:hyperlink r:id="rId30" w:history="1">
              <w:r w:rsidRPr="00B91626">
                <w:rPr>
                  <w:rFonts w:ascii="Arial" w:hAnsi="Arial"/>
                  <w:color w:val="0000FF"/>
                  <w:sz w:val="18"/>
                  <w:u w:val="single"/>
                </w:rPr>
                <w:t>10.COM 8</w:t>
              </w:r>
            </w:hyperlink>
            <w:r w:rsidRPr="00B91626">
              <w:rPr>
                <w:rFonts w:ascii="Arial" w:hAnsi="Arial"/>
                <w:color w:val="000000"/>
                <w:sz w:val="18"/>
              </w:rPr>
              <w:t>).</w:t>
            </w:r>
          </w:p>
        </w:tc>
      </w:tr>
    </w:tbl>
    <w:p w14:paraId="69F0A347" w14:textId="77777777" w:rsidR="00FC161D" w:rsidRPr="00A972FE" w:rsidRDefault="00FC161D" w:rsidP="00FC161D">
      <w:pPr>
        <w:keepNext/>
        <w:spacing w:before="360" w:after="120"/>
        <w:jc w:val="both"/>
        <w:rPr>
          <w:rFonts w:asciiTheme="minorBidi" w:hAnsiTheme="minorBidi" w:cstheme="minorBidi"/>
          <w:b/>
          <w:sz w:val="22"/>
          <w:szCs w:val="22"/>
        </w:rPr>
      </w:pPr>
      <w:r w:rsidRPr="00A972FE">
        <w:rPr>
          <w:rFonts w:asciiTheme="minorBidi" w:hAnsiTheme="minorBidi" w:cs="Arial"/>
          <w:b/>
          <w:sz w:val="22"/>
          <w:szCs w:val="22"/>
        </w:rPr>
        <w:t>RÉSOLUTION 10.GA 9</w:t>
      </w:r>
    </w:p>
    <w:p w14:paraId="4FB4C125" w14:textId="77777777" w:rsidR="00FC161D" w:rsidRPr="00A972FE" w:rsidRDefault="00FC161D" w:rsidP="00FC161D">
      <w:pPr>
        <w:keepNext/>
        <w:spacing w:after="120"/>
        <w:jc w:val="both"/>
        <w:rPr>
          <w:rFonts w:asciiTheme="minorBidi" w:hAnsiTheme="minorBidi" w:cstheme="minorBidi"/>
          <w:sz w:val="22"/>
          <w:szCs w:val="22"/>
        </w:rPr>
      </w:pPr>
      <w:r w:rsidRPr="00A972FE">
        <w:rPr>
          <w:rFonts w:asciiTheme="minorBidi" w:hAnsiTheme="minorBidi" w:cs="Arial"/>
          <w:sz w:val="22"/>
          <w:szCs w:val="22"/>
        </w:rPr>
        <w:t>L’Assemblée générale,</w:t>
      </w:r>
    </w:p>
    <w:p w14:paraId="646286ED" w14:textId="3B2EF615" w:rsidR="00FC161D" w:rsidRPr="00A972FE" w:rsidRDefault="00FC161D" w:rsidP="00FC161D">
      <w:pPr>
        <w:pStyle w:val="COMParaDecision"/>
        <w:numPr>
          <w:ilvl w:val="0"/>
          <w:numId w:val="29"/>
        </w:numPr>
        <w:ind w:left="567" w:hanging="567"/>
        <w:rPr>
          <w:rFonts w:asciiTheme="minorBidi" w:eastAsia="SimSun" w:hAnsiTheme="minorBidi" w:cstheme="minorBidi"/>
        </w:rPr>
      </w:pPr>
      <w:r w:rsidRPr="00A972FE">
        <w:rPr>
          <w:rFonts w:asciiTheme="minorBidi" w:eastAsia="SimSun" w:hAnsiTheme="minorBidi"/>
          <w:u w:val="none"/>
        </w:rPr>
        <w:t xml:space="preserve">Ayant examiné le document </w:t>
      </w:r>
      <w:hyperlink r:id="rId31" w:history="1">
        <w:r w:rsidRPr="00B73DEE">
          <w:rPr>
            <w:rStyle w:val="Lienhypertexte"/>
            <w:rFonts w:asciiTheme="minorBidi" w:eastAsia="SimSun" w:hAnsiTheme="minorBidi"/>
          </w:rPr>
          <w:t>LHE/24/10.GA/9</w:t>
        </w:r>
      </w:hyperlink>
      <w:r w:rsidRPr="00B73DEE">
        <w:rPr>
          <w:rFonts w:asciiTheme="minorBidi" w:eastAsia="SimSun" w:hAnsiTheme="minorBidi"/>
          <w:u w:val="none"/>
        </w:rPr>
        <w:t xml:space="preserve"> </w:t>
      </w:r>
      <w:r w:rsidRPr="00A972FE">
        <w:rPr>
          <w:rFonts w:asciiTheme="minorBidi" w:eastAsia="SimSun" w:hAnsiTheme="minorBidi"/>
          <w:u w:val="none"/>
        </w:rPr>
        <w:t>et son annexe,</w:t>
      </w:r>
    </w:p>
    <w:p w14:paraId="32DF0DD0" w14:textId="77777777" w:rsidR="00FC161D" w:rsidRPr="00A972FE" w:rsidRDefault="00FC161D" w:rsidP="00FC161D">
      <w:pPr>
        <w:numPr>
          <w:ilvl w:val="0"/>
          <w:numId w:val="10"/>
        </w:numPr>
        <w:autoSpaceDE w:val="0"/>
        <w:autoSpaceDN w:val="0"/>
        <w:adjustRightInd w:val="0"/>
        <w:spacing w:after="120"/>
        <w:ind w:left="567" w:hanging="567"/>
        <w:jc w:val="both"/>
        <w:rPr>
          <w:rFonts w:asciiTheme="minorBidi" w:eastAsia="SimSun" w:hAnsiTheme="minorBidi" w:cstheme="minorBidi"/>
          <w:sz w:val="22"/>
          <w:szCs w:val="22"/>
          <w:u w:val="single"/>
        </w:rPr>
      </w:pPr>
      <w:r w:rsidRPr="00A972FE">
        <w:rPr>
          <w:rFonts w:asciiTheme="minorBidi" w:eastAsia="SimSun" w:hAnsiTheme="minorBidi" w:cs="Arial"/>
          <w:sz w:val="22"/>
          <w:szCs w:val="22"/>
          <w:u w:val="single"/>
        </w:rPr>
        <w:t>Rappelant</w:t>
      </w:r>
      <w:r w:rsidRPr="00A972FE">
        <w:rPr>
          <w:rFonts w:asciiTheme="minorBidi" w:eastAsia="SimSun" w:hAnsiTheme="minorBidi" w:cs="Arial"/>
          <w:sz w:val="22"/>
          <w:szCs w:val="22"/>
        </w:rPr>
        <w:t xml:space="preserve"> l’article 9 de la Convention et les paragraphes 91 à 99 des Directives opérationnelles,</w:t>
      </w:r>
    </w:p>
    <w:p w14:paraId="3221A4A1" w14:textId="77777777" w:rsidR="00FC161D" w:rsidRPr="00A972FE" w:rsidRDefault="00FC161D" w:rsidP="00FC161D">
      <w:pPr>
        <w:numPr>
          <w:ilvl w:val="0"/>
          <w:numId w:val="10"/>
        </w:numPr>
        <w:autoSpaceDE w:val="0"/>
        <w:autoSpaceDN w:val="0"/>
        <w:adjustRightInd w:val="0"/>
        <w:spacing w:after="120"/>
        <w:ind w:left="567" w:hanging="567"/>
        <w:jc w:val="both"/>
        <w:rPr>
          <w:rFonts w:asciiTheme="minorBidi" w:eastAsia="SimSun" w:hAnsiTheme="minorBidi" w:cstheme="minorBidi"/>
          <w:sz w:val="22"/>
          <w:szCs w:val="22"/>
          <w:u w:val="single"/>
        </w:rPr>
      </w:pPr>
      <w:r w:rsidRPr="00A972FE">
        <w:rPr>
          <w:rFonts w:asciiTheme="minorBidi" w:eastAsia="SimSun" w:hAnsiTheme="minorBidi" w:cs="Arial"/>
          <w:sz w:val="22"/>
          <w:szCs w:val="22"/>
          <w:u w:val="single"/>
        </w:rPr>
        <w:t>Rappelant en outre</w:t>
      </w:r>
      <w:r w:rsidRPr="00A972FE">
        <w:rPr>
          <w:rFonts w:asciiTheme="minorBidi" w:eastAsia="SimSun" w:hAnsiTheme="minorBidi" w:cs="Arial"/>
          <w:sz w:val="22"/>
          <w:szCs w:val="22"/>
        </w:rPr>
        <w:t xml:space="preserve"> la décision </w:t>
      </w:r>
      <w:hyperlink r:id="rId32" w:history="1">
        <w:r w:rsidRPr="00A972FE">
          <w:rPr>
            <w:rFonts w:asciiTheme="minorBidi" w:eastAsia="SimSun" w:hAnsiTheme="minorBidi" w:cs="Arial"/>
            <w:color w:val="0000FF"/>
            <w:sz w:val="22"/>
            <w:szCs w:val="22"/>
            <w:u w:val="single"/>
          </w:rPr>
          <w:t>18.COM 16</w:t>
        </w:r>
      </w:hyperlink>
      <w:r w:rsidRPr="00A972FE">
        <w:rPr>
          <w:rFonts w:asciiTheme="minorBidi" w:eastAsia="SimSun" w:hAnsiTheme="minorBidi" w:cs="Arial"/>
          <w:sz w:val="22"/>
          <w:szCs w:val="22"/>
        </w:rPr>
        <w:t>,</w:t>
      </w:r>
    </w:p>
    <w:p w14:paraId="4FB57394" w14:textId="77777777" w:rsidR="00FC161D" w:rsidRPr="00A972FE" w:rsidRDefault="00FC161D" w:rsidP="00FC161D">
      <w:pPr>
        <w:numPr>
          <w:ilvl w:val="0"/>
          <w:numId w:val="10"/>
        </w:numPr>
        <w:autoSpaceDE w:val="0"/>
        <w:autoSpaceDN w:val="0"/>
        <w:adjustRightInd w:val="0"/>
        <w:spacing w:after="120"/>
        <w:ind w:left="567" w:hanging="567"/>
        <w:jc w:val="both"/>
        <w:rPr>
          <w:rFonts w:asciiTheme="minorBidi" w:eastAsia="SimSun" w:hAnsiTheme="minorBidi" w:cstheme="minorBidi"/>
          <w:sz w:val="22"/>
          <w:szCs w:val="22"/>
          <w:u w:val="single"/>
        </w:rPr>
      </w:pPr>
      <w:r w:rsidRPr="00A972FE">
        <w:rPr>
          <w:rFonts w:asciiTheme="minorBidi" w:eastAsia="SimSun" w:hAnsiTheme="minorBidi" w:cs="Arial"/>
          <w:sz w:val="22"/>
          <w:szCs w:val="22"/>
          <w:u w:val="single"/>
        </w:rPr>
        <w:t>Accrédite</w:t>
      </w:r>
      <w:r w:rsidRPr="00A972FE">
        <w:rPr>
          <w:rFonts w:asciiTheme="minorBidi" w:eastAsia="SimSun" w:hAnsiTheme="minorBidi" w:cs="Arial"/>
          <w:sz w:val="22"/>
          <w:szCs w:val="22"/>
        </w:rPr>
        <w:t xml:space="preserve"> les cinquante-huit ONG dont la liste figure dans l’annexe de la présente résolution, pour qu’elles exercent des fonctions consultatives auprès du Comité ;</w:t>
      </w:r>
    </w:p>
    <w:p w14:paraId="7F1FCC5A" w14:textId="77777777" w:rsidR="00FC161D" w:rsidRPr="00A972FE" w:rsidRDefault="00FC161D" w:rsidP="00FC161D">
      <w:pPr>
        <w:numPr>
          <w:ilvl w:val="0"/>
          <w:numId w:val="10"/>
        </w:numPr>
        <w:autoSpaceDE w:val="0"/>
        <w:autoSpaceDN w:val="0"/>
        <w:adjustRightInd w:val="0"/>
        <w:spacing w:after="120"/>
        <w:ind w:left="567" w:hanging="567"/>
        <w:jc w:val="both"/>
        <w:rPr>
          <w:rFonts w:asciiTheme="minorBidi" w:eastAsia="SimSun" w:hAnsiTheme="minorBidi" w:cstheme="minorBidi"/>
          <w:sz w:val="22"/>
          <w:szCs w:val="22"/>
          <w:u w:val="single"/>
        </w:rPr>
      </w:pPr>
      <w:r w:rsidRPr="00A972FE">
        <w:rPr>
          <w:rFonts w:asciiTheme="minorBidi" w:eastAsia="SimSun" w:hAnsiTheme="minorBidi" w:cs="Arial"/>
          <w:sz w:val="22"/>
          <w:szCs w:val="22"/>
          <w:u w:val="single"/>
        </w:rPr>
        <w:t>Encourage</w:t>
      </w:r>
      <w:r w:rsidRPr="00A972FE">
        <w:rPr>
          <w:rFonts w:asciiTheme="minorBidi" w:eastAsia="SimSun" w:hAnsiTheme="minorBidi" w:cs="Arial"/>
          <w:sz w:val="22"/>
          <w:szCs w:val="22"/>
        </w:rPr>
        <w:t xml:space="preserve"> les ONG des groupes électoraux sous-représentés qui satisfont aux critères d’accréditation à présenter leur demande d’accréditation dans les meilleurs délais,</w:t>
      </w:r>
      <w:r w:rsidRPr="00A972FE" w:rsidDel="00F440ED">
        <w:rPr>
          <w:rFonts w:asciiTheme="minorBidi" w:eastAsia="SimSun" w:hAnsiTheme="minorBidi" w:cs="Arial"/>
          <w:sz w:val="22"/>
          <w:szCs w:val="22"/>
        </w:rPr>
        <w:t xml:space="preserve"> </w:t>
      </w:r>
      <w:r w:rsidRPr="00A972FE">
        <w:rPr>
          <w:rFonts w:asciiTheme="minorBidi" w:eastAsia="SimSun" w:hAnsiTheme="minorBidi" w:cs="Arial"/>
          <w:sz w:val="22"/>
          <w:szCs w:val="22"/>
        </w:rPr>
        <w:t xml:space="preserve">de façon à améliorer la répartition géographique des ONG accréditées </w:t>
      </w:r>
      <w:bookmarkStart w:id="1" w:name="_Hlk47615881"/>
      <w:r w:rsidRPr="00A972FE">
        <w:rPr>
          <w:rFonts w:asciiTheme="minorBidi" w:eastAsia="SimSun" w:hAnsiTheme="minorBidi" w:cs="Arial"/>
          <w:sz w:val="22"/>
          <w:szCs w:val="22"/>
        </w:rPr>
        <w:t xml:space="preserve">et </w:t>
      </w:r>
      <w:r w:rsidRPr="00A972FE">
        <w:rPr>
          <w:rFonts w:asciiTheme="minorBidi" w:eastAsia="SimSun" w:hAnsiTheme="minorBidi" w:cs="Arial"/>
          <w:sz w:val="22"/>
          <w:szCs w:val="22"/>
          <w:u w:val="single"/>
        </w:rPr>
        <w:t>invite</w:t>
      </w:r>
      <w:r w:rsidRPr="00A972FE">
        <w:rPr>
          <w:rFonts w:asciiTheme="minorBidi" w:eastAsia="SimSun" w:hAnsiTheme="minorBidi" w:cs="Arial"/>
          <w:sz w:val="22"/>
          <w:szCs w:val="22"/>
        </w:rPr>
        <w:t xml:space="preserve"> les États parties de ces groupes électoraux à diffuser largement cet appel auprès des ONG présentes sur leur territoire ;</w:t>
      </w:r>
    </w:p>
    <w:bookmarkEnd w:id="1"/>
    <w:p w14:paraId="5604F68C" w14:textId="74B308BD" w:rsidR="00FC161D" w:rsidRPr="00626E9D" w:rsidRDefault="00FC161D" w:rsidP="00CD4F12">
      <w:pPr>
        <w:numPr>
          <w:ilvl w:val="0"/>
          <w:numId w:val="10"/>
        </w:numPr>
        <w:autoSpaceDE w:val="0"/>
        <w:autoSpaceDN w:val="0"/>
        <w:adjustRightInd w:val="0"/>
        <w:spacing w:after="120"/>
        <w:ind w:left="567" w:hanging="567"/>
        <w:jc w:val="both"/>
        <w:rPr>
          <w:rFonts w:asciiTheme="minorBidi" w:eastAsia="SimSun" w:hAnsiTheme="minorBidi" w:cstheme="minorBidi"/>
          <w:sz w:val="22"/>
          <w:szCs w:val="22"/>
          <w:u w:val="single"/>
        </w:rPr>
      </w:pPr>
      <w:r w:rsidRPr="00626E9D">
        <w:rPr>
          <w:rFonts w:asciiTheme="minorBidi" w:eastAsia="SimSun" w:hAnsiTheme="minorBidi" w:cs="Arial"/>
          <w:sz w:val="22"/>
          <w:szCs w:val="22"/>
          <w:u w:val="single"/>
        </w:rPr>
        <w:t>Rappelle</w:t>
      </w:r>
      <w:r w:rsidRPr="00626E9D">
        <w:rPr>
          <w:rFonts w:asciiTheme="minorBidi" w:eastAsia="SimSun" w:hAnsiTheme="minorBidi" w:cs="Arial"/>
          <w:sz w:val="22"/>
          <w:szCs w:val="22"/>
        </w:rPr>
        <w:t xml:space="preserve"> aux ONG accréditées en 2012, 2016, et 2020 qu’elles doivent présenter leur rapport quadriennal au Secrétariat avant la date limite du 15 février 2025 afin que le Comité puisse, lors de sa vingtième</w:t>
      </w:r>
      <w:r w:rsidRPr="00626E9D" w:rsidDel="0005679E">
        <w:rPr>
          <w:rFonts w:asciiTheme="minorBidi" w:eastAsia="SimSun" w:hAnsiTheme="minorBidi" w:cs="Arial"/>
          <w:sz w:val="22"/>
          <w:szCs w:val="22"/>
        </w:rPr>
        <w:t xml:space="preserve"> </w:t>
      </w:r>
      <w:r w:rsidRPr="00626E9D">
        <w:rPr>
          <w:rFonts w:asciiTheme="minorBidi" w:eastAsia="SimSun" w:hAnsiTheme="minorBidi" w:cs="Arial"/>
          <w:sz w:val="22"/>
          <w:szCs w:val="22"/>
        </w:rPr>
        <w:t>session, examiner la contribution et l’engagement de chaque organisation consultative.</w:t>
      </w:r>
    </w:p>
    <w:p w14:paraId="1773322D" w14:textId="77777777" w:rsidR="00FC161D" w:rsidRPr="00A972FE" w:rsidRDefault="00FC161D" w:rsidP="00C8040F">
      <w:pPr>
        <w:pStyle w:val="COMParaDecision"/>
        <w:keepNext/>
        <w:numPr>
          <w:ilvl w:val="0"/>
          <w:numId w:val="0"/>
        </w:numPr>
        <w:jc w:val="center"/>
        <w:rPr>
          <w:b/>
          <w:bCs/>
          <w:snapToGrid w:val="0"/>
          <w:u w:val="none"/>
        </w:rPr>
      </w:pPr>
      <w:r w:rsidRPr="00A972FE">
        <w:rPr>
          <w:b/>
          <w:bCs/>
          <w:snapToGrid w:val="0"/>
          <w:u w:val="none"/>
        </w:rPr>
        <w:lastRenderedPageBreak/>
        <w:t>Annexe : Cinquante-huit organisations non gouvernementales dont l’accréditation a été recommandée par la dix-huitième session du Comité.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3"/>
        <w:gridCol w:w="1916"/>
        <w:gridCol w:w="1597"/>
      </w:tblGrid>
      <w:tr w:rsidR="00FC161D" w:rsidRPr="000D358B" w14:paraId="6840D440" w14:textId="77777777" w:rsidTr="0033776E">
        <w:trPr>
          <w:trHeight w:val="576"/>
        </w:trPr>
        <w:tc>
          <w:tcPr>
            <w:tcW w:w="3148" w:type="pct"/>
            <w:shd w:val="clear" w:color="auto" w:fill="4F81BD" w:themeFill="accent1"/>
            <w:vAlign w:val="center"/>
            <w:hideMark/>
          </w:tcPr>
          <w:p w14:paraId="3958AF9B" w14:textId="77777777" w:rsidR="00FC161D" w:rsidRPr="000D2922" w:rsidRDefault="00FC161D" w:rsidP="00C8040F">
            <w:pPr>
              <w:keepNext/>
              <w:contextualSpacing/>
              <w:jc w:val="center"/>
              <w:rPr>
                <w:rFonts w:asciiTheme="minorBidi" w:hAnsiTheme="minorBidi" w:cstheme="minorBidi"/>
                <w:b/>
                <w:bCs/>
                <w:sz w:val="20"/>
                <w:szCs w:val="20"/>
              </w:rPr>
            </w:pPr>
            <w:r>
              <w:rPr>
                <w:rFonts w:asciiTheme="minorBidi" w:hAnsiTheme="minorBidi"/>
                <w:b/>
                <w:sz w:val="20"/>
              </w:rPr>
              <w:t>Nom de l’organisation</w:t>
            </w:r>
          </w:p>
        </w:tc>
        <w:tc>
          <w:tcPr>
            <w:tcW w:w="1010" w:type="pct"/>
            <w:shd w:val="clear" w:color="auto" w:fill="4F81BD" w:themeFill="accent1"/>
            <w:vAlign w:val="center"/>
            <w:hideMark/>
          </w:tcPr>
          <w:p w14:paraId="1A559D2F" w14:textId="77777777" w:rsidR="00FC161D" w:rsidRPr="000D2922" w:rsidRDefault="00FC161D" w:rsidP="00C8040F">
            <w:pPr>
              <w:keepNext/>
              <w:contextualSpacing/>
              <w:jc w:val="center"/>
              <w:rPr>
                <w:rFonts w:asciiTheme="minorBidi" w:hAnsiTheme="minorBidi" w:cstheme="minorBidi"/>
                <w:b/>
                <w:bCs/>
                <w:sz w:val="20"/>
                <w:szCs w:val="20"/>
              </w:rPr>
            </w:pPr>
            <w:r>
              <w:rPr>
                <w:rFonts w:asciiTheme="minorBidi" w:hAnsiTheme="minorBidi"/>
                <w:b/>
                <w:sz w:val="20"/>
              </w:rPr>
              <w:t>Pays du siège social</w:t>
            </w:r>
          </w:p>
        </w:tc>
        <w:tc>
          <w:tcPr>
            <w:tcW w:w="842" w:type="pct"/>
            <w:shd w:val="clear" w:color="auto" w:fill="4F81BD" w:themeFill="accent1"/>
            <w:vAlign w:val="center"/>
            <w:hideMark/>
          </w:tcPr>
          <w:p w14:paraId="617BDFAD" w14:textId="77777777" w:rsidR="00FC161D" w:rsidRPr="000D2922" w:rsidRDefault="00FC161D" w:rsidP="00C8040F">
            <w:pPr>
              <w:keepNext/>
              <w:contextualSpacing/>
              <w:jc w:val="center"/>
              <w:rPr>
                <w:rFonts w:asciiTheme="minorBidi" w:hAnsiTheme="minorBidi" w:cstheme="minorBidi"/>
                <w:b/>
                <w:bCs/>
                <w:sz w:val="20"/>
                <w:szCs w:val="20"/>
              </w:rPr>
            </w:pPr>
            <w:r>
              <w:rPr>
                <w:rFonts w:asciiTheme="minorBidi" w:hAnsiTheme="minorBidi"/>
                <w:b/>
                <w:sz w:val="20"/>
              </w:rPr>
              <w:t>Numéro de demande</w:t>
            </w:r>
          </w:p>
        </w:tc>
      </w:tr>
      <w:tr w:rsidR="00FC161D" w:rsidRPr="000D358B" w14:paraId="02F5666B" w14:textId="77777777" w:rsidTr="0033776E">
        <w:trPr>
          <w:trHeight w:val="576"/>
        </w:trPr>
        <w:tc>
          <w:tcPr>
            <w:tcW w:w="3148" w:type="pct"/>
            <w:vAlign w:val="center"/>
          </w:tcPr>
          <w:p w14:paraId="1A1B8461" w14:textId="77777777" w:rsidR="00FC161D" w:rsidRPr="000D2922" w:rsidRDefault="00FC161D" w:rsidP="00C8040F">
            <w:pPr>
              <w:keepNext/>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4 Grada Dragodid</w:t>
            </w:r>
          </w:p>
        </w:tc>
        <w:tc>
          <w:tcPr>
            <w:tcW w:w="1010" w:type="pct"/>
            <w:vAlign w:val="center"/>
          </w:tcPr>
          <w:p w14:paraId="2CB22AA5" w14:textId="77777777" w:rsidR="00FC161D" w:rsidRPr="000D2922" w:rsidRDefault="00FC161D" w:rsidP="00C8040F">
            <w:pPr>
              <w:keepNext/>
              <w:contextualSpacing/>
              <w:jc w:val="center"/>
              <w:rPr>
                <w:rFonts w:asciiTheme="minorBidi" w:hAnsiTheme="minorBidi" w:cstheme="minorBidi"/>
                <w:sz w:val="20"/>
                <w:szCs w:val="20"/>
              </w:rPr>
            </w:pPr>
            <w:r>
              <w:rPr>
                <w:rFonts w:asciiTheme="minorBidi" w:hAnsiTheme="minorBidi"/>
                <w:sz w:val="20"/>
              </w:rPr>
              <w:t>Croatie</w:t>
            </w:r>
          </w:p>
        </w:tc>
        <w:tc>
          <w:tcPr>
            <w:tcW w:w="842" w:type="pct"/>
            <w:vAlign w:val="center"/>
          </w:tcPr>
          <w:p w14:paraId="4A1AD8A1" w14:textId="77777777" w:rsidR="00FC161D" w:rsidRPr="000D2922" w:rsidRDefault="00FC161D" w:rsidP="00C8040F">
            <w:pPr>
              <w:pStyle w:val="Titre7"/>
              <w:keepLines w:val="0"/>
              <w:jc w:val="center"/>
              <w:rPr>
                <w:rFonts w:asciiTheme="minorBidi" w:hAnsiTheme="minorBidi" w:cstheme="minorBidi"/>
                <w:i w:val="0"/>
                <w:iCs w:val="0"/>
                <w:color w:val="auto"/>
                <w:sz w:val="20"/>
                <w:szCs w:val="20"/>
              </w:rPr>
            </w:pPr>
            <w:r>
              <w:rPr>
                <w:rFonts w:asciiTheme="minorBidi" w:hAnsiTheme="minorBidi"/>
                <w:i w:val="0"/>
                <w:color w:val="auto"/>
                <w:sz w:val="20"/>
              </w:rPr>
              <w:t>NGO-90566</w:t>
            </w:r>
          </w:p>
        </w:tc>
      </w:tr>
      <w:tr w:rsidR="00FC161D" w:rsidRPr="000D358B" w14:paraId="05C325E8" w14:textId="77777777" w:rsidTr="0033776E">
        <w:trPr>
          <w:trHeight w:val="576"/>
        </w:trPr>
        <w:tc>
          <w:tcPr>
            <w:tcW w:w="3148" w:type="pct"/>
            <w:shd w:val="clear" w:color="auto" w:fill="DBE5F1" w:themeFill="accent1" w:themeFillTint="33"/>
            <w:vAlign w:val="center"/>
          </w:tcPr>
          <w:p w14:paraId="1B66C6C1" w14:textId="77777777" w:rsidR="00FC161D" w:rsidRPr="008319A4" w:rsidRDefault="00FC161D" w:rsidP="00C8040F">
            <w:pPr>
              <w:keepNext/>
              <w:contextualSpacing/>
              <w:rPr>
                <w:rFonts w:asciiTheme="minorBidi" w:hAnsiTheme="minorBidi" w:cstheme="minorBidi"/>
                <w:b/>
                <w:bCs/>
                <w:sz w:val="20"/>
                <w:szCs w:val="20"/>
                <w:lang w:val="es-ES"/>
              </w:rPr>
            </w:pPr>
            <w:r w:rsidRPr="000D2922">
              <w:rPr>
                <w:rFonts w:asciiTheme="minorBidi" w:hAnsiTheme="minorBidi" w:cstheme="minorBidi"/>
                <w:b/>
                <w:bCs/>
                <w:sz w:val="20"/>
                <w:szCs w:val="20"/>
                <w:lang w:val="es-ES"/>
              </w:rPr>
              <w:t>Acción Cultural Ngobe</w:t>
            </w:r>
            <w:r w:rsidRPr="000D2922">
              <w:rPr>
                <w:rFonts w:asciiTheme="minorBidi" w:hAnsiTheme="minorBidi" w:cstheme="minorBidi"/>
                <w:sz w:val="20"/>
                <w:szCs w:val="20"/>
                <w:lang w:val="es-ES"/>
              </w:rPr>
              <w:br/>
              <w:t>Ngäbe Cultural Action</w:t>
            </w:r>
          </w:p>
        </w:tc>
        <w:tc>
          <w:tcPr>
            <w:tcW w:w="1010" w:type="pct"/>
            <w:shd w:val="clear" w:color="auto" w:fill="DBE5F1" w:themeFill="accent1" w:themeFillTint="33"/>
            <w:vAlign w:val="center"/>
          </w:tcPr>
          <w:p w14:paraId="50E39037" w14:textId="77777777" w:rsidR="00FC161D" w:rsidRPr="000D2922" w:rsidRDefault="00FC161D" w:rsidP="00C8040F">
            <w:pPr>
              <w:keepNext/>
              <w:contextualSpacing/>
              <w:jc w:val="center"/>
              <w:rPr>
                <w:rFonts w:asciiTheme="minorBidi" w:hAnsiTheme="minorBidi" w:cstheme="minorBidi"/>
                <w:sz w:val="20"/>
                <w:szCs w:val="20"/>
              </w:rPr>
            </w:pPr>
            <w:r>
              <w:rPr>
                <w:rFonts w:asciiTheme="minorBidi" w:hAnsiTheme="minorBidi"/>
                <w:sz w:val="20"/>
              </w:rPr>
              <w:t>Panama</w:t>
            </w:r>
          </w:p>
        </w:tc>
        <w:tc>
          <w:tcPr>
            <w:tcW w:w="842" w:type="pct"/>
            <w:shd w:val="clear" w:color="auto" w:fill="DBE5F1" w:themeFill="accent1" w:themeFillTint="33"/>
            <w:vAlign w:val="center"/>
          </w:tcPr>
          <w:p w14:paraId="45205E01" w14:textId="77777777" w:rsidR="00FC161D" w:rsidRPr="000D2922" w:rsidRDefault="00FC161D" w:rsidP="00C8040F">
            <w:pPr>
              <w:keepNext/>
              <w:contextualSpacing/>
              <w:jc w:val="center"/>
              <w:rPr>
                <w:rFonts w:asciiTheme="minorBidi" w:hAnsiTheme="minorBidi" w:cstheme="minorBidi"/>
                <w:sz w:val="20"/>
                <w:szCs w:val="20"/>
              </w:rPr>
            </w:pPr>
            <w:r>
              <w:rPr>
                <w:rFonts w:asciiTheme="minorBidi" w:hAnsiTheme="minorBidi"/>
                <w:sz w:val="20"/>
              </w:rPr>
              <w:t>NGO-90583</w:t>
            </w:r>
          </w:p>
        </w:tc>
      </w:tr>
      <w:tr w:rsidR="00FC161D" w:rsidRPr="000D358B" w14:paraId="7F020DAC" w14:textId="77777777" w:rsidTr="0033776E">
        <w:trPr>
          <w:trHeight w:val="576"/>
        </w:trPr>
        <w:tc>
          <w:tcPr>
            <w:tcW w:w="3148" w:type="pct"/>
            <w:vAlign w:val="center"/>
          </w:tcPr>
          <w:p w14:paraId="2A91EB15"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American Folklore Society</w:t>
            </w:r>
          </w:p>
        </w:tc>
        <w:tc>
          <w:tcPr>
            <w:tcW w:w="1010" w:type="pct"/>
            <w:vAlign w:val="center"/>
          </w:tcPr>
          <w:p w14:paraId="3AF44824"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États-Unis d’Amérique</w:t>
            </w:r>
          </w:p>
        </w:tc>
        <w:tc>
          <w:tcPr>
            <w:tcW w:w="842" w:type="pct"/>
            <w:vAlign w:val="center"/>
          </w:tcPr>
          <w:p w14:paraId="488059CE"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NGO-90563</w:t>
            </w:r>
          </w:p>
        </w:tc>
      </w:tr>
      <w:tr w:rsidR="00FC161D" w:rsidRPr="000D358B" w14:paraId="452EE7B8" w14:textId="77777777" w:rsidTr="0033776E">
        <w:trPr>
          <w:trHeight w:val="576"/>
        </w:trPr>
        <w:tc>
          <w:tcPr>
            <w:tcW w:w="3148" w:type="pct"/>
            <w:shd w:val="clear" w:color="auto" w:fill="DBE5F1" w:themeFill="accent1" w:themeFillTint="33"/>
            <w:vAlign w:val="center"/>
          </w:tcPr>
          <w:p w14:paraId="0CD37786"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ART - Meșteșugurile Prutului</w:t>
            </w:r>
            <w:r w:rsidRPr="000D2922">
              <w:rPr>
                <w:rFonts w:asciiTheme="minorBidi" w:hAnsiTheme="minorBidi" w:cstheme="minorBidi"/>
                <w:sz w:val="20"/>
                <w:szCs w:val="20"/>
                <w:lang w:val="en-GB"/>
              </w:rPr>
              <w:br/>
              <w:t>ART - Prut Crafts Association</w:t>
            </w:r>
          </w:p>
        </w:tc>
        <w:tc>
          <w:tcPr>
            <w:tcW w:w="1010" w:type="pct"/>
            <w:shd w:val="clear" w:color="auto" w:fill="DBE5F1" w:themeFill="accent1" w:themeFillTint="33"/>
            <w:vAlign w:val="center"/>
          </w:tcPr>
          <w:p w14:paraId="279D02DC"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Roumanie</w:t>
            </w:r>
          </w:p>
        </w:tc>
        <w:tc>
          <w:tcPr>
            <w:tcW w:w="842" w:type="pct"/>
            <w:shd w:val="clear" w:color="auto" w:fill="DBE5F1" w:themeFill="accent1" w:themeFillTint="33"/>
            <w:vAlign w:val="center"/>
          </w:tcPr>
          <w:p w14:paraId="4D8367B8"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NGO-90577</w:t>
            </w:r>
          </w:p>
        </w:tc>
      </w:tr>
      <w:tr w:rsidR="00FC161D" w:rsidRPr="000D358B" w14:paraId="342DD689" w14:textId="77777777" w:rsidTr="0033776E">
        <w:trPr>
          <w:trHeight w:val="576"/>
        </w:trPr>
        <w:tc>
          <w:tcPr>
            <w:tcW w:w="3148" w:type="pct"/>
            <w:vAlign w:val="center"/>
          </w:tcPr>
          <w:p w14:paraId="337C4A92" w14:textId="77777777" w:rsidR="00FC161D" w:rsidRPr="008319A4" w:rsidRDefault="00FC161D" w:rsidP="0033776E">
            <w:pPr>
              <w:contextualSpacing/>
              <w:rPr>
                <w:rFonts w:asciiTheme="minorBidi" w:hAnsiTheme="minorBidi" w:cstheme="minorBidi"/>
                <w:sz w:val="20"/>
                <w:szCs w:val="20"/>
                <w:lang w:val="pt-PT"/>
              </w:rPr>
            </w:pPr>
            <w:r w:rsidRPr="000D2922">
              <w:rPr>
                <w:rFonts w:asciiTheme="minorBidi" w:hAnsiTheme="minorBidi" w:cstheme="minorBidi"/>
                <w:b/>
                <w:bCs/>
                <w:sz w:val="20"/>
                <w:szCs w:val="20"/>
                <w:lang w:val="pt-BR"/>
              </w:rPr>
              <w:t>Associação Camará Capoeira</w:t>
            </w:r>
            <w:r w:rsidRPr="000D2922">
              <w:rPr>
                <w:rFonts w:asciiTheme="minorBidi" w:hAnsiTheme="minorBidi" w:cstheme="minorBidi"/>
                <w:sz w:val="20"/>
                <w:szCs w:val="20"/>
                <w:lang w:val="pt-BR"/>
              </w:rPr>
              <w:br/>
              <w:t>Camará Capoeira Association</w:t>
            </w:r>
          </w:p>
        </w:tc>
        <w:tc>
          <w:tcPr>
            <w:tcW w:w="1010" w:type="pct"/>
            <w:vAlign w:val="center"/>
          </w:tcPr>
          <w:p w14:paraId="42459CE1"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Brésil</w:t>
            </w:r>
          </w:p>
        </w:tc>
        <w:tc>
          <w:tcPr>
            <w:tcW w:w="842" w:type="pct"/>
            <w:vAlign w:val="center"/>
          </w:tcPr>
          <w:p w14:paraId="03A0356A"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NGO-90543</w:t>
            </w:r>
          </w:p>
        </w:tc>
      </w:tr>
      <w:tr w:rsidR="00FC161D" w:rsidRPr="000D358B" w14:paraId="00FB2A39" w14:textId="77777777" w:rsidTr="0033776E">
        <w:trPr>
          <w:trHeight w:val="980"/>
        </w:trPr>
        <w:tc>
          <w:tcPr>
            <w:tcW w:w="3148" w:type="pct"/>
            <w:shd w:val="clear" w:color="auto" w:fill="DBE5F1" w:themeFill="accent1" w:themeFillTint="33"/>
            <w:vAlign w:val="center"/>
          </w:tcPr>
          <w:p w14:paraId="5D8C13FE" w14:textId="77777777" w:rsidR="00FC161D" w:rsidRPr="008319A4" w:rsidRDefault="00FC161D" w:rsidP="0033776E">
            <w:pPr>
              <w:contextualSpacing/>
              <w:rPr>
                <w:rFonts w:asciiTheme="minorBidi" w:hAnsiTheme="minorBidi" w:cstheme="minorBidi"/>
                <w:b/>
                <w:bCs/>
                <w:sz w:val="20"/>
                <w:szCs w:val="20"/>
                <w:lang w:val="pt-PT"/>
              </w:rPr>
            </w:pPr>
            <w:r w:rsidRPr="000D2922">
              <w:rPr>
                <w:rFonts w:asciiTheme="minorBidi" w:hAnsiTheme="minorBidi" w:cstheme="minorBidi"/>
                <w:b/>
                <w:bCs/>
                <w:sz w:val="20"/>
                <w:szCs w:val="20"/>
                <w:lang w:val="pt-BR"/>
              </w:rPr>
              <w:t>Associação Nacional das Baianas de Acarajé, Mingau, Receptivo, e Similares</w:t>
            </w:r>
            <w:r w:rsidRPr="000D2922">
              <w:rPr>
                <w:rFonts w:asciiTheme="minorBidi" w:hAnsiTheme="minorBidi" w:cstheme="minorBidi"/>
                <w:sz w:val="20"/>
                <w:szCs w:val="20"/>
                <w:lang w:val="pt-BR"/>
              </w:rPr>
              <w:br/>
              <w:t>National Association of Baianas of Acarajé, Mingau, Receptive, and Similarities</w:t>
            </w:r>
          </w:p>
        </w:tc>
        <w:tc>
          <w:tcPr>
            <w:tcW w:w="1010" w:type="pct"/>
            <w:shd w:val="clear" w:color="auto" w:fill="DBE5F1" w:themeFill="accent1" w:themeFillTint="33"/>
            <w:vAlign w:val="center"/>
          </w:tcPr>
          <w:p w14:paraId="61E7E963"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Brésil</w:t>
            </w:r>
          </w:p>
        </w:tc>
        <w:tc>
          <w:tcPr>
            <w:tcW w:w="842" w:type="pct"/>
            <w:shd w:val="clear" w:color="auto" w:fill="DBE5F1" w:themeFill="accent1" w:themeFillTint="33"/>
            <w:vAlign w:val="center"/>
          </w:tcPr>
          <w:p w14:paraId="18F16D4F"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NGO-90580</w:t>
            </w:r>
          </w:p>
        </w:tc>
      </w:tr>
      <w:tr w:rsidR="00FC161D" w:rsidRPr="000D358B" w14:paraId="1D6A0256" w14:textId="77777777" w:rsidTr="0033776E">
        <w:trPr>
          <w:trHeight w:val="576"/>
        </w:trPr>
        <w:tc>
          <w:tcPr>
            <w:tcW w:w="3148" w:type="pct"/>
            <w:vAlign w:val="center"/>
          </w:tcPr>
          <w:p w14:paraId="3E8F7ADD"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rPr>
              <w:t>Association Al Muniya de Marrakech pour la revivification et la préservation du patrimoine du Royaume du Maroc</w:t>
            </w:r>
          </w:p>
        </w:tc>
        <w:tc>
          <w:tcPr>
            <w:tcW w:w="1010" w:type="pct"/>
            <w:vAlign w:val="center"/>
          </w:tcPr>
          <w:p w14:paraId="216945EE"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Maroc</w:t>
            </w:r>
          </w:p>
        </w:tc>
        <w:tc>
          <w:tcPr>
            <w:tcW w:w="842" w:type="pct"/>
            <w:vAlign w:val="center"/>
          </w:tcPr>
          <w:p w14:paraId="5EAC9200"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NGO-90528</w:t>
            </w:r>
          </w:p>
        </w:tc>
      </w:tr>
      <w:tr w:rsidR="00FC161D" w:rsidRPr="000D358B" w14:paraId="56893968" w14:textId="77777777" w:rsidTr="0033776E">
        <w:trPr>
          <w:trHeight w:val="576"/>
        </w:trPr>
        <w:tc>
          <w:tcPr>
            <w:tcW w:w="3148" w:type="pct"/>
            <w:shd w:val="clear" w:color="auto" w:fill="DBE5F1" w:themeFill="accent1" w:themeFillTint="33"/>
            <w:vAlign w:val="center"/>
          </w:tcPr>
          <w:p w14:paraId="06E86C25"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rPr>
              <w:t>Association Culture, Paix et Développement (CPD)</w:t>
            </w:r>
          </w:p>
        </w:tc>
        <w:tc>
          <w:tcPr>
            <w:tcW w:w="1010" w:type="pct"/>
            <w:shd w:val="clear" w:color="auto" w:fill="DBE5F1" w:themeFill="accent1" w:themeFillTint="33"/>
            <w:vAlign w:val="center"/>
          </w:tcPr>
          <w:p w14:paraId="1D89852F"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Togo</w:t>
            </w:r>
          </w:p>
        </w:tc>
        <w:tc>
          <w:tcPr>
            <w:tcW w:w="842" w:type="pct"/>
            <w:shd w:val="clear" w:color="auto" w:fill="DBE5F1" w:themeFill="accent1" w:themeFillTint="33"/>
            <w:vAlign w:val="center"/>
          </w:tcPr>
          <w:p w14:paraId="3FC72953"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NGO-90564</w:t>
            </w:r>
          </w:p>
        </w:tc>
      </w:tr>
      <w:tr w:rsidR="00FC161D" w:rsidRPr="000D358B" w14:paraId="4050CE6E" w14:textId="77777777" w:rsidTr="0033776E">
        <w:trPr>
          <w:trHeight w:val="576"/>
        </w:trPr>
        <w:tc>
          <w:tcPr>
            <w:tcW w:w="3148" w:type="pct"/>
            <w:vAlign w:val="center"/>
          </w:tcPr>
          <w:p w14:paraId="696C25F7"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rPr>
              <w:t>Association tunisienne de sauvegarde et de valorisation du Patrimoine Culturel Immatériel tunisien</w:t>
            </w:r>
          </w:p>
        </w:tc>
        <w:tc>
          <w:tcPr>
            <w:tcW w:w="1010" w:type="pct"/>
            <w:vAlign w:val="center"/>
          </w:tcPr>
          <w:p w14:paraId="74F9771A"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Tunisie</w:t>
            </w:r>
          </w:p>
        </w:tc>
        <w:tc>
          <w:tcPr>
            <w:tcW w:w="842" w:type="pct"/>
            <w:vAlign w:val="center"/>
          </w:tcPr>
          <w:p w14:paraId="215B22BF"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NGO-90525</w:t>
            </w:r>
          </w:p>
        </w:tc>
      </w:tr>
      <w:tr w:rsidR="00FC161D" w:rsidRPr="000D358B" w14:paraId="735A1F4D" w14:textId="77777777" w:rsidTr="0033776E">
        <w:trPr>
          <w:trHeight w:val="576"/>
        </w:trPr>
        <w:tc>
          <w:tcPr>
            <w:tcW w:w="3148" w:type="pct"/>
            <w:shd w:val="clear" w:color="auto" w:fill="DBE5F1" w:themeFill="accent1" w:themeFillTint="33"/>
            <w:vAlign w:val="center"/>
          </w:tcPr>
          <w:p w14:paraId="770C3204" w14:textId="77777777" w:rsidR="00FC161D" w:rsidRPr="008319A4" w:rsidRDefault="00FC161D" w:rsidP="0033776E">
            <w:pPr>
              <w:contextualSpacing/>
              <w:rPr>
                <w:rFonts w:asciiTheme="minorBidi" w:hAnsiTheme="minorBidi" w:cstheme="minorBidi"/>
                <w:b/>
                <w:bCs/>
                <w:sz w:val="20"/>
                <w:szCs w:val="20"/>
                <w:lang w:val="it-IT"/>
              </w:rPr>
            </w:pPr>
            <w:r w:rsidRPr="008319A4">
              <w:rPr>
                <w:rFonts w:asciiTheme="minorBidi" w:hAnsiTheme="minorBidi" w:cstheme="minorBidi"/>
                <w:b/>
                <w:bCs/>
                <w:sz w:val="20"/>
                <w:szCs w:val="20"/>
                <w:lang w:val="it-IT"/>
              </w:rPr>
              <w:t>Associazione Cultura Italiae</w:t>
            </w:r>
            <w:r w:rsidRPr="008319A4">
              <w:rPr>
                <w:rFonts w:asciiTheme="minorBidi" w:hAnsiTheme="minorBidi" w:cstheme="minorBidi"/>
                <w:sz w:val="20"/>
                <w:szCs w:val="20"/>
                <w:lang w:val="it-IT"/>
              </w:rPr>
              <w:br/>
              <w:t>Association Culture of Italy</w:t>
            </w:r>
          </w:p>
        </w:tc>
        <w:tc>
          <w:tcPr>
            <w:tcW w:w="1010" w:type="pct"/>
            <w:shd w:val="clear" w:color="auto" w:fill="DBE5F1" w:themeFill="accent1" w:themeFillTint="33"/>
            <w:vAlign w:val="center"/>
          </w:tcPr>
          <w:p w14:paraId="29E7BE6A"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Italie</w:t>
            </w:r>
          </w:p>
        </w:tc>
        <w:tc>
          <w:tcPr>
            <w:tcW w:w="842" w:type="pct"/>
            <w:shd w:val="clear" w:color="auto" w:fill="DBE5F1" w:themeFill="accent1" w:themeFillTint="33"/>
            <w:vAlign w:val="center"/>
          </w:tcPr>
          <w:p w14:paraId="3A809ED5"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NGO-90589</w:t>
            </w:r>
          </w:p>
        </w:tc>
      </w:tr>
      <w:tr w:rsidR="00FC161D" w:rsidRPr="000D358B" w14:paraId="27B5C5A4" w14:textId="77777777" w:rsidTr="0033776E">
        <w:trPr>
          <w:trHeight w:val="576"/>
        </w:trPr>
        <w:tc>
          <w:tcPr>
            <w:tcW w:w="3148" w:type="pct"/>
            <w:vAlign w:val="center"/>
          </w:tcPr>
          <w:p w14:paraId="636FC994" w14:textId="77777777" w:rsidR="00FC161D" w:rsidRPr="00A95CE2" w:rsidRDefault="00FC161D" w:rsidP="0033776E">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pt-BR"/>
              </w:rPr>
              <w:t>Associazione Ecomuseo Casilino ad Duas Lauros</w:t>
            </w:r>
            <w:r w:rsidRPr="000D2922">
              <w:rPr>
                <w:rFonts w:asciiTheme="minorBidi" w:hAnsiTheme="minorBidi" w:cstheme="minorBidi"/>
                <w:sz w:val="20"/>
                <w:szCs w:val="20"/>
                <w:lang w:val="pt-BR"/>
              </w:rPr>
              <w:br/>
              <w:t>Ecomuseum Casilino ad Duas Lauros Association</w:t>
            </w:r>
          </w:p>
        </w:tc>
        <w:tc>
          <w:tcPr>
            <w:tcW w:w="1010" w:type="pct"/>
            <w:vAlign w:val="center"/>
          </w:tcPr>
          <w:p w14:paraId="52950F4D"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Italie</w:t>
            </w:r>
          </w:p>
        </w:tc>
        <w:tc>
          <w:tcPr>
            <w:tcW w:w="842" w:type="pct"/>
            <w:vAlign w:val="center"/>
          </w:tcPr>
          <w:p w14:paraId="3B78E353"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NGO-90582</w:t>
            </w:r>
          </w:p>
        </w:tc>
      </w:tr>
      <w:tr w:rsidR="00FC161D" w:rsidRPr="000D358B" w14:paraId="361138F2" w14:textId="77777777" w:rsidTr="0033776E">
        <w:trPr>
          <w:trHeight w:val="576"/>
        </w:trPr>
        <w:tc>
          <w:tcPr>
            <w:tcW w:w="3148" w:type="pct"/>
            <w:shd w:val="clear" w:color="auto" w:fill="DBE5F1" w:themeFill="accent1" w:themeFillTint="33"/>
            <w:vAlign w:val="center"/>
          </w:tcPr>
          <w:p w14:paraId="036BD9EE"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Barbados Museum &amp; Historical Society</w:t>
            </w:r>
          </w:p>
        </w:tc>
        <w:tc>
          <w:tcPr>
            <w:tcW w:w="1010" w:type="pct"/>
            <w:shd w:val="clear" w:color="auto" w:fill="DBE5F1" w:themeFill="accent1" w:themeFillTint="33"/>
            <w:vAlign w:val="center"/>
          </w:tcPr>
          <w:p w14:paraId="5B943F86"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Barbade</w:t>
            </w:r>
          </w:p>
        </w:tc>
        <w:tc>
          <w:tcPr>
            <w:tcW w:w="842" w:type="pct"/>
            <w:shd w:val="clear" w:color="auto" w:fill="DBE5F1" w:themeFill="accent1" w:themeFillTint="33"/>
            <w:vAlign w:val="center"/>
          </w:tcPr>
          <w:p w14:paraId="6155DD22"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NGO-90554</w:t>
            </w:r>
          </w:p>
        </w:tc>
      </w:tr>
      <w:tr w:rsidR="00FC161D" w:rsidRPr="000D358B" w14:paraId="02FD1BA3" w14:textId="77777777" w:rsidTr="0033776E">
        <w:trPr>
          <w:trHeight w:val="576"/>
        </w:trPr>
        <w:tc>
          <w:tcPr>
            <w:tcW w:w="3148" w:type="pct"/>
            <w:vAlign w:val="center"/>
          </w:tcPr>
          <w:p w14:paraId="4DC25C5A" w14:textId="77777777" w:rsidR="00FC161D" w:rsidRPr="000D2922" w:rsidRDefault="00FC161D" w:rsidP="0033776E">
            <w:pPr>
              <w:contextualSpacing/>
              <w:rPr>
                <w:rFonts w:asciiTheme="minorBidi" w:hAnsiTheme="minorBidi" w:cstheme="minorBidi"/>
                <w:b/>
                <w:bCs/>
                <w:sz w:val="20"/>
                <w:szCs w:val="20"/>
              </w:rPr>
            </w:pPr>
            <w:r w:rsidRPr="008319A4">
              <w:rPr>
                <w:rFonts w:asciiTheme="minorBidi" w:hAnsiTheme="minorBidi" w:cstheme="minorBidi"/>
                <w:b/>
                <w:bCs/>
                <w:sz w:val="20"/>
                <w:szCs w:val="20"/>
              </w:rPr>
              <w:t>Biedrība « Suitu kultūras mantojums »</w:t>
            </w:r>
            <w:r w:rsidRPr="008319A4">
              <w:rPr>
                <w:rFonts w:asciiTheme="minorBidi" w:hAnsiTheme="minorBidi" w:cstheme="minorBidi"/>
                <w:sz w:val="20"/>
                <w:szCs w:val="20"/>
              </w:rPr>
              <w:br/>
              <w:t>Suiti Cultural Heritage Foundation</w:t>
            </w:r>
          </w:p>
        </w:tc>
        <w:tc>
          <w:tcPr>
            <w:tcW w:w="1010" w:type="pct"/>
            <w:vAlign w:val="center"/>
          </w:tcPr>
          <w:p w14:paraId="345DCAA1"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Lettonie</w:t>
            </w:r>
          </w:p>
        </w:tc>
        <w:tc>
          <w:tcPr>
            <w:tcW w:w="842" w:type="pct"/>
            <w:vAlign w:val="center"/>
          </w:tcPr>
          <w:p w14:paraId="0D33457A"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NGO-90570</w:t>
            </w:r>
          </w:p>
        </w:tc>
      </w:tr>
      <w:tr w:rsidR="00FC161D" w:rsidRPr="000D358B" w14:paraId="246AE09B" w14:textId="77777777" w:rsidTr="0033776E">
        <w:trPr>
          <w:trHeight w:val="576"/>
        </w:trPr>
        <w:tc>
          <w:tcPr>
            <w:tcW w:w="3148" w:type="pct"/>
            <w:shd w:val="clear" w:color="auto" w:fill="DBE5F1" w:themeFill="accent1" w:themeFillTint="33"/>
            <w:vAlign w:val="center"/>
          </w:tcPr>
          <w:p w14:paraId="4319E62D"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Blanchard House Institute</w:t>
            </w:r>
          </w:p>
        </w:tc>
        <w:tc>
          <w:tcPr>
            <w:tcW w:w="1010" w:type="pct"/>
            <w:shd w:val="clear" w:color="auto" w:fill="DBE5F1" w:themeFill="accent1" w:themeFillTint="33"/>
            <w:vAlign w:val="center"/>
          </w:tcPr>
          <w:p w14:paraId="53A01B66"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États-Unis d’Amérique</w:t>
            </w:r>
          </w:p>
        </w:tc>
        <w:tc>
          <w:tcPr>
            <w:tcW w:w="842" w:type="pct"/>
            <w:shd w:val="clear" w:color="auto" w:fill="DBE5F1" w:themeFill="accent1" w:themeFillTint="33"/>
            <w:vAlign w:val="center"/>
          </w:tcPr>
          <w:p w14:paraId="4047FABC"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NGO-90597</w:t>
            </w:r>
          </w:p>
        </w:tc>
      </w:tr>
      <w:tr w:rsidR="00FC161D" w:rsidRPr="000D358B" w14:paraId="2363E90C" w14:textId="77777777" w:rsidTr="0033776E">
        <w:trPr>
          <w:trHeight w:val="576"/>
        </w:trPr>
        <w:tc>
          <w:tcPr>
            <w:tcW w:w="3148" w:type="pct"/>
            <w:vAlign w:val="center"/>
          </w:tcPr>
          <w:p w14:paraId="333759C6" w14:textId="77777777" w:rsidR="00FC161D" w:rsidRPr="008319A4" w:rsidRDefault="00FC161D" w:rsidP="0033776E">
            <w:pPr>
              <w:contextualSpacing/>
              <w:rPr>
                <w:rFonts w:asciiTheme="minorBidi" w:hAnsiTheme="minorBidi" w:cstheme="minorBidi"/>
                <w:b/>
                <w:bCs/>
                <w:sz w:val="20"/>
                <w:szCs w:val="20"/>
                <w:lang w:val="it-IT"/>
              </w:rPr>
            </w:pPr>
            <w:r w:rsidRPr="008319A4">
              <w:rPr>
                <w:rFonts w:asciiTheme="minorBidi" w:hAnsiTheme="minorBidi" w:cstheme="minorBidi"/>
                <w:b/>
                <w:bCs/>
                <w:sz w:val="20"/>
                <w:szCs w:val="20"/>
                <w:lang w:val="it-IT"/>
              </w:rPr>
              <w:t>Bursa UNESCO Derenği</w:t>
            </w:r>
            <w:r w:rsidRPr="008319A4">
              <w:rPr>
                <w:rFonts w:asciiTheme="minorBidi" w:hAnsiTheme="minorBidi" w:cstheme="minorBidi"/>
                <w:sz w:val="20"/>
                <w:szCs w:val="20"/>
                <w:lang w:val="it-IT"/>
              </w:rPr>
              <w:br/>
              <w:t>Bursa UNESCO Association</w:t>
            </w:r>
          </w:p>
        </w:tc>
        <w:tc>
          <w:tcPr>
            <w:tcW w:w="1010" w:type="pct"/>
            <w:vAlign w:val="center"/>
          </w:tcPr>
          <w:p w14:paraId="6D7BD4FF" w14:textId="77777777" w:rsidR="00FC161D" w:rsidRPr="000D2922" w:rsidRDefault="00FC161D" w:rsidP="0033776E">
            <w:pPr>
              <w:contextualSpacing/>
              <w:jc w:val="center"/>
              <w:rPr>
                <w:rFonts w:asciiTheme="minorBidi" w:hAnsiTheme="minorBidi" w:cstheme="minorBidi"/>
                <w:sz w:val="20"/>
                <w:szCs w:val="20"/>
              </w:rPr>
            </w:pPr>
            <w:r w:rsidRPr="00EE342E">
              <w:rPr>
                <w:rFonts w:asciiTheme="minorBidi" w:hAnsiTheme="minorBidi"/>
                <w:sz w:val="20"/>
              </w:rPr>
              <w:t>Türkiye</w:t>
            </w:r>
          </w:p>
        </w:tc>
        <w:tc>
          <w:tcPr>
            <w:tcW w:w="842" w:type="pct"/>
            <w:vAlign w:val="center"/>
          </w:tcPr>
          <w:p w14:paraId="42A73332"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NGO-90545</w:t>
            </w:r>
          </w:p>
        </w:tc>
      </w:tr>
      <w:tr w:rsidR="00FC161D" w:rsidRPr="000D358B" w14:paraId="2467811D" w14:textId="77777777" w:rsidTr="0033776E">
        <w:trPr>
          <w:trHeight w:val="576"/>
        </w:trPr>
        <w:tc>
          <w:tcPr>
            <w:tcW w:w="3148" w:type="pct"/>
            <w:shd w:val="clear" w:color="auto" w:fill="DBE5F1" w:themeFill="accent1" w:themeFillTint="33"/>
            <w:vAlign w:val="center"/>
          </w:tcPr>
          <w:p w14:paraId="4AF029B5" w14:textId="77777777" w:rsidR="00FC161D" w:rsidRPr="008319A4" w:rsidRDefault="00FC161D" w:rsidP="0033776E">
            <w:pPr>
              <w:contextualSpacing/>
              <w:rPr>
                <w:rFonts w:asciiTheme="minorBidi" w:hAnsiTheme="minorBidi" w:cstheme="minorBidi"/>
                <w:sz w:val="20"/>
                <w:szCs w:val="20"/>
                <w:lang w:val="pt-PT"/>
              </w:rPr>
            </w:pPr>
            <w:r w:rsidRPr="000D2922">
              <w:rPr>
                <w:rFonts w:asciiTheme="minorBidi" w:hAnsiTheme="minorBidi" w:cstheme="minorBidi"/>
                <w:b/>
                <w:bCs/>
                <w:sz w:val="20"/>
                <w:szCs w:val="20"/>
                <w:lang w:val="pt-BR"/>
              </w:rPr>
              <w:t>Clube Carbavalesco Mixto Seu Malaquias</w:t>
            </w:r>
            <w:r w:rsidRPr="000D2922">
              <w:rPr>
                <w:rFonts w:asciiTheme="minorBidi" w:hAnsiTheme="minorBidi" w:cstheme="minorBidi"/>
                <w:sz w:val="20"/>
                <w:szCs w:val="20"/>
                <w:lang w:val="pt-BR"/>
              </w:rPr>
              <w:br/>
              <w:t>Carnival Club Mixto Seu Malaquias</w:t>
            </w:r>
          </w:p>
        </w:tc>
        <w:tc>
          <w:tcPr>
            <w:tcW w:w="1010" w:type="pct"/>
            <w:shd w:val="clear" w:color="auto" w:fill="DBE5F1" w:themeFill="accent1" w:themeFillTint="33"/>
            <w:vAlign w:val="center"/>
          </w:tcPr>
          <w:p w14:paraId="7A7CCF01"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Brésil</w:t>
            </w:r>
          </w:p>
        </w:tc>
        <w:tc>
          <w:tcPr>
            <w:tcW w:w="842" w:type="pct"/>
            <w:shd w:val="clear" w:color="auto" w:fill="DBE5F1" w:themeFill="accent1" w:themeFillTint="33"/>
            <w:vAlign w:val="center"/>
          </w:tcPr>
          <w:p w14:paraId="211E59CB"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NGO-90540</w:t>
            </w:r>
          </w:p>
        </w:tc>
      </w:tr>
      <w:tr w:rsidR="00FC161D" w:rsidRPr="000D358B" w14:paraId="683DD3B3" w14:textId="77777777" w:rsidTr="0033776E">
        <w:trPr>
          <w:trHeight w:val="576"/>
        </w:trPr>
        <w:tc>
          <w:tcPr>
            <w:tcW w:w="3148" w:type="pct"/>
            <w:vAlign w:val="center"/>
          </w:tcPr>
          <w:p w14:paraId="31D0EA23"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rPr>
              <w:t>Conseil International de la Danse - CID</w:t>
            </w:r>
          </w:p>
        </w:tc>
        <w:tc>
          <w:tcPr>
            <w:tcW w:w="1010" w:type="pct"/>
            <w:vAlign w:val="center"/>
          </w:tcPr>
          <w:p w14:paraId="36B307D3"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France</w:t>
            </w:r>
          </w:p>
        </w:tc>
        <w:tc>
          <w:tcPr>
            <w:tcW w:w="842" w:type="pct"/>
            <w:vAlign w:val="center"/>
          </w:tcPr>
          <w:p w14:paraId="0D3FEB98"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NGO-90538</w:t>
            </w:r>
          </w:p>
        </w:tc>
      </w:tr>
      <w:tr w:rsidR="00FC161D" w:rsidRPr="000D358B" w14:paraId="4A665980" w14:textId="77777777" w:rsidTr="0033776E">
        <w:trPr>
          <w:trHeight w:val="576"/>
        </w:trPr>
        <w:tc>
          <w:tcPr>
            <w:tcW w:w="3148" w:type="pct"/>
            <w:shd w:val="clear" w:color="auto" w:fill="DBE5F1" w:themeFill="accent1" w:themeFillTint="33"/>
            <w:vAlign w:val="center"/>
          </w:tcPr>
          <w:p w14:paraId="26EF5DAF" w14:textId="77777777" w:rsidR="00FC161D" w:rsidRPr="008319A4" w:rsidRDefault="00FC161D" w:rsidP="0033776E">
            <w:pPr>
              <w:contextualSpacing/>
              <w:rPr>
                <w:rFonts w:asciiTheme="minorBidi" w:hAnsiTheme="minorBidi" w:cstheme="minorBidi"/>
                <w:b/>
                <w:bCs/>
                <w:sz w:val="20"/>
                <w:szCs w:val="20"/>
                <w:lang w:val="es-ES"/>
              </w:rPr>
            </w:pPr>
            <w:r w:rsidRPr="003845D4">
              <w:rPr>
                <w:rFonts w:asciiTheme="minorBidi" w:hAnsiTheme="minorBidi" w:cstheme="minorBidi"/>
                <w:b/>
                <w:bCs/>
                <w:sz w:val="20"/>
                <w:szCs w:val="20"/>
                <w:lang w:val="es-ES"/>
              </w:rPr>
              <w:t>Corporacion Cinemateca Municipal de Valledupar Cinemateca Vallenata</w:t>
            </w:r>
            <w:r w:rsidRPr="003845D4">
              <w:rPr>
                <w:rFonts w:asciiTheme="minorBidi" w:hAnsiTheme="minorBidi" w:cstheme="minorBidi"/>
                <w:sz w:val="20"/>
                <w:szCs w:val="20"/>
                <w:lang w:val="es-ES"/>
              </w:rPr>
              <w:br/>
              <w:t>Valledupar Municipal Cinematheque Corporation Cinemateca Vallenata</w:t>
            </w:r>
          </w:p>
        </w:tc>
        <w:tc>
          <w:tcPr>
            <w:tcW w:w="1010" w:type="pct"/>
            <w:shd w:val="clear" w:color="auto" w:fill="DBE5F1" w:themeFill="accent1" w:themeFillTint="33"/>
            <w:vAlign w:val="center"/>
          </w:tcPr>
          <w:p w14:paraId="47E9CC61"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Colombie</w:t>
            </w:r>
          </w:p>
        </w:tc>
        <w:tc>
          <w:tcPr>
            <w:tcW w:w="842" w:type="pct"/>
            <w:shd w:val="clear" w:color="auto" w:fill="DBE5F1" w:themeFill="accent1" w:themeFillTint="33"/>
            <w:vAlign w:val="center"/>
          </w:tcPr>
          <w:p w14:paraId="6F527BDA"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NGO-90592</w:t>
            </w:r>
          </w:p>
        </w:tc>
      </w:tr>
      <w:tr w:rsidR="00FC161D" w:rsidRPr="000D358B" w14:paraId="4FC55DBF" w14:textId="77777777" w:rsidTr="0033776E">
        <w:trPr>
          <w:trHeight w:val="576"/>
        </w:trPr>
        <w:tc>
          <w:tcPr>
            <w:tcW w:w="3148" w:type="pct"/>
            <w:vAlign w:val="center"/>
          </w:tcPr>
          <w:p w14:paraId="53844E5A" w14:textId="77777777" w:rsidR="00FC161D" w:rsidRPr="00A95CE2" w:rsidRDefault="00FC161D" w:rsidP="0033776E">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t>Corporación Huiltur - CorpoHuiltur</w:t>
            </w:r>
            <w:r w:rsidRPr="000D2922">
              <w:rPr>
                <w:rFonts w:asciiTheme="minorBidi" w:hAnsiTheme="minorBidi" w:cstheme="minorBidi"/>
                <w:sz w:val="20"/>
                <w:szCs w:val="20"/>
                <w:lang w:val="en-GB"/>
              </w:rPr>
              <w:br/>
              <w:t>Huiltur Corporation</w:t>
            </w:r>
          </w:p>
        </w:tc>
        <w:tc>
          <w:tcPr>
            <w:tcW w:w="1010" w:type="pct"/>
            <w:vAlign w:val="center"/>
          </w:tcPr>
          <w:p w14:paraId="15BEBE25"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Colombie</w:t>
            </w:r>
          </w:p>
        </w:tc>
        <w:tc>
          <w:tcPr>
            <w:tcW w:w="842" w:type="pct"/>
            <w:vAlign w:val="center"/>
          </w:tcPr>
          <w:p w14:paraId="5191570D"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NGO-90576</w:t>
            </w:r>
          </w:p>
        </w:tc>
      </w:tr>
      <w:tr w:rsidR="00FC161D" w:rsidRPr="000D358B" w14:paraId="02DA95ED" w14:textId="77777777" w:rsidTr="0033776E">
        <w:trPr>
          <w:trHeight w:val="576"/>
        </w:trPr>
        <w:tc>
          <w:tcPr>
            <w:tcW w:w="3148" w:type="pct"/>
            <w:shd w:val="clear" w:color="auto" w:fill="DBE5F1" w:themeFill="accent1" w:themeFillTint="33"/>
            <w:vAlign w:val="center"/>
          </w:tcPr>
          <w:p w14:paraId="61AA41ED" w14:textId="77777777" w:rsidR="00FC161D" w:rsidRPr="00A95CE2" w:rsidRDefault="00FC161D" w:rsidP="0033776E">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t>Corporacion Memoria Austral</w:t>
            </w:r>
            <w:r w:rsidRPr="000D2922">
              <w:rPr>
                <w:rFonts w:asciiTheme="minorBidi" w:hAnsiTheme="minorBidi" w:cstheme="minorBidi"/>
                <w:sz w:val="20"/>
                <w:szCs w:val="20"/>
                <w:lang w:val="en-GB"/>
              </w:rPr>
              <w:br/>
              <w:t>Memoria Austral Association</w:t>
            </w:r>
          </w:p>
        </w:tc>
        <w:tc>
          <w:tcPr>
            <w:tcW w:w="1010" w:type="pct"/>
            <w:shd w:val="clear" w:color="auto" w:fill="DBE5F1" w:themeFill="accent1" w:themeFillTint="33"/>
            <w:vAlign w:val="center"/>
          </w:tcPr>
          <w:p w14:paraId="5BAFFD42"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Chili</w:t>
            </w:r>
          </w:p>
        </w:tc>
        <w:tc>
          <w:tcPr>
            <w:tcW w:w="842" w:type="pct"/>
            <w:shd w:val="clear" w:color="auto" w:fill="DBE5F1" w:themeFill="accent1" w:themeFillTint="33"/>
            <w:vAlign w:val="center"/>
          </w:tcPr>
          <w:p w14:paraId="0993B6DB"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NGO-90586</w:t>
            </w:r>
          </w:p>
        </w:tc>
      </w:tr>
      <w:tr w:rsidR="00FC161D" w:rsidRPr="000D358B" w14:paraId="258B46C5" w14:textId="77777777" w:rsidTr="0033776E">
        <w:trPr>
          <w:trHeight w:val="576"/>
        </w:trPr>
        <w:tc>
          <w:tcPr>
            <w:tcW w:w="3148" w:type="pct"/>
            <w:vAlign w:val="center"/>
          </w:tcPr>
          <w:p w14:paraId="16B65894" w14:textId="77777777" w:rsidR="00FC161D" w:rsidRPr="008319A4" w:rsidRDefault="00FC161D" w:rsidP="0033776E">
            <w:pPr>
              <w:contextualSpacing/>
              <w:rPr>
                <w:rFonts w:asciiTheme="minorBidi" w:hAnsiTheme="minorBidi" w:cstheme="minorBidi"/>
                <w:b/>
                <w:bCs/>
                <w:sz w:val="20"/>
                <w:szCs w:val="20"/>
                <w:lang w:val="it-IT"/>
              </w:rPr>
            </w:pPr>
            <w:r w:rsidRPr="008319A4">
              <w:rPr>
                <w:rFonts w:asciiTheme="minorBidi" w:hAnsiTheme="minorBidi" w:cstheme="minorBidi"/>
                <w:b/>
                <w:bCs/>
                <w:sz w:val="20"/>
                <w:szCs w:val="20"/>
                <w:lang w:val="it-IT"/>
              </w:rPr>
              <w:t>Fondazione Santagata per l’Economia della Cultura ETS (ente del terzo settore)</w:t>
            </w:r>
            <w:r w:rsidRPr="008319A4">
              <w:rPr>
                <w:rFonts w:asciiTheme="minorBidi" w:hAnsiTheme="minorBidi" w:cstheme="minorBidi"/>
                <w:sz w:val="20"/>
                <w:szCs w:val="20"/>
                <w:lang w:val="it-IT"/>
              </w:rPr>
              <w:br/>
            </w:r>
            <w:r w:rsidRPr="008319A4">
              <w:rPr>
                <w:rFonts w:asciiTheme="minorBidi" w:hAnsiTheme="minorBidi" w:cstheme="minorBidi"/>
                <w:sz w:val="20"/>
                <w:szCs w:val="20"/>
                <w:lang w:val="it-IT"/>
              </w:rPr>
              <w:lastRenderedPageBreak/>
              <w:t>Fondazione Santagata for the Economics of Culture ETS (third sector entity)</w:t>
            </w:r>
          </w:p>
        </w:tc>
        <w:tc>
          <w:tcPr>
            <w:tcW w:w="1010" w:type="pct"/>
            <w:vAlign w:val="center"/>
          </w:tcPr>
          <w:p w14:paraId="6C70D113"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lastRenderedPageBreak/>
              <w:t>Italie</w:t>
            </w:r>
          </w:p>
        </w:tc>
        <w:tc>
          <w:tcPr>
            <w:tcW w:w="842" w:type="pct"/>
            <w:vAlign w:val="center"/>
          </w:tcPr>
          <w:p w14:paraId="3F11B64C"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NGO-90552</w:t>
            </w:r>
          </w:p>
        </w:tc>
      </w:tr>
      <w:tr w:rsidR="00FC161D" w:rsidRPr="000D358B" w14:paraId="235FEA9D" w14:textId="77777777" w:rsidTr="0033776E">
        <w:trPr>
          <w:trHeight w:val="576"/>
        </w:trPr>
        <w:tc>
          <w:tcPr>
            <w:tcW w:w="3148" w:type="pct"/>
            <w:shd w:val="clear" w:color="auto" w:fill="DBE5F1" w:themeFill="accent1" w:themeFillTint="33"/>
            <w:vAlign w:val="center"/>
          </w:tcPr>
          <w:p w14:paraId="6B26C024" w14:textId="77777777" w:rsidR="00FC161D" w:rsidRPr="008319A4" w:rsidRDefault="00FC161D" w:rsidP="0033776E">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t>Fundación Casa Taller</w:t>
            </w:r>
            <w:r w:rsidRPr="000D2922">
              <w:rPr>
                <w:rFonts w:asciiTheme="minorBidi" w:hAnsiTheme="minorBidi" w:cstheme="minorBidi"/>
                <w:sz w:val="20"/>
                <w:szCs w:val="20"/>
                <w:lang w:val="en-GB"/>
              </w:rPr>
              <w:br/>
              <w:t>Workshop Home Foundation</w:t>
            </w:r>
          </w:p>
        </w:tc>
        <w:tc>
          <w:tcPr>
            <w:tcW w:w="1010" w:type="pct"/>
            <w:shd w:val="clear" w:color="auto" w:fill="DBE5F1" w:themeFill="accent1" w:themeFillTint="33"/>
            <w:vAlign w:val="center"/>
          </w:tcPr>
          <w:p w14:paraId="48A61758"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Panama</w:t>
            </w:r>
          </w:p>
        </w:tc>
        <w:tc>
          <w:tcPr>
            <w:tcW w:w="842" w:type="pct"/>
            <w:shd w:val="clear" w:color="auto" w:fill="DBE5F1" w:themeFill="accent1" w:themeFillTint="33"/>
            <w:vAlign w:val="center"/>
          </w:tcPr>
          <w:p w14:paraId="26DA64F6"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NGO-90579</w:t>
            </w:r>
          </w:p>
        </w:tc>
      </w:tr>
      <w:tr w:rsidR="00FC161D" w:rsidRPr="000D358B" w14:paraId="5C11D274" w14:textId="77777777" w:rsidTr="0033776E">
        <w:trPr>
          <w:trHeight w:val="576"/>
        </w:trPr>
        <w:tc>
          <w:tcPr>
            <w:tcW w:w="3148" w:type="pct"/>
            <w:vAlign w:val="center"/>
          </w:tcPr>
          <w:p w14:paraId="31B85A2F" w14:textId="77777777" w:rsidR="00FC161D" w:rsidRPr="008319A4" w:rsidRDefault="00FC161D" w:rsidP="0033776E">
            <w:pPr>
              <w:contextualSpacing/>
              <w:rPr>
                <w:rFonts w:asciiTheme="minorBidi" w:hAnsiTheme="minorBidi" w:cstheme="minorBidi"/>
                <w:b/>
                <w:bCs/>
                <w:sz w:val="20"/>
                <w:szCs w:val="20"/>
                <w:lang w:val="es-ES"/>
              </w:rPr>
            </w:pPr>
            <w:r w:rsidRPr="000D2922">
              <w:rPr>
                <w:rFonts w:asciiTheme="minorBidi" w:hAnsiTheme="minorBidi" w:cstheme="minorBidi"/>
                <w:b/>
                <w:bCs/>
                <w:sz w:val="20"/>
                <w:szCs w:val="20"/>
                <w:lang w:val="es-ES"/>
              </w:rPr>
              <w:t>Fundación La Sacha</w:t>
            </w:r>
            <w:r w:rsidRPr="000D2922">
              <w:rPr>
                <w:rFonts w:asciiTheme="minorBidi" w:hAnsiTheme="minorBidi" w:cstheme="minorBidi"/>
                <w:sz w:val="20"/>
                <w:szCs w:val="20"/>
                <w:lang w:val="es-ES"/>
              </w:rPr>
              <w:br/>
              <w:t>Sacha Foundation</w:t>
            </w:r>
          </w:p>
        </w:tc>
        <w:tc>
          <w:tcPr>
            <w:tcW w:w="1010" w:type="pct"/>
            <w:vAlign w:val="center"/>
          </w:tcPr>
          <w:p w14:paraId="08688C0D"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Argentine</w:t>
            </w:r>
          </w:p>
        </w:tc>
        <w:tc>
          <w:tcPr>
            <w:tcW w:w="842" w:type="pct"/>
            <w:vAlign w:val="center"/>
          </w:tcPr>
          <w:p w14:paraId="2DD1936F"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NGO-90546</w:t>
            </w:r>
          </w:p>
        </w:tc>
      </w:tr>
      <w:tr w:rsidR="00FC161D" w:rsidRPr="000D358B" w14:paraId="21790EB4" w14:textId="77777777" w:rsidTr="0033776E">
        <w:trPr>
          <w:trHeight w:val="576"/>
        </w:trPr>
        <w:tc>
          <w:tcPr>
            <w:tcW w:w="3148" w:type="pct"/>
            <w:shd w:val="clear" w:color="auto" w:fill="DBE5F1" w:themeFill="accent1" w:themeFillTint="33"/>
            <w:vAlign w:val="center"/>
          </w:tcPr>
          <w:p w14:paraId="32C390C5"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Grenada National Trust</w:t>
            </w:r>
          </w:p>
        </w:tc>
        <w:tc>
          <w:tcPr>
            <w:tcW w:w="1010" w:type="pct"/>
            <w:shd w:val="clear" w:color="auto" w:fill="DBE5F1" w:themeFill="accent1" w:themeFillTint="33"/>
            <w:vAlign w:val="center"/>
          </w:tcPr>
          <w:p w14:paraId="1395AD3C"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Grenade</w:t>
            </w:r>
          </w:p>
        </w:tc>
        <w:tc>
          <w:tcPr>
            <w:tcW w:w="842" w:type="pct"/>
            <w:shd w:val="clear" w:color="auto" w:fill="DBE5F1" w:themeFill="accent1" w:themeFillTint="33"/>
            <w:vAlign w:val="center"/>
          </w:tcPr>
          <w:p w14:paraId="70239E33"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NGO-90555</w:t>
            </w:r>
          </w:p>
        </w:tc>
      </w:tr>
      <w:tr w:rsidR="00FC161D" w:rsidRPr="000D358B" w14:paraId="43A3E4FF" w14:textId="77777777" w:rsidTr="0033776E">
        <w:trPr>
          <w:trHeight w:val="576"/>
        </w:trPr>
        <w:tc>
          <w:tcPr>
            <w:tcW w:w="3148" w:type="pct"/>
            <w:vAlign w:val="center"/>
          </w:tcPr>
          <w:p w14:paraId="3C35D2C0" w14:textId="77777777" w:rsidR="00FC161D" w:rsidRPr="000D2922" w:rsidRDefault="00FC161D" w:rsidP="0033776E">
            <w:pPr>
              <w:contextualSpacing/>
              <w:rPr>
                <w:rFonts w:asciiTheme="minorBidi" w:hAnsiTheme="minorBidi" w:cstheme="minorBidi"/>
                <w:b/>
                <w:bCs/>
                <w:sz w:val="20"/>
                <w:szCs w:val="20"/>
              </w:rPr>
            </w:pPr>
            <w:r w:rsidRPr="008319A4">
              <w:rPr>
                <w:rFonts w:asciiTheme="minorBidi" w:hAnsiTheme="minorBidi" w:cstheme="minorBidi"/>
                <w:b/>
                <w:bCs/>
                <w:sz w:val="20"/>
                <w:szCs w:val="20"/>
              </w:rPr>
              <w:t>Heimilisiðnaðarfélag Íslands</w:t>
            </w:r>
            <w:r w:rsidRPr="008319A4">
              <w:rPr>
                <w:rFonts w:asciiTheme="minorBidi" w:hAnsiTheme="minorBidi" w:cstheme="minorBidi"/>
                <w:sz w:val="20"/>
                <w:szCs w:val="20"/>
              </w:rPr>
              <w:br/>
              <w:t>Icelandic Handicraft Association</w:t>
            </w:r>
          </w:p>
        </w:tc>
        <w:tc>
          <w:tcPr>
            <w:tcW w:w="1010" w:type="pct"/>
            <w:vAlign w:val="center"/>
          </w:tcPr>
          <w:p w14:paraId="77E2F4E6"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Islande</w:t>
            </w:r>
          </w:p>
        </w:tc>
        <w:tc>
          <w:tcPr>
            <w:tcW w:w="842" w:type="pct"/>
            <w:vAlign w:val="center"/>
          </w:tcPr>
          <w:p w14:paraId="58DA23FF"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NGO-90533</w:t>
            </w:r>
          </w:p>
        </w:tc>
      </w:tr>
      <w:tr w:rsidR="00FC161D" w:rsidRPr="000D358B" w14:paraId="0E17C227" w14:textId="77777777" w:rsidTr="0033776E">
        <w:trPr>
          <w:trHeight w:val="576"/>
        </w:trPr>
        <w:tc>
          <w:tcPr>
            <w:tcW w:w="3148" w:type="pct"/>
            <w:shd w:val="clear" w:color="auto" w:fill="DBE5F1" w:themeFill="accent1" w:themeFillTint="33"/>
            <w:vAlign w:val="center"/>
          </w:tcPr>
          <w:p w14:paraId="0194F20B" w14:textId="77777777" w:rsidR="00FC161D" w:rsidRPr="008319A4" w:rsidRDefault="00FC161D" w:rsidP="0033776E">
            <w:pPr>
              <w:contextualSpacing/>
              <w:rPr>
                <w:rFonts w:asciiTheme="minorBidi" w:hAnsiTheme="minorBidi" w:cstheme="minorBidi"/>
                <w:b/>
                <w:bCs/>
                <w:sz w:val="20"/>
                <w:szCs w:val="20"/>
                <w:lang w:val="pt-PT"/>
              </w:rPr>
            </w:pPr>
            <w:r w:rsidRPr="000D2922">
              <w:rPr>
                <w:rFonts w:asciiTheme="minorBidi" w:hAnsiTheme="minorBidi" w:cstheme="minorBidi"/>
                <w:b/>
                <w:bCs/>
                <w:sz w:val="20"/>
                <w:szCs w:val="20"/>
                <w:lang w:val="pt-BR"/>
              </w:rPr>
              <w:t>Iepé - Instituto de Pesquisa e Formação Indígena</w:t>
            </w:r>
            <w:r w:rsidRPr="000D2922">
              <w:rPr>
                <w:rFonts w:asciiTheme="minorBidi" w:hAnsiTheme="minorBidi" w:cstheme="minorBidi"/>
                <w:sz w:val="20"/>
                <w:szCs w:val="20"/>
                <w:lang w:val="pt-BR"/>
              </w:rPr>
              <w:br/>
              <w:t>Iepé - Indigenous Research and Training Institute</w:t>
            </w:r>
          </w:p>
        </w:tc>
        <w:tc>
          <w:tcPr>
            <w:tcW w:w="1010" w:type="pct"/>
            <w:shd w:val="clear" w:color="auto" w:fill="DBE5F1" w:themeFill="accent1" w:themeFillTint="33"/>
            <w:vAlign w:val="center"/>
          </w:tcPr>
          <w:p w14:paraId="4A163695"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Brésil</w:t>
            </w:r>
          </w:p>
        </w:tc>
        <w:tc>
          <w:tcPr>
            <w:tcW w:w="842" w:type="pct"/>
            <w:shd w:val="clear" w:color="auto" w:fill="DBE5F1" w:themeFill="accent1" w:themeFillTint="33"/>
            <w:vAlign w:val="center"/>
          </w:tcPr>
          <w:p w14:paraId="5138E0E0"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NGO-90584</w:t>
            </w:r>
          </w:p>
        </w:tc>
      </w:tr>
      <w:tr w:rsidR="00FC161D" w:rsidRPr="000D358B" w14:paraId="3CDE8BF4" w14:textId="77777777" w:rsidTr="0033776E">
        <w:trPr>
          <w:trHeight w:val="576"/>
        </w:trPr>
        <w:tc>
          <w:tcPr>
            <w:tcW w:w="3148" w:type="pct"/>
            <w:vAlign w:val="center"/>
          </w:tcPr>
          <w:p w14:paraId="407FFE4D" w14:textId="77777777" w:rsidR="00FC161D" w:rsidRPr="008319A4" w:rsidRDefault="00FC161D" w:rsidP="0033776E">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t>Kadın ve Demokrasi Vakfı (KADEM)</w:t>
            </w:r>
            <w:r w:rsidRPr="000D2922">
              <w:rPr>
                <w:rFonts w:asciiTheme="minorBidi" w:hAnsiTheme="minorBidi" w:cstheme="minorBidi"/>
                <w:sz w:val="20"/>
                <w:szCs w:val="20"/>
                <w:lang w:val="en-GB"/>
              </w:rPr>
              <w:br/>
              <w:t>Women and Democracy Foundation (KADEM)</w:t>
            </w:r>
          </w:p>
        </w:tc>
        <w:tc>
          <w:tcPr>
            <w:tcW w:w="1010" w:type="pct"/>
            <w:vAlign w:val="center"/>
          </w:tcPr>
          <w:p w14:paraId="094BA94A" w14:textId="77777777" w:rsidR="00FC161D" w:rsidRPr="000D2922" w:rsidRDefault="00FC161D" w:rsidP="0033776E">
            <w:pPr>
              <w:contextualSpacing/>
              <w:jc w:val="center"/>
              <w:rPr>
                <w:rFonts w:asciiTheme="minorBidi" w:hAnsiTheme="minorBidi" w:cstheme="minorBidi"/>
                <w:sz w:val="20"/>
                <w:szCs w:val="20"/>
              </w:rPr>
            </w:pPr>
            <w:r w:rsidRPr="00EE342E">
              <w:rPr>
                <w:rFonts w:asciiTheme="minorBidi" w:hAnsiTheme="minorBidi"/>
                <w:sz w:val="20"/>
              </w:rPr>
              <w:t>Türkiye</w:t>
            </w:r>
          </w:p>
        </w:tc>
        <w:tc>
          <w:tcPr>
            <w:tcW w:w="842" w:type="pct"/>
            <w:vAlign w:val="center"/>
          </w:tcPr>
          <w:p w14:paraId="36AA4324"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NGO-90557</w:t>
            </w:r>
          </w:p>
        </w:tc>
      </w:tr>
      <w:tr w:rsidR="00FC161D" w:rsidRPr="000D358B" w14:paraId="29AE5C7B" w14:textId="77777777" w:rsidTr="0033776E">
        <w:trPr>
          <w:trHeight w:val="576"/>
        </w:trPr>
        <w:tc>
          <w:tcPr>
            <w:tcW w:w="3148" w:type="pct"/>
            <w:shd w:val="clear" w:color="auto" w:fill="DBE5F1" w:themeFill="accent1" w:themeFillTint="33"/>
            <w:vAlign w:val="center"/>
          </w:tcPr>
          <w:p w14:paraId="40ABDB3E"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Kulturno Umjetničko Društvo ‘Puračić’</w:t>
            </w:r>
            <w:r w:rsidRPr="000D2922">
              <w:rPr>
                <w:rFonts w:asciiTheme="minorBidi" w:hAnsiTheme="minorBidi" w:cstheme="minorBidi"/>
                <w:sz w:val="20"/>
                <w:szCs w:val="20"/>
                <w:lang w:val="en-GB"/>
              </w:rPr>
              <w:br/>
              <w:t>Cultural Artistic Association ‘Puračić </w:t>
            </w:r>
          </w:p>
        </w:tc>
        <w:tc>
          <w:tcPr>
            <w:tcW w:w="1010" w:type="pct"/>
            <w:shd w:val="clear" w:color="auto" w:fill="DBE5F1" w:themeFill="accent1" w:themeFillTint="33"/>
            <w:vAlign w:val="center"/>
          </w:tcPr>
          <w:p w14:paraId="1C06BDEE"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Bosnie et Herzégovine</w:t>
            </w:r>
          </w:p>
        </w:tc>
        <w:tc>
          <w:tcPr>
            <w:tcW w:w="842" w:type="pct"/>
            <w:shd w:val="clear" w:color="auto" w:fill="DBE5F1" w:themeFill="accent1" w:themeFillTint="33"/>
            <w:vAlign w:val="center"/>
          </w:tcPr>
          <w:p w14:paraId="49B11639"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NGO-90541</w:t>
            </w:r>
          </w:p>
        </w:tc>
      </w:tr>
      <w:tr w:rsidR="00FC161D" w:rsidRPr="000D358B" w14:paraId="6FF4F21A" w14:textId="77777777" w:rsidTr="0033776E">
        <w:trPr>
          <w:trHeight w:val="576"/>
        </w:trPr>
        <w:tc>
          <w:tcPr>
            <w:tcW w:w="3148" w:type="pct"/>
            <w:vAlign w:val="center"/>
          </w:tcPr>
          <w:p w14:paraId="211E9102"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L’Œuvre d’Orient</w:t>
            </w:r>
          </w:p>
        </w:tc>
        <w:tc>
          <w:tcPr>
            <w:tcW w:w="1010" w:type="pct"/>
            <w:vAlign w:val="center"/>
          </w:tcPr>
          <w:p w14:paraId="2CADC7A7"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France</w:t>
            </w:r>
          </w:p>
        </w:tc>
        <w:tc>
          <w:tcPr>
            <w:tcW w:w="842" w:type="pct"/>
            <w:vAlign w:val="center"/>
          </w:tcPr>
          <w:p w14:paraId="21D127EA"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NGO-90548</w:t>
            </w:r>
          </w:p>
        </w:tc>
      </w:tr>
      <w:tr w:rsidR="00FC161D" w:rsidRPr="000D358B" w14:paraId="376A92BD" w14:textId="77777777" w:rsidTr="0033776E">
        <w:trPr>
          <w:trHeight w:val="576"/>
        </w:trPr>
        <w:tc>
          <w:tcPr>
            <w:tcW w:w="3148" w:type="pct"/>
            <w:shd w:val="clear" w:color="auto" w:fill="DBE5F1" w:themeFill="accent1" w:themeFillTint="33"/>
            <w:vAlign w:val="center"/>
          </w:tcPr>
          <w:p w14:paraId="22F8D532"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rPr>
              <w:t>Office pour le Patrimoine Immatériel - OPCI-Ethnodoc</w:t>
            </w:r>
          </w:p>
        </w:tc>
        <w:tc>
          <w:tcPr>
            <w:tcW w:w="1010" w:type="pct"/>
            <w:shd w:val="clear" w:color="auto" w:fill="DBE5F1" w:themeFill="accent1" w:themeFillTint="33"/>
            <w:vAlign w:val="center"/>
          </w:tcPr>
          <w:p w14:paraId="3F179B7B"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France</w:t>
            </w:r>
          </w:p>
        </w:tc>
        <w:tc>
          <w:tcPr>
            <w:tcW w:w="842" w:type="pct"/>
            <w:shd w:val="clear" w:color="auto" w:fill="DBE5F1" w:themeFill="accent1" w:themeFillTint="33"/>
            <w:vAlign w:val="center"/>
          </w:tcPr>
          <w:p w14:paraId="07B49FFE"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NGO-90536</w:t>
            </w:r>
          </w:p>
        </w:tc>
      </w:tr>
      <w:tr w:rsidR="00FC161D" w:rsidRPr="000D358B" w14:paraId="170A2C7D" w14:textId="77777777" w:rsidTr="0033776E">
        <w:trPr>
          <w:trHeight w:val="576"/>
        </w:trPr>
        <w:tc>
          <w:tcPr>
            <w:tcW w:w="3148" w:type="pct"/>
            <w:vAlign w:val="center"/>
          </w:tcPr>
          <w:p w14:paraId="0E8C30BC" w14:textId="77777777" w:rsidR="00FC161D" w:rsidRPr="008319A4" w:rsidRDefault="00FC161D" w:rsidP="0033776E">
            <w:pPr>
              <w:contextualSpacing/>
              <w:rPr>
                <w:rFonts w:asciiTheme="minorBidi" w:hAnsiTheme="minorBidi" w:cstheme="minorBidi"/>
                <w:b/>
                <w:bCs/>
                <w:sz w:val="20"/>
                <w:szCs w:val="20"/>
                <w:lang w:val="pt-PT"/>
              </w:rPr>
            </w:pPr>
            <w:r w:rsidRPr="000D2922">
              <w:rPr>
                <w:rFonts w:asciiTheme="minorBidi" w:hAnsiTheme="minorBidi" w:cstheme="minorBidi"/>
                <w:b/>
                <w:bCs/>
                <w:sz w:val="20"/>
                <w:szCs w:val="20"/>
                <w:lang w:val="pt-BR"/>
              </w:rPr>
              <w:t>Operação Amazônia Nativa (OPAN)</w:t>
            </w:r>
            <w:r w:rsidRPr="000D2922">
              <w:rPr>
                <w:rFonts w:asciiTheme="minorBidi" w:hAnsiTheme="minorBidi" w:cstheme="minorBidi"/>
                <w:sz w:val="20"/>
                <w:szCs w:val="20"/>
                <w:lang w:val="pt-BR"/>
              </w:rPr>
              <w:br/>
              <w:t>Operation Amazon Native (OPAN)</w:t>
            </w:r>
          </w:p>
        </w:tc>
        <w:tc>
          <w:tcPr>
            <w:tcW w:w="1010" w:type="pct"/>
            <w:vAlign w:val="center"/>
          </w:tcPr>
          <w:p w14:paraId="33364822"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Brésil</w:t>
            </w:r>
          </w:p>
        </w:tc>
        <w:tc>
          <w:tcPr>
            <w:tcW w:w="842" w:type="pct"/>
            <w:vAlign w:val="center"/>
          </w:tcPr>
          <w:p w14:paraId="4479FDCB"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NGO-90559</w:t>
            </w:r>
          </w:p>
        </w:tc>
      </w:tr>
      <w:tr w:rsidR="00FC161D" w:rsidRPr="000D358B" w14:paraId="7C8E02B2" w14:textId="77777777" w:rsidTr="0033776E">
        <w:trPr>
          <w:trHeight w:val="1144"/>
        </w:trPr>
        <w:tc>
          <w:tcPr>
            <w:tcW w:w="3148" w:type="pct"/>
            <w:shd w:val="clear" w:color="auto" w:fill="DBE5F1" w:themeFill="accent1" w:themeFillTint="33"/>
            <w:vAlign w:val="center"/>
          </w:tcPr>
          <w:p w14:paraId="7C5985C8" w14:textId="77777777" w:rsidR="00FC161D" w:rsidRPr="00E5423E" w:rsidRDefault="00FC161D" w:rsidP="0033776E">
            <w:pPr>
              <w:contextualSpacing/>
              <w:rPr>
                <w:rFonts w:asciiTheme="minorBidi" w:hAnsiTheme="minorBidi" w:cstheme="minorBidi"/>
                <w:b/>
                <w:bCs/>
                <w:sz w:val="20"/>
                <w:szCs w:val="20"/>
              </w:rPr>
            </w:pPr>
            <w:r w:rsidRPr="008319A4">
              <w:rPr>
                <w:rFonts w:asciiTheme="minorBidi" w:hAnsiTheme="minorBidi" w:cstheme="minorBidi"/>
                <w:b/>
                <w:bCs/>
                <w:sz w:val="20"/>
                <w:szCs w:val="20"/>
                <w:lang w:val="it-IT"/>
              </w:rPr>
              <w:t>O.R.S. Osservatorio Ricerca Sociale. Centro studi, politiche e ricerche sociali - APS</w:t>
            </w:r>
            <w:r w:rsidRPr="008319A4">
              <w:rPr>
                <w:rFonts w:asciiTheme="minorBidi" w:hAnsiTheme="minorBidi" w:cstheme="minorBidi"/>
                <w:b/>
                <w:bCs/>
                <w:sz w:val="20"/>
                <w:szCs w:val="20"/>
                <w:lang w:val="it-IT"/>
              </w:rPr>
              <w:br/>
            </w:r>
            <w:r w:rsidRPr="008319A4">
              <w:rPr>
                <w:rFonts w:asciiTheme="minorBidi" w:hAnsiTheme="minorBidi" w:cstheme="minorBidi"/>
                <w:sz w:val="20"/>
                <w:szCs w:val="20"/>
                <w:lang w:val="it-IT"/>
              </w:rPr>
              <w:t xml:space="preserve">O.R.S. Social Research Observatory. </w:t>
            </w:r>
            <w:r w:rsidRPr="00E5423E">
              <w:rPr>
                <w:rFonts w:asciiTheme="minorBidi" w:hAnsiTheme="minorBidi" w:cstheme="minorBidi"/>
                <w:sz w:val="20"/>
                <w:szCs w:val="20"/>
              </w:rPr>
              <w:t>Centre studies, policies and social researches - APS</w:t>
            </w:r>
          </w:p>
        </w:tc>
        <w:tc>
          <w:tcPr>
            <w:tcW w:w="1010" w:type="pct"/>
            <w:shd w:val="clear" w:color="auto" w:fill="DBE5F1" w:themeFill="accent1" w:themeFillTint="33"/>
            <w:vAlign w:val="center"/>
          </w:tcPr>
          <w:p w14:paraId="116E49B6"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Italie</w:t>
            </w:r>
          </w:p>
        </w:tc>
        <w:tc>
          <w:tcPr>
            <w:tcW w:w="842" w:type="pct"/>
            <w:shd w:val="clear" w:color="auto" w:fill="DBE5F1" w:themeFill="accent1" w:themeFillTint="33"/>
            <w:vAlign w:val="center"/>
          </w:tcPr>
          <w:p w14:paraId="4F0E8EED"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NGO-90539</w:t>
            </w:r>
          </w:p>
        </w:tc>
      </w:tr>
      <w:tr w:rsidR="00FC161D" w:rsidRPr="000D358B" w14:paraId="6B6D0B29" w14:textId="77777777" w:rsidTr="0033776E">
        <w:trPr>
          <w:trHeight w:val="615"/>
        </w:trPr>
        <w:tc>
          <w:tcPr>
            <w:tcW w:w="3148" w:type="pct"/>
            <w:shd w:val="clear" w:color="auto" w:fill="auto"/>
            <w:vAlign w:val="center"/>
          </w:tcPr>
          <w:p w14:paraId="6F0A5661" w14:textId="77777777" w:rsidR="00FC161D" w:rsidRPr="008319A4" w:rsidRDefault="00FC161D" w:rsidP="0033776E">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t>International Bobbin and Needle Lace Organisation</w:t>
            </w:r>
          </w:p>
        </w:tc>
        <w:tc>
          <w:tcPr>
            <w:tcW w:w="1010" w:type="pct"/>
            <w:shd w:val="clear" w:color="auto" w:fill="auto"/>
            <w:vAlign w:val="center"/>
          </w:tcPr>
          <w:p w14:paraId="7AA0C0D8"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France</w:t>
            </w:r>
          </w:p>
        </w:tc>
        <w:tc>
          <w:tcPr>
            <w:tcW w:w="842" w:type="pct"/>
            <w:shd w:val="clear" w:color="auto" w:fill="auto"/>
            <w:vAlign w:val="center"/>
          </w:tcPr>
          <w:p w14:paraId="0413172F"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NGO-90585</w:t>
            </w:r>
          </w:p>
        </w:tc>
      </w:tr>
      <w:tr w:rsidR="00FC161D" w:rsidRPr="000D358B" w14:paraId="4DB932BF" w14:textId="77777777" w:rsidTr="0033776E">
        <w:trPr>
          <w:trHeight w:val="576"/>
        </w:trPr>
        <w:tc>
          <w:tcPr>
            <w:tcW w:w="3148" w:type="pct"/>
            <w:shd w:val="clear" w:color="auto" w:fill="DBE5F1" w:themeFill="accent1" w:themeFillTint="33"/>
            <w:vAlign w:val="center"/>
          </w:tcPr>
          <w:p w14:paraId="515220B9"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Pearl Rhythm Foundation</w:t>
            </w:r>
          </w:p>
        </w:tc>
        <w:tc>
          <w:tcPr>
            <w:tcW w:w="1010" w:type="pct"/>
            <w:shd w:val="clear" w:color="auto" w:fill="DBE5F1" w:themeFill="accent1" w:themeFillTint="33"/>
            <w:vAlign w:val="center"/>
          </w:tcPr>
          <w:p w14:paraId="56BE4AB9"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Ouganda</w:t>
            </w:r>
          </w:p>
        </w:tc>
        <w:tc>
          <w:tcPr>
            <w:tcW w:w="842" w:type="pct"/>
            <w:shd w:val="clear" w:color="auto" w:fill="DBE5F1" w:themeFill="accent1" w:themeFillTint="33"/>
            <w:vAlign w:val="center"/>
          </w:tcPr>
          <w:p w14:paraId="5D457C2A"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NGO-90578</w:t>
            </w:r>
          </w:p>
        </w:tc>
      </w:tr>
      <w:tr w:rsidR="00FC161D" w:rsidRPr="000D358B" w14:paraId="42A4852A" w14:textId="77777777" w:rsidTr="0033776E">
        <w:trPr>
          <w:trHeight w:val="576"/>
        </w:trPr>
        <w:tc>
          <w:tcPr>
            <w:tcW w:w="3148" w:type="pct"/>
            <w:shd w:val="clear" w:color="auto" w:fill="auto"/>
            <w:vAlign w:val="center"/>
          </w:tcPr>
          <w:p w14:paraId="54DC9AE8" w14:textId="77777777" w:rsidR="00FC161D" w:rsidRPr="003845D4" w:rsidRDefault="00FC161D" w:rsidP="0033776E">
            <w:pPr>
              <w:contextualSpacing/>
              <w:rPr>
                <w:rFonts w:asciiTheme="minorBidi" w:hAnsiTheme="minorBidi" w:cstheme="minorBidi"/>
                <w:b/>
                <w:bCs/>
                <w:sz w:val="20"/>
                <w:szCs w:val="20"/>
                <w:lang w:val="es-ES"/>
              </w:rPr>
            </w:pPr>
            <w:r w:rsidRPr="003845D4">
              <w:rPr>
                <w:rFonts w:asciiTheme="minorBidi" w:hAnsiTheme="minorBidi" w:cstheme="minorBidi"/>
                <w:b/>
                <w:bCs/>
                <w:sz w:val="20"/>
                <w:szCs w:val="20"/>
                <w:lang w:val="es-ES"/>
              </w:rPr>
              <w:t xml:space="preserve">Persatuan Penulis Nasional Malaysia (PENA) </w:t>
            </w:r>
          </w:p>
          <w:p w14:paraId="2E2FA819" w14:textId="77777777" w:rsidR="00FC161D" w:rsidRPr="000D2922" w:rsidRDefault="00FC161D" w:rsidP="0033776E">
            <w:pPr>
              <w:contextualSpacing/>
              <w:rPr>
                <w:rFonts w:asciiTheme="minorBidi" w:hAnsiTheme="minorBidi" w:cstheme="minorBidi"/>
                <w:sz w:val="20"/>
                <w:szCs w:val="20"/>
              </w:rPr>
            </w:pPr>
            <w:r w:rsidRPr="000D2922">
              <w:rPr>
                <w:rFonts w:asciiTheme="minorBidi" w:hAnsiTheme="minorBidi" w:cstheme="minorBidi"/>
                <w:sz w:val="20"/>
                <w:szCs w:val="20"/>
                <w:lang w:val="en-GB"/>
              </w:rPr>
              <w:t>Malaysian National Writers Association (PENA)</w:t>
            </w:r>
          </w:p>
        </w:tc>
        <w:tc>
          <w:tcPr>
            <w:tcW w:w="1010" w:type="pct"/>
            <w:shd w:val="clear" w:color="auto" w:fill="auto"/>
            <w:vAlign w:val="center"/>
          </w:tcPr>
          <w:p w14:paraId="75509D8C"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Malaisie</w:t>
            </w:r>
          </w:p>
        </w:tc>
        <w:tc>
          <w:tcPr>
            <w:tcW w:w="842" w:type="pct"/>
            <w:shd w:val="clear" w:color="auto" w:fill="auto"/>
            <w:vAlign w:val="center"/>
          </w:tcPr>
          <w:p w14:paraId="30B8F53A" w14:textId="77777777" w:rsidR="00FC161D" w:rsidRPr="000D2922" w:rsidRDefault="00FC161D" w:rsidP="0033776E">
            <w:pPr>
              <w:pStyle w:val="Titre9"/>
              <w:jc w:val="center"/>
              <w:rPr>
                <w:rFonts w:asciiTheme="minorBidi" w:hAnsiTheme="minorBidi" w:cstheme="minorBidi"/>
                <w:i w:val="0"/>
                <w:iCs w:val="0"/>
                <w:sz w:val="20"/>
                <w:szCs w:val="20"/>
              </w:rPr>
            </w:pPr>
            <w:r>
              <w:rPr>
                <w:rFonts w:asciiTheme="minorBidi" w:hAnsiTheme="minorBidi"/>
                <w:i w:val="0"/>
                <w:sz w:val="20"/>
              </w:rPr>
              <w:t>NGO-90587</w:t>
            </w:r>
          </w:p>
        </w:tc>
      </w:tr>
      <w:tr w:rsidR="00FC161D" w:rsidRPr="000D358B" w14:paraId="32098FB6" w14:textId="77777777" w:rsidTr="0033776E">
        <w:trPr>
          <w:trHeight w:val="888"/>
        </w:trPr>
        <w:tc>
          <w:tcPr>
            <w:tcW w:w="3148" w:type="pct"/>
            <w:shd w:val="clear" w:color="auto" w:fill="DBE5F1" w:themeFill="accent1" w:themeFillTint="33"/>
            <w:vAlign w:val="center"/>
          </w:tcPr>
          <w:p w14:paraId="3C9586F5" w14:textId="77777777" w:rsidR="00FC161D" w:rsidRPr="00CC1A46" w:rsidRDefault="00FC161D" w:rsidP="0033776E">
            <w:pPr>
              <w:contextualSpacing/>
              <w:rPr>
                <w:rFonts w:asciiTheme="minorBidi" w:hAnsiTheme="minorBidi" w:cstheme="minorBidi"/>
                <w:sz w:val="20"/>
                <w:szCs w:val="20"/>
                <w:lang w:val="en-GB"/>
              </w:rPr>
            </w:pPr>
            <w:r w:rsidRPr="00CC1A46">
              <w:rPr>
                <w:rFonts w:asciiTheme="minorBidi" w:hAnsiTheme="minorBidi" w:cstheme="minorBidi"/>
                <w:b/>
                <w:bCs/>
                <w:sz w:val="20"/>
                <w:szCs w:val="20"/>
                <w:lang w:val="en-GB"/>
              </w:rPr>
              <w:t>Pertubuhan Kraft Malaysia (Dikenali Sebagai Malaysian Craft Council)</w:t>
            </w:r>
            <w:r w:rsidRPr="00CC1A46">
              <w:rPr>
                <w:rFonts w:asciiTheme="minorBidi" w:hAnsiTheme="minorBidi" w:cstheme="minorBidi"/>
                <w:sz w:val="20"/>
                <w:szCs w:val="20"/>
                <w:lang w:val="en-GB"/>
              </w:rPr>
              <w:br/>
              <w:t>Malaysian Craft Council</w:t>
            </w:r>
          </w:p>
        </w:tc>
        <w:tc>
          <w:tcPr>
            <w:tcW w:w="1010" w:type="pct"/>
            <w:shd w:val="clear" w:color="auto" w:fill="DBE5F1" w:themeFill="accent1" w:themeFillTint="33"/>
            <w:vAlign w:val="center"/>
          </w:tcPr>
          <w:p w14:paraId="4F6731A8"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Malaisie</w:t>
            </w:r>
          </w:p>
        </w:tc>
        <w:tc>
          <w:tcPr>
            <w:tcW w:w="842" w:type="pct"/>
            <w:shd w:val="clear" w:color="auto" w:fill="DBE5F1" w:themeFill="accent1" w:themeFillTint="33"/>
            <w:vAlign w:val="center"/>
          </w:tcPr>
          <w:p w14:paraId="44E8CCE7"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NGO-90531</w:t>
            </w:r>
          </w:p>
        </w:tc>
      </w:tr>
      <w:tr w:rsidR="00FC161D" w:rsidRPr="000D358B" w14:paraId="77EB904D" w14:textId="77777777" w:rsidTr="0033776E">
        <w:trPr>
          <w:trHeight w:val="576"/>
        </w:trPr>
        <w:tc>
          <w:tcPr>
            <w:tcW w:w="3148" w:type="pct"/>
            <w:shd w:val="clear" w:color="auto" w:fill="auto"/>
            <w:vAlign w:val="center"/>
          </w:tcPr>
          <w:p w14:paraId="33DB1222" w14:textId="77777777" w:rsidR="00FC161D" w:rsidRPr="00CC1A46" w:rsidRDefault="00FC161D" w:rsidP="0033776E">
            <w:pPr>
              <w:contextualSpacing/>
              <w:rPr>
                <w:rFonts w:asciiTheme="minorBidi" w:hAnsiTheme="minorBidi" w:cstheme="minorBidi"/>
                <w:sz w:val="20"/>
                <w:szCs w:val="20"/>
                <w:lang w:val="en-GB"/>
              </w:rPr>
            </w:pPr>
            <w:r w:rsidRPr="00CC1A46">
              <w:rPr>
                <w:rFonts w:asciiTheme="minorBidi" w:hAnsiTheme="minorBidi" w:cstheme="minorBidi"/>
                <w:b/>
                <w:bCs/>
                <w:sz w:val="20"/>
                <w:szCs w:val="20"/>
                <w:lang w:val="en-GB"/>
              </w:rPr>
              <w:t>Pusat Budaya Pusaka SDN. BHD</w:t>
            </w:r>
            <w:r w:rsidRPr="00CC1A46">
              <w:rPr>
                <w:rFonts w:asciiTheme="minorBidi" w:hAnsiTheme="minorBidi" w:cstheme="minorBidi"/>
                <w:sz w:val="20"/>
                <w:szCs w:val="20"/>
                <w:lang w:val="en-GB"/>
              </w:rPr>
              <w:br/>
              <w:t>PUSAKA</w:t>
            </w:r>
          </w:p>
        </w:tc>
        <w:tc>
          <w:tcPr>
            <w:tcW w:w="1010" w:type="pct"/>
            <w:shd w:val="clear" w:color="auto" w:fill="auto"/>
            <w:vAlign w:val="center"/>
          </w:tcPr>
          <w:p w14:paraId="76537418"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Malaisie</w:t>
            </w:r>
          </w:p>
        </w:tc>
        <w:tc>
          <w:tcPr>
            <w:tcW w:w="842" w:type="pct"/>
            <w:shd w:val="clear" w:color="auto" w:fill="auto"/>
            <w:vAlign w:val="center"/>
          </w:tcPr>
          <w:p w14:paraId="7A99C370" w14:textId="77777777" w:rsidR="00FC161D" w:rsidRPr="000D2922" w:rsidRDefault="00FC161D" w:rsidP="0033776E">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NGO-90532</w:t>
            </w:r>
          </w:p>
        </w:tc>
      </w:tr>
      <w:tr w:rsidR="00FC161D" w:rsidRPr="000D358B" w14:paraId="326A512F" w14:textId="77777777" w:rsidTr="0033776E">
        <w:trPr>
          <w:trHeight w:val="576"/>
        </w:trPr>
        <w:tc>
          <w:tcPr>
            <w:tcW w:w="3148" w:type="pct"/>
            <w:shd w:val="clear" w:color="auto" w:fill="DBE5F1" w:themeFill="accent1" w:themeFillTint="33"/>
            <w:vAlign w:val="center"/>
          </w:tcPr>
          <w:p w14:paraId="230BDA7A" w14:textId="77777777" w:rsidR="00FC161D" w:rsidRPr="008319A4" w:rsidRDefault="00FC161D" w:rsidP="0033776E">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t>International Repertory of Music Literature</w:t>
            </w:r>
          </w:p>
        </w:tc>
        <w:tc>
          <w:tcPr>
            <w:tcW w:w="1010" w:type="pct"/>
            <w:shd w:val="clear" w:color="auto" w:fill="DBE5F1" w:themeFill="accent1" w:themeFillTint="33"/>
            <w:vAlign w:val="center"/>
          </w:tcPr>
          <w:p w14:paraId="18C94194"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États-Unis d’Amérique</w:t>
            </w:r>
          </w:p>
        </w:tc>
        <w:tc>
          <w:tcPr>
            <w:tcW w:w="842" w:type="pct"/>
            <w:shd w:val="clear" w:color="auto" w:fill="DBE5F1" w:themeFill="accent1" w:themeFillTint="33"/>
            <w:vAlign w:val="center"/>
          </w:tcPr>
          <w:p w14:paraId="7BE59AA3"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NGO-90527</w:t>
            </w:r>
          </w:p>
        </w:tc>
      </w:tr>
      <w:tr w:rsidR="00FC161D" w:rsidRPr="000D358B" w14:paraId="585CBA25" w14:textId="77777777" w:rsidTr="0033776E">
        <w:trPr>
          <w:trHeight w:val="649"/>
        </w:trPr>
        <w:tc>
          <w:tcPr>
            <w:tcW w:w="3148" w:type="pct"/>
            <w:shd w:val="clear" w:color="auto" w:fill="auto"/>
            <w:vAlign w:val="center"/>
          </w:tcPr>
          <w:p w14:paraId="33B93631"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Society of Native Nations</w:t>
            </w:r>
          </w:p>
        </w:tc>
        <w:tc>
          <w:tcPr>
            <w:tcW w:w="1010" w:type="pct"/>
            <w:shd w:val="clear" w:color="auto" w:fill="auto"/>
            <w:vAlign w:val="center"/>
          </w:tcPr>
          <w:p w14:paraId="6360BF87"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États-Unis d’Amérique</w:t>
            </w:r>
          </w:p>
        </w:tc>
        <w:tc>
          <w:tcPr>
            <w:tcW w:w="842" w:type="pct"/>
            <w:shd w:val="clear" w:color="auto" w:fill="auto"/>
            <w:vAlign w:val="center"/>
          </w:tcPr>
          <w:p w14:paraId="11A0940F"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NGO-90596</w:t>
            </w:r>
          </w:p>
        </w:tc>
      </w:tr>
      <w:tr w:rsidR="00FC161D" w:rsidRPr="000D358B" w14:paraId="3AC32E0E" w14:textId="77777777" w:rsidTr="0033776E">
        <w:trPr>
          <w:trHeight w:val="576"/>
        </w:trPr>
        <w:tc>
          <w:tcPr>
            <w:tcW w:w="3148" w:type="pct"/>
            <w:shd w:val="clear" w:color="auto" w:fill="DBE5F1" w:themeFill="accent1" w:themeFillTint="33"/>
            <w:vAlign w:val="center"/>
          </w:tcPr>
          <w:p w14:paraId="785E0E35" w14:textId="77777777" w:rsidR="00FC161D" w:rsidRPr="00CC1A46" w:rsidRDefault="00FC161D" w:rsidP="0033776E">
            <w:pPr>
              <w:contextualSpacing/>
              <w:rPr>
                <w:rFonts w:asciiTheme="minorBidi" w:hAnsiTheme="minorBidi" w:cstheme="minorBidi"/>
                <w:b/>
                <w:bCs/>
                <w:sz w:val="20"/>
                <w:szCs w:val="20"/>
                <w:lang w:val="es-ES"/>
              </w:rPr>
            </w:pPr>
            <w:r w:rsidRPr="00CC1A46">
              <w:rPr>
                <w:rFonts w:asciiTheme="minorBidi" w:hAnsiTheme="minorBidi" w:cstheme="minorBidi"/>
                <w:b/>
                <w:bCs/>
                <w:sz w:val="20"/>
                <w:szCs w:val="20"/>
                <w:lang w:val="es-ES"/>
              </w:rPr>
              <w:t>Sri Idagunji Mahaganapati Yakshagana Mandali, Keremane ®</w:t>
            </w:r>
          </w:p>
        </w:tc>
        <w:tc>
          <w:tcPr>
            <w:tcW w:w="1010" w:type="pct"/>
            <w:shd w:val="clear" w:color="auto" w:fill="DBE5F1" w:themeFill="accent1" w:themeFillTint="33"/>
            <w:vAlign w:val="center"/>
          </w:tcPr>
          <w:p w14:paraId="4B53EF41"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Inde</w:t>
            </w:r>
          </w:p>
        </w:tc>
        <w:tc>
          <w:tcPr>
            <w:tcW w:w="842" w:type="pct"/>
            <w:shd w:val="clear" w:color="auto" w:fill="DBE5F1" w:themeFill="accent1" w:themeFillTint="33"/>
            <w:vAlign w:val="center"/>
          </w:tcPr>
          <w:p w14:paraId="6E0E6EF2"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NGO-90568</w:t>
            </w:r>
          </w:p>
        </w:tc>
      </w:tr>
      <w:tr w:rsidR="00FC161D" w:rsidRPr="000D358B" w14:paraId="244FC0EE" w14:textId="77777777" w:rsidTr="0033776E">
        <w:trPr>
          <w:trHeight w:val="576"/>
        </w:trPr>
        <w:tc>
          <w:tcPr>
            <w:tcW w:w="3148" w:type="pct"/>
            <w:shd w:val="clear" w:color="auto" w:fill="auto"/>
            <w:vAlign w:val="center"/>
          </w:tcPr>
          <w:p w14:paraId="6CCA978A" w14:textId="77777777" w:rsidR="00FC161D" w:rsidRPr="00CC1A46" w:rsidRDefault="00FC161D" w:rsidP="0033776E">
            <w:pPr>
              <w:contextualSpacing/>
              <w:rPr>
                <w:rFonts w:asciiTheme="minorBidi" w:hAnsiTheme="minorBidi" w:cstheme="minorBidi"/>
                <w:b/>
                <w:bCs/>
                <w:sz w:val="20"/>
                <w:szCs w:val="20"/>
                <w:lang w:val="en-GB"/>
              </w:rPr>
            </w:pPr>
            <w:r w:rsidRPr="00CC1A46">
              <w:rPr>
                <w:rFonts w:asciiTheme="minorBidi" w:hAnsiTheme="minorBidi" w:cstheme="minorBidi"/>
                <w:b/>
                <w:bCs/>
                <w:sz w:val="20"/>
                <w:szCs w:val="20"/>
                <w:lang w:val="en-GB"/>
              </w:rPr>
              <w:t>Svenska Hemslöjdsöreningarnas Riksförbund</w:t>
            </w:r>
            <w:r w:rsidRPr="00CC1A46">
              <w:rPr>
                <w:rFonts w:asciiTheme="minorBidi" w:hAnsiTheme="minorBidi" w:cstheme="minorBidi"/>
                <w:sz w:val="20"/>
                <w:szCs w:val="20"/>
                <w:lang w:val="en-GB"/>
              </w:rPr>
              <w:br/>
              <w:t>National Association of Swedish Handicraft Societies</w:t>
            </w:r>
          </w:p>
        </w:tc>
        <w:tc>
          <w:tcPr>
            <w:tcW w:w="1010" w:type="pct"/>
            <w:shd w:val="clear" w:color="auto" w:fill="auto"/>
            <w:vAlign w:val="center"/>
          </w:tcPr>
          <w:p w14:paraId="33247BC6"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Suède</w:t>
            </w:r>
          </w:p>
        </w:tc>
        <w:tc>
          <w:tcPr>
            <w:tcW w:w="842" w:type="pct"/>
            <w:shd w:val="clear" w:color="auto" w:fill="auto"/>
            <w:vAlign w:val="center"/>
          </w:tcPr>
          <w:p w14:paraId="19AD3179"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NGO-90544</w:t>
            </w:r>
          </w:p>
        </w:tc>
      </w:tr>
      <w:tr w:rsidR="00FC161D" w:rsidRPr="000D358B" w14:paraId="46C8FB80" w14:textId="77777777" w:rsidTr="0033776E">
        <w:trPr>
          <w:trHeight w:val="576"/>
        </w:trPr>
        <w:tc>
          <w:tcPr>
            <w:tcW w:w="3148" w:type="pct"/>
            <w:shd w:val="clear" w:color="auto" w:fill="DBE5F1" w:themeFill="accent1" w:themeFillTint="33"/>
            <w:vAlign w:val="center"/>
          </w:tcPr>
          <w:p w14:paraId="22A9395D"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Dragon Dance</w:t>
            </w:r>
          </w:p>
        </w:tc>
        <w:tc>
          <w:tcPr>
            <w:tcW w:w="1010" w:type="pct"/>
            <w:shd w:val="clear" w:color="auto" w:fill="DBE5F1" w:themeFill="accent1" w:themeFillTint="33"/>
            <w:vAlign w:val="center"/>
          </w:tcPr>
          <w:p w14:paraId="510A6286"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Canada</w:t>
            </w:r>
          </w:p>
        </w:tc>
        <w:tc>
          <w:tcPr>
            <w:tcW w:w="842" w:type="pct"/>
            <w:shd w:val="clear" w:color="auto" w:fill="DBE5F1" w:themeFill="accent1" w:themeFillTint="33"/>
            <w:vAlign w:val="center"/>
          </w:tcPr>
          <w:p w14:paraId="1672A24C"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NGO-90549</w:t>
            </w:r>
          </w:p>
        </w:tc>
      </w:tr>
      <w:tr w:rsidR="00FC161D" w:rsidRPr="000D358B" w14:paraId="1A75EC07" w14:textId="77777777" w:rsidTr="0033776E">
        <w:trPr>
          <w:trHeight w:val="576"/>
        </w:trPr>
        <w:tc>
          <w:tcPr>
            <w:tcW w:w="3148" w:type="pct"/>
            <w:shd w:val="clear" w:color="auto" w:fill="auto"/>
            <w:vAlign w:val="center"/>
          </w:tcPr>
          <w:p w14:paraId="276538B1" w14:textId="77777777" w:rsidR="00FC161D" w:rsidRPr="008319A4" w:rsidRDefault="00FC161D" w:rsidP="0033776E">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lastRenderedPageBreak/>
              <w:t>Traditional Arts and Culture Scotland (TRACS)</w:t>
            </w:r>
          </w:p>
        </w:tc>
        <w:tc>
          <w:tcPr>
            <w:tcW w:w="1010" w:type="pct"/>
            <w:shd w:val="clear" w:color="auto" w:fill="auto"/>
            <w:vAlign w:val="center"/>
          </w:tcPr>
          <w:p w14:paraId="713C93F2"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Royaume-Uni de Grande-Bretagne et d’Irlande du Nord</w:t>
            </w:r>
          </w:p>
        </w:tc>
        <w:tc>
          <w:tcPr>
            <w:tcW w:w="842" w:type="pct"/>
            <w:shd w:val="clear" w:color="auto" w:fill="auto"/>
            <w:vAlign w:val="center"/>
          </w:tcPr>
          <w:p w14:paraId="3C04AD37"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NGO-90561</w:t>
            </w:r>
          </w:p>
        </w:tc>
      </w:tr>
      <w:tr w:rsidR="00FC161D" w:rsidRPr="000D358B" w14:paraId="398C9087" w14:textId="77777777" w:rsidTr="0033776E">
        <w:trPr>
          <w:trHeight w:val="576"/>
        </w:trPr>
        <w:tc>
          <w:tcPr>
            <w:tcW w:w="3148" w:type="pct"/>
            <w:shd w:val="clear" w:color="auto" w:fill="DBE5F1" w:themeFill="accent1" w:themeFillTint="33"/>
            <w:vAlign w:val="center"/>
          </w:tcPr>
          <w:p w14:paraId="38EC823D"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Türkischer Klassischer Choir Association</w:t>
            </w:r>
            <w:r w:rsidRPr="000D2922">
              <w:rPr>
                <w:rFonts w:asciiTheme="minorBidi" w:hAnsiTheme="minorBidi" w:cstheme="minorBidi"/>
                <w:b/>
                <w:bCs/>
                <w:sz w:val="20"/>
                <w:szCs w:val="20"/>
                <w:lang w:val="en-GB"/>
              </w:rPr>
              <w:br/>
            </w:r>
            <w:r w:rsidRPr="000D2922">
              <w:rPr>
                <w:rFonts w:asciiTheme="minorBidi" w:hAnsiTheme="minorBidi" w:cstheme="minorBidi"/>
                <w:sz w:val="20"/>
                <w:szCs w:val="20"/>
                <w:lang w:val="en-GB"/>
              </w:rPr>
              <w:t>Zurich Turkish Classical Choir Association</w:t>
            </w:r>
          </w:p>
        </w:tc>
        <w:tc>
          <w:tcPr>
            <w:tcW w:w="1010" w:type="pct"/>
            <w:shd w:val="clear" w:color="auto" w:fill="DBE5F1" w:themeFill="accent1" w:themeFillTint="33"/>
            <w:vAlign w:val="center"/>
          </w:tcPr>
          <w:p w14:paraId="644D32C1"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Suisse</w:t>
            </w:r>
          </w:p>
        </w:tc>
        <w:tc>
          <w:tcPr>
            <w:tcW w:w="842" w:type="pct"/>
            <w:shd w:val="clear" w:color="auto" w:fill="DBE5F1" w:themeFill="accent1" w:themeFillTint="33"/>
            <w:vAlign w:val="center"/>
          </w:tcPr>
          <w:p w14:paraId="00A0F2BB"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NGO-90560</w:t>
            </w:r>
          </w:p>
        </w:tc>
      </w:tr>
      <w:tr w:rsidR="00FC161D" w:rsidRPr="000D358B" w14:paraId="0D463EB5" w14:textId="77777777" w:rsidTr="0033776E">
        <w:trPr>
          <w:trHeight w:val="576"/>
        </w:trPr>
        <w:tc>
          <w:tcPr>
            <w:tcW w:w="3148" w:type="pct"/>
            <w:shd w:val="clear" w:color="auto" w:fill="auto"/>
            <w:vAlign w:val="center"/>
          </w:tcPr>
          <w:p w14:paraId="60916568" w14:textId="77777777" w:rsidR="00FC161D" w:rsidRPr="008319A4" w:rsidRDefault="00FC161D" w:rsidP="0033776E">
            <w:pPr>
              <w:contextualSpacing/>
              <w:rPr>
                <w:rFonts w:asciiTheme="minorBidi" w:hAnsiTheme="minorBidi" w:cstheme="minorBidi"/>
                <w:b/>
                <w:bCs/>
                <w:sz w:val="20"/>
                <w:szCs w:val="20"/>
              </w:rPr>
            </w:pPr>
            <w:r w:rsidRPr="008319A4">
              <w:rPr>
                <w:rFonts w:asciiTheme="minorBidi" w:hAnsiTheme="minorBidi" w:cstheme="minorBidi"/>
                <w:b/>
                <w:bCs/>
                <w:sz w:val="20"/>
                <w:szCs w:val="20"/>
              </w:rPr>
              <w:t>Uluslararasi Mevlana Vakfi</w:t>
            </w:r>
            <w:r w:rsidRPr="008319A4">
              <w:rPr>
                <w:rFonts w:asciiTheme="minorBidi" w:hAnsiTheme="minorBidi" w:cstheme="minorBidi"/>
                <w:b/>
                <w:bCs/>
                <w:sz w:val="20"/>
                <w:szCs w:val="20"/>
              </w:rPr>
              <w:br/>
            </w:r>
            <w:r w:rsidRPr="008319A4">
              <w:rPr>
                <w:rFonts w:asciiTheme="minorBidi" w:hAnsiTheme="minorBidi" w:cstheme="minorBidi"/>
                <w:sz w:val="20"/>
                <w:szCs w:val="20"/>
              </w:rPr>
              <w:t>International Mevlana Foundation</w:t>
            </w:r>
          </w:p>
        </w:tc>
        <w:tc>
          <w:tcPr>
            <w:tcW w:w="1010" w:type="pct"/>
            <w:shd w:val="clear" w:color="auto" w:fill="auto"/>
            <w:vAlign w:val="center"/>
          </w:tcPr>
          <w:p w14:paraId="44EC2E55" w14:textId="77777777" w:rsidR="00FC161D" w:rsidRPr="000D2922" w:rsidRDefault="00FC161D" w:rsidP="0033776E">
            <w:pPr>
              <w:contextualSpacing/>
              <w:jc w:val="center"/>
              <w:rPr>
                <w:rFonts w:asciiTheme="minorBidi" w:hAnsiTheme="minorBidi" w:cstheme="minorBidi"/>
                <w:sz w:val="20"/>
                <w:szCs w:val="20"/>
              </w:rPr>
            </w:pPr>
            <w:r w:rsidRPr="00EE342E">
              <w:rPr>
                <w:rFonts w:asciiTheme="minorBidi" w:hAnsiTheme="minorBidi"/>
                <w:sz w:val="20"/>
              </w:rPr>
              <w:t>Türkiye</w:t>
            </w:r>
          </w:p>
        </w:tc>
        <w:tc>
          <w:tcPr>
            <w:tcW w:w="842" w:type="pct"/>
            <w:shd w:val="clear" w:color="auto" w:fill="auto"/>
            <w:vAlign w:val="center"/>
          </w:tcPr>
          <w:p w14:paraId="33BA4DC5"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NGO-90547</w:t>
            </w:r>
          </w:p>
        </w:tc>
      </w:tr>
      <w:tr w:rsidR="00FC161D" w:rsidRPr="000D358B" w14:paraId="63D3C41D" w14:textId="77777777" w:rsidTr="0033776E">
        <w:trPr>
          <w:trHeight w:val="576"/>
        </w:trPr>
        <w:tc>
          <w:tcPr>
            <w:tcW w:w="3148" w:type="pct"/>
            <w:shd w:val="clear" w:color="auto" w:fill="DBE5F1" w:themeFill="accent1" w:themeFillTint="33"/>
            <w:vAlign w:val="center"/>
          </w:tcPr>
          <w:p w14:paraId="5AE06BCF" w14:textId="77777777" w:rsidR="00FC161D" w:rsidRPr="008319A4" w:rsidRDefault="00FC161D" w:rsidP="0033776E">
            <w:pPr>
              <w:contextualSpacing/>
              <w:rPr>
                <w:rFonts w:asciiTheme="minorBidi" w:hAnsiTheme="minorBidi" w:cstheme="minorBidi"/>
                <w:b/>
                <w:bCs/>
                <w:sz w:val="20"/>
                <w:szCs w:val="20"/>
                <w:lang w:val="es-ES"/>
              </w:rPr>
            </w:pPr>
            <w:r w:rsidRPr="000D2922">
              <w:rPr>
                <w:rFonts w:asciiTheme="minorBidi" w:hAnsiTheme="minorBidi" w:cstheme="minorBidi"/>
                <w:b/>
                <w:bCs/>
                <w:sz w:val="20"/>
                <w:szCs w:val="20"/>
                <w:lang w:val="es-ES"/>
              </w:rPr>
              <w:t>UN ETXEA- Asociación del País Vasco para la UNESCO</w:t>
            </w:r>
            <w:r w:rsidRPr="000D2922">
              <w:rPr>
                <w:rFonts w:asciiTheme="minorBidi" w:hAnsiTheme="minorBidi" w:cstheme="minorBidi"/>
                <w:b/>
                <w:bCs/>
                <w:sz w:val="20"/>
                <w:szCs w:val="20"/>
                <w:lang w:val="es-ES"/>
              </w:rPr>
              <w:br/>
            </w:r>
            <w:r w:rsidRPr="000D2922">
              <w:rPr>
                <w:rFonts w:asciiTheme="minorBidi" w:hAnsiTheme="minorBidi" w:cstheme="minorBidi"/>
                <w:sz w:val="20"/>
                <w:szCs w:val="20"/>
                <w:lang w:val="es-ES"/>
              </w:rPr>
              <w:t>UN ETXEA- Basque Country Association for UNESCO</w:t>
            </w:r>
          </w:p>
        </w:tc>
        <w:tc>
          <w:tcPr>
            <w:tcW w:w="1010" w:type="pct"/>
            <w:shd w:val="clear" w:color="auto" w:fill="DBE5F1" w:themeFill="accent1" w:themeFillTint="33"/>
            <w:vAlign w:val="center"/>
          </w:tcPr>
          <w:p w14:paraId="6E94DE08"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Espagne</w:t>
            </w:r>
          </w:p>
        </w:tc>
        <w:tc>
          <w:tcPr>
            <w:tcW w:w="842" w:type="pct"/>
            <w:shd w:val="clear" w:color="auto" w:fill="DBE5F1" w:themeFill="accent1" w:themeFillTint="33"/>
            <w:vAlign w:val="center"/>
          </w:tcPr>
          <w:p w14:paraId="6016C015"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NGO-90590</w:t>
            </w:r>
          </w:p>
        </w:tc>
      </w:tr>
      <w:tr w:rsidR="00FC161D" w:rsidRPr="000D358B" w14:paraId="583110B1" w14:textId="77777777" w:rsidTr="0033776E">
        <w:trPr>
          <w:trHeight w:val="576"/>
        </w:trPr>
        <w:tc>
          <w:tcPr>
            <w:tcW w:w="3148" w:type="pct"/>
            <w:shd w:val="clear" w:color="auto" w:fill="auto"/>
            <w:vAlign w:val="center"/>
          </w:tcPr>
          <w:p w14:paraId="4E17683F"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Vabnagar Foundation</w:t>
            </w:r>
          </w:p>
        </w:tc>
        <w:tc>
          <w:tcPr>
            <w:tcW w:w="1010" w:type="pct"/>
            <w:shd w:val="clear" w:color="auto" w:fill="auto"/>
            <w:vAlign w:val="center"/>
          </w:tcPr>
          <w:p w14:paraId="73071F50"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Bangladesh</w:t>
            </w:r>
          </w:p>
        </w:tc>
        <w:tc>
          <w:tcPr>
            <w:tcW w:w="842" w:type="pct"/>
            <w:shd w:val="clear" w:color="auto" w:fill="auto"/>
            <w:vAlign w:val="center"/>
          </w:tcPr>
          <w:p w14:paraId="73492583"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NGO-90526</w:t>
            </w:r>
          </w:p>
        </w:tc>
      </w:tr>
      <w:tr w:rsidR="00FC161D" w:rsidRPr="000D358B" w14:paraId="6F8ED50A" w14:textId="77777777" w:rsidTr="0033776E">
        <w:trPr>
          <w:trHeight w:val="576"/>
        </w:trPr>
        <w:tc>
          <w:tcPr>
            <w:tcW w:w="3148" w:type="pct"/>
            <w:shd w:val="clear" w:color="auto" w:fill="DBE5F1" w:themeFill="accent1" w:themeFillTint="33"/>
            <w:vAlign w:val="center"/>
          </w:tcPr>
          <w:p w14:paraId="6D5A4B1D" w14:textId="77777777" w:rsidR="00FC161D" w:rsidRPr="008319A4" w:rsidRDefault="00FC161D" w:rsidP="0033776E">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t>World Music асоцијација Србије</w:t>
            </w:r>
            <w:r w:rsidRPr="000D2922">
              <w:rPr>
                <w:rFonts w:asciiTheme="minorBidi" w:hAnsiTheme="minorBidi" w:cstheme="minorBidi"/>
                <w:b/>
                <w:bCs/>
                <w:sz w:val="20"/>
                <w:szCs w:val="20"/>
                <w:lang w:val="en-GB"/>
              </w:rPr>
              <w:br/>
            </w:r>
            <w:r w:rsidRPr="000D2922">
              <w:rPr>
                <w:rFonts w:asciiTheme="minorBidi" w:hAnsiTheme="minorBidi" w:cstheme="minorBidi"/>
                <w:sz w:val="20"/>
                <w:szCs w:val="20"/>
                <w:lang w:val="en-GB"/>
              </w:rPr>
              <w:t>World Music Association of Serbia</w:t>
            </w:r>
          </w:p>
        </w:tc>
        <w:tc>
          <w:tcPr>
            <w:tcW w:w="1010" w:type="pct"/>
            <w:shd w:val="clear" w:color="auto" w:fill="DBE5F1" w:themeFill="accent1" w:themeFillTint="33"/>
            <w:vAlign w:val="center"/>
          </w:tcPr>
          <w:p w14:paraId="3C007831"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Serbie</w:t>
            </w:r>
          </w:p>
        </w:tc>
        <w:tc>
          <w:tcPr>
            <w:tcW w:w="842" w:type="pct"/>
            <w:shd w:val="clear" w:color="auto" w:fill="DBE5F1" w:themeFill="accent1" w:themeFillTint="33"/>
            <w:vAlign w:val="center"/>
          </w:tcPr>
          <w:p w14:paraId="790FD5ED"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NGO-90530</w:t>
            </w:r>
          </w:p>
        </w:tc>
      </w:tr>
      <w:tr w:rsidR="00FC161D" w:rsidRPr="000D358B" w14:paraId="10E7F8CA" w14:textId="77777777" w:rsidTr="0033776E">
        <w:trPr>
          <w:trHeight w:val="576"/>
        </w:trPr>
        <w:tc>
          <w:tcPr>
            <w:tcW w:w="3148" w:type="pct"/>
            <w:shd w:val="clear" w:color="auto" w:fill="auto"/>
            <w:vAlign w:val="center"/>
          </w:tcPr>
          <w:p w14:paraId="558FC8DB" w14:textId="77777777" w:rsidR="00FC161D" w:rsidRPr="008319A4" w:rsidRDefault="00FC161D" w:rsidP="0033776E">
            <w:pPr>
              <w:contextualSpacing/>
              <w:rPr>
                <w:rFonts w:asciiTheme="minorBidi" w:hAnsiTheme="minorBidi" w:cstheme="minorBidi"/>
                <w:b/>
                <w:bCs/>
                <w:sz w:val="20"/>
                <w:szCs w:val="20"/>
                <w:lang w:val="es-ES"/>
              </w:rPr>
            </w:pPr>
            <w:r w:rsidRPr="000D2922">
              <w:rPr>
                <w:rFonts w:asciiTheme="minorBidi" w:hAnsiTheme="minorBidi" w:cstheme="minorBidi"/>
                <w:b/>
                <w:bCs/>
                <w:sz w:val="20"/>
                <w:szCs w:val="20"/>
                <w:lang w:val="es-ES"/>
              </w:rPr>
              <w:t>Yayasan Toraja Melo</w:t>
            </w:r>
            <w:r w:rsidRPr="000D2922">
              <w:rPr>
                <w:rFonts w:asciiTheme="minorBidi" w:hAnsiTheme="minorBidi" w:cstheme="minorBidi"/>
                <w:b/>
                <w:bCs/>
                <w:sz w:val="20"/>
                <w:szCs w:val="20"/>
                <w:lang w:val="es-ES"/>
              </w:rPr>
              <w:br/>
            </w:r>
            <w:r w:rsidRPr="000D2922">
              <w:rPr>
                <w:rFonts w:asciiTheme="minorBidi" w:hAnsiTheme="minorBidi" w:cstheme="minorBidi"/>
                <w:sz w:val="20"/>
                <w:szCs w:val="20"/>
                <w:lang w:val="es-ES"/>
              </w:rPr>
              <w:t>Toraja Melo Foundation</w:t>
            </w:r>
          </w:p>
        </w:tc>
        <w:tc>
          <w:tcPr>
            <w:tcW w:w="1010" w:type="pct"/>
            <w:shd w:val="clear" w:color="auto" w:fill="auto"/>
            <w:vAlign w:val="center"/>
          </w:tcPr>
          <w:p w14:paraId="08196CE1"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Indonésie</w:t>
            </w:r>
          </w:p>
        </w:tc>
        <w:tc>
          <w:tcPr>
            <w:tcW w:w="842" w:type="pct"/>
            <w:shd w:val="clear" w:color="auto" w:fill="auto"/>
            <w:vAlign w:val="center"/>
          </w:tcPr>
          <w:p w14:paraId="527295C1"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NGO-90575</w:t>
            </w:r>
          </w:p>
        </w:tc>
      </w:tr>
      <w:tr w:rsidR="00FC161D" w:rsidRPr="000D358B" w14:paraId="1D9C41E0" w14:textId="77777777" w:rsidTr="0033776E">
        <w:trPr>
          <w:trHeight w:val="576"/>
        </w:trPr>
        <w:tc>
          <w:tcPr>
            <w:tcW w:w="3148" w:type="pct"/>
            <w:shd w:val="clear" w:color="auto" w:fill="DBE5F1" w:themeFill="accent1" w:themeFillTint="33"/>
            <w:vAlign w:val="center"/>
          </w:tcPr>
          <w:p w14:paraId="2E401189"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Μεσογειακό</w:t>
            </w:r>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Ινστιτούτο</w:t>
            </w:r>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για</w:t>
            </w:r>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τη</w:t>
            </w:r>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Φύση</w:t>
            </w:r>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και</w:t>
            </w:r>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τον</w:t>
            </w:r>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Άνθρωπο</w:t>
            </w:r>
            <w:r w:rsidRPr="000D2922">
              <w:rPr>
                <w:rFonts w:asciiTheme="minorBidi" w:hAnsiTheme="minorBidi" w:cstheme="minorBidi"/>
                <w:b/>
                <w:bCs/>
                <w:sz w:val="20"/>
                <w:szCs w:val="20"/>
              </w:rPr>
              <w:br/>
            </w:r>
            <w:r w:rsidRPr="000D2922">
              <w:rPr>
                <w:rFonts w:asciiTheme="minorBidi" w:hAnsiTheme="minorBidi" w:cstheme="minorBidi"/>
                <w:sz w:val="20"/>
                <w:szCs w:val="20"/>
              </w:rPr>
              <w:t>Mediterranean Institute for Nature and Anthropos</w:t>
            </w:r>
          </w:p>
        </w:tc>
        <w:tc>
          <w:tcPr>
            <w:tcW w:w="1010" w:type="pct"/>
            <w:shd w:val="clear" w:color="auto" w:fill="DBE5F1" w:themeFill="accent1" w:themeFillTint="33"/>
            <w:vAlign w:val="center"/>
          </w:tcPr>
          <w:p w14:paraId="6AED786D"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Grèce</w:t>
            </w:r>
          </w:p>
        </w:tc>
        <w:tc>
          <w:tcPr>
            <w:tcW w:w="842" w:type="pct"/>
            <w:shd w:val="clear" w:color="auto" w:fill="DBE5F1" w:themeFill="accent1" w:themeFillTint="33"/>
            <w:vAlign w:val="center"/>
          </w:tcPr>
          <w:p w14:paraId="3331EEA0"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NGO-90556</w:t>
            </w:r>
          </w:p>
        </w:tc>
      </w:tr>
      <w:tr w:rsidR="00FC161D" w:rsidRPr="000D358B" w14:paraId="45343680" w14:textId="77777777" w:rsidTr="0033776E">
        <w:trPr>
          <w:trHeight w:val="576"/>
        </w:trPr>
        <w:tc>
          <w:tcPr>
            <w:tcW w:w="3148" w:type="pct"/>
            <w:shd w:val="clear" w:color="auto" w:fill="auto"/>
            <w:vAlign w:val="center"/>
          </w:tcPr>
          <w:p w14:paraId="0E97E85F"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Ґромадська</w:t>
            </w:r>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орґанізація</w:t>
            </w:r>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ЖІНКИ</w:t>
            </w:r>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плюс</w:t>
            </w:r>
            <w:r w:rsidRPr="000D2922">
              <w:rPr>
                <w:rFonts w:asciiTheme="minorBidi" w:hAnsiTheme="minorBidi" w:cstheme="minorBidi"/>
                <w:b/>
                <w:bCs/>
                <w:sz w:val="20"/>
                <w:szCs w:val="20"/>
              </w:rPr>
              <w:br/>
            </w:r>
            <w:r w:rsidRPr="000D2922">
              <w:rPr>
                <w:rFonts w:asciiTheme="minorBidi" w:hAnsiTheme="minorBidi" w:cstheme="minorBidi"/>
                <w:sz w:val="20"/>
                <w:szCs w:val="20"/>
              </w:rPr>
              <w:t>WOMEN plus</w:t>
            </w:r>
          </w:p>
        </w:tc>
        <w:tc>
          <w:tcPr>
            <w:tcW w:w="1010" w:type="pct"/>
            <w:shd w:val="clear" w:color="auto" w:fill="auto"/>
            <w:vAlign w:val="center"/>
          </w:tcPr>
          <w:p w14:paraId="74BA4E9D"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Ukraine</w:t>
            </w:r>
          </w:p>
        </w:tc>
        <w:tc>
          <w:tcPr>
            <w:tcW w:w="842" w:type="pct"/>
            <w:shd w:val="clear" w:color="auto" w:fill="auto"/>
            <w:vAlign w:val="center"/>
          </w:tcPr>
          <w:p w14:paraId="2A66CF87"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NGO-90558</w:t>
            </w:r>
          </w:p>
        </w:tc>
      </w:tr>
      <w:tr w:rsidR="00FC161D" w:rsidRPr="000D358B" w14:paraId="446E9E78" w14:textId="77777777" w:rsidTr="0033776E">
        <w:trPr>
          <w:trHeight w:val="576"/>
        </w:trPr>
        <w:tc>
          <w:tcPr>
            <w:tcW w:w="3148" w:type="pct"/>
            <w:shd w:val="clear" w:color="auto" w:fill="DBE5F1" w:themeFill="accent1" w:themeFillTint="33"/>
            <w:vAlign w:val="center"/>
          </w:tcPr>
          <w:p w14:paraId="7F1B98C6"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Фондация</w:t>
            </w:r>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Стойна</w:t>
            </w:r>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Кръстанова</w:t>
            </w:r>
            <w:r w:rsidRPr="000D2922">
              <w:rPr>
                <w:rFonts w:asciiTheme="minorBidi" w:hAnsiTheme="minorBidi" w:cstheme="minorBidi"/>
                <w:b/>
                <w:bCs/>
                <w:sz w:val="20"/>
                <w:szCs w:val="20"/>
              </w:rPr>
              <w:br/>
            </w:r>
            <w:r w:rsidRPr="000D2922">
              <w:rPr>
                <w:rFonts w:asciiTheme="minorBidi" w:hAnsiTheme="minorBidi" w:cstheme="minorBidi"/>
                <w:sz w:val="20"/>
                <w:szCs w:val="20"/>
              </w:rPr>
              <w:t>Stoyna Krastanova Foundation</w:t>
            </w:r>
          </w:p>
        </w:tc>
        <w:tc>
          <w:tcPr>
            <w:tcW w:w="1010" w:type="pct"/>
            <w:shd w:val="clear" w:color="auto" w:fill="DBE5F1" w:themeFill="accent1" w:themeFillTint="33"/>
            <w:vAlign w:val="center"/>
          </w:tcPr>
          <w:p w14:paraId="60C0E0AF"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Bulgarie</w:t>
            </w:r>
          </w:p>
        </w:tc>
        <w:tc>
          <w:tcPr>
            <w:tcW w:w="842" w:type="pct"/>
            <w:shd w:val="clear" w:color="auto" w:fill="DBE5F1" w:themeFill="accent1" w:themeFillTint="33"/>
            <w:vAlign w:val="center"/>
          </w:tcPr>
          <w:p w14:paraId="6278840C"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NGO-90571</w:t>
            </w:r>
          </w:p>
        </w:tc>
      </w:tr>
      <w:tr w:rsidR="00FC161D" w:rsidRPr="000D358B" w14:paraId="516D0FE3" w14:textId="77777777" w:rsidTr="0033776E">
        <w:trPr>
          <w:trHeight w:val="576"/>
        </w:trPr>
        <w:tc>
          <w:tcPr>
            <w:tcW w:w="3148" w:type="pct"/>
            <w:shd w:val="clear" w:color="auto" w:fill="auto"/>
            <w:vAlign w:val="center"/>
          </w:tcPr>
          <w:p w14:paraId="62C240D3" w14:textId="77777777" w:rsidR="00FC161D" w:rsidRPr="000D2922" w:rsidRDefault="00FC161D" w:rsidP="0033776E">
            <w:pPr>
              <w:widowControl w:val="0"/>
              <w:contextualSpacing/>
              <w:rPr>
                <w:rFonts w:asciiTheme="minorBidi" w:hAnsiTheme="minorBidi" w:cstheme="minorBidi"/>
                <w:b/>
                <w:bCs/>
                <w:sz w:val="20"/>
                <w:szCs w:val="20"/>
                <w:lang w:val="en-GB"/>
              </w:rPr>
            </w:pPr>
            <w:r w:rsidRPr="000D2922">
              <w:rPr>
                <w:rFonts w:asciiTheme="minorBidi" w:hAnsiTheme="minorBidi" w:cstheme="minorBidi"/>
                <w:b/>
                <w:bCs/>
                <w:sz w:val="20"/>
                <w:szCs w:val="20"/>
                <w:rtl/>
                <w:lang w:val="en-GB"/>
              </w:rPr>
              <w:t>جمعية حرفة التعاونية</w:t>
            </w:r>
          </w:p>
          <w:p w14:paraId="513DD9AF" w14:textId="77777777" w:rsidR="00FC161D" w:rsidRPr="00582E1B" w:rsidRDefault="00FC161D" w:rsidP="0033776E">
            <w:pPr>
              <w:contextualSpacing/>
              <w:rPr>
                <w:rFonts w:asciiTheme="minorBidi" w:hAnsiTheme="minorBidi" w:cstheme="minorBidi"/>
                <w:sz w:val="20"/>
                <w:szCs w:val="20"/>
                <w:lang w:val="en-US"/>
              </w:rPr>
            </w:pPr>
            <w:r w:rsidRPr="000D2922">
              <w:rPr>
                <w:rFonts w:asciiTheme="minorBidi" w:hAnsiTheme="minorBidi" w:cstheme="minorBidi"/>
                <w:sz w:val="20"/>
                <w:szCs w:val="20"/>
                <w:lang w:val="en-GB"/>
              </w:rPr>
              <w:t>Herfah Cooperative Association</w:t>
            </w:r>
          </w:p>
        </w:tc>
        <w:tc>
          <w:tcPr>
            <w:tcW w:w="1010" w:type="pct"/>
            <w:shd w:val="clear" w:color="auto" w:fill="auto"/>
            <w:vAlign w:val="center"/>
          </w:tcPr>
          <w:p w14:paraId="4CD4F227"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Arabie Saoudite</w:t>
            </w:r>
          </w:p>
        </w:tc>
        <w:tc>
          <w:tcPr>
            <w:tcW w:w="842" w:type="pct"/>
            <w:shd w:val="clear" w:color="auto" w:fill="auto"/>
            <w:vAlign w:val="center"/>
          </w:tcPr>
          <w:p w14:paraId="205AAB5F"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NGO-90591</w:t>
            </w:r>
          </w:p>
        </w:tc>
      </w:tr>
      <w:tr w:rsidR="00FC161D" w:rsidRPr="000D358B" w14:paraId="2815C42E" w14:textId="77777777" w:rsidTr="0033776E">
        <w:trPr>
          <w:trHeight w:val="576"/>
        </w:trPr>
        <w:tc>
          <w:tcPr>
            <w:tcW w:w="3148" w:type="pct"/>
            <w:shd w:val="clear" w:color="auto" w:fill="DBE5F1" w:themeFill="accent1" w:themeFillTint="33"/>
            <w:vAlign w:val="center"/>
          </w:tcPr>
          <w:p w14:paraId="60075007" w14:textId="77777777" w:rsidR="00FC161D" w:rsidRPr="000D2922" w:rsidRDefault="00FC161D" w:rsidP="0033776E">
            <w:pPr>
              <w:contextualSpacing/>
              <w:rPr>
                <w:rFonts w:asciiTheme="minorBidi" w:hAnsiTheme="minorBidi" w:cstheme="minorBidi"/>
                <w:b/>
                <w:bCs/>
                <w:sz w:val="20"/>
                <w:szCs w:val="20"/>
                <w:lang w:val="en-GB"/>
              </w:rPr>
            </w:pPr>
            <w:bookmarkStart w:id="2" w:name="_Hlk150107361"/>
            <w:r w:rsidRPr="000D2922">
              <w:rPr>
                <w:rFonts w:asciiTheme="minorBidi" w:hAnsiTheme="minorBidi" w:cstheme="minorBidi"/>
                <w:b/>
                <w:bCs/>
                <w:sz w:val="20"/>
                <w:szCs w:val="20"/>
                <w:rtl/>
                <w:lang w:val="en-GB"/>
              </w:rPr>
              <w:t>جمعية الصعيد للتربية والتنمية</w:t>
            </w:r>
          </w:p>
          <w:p w14:paraId="13961136" w14:textId="77777777" w:rsidR="00FC161D" w:rsidRPr="00582E1B" w:rsidRDefault="00FC161D" w:rsidP="0033776E">
            <w:pPr>
              <w:contextualSpacing/>
              <w:rPr>
                <w:rFonts w:asciiTheme="minorBidi" w:hAnsiTheme="minorBidi" w:cstheme="minorBidi"/>
                <w:sz w:val="20"/>
                <w:szCs w:val="20"/>
                <w:lang w:val="en-US"/>
              </w:rPr>
            </w:pPr>
            <w:r w:rsidRPr="000D2922">
              <w:rPr>
                <w:rFonts w:asciiTheme="minorBidi" w:hAnsiTheme="minorBidi" w:cstheme="minorBidi"/>
                <w:sz w:val="20"/>
                <w:szCs w:val="20"/>
                <w:lang w:val="en-GB"/>
              </w:rPr>
              <w:t>Association of Upper Egypt for Education and Development</w:t>
            </w:r>
          </w:p>
        </w:tc>
        <w:tc>
          <w:tcPr>
            <w:tcW w:w="1010" w:type="pct"/>
            <w:shd w:val="clear" w:color="auto" w:fill="DBE5F1" w:themeFill="accent1" w:themeFillTint="33"/>
            <w:vAlign w:val="center"/>
          </w:tcPr>
          <w:p w14:paraId="7F1EF0F9"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Égypte</w:t>
            </w:r>
          </w:p>
        </w:tc>
        <w:tc>
          <w:tcPr>
            <w:tcW w:w="842" w:type="pct"/>
            <w:shd w:val="clear" w:color="auto" w:fill="DBE5F1" w:themeFill="accent1" w:themeFillTint="33"/>
            <w:vAlign w:val="center"/>
          </w:tcPr>
          <w:p w14:paraId="610F6EAD" w14:textId="77777777" w:rsidR="00FC161D" w:rsidRPr="000D2922" w:rsidRDefault="00FC161D" w:rsidP="0033776E">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NGO-90535</w:t>
            </w:r>
          </w:p>
        </w:tc>
      </w:tr>
      <w:tr w:rsidR="00FC161D" w:rsidRPr="000D358B" w14:paraId="279F0697" w14:textId="77777777" w:rsidTr="0033776E">
        <w:trPr>
          <w:trHeight w:val="840"/>
        </w:trPr>
        <w:tc>
          <w:tcPr>
            <w:tcW w:w="3148" w:type="pct"/>
            <w:shd w:val="clear" w:color="auto" w:fill="auto"/>
            <w:vAlign w:val="center"/>
          </w:tcPr>
          <w:p w14:paraId="6613F0AD" w14:textId="77777777" w:rsidR="00FC161D" w:rsidRPr="000D2922" w:rsidRDefault="00FC161D" w:rsidP="0033776E">
            <w:pPr>
              <w:contextualSpacing/>
              <w:rPr>
                <w:rFonts w:asciiTheme="minorBidi" w:hAnsiTheme="minorBidi" w:cstheme="minorBidi"/>
                <w:b/>
                <w:bCs/>
                <w:sz w:val="20"/>
                <w:szCs w:val="20"/>
              </w:rPr>
            </w:pPr>
            <w:r w:rsidRPr="000D2922">
              <w:rPr>
                <w:rFonts w:asciiTheme="minorBidi" w:hAnsiTheme="minorBidi" w:cstheme="minorBidi"/>
                <w:b/>
                <w:bCs/>
                <w:sz w:val="20"/>
                <w:szCs w:val="20"/>
                <w:rtl/>
                <w:lang w:val="en-GB"/>
              </w:rPr>
              <w:t>جمعيّة صيانة القصور والمحافظة على التّراث ببني خداش</w:t>
            </w:r>
          </w:p>
          <w:p w14:paraId="26050021" w14:textId="77777777" w:rsidR="00FC161D" w:rsidRPr="000D2922" w:rsidRDefault="00FC161D" w:rsidP="0033776E">
            <w:pPr>
              <w:contextualSpacing/>
              <w:rPr>
                <w:rFonts w:asciiTheme="minorBidi" w:hAnsiTheme="minorBidi" w:cstheme="minorBidi"/>
                <w:sz w:val="20"/>
                <w:szCs w:val="20"/>
              </w:rPr>
            </w:pPr>
            <w:r w:rsidRPr="000D2922">
              <w:rPr>
                <w:rFonts w:asciiTheme="minorBidi" w:hAnsiTheme="minorBidi" w:cstheme="minorBidi"/>
                <w:sz w:val="20"/>
                <w:szCs w:val="20"/>
              </w:rPr>
              <w:t>Association de protection de ksour et sauvegarde du patrimoine à Béni Kheddache</w:t>
            </w:r>
          </w:p>
        </w:tc>
        <w:tc>
          <w:tcPr>
            <w:tcW w:w="1010" w:type="pct"/>
            <w:shd w:val="clear" w:color="auto" w:fill="auto"/>
            <w:vAlign w:val="center"/>
          </w:tcPr>
          <w:p w14:paraId="28E2BF51"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Tunisie</w:t>
            </w:r>
          </w:p>
        </w:tc>
        <w:tc>
          <w:tcPr>
            <w:tcW w:w="842" w:type="pct"/>
            <w:shd w:val="clear" w:color="auto" w:fill="auto"/>
            <w:vAlign w:val="center"/>
          </w:tcPr>
          <w:p w14:paraId="1DD24B4A"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NGO-90534</w:t>
            </w:r>
          </w:p>
        </w:tc>
      </w:tr>
      <w:tr w:rsidR="00FC161D" w:rsidRPr="000D358B" w14:paraId="183783A4" w14:textId="77777777" w:rsidTr="0033776E">
        <w:trPr>
          <w:trHeight w:val="576"/>
        </w:trPr>
        <w:tc>
          <w:tcPr>
            <w:tcW w:w="3148" w:type="pct"/>
            <w:shd w:val="clear" w:color="auto" w:fill="DBE5F1" w:themeFill="accent1" w:themeFillTint="33"/>
            <w:vAlign w:val="center"/>
          </w:tcPr>
          <w:p w14:paraId="1ACC84E2" w14:textId="77777777" w:rsidR="00FC161D" w:rsidRPr="000D2922" w:rsidRDefault="00FC161D" w:rsidP="0033776E">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rtl/>
                <w:lang w:val="en-GB"/>
              </w:rPr>
              <w:t>مؤسسة راقودة للفن والتراث</w:t>
            </w:r>
          </w:p>
          <w:p w14:paraId="33128428" w14:textId="77777777" w:rsidR="00FC161D" w:rsidRPr="00582E1B" w:rsidRDefault="00FC161D" w:rsidP="0033776E">
            <w:pPr>
              <w:contextualSpacing/>
              <w:rPr>
                <w:rFonts w:asciiTheme="minorBidi" w:hAnsiTheme="minorBidi" w:cstheme="minorBidi"/>
                <w:sz w:val="20"/>
                <w:szCs w:val="20"/>
                <w:lang w:val="en-US"/>
              </w:rPr>
            </w:pPr>
            <w:r w:rsidRPr="000D2922">
              <w:rPr>
                <w:rFonts w:asciiTheme="minorBidi" w:hAnsiTheme="minorBidi" w:cstheme="minorBidi"/>
                <w:sz w:val="20"/>
                <w:szCs w:val="20"/>
                <w:lang w:val="en-GB"/>
              </w:rPr>
              <w:t>Raquda Foundation for Art and Heritage</w:t>
            </w:r>
          </w:p>
        </w:tc>
        <w:tc>
          <w:tcPr>
            <w:tcW w:w="1010" w:type="pct"/>
            <w:shd w:val="clear" w:color="auto" w:fill="DBE5F1" w:themeFill="accent1" w:themeFillTint="33"/>
            <w:vAlign w:val="center"/>
          </w:tcPr>
          <w:p w14:paraId="6864B2E4" w14:textId="77777777" w:rsidR="00FC161D" w:rsidRPr="000D2922" w:rsidRDefault="00FC161D" w:rsidP="0033776E">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Égypte</w:t>
            </w:r>
          </w:p>
        </w:tc>
        <w:tc>
          <w:tcPr>
            <w:tcW w:w="842" w:type="pct"/>
            <w:shd w:val="clear" w:color="auto" w:fill="DBE5F1" w:themeFill="accent1" w:themeFillTint="33"/>
            <w:vAlign w:val="center"/>
          </w:tcPr>
          <w:p w14:paraId="7A2FD627"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NGO-90581</w:t>
            </w:r>
          </w:p>
        </w:tc>
      </w:tr>
      <w:tr w:rsidR="00FC161D" w:rsidRPr="000D358B" w14:paraId="41956FB7" w14:textId="77777777" w:rsidTr="0033776E">
        <w:trPr>
          <w:trHeight w:val="576"/>
        </w:trPr>
        <w:tc>
          <w:tcPr>
            <w:tcW w:w="3148" w:type="pct"/>
            <w:shd w:val="clear" w:color="auto" w:fill="auto"/>
            <w:vAlign w:val="center"/>
          </w:tcPr>
          <w:p w14:paraId="24C1EC98" w14:textId="77777777" w:rsidR="00FC161D" w:rsidRPr="000D2922" w:rsidRDefault="00FC161D" w:rsidP="0033776E">
            <w:pPr>
              <w:contextualSpacing/>
              <w:rPr>
                <w:rFonts w:asciiTheme="minorBidi" w:hAnsiTheme="minorBidi" w:cstheme="minorBidi"/>
                <w:sz w:val="20"/>
                <w:szCs w:val="20"/>
              </w:rPr>
            </w:pPr>
            <w:r w:rsidRPr="000D2922">
              <w:rPr>
                <w:rFonts w:asciiTheme="minorBidi" w:hAnsiTheme="minorBidi" w:cstheme="minorBidi"/>
                <w:b/>
                <w:bCs/>
                <w:sz w:val="20"/>
                <w:szCs w:val="20"/>
                <w:rtl/>
                <w:lang w:val="en-GB"/>
              </w:rPr>
              <w:t>مؤسسه فرهنگ</w:t>
            </w:r>
            <w:r w:rsidRPr="000D2922">
              <w:rPr>
                <w:rFonts w:asciiTheme="minorBidi" w:hAnsiTheme="minorBidi" w:cstheme="minorBidi" w:hint="cs"/>
                <w:b/>
                <w:bCs/>
                <w:sz w:val="20"/>
                <w:szCs w:val="20"/>
                <w:rtl/>
                <w:lang w:val="en-GB"/>
              </w:rPr>
              <w:t>ی</w:t>
            </w:r>
            <w:r w:rsidRPr="000D2922">
              <w:rPr>
                <w:rFonts w:asciiTheme="minorBidi" w:hAnsiTheme="minorBidi" w:cstheme="minorBidi"/>
                <w:b/>
                <w:bCs/>
                <w:sz w:val="20"/>
                <w:szCs w:val="20"/>
                <w:rtl/>
                <w:lang w:val="en-GB"/>
              </w:rPr>
              <w:t xml:space="preserve"> هنر</w:t>
            </w:r>
            <w:r w:rsidRPr="000D2922">
              <w:rPr>
                <w:rFonts w:asciiTheme="minorBidi" w:hAnsiTheme="minorBidi" w:cstheme="minorBidi" w:hint="cs"/>
                <w:b/>
                <w:bCs/>
                <w:sz w:val="20"/>
                <w:szCs w:val="20"/>
                <w:rtl/>
                <w:lang w:val="en-GB"/>
              </w:rPr>
              <w:t>ی</w:t>
            </w:r>
            <w:r w:rsidRPr="000D2922">
              <w:rPr>
                <w:rFonts w:asciiTheme="minorBidi" w:hAnsiTheme="minorBidi" w:cstheme="minorBidi"/>
                <w:b/>
                <w:bCs/>
                <w:sz w:val="20"/>
                <w:szCs w:val="20"/>
                <w:rtl/>
                <w:lang w:val="en-GB"/>
              </w:rPr>
              <w:t xml:space="preserve"> مانا نقش شهاب</w:t>
            </w:r>
          </w:p>
          <w:p w14:paraId="3E9E37AB" w14:textId="77777777" w:rsidR="00FC161D" w:rsidRPr="008319A4" w:rsidRDefault="00FC161D" w:rsidP="0033776E">
            <w:pPr>
              <w:contextualSpacing/>
              <w:rPr>
                <w:rFonts w:asciiTheme="minorBidi" w:hAnsiTheme="minorBidi" w:cstheme="minorBidi"/>
                <w:b/>
                <w:bCs/>
                <w:sz w:val="20"/>
                <w:szCs w:val="20"/>
                <w:lang w:val="en-US"/>
              </w:rPr>
            </w:pPr>
            <w:r w:rsidRPr="000D2922">
              <w:rPr>
                <w:rFonts w:asciiTheme="minorBidi" w:hAnsiTheme="minorBidi" w:cstheme="minorBidi"/>
                <w:sz w:val="20"/>
                <w:szCs w:val="20"/>
                <w:lang w:val="en-GB"/>
              </w:rPr>
              <w:t>Mana Naqsh Shahab Art &amp; Culture Institute</w:t>
            </w:r>
          </w:p>
        </w:tc>
        <w:tc>
          <w:tcPr>
            <w:tcW w:w="1010" w:type="pct"/>
            <w:shd w:val="clear" w:color="auto" w:fill="auto"/>
            <w:vAlign w:val="center"/>
          </w:tcPr>
          <w:p w14:paraId="56CA7AA7"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Iran (République islamique d’)</w:t>
            </w:r>
          </w:p>
        </w:tc>
        <w:tc>
          <w:tcPr>
            <w:tcW w:w="842" w:type="pct"/>
            <w:shd w:val="clear" w:color="auto" w:fill="auto"/>
            <w:vAlign w:val="center"/>
          </w:tcPr>
          <w:p w14:paraId="30D04936" w14:textId="77777777" w:rsidR="00FC161D" w:rsidRPr="000D2922" w:rsidRDefault="00FC161D" w:rsidP="0033776E">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NGO-90551</w:t>
            </w:r>
          </w:p>
        </w:tc>
      </w:tr>
      <w:tr w:rsidR="00FC161D" w:rsidRPr="000D358B" w14:paraId="1C4B05BE" w14:textId="77777777" w:rsidTr="0033776E">
        <w:trPr>
          <w:trHeight w:val="576"/>
        </w:trPr>
        <w:tc>
          <w:tcPr>
            <w:tcW w:w="3148" w:type="pct"/>
            <w:shd w:val="clear" w:color="auto" w:fill="DBE5F1" w:themeFill="accent1" w:themeFillTint="33"/>
            <w:vAlign w:val="center"/>
          </w:tcPr>
          <w:p w14:paraId="1CEB83D1" w14:textId="77777777" w:rsidR="00FC161D" w:rsidRPr="000D2922" w:rsidRDefault="00FC161D" w:rsidP="0033776E">
            <w:pPr>
              <w:contextualSpacing/>
              <w:rPr>
                <w:rFonts w:asciiTheme="minorBidi" w:hAnsiTheme="minorBidi" w:cstheme="minorBidi"/>
                <w:b/>
                <w:bCs/>
                <w:sz w:val="20"/>
                <w:szCs w:val="20"/>
              </w:rPr>
            </w:pPr>
            <w:r w:rsidRPr="000D2922">
              <w:rPr>
                <w:rFonts w:ascii="Nirmala UI" w:hAnsi="Nirmala UI" w:cs="Nirmala UI"/>
                <w:b/>
                <w:bCs/>
                <w:sz w:val="20"/>
                <w:szCs w:val="20"/>
                <w:cs/>
                <w:lang w:val="en-GB" w:bidi="kn-IN"/>
              </w:rPr>
              <w:t>ಕರ್ನಾಟಕ</w:t>
            </w:r>
            <w:r w:rsidRPr="000D2922">
              <w:rPr>
                <w:rFonts w:asciiTheme="minorBidi" w:hAnsiTheme="minorBidi" w:cstheme="minorBidi"/>
                <w:b/>
                <w:bCs/>
                <w:sz w:val="20"/>
                <w:szCs w:val="20"/>
                <w:cs/>
                <w:lang w:val="en-GB" w:bidi="kn-IN"/>
              </w:rPr>
              <w:t xml:space="preserve"> </w:t>
            </w:r>
            <w:r w:rsidRPr="000D2922">
              <w:rPr>
                <w:rFonts w:ascii="Nirmala UI" w:hAnsi="Nirmala UI" w:cs="Nirmala UI"/>
                <w:b/>
                <w:bCs/>
                <w:sz w:val="20"/>
                <w:szCs w:val="20"/>
                <w:cs/>
                <w:lang w:val="en-GB" w:bidi="kn-IN"/>
              </w:rPr>
              <w:t>ಜಾನಪದ</w:t>
            </w:r>
            <w:r w:rsidRPr="000D2922">
              <w:rPr>
                <w:rFonts w:asciiTheme="minorBidi" w:hAnsiTheme="minorBidi" w:cstheme="minorBidi"/>
                <w:b/>
                <w:bCs/>
                <w:sz w:val="20"/>
                <w:szCs w:val="20"/>
                <w:cs/>
                <w:lang w:val="en-GB" w:bidi="kn-IN"/>
              </w:rPr>
              <w:t xml:space="preserve"> </w:t>
            </w:r>
            <w:r w:rsidRPr="000D2922">
              <w:rPr>
                <w:rFonts w:ascii="Nirmala UI" w:hAnsi="Nirmala UI" w:cs="Nirmala UI"/>
                <w:b/>
                <w:bCs/>
                <w:sz w:val="20"/>
                <w:szCs w:val="20"/>
                <w:cs/>
                <w:lang w:val="en-GB" w:bidi="kn-IN"/>
              </w:rPr>
              <w:t>ಪರಿಷತ್ತು</w:t>
            </w:r>
          </w:p>
          <w:p w14:paraId="122CB595" w14:textId="77777777" w:rsidR="00FC161D" w:rsidRPr="000D2922" w:rsidRDefault="00FC161D" w:rsidP="0033776E">
            <w:pPr>
              <w:contextualSpacing/>
              <w:rPr>
                <w:rFonts w:asciiTheme="minorBidi" w:hAnsiTheme="minorBidi" w:cstheme="minorBidi"/>
                <w:sz w:val="20"/>
                <w:szCs w:val="20"/>
              </w:rPr>
            </w:pPr>
            <w:r w:rsidRPr="000D2922">
              <w:rPr>
                <w:rFonts w:asciiTheme="minorBidi" w:hAnsiTheme="minorBidi" w:cstheme="minorBidi"/>
                <w:sz w:val="20"/>
                <w:szCs w:val="20"/>
              </w:rPr>
              <w:t>Karnataka Janapada Parishath</w:t>
            </w:r>
          </w:p>
        </w:tc>
        <w:tc>
          <w:tcPr>
            <w:tcW w:w="1010" w:type="pct"/>
            <w:shd w:val="clear" w:color="auto" w:fill="DBE5F1" w:themeFill="accent1" w:themeFillTint="33"/>
            <w:vAlign w:val="center"/>
          </w:tcPr>
          <w:p w14:paraId="583EC1A3" w14:textId="77777777" w:rsidR="00FC161D" w:rsidRPr="000D2922" w:rsidRDefault="00FC161D" w:rsidP="0033776E">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Inde</w:t>
            </w:r>
          </w:p>
        </w:tc>
        <w:tc>
          <w:tcPr>
            <w:tcW w:w="842" w:type="pct"/>
            <w:shd w:val="clear" w:color="auto" w:fill="DBE5F1" w:themeFill="accent1" w:themeFillTint="33"/>
            <w:vAlign w:val="center"/>
          </w:tcPr>
          <w:p w14:paraId="7A976001" w14:textId="77777777" w:rsidR="00FC161D" w:rsidRPr="000D2922" w:rsidRDefault="00FC161D" w:rsidP="0033776E">
            <w:pPr>
              <w:contextualSpacing/>
              <w:jc w:val="center"/>
              <w:rPr>
                <w:rFonts w:asciiTheme="minorBidi" w:hAnsiTheme="minorBidi" w:cstheme="minorBidi"/>
                <w:sz w:val="20"/>
                <w:szCs w:val="20"/>
              </w:rPr>
            </w:pPr>
            <w:r>
              <w:rPr>
                <w:rFonts w:asciiTheme="minorBidi" w:hAnsiTheme="minorBidi"/>
                <w:sz w:val="20"/>
              </w:rPr>
              <w:t>NGO-90550</w:t>
            </w:r>
          </w:p>
        </w:tc>
      </w:tr>
    </w:tbl>
    <w:bookmarkEnd w:id="2"/>
    <w:p w14:paraId="6EBE34EC" w14:textId="77777777" w:rsidR="00FC161D" w:rsidRPr="00A972FE" w:rsidRDefault="00FC161D" w:rsidP="001C14F4">
      <w:pPr>
        <w:spacing w:before="360" w:after="120"/>
        <w:jc w:val="both"/>
        <w:rPr>
          <w:rFonts w:ascii="Arial" w:eastAsia="SimSun" w:hAnsi="Arial" w:cs="Arial"/>
          <w:b/>
          <w:sz w:val="22"/>
          <w:szCs w:val="22"/>
        </w:rPr>
      </w:pPr>
      <w:r w:rsidRPr="00A972FE">
        <w:rPr>
          <w:rFonts w:ascii="Arial" w:hAnsi="Arial" w:cs="Arial"/>
          <w:b/>
          <w:sz w:val="22"/>
          <w:szCs w:val="22"/>
        </w:rPr>
        <w:t>RÉSOLUTION 10.GA 9 Add.</w:t>
      </w:r>
    </w:p>
    <w:p w14:paraId="12013234" w14:textId="77777777" w:rsidR="00FC161D" w:rsidRPr="00A972FE" w:rsidRDefault="00FC161D" w:rsidP="001C14F4">
      <w:pPr>
        <w:spacing w:after="120"/>
        <w:jc w:val="both"/>
        <w:rPr>
          <w:rFonts w:ascii="Arial" w:eastAsia="SimSun" w:hAnsi="Arial" w:cs="Arial"/>
          <w:sz w:val="22"/>
          <w:szCs w:val="22"/>
        </w:rPr>
      </w:pPr>
      <w:r w:rsidRPr="00A972FE">
        <w:rPr>
          <w:rFonts w:ascii="Arial" w:hAnsi="Arial" w:cs="Arial"/>
          <w:sz w:val="22"/>
          <w:szCs w:val="22"/>
        </w:rPr>
        <w:t>L’Assemblée générale,</w:t>
      </w:r>
    </w:p>
    <w:p w14:paraId="52EFC118" w14:textId="42890E39" w:rsidR="00FC161D" w:rsidRPr="00A972FE" w:rsidRDefault="00FC161D" w:rsidP="001C14F4">
      <w:pPr>
        <w:numPr>
          <w:ilvl w:val="0"/>
          <w:numId w:val="17"/>
        </w:numPr>
        <w:autoSpaceDE w:val="0"/>
        <w:autoSpaceDN w:val="0"/>
        <w:adjustRightInd w:val="0"/>
        <w:spacing w:after="120"/>
        <w:ind w:left="567" w:hanging="567"/>
        <w:jc w:val="both"/>
        <w:rPr>
          <w:rFonts w:ascii="Arial" w:eastAsia="SimSun" w:hAnsi="Arial" w:cs="Arial"/>
          <w:sz w:val="22"/>
          <w:szCs w:val="22"/>
          <w:u w:val="single"/>
        </w:rPr>
      </w:pPr>
      <w:r w:rsidRPr="00A972FE">
        <w:rPr>
          <w:rFonts w:ascii="Arial" w:eastAsia="SimSun" w:hAnsi="Arial" w:cs="Arial"/>
          <w:sz w:val="22"/>
          <w:szCs w:val="22"/>
          <w:u w:val="single"/>
        </w:rPr>
        <w:t>Ayant examiné</w:t>
      </w:r>
      <w:r w:rsidRPr="00A972FE">
        <w:rPr>
          <w:rFonts w:ascii="Arial" w:eastAsia="SimSun" w:hAnsi="Arial" w:cs="Arial"/>
          <w:sz w:val="22"/>
          <w:szCs w:val="22"/>
        </w:rPr>
        <w:t xml:space="preserve"> le document </w:t>
      </w:r>
      <w:hyperlink r:id="rId33" w:history="1">
        <w:r w:rsidRPr="00B73DEE">
          <w:rPr>
            <w:rStyle w:val="Lienhypertexte"/>
            <w:rFonts w:ascii="Arial" w:eastAsia="SimSun" w:hAnsi="Arial" w:cs="Arial"/>
            <w:sz w:val="22"/>
            <w:szCs w:val="22"/>
          </w:rPr>
          <w:t>LHE/24/10.GA/9 Add.</w:t>
        </w:r>
        <w:r w:rsidRPr="001C14F4">
          <w:rPr>
            <w:rStyle w:val="Lienhypertexte"/>
            <w:rFonts w:ascii="Arial" w:eastAsia="SimSun" w:hAnsi="Arial" w:cs="Arial"/>
            <w:color w:val="auto"/>
            <w:sz w:val="22"/>
            <w:szCs w:val="22"/>
            <w:u w:val="none"/>
          </w:rPr>
          <w:t>,</w:t>
        </w:r>
      </w:hyperlink>
    </w:p>
    <w:p w14:paraId="52CF8524" w14:textId="77777777" w:rsidR="00FC161D" w:rsidRPr="00A972FE" w:rsidRDefault="00FC161D" w:rsidP="001C14F4">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A972FE">
        <w:rPr>
          <w:rFonts w:ascii="Arial" w:eastAsia="SimSun" w:hAnsi="Arial" w:cs="Arial"/>
          <w:sz w:val="22"/>
          <w:szCs w:val="22"/>
          <w:u w:val="single"/>
        </w:rPr>
        <w:t>Rappelant</w:t>
      </w:r>
      <w:r w:rsidRPr="00A972FE">
        <w:rPr>
          <w:rFonts w:ascii="Arial" w:eastAsia="SimSun" w:hAnsi="Arial" w:cs="Arial"/>
          <w:sz w:val="22"/>
          <w:szCs w:val="22"/>
        </w:rPr>
        <w:t xml:space="preserve"> les résolutions </w:t>
      </w:r>
      <w:hyperlink r:id="rId34" w:history="1">
        <w:r w:rsidRPr="00A972FE">
          <w:rPr>
            <w:rFonts w:ascii="Arial" w:eastAsia="SimSun" w:hAnsi="Arial" w:cs="Arial"/>
            <w:color w:val="0000FF"/>
            <w:sz w:val="22"/>
            <w:szCs w:val="22"/>
            <w:u w:val="single"/>
          </w:rPr>
          <w:t>8.GA 12</w:t>
        </w:r>
      </w:hyperlink>
      <w:r w:rsidRPr="00A972FE">
        <w:rPr>
          <w:rFonts w:ascii="Arial" w:eastAsia="SimSun" w:hAnsi="Arial" w:cs="Arial"/>
          <w:sz w:val="22"/>
          <w:szCs w:val="22"/>
        </w:rPr>
        <w:t xml:space="preserve"> et </w:t>
      </w:r>
      <w:hyperlink r:id="rId35" w:history="1">
        <w:r w:rsidRPr="00A972FE">
          <w:rPr>
            <w:rFonts w:ascii="Arial" w:eastAsia="SimSun" w:hAnsi="Arial" w:cs="Arial"/>
            <w:color w:val="0000FF"/>
            <w:sz w:val="22"/>
            <w:szCs w:val="22"/>
            <w:u w:val="single"/>
          </w:rPr>
          <w:t>9.GA 7</w:t>
        </w:r>
      </w:hyperlink>
      <w:r w:rsidRPr="00A972FE">
        <w:rPr>
          <w:rFonts w:ascii="Arial" w:eastAsia="SimSun" w:hAnsi="Arial" w:cs="Arial"/>
          <w:sz w:val="22"/>
          <w:szCs w:val="22"/>
        </w:rPr>
        <w:t xml:space="preserve"> ainsi que les décisions </w:t>
      </w:r>
      <w:hyperlink r:id="rId36" w:history="1">
        <w:r w:rsidRPr="00A972FE">
          <w:rPr>
            <w:rFonts w:ascii="Arial" w:eastAsia="SimSun" w:hAnsi="Arial" w:cs="Arial"/>
            <w:color w:val="0000FF"/>
            <w:sz w:val="22"/>
            <w:szCs w:val="22"/>
            <w:u w:val="single"/>
          </w:rPr>
          <w:t>12.COM 13</w:t>
        </w:r>
      </w:hyperlink>
      <w:r w:rsidRPr="00A972FE">
        <w:rPr>
          <w:rFonts w:ascii="Arial" w:eastAsia="SimSun" w:hAnsi="Arial" w:cs="Arial"/>
          <w:sz w:val="22"/>
          <w:szCs w:val="22"/>
        </w:rPr>
        <w:t xml:space="preserve">, </w:t>
      </w:r>
      <w:hyperlink r:id="rId37" w:history="1">
        <w:r w:rsidRPr="00A972FE">
          <w:rPr>
            <w:rFonts w:ascii="Arial" w:eastAsia="SimSun" w:hAnsi="Arial" w:cs="Arial"/>
            <w:color w:val="0000FF"/>
            <w:sz w:val="22"/>
            <w:szCs w:val="22"/>
            <w:u w:val="single"/>
          </w:rPr>
          <w:t>12.COM 17</w:t>
        </w:r>
      </w:hyperlink>
      <w:r w:rsidRPr="00A972FE">
        <w:rPr>
          <w:rFonts w:ascii="Arial" w:eastAsia="SimSun" w:hAnsi="Arial" w:cs="Arial"/>
          <w:sz w:val="22"/>
          <w:szCs w:val="22"/>
        </w:rPr>
        <w:t xml:space="preserve">, </w:t>
      </w:r>
      <w:hyperlink r:id="rId38" w:history="1">
        <w:r w:rsidRPr="00A972FE">
          <w:rPr>
            <w:rFonts w:ascii="Arial" w:eastAsia="SimSun" w:hAnsi="Arial" w:cs="Arial"/>
            <w:color w:val="0000FF"/>
            <w:sz w:val="22"/>
            <w:szCs w:val="22"/>
            <w:u w:val="single"/>
          </w:rPr>
          <w:t>14.COM 15</w:t>
        </w:r>
      </w:hyperlink>
      <w:r w:rsidRPr="00A972FE">
        <w:rPr>
          <w:rFonts w:ascii="Arial" w:eastAsia="SimSun" w:hAnsi="Arial" w:cs="Arial"/>
          <w:sz w:val="22"/>
          <w:szCs w:val="22"/>
        </w:rPr>
        <w:t xml:space="preserve"> et </w:t>
      </w:r>
      <w:hyperlink r:id="rId39" w:history="1">
        <w:r w:rsidRPr="00A972FE">
          <w:rPr>
            <w:rFonts w:ascii="Arial" w:eastAsia="SimSun" w:hAnsi="Arial" w:cs="Arial"/>
            <w:color w:val="0000FF"/>
            <w:sz w:val="22"/>
            <w:szCs w:val="22"/>
            <w:u w:val="single"/>
          </w:rPr>
          <w:t>18.COM 15</w:t>
        </w:r>
      </w:hyperlink>
      <w:r w:rsidRPr="00A972FE">
        <w:rPr>
          <w:rFonts w:ascii="Arial" w:eastAsia="SimSun" w:hAnsi="Arial" w:cs="Arial"/>
          <w:sz w:val="22"/>
          <w:szCs w:val="22"/>
        </w:rPr>
        <w:t>,</w:t>
      </w:r>
    </w:p>
    <w:p w14:paraId="7E33A498" w14:textId="77777777" w:rsidR="00FC161D" w:rsidRPr="00A972FE" w:rsidRDefault="00FC161D" w:rsidP="001C14F4">
      <w:pPr>
        <w:numPr>
          <w:ilvl w:val="0"/>
          <w:numId w:val="10"/>
        </w:numPr>
        <w:autoSpaceDE w:val="0"/>
        <w:autoSpaceDN w:val="0"/>
        <w:adjustRightInd w:val="0"/>
        <w:spacing w:after="120"/>
        <w:ind w:left="567" w:hanging="567"/>
        <w:jc w:val="both"/>
        <w:rPr>
          <w:rFonts w:ascii="Arial" w:eastAsia="SimSun" w:hAnsi="Arial" w:cs="Arial"/>
          <w:sz w:val="22"/>
          <w:szCs w:val="22"/>
        </w:rPr>
      </w:pPr>
      <w:r w:rsidRPr="00A972FE">
        <w:rPr>
          <w:rFonts w:ascii="Arial" w:eastAsia="SimSun" w:hAnsi="Arial" w:cs="Arial"/>
          <w:sz w:val="22"/>
          <w:szCs w:val="22"/>
          <w:u w:val="single"/>
        </w:rPr>
        <w:t>Prend note</w:t>
      </w:r>
      <w:r w:rsidRPr="00A972FE">
        <w:rPr>
          <w:rFonts w:ascii="Arial" w:eastAsia="SimSun" w:hAnsi="Arial" w:cs="Arial"/>
          <w:sz w:val="22"/>
          <w:szCs w:val="22"/>
        </w:rPr>
        <w:t xml:space="preserve"> du plan proposé pour assurer l’équilibre géographique parmi les ONG accréditées au titre de la Convention de 2003, y compris les ressources financières pertinentes identifiées à titre expérimental, et </w:t>
      </w:r>
      <w:r w:rsidRPr="00A972FE">
        <w:rPr>
          <w:rFonts w:ascii="Arial" w:eastAsia="SimSun" w:hAnsi="Arial" w:cs="Arial"/>
          <w:sz w:val="22"/>
          <w:szCs w:val="22"/>
          <w:u w:val="single"/>
        </w:rPr>
        <w:t>remercie</w:t>
      </w:r>
      <w:r w:rsidRPr="00A972FE">
        <w:rPr>
          <w:rFonts w:ascii="Arial" w:eastAsia="SimSun" w:hAnsi="Arial" w:cs="Arial"/>
          <w:sz w:val="22"/>
          <w:szCs w:val="22"/>
        </w:rPr>
        <w:t xml:space="preserve"> les États parties, le Forum des ONG du PCI, les centres de catégorie 2 et les autres parties prenantes d’avoir exprimé leurs points de vue dans le cadre du processus de consultation ;</w:t>
      </w:r>
    </w:p>
    <w:p w14:paraId="1E3E585A" w14:textId="77777777" w:rsidR="00FC161D" w:rsidRPr="00A972FE" w:rsidRDefault="00FC161D" w:rsidP="00C8040F">
      <w:pPr>
        <w:keepNext/>
        <w:keepLines/>
        <w:numPr>
          <w:ilvl w:val="0"/>
          <w:numId w:val="10"/>
        </w:numPr>
        <w:autoSpaceDE w:val="0"/>
        <w:autoSpaceDN w:val="0"/>
        <w:adjustRightInd w:val="0"/>
        <w:spacing w:after="120"/>
        <w:ind w:left="567" w:hanging="567"/>
        <w:jc w:val="both"/>
        <w:rPr>
          <w:rFonts w:ascii="Arial" w:eastAsia="SimSun" w:hAnsi="Arial" w:cs="Arial"/>
          <w:sz w:val="22"/>
          <w:szCs w:val="22"/>
        </w:rPr>
      </w:pPr>
      <w:r w:rsidRPr="00A972FE">
        <w:rPr>
          <w:rFonts w:ascii="Arial" w:eastAsia="SimSun" w:hAnsi="Arial" w:cs="Arial"/>
          <w:sz w:val="22"/>
          <w:szCs w:val="22"/>
          <w:u w:val="single"/>
        </w:rPr>
        <w:lastRenderedPageBreak/>
        <w:t>Encourage</w:t>
      </w:r>
      <w:r w:rsidRPr="00A972FE">
        <w:rPr>
          <w:rFonts w:ascii="Arial" w:eastAsia="SimSun" w:hAnsi="Arial" w:cs="Arial"/>
          <w:sz w:val="22"/>
          <w:szCs w:val="22"/>
        </w:rPr>
        <w:t xml:space="preserve"> le Secrétariat, le Forum des ONG du PCI, les centres de catégorie 2 et les autres parties prenantes à mettre en œuvre le plan susmentionné ;</w:t>
      </w:r>
    </w:p>
    <w:p w14:paraId="58D0355B" w14:textId="77777777" w:rsidR="00FC161D" w:rsidRPr="00A972FE" w:rsidRDefault="00FC161D" w:rsidP="00C8040F">
      <w:pPr>
        <w:keepNext/>
        <w:keepLines/>
        <w:numPr>
          <w:ilvl w:val="0"/>
          <w:numId w:val="10"/>
        </w:numPr>
        <w:autoSpaceDE w:val="0"/>
        <w:autoSpaceDN w:val="0"/>
        <w:adjustRightInd w:val="0"/>
        <w:spacing w:after="120"/>
        <w:ind w:left="567" w:hanging="567"/>
        <w:jc w:val="both"/>
        <w:rPr>
          <w:rFonts w:ascii="Arial" w:eastAsia="SimSun" w:hAnsi="Arial" w:cs="Arial"/>
          <w:sz w:val="22"/>
          <w:szCs w:val="22"/>
        </w:rPr>
      </w:pPr>
      <w:r w:rsidRPr="00A972FE">
        <w:rPr>
          <w:rFonts w:ascii="Arial" w:eastAsia="SimSun" w:hAnsi="Arial" w:cs="Arial"/>
          <w:sz w:val="22"/>
          <w:szCs w:val="22"/>
          <w:u w:val="single"/>
        </w:rPr>
        <w:t>Demande</w:t>
      </w:r>
      <w:r w:rsidRPr="00A972FE">
        <w:rPr>
          <w:rFonts w:ascii="Arial" w:eastAsia="SimSun" w:hAnsi="Arial" w:cs="Arial"/>
          <w:sz w:val="22"/>
          <w:szCs w:val="22"/>
        </w:rPr>
        <w:t xml:space="preserve"> au Secrétariat de rendre compte des résultats des actions entreprises pour examen lors de la vingtième session du Comité en 2025 et de la onzième session de l’Assemblée générale en 2026.</w:t>
      </w:r>
    </w:p>
    <w:p w14:paraId="469BDAE5" w14:textId="77777777" w:rsidR="00FC161D" w:rsidRPr="00BB6EEC" w:rsidRDefault="00FC161D" w:rsidP="00FC161D">
      <w:pPr>
        <w:pStyle w:val="COMTitleDecision"/>
        <w:ind w:left="0"/>
        <w:rPr>
          <w:rFonts w:eastAsia="SimSun"/>
        </w:rPr>
      </w:pPr>
      <w:r>
        <w:t>RÉSOLUTION 10.GA 10</w:t>
      </w:r>
    </w:p>
    <w:p w14:paraId="6429602D" w14:textId="77777777" w:rsidR="00FC161D" w:rsidRPr="00BB6EEC" w:rsidRDefault="00FC161D" w:rsidP="00FC161D">
      <w:pPr>
        <w:pStyle w:val="COMPreambulaDecisions"/>
        <w:ind w:left="0"/>
        <w:rPr>
          <w:rFonts w:eastAsia="SimSun"/>
        </w:rPr>
      </w:pPr>
      <w:r>
        <w:t>L’Assemblée générale,</w:t>
      </w:r>
    </w:p>
    <w:p w14:paraId="225B8826" w14:textId="772FBDB5" w:rsidR="00FC161D" w:rsidRPr="00BB6EEC" w:rsidRDefault="00FC161D" w:rsidP="00FC161D">
      <w:pPr>
        <w:pStyle w:val="COMParaDecision"/>
        <w:numPr>
          <w:ilvl w:val="0"/>
          <w:numId w:val="30"/>
        </w:numPr>
        <w:ind w:left="567" w:hanging="567"/>
      </w:pPr>
      <w:r>
        <w:t>Ayant examiné</w:t>
      </w:r>
      <w:r w:rsidRPr="00A972FE">
        <w:rPr>
          <w:u w:val="none"/>
        </w:rPr>
        <w:t xml:space="preserve"> le document </w:t>
      </w:r>
      <w:hyperlink r:id="rId40" w:history="1">
        <w:r w:rsidRPr="00B73DEE">
          <w:rPr>
            <w:rStyle w:val="Lienhypertexte"/>
          </w:rPr>
          <w:t>LHE/24/10.GA/10</w:t>
        </w:r>
      </w:hyperlink>
      <w:r w:rsidRPr="00A972FE">
        <w:rPr>
          <w:u w:val="none"/>
        </w:rPr>
        <w:t>,</w:t>
      </w:r>
    </w:p>
    <w:p w14:paraId="2C82DF90" w14:textId="77777777" w:rsidR="00FC161D" w:rsidRPr="005C792B" w:rsidRDefault="00FC161D" w:rsidP="001C14F4">
      <w:pPr>
        <w:pStyle w:val="COMParaDecision"/>
        <w:ind w:left="567" w:hanging="567"/>
      </w:pPr>
      <w:r>
        <w:t>Rappelant</w:t>
      </w:r>
      <w:r w:rsidRPr="008F0031">
        <w:rPr>
          <w:u w:val="none"/>
        </w:rPr>
        <w:t xml:space="preserve"> </w:t>
      </w:r>
      <w:r w:rsidRPr="00A972FE">
        <w:rPr>
          <w:rStyle w:val="Lienhypertexte"/>
          <w:color w:val="auto"/>
          <w:u w:val="none"/>
        </w:rPr>
        <w:t>la</w:t>
      </w:r>
      <w:r w:rsidRPr="00A972FE">
        <w:rPr>
          <w:u w:val="none"/>
        </w:rPr>
        <w:t xml:space="preserve"> résolution </w:t>
      </w:r>
      <w:hyperlink r:id="rId41" w:history="1">
        <w:r>
          <w:rPr>
            <w:rStyle w:val="Lienhypertexte"/>
          </w:rPr>
          <w:t>9.GA 13</w:t>
        </w:r>
      </w:hyperlink>
      <w:r>
        <w:rPr>
          <w:u w:val="none"/>
        </w:rPr>
        <w:t xml:space="preserve"> et la décision </w:t>
      </w:r>
      <w:hyperlink r:id="rId42" w:history="1">
        <w:r>
          <w:rPr>
            <w:rStyle w:val="Lienhypertexte"/>
          </w:rPr>
          <w:t>18.COM 6</w:t>
        </w:r>
        <w:r w:rsidRPr="00905026">
          <w:rPr>
            <w:rStyle w:val="Lienhypertexte"/>
            <w:u w:val="none"/>
          </w:rPr>
          <w:t>,</w:t>
        </w:r>
      </w:hyperlink>
    </w:p>
    <w:p w14:paraId="33C77546" w14:textId="77777777" w:rsidR="00FC161D" w:rsidRPr="00345CB4" w:rsidRDefault="00FC161D" w:rsidP="001C14F4">
      <w:pPr>
        <w:pStyle w:val="COMParaDecision"/>
        <w:ind w:left="567" w:hanging="567"/>
      </w:pPr>
      <w:r>
        <w:t>Rappelant en outre</w:t>
      </w:r>
      <w:r>
        <w:rPr>
          <w:u w:val="none"/>
        </w:rPr>
        <w:t xml:space="preserve"> le document </w:t>
      </w:r>
      <w:hyperlink r:id="rId43" w:history="1">
        <w:r>
          <w:rPr>
            <w:rStyle w:val="Lienhypertexte"/>
          </w:rPr>
          <w:t>42 C/Résolution 34</w:t>
        </w:r>
      </w:hyperlink>
      <w:r>
        <w:rPr>
          <w:u w:val="none"/>
        </w:rPr>
        <w:t xml:space="preserve"> de la Conférence générale de l’UNESCO</w:t>
      </w:r>
      <w:r w:rsidRPr="00905026">
        <w:rPr>
          <w:u w:val="none"/>
        </w:rPr>
        <w:t>,</w:t>
      </w:r>
    </w:p>
    <w:p w14:paraId="05EACFBB" w14:textId="77777777" w:rsidR="00FC161D" w:rsidRPr="00BC39DE" w:rsidRDefault="00FC161D" w:rsidP="001C14F4">
      <w:pPr>
        <w:pStyle w:val="COMParaDecision"/>
        <w:ind w:left="567" w:hanging="567"/>
      </w:pPr>
      <w:r>
        <w:t>Se félicite</w:t>
      </w:r>
      <w:r w:rsidRPr="008F0031">
        <w:rPr>
          <w:u w:val="none"/>
        </w:rPr>
        <w:t xml:space="preserve"> de</w:t>
      </w:r>
      <w:r>
        <w:rPr>
          <w:u w:val="none"/>
        </w:rPr>
        <w:t xml:space="preserve"> la proclamation du 17 octobre comme Journée internationale du patrimoine culturel immatériel</w:t>
      </w:r>
      <w:r w:rsidRPr="008F0031">
        <w:rPr>
          <w:u w:val="none"/>
        </w:rPr>
        <w:t> ;</w:t>
      </w:r>
    </w:p>
    <w:p w14:paraId="1C2FEF7C" w14:textId="77777777" w:rsidR="00FC161D" w:rsidRDefault="00FC161D" w:rsidP="001C14F4">
      <w:pPr>
        <w:pStyle w:val="COMParaDecision"/>
        <w:ind w:left="567" w:hanging="567"/>
        <w:rPr>
          <w:u w:val="none"/>
        </w:rPr>
      </w:pPr>
      <w:r>
        <w:t>Salue</w:t>
      </w:r>
      <w:r>
        <w:rPr>
          <w:u w:val="none"/>
        </w:rPr>
        <w:t xml:space="preserve"> les activités entreprises dans tous les groupes électoraux, aux niveaux national, régional et international, dans le cadre de la célébration du vingtième anniversaire de la Convention, y compris les conférences, les festivals, les réunions d’experts, les expositions, les publications et les campagnes de sensibilisation, entre </w:t>
      </w:r>
      <w:r w:rsidRPr="00905026">
        <w:rPr>
          <w:u w:val="none"/>
        </w:rPr>
        <w:t>autres</w:t>
      </w:r>
      <w:r w:rsidRPr="008F0031">
        <w:rPr>
          <w:u w:val="none"/>
        </w:rPr>
        <w:t> ;</w:t>
      </w:r>
    </w:p>
    <w:p w14:paraId="76032483" w14:textId="77777777" w:rsidR="00FC161D" w:rsidRPr="008540F9" w:rsidRDefault="00FC161D" w:rsidP="001C14F4">
      <w:pPr>
        <w:pStyle w:val="COMParaDecision"/>
        <w:ind w:left="567" w:hanging="567"/>
        <w:rPr>
          <w:u w:val="none"/>
        </w:rPr>
      </w:pPr>
      <w:r w:rsidRPr="002F4748">
        <w:t>Exprime</w:t>
      </w:r>
      <w:r w:rsidRPr="00905026">
        <w:t xml:space="preserve"> sa gratitude</w:t>
      </w:r>
      <w:r>
        <w:rPr>
          <w:u w:val="none"/>
        </w:rPr>
        <w:t xml:space="preserve"> à la République de Corée pour avoir accueilli à Séoul la réunion mondiale organisée à l’occasion du vingtième anniversaire de la Convention de 2003 et </w:t>
      </w:r>
      <w:r>
        <w:t>se félicite</w:t>
      </w:r>
      <w:r w:rsidRPr="00D55B1F">
        <w:rPr>
          <w:u w:val="none"/>
        </w:rPr>
        <w:t xml:space="preserve"> </w:t>
      </w:r>
      <w:r w:rsidRPr="008F0031">
        <w:rPr>
          <w:u w:val="none"/>
        </w:rPr>
        <w:t>des</w:t>
      </w:r>
      <w:r>
        <w:rPr>
          <w:u w:val="none"/>
        </w:rPr>
        <w:t xml:space="preserve"> domaines d’action future mis en évidence dans la « Vision de Séoul pour l’avenir de la sauvegarde du patrimoine vivant au service du développement durable et de la paix » </w:t>
      </w:r>
      <w:r w:rsidRPr="008F0031">
        <w:rPr>
          <w:u w:val="none"/>
        </w:rPr>
        <w:t>;</w:t>
      </w:r>
    </w:p>
    <w:p w14:paraId="719CA5D4" w14:textId="77777777" w:rsidR="00FC161D" w:rsidRDefault="00FC161D" w:rsidP="001C14F4">
      <w:pPr>
        <w:pStyle w:val="COMParaDecision"/>
        <w:ind w:left="567" w:hanging="567"/>
        <w:rPr>
          <w:u w:val="none"/>
        </w:rPr>
      </w:pPr>
      <w:r>
        <w:t>Exprime également sa gratitude</w:t>
      </w:r>
      <w:r>
        <w:rPr>
          <w:u w:val="none"/>
        </w:rPr>
        <w:t xml:space="preserve"> à l’Italie pour avoir accueilli la Conférence de Naples sur le patrimoine culturel au 21ème siècle et </w:t>
      </w:r>
      <w:r>
        <w:t>se félicite en outre</w:t>
      </w:r>
      <w:r w:rsidRPr="008F0031">
        <w:rPr>
          <w:u w:val="none"/>
        </w:rPr>
        <w:t xml:space="preserve"> de l’appel </w:t>
      </w:r>
      <w:r>
        <w:rPr>
          <w:u w:val="none"/>
        </w:rPr>
        <w:t>à l’action qui en a résulté, lequel énonce onze grands principes visant à garantir une vision prospective de la sauvegarde du patrimoine</w:t>
      </w:r>
      <w:r w:rsidRPr="008F0031">
        <w:rPr>
          <w:u w:val="none"/>
        </w:rPr>
        <w:t> ;</w:t>
      </w:r>
    </w:p>
    <w:p w14:paraId="2192BA1E" w14:textId="77777777" w:rsidR="00FC161D" w:rsidRPr="00525039" w:rsidRDefault="00FC161D" w:rsidP="001C14F4">
      <w:pPr>
        <w:pStyle w:val="COMParaDecision"/>
        <w:ind w:left="567" w:hanging="567"/>
        <w:rPr>
          <w:u w:val="none"/>
        </w:rPr>
      </w:pPr>
      <w:r w:rsidRPr="00905026">
        <w:t xml:space="preserve">Exprime </w:t>
      </w:r>
      <w:r>
        <w:t>en outre</w:t>
      </w:r>
      <w:r w:rsidRPr="00905026">
        <w:t xml:space="preserve"> sa gratitude</w:t>
      </w:r>
      <w:r w:rsidRPr="00525039">
        <w:rPr>
          <w:u w:val="none"/>
        </w:rPr>
        <w:t xml:space="preserve"> aux États parties d'Amérique latine et des Caraïbes pour les initiatives régionales reflétant les réalisations et les développements futurs de la Convention, incluant une conférence tenue au siège de l'UNESCO, une réunion d'experts organisée au Pérou en coopération avec le centre de catégorie 2 CRESPIAL, et le lancement d</w:t>
      </w:r>
      <w:r>
        <w:rPr>
          <w:u w:val="none"/>
        </w:rPr>
        <w:t>’</w:t>
      </w:r>
      <w:r w:rsidRPr="00525039">
        <w:rPr>
          <w:u w:val="none"/>
        </w:rPr>
        <w:t>une publication compilant les résultats de la réflexion régionale</w:t>
      </w:r>
      <w:r>
        <w:rPr>
          <w:u w:val="none"/>
        </w:rPr>
        <w:t xml:space="preserve"> ;</w:t>
      </w:r>
    </w:p>
    <w:p w14:paraId="14FACD5E" w14:textId="77777777" w:rsidR="00FC161D" w:rsidRDefault="00FC161D" w:rsidP="001C14F4">
      <w:pPr>
        <w:pStyle w:val="COMParaDecision"/>
        <w:ind w:left="567" w:hanging="567"/>
        <w:rPr>
          <w:u w:val="none"/>
        </w:rPr>
      </w:pPr>
      <w:r>
        <w:t>Remercie</w:t>
      </w:r>
      <w:r>
        <w:rPr>
          <w:u w:val="none"/>
        </w:rPr>
        <w:t xml:space="preserve"> les États parties qui ont généreusement apporté un soutien extrabudgétaire ou en nature à la célébration du vingtième anniversaire de la Convention</w:t>
      </w:r>
      <w:r w:rsidRPr="008F0031">
        <w:rPr>
          <w:u w:val="none"/>
        </w:rPr>
        <w:t> ;</w:t>
      </w:r>
    </w:p>
    <w:p w14:paraId="74A55906" w14:textId="77777777" w:rsidR="00FC161D" w:rsidRPr="007E1B3A" w:rsidRDefault="00FC161D" w:rsidP="001C14F4">
      <w:pPr>
        <w:pStyle w:val="COMParaDecision"/>
        <w:ind w:left="567" w:hanging="567"/>
      </w:pPr>
      <w:r w:rsidRPr="00D55B1F">
        <w:t>Exprime ses remerciements</w:t>
      </w:r>
      <w:r w:rsidRPr="00905026">
        <w:rPr>
          <w:u w:val="none"/>
        </w:rPr>
        <w:t xml:space="preserve"> au</w:t>
      </w:r>
      <w:r>
        <w:rPr>
          <w:u w:val="none"/>
        </w:rPr>
        <w:t xml:space="preserve"> </w:t>
      </w:r>
      <w:r w:rsidRPr="00D55B1F">
        <w:rPr>
          <w:u w:val="none"/>
        </w:rPr>
        <w:t>Secrétariat</w:t>
      </w:r>
      <w:r>
        <w:rPr>
          <w:u w:val="none"/>
        </w:rPr>
        <w:t>, à tous les États parties, aux communautés ainsi qu’aux autres parties prenantes pour leur participation active à la célébration tout au long de l’année anniversaire, notamment en promouvant les objectifs de la Convention, en faisant le point sur les réalisations passées et en explorant le développement futur de la Convention</w:t>
      </w:r>
      <w:r w:rsidRPr="008F0031">
        <w:rPr>
          <w:u w:val="none"/>
        </w:rPr>
        <w:t>.</w:t>
      </w:r>
    </w:p>
    <w:p w14:paraId="3C51F10F" w14:textId="77777777" w:rsidR="00626E9D" w:rsidRDefault="00626E9D" w:rsidP="00626E9D">
      <w:pPr>
        <w:pStyle w:val="COMTitleDecision"/>
        <w:ind w:left="0"/>
      </w:pPr>
      <w:r>
        <w:t>RÉSOLUTION </w:t>
      </w:r>
      <w:r w:rsidRPr="001402ED">
        <w:t>10.GA 11</w:t>
      </w:r>
    </w:p>
    <w:p w14:paraId="2E998EE9" w14:textId="77777777" w:rsidR="00626E9D" w:rsidRPr="00401183" w:rsidRDefault="00626E9D" w:rsidP="00626E9D">
      <w:pPr>
        <w:keepNext/>
        <w:spacing w:after="120"/>
        <w:jc w:val="both"/>
        <w:rPr>
          <w:rFonts w:ascii="Arial" w:eastAsia="SimSun" w:hAnsi="Arial" w:cs="Arial"/>
          <w:sz w:val="22"/>
          <w:szCs w:val="22"/>
        </w:rPr>
      </w:pPr>
      <w:r w:rsidRPr="00401183">
        <w:rPr>
          <w:rFonts w:ascii="Arial" w:hAnsi="Arial" w:cs="Arial"/>
          <w:sz w:val="22"/>
          <w:szCs w:val="22"/>
        </w:rPr>
        <w:t>L’Assemblée générale,</w:t>
      </w:r>
    </w:p>
    <w:p w14:paraId="540C5EE7" w14:textId="1CA050C1" w:rsidR="00626E9D" w:rsidRPr="00C8040F" w:rsidRDefault="00626E9D" w:rsidP="00626E9D">
      <w:pPr>
        <w:pStyle w:val="COMParaDecision"/>
        <w:numPr>
          <w:ilvl w:val="0"/>
          <w:numId w:val="38"/>
        </w:numPr>
        <w:ind w:left="567" w:hanging="567"/>
        <w:rPr>
          <w:rFonts w:eastAsia="SimSun"/>
          <w:u w:val="none"/>
        </w:rPr>
      </w:pPr>
      <w:r w:rsidRPr="00402861">
        <w:rPr>
          <w:rFonts w:eastAsia="SimSun"/>
        </w:rPr>
        <w:t>Ayant examiné</w:t>
      </w:r>
      <w:r w:rsidRPr="00C8040F">
        <w:rPr>
          <w:rFonts w:eastAsia="SimSun"/>
          <w:u w:val="none"/>
        </w:rPr>
        <w:t xml:space="preserve"> le document </w:t>
      </w:r>
      <w:hyperlink r:id="rId44" w:history="1">
        <w:r w:rsidRPr="00C8040F">
          <w:rPr>
            <w:rStyle w:val="Lienhypertexte"/>
            <w:rFonts w:eastAsia="SimSun"/>
          </w:rPr>
          <w:t>LHE/24/10.GA/11</w:t>
        </w:r>
        <w:r w:rsidRPr="001C14F4">
          <w:rPr>
            <w:rStyle w:val="Lienhypertexte"/>
            <w:rFonts w:eastAsia="SimSun"/>
            <w:color w:val="auto"/>
            <w:u w:val="none"/>
          </w:rPr>
          <w:t>,</w:t>
        </w:r>
      </w:hyperlink>
    </w:p>
    <w:p w14:paraId="79A1B116" w14:textId="77777777" w:rsidR="00626E9D" w:rsidRPr="00401183" w:rsidRDefault="00626E9D" w:rsidP="00626E9D">
      <w:pPr>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401183">
        <w:rPr>
          <w:rFonts w:ascii="Arial" w:eastAsia="SimSun" w:hAnsi="Arial" w:cs="Arial"/>
          <w:sz w:val="22"/>
          <w:szCs w:val="22"/>
          <w:u w:val="single"/>
        </w:rPr>
        <w:t>Rappelant</w:t>
      </w:r>
      <w:r w:rsidRPr="00401183">
        <w:rPr>
          <w:rFonts w:ascii="Arial" w:eastAsia="SimSun" w:hAnsi="Arial" w:cs="Arial"/>
          <w:sz w:val="22"/>
          <w:szCs w:val="22"/>
        </w:rPr>
        <w:t xml:space="preserve"> les articles 5, 6 et 26.5 de la Convention et les articles 35, 36 et 37 de son Règlement intérieur,</w:t>
      </w:r>
    </w:p>
    <w:p w14:paraId="4B138BC8" w14:textId="77777777" w:rsidR="00626E9D" w:rsidRPr="00401183" w:rsidRDefault="00626E9D" w:rsidP="00626E9D">
      <w:pPr>
        <w:numPr>
          <w:ilvl w:val="0"/>
          <w:numId w:val="10"/>
        </w:numPr>
        <w:autoSpaceDE w:val="0"/>
        <w:autoSpaceDN w:val="0"/>
        <w:adjustRightInd w:val="0"/>
        <w:spacing w:after="120"/>
        <w:ind w:left="567" w:hanging="567"/>
        <w:rPr>
          <w:rFonts w:ascii="Arial" w:eastAsia="SimSun" w:hAnsi="Arial" w:cs="Arial"/>
          <w:sz w:val="22"/>
          <w:szCs w:val="22"/>
          <w:u w:val="single"/>
        </w:rPr>
      </w:pPr>
      <w:r w:rsidRPr="00401183">
        <w:rPr>
          <w:rFonts w:ascii="Arial" w:eastAsia="SimSun" w:hAnsi="Arial" w:cs="Arial"/>
          <w:sz w:val="22"/>
          <w:szCs w:val="22"/>
          <w:u w:val="single"/>
        </w:rPr>
        <w:t>Rappelant en outre</w:t>
      </w:r>
      <w:r w:rsidRPr="00401183">
        <w:rPr>
          <w:rFonts w:ascii="Arial" w:eastAsia="SimSun" w:hAnsi="Arial" w:cs="Arial"/>
          <w:sz w:val="22"/>
          <w:szCs w:val="22"/>
        </w:rPr>
        <w:t xml:space="preserve"> la résolution 10.GA 4,</w:t>
      </w:r>
    </w:p>
    <w:p w14:paraId="47E65BFC" w14:textId="77777777" w:rsidR="00626E9D" w:rsidRPr="00401183" w:rsidRDefault="00626E9D" w:rsidP="00626E9D">
      <w:pPr>
        <w:keepNext/>
        <w:numPr>
          <w:ilvl w:val="0"/>
          <w:numId w:val="10"/>
        </w:numPr>
        <w:autoSpaceDE w:val="0"/>
        <w:autoSpaceDN w:val="0"/>
        <w:adjustRightInd w:val="0"/>
        <w:spacing w:after="120"/>
        <w:ind w:left="567" w:hanging="567"/>
        <w:jc w:val="both"/>
        <w:rPr>
          <w:rFonts w:ascii="Arial" w:eastAsia="SimSun" w:hAnsi="Arial" w:cs="Arial"/>
          <w:sz w:val="22"/>
          <w:szCs w:val="22"/>
          <w:u w:val="single"/>
        </w:rPr>
      </w:pPr>
      <w:r w:rsidRPr="00401183">
        <w:rPr>
          <w:rFonts w:ascii="Arial" w:eastAsia="SimSun" w:hAnsi="Arial" w:cs="Arial"/>
          <w:sz w:val="22"/>
          <w:szCs w:val="22"/>
          <w:u w:val="single"/>
        </w:rPr>
        <w:t>Élit</w:t>
      </w:r>
      <w:r w:rsidRPr="00401183">
        <w:rPr>
          <w:rFonts w:ascii="Arial" w:eastAsia="SimSun" w:hAnsi="Arial" w:cs="Arial"/>
          <w:sz w:val="22"/>
          <w:szCs w:val="22"/>
        </w:rPr>
        <w:t xml:space="preserve"> les douze États parties suivants au Comité intergouvernemental de sauvegarde du patrimoine culturel immatériel pour un mandat de quatre ans à compter de la date de l’élection :</w:t>
      </w:r>
    </w:p>
    <w:p w14:paraId="6B63B4B3" w14:textId="26970D02" w:rsidR="00626E9D" w:rsidRPr="00402861" w:rsidRDefault="00626E9D" w:rsidP="00626E9D">
      <w:pPr>
        <w:autoSpaceDE w:val="0"/>
        <w:autoSpaceDN w:val="0"/>
        <w:adjustRightInd w:val="0"/>
        <w:spacing w:after="120"/>
        <w:ind w:left="1134" w:hanging="567"/>
        <w:jc w:val="both"/>
        <w:rPr>
          <w:rFonts w:ascii="Arial" w:eastAsia="SimSun" w:hAnsi="Arial" w:cs="Arial"/>
          <w:sz w:val="22"/>
          <w:szCs w:val="22"/>
        </w:rPr>
      </w:pPr>
      <w:r w:rsidRPr="00402861">
        <w:rPr>
          <w:rFonts w:ascii="Arial" w:eastAsia="SimSun" w:hAnsi="Arial" w:cs="Arial"/>
          <w:sz w:val="22"/>
          <w:szCs w:val="22"/>
        </w:rPr>
        <w:t>Groupe I : Espagne, France</w:t>
      </w:r>
    </w:p>
    <w:p w14:paraId="6B183547" w14:textId="77777777" w:rsidR="00626E9D" w:rsidRPr="00402861" w:rsidRDefault="00626E9D" w:rsidP="00626E9D">
      <w:pPr>
        <w:autoSpaceDE w:val="0"/>
        <w:autoSpaceDN w:val="0"/>
        <w:adjustRightInd w:val="0"/>
        <w:spacing w:after="120"/>
        <w:ind w:left="1134" w:hanging="567"/>
        <w:jc w:val="both"/>
        <w:rPr>
          <w:rFonts w:ascii="Arial" w:eastAsia="SimSun" w:hAnsi="Arial" w:cs="Arial"/>
          <w:sz w:val="22"/>
          <w:szCs w:val="22"/>
        </w:rPr>
      </w:pPr>
      <w:r w:rsidRPr="00402861">
        <w:rPr>
          <w:rFonts w:ascii="Arial" w:eastAsia="SimSun" w:hAnsi="Arial" w:cs="Arial"/>
          <w:sz w:val="22"/>
          <w:szCs w:val="22"/>
        </w:rPr>
        <w:lastRenderedPageBreak/>
        <w:t>Groupe II : Ukraine</w:t>
      </w:r>
    </w:p>
    <w:p w14:paraId="1AC0E78C" w14:textId="77777777" w:rsidR="00626E9D" w:rsidRPr="00402861" w:rsidRDefault="00626E9D" w:rsidP="00C8040F">
      <w:pPr>
        <w:tabs>
          <w:tab w:val="left" w:pos="2223"/>
        </w:tabs>
        <w:autoSpaceDE w:val="0"/>
        <w:autoSpaceDN w:val="0"/>
        <w:adjustRightInd w:val="0"/>
        <w:spacing w:after="120"/>
        <w:ind w:left="1134" w:hanging="567"/>
        <w:jc w:val="both"/>
        <w:rPr>
          <w:rFonts w:ascii="Arial" w:eastAsia="SimSun" w:hAnsi="Arial" w:cs="Arial"/>
          <w:sz w:val="22"/>
          <w:szCs w:val="22"/>
        </w:rPr>
      </w:pPr>
      <w:r w:rsidRPr="00402861">
        <w:rPr>
          <w:rFonts w:ascii="Arial" w:eastAsia="SimSun" w:hAnsi="Arial" w:cs="Arial"/>
          <w:sz w:val="22"/>
          <w:szCs w:val="22"/>
        </w:rPr>
        <w:t>Groupe III : Barbade, République dominicaine</w:t>
      </w:r>
      <w:r w:rsidRPr="00C8040F">
        <w:rPr>
          <w:rFonts w:ascii="Arial" w:eastAsia="SimSun" w:hAnsi="Arial" w:cs="Arial"/>
          <w:sz w:val="22"/>
          <w:szCs w:val="22"/>
        </w:rPr>
        <w:t xml:space="preserve">, </w:t>
      </w:r>
      <w:r w:rsidRPr="00402861">
        <w:rPr>
          <w:rFonts w:ascii="Arial" w:eastAsia="SimSun" w:hAnsi="Arial" w:cs="Arial"/>
          <w:sz w:val="22"/>
          <w:szCs w:val="22"/>
        </w:rPr>
        <w:t>Haïti</w:t>
      </w:r>
    </w:p>
    <w:p w14:paraId="757F97FC" w14:textId="160EF18E" w:rsidR="00626E9D" w:rsidRPr="00402861" w:rsidRDefault="00626E9D" w:rsidP="00626E9D">
      <w:pPr>
        <w:autoSpaceDE w:val="0"/>
        <w:autoSpaceDN w:val="0"/>
        <w:adjustRightInd w:val="0"/>
        <w:spacing w:after="120"/>
        <w:ind w:left="1134" w:hanging="567"/>
        <w:jc w:val="both"/>
        <w:rPr>
          <w:rFonts w:ascii="Arial" w:eastAsia="SimSun" w:hAnsi="Arial" w:cs="Arial"/>
          <w:sz w:val="22"/>
          <w:szCs w:val="22"/>
        </w:rPr>
      </w:pPr>
      <w:r w:rsidRPr="00402861">
        <w:rPr>
          <w:rFonts w:ascii="Arial" w:eastAsia="SimSun" w:hAnsi="Arial" w:cs="Arial"/>
          <w:sz w:val="22"/>
          <w:szCs w:val="22"/>
        </w:rPr>
        <w:t>Groupe IV : Chine</w:t>
      </w:r>
    </w:p>
    <w:p w14:paraId="3AF68C3E" w14:textId="327EA93E" w:rsidR="00626E9D" w:rsidRPr="00402861" w:rsidRDefault="00626E9D" w:rsidP="00626E9D">
      <w:pPr>
        <w:autoSpaceDE w:val="0"/>
        <w:autoSpaceDN w:val="0"/>
        <w:adjustRightInd w:val="0"/>
        <w:spacing w:after="120"/>
        <w:ind w:left="1134" w:hanging="567"/>
        <w:jc w:val="both"/>
        <w:rPr>
          <w:rFonts w:ascii="Arial" w:eastAsia="SimSun" w:hAnsi="Arial" w:cs="Arial"/>
          <w:sz w:val="22"/>
          <w:szCs w:val="22"/>
        </w:rPr>
      </w:pPr>
      <w:r w:rsidRPr="00402861">
        <w:rPr>
          <w:rFonts w:ascii="Arial" w:eastAsia="SimSun" w:hAnsi="Arial" w:cs="Arial"/>
          <w:sz w:val="22"/>
          <w:szCs w:val="22"/>
        </w:rPr>
        <w:t xml:space="preserve">Groupe V(a) : </w:t>
      </w:r>
      <w:r w:rsidR="00963A5C" w:rsidRPr="00C8040F">
        <w:rPr>
          <w:rFonts w:ascii="Arial" w:eastAsia="SimSun" w:hAnsi="Arial" w:cs="Arial"/>
          <w:sz w:val="22"/>
          <w:szCs w:val="22"/>
        </w:rPr>
        <w:t xml:space="preserve">Nigéria, </w:t>
      </w:r>
      <w:r w:rsidRPr="00402861">
        <w:rPr>
          <w:rFonts w:ascii="Arial" w:eastAsia="SimSun" w:hAnsi="Arial" w:cs="Arial"/>
          <w:sz w:val="22"/>
          <w:szCs w:val="22"/>
        </w:rPr>
        <w:t>Ouganda, Zambie</w:t>
      </w:r>
    </w:p>
    <w:p w14:paraId="319959CF" w14:textId="402F707D" w:rsidR="00401183" w:rsidRPr="00BB6EEC" w:rsidRDefault="00626E9D" w:rsidP="00C8040F">
      <w:pPr>
        <w:autoSpaceDE w:val="0"/>
        <w:autoSpaceDN w:val="0"/>
        <w:adjustRightInd w:val="0"/>
        <w:spacing w:after="120"/>
        <w:ind w:left="1134" w:hanging="567"/>
        <w:jc w:val="both"/>
        <w:rPr>
          <w:rFonts w:eastAsia="SimSun"/>
        </w:rPr>
      </w:pPr>
      <w:r w:rsidRPr="00402861">
        <w:rPr>
          <w:rFonts w:ascii="Arial" w:eastAsia="SimSun" w:hAnsi="Arial" w:cs="Arial"/>
          <w:sz w:val="22"/>
          <w:szCs w:val="22"/>
        </w:rPr>
        <w:t>Groupe V(b) : Algérie, Émirats arabes unis</w:t>
      </w:r>
    </w:p>
    <w:sectPr w:rsidR="00401183" w:rsidRPr="00BB6EEC" w:rsidSect="00C8040F">
      <w:headerReference w:type="even" r:id="rId45"/>
      <w:headerReference w:type="default" r:id="rId46"/>
      <w:headerReference w:type="first" r:id="rId47"/>
      <w:pgSz w:w="11906" w:h="16838" w:code="9"/>
      <w:pgMar w:top="1418" w:right="1134" w:bottom="1134" w:left="1276"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64789" w14:textId="77777777" w:rsidR="00CC031E" w:rsidRDefault="00CC031E" w:rsidP="00655736">
      <w:r>
        <w:separator/>
      </w:r>
    </w:p>
    <w:p w14:paraId="681336B9" w14:textId="77777777" w:rsidR="00CC031E" w:rsidRDefault="00CC031E"/>
    <w:p w14:paraId="44273CE3" w14:textId="77777777" w:rsidR="00CC031E" w:rsidRDefault="00CC031E" w:rsidP="002E58D4"/>
    <w:p w14:paraId="30579699" w14:textId="77777777" w:rsidR="00CC031E" w:rsidRDefault="00CC031E" w:rsidP="002E58D4"/>
    <w:p w14:paraId="2B394606" w14:textId="77777777" w:rsidR="00CC031E" w:rsidRDefault="00CC031E" w:rsidP="002E58D4"/>
  </w:endnote>
  <w:endnote w:type="continuationSeparator" w:id="0">
    <w:p w14:paraId="67D419CB" w14:textId="77777777" w:rsidR="00CC031E" w:rsidRDefault="00CC031E" w:rsidP="00655736">
      <w:r>
        <w:continuationSeparator/>
      </w:r>
    </w:p>
    <w:p w14:paraId="4EEE7855" w14:textId="77777777" w:rsidR="00CC031E" w:rsidRDefault="00CC031E"/>
    <w:p w14:paraId="2D8B2AD3" w14:textId="77777777" w:rsidR="00CC031E" w:rsidRDefault="00CC031E" w:rsidP="002E58D4"/>
    <w:p w14:paraId="4EF6A13D" w14:textId="77777777" w:rsidR="00CC031E" w:rsidRDefault="00CC031E" w:rsidP="002E58D4"/>
    <w:p w14:paraId="66949107" w14:textId="77777777" w:rsidR="00CC031E" w:rsidRDefault="00CC031E"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C1E66" w14:textId="77777777" w:rsidR="00CC031E" w:rsidRDefault="00CC031E" w:rsidP="00655736">
      <w:r>
        <w:separator/>
      </w:r>
    </w:p>
  </w:footnote>
  <w:footnote w:type="continuationSeparator" w:id="0">
    <w:p w14:paraId="143B0F3F" w14:textId="77777777" w:rsidR="00CC031E" w:rsidRDefault="00CC031E" w:rsidP="00655736">
      <w:r>
        <w:continuationSeparator/>
      </w:r>
    </w:p>
    <w:p w14:paraId="38C4A23A" w14:textId="77777777" w:rsidR="00CC031E" w:rsidRDefault="00CC031E"/>
    <w:p w14:paraId="6A9069B4" w14:textId="77777777" w:rsidR="00CC031E" w:rsidRDefault="00CC031E" w:rsidP="002E58D4"/>
    <w:p w14:paraId="4134080A" w14:textId="77777777" w:rsidR="00CC031E" w:rsidRDefault="00CC031E" w:rsidP="002E58D4"/>
    <w:p w14:paraId="042545D2" w14:textId="77777777" w:rsidR="00CC031E" w:rsidRDefault="00CC031E"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4606E" w14:textId="107BC18F" w:rsidR="00B91626" w:rsidRPr="00C23A97" w:rsidRDefault="00B91626" w:rsidP="00C5776D">
    <w:pPr>
      <w:pStyle w:val="En-tte"/>
      <w:rPr>
        <w:rFonts w:ascii="Arial" w:hAnsi="Arial" w:cs="Arial"/>
      </w:rPr>
    </w:pPr>
    <w:r>
      <w:rPr>
        <w:rFonts w:ascii="Arial" w:hAnsi="Arial"/>
        <w:sz w:val="20"/>
      </w:rPr>
      <w:t>LHE/24/10.GA/</w:t>
    </w:r>
    <w:r w:rsidR="00103637" w:rsidRPr="00A82031">
      <w:rPr>
        <w:rFonts w:ascii="Arial" w:hAnsi="Arial"/>
        <w:sz w:val="20"/>
        <w:szCs w:val="20"/>
      </w:rPr>
      <w:t>Résolutions</w:t>
    </w:r>
    <w:r>
      <w:rPr>
        <w:rFonts w:ascii="Arial" w:hAnsi="Arial"/>
        <w:sz w:val="20"/>
      </w:rPr>
      <w:t xml:space="preserve"> – page </w:t>
    </w:r>
    <w:r w:rsidRPr="00C23A97">
      <w:rPr>
        <w:rStyle w:val="Numrodepage"/>
        <w:rFonts w:ascii="Arial" w:hAnsi="Arial" w:cs="Arial"/>
        <w:sz w:val="20"/>
      </w:rPr>
      <w:fldChar w:fldCharType="begin"/>
    </w:r>
    <w:r w:rsidRPr="00C23A97">
      <w:rPr>
        <w:rStyle w:val="Numrodepage"/>
        <w:rFonts w:ascii="Arial" w:hAnsi="Arial" w:cs="Arial"/>
        <w:sz w:val="20"/>
      </w:rPr>
      <w:instrText xml:space="preserve"> PAGE </w:instrText>
    </w:r>
    <w:r w:rsidRPr="00C23A97">
      <w:rPr>
        <w:rStyle w:val="Numrodepage"/>
        <w:rFonts w:ascii="Arial" w:hAnsi="Arial" w:cs="Arial"/>
        <w:sz w:val="20"/>
      </w:rPr>
      <w:fldChar w:fldCharType="separate"/>
    </w:r>
    <w:r>
      <w:rPr>
        <w:rStyle w:val="Numrodepage"/>
        <w:rFonts w:ascii="Arial" w:hAnsi="Arial" w:cs="Arial"/>
        <w:sz w:val="20"/>
      </w:rPr>
      <w:t>2</w:t>
    </w:r>
    <w:r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AC4F1" w14:textId="36CEDCD5" w:rsidR="00B91626" w:rsidRPr="0063300C" w:rsidRDefault="00B91626" w:rsidP="00C5776D">
    <w:pPr>
      <w:pStyle w:val="En-tte"/>
      <w:jc w:val="right"/>
      <w:rPr>
        <w:rFonts w:ascii="Arial" w:hAnsi="Arial" w:cs="Arial"/>
      </w:rPr>
    </w:pPr>
    <w:r w:rsidRPr="00C8040F">
      <w:rPr>
        <w:rFonts w:ascii="Arial" w:hAnsi="Arial" w:cs="Arial"/>
        <w:sz w:val="20"/>
        <w:szCs w:val="20"/>
      </w:rPr>
      <w:t>LHE/24/10.GA/Résolutions</w:t>
    </w:r>
    <w:r>
      <w:rPr>
        <w:rFonts w:ascii="Arial" w:hAnsi="Arial"/>
        <w:sz w:val="20"/>
      </w:rPr>
      <w:t xml:space="preserve"> – page </w:t>
    </w:r>
    <w:r w:rsidRPr="0063300C">
      <w:rPr>
        <w:rStyle w:val="Numrodepage"/>
        <w:rFonts w:ascii="Arial" w:hAnsi="Arial" w:cs="Arial"/>
        <w:sz w:val="20"/>
      </w:rPr>
      <w:fldChar w:fldCharType="begin"/>
    </w:r>
    <w:r w:rsidRPr="0063300C">
      <w:rPr>
        <w:rStyle w:val="Numrodepage"/>
        <w:rFonts w:ascii="Arial" w:hAnsi="Arial" w:cs="Arial"/>
        <w:sz w:val="20"/>
      </w:rPr>
      <w:instrText xml:space="preserve"> PAGE </w:instrText>
    </w:r>
    <w:r w:rsidRPr="0063300C">
      <w:rPr>
        <w:rStyle w:val="Numrodepage"/>
        <w:rFonts w:ascii="Arial" w:hAnsi="Arial" w:cs="Arial"/>
        <w:sz w:val="20"/>
      </w:rPr>
      <w:fldChar w:fldCharType="separate"/>
    </w:r>
    <w:r>
      <w:rPr>
        <w:rStyle w:val="Numrodepage"/>
        <w:rFonts w:ascii="Arial" w:hAnsi="Arial" w:cs="Arial"/>
        <w:sz w:val="20"/>
      </w:rPr>
      <w:t>3</w:t>
    </w:r>
    <w:r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07A56" w14:textId="77777777" w:rsidR="00B91626" w:rsidRPr="00E95AE2" w:rsidRDefault="00B91626">
    <w:pPr>
      <w:pStyle w:val="En-tte"/>
      <w:rPr>
        <w:sz w:val="22"/>
        <w:szCs w:val="22"/>
      </w:rPr>
    </w:pPr>
    <w:r>
      <w:rPr>
        <w:rFonts w:ascii="Arial" w:hAnsi="Arial" w:cs="Arial"/>
        <w:b/>
        <w:noProof/>
        <w:sz w:val="44"/>
        <w:szCs w:val="44"/>
        <w:lang w:val="pt-PT"/>
      </w:rPr>
      <w:drawing>
        <wp:anchor distT="0" distB="0" distL="114300" distR="114300" simplePos="0" relativeHeight="251661312" behindDoc="0" locked="0" layoutInCell="1" allowOverlap="1" wp14:anchorId="1F17A337" wp14:editId="68DD4048">
          <wp:simplePos x="0" y="0"/>
          <wp:positionH relativeFrom="column">
            <wp:posOffset>32893</wp:posOffset>
          </wp:positionH>
          <wp:positionV relativeFrom="paragraph">
            <wp:posOffset>76073</wp:posOffset>
          </wp:positionV>
          <wp:extent cx="1657350" cy="1391920"/>
          <wp:effectExtent l="0" t="0" r="0" b="0"/>
          <wp:wrapSquare wrapText="bothSides"/>
          <wp:docPr id="894457853"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217C6" w14:textId="77777777" w:rsidR="00B91626" w:rsidRPr="00D7105A" w:rsidRDefault="00B91626" w:rsidP="00C5776D">
    <w:pPr>
      <w:pStyle w:val="En-tte"/>
      <w:spacing w:after="520"/>
      <w:jc w:val="right"/>
      <w:rPr>
        <w:rFonts w:ascii="Arial" w:hAnsi="Arial" w:cs="Arial"/>
        <w:b/>
        <w:sz w:val="44"/>
        <w:szCs w:val="44"/>
      </w:rPr>
    </w:pPr>
    <w:r>
      <w:rPr>
        <w:rFonts w:ascii="Arial" w:hAnsi="Arial"/>
        <w:b/>
        <w:sz w:val="44"/>
      </w:rPr>
      <w:t>10 GA</w:t>
    </w:r>
  </w:p>
  <w:p w14:paraId="28D6DB4D" w14:textId="1C8E87D2" w:rsidR="00B91626" w:rsidRPr="00D7105A" w:rsidRDefault="00B91626" w:rsidP="00C5776D">
    <w:pPr>
      <w:jc w:val="right"/>
      <w:rPr>
        <w:rFonts w:ascii="Arial" w:hAnsi="Arial" w:cs="Arial"/>
        <w:b/>
        <w:sz w:val="22"/>
        <w:szCs w:val="22"/>
      </w:rPr>
    </w:pPr>
    <w:r>
      <w:rPr>
        <w:rFonts w:ascii="Arial" w:hAnsi="Arial"/>
        <w:b/>
        <w:sz w:val="22"/>
      </w:rPr>
      <w:t>LHE/24/10.GA/</w:t>
    </w:r>
    <w:r w:rsidR="00103637" w:rsidRPr="00103637">
      <w:rPr>
        <w:rFonts w:ascii="Arial" w:hAnsi="Arial"/>
        <w:b/>
      </w:rPr>
      <w:t xml:space="preserve"> </w:t>
    </w:r>
    <w:r w:rsidR="00103637" w:rsidRPr="00A464EA">
      <w:rPr>
        <w:rFonts w:ascii="Arial" w:hAnsi="Arial"/>
        <w:b/>
      </w:rPr>
      <w:t>Résolutions</w:t>
    </w:r>
  </w:p>
  <w:p w14:paraId="55A7E0AE" w14:textId="1DA2BC32" w:rsidR="00B91626" w:rsidRPr="00D7105A" w:rsidRDefault="00B91626" w:rsidP="00655736">
    <w:pPr>
      <w:jc w:val="right"/>
      <w:rPr>
        <w:rFonts w:ascii="Arial" w:eastAsiaTheme="minorEastAsia" w:hAnsi="Arial" w:cs="Arial"/>
        <w:b/>
        <w:sz w:val="22"/>
        <w:szCs w:val="22"/>
      </w:rPr>
    </w:pPr>
    <w:r w:rsidRPr="00652CEF">
      <w:rPr>
        <w:rFonts w:ascii="Arial" w:hAnsi="Arial"/>
        <w:b/>
        <w:sz w:val="22"/>
      </w:rPr>
      <w:t xml:space="preserve">Paris, le </w:t>
    </w:r>
    <w:r w:rsidR="00040164">
      <w:rPr>
        <w:rFonts w:ascii="Arial" w:hAnsi="Arial"/>
        <w:b/>
        <w:sz w:val="22"/>
      </w:rPr>
      <w:t xml:space="preserve">28 </w:t>
    </w:r>
    <w:r w:rsidR="00100B12">
      <w:rPr>
        <w:rFonts w:ascii="Arial" w:hAnsi="Arial"/>
        <w:b/>
        <w:sz w:val="22"/>
      </w:rPr>
      <w:t>juin</w:t>
    </w:r>
    <w:r w:rsidR="00B82FF7" w:rsidRPr="00652CEF">
      <w:rPr>
        <w:rFonts w:ascii="Arial" w:hAnsi="Arial"/>
        <w:b/>
        <w:sz w:val="22"/>
      </w:rPr>
      <w:t> </w:t>
    </w:r>
    <w:r w:rsidRPr="00652CEF">
      <w:rPr>
        <w:rFonts w:ascii="Arial" w:hAnsi="Arial"/>
        <w:b/>
        <w:sz w:val="22"/>
      </w:rPr>
      <w:t>2024</w:t>
    </w:r>
  </w:p>
  <w:p w14:paraId="24634689" w14:textId="45024A14" w:rsidR="00B91626" w:rsidRPr="005A74ED" w:rsidRDefault="00B91626" w:rsidP="00962034">
    <w:pPr>
      <w:spacing w:after="120"/>
      <w:jc w:val="right"/>
      <w:rPr>
        <w:rFonts w:ascii="Arial" w:hAnsi="Arial" w:cs="Arial"/>
        <w:b/>
        <w:sz w:val="22"/>
        <w:szCs w:val="22"/>
      </w:rPr>
    </w:pPr>
    <w:r>
      <w:rPr>
        <w:rFonts w:ascii="Arial" w:hAnsi="Arial"/>
        <w:b/>
        <w:sz w:val="22"/>
      </w:rPr>
      <w:t xml:space="preserve">Original : </w:t>
    </w:r>
    <w:r w:rsidR="00103637" w:rsidRPr="00A464EA">
      <w:rPr>
        <w:rFonts w:ascii="Arial" w:hAnsi="Arial"/>
        <w:b/>
      </w:rPr>
      <w:t>anglais/français</w:t>
    </w:r>
  </w:p>
  <w:p w14:paraId="0F95A8A6" w14:textId="77777777" w:rsidR="00B91626" w:rsidRPr="005A74ED" w:rsidRDefault="00B91626">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27952D27"/>
    <w:multiLevelType w:val="hybridMultilevel"/>
    <w:tmpl w:val="ABBE3550"/>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1A1C2972"/>
    <w:lvl w:ilvl="0" w:tplc="6FB8652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41360434"/>
    <w:lvl w:ilvl="0" w:tplc="B35A244C">
      <w:start w:val="1"/>
      <w:numFmt w:val="decimal"/>
      <w:pStyle w:val="COMParaDecision"/>
      <w:lvlText w:val="%1."/>
      <w:lvlJc w:val="left"/>
      <w:pPr>
        <w:ind w:left="1069" w:hanging="360"/>
      </w:p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3A2B5538"/>
    <w:multiLevelType w:val="hybridMultilevel"/>
    <w:tmpl w:val="2B76B6C6"/>
    <w:lvl w:ilvl="0" w:tplc="FFFFFFFF">
      <w:start w:val="1"/>
      <w:numFmt w:val="lowerLetter"/>
      <w:lvlText w:val="(%1)"/>
      <w:lvlJc w:val="left"/>
      <w:pPr>
        <w:ind w:left="720" w:hanging="360"/>
      </w:pPr>
      <w:rPr>
        <w:rFonts w:asciiTheme="minorBidi" w:eastAsia="Yu Mincho" w:hAnsiTheme="minorBidi"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464FFC"/>
    <w:multiLevelType w:val="hybridMultilevel"/>
    <w:tmpl w:val="8FA2D8B6"/>
    <w:lvl w:ilvl="0" w:tplc="7CD8DD8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5216A"/>
    <w:multiLevelType w:val="hybridMultilevel"/>
    <w:tmpl w:val="D4D2177C"/>
    <w:lvl w:ilvl="0" w:tplc="D626FAFA">
      <w:start w:val="1"/>
      <w:numFmt w:val="lowerLetter"/>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35B0026"/>
    <w:multiLevelType w:val="hybridMultilevel"/>
    <w:tmpl w:val="D21E4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864D2D"/>
    <w:multiLevelType w:val="hybridMultilevel"/>
    <w:tmpl w:val="232A5FE0"/>
    <w:lvl w:ilvl="0" w:tplc="5B704648">
      <w:start w:val="1"/>
      <w:numFmt w:val="decimal"/>
      <w:lvlText w:val="%1."/>
      <w:lvlJc w:val="left"/>
      <w:pPr>
        <w:ind w:left="1287" w:hanging="363"/>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01643F"/>
    <w:multiLevelType w:val="hybridMultilevel"/>
    <w:tmpl w:val="1BB8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F4E0E"/>
    <w:multiLevelType w:val="hybridMultilevel"/>
    <w:tmpl w:val="12C6B15C"/>
    <w:lvl w:ilvl="0" w:tplc="738A04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76332148">
    <w:abstractNumId w:val="18"/>
  </w:num>
  <w:num w:numId="2" w16cid:durableId="853350057">
    <w:abstractNumId w:val="8"/>
  </w:num>
  <w:num w:numId="3" w16cid:durableId="1589851626">
    <w:abstractNumId w:val="1"/>
  </w:num>
  <w:num w:numId="4" w16cid:durableId="1870560250">
    <w:abstractNumId w:val="24"/>
  </w:num>
  <w:num w:numId="5" w16cid:durableId="1596859225">
    <w:abstractNumId w:val="19"/>
  </w:num>
  <w:num w:numId="6" w16cid:durableId="2080975943">
    <w:abstractNumId w:val="0"/>
  </w:num>
  <w:num w:numId="7" w16cid:durableId="1851137970">
    <w:abstractNumId w:val="2"/>
  </w:num>
  <w:num w:numId="8" w16cid:durableId="1715739635">
    <w:abstractNumId w:val="13"/>
  </w:num>
  <w:num w:numId="9" w16cid:durableId="1954705027">
    <w:abstractNumId w:val="7"/>
  </w:num>
  <w:num w:numId="10" w16cid:durableId="1949507549">
    <w:abstractNumId w:val="9"/>
  </w:num>
  <w:num w:numId="11" w16cid:durableId="671029231">
    <w:abstractNumId w:val="6"/>
  </w:num>
  <w:num w:numId="12" w16cid:durableId="1165126896">
    <w:abstractNumId w:val="4"/>
  </w:num>
  <w:num w:numId="13" w16cid:durableId="90053317">
    <w:abstractNumId w:val="17"/>
  </w:num>
  <w:num w:numId="14" w16cid:durableId="1645357661">
    <w:abstractNumId w:val="3"/>
  </w:num>
  <w:num w:numId="15" w16cid:durableId="797996451">
    <w:abstractNumId w:val="22"/>
  </w:num>
  <w:num w:numId="16" w16cid:durableId="164127508">
    <w:abstractNumId w:val="14"/>
  </w:num>
  <w:num w:numId="17" w16cid:durableId="1405369454">
    <w:abstractNumId w:val="9"/>
    <w:lvlOverride w:ilvl="0">
      <w:startOverride w:val="1"/>
    </w:lvlOverride>
  </w:num>
  <w:num w:numId="18" w16cid:durableId="918949064">
    <w:abstractNumId w:val="20"/>
  </w:num>
  <w:num w:numId="19" w16cid:durableId="1916747193">
    <w:abstractNumId w:val="11"/>
  </w:num>
  <w:num w:numId="20" w16cid:durableId="113792129">
    <w:abstractNumId w:val="16"/>
  </w:num>
  <w:num w:numId="21" w16cid:durableId="2059426798">
    <w:abstractNumId w:val="9"/>
    <w:lvlOverride w:ilvl="0">
      <w:startOverride w:val="1"/>
    </w:lvlOverride>
  </w:num>
  <w:num w:numId="22" w16cid:durableId="759330329">
    <w:abstractNumId w:val="12"/>
  </w:num>
  <w:num w:numId="23" w16cid:durableId="429279862">
    <w:abstractNumId w:val="9"/>
    <w:lvlOverride w:ilvl="0">
      <w:startOverride w:val="1"/>
    </w:lvlOverride>
  </w:num>
  <w:num w:numId="24" w16cid:durableId="1198470061">
    <w:abstractNumId w:val="23"/>
  </w:num>
  <w:num w:numId="25" w16cid:durableId="2077506205">
    <w:abstractNumId w:val="15"/>
  </w:num>
  <w:num w:numId="26" w16cid:durableId="1282955655">
    <w:abstractNumId w:val="21"/>
  </w:num>
  <w:num w:numId="27" w16cid:durableId="383218301">
    <w:abstractNumId w:val="10"/>
  </w:num>
  <w:num w:numId="28" w16cid:durableId="1956401713">
    <w:abstractNumId w:val="9"/>
    <w:lvlOverride w:ilvl="0">
      <w:startOverride w:val="1"/>
    </w:lvlOverride>
  </w:num>
  <w:num w:numId="29" w16cid:durableId="1731270475">
    <w:abstractNumId w:val="9"/>
    <w:lvlOverride w:ilvl="0">
      <w:startOverride w:val="1"/>
    </w:lvlOverride>
  </w:num>
  <w:num w:numId="30" w16cid:durableId="1730877188">
    <w:abstractNumId w:val="9"/>
    <w:lvlOverride w:ilvl="0">
      <w:startOverride w:val="1"/>
    </w:lvlOverride>
  </w:num>
  <w:num w:numId="31" w16cid:durableId="1778408646">
    <w:abstractNumId w:val="9"/>
    <w:lvlOverride w:ilvl="0">
      <w:startOverride w:val="1"/>
    </w:lvlOverride>
  </w:num>
  <w:num w:numId="32" w16cid:durableId="1985544719">
    <w:abstractNumId w:val="9"/>
    <w:lvlOverride w:ilvl="0">
      <w:startOverride w:val="1"/>
    </w:lvlOverride>
  </w:num>
  <w:num w:numId="33" w16cid:durableId="1902444642">
    <w:abstractNumId w:val="9"/>
    <w:lvlOverride w:ilvl="0">
      <w:startOverride w:val="1"/>
    </w:lvlOverride>
  </w:num>
  <w:num w:numId="34" w16cid:durableId="974607072">
    <w:abstractNumId w:val="9"/>
    <w:lvlOverride w:ilvl="0">
      <w:startOverride w:val="1"/>
    </w:lvlOverride>
  </w:num>
  <w:num w:numId="35" w16cid:durableId="1659533646">
    <w:abstractNumId w:val="9"/>
    <w:lvlOverride w:ilvl="0">
      <w:startOverride w:val="1"/>
    </w:lvlOverride>
  </w:num>
  <w:num w:numId="36" w16cid:durableId="1000697169">
    <w:abstractNumId w:val="9"/>
    <w:lvlOverride w:ilvl="0">
      <w:startOverride w:val="1"/>
    </w:lvlOverride>
  </w:num>
  <w:num w:numId="37" w16cid:durableId="1380085080">
    <w:abstractNumId w:val="5"/>
  </w:num>
  <w:num w:numId="38" w16cid:durableId="834105201">
    <w:abstractNumId w:val="9"/>
    <w:lvlOverride w:ilvl="0">
      <w:startOverride w:val="1"/>
    </w:lvlOverride>
  </w:num>
  <w:num w:numId="39" w16cid:durableId="1715615864">
    <w:abstractNumId w:val="9"/>
  </w:num>
  <w:num w:numId="40" w16cid:durableId="1116019052">
    <w:abstractNumId w:val="9"/>
  </w:num>
  <w:num w:numId="41" w16cid:durableId="7253766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40164"/>
    <w:rsid w:val="0005176E"/>
    <w:rsid w:val="000573DC"/>
    <w:rsid w:val="00077AB7"/>
    <w:rsid w:val="00081CD8"/>
    <w:rsid w:val="0008289D"/>
    <w:rsid w:val="0008329C"/>
    <w:rsid w:val="00084F78"/>
    <w:rsid w:val="000A3553"/>
    <w:rsid w:val="000A7F0E"/>
    <w:rsid w:val="000E6CD7"/>
    <w:rsid w:val="000F3A3F"/>
    <w:rsid w:val="00100B12"/>
    <w:rsid w:val="00103637"/>
    <w:rsid w:val="00114C01"/>
    <w:rsid w:val="00161EF5"/>
    <w:rsid w:val="00164D56"/>
    <w:rsid w:val="00165170"/>
    <w:rsid w:val="00167B10"/>
    <w:rsid w:val="0018234C"/>
    <w:rsid w:val="0019264E"/>
    <w:rsid w:val="00196C1B"/>
    <w:rsid w:val="001A766C"/>
    <w:rsid w:val="001B0F73"/>
    <w:rsid w:val="001B28AF"/>
    <w:rsid w:val="001C14F4"/>
    <w:rsid w:val="0020150F"/>
    <w:rsid w:val="00222A2D"/>
    <w:rsid w:val="002407AF"/>
    <w:rsid w:val="00280D62"/>
    <w:rsid w:val="002A6C11"/>
    <w:rsid w:val="002A6F73"/>
    <w:rsid w:val="002C0D14"/>
    <w:rsid w:val="002C1FBD"/>
    <w:rsid w:val="002C6E48"/>
    <w:rsid w:val="002E2F53"/>
    <w:rsid w:val="002E3D25"/>
    <w:rsid w:val="002E58D4"/>
    <w:rsid w:val="002E5DF5"/>
    <w:rsid w:val="0032583C"/>
    <w:rsid w:val="003732E4"/>
    <w:rsid w:val="003845BE"/>
    <w:rsid w:val="003A146B"/>
    <w:rsid w:val="003C1678"/>
    <w:rsid w:val="003D069C"/>
    <w:rsid w:val="003E07D8"/>
    <w:rsid w:val="003E2A08"/>
    <w:rsid w:val="003E5945"/>
    <w:rsid w:val="003F113A"/>
    <w:rsid w:val="00401183"/>
    <w:rsid w:val="00402861"/>
    <w:rsid w:val="004239C7"/>
    <w:rsid w:val="00440F9B"/>
    <w:rsid w:val="004417A7"/>
    <w:rsid w:val="004421E5"/>
    <w:rsid w:val="00443880"/>
    <w:rsid w:val="004514DE"/>
    <w:rsid w:val="00452284"/>
    <w:rsid w:val="00461168"/>
    <w:rsid w:val="00467FBE"/>
    <w:rsid w:val="0048558A"/>
    <w:rsid w:val="00486948"/>
    <w:rsid w:val="00493EF8"/>
    <w:rsid w:val="00494725"/>
    <w:rsid w:val="00495C25"/>
    <w:rsid w:val="004962EB"/>
    <w:rsid w:val="0049705E"/>
    <w:rsid w:val="004B3F6F"/>
    <w:rsid w:val="00510344"/>
    <w:rsid w:val="005158FF"/>
    <w:rsid w:val="00517612"/>
    <w:rsid w:val="00526B7B"/>
    <w:rsid w:val="005308CE"/>
    <w:rsid w:val="0053487A"/>
    <w:rsid w:val="005678AF"/>
    <w:rsid w:val="0057439C"/>
    <w:rsid w:val="00577793"/>
    <w:rsid w:val="005A3183"/>
    <w:rsid w:val="005B0127"/>
    <w:rsid w:val="005C094D"/>
    <w:rsid w:val="005C4B73"/>
    <w:rsid w:val="00600D93"/>
    <w:rsid w:val="006018AA"/>
    <w:rsid w:val="006042C6"/>
    <w:rsid w:val="00616C7B"/>
    <w:rsid w:val="00626E9D"/>
    <w:rsid w:val="00627C5C"/>
    <w:rsid w:val="00655736"/>
    <w:rsid w:val="00663B8D"/>
    <w:rsid w:val="00676EAA"/>
    <w:rsid w:val="006811A0"/>
    <w:rsid w:val="006923BD"/>
    <w:rsid w:val="00696C8D"/>
    <w:rsid w:val="006A2AC2"/>
    <w:rsid w:val="006A3617"/>
    <w:rsid w:val="006B5001"/>
    <w:rsid w:val="006D21D9"/>
    <w:rsid w:val="006D251D"/>
    <w:rsid w:val="006D2536"/>
    <w:rsid w:val="006D7AE5"/>
    <w:rsid w:val="006E46E4"/>
    <w:rsid w:val="006F444F"/>
    <w:rsid w:val="00707ACA"/>
    <w:rsid w:val="007113C6"/>
    <w:rsid w:val="00711B90"/>
    <w:rsid w:val="00717AAB"/>
    <w:rsid w:val="00717DBD"/>
    <w:rsid w:val="0073618F"/>
    <w:rsid w:val="00741016"/>
    <w:rsid w:val="00764CF9"/>
    <w:rsid w:val="00784B8C"/>
    <w:rsid w:val="007A000F"/>
    <w:rsid w:val="007C354B"/>
    <w:rsid w:val="007C38A9"/>
    <w:rsid w:val="007E60C6"/>
    <w:rsid w:val="007F5BCA"/>
    <w:rsid w:val="008064F0"/>
    <w:rsid w:val="00823A11"/>
    <w:rsid w:val="00824EF7"/>
    <w:rsid w:val="00850505"/>
    <w:rsid w:val="0085414A"/>
    <w:rsid w:val="0086269D"/>
    <w:rsid w:val="00863302"/>
    <w:rsid w:val="008712A2"/>
    <w:rsid w:val="00871C8F"/>
    <w:rsid w:val="008724E5"/>
    <w:rsid w:val="00884A9D"/>
    <w:rsid w:val="00886994"/>
    <w:rsid w:val="008A32C2"/>
    <w:rsid w:val="008A4E1E"/>
    <w:rsid w:val="008B64DF"/>
    <w:rsid w:val="008C0E44"/>
    <w:rsid w:val="008C296C"/>
    <w:rsid w:val="008D4305"/>
    <w:rsid w:val="008D4D0D"/>
    <w:rsid w:val="008E4D0D"/>
    <w:rsid w:val="008E6FC5"/>
    <w:rsid w:val="008F09EC"/>
    <w:rsid w:val="008F5A4F"/>
    <w:rsid w:val="00902AFE"/>
    <w:rsid w:val="0091182F"/>
    <w:rsid w:val="00913D86"/>
    <w:rsid w:val="009163A7"/>
    <w:rsid w:val="00922E3E"/>
    <w:rsid w:val="00933C6B"/>
    <w:rsid w:val="00950F68"/>
    <w:rsid w:val="00962119"/>
    <w:rsid w:val="00963A5C"/>
    <w:rsid w:val="00974249"/>
    <w:rsid w:val="00993211"/>
    <w:rsid w:val="009A18CD"/>
    <w:rsid w:val="009B1E51"/>
    <w:rsid w:val="009B223B"/>
    <w:rsid w:val="009B5302"/>
    <w:rsid w:val="009E0554"/>
    <w:rsid w:val="009E1B50"/>
    <w:rsid w:val="00A12558"/>
    <w:rsid w:val="00A13903"/>
    <w:rsid w:val="00A219C3"/>
    <w:rsid w:val="00A22951"/>
    <w:rsid w:val="00A34ED5"/>
    <w:rsid w:val="00A45DBF"/>
    <w:rsid w:val="00A61C6E"/>
    <w:rsid w:val="00A712C4"/>
    <w:rsid w:val="00A755A2"/>
    <w:rsid w:val="00A90761"/>
    <w:rsid w:val="00A92469"/>
    <w:rsid w:val="00A972FE"/>
    <w:rsid w:val="00AB2C36"/>
    <w:rsid w:val="00AC35FB"/>
    <w:rsid w:val="00AD1A86"/>
    <w:rsid w:val="00AE103E"/>
    <w:rsid w:val="00AE3322"/>
    <w:rsid w:val="00AE37D7"/>
    <w:rsid w:val="00AF0A07"/>
    <w:rsid w:val="00AF5AE5"/>
    <w:rsid w:val="00AF625E"/>
    <w:rsid w:val="00AF721B"/>
    <w:rsid w:val="00B073DE"/>
    <w:rsid w:val="00B152B1"/>
    <w:rsid w:val="00B43974"/>
    <w:rsid w:val="00B45750"/>
    <w:rsid w:val="00B45C6F"/>
    <w:rsid w:val="00B5229C"/>
    <w:rsid w:val="00B568CC"/>
    <w:rsid w:val="00B63F99"/>
    <w:rsid w:val="00B675B6"/>
    <w:rsid w:val="00B73DEE"/>
    <w:rsid w:val="00B82FF7"/>
    <w:rsid w:val="00B90701"/>
    <w:rsid w:val="00B907C4"/>
    <w:rsid w:val="00B91626"/>
    <w:rsid w:val="00BA2D42"/>
    <w:rsid w:val="00BC3420"/>
    <w:rsid w:val="00BD52C9"/>
    <w:rsid w:val="00BE6354"/>
    <w:rsid w:val="00C00273"/>
    <w:rsid w:val="00C06C42"/>
    <w:rsid w:val="00C1238A"/>
    <w:rsid w:val="00C318BF"/>
    <w:rsid w:val="00C358C4"/>
    <w:rsid w:val="00C377F5"/>
    <w:rsid w:val="00C70EA7"/>
    <w:rsid w:val="00C7516E"/>
    <w:rsid w:val="00C8040F"/>
    <w:rsid w:val="00C923F2"/>
    <w:rsid w:val="00CB2BA1"/>
    <w:rsid w:val="00CC031E"/>
    <w:rsid w:val="00CD0D5A"/>
    <w:rsid w:val="00D02494"/>
    <w:rsid w:val="00D074E3"/>
    <w:rsid w:val="00D24877"/>
    <w:rsid w:val="00D33AEB"/>
    <w:rsid w:val="00D35E2A"/>
    <w:rsid w:val="00D520C1"/>
    <w:rsid w:val="00D5368D"/>
    <w:rsid w:val="00D7579B"/>
    <w:rsid w:val="00D75D42"/>
    <w:rsid w:val="00DA3480"/>
    <w:rsid w:val="00DA36ED"/>
    <w:rsid w:val="00DB207A"/>
    <w:rsid w:val="00DB4217"/>
    <w:rsid w:val="00DB4A84"/>
    <w:rsid w:val="00DB6BA2"/>
    <w:rsid w:val="00DC0F3C"/>
    <w:rsid w:val="00DC7565"/>
    <w:rsid w:val="00DE228D"/>
    <w:rsid w:val="00DE34F1"/>
    <w:rsid w:val="00DF4942"/>
    <w:rsid w:val="00E22288"/>
    <w:rsid w:val="00E47AD3"/>
    <w:rsid w:val="00E5423E"/>
    <w:rsid w:val="00E60B9D"/>
    <w:rsid w:val="00E627B1"/>
    <w:rsid w:val="00E62B4C"/>
    <w:rsid w:val="00E6706F"/>
    <w:rsid w:val="00E86980"/>
    <w:rsid w:val="00E9376C"/>
    <w:rsid w:val="00EA602C"/>
    <w:rsid w:val="00EC06C6"/>
    <w:rsid w:val="00ED3691"/>
    <w:rsid w:val="00EF74E3"/>
    <w:rsid w:val="00F0109C"/>
    <w:rsid w:val="00F134B7"/>
    <w:rsid w:val="00F14572"/>
    <w:rsid w:val="00F4581D"/>
    <w:rsid w:val="00F576CB"/>
    <w:rsid w:val="00F62542"/>
    <w:rsid w:val="00F84A0B"/>
    <w:rsid w:val="00FB420E"/>
    <w:rsid w:val="00FC161D"/>
    <w:rsid w:val="00FC2940"/>
    <w:rsid w:val="00FC4715"/>
    <w:rsid w:val="00FD1226"/>
    <w:rsid w:val="00FE41C1"/>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paragraph" w:styleId="Titre7">
    <w:name w:val="heading 7"/>
    <w:basedOn w:val="Normal"/>
    <w:next w:val="Normal"/>
    <w:link w:val="Titre7Car"/>
    <w:uiPriority w:val="9"/>
    <w:semiHidden/>
    <w:unhideWhenUsed/>
    <w:qFormat/>
    <w:rsid w:val="00A972FE"/>
    <w:pPr>
      <w:keepNext/>
      <w:keepLines/>
      <w:spacing w:before="40"/>
      <w:outlineLvl w:val="6"/>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A972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styleId="Notedebasdepage">
    <w:name w:val="footnote text"/>
    <w:basedOn w:val="Normal"/>
    <w:link w:val="NotedebasdepageCar"/>
    <w:uiPriority w:val="99"/>
    <w:unhideWhenUsed/>
    <w:rsid w:val="008F5A4F"/>
    <w:rPr>
      <w:sz w:val="20"/>
      <w:szCs w:val="20"/>
    </w:rPr>
  </w:style>
  <w:style w:type="character" w:customStyle="1" w:styleId="NotedebasdepageCar">
    <w:name w:val="Note de bas de page Car"/>
    <w:basedOn w:val="Policepardfaut"/>
    <w:link w:val="Notedebasdepage"/>
    <w:uiPriority w:val="99"/>
    <w:rsid w:val="008F5A4F"/>
    <w:rPr>
      <w:rFonts w:ascii="Times New Roman" w:eastAsia="Times New Roman" w:hAnsi="Times New Roman"/>
    </w:rPr>
  </w:style>
  <w:style w:type="character" w:styleId="Appelnotedebasdep">
    <w:name w:val="footnote reference"/>
    <w:basedOn w:val="Policepardfaut"/>
    <w:uiPriority w:val="99"/>
    <w:unhideWhenUsed/>
    <w:rsid w:val="008F5A4F"/>
    <w:rPr>
      <w:vertAlign w:val="superscript"/>
    </w:rPr>
  </w:style>
  <w:style w:type="paragraph" w:customStyle="1" w:styleId="COMPara">
    <w:name w:val="COM Para"/>
    <w:qFormat/>
    <w:rsid w:val="008F5A4F"/>
    <w:pPr>
      <w:spacing w:after="120"/>
      <w:ind w:left="567" w:hanging="567"/>
    </w:pPr>
    <w:rPr>
      <w:rFonts w:ascii="Arial" w:eastAsia="Times New Roman" w:hAnsi="Arial" w:cs="Arial"/>
      <w:snapToGrid w:val="0"/>
      <w:sz w:val="22"/>
      <w:szCs w:val="22"/>
      <w:lang w:val="en-GB" w:eastAsia="en-US"/>
    </w:rPr>
  </w:style>
  <w:style w:type="paragraph" w:styleId="Rvision">
    <w:name w:val="Revision"/>
    <w:hidden/>
    <w:uiPriority w:val="99"/>
    <w:semiHidden/>
    <w:rsid w:val="00F62542"/>
    <w:rPr>
      <w:rFonts w:ascii="Times New Roman" w:eastAsia="Times New Roman" w:hAnsi="Times New Roman"/>
      <w:sz w:val="24"/>
      <w:szCs w:val="24"/>
    </w:rPr>
  </w:style>
  <w:style w:type="table" w:customStyle="1" w:styleId="TableGrid2">
    <w:name w:val="Table Grid2"/>
    <w:basedOn w:val="TableauNormal"/>
    <w:next w:val="Grilledutableau"/>
    <w:uiPriority w:val="59"/>
    <w:rsid w:val="008E4D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39"/>
    <w:rsid w:val="00B91626"/>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A972FE"/>
    <w:rPr>
      <w:rFonts w:asciiTheme="majorHAnsi" w:eastAsiaTheme="majorEastAsia" w:hAnsiTheme="majorHAnsi" w:cstheme="majorBidi"/>
      <w:i/>
      <w:iCs/>
      <w:color w:val="243F60" w:themeColor="accent1" w:themeShade="7F"/>
      <w:sz w:val="24"/>
      <w:szCs w:val="24"/>
    </w:rPr>
  </w:style>
  <w:style w:type="character" w:customStyle="1" w:styleId="Titre9Car">
    <w:name w:val="Titre 9 Car"/>
    <w:basedOn w:val="Policepardfaut"/>
    <w:link w:val="Titre9"/>
    <w:uiPriority w:val="9"/>
    <w:semiHidden/>
    <w:rsid w:val="00A972FE"/>
    <w:rPr>
      <w:rFonts w:asciiTheme="majorHAnsi" w:eastAsiaTheme="majorEastAsia" w:hAnsiTheme="majorHAnsi" w:cstheme="majorBidi"/>
      <w:i/>
      <w:iCs/>
      <w:color w:val="272727" w:themeColor="text1" w:themeTint="D8"/>
      <w:sz w:val="21"/>
      <w:szCs w:val="21"/>
    </w:rPr>
  </w:style>
  <w:style w:type="character" w:styleId="Mentionnonrsolue">
    <w:name w:val="Unresolved Mention"/>
    <w:basedOn w:val="Policepardfaut"/>
    <w:uiPriority w:val="99"/>
    <w:semiHidden/>
    <w:unhideWhenUsed/>
    <w:rsid w:val="00402861"/>
    <w:rPr>
      <w:color w:val="605E5C"/>
      <w:shd w:val="clear" w:color="auto" w:fill="E1DFDD"/>
    </w:rPr>
  </w:style>
  <w:style w:type="character" w:styleId="Lienhypertextesuivivisit">
    <w:name w:val="FollowedHyperlink"/>
    <w:basedOn w:val="Policepardfaut"/>
    <w:uiPriority w:val="99"/>
    <w:semiHidden/>
    <w:unhideWhenUsed/>
    <w:rsid w:val="00402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decisions/6.GA/5" TargetMode="External"/><Relationship Id="rId18" Type="http://schemas.openxmlformats.org/officeDocument/2006/relationships/hyperlink" Target="https://ich.unesco.org/fr/decisions/18.COM/7.C" TargetMode="External"/><Relationship Id="rId26" Type="http://schemas.openxmlformats.org/officeDocument/2006/relationships/hyperlink" Target="https://ich.unesco.org/fr/decisions/18.COM/11" TargetMode="External"/><Relationship Id="rId39" Type="http://schemas.openxmlformats.org/officeDocument/2006/relationships/hyperlink" Target="https://ich.unesco.org/fr/decisions/18.COM/15" TargetMode="External"/><Relationship Id="rId3" Type="http://schemas.openxmlformats.org/officeDocument/2006/relationships/styles" Target="styles.xml"/><Relationship Id="rId21" Type="http://schemas.openxmlformats.org/officeDocument/2006/relationships/hyperlink" Target="https://ich.unesco.org/doc/src/LHE-24-10.GA-7_FR.docx" TargetMode="External"/><Relationship Id="rId34" Type="http://schemas.openxmlformats.org/officeDocument/2006/relationships/hyperlink" Target="https://ich.unesco.org/fr/decisions/8.GA/12" TargetMode="External"/><Relationship Id="rId42" Type="http://schemas.openxmlformats.org/officeDocument/2006/relationships/hyperlink" Target="https://ich.unesco.org/fr/decisions/18.COM/6"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LHE-24-10.GA-5_FR.docx" TargetMode="External"/><Relationship Id="rId17" Type="http://schemas.openxmlformats.org/officeDocument/2006/relationships/hyperlink" Target="https://ich.unesco.org/fr/decisions/17.COM/15" TargetMode="External"/><Relationship Id="rId25" Type="http://schemas.openxmlformats.org/officeDocument/2006/relationships/hyperlink" Target="https://ich.unesco.org/fr/decisions/18.COM/10" TargetMode="External"/><Relationship Id="rId33" Type="http://schemas.openxmlformats.org/officeDocument/2006/relationships/hyperlink" Target="https://ich.unesco.org/doc/src/LHE-24-10.GA-9+Add_FR.docx" TargetMode="External"/><Relationship Id="rId38" Type="http://schemas.openxmlformats.org/officeDocument/2006/relationships/hyperlink" Target="https://ich.unesco.org/fr/Decisions/14.COM/15"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fr/decisions/9.GA/6" TargetMode="External"/><Relationship Id="rId20" Type="http://schemas.openxmlformats.org/officeDocument/2006/relationships/hyperlink" Target="https://unesdoc.unesco.org/ark:/48223/pf0000389517_fre" TargetMode="External"/><Relationship Id="rId29" Type="http://schemas.openxmlformats.org/officeDocument/2006/relationships/hyperlink" Target="https://unesdoc.unesco.org/ark:/48223/pf0000388394_fre/PDF/388394fre.pdf.multi" TargetMode="External"/><Relationship Id="rId41" Type="http://schemas.openxmlformats.org/officeDocument/2006/relationships/hyperlink" Target="https://ich.unesco.org/fr/Decisions/9.GA/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r%C3%A9solutions/3.GA/12" TargetMode="External"/><Relationship Id="rId24" Type="http://schemas.openxmlformats.org/officeDocument/2006/relationships/hyperlink" Target="https://ich.unesco.org/fr/decisions/17.COM/7" TargetMode="External"/><Relationship Id="rId32" Type="http://schemas.openxmlformats.org/officeDocument/2006/relationships/hyperlink" Target="https://ich.unesco.org/fr/decisions/18.COM/16" TargetMode="External"/><Relationship Id="rId37" Type="http://schemas.openxmlformats.org/officeDocument/2006/relationships/hyperlink" Target="https://ich.unesco.org/fr/d%C3%A9cisions/12.COM/17?dec=decisions&amp;ref_decision=12.COM" TargetMode="External"/><Relationship Id="rId40" Type="http://schemas.openxmlformats.org/officeDocument/2006/relationships/hyperlink" Target="https://ich.unesco.org/doc/src/LHE-24-10.GA-11_FR.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doc/src/LHE-24-10.GA-6_FR.docx" TargetMode="External"/><Relationship Id="rId23" Type="http://schemas.openxmlformats.org/officeDocument/2006/relationships/hyperlink" Target="https://ich.unesco.org/fr/decisions/16.COM/14" TargetMode="External"/><Relationship Id="rId28" Type="http://schemas.openxmlformats.org/officeDocument/2006/relationships/hyperlink" Target="https://ich.unesco.org/doc/src/LHE-24-10.GA-INF.8_FR.docx" TargetMode="External"/><Relationship Id="rId36" Type="http://schemas.openxmlformats.org/officeDocument/2006/relationships/hyperlink" Target="https://ich.unesco.org/fr/Decisions/12.COM/13" TargetMode="External"/><Relationship Id="rId49" Type="http://schemas.openxmlformats.org/officeDocument/2006/relationships/theme" Target="theme/theme1.xml"/><Relationship Id="rId10" Type="http://schemas.openxmlformats.org/officeDocument/2006/relationships/hyperlink" Target="https://ich.unesco.org/doc/src/LHE-24-10.GA-4_FR.docx" TargetMode="External"/><Relationship Id="rId19" Type="http://schemas.openxmlformats.org/officeDocument/2006/relationships/hyperlink" Target="https://unesdoc.unesco.org/ark:/48223/pf0000388394_fre" TargetMode="External"/><Relationship Id="rId31" Type="http://schemas.openxmlformats.org/officeDocument/2006/relationships/hyperlink" Target="https://ich.unesco.org/doc/src/LHE-24-10.GA-9+Add_FR.docx" TargetMode="External"/><Relationship Id="rId44" Type="http://schemas.openxmlformats.org/officeDocument/2006/relationships/hyperlink" Target="https://ich.unesco.org/doc/src/LHE-24-10.GA-11_FR.docx" TargetMode="External"/><Relationship Id="rId4" Type="http://schemas.openxmlformats.org/officeDocument/2006/relationships/settings" Target="settings.xml"/><Relationship Id="rId9" Type="http://schemas.openxmlformats.org/officeDocument/2006/relationships/hyperlink" Target="https://ich.unesco.org/doc/src/LHE-24-10.GA-3_Rev_FR.docx" TargetMode="External"/><Relationship Id="rId14" Type="http://schemas.openxmlformats.org/officeDocument/2006/relationships/hyperlink" Target="https://ich.unesco.org/fr/decisions/18.COM/7.C" TargetMode="External"/><Relationship Id="rId22" Type="http://schemas.openxmlformats.org/officeDocument/2006/relationships/hyperlink" Target="https://ich.unesco.org/fr/Decisions/9.GA/9" TargetMode="External"/><Relationship Id="rId27" Type="http://schemas.openxmlformats.org/officeDocument/2006/relationships/hyperlink" Target="https://ich.unesco.org/doc/src/LHE-24-10.GA-8_FR.docx" TargetMode="External"/><Relationship Id="rId30" Type="http://schemas.openxmlformats.org/officeDocument/2006/relationships/hyperlink" Target="https://ich.unesco.org/fr/decisions/10.COM/8" TargetMode="External"/><Relationship Id="rId35" Type="http://schemas.openxmlformats.org/officeDocument/2006/relationships/hyperlink" Target="https://ich.unesco.org/fr/decisions/9.GA/7" TargetMode="External"/><Relationship Id="rId43" Type="http://schemas.openxmlformats.org/officeDocument/2006/relationships/hyperlink" Target="https://unesdoc.unesco.org/ark:/48223/pf0000388394_fre" TargetMode="External"/><Relationship Id="rId48" Type="http://schemas.openxmlformats.org/officeDocument/2006/relationships/fontTable" Target="fontTable.xml"/><Relationship Id="rId8" Type="http://schemas.openxmlformats.org/officeDocument/2006/relationships/hyperlink" Target="https://ich.unesco.org/doc/src/LHE-24-10.GA-2_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document_FR.dotx</Template>
  <TotalTime>58</TotalTime>
  <Pages>14</Pages>
  <Words>5435</Words>
  <Characters>30981</Characters>
  <Application>Microsoft Office Word</Application>
  <DocSecurity>0</DocSecurity>
  <Lines>258</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18</cp:revision>
  <cp:lastPrinted>2024-06-12T17:40:00Z</cp:lastPrinted>
  <dcterms:created xsi:type="dcterms:W3CDTF">2024-06-24T14:16:00Z</dcterms:created>
  <dcterms:modified xsi:type="dcterms:W3CDTF">2024-06-28T16:21:00Z</dcterms:modified>
</cp:coreProperties>
</file>