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3D512A" w14:textId="5F98C2C0" w:rsidR="00655736" w:rsidRPr="00F3039A" w:rsidRDefault="00655736" w:rsidP="00655736">
      <w:pPr>
        <w:spacing w:before="1440"/>
        <w:jc w:val="center"/>
        <w:rPr>
          <w:rFonts w:ascii="Arial" w:hAnsi="Arial" w:cs="Arial"/>
          <w:b/>
          <w:sz w:val="22"/>
          <w:szCs w:val="22"/>
          <w:lang w:val="en-GB"/>
        </w:rPr>
      </w:pPr>
      <w:r w:rsidRPr="00F3039A">
        <w:rPr>
          <w:rFonts w:ascii="Arial" w:hAnsi="Arial" w:cs="Arial"/>
          <w:b/>
          <w:sz w:val="22"/>
          <w:szCs w:val="22"/>
          <w:lang w:val="en-GB"/>
        </w:rPr>
        <w:t>CONVENTION FOR THE SAFEGUARDING OF THE</w:t>
      </w:r>
      <w:r w:rsidRPr="00F3039A">
        <w:rPr>
          <w:rFonts w:ascii="Arial" w:hAnsi="Arial" w:cs="Arial"/>
          <w:b/>
          <w:sz w:val="22"/>
          <w:szCs w:val="22"/>
          <w:lang w:val="en-GB"/>
        </w:rPr>
        <w:br/>
        <w:t>INTANGIBLE CULTURAL HERITAGE</w:t>
      </w:r>
    </w:p>
    <w:p w14:paraId="4E5F911F" w14:textId="77777777" w:rsidR="00655736" w:rsidRPr="00F3039A" w:rsidRDefault="00D95C4C" w:rsidP="00655736">
      <w:pPr>
        <w:spacing w:before="1200"/>
        <w:jc w:val="center"/>
        <w:rPr>
          <w:rFonts w:ascii="Arial" w:hAnsi="Arial" w:cs="Arial"/>
          <w:b/>
          <w:sz w:val="22"/>
          <w:szCs w:val="22"/>
          <w:lang w:val="en-GB"/>
        </w:rPr>
      </w:pPr>
      <w:r w:rsidRPr="00F3039A">
        <w:rPr>
          <w:rFonts w:ascii="Arial" w:hAnsi="Arial" w:cs="Arial"/>
          <w:b/>
          <w:sz w:val="22"/>
          <w:szCs w:val="22"/>
          <w:lang w:val="en-GB"/>
        </w:rPr>
        <w:t>GENERAL ASSEMBLY OF THE S</w:t>
      </w:r>
      <w:r w:rsidR="00C23A97" w:rsidRPr="00F3039A">
        <w:rPr>
          <w:rFonts w:ascii="Arial" w:hAnsi="Arial" w:cs="Arial"/>
          <w:b/>
          <w:sz w:val="22"/>
          <w:szCs w:val="22"/>
          <w:lang w:val="en-GB"/>
        </w:rPr>
        <w:t>TATES PARTIES TO THE CONVENTION</w:t>
      </w:r>
    </w:p>
    <w:p w14:paraId="0DB1B243" w14:textId="2AB1C38F" w:rsidR="00246C33" w:rsidRPr="00F3039A" w:rsidRDefault="004D2974" w:rsidP="009C0F15">
      <w:pPr>
        <w:spacing w:before="840"/>
        <w:jc w:val="center"/>
        <w:rPr>
          <w:rFonts w:ascii="Arial" w:hAnsi="Arial" w:cs="Arial"/>
          <w:b/>
          <w:szCs w:val="22"/>
          <w:lang w:val="en-US"/>
        </w:rPr>
      </w:pPr>
      <w:r w:rsidRPr="00F3039A">
        <w:rPr>
          <w:rFonts w:ascii="Arial" w:hAnsi="Arial" w:cs="Arial"/>
          <w:b/>
          <w:szCs w:val="22"/>
          <w:lang w:val="en-US"/>
        </w:rPr>
        <w:t>Tenth</w:t>
      </w:r>
      <w:r w:rsidR="00246C33" w:rsidRPr="00F3039A">
        <w:rPr>
          <w:rFonts w:ascii="Arial" w:hAnsi="Arial" w:cs="Arial"/>
          <w:b/>
          <w:szCs w:val="22"/>
          <w:lang w:val="en-US"/>
        </w:rPr>
        <w:t xml:space="preserve"> session</w:t>
      </w:r>
    </w:p>
    <w:p w14:paraId="751062CB" w14:textId="77777777" w:rsidR="00246C33" w:rsidRPr="00F3039A" w:rsidRDefault="00246C33" w:rsidP="009C0F15">
      <w:pPr>
        <w:jc w:val="center"/>
        <w:rPr>
          <w:rFonts w:ascii="Arial" w:hAnsi="Arial" w:cs="Arial"/>
          <w:b/>
          <w:szCs w:val="22"/>
          <w:lang w:val="en-US"/>
        </w:rPr>
      </w:pPr>
      <w:r w:rsidRPr="00F3039A">
        <w:rPr>
          <w:rFonts w:ascii="Arial" w:hAnsi="Arial" w:cs="Arial"/>
          <w:b/>
          <w:szCs w:val="22"/>
          <w:lang w:val="en-US"/>
        </w:rPr>
        <w:t>UNESCO Headquarters, Room I</w:t>
      </w:r>
    </w:p>
    <w:p w14:paraId="10AAF744" w14:textId="467E0F4B" w:rsidR="00246C33" w:rsidRPr="00F3039A" w:rsidRDefault="004D2974" w:rsidP="00810A5E">
      <w:pPr>
        <w:spacing w:after="1400"/>
        <w:jc w:val="center"/>
        <w:rPr>
          <w:rFonts w:ascii="Arial" w:hAnsi="Arial" w:cs="Arial"/>
          <w:b/>
          <w:szCs w:val="22"/>
        </w:rPr>
      </w:pPr>
      <w:r w:rsidRPr="00F3039A">
        <w:rPr>
          <w:rFonts w:ascii="Arial" w:hAnsi="Arial" w:cs="Arial"/>
          <w:b/>
          <w:szCs w:val="22"/>
        </w:rPr>
        <w:t>11 to</w:t>
      </w:r>
      <w:r w:rsidR="000E29C9">
        <w:rPr>
          <w:rFonts w:ascii="Arial" w:hAnsi="Arial" w:cs="Arial"/>
          <w:b/>
          <w:szCs w:val="22"/>
        </w:rPr>
        <w:t xml:space="preserve"> </w:t>
      </w:r>
      <w:r w:rsidRPr="00F3039A">
        <w:rPr>
          <w:rFonts w:ascii="Arial" w:hAnsi="Arial" w:cs="Arial"/>
          <w:b/>
          <w:szCs w:val="22"/>
        </w:rPr>
        <w:t>12</w:t>
      </w:r>
      <w:r w:rsidR="00246C33" w:rsidRPr="00F3039A">
        <w:rPr>
          <w:rFonts w:ascii="Arial" w:hAnsi="Arial" w:cs="Arial"/>
          <w:b/>
          <w:szCs w:val="22"/>
        </w:rPr>
        <w:t xml:space="preserve"> Ju</w:t>
      </w:r>
      <w:r w:rsidRPr="00F3039A">
        <w:rPr>
          <w:rFonts w:ascii="Arial" w:hAnsi="Arial" w:cs="Arial"/>
          <w:b/>
          <w:szCs w:val="22"/>
        </w:rPr>
        <w:t>ne</w:t>
      </w:r>
      <w:r w:rsidR="00246C33" w:rsidRPr="00F3039A">
        <w:rPr>
          <w:rFonts w:ascii="Arial" w:hAnsi="Arial" w:cs="Arial"/>
          <w:b/>
          <w:szCs w:val="22"/>
        </w:rPr>
        <w:t xml:space="preserve"> 202</w:t>
      </w:r>
      <w:r w:rsidRPr="00F3039A">
        <w:rPr>
          <w:rFonts w:ascii="Arial" w:hAnsi="Arial" w:cs="Arial"/>
          <w:b/>
          <w:szCs w:val="22"/>
        </w:rPr>
        <w:t>4</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655736" w:rsidRPr="00F3039A" w14:paraId="13ED2C85" w14:textId="77777777" w:rsidTr="002F312A">
        <w:trPr>
          <w:jc w:val="center"/>
        </w:trPr>
        <w:tc>
          <w:tcPr>
            <w:tcW w:w="5670" w:type="dxa"/>
            <w:vAlign w:val="center"/>
          </w:tcPr>
          <w:p w14:paraId="6197B44F" w14:textId="77777777" w:rsidR="00655736" w:rsidRPr="00F3039A" w:rsidRDefault="00DA4672" w:rsidP="0013022E">
            <w:pPr>
              <w:pStyle w:val="Sansinterligne2"/>
              <w:spacing w:before="240" w:after="240"/>
              <w:jc w:val="center"/>
              <w:rPr>
                <w:rFonts w:ascii="Arial" w:hAnsi="Arial" w:cs="Arial"/>
                <w:b/>
                <w:sz w:val="22"/>
                <w:szCs w:val="22"/>
                <w:lang w:val="en-GB"/>
              </w:rPr>
            </w:pPr>
            <w:r w:rsidRPr="00F3039A">
              <w:rPr>
                <w:rFonts w:ascii="Arial" w:hAnsi="Arial" w:cs="Arial"/>
                <w:b/>
                <w:sz w:val="36"/>
                <w:szCs w:val="36"/>
                <w:lang w:val="en-GB"/>
              </w:rPr>
              <w:t>Resolutions</w:t>
            </w:r>
          </w:p>
        </w:tc>
      </w:tr>
    </w:tbl>
    <w:p w14:paraId="7CA5FD51" w14:textId="77777777" w:rsidR="00774834" w:rsidRPr="00F3039A" w:rsidRDefault="00655736" w:rsidP="009A6BC5">
      <w:pPr>
        <w:pStyle w:val="GATitleResolution"/>
      </w:pPr>
      <w:r w:rsidRPr="00F3039A">
        <w:br w:type="page"/>
      </w:r>
    </w:p>
    <w:p w14:paraId="536C1A2A" w14:textId="4D083D39" w:rsidR="009A6BC5" w:rsidRPr="00F3039A" w:rsidRDefault="009A6BC5" w:rsidP="009A6BC5">
      <w:pPr>
        <w:pStyle w:val="GATitleResolution"/>
      </w:pPr>
      <w:r w:rsidRPr="00F3039A">
        <w:lastRenderedPageBreak/>
        <w:t xml:space="preserve">RESOLUTION </w:t>
      </w:r>
      <w:r w:rsidR="00901C5E" w:rsidRPr="00F3039A">
        <w:t>10</w:t>
      </w:r>
      <w:r w:rsidRPr="00F3039A">
        <w:t>.GA 2</w:t>
      </w:r>
    </w:p>
    <w:p w14:paraId="75349ED0" w14:textId="77777777" w:rsidR="009A6BC5" w:rsidRPr="00F3039A" w:rsidRDefault="009A6BC5" w:rsidP="0060367E">
      <w:pPr>
        <w:pStyle w:val="GAPreambulaResolution"/>
        <w:ind w:left="0"/>
        <w:rPr>
          <w:rFonts w:eastAsia="SimSun"/>
        </w:rPr>
      </w:pPr>
      <w:r w:rsidRPr="00F3039A">
        <w:t>The General Assembly,</w:t>
      </w:r>
    </w:p>
    <w:p w14:paraId="5651F291" w14:textId="01622555" w:rsidR="00901C5E" w:rsidRPr="00F3039A" w:rsidRDefault="00901C5E" w:rsidP="007A6236">
      <w:pPr>
        <w:pStyle w:val="COMParaDecision"/>
        <w:numPr>
          <w:ilvl w:val="0"/>
          <w:numId w:val="3"/>
        </w:numPr>
        <w:ind w:left="540" w:hanging="567"/>
      </w:pPr>
      <w:r w:rsidRPr="00F3039A">
        <w:t>Having examined</w:t>
      </w:r>
      <w:r w:rsidRPr="00F3039A">
        <w:rPr>
          <w:u w:val="none"/>
        </w:rPr>
        <w:t xml:space="preserve"> document </w:t>
      </w:r>
      <w:hyperlink r:id="rId8" w:history="1">
        <w:r w:rsidRPr="00F0628D">
          <w:rPr>
            <w:rStyle w:val="Lienhypertexte"/>
          </w:rPr>
          <w:t>LHE/24/10.GA/2</w:t>
        </w:r>
      </w:hyperlink>
      <w:r w:rsidRPr="00F3039A">
        <w:rPr>
          <w:u w:val="none"/>
        </w:rPr>
        <w:t>,</w:t>
      </w:r>
    </w:p>
    <w:p w14:paraId="20D37CB8" w14:textId="77777777" w:rsidR="00901C5E" w:rsidRPr="00F3039A" w:rsidRDefault="00901C5E" w:rsidP="007A6236">
      <w:pPr>
        <w:pStyle w:val="COMParaDecision"/>
        <w:numPr>
          <w:ilvl w:val="0"/>
          <w:numId w:val="3"/>
        </w:numPr>
        <w:ind w:left="540" w:hanging="567"/>
      </w:pPr>
      <w:r w:rsidRPr="00F3039A">
        <w:t>Recalling</w:t>
      </w:r>
      <w:r w:rsidRPr="00F3039A">
        <w:rPr>
          <w:u w:val="none"/>
        </w:rPr>
        <w:t xml:space="preserve"> Rule 11 of its Rules of Procedure,</w:t>
      </w:r>
    </w:p>
    <w:p w14:paraId="6C6462BA" w14:textId="0B0EF89A" w:rsidR="00901C5E" w:rsidRPr="00F3039A" w:rsidRDefault="00901C5E" w:rsidP="007A6236">
      <w:pPr>
        <w:pStyle w:val="COMParaDecision"/>
        <w:numPr>
          <w:ilvl w:val="0"/>
          <w:numId w:val="3"/>
        </w:numPr>
        <w:ind w:left="540" w:hanging="567"/>
        <w:jc w:val="left"/>
      </w:pPr>
      <w:r w:rsidRPr="00F3039A">
        <w:t>Elects</w:t>
      </w:r>
      <w:r w:rsidRPr="00F3039A">
        <w:rPr>
          <w:u w:val="none"/>
        </w:rPr>
        <w:t xml:space="preserve"> </w:t>
      </w:r>
      <w:r w:rsidR="00CA49EB" w:rsidRPr="00E213D5">
        <w:rPr>
          <w:u w:val="none"/>
        </w:rPr>
        <w:t>H.E. Mr Mariusz Lewicki</w:t>
      </w:r>
      <w:r w:rsidR="00617229" w:rsidRPr="00F3039A">
        <w:rPr>
          <w:u w:val="none"/>
        </w:rPr>
        <w:t xml:space="preserve"> (Poland)</w:t>
      </w:r>
      <w:r w:rsidRPr="00F3039A">
        <w:rPr>
          <w:u w:val="none"/>
        </w:rPr>
        <w:t xml:space="preserve"> as Chairperson of the General Assembly;</w:t>
      </w:r>
    </w:p>
    <w:p w14:paraId="622C6923" w14:textId="5863E3FE" w:rsidR="00901C5E" w:rsidRPr="00F3039A" w:rsidRDefault="00901C5E" w:rsidP="007A6236">
      <w:pPr>
        <w:pStyle w:val="COMParaDecision"/>
        <w:numPr>
          <w:ilvl w:val="0"/>
          <w:numId w:val="3"/>
        </w:numPr>
        <w:ind w:left="540" w:hanging="567"/>
        <w:jc w:val="left"/>
      </w:pPr>
      <w:r w:rsidRPr="00F3039A">
        <w:t>Elects</w:t>
      </w:r>
      <w:r w:rsidRPr="00F3039A">
        <w:rPr>
          <w:u w:val="none"/>
        </w:rPr>
        <w:t xml:space="preserve"> </w:t>
      </w:r>
      <w:r w:rsidR="00617229" w:rsidRPr="00F3039A">
        <w:rPr>
          <w:u w:val="none"/>
        </w:rPr>
        <w:t>Mr Souleymane Konate (Mali)</w:t>
      </w:r>
      <w:r w:rsidRPr="00F3039A">
        <w:rPr>
          <w:u w:val="none"/>
        </w:rPr>
        <w:t xml:space="preserve"> as Rapporteur of the General Assembly;</w:t>
      </w:r>
    </w:p>
    <w:p w14:paraId="5CCA4F63" w14:textId="0B2E5C05" w:rsidR="00901C5E" w:rsidRPr="00F3039A" w:rsidRDefault="00901C5E" w:rsidP="007A6236">
      <w:pPr>
        <w:pStyle w:val="COMParaDecision"/>
        <w:numPr>
          <w:ilvl w:val="0"/>
          <w:numId w:val="3"/>
        </w:numPr>
        <w:ind w:left="540" w:hanging="567"/>
        <w:jc w:val="left"/>
      </w:pPr>
      <w:r w:rsidRPr="00F3039A">
        <w:t>Elects</w:t>
      </w:r>
      <w:r w:rsidRPr="00F3039A">
        <w:rPr>
          <w:u w:val="none"/>
        </w:rPr>
        <w:t xml:space="preserve"> </w:t>
      </w:r>
      <w:r w:rsidR="00617229" w:rsidRPr="00F3039A">
        <w:rPr>
          <w:u w:val="none"/>
        </w:rPr>
        <w:t>Luxembourg, El Salvador, Viet Nam, Ethiopia and Morocco</w:t>
      </w:r>
      <w:r w:rsidRPr="00F3039A">
        <w:rPr>
          <w:u w:val="none"/>
        </w:rPr>
        <w:t xml:space="preserve"> as Vice-Chairpersons of the General Assembly.</w:t>
      </w:r>
    </w:p>
    <w:p w14:paraId="4EAFB3A6" w14:textId="5CD040B1" w:rsidR="00901C5E" w:rsidRPr="00F3039A" w:rsidRDefault="00901C5E" w:rsidP="00901C5E">
      <w:pPr>
        <w:pStyle w:val="COMTitleDecision"/>
        <w:ind w:left="0"/>
        <w:rPr>
          <w:rFonts w:eastAsia="SimSun"/>
        </w:rPr>
      </w:pPr>
      <w:r w:rsidRPr="00F3039A">
        <w:t>RESOLUTION 10.GA 3</w:t>
      </w:r>
    </w:p>
    <w:p w14:paraId="458BB6CE" w14:textId="77777777" w:rsidR="00901C5E" w:rsidRPr="00F3039A" w:rsidRDefault="00901C5E" w:rsidP="00901C5E">
      <w:pPr>
        <w:pStyle w:val="COMPreambulaDecisions"/>
        <w:ind w:left="0"/>
        <w:rPr>
          <w:rFonts w:eastAsia="SimSun"/>
        </w:rPr>
      </w:pPr>
      <w:r w:rsidRPr="00F3039A">
        <w:t>The General Assembly,</w:t>
      </w:r>
    </w:p>
    <w:p w14:paraId="1BF0CBF6" w14:textId="4DF9081B" w:rsidR="00901C5E" w:rsidRPr="00F3039A" w:rsidRDefault="00901C5E" w:rsidP="00793E2E">
      <w:pPr>
        <w:pStyle w:val="COMParaDecision"/>
        <w:numPr>
          <w:ilvl w:val="0"/>
          <w:numId w:val="28"/>
        </w:numPr>
        <w:ind w:left="450" w:hanging="450"/>
        <w:rPr>
          <w:u w:val="none"/>
        </w:rPr>
      </w:pPr>
      <w:r w:rsidRPr="00F3039A">
        <w:t>Having examined</w:t>
      </w:r>
      <w:r w:rsidRPr="00F3039A">
        <w:rPr>
          <w:u w:val="none"/>
        </w:rPr>
        <w:t xml:space="preserve"> document </w:t>
      </w:r>
      <w:hyperlink r:id="rId9" w:history="1">
        <w:r w:rsidRPr="00F0628D">
          <w:rPr>
            <w:rStyle w:val="Lienhypertexte"/>
          </w:rPr>
          <w:t>LHE/24/10.GA/3 Rev.</w:t>
        </w:r>
      </w:hyperlink>
      <w:r w:rsidRPr="00F3039A">
        <w:rPr>
          <w:u w:val="none"/>
        </w:rPr>
        <w:t>,</w:t>
      </w:r>
    </w:p>
    <w:p w14:paraId="7FCD6F02" w14:textId="77777777" w:rsidR="00901C5E" w:rsidRPr="00F3039A" w:rsidRDefault="00901C5E" w:rsidP="00793E2E">
      <w:pPr>
        <w:pStyle w:val="COMParaDecision"/>
        <w:numPr>
          <w:ilvl w:val="0"/>
          <w:numId w:val="28"/>
        </w:numPr>
        <w:ind w:left="450" w:hanging="450"/>
      </w:pPr>
      <w:r w:rsidRPr="00F3039A">
        <w:t>Adopts</w:t>
      </w:r>
      <w:r w:rsidRPr="00F3039A">
        <w:rPr>
          <w:u w:val="none"/>
        </w:rPr>
        <w:t xml:space="preserve"> the agenda of its tenth session (Paris, UNESCO Headquarters, 11 to 12 June 2024) as follows:</w:t>
      </w:r>
    </w:p>
    <w:p w14:paraId="0728AD58" w14:textId="77777777" w:rsidR="00901C5E" w:rsidRPr="00F3039A" w:rsidRDefault="00901C5E" w:rsidP="00901C5E">
      <w:pPr>
        <w:tabs>
          <w:tab w:val="left" w:pos="1134"/>
        </w:tabs>
        <w:spacing w:before="360" w:after="240"/>
        <w:ind w:left="990" w:hanging="567"/>
        <w:outlineLvl w:val="0"/>
        <w:rPr>
          <w:rFonts w:ascii="Arial" w:eastAsia="SimSun" w:hAnsi="Arial" w:cs="Arial"/>
          <w:b/>
          <w:sz w:val="22"/>
          <w:szCs w:val="22"/>
          <w:lang w:val="en-GB"/>
        </w:rPr>
      </w:pPr>
      <w:r w:rsidRPr="00F3039A">
        <w:rPr>
          <w:rFonts w:ascii="Arial" w:eastAsia="SimSun" w:hAnsi="Arial" w:cs="Arial"/>
          <w:b/>
          <w:sz w:val="22"/>
          <w:szCs w:val="22"/>
          <w:lang w:val="en-GB"/>
        </w:rPr>
        <w:t>Agenda</w:t>
      </w:r>
    </w:p>
    <w:p w14:paraId="3E8EC822" w14:textId="77777777" w:rsidR="00901C5E" w:rsidRPr="00F3039A" w:rsidRDefault="00901C5E" w:rsidP="00DB0C1A">
      <w:pPr>
        <w:pStyle w:val="COMParaDecision"/>
        <w:numPr>
          <w:ilvl w:val="0"/>
          <w:numId w:val="6"/>
        </w:numPr>
        <w:ind w:left="1134" w:hanging="567"/>
        <w:rPr>
          <w:u w:val="none"/>
        </w:rPr>
      </w:pPr>
      <w:r w:rsidRPr="00F3039A">
        <w:rPr>
          <w:u w:val="none"/>
        </w:rPr>
        <w:t>Opening</w:t>
      </w:r>
    </w:p>
    <w:p w14:paraId="06A09EEA" w14:textId="77777777" w:rsidR="00901C5E" w:rsidRPr="00F3039A" w:rsidRDefault="00901C5E" w:rsidP="00DB0C1A">
      <w:pPr>
        <w:pStyle w:val="COMParaDecision"/>
        <w:numPr>
          <w:ilvl w:val="0"/>
          <w:numId w:val="6"/>
        </w:numPr>
        <w:ind w:left="1134" w:hanging="567"/>
        <w:rPr>
          <w:u w:val="none"/>
        </w:rPr>
      </w:pPr>
      <w:r w:rsidRPr="00F3039A">
        <w:rPr>
          <w:u w:val="none"/>
        </w:rPr>
        <w:t>Election of the Bureau</w:t>
      </w:r>
    </w:p>
    <w:p w14:paraId="5AFD3353" w14:textId="77777777" w:rsidR="00901C5E" w:rsidRPr="00F3039A" w:rsidRDefault="00901C5E" w:rsidP="00DB0C1A">
      <w:pPr>
        <w:pStyle w:val="COMParaDecision"/>
        <w:numPr>
          <w:ilvl w:val="0"/>
          <w:numId w:val="6"/>
        </w:numPr>
        <w:ind w:left="1134" w:hanging="567"/>
        <w:rPr>
          <w:u w:val="none"/>
        </w:rPr>
      </w:pPr>
      <w:r w:rsidRPr="00F3039A">
        <w:rPr>
          <w:u w:val="none"/>
        </w:rPr>
        <w:t>Adoption of the agenda</w:t>
      </w:r>
    </w:p>
    <w:p w14:paraId="3EA6D975" w14:textId="77777777" w:rsidR="00901C5E" w:rsidRPr="00F3039A" w:rsidRDefault="00901C5E" w:rsidP="00DB0C1A">
      <w:pPr>
        <w:pStyle w:val="COMParaDecision"/>
        <w:numPr>
          <w:ilvl w:val="0"/>
          <w:numId w:val="6"/>
        </w:numPr>
        <w:ind w:left="1134" w:hanging="567"/>
        <w:rPr>
          <w:u w:val="none"/>
        </w:rPr>
      </w:pPr>
      <w:r w:rsidRPr="00F3039A">
        <w:rPr>
          <w:u w:val="none"/>
        </w:rPr>
        <w:t>Distribution of seats in the Committee per electoral group</w:t>
      </w:r>
    </w:p>
    <w:p w14:paraId="21F14355" w14:textId="77777777" w:rsidR="00901C5E" w:rsidRPr="00F3039A" w:rsidRDefault="00901C5E" w:rsidP="00DB0C1A">
      <w:pPr>
        <w:pStyle w:val="COMParaDecision"/>
        <w:numPr>
          <w:ilvl w:val="0"/>
          <w:numId w:val="6"/>
        </w:numPr>
        <w:ind w:left="1134" w:hanging="567"/>
        <w:rPr>
          <w:u w:val="none"/>
        </w:rPr>
      </w:pPr>
      <w:r w:rsidRPr="00F3039A">
        <w:rPr>
          <w:u w:val="none"/>
        </w:rPr>
        <w:t>Report by the Committee to the General Assembly (January 2022 to December 2023)</w:t>
      </w:r>
    </w:p>
    <w:p w14:paraId="3FB0E7F3" w14:textId="77777777" w:rsidR="00901C5E" w:rsidRPr="00F3039A" w:rsidRDefault="00901C5E" w:rsidP="00DB0C1A">
      <w:pPr>
        <w:pStyle w:val="COMParaDecision"/>
        <w:numPr>
          <w:ilvl w:val="0"/>
          <w:numId w:val="6"/>
        </w:numPr>
        <w:ind w:left="1134" w:hanging="567"/>
        <w:rPr>
          <w:u w:val="none"/>
        </w:rPr>
      </w:pPr>
      <w:r w:rsidRPr="00F3039A">
        <w:rPr>
          <w:u w:val="none"/>
        </w:rPr>
        <w:t>Report by the Secretariat on its activities (January 2022 to December 2023)</w:t>
      </w:r>
    </w:p>
    <w:p w14:paraId="00BF277A" w14:textId="77777777" w:rsidR="00901C5E" w:rsidRPr="00F3039A" w:rsidRDefault="00901C5E" w:rsidP="00DB0C1A">
      <w:pPr>
        <w:pStyle w:val="COMParaDecision"/>
        <w:numPr>
          <w:ilvl w:val="0"/>
          <w:numId w:val="6"/>
        </w:numPr>
        <w:ind w:left="1134" w:hanging="567"/>
        <w:rPr>
          <w:u w:val="none"/>
        </w:rPr>
      </w:pPr>
      <w:r w:rsidRPr="00F3039A">
        <w:rPr>
          <w:u w:val="none"/>
        </w:rPr>
        <w:t>Proposed revisions to the Operational Directives for the implementation of the Convention</w:t>
      </w:r>
    </w:p>
    <w:p w14:paraId="405A30C3" w14:textId="77777777" w:rsidR="00901C5E" w:rsidRPr="00F3039A" w:rsidRDefault="00901C5E" w:rsidP="00DB0C1A">
      <w:pPr>
        <w:pStyle w:val="COMParaDecision"/>
        <w:numPr>
          <w:ilvl w:val="0"/>
          <w:numId w:val="6"/>
        </w:numPr>
        <w:ind w:left="1134" w:hanging="567"/>
        <w:rPr>
          <w:u w:val="none"/>
        </w:rPr>
      </w:pPr>
      <w:r w:rsidRPr="00F3039A">
        <w:rPr>
          <w:u w:val="none"/>
        </w:rPr>
        <w:t>Use of the resources of the Intangible Cultural Heritage Fund</w:t>
      </w:r>
    </w:p>
    <w:p w14:paraId="5F0D8095" w14:textId="77777777" w:rsidR="00901C5E" w:rsidRPr="00F3039A" w:rsidRDefault="00901C5E" w:rsidP="00DB0C1A">
      <w:pPr>
        <w:pStyle w:val="COMParaDecision"/>
        <w:numPr>
          <w:ilvl w:val="0"/>
          <w:numId w:val="6"/>
        </w:numPr>
        <w:ind w:left="1134" w:hanging="567"/>
        <w:rPr>
          <w:u w:val="none"/>
        </w:rPr>
      </w:pPr>
      <w:r w:rsidRPr="00F3039A">
        <w:rPr>
          <w:u w:val="none"/>
        </w:rPr>
        <w:t>Accreditation of non-governmental organizations to act in an advisory capacity to the Committee</w:t>
      </w:r>
    </w:p>
    <w:p w14:paraId="240AADF8" w14:textId="77777777" w:rsidR="00901C5E" w:rsidRPr="00F3039A" w:rsidRDefault="00901C5E" w:rsidP="00DB0C1A">
      <w:pPr>
        <w:pStyle w:val="COMParaDecision"/>
        <w:numPr>
          <w:ilvl w:val="0"/>
          <w:numId w:val="6"/>
        </w:numPr>
        <w:ind w:left="1134" w:hanging="567"/>
        <w:rPr>
          <w:u w:val="none"/>
        </w:rPr>
      </w:pPr>
      <w:r w:rsidRPr="00F3039A">
        <w:rPr>
          <w:u w:val="none"/>
        </w:rPr>
        <w:t>Report on the twentieth anniversary of the 2003 Convention in 2023</w:t>
      </w:r>
    </w:p>
    <w:p w14:paraId="48C0D4C4" w14:textId="77777777" w:rsidR="00901C5E" w:rsidRPr="00F3039A" w:rsidRDefault="00901C5E" w:rsidP="00DB0C1A">
      <w:pPr>
        <w:pStyle w:val="COMParaDecision"/>
        <w:numPr>
          <w:ilvl w:val="0"/>
          <w:numId w:val="6"/>
        </w:numPr>
        <w:ind w:left="1134" w:hanging="567"/>
        <w:rPr>
          <w:u w:val="none"/>
        </w:rPr>
      </w:pPr>
      <w:r w:rsidRPr="00F3039A">
        <w:rPr>
          <w:u w:val="none"/>
        </w:rPr>
        <w:t>Election of the members of the Intergovernmental Committee for the Safeguarding of the Intangible Cultural Heritage</w:t>
      </w:r>
    </w:p>
    <w:p w14:paraId="28AF3C98" w14:textId="77777777" w:rsidR="00901C5E" w:rsidRPr="00F3039A" w:rsidRDefault="00901C5E" w:rsidP="00DB0C1A">
      <w:pPr>
        <w:pStyle w:val="COMParaDecision"/>
        <w:numPr>
          <w:ilvl w:val="0"/>
          <w:numId w:val="6"/>
        </w:numPr>
        <w:ind w:left="1134" w:hanging="567"/>
        <w:rPr>
          <w:u w:val="none"/>
        </w:rPr>
      </w:pPr>
      <w:r w:rsidRPr="00F3039A">
        <w:rPr>
          <w:u w:val="none"/>
        </w:rPr>
        <w:t>Other business</w:t>
      </w:r>
    </w:p>
    <w:p w14:paraId="2335B999" w14:textId="0C8CF001" w:rsidR="001925D8" w:rsidRPr="00F0628D" w:rsidRDefault="00901C5E" w:rsidP="00DB0C1A">
      <w:pPr>
        <w:pStyle w:val="COMParaDecision"/>
        <w:numPr>
          <w:ilvl w:val="0"/>
          <w:numId w:val="6"/>
        </w:numPr>
        <w:ind w:left="1134" w:hanging="567"/>
        <w:rPr>
          <w:b/>
        </w:rPr>
      </w:pPr>
      <w:r w:rsidRPr="00F3039A">
        <w:rPr>
          <w:u w:val="none"/>
        </w:rPr>
        <w:t>Closure</w:t>
      </w:r>
    </w:p>
    <w:p w14:paraId="57988208" w14:textId="4567AEDD" w:rsidR="00B51DDB" w:rsidRPr="00F3039A" w:rsidRDefault="00B51DDB" w:rsidP="00D6683B">
      <w:pPr>
        <w:pStyle w:val="COMTitleDecision"/>
        <w:ind w:left="0"/>
        <w:rPr>
          <w:rFonts w:eastAsia="SimSun"/>
        </w:rPr>
      </w:pPr>
      <w:r w:rsidRPr="00F3039A">
        <w:t>RESOLUTION 10.GA 4</w:t>
      </w:r>
    </w:p>
    <w:p w14:paraId="10C14600" w14:textId="77777777" w:rsidR="00B51DDB" w:rsidRPr="00F3039A" w:rsidRDefault="00B51DDB" w:rsidP="00B51DDB">
      <w:pPr>
        <w:pStyle w:val="COMPreambulaDecisions"/>
        <w:ind w:left="0"/>
        <w:rPr>
          <w:rFonts w:eastAsia="SimSun"/>
        </w:rPr>
      </w:pPr>
      <w:r w:rsidRPr="00F3039A">
        <w:t>The General Assembly,</w:t>
      </w:r>
    </w:p>
    <w:p w14:paraId="61A7205A" w14:textId="17D9DADA" w:rsidR="00B51DDB" w:rsidRPr="00F3039A" w:rsidRDefault="00B51DDB" w:rsidP="007A6236">
      <w:pPr>
        <w:pStyle w:val="GAParaResolution"/>
        <w:numPr>
          <w:ilvl w:val="0"/>
          <w:numId w:val="29"/>
        </w:numPr>
        <w:ind w:left="540" w:hanging="540"/>
      </w:pPr>
      <w:r w:rsidRPr="00F3039A">
        <w:t>Having examined</w:t>
      </w:r>
      <w:r w:rsidRPr="00F3039A">
        <w:rPr>
          <w:u w:val="none"/>
        </w:rPr>
        <w:t xml:space="preserve"> document </w:t>
      </w:r>
      <w:hyperlink r:id="rId10" w:history="1">
        <w:r w:rsidRPr="00F0628D">
          <w:rPr>
            <w:rStyle w:val="Lienhypertexte"/>
          </w:rPr>
          <w:t>LHE/24/10.GA/4</w:t>
        </w:r>
      </w:hyperlink>
      <w:r w:rsidRPr="00F3039A">
        <w:rPr>
          <w:u w:val="none"/>
        </w:rPr>
        <w:t>,</w:t>
      </w:r>
    </w:p>
    <w:p w14:paraId="6390F8EE" w14:textId="77777777" w:rsidR="00B51DDB" w:rsidRPr="00F3039A" w:rsidRDefault="00B51DDB" w:rsidP="007A6236">
      <w:pPr>
        <w:pStyle w:val="COMParaDecision"/>
        <w:numPr>
          <w:ilvl w:val="0"/>
          <w:numId w:val="3"/>
        </w:numPr>
        <w:ind w:left="540" w:hanging="540"/>
      </w:pPr>
      <w:r w:rsidRPr="00F3039A">
        <w:t>Recalling</w:t>
      </w:r>
      <w:r w:rsidRPr="00F3039A">
        <w:rPr>
          <w:u w:val="none"/>
        </w:rPr>
        <w:t xml:space="preserve"> Article 6 of the Convention,</w:t>
      </w:r>
    </w:p>
    <w:p w14:paraId="4BAAB34D" w14:textId="77777777" w:rsidR="00B51DDB" w:rsidRPr="00F3039A" w:rsidRDefault="00B51DDB" w:rsidP="007A6236">
      <w:pPr>
        <w:pStyle w:val="COMParaDecision"/>
        <w:numPr>
          <w:ilvl w:val="0"/>
          <w:numId w:val="3"/>
        </w:numPr>
        <w:ind w:left="540" w:hanging="540"/>
        <w:jc w:val="left"/>
      </w:pPr>
      <w:r w:rsidRPr="00F3039A">
        <w:t>Further recalling</w:t>
      </w:r>
      <w:r w:rsidRPr="00F3039A">
        <w:rPr>
          <w:u w:val="none"/>
        </w:rPr>
        <w:t xml:space="preserve"> Rule 35 of its Rules of Procedure, as well as Resolution </w:t>
      </w:r>
      <w:hyperlink r:id="rId11" w:history="1">
        <w:r w:rsidRPr="00F3039A">
          <w:rPr>
            <w:rStyle w:val="Lienhypertexte"/>
          </w:rPr>
          <w:t>3.GA 12</w:t>
        </w:r>
      </w:hyperlink>
      <w:r w:rsidRPr="00F3039A">
        <w:rPr>
          <w:u w:val="none"/>
        </w:rPr>
        <w:t>,</w:t>
      </w:r>
    </w:p>
    <w:p w14:paraId="6EAD7FF0" w14:textId="7A5391CA" w:rsidR="00B51DDB" w:rsidRPr="00F3039A" w:rsidRDefault="00B51DDB" w:rsidP="007A6236">
      <w:pPr>
        <w:pStyle w:val="COMParaDecision"/>
        <w:numPr>
          <w:ilvl w:val="0"/>
          <w:numId w:val="3"/>
        </w:numPr>
        <w:ind w:left="540" w:hanging="540"/>
      </w:pPr>
      <w:r w:rsidRPr="00F3039A">
        <w:t>Decides</w:t>
      </w:r>
      <w:r w:rsidRPr="00F3039A">
        <w:rPr>
          <w:u w:val="none"/>
        </w:rPr>
        <w:t xml:space="preserve"> that, for the purpose of the election at its tenth session, the twenty-four seats of the Committee shall be distributed among electoral groups as follows: Group I – three seats; Group</w:t>
      </w:r>
      <w:r w:rsidR="000E29C9">
        <w:rPr>
          <w:u w:val="none"/>
        </w:rPr>
        <w:t> </w:t>
      </w:r>
      <w:r w:rsidRPr="00F3039A">
        <w:rPr>
          <w:u w:val="none"/>
        </w:rPr>
        <w:t>II – three seats; Group III – four seats; Group IV – five seats; Group V(a) – six seats; and Group V(b) – three seats.</w:t>
      </w:r>
    </w:p>
    <w:p w14:paraId="0AB523F9" w14:textId="65F7B36D" w:rsidR="00B51DDB" w:rsidRPr="00F3039A" w:rsidRDefault="00B51DDB" w:rsidP="00B51DDB">
      <w:pPr>
        <w:pStyle w:val="COMTitleDecision"/>
        <w:ind w:left="0"/>
        <w:rPr>
          <w:rFonts w:eastAsia="SimSun"/>
        </w:rPr>
      </w:pPr>
      <w:r w:rsidRPr="00F3039A">
        <w:lastRenderedPageBreak/>
        <w:t>RESOLUTION 10.GA 5</w:t>
      </w:r>
    </w:p>
    <w:p w14:paraId="6231B28A" w14:textId="77777777" w:rsidR="00B51DDB" w:rsidRPr="00F3039A" w:rsidRDefault="00B51DDB" w:rsidP="00B51DDB">
      <w:pPr>
        <w:pStyle w:val="COMPreambulaDecisions"/>
        <w:ind w:left="0"/>
        <w:rPr>
          <w:rFonts w:eastAsia="SimSun"/>
        </w:rPr>
      </w:pPr>
      <w:r w:rsidRPr="00F3039A">
        <w:t>The General Assembly,</w:t>
      </w:r>
    </w:p>
    <w:p w14:paraId="279B42FB" w14:textId="2A25BC2E" w:rsidR="00B51DDB" w:rsidRPr="00F3039A" w:rsidRDefault="00B51DDB" w:rsidP="007A6236">
      <w:pPr>
        <w:pStyle w:val="GAParaResolution"/>
        <w:numPr>
          <w:ilvl w:val="0"/>
          <w:numId w:val="30"/>
        </w:numPr>
        <w:tabs>
          <w:tab w:val="left" w:pos="993"/>
        </w:tabs>
        <w:ind w:left="540" w:hanging="540"/>
      </w:pPr>
      <w:r w:rsidRPr="00F3039A">
        <w:t>Having examined</w:t>
      </w:r>
      <w:r w:rsidRPr="00F3039A">
        <w:rPr>
          <w:u w:val="none"/>
        </w:rPr>
        <w:t xml:space="preserve"> document </w:t>
      </w:r>
      <w:hyperlink r:id="rId12" w:history="1">
        <w:r w:rsidRPr="00F0628D">
          <w:rPr>
            <w:rStyle w:val="Lienhypertexte"/>
          </w:rPr>
          <w:t>LHE/24/10.GA/5</w:t>
        </w:r>
      </w:hyperlink>
      <w:r w:rsidRPr="00F3039A">
        <w:rPr>
          <w:u w:val="none"/>
        </w:rPr>
        <w:t>,</w:t>
      </w:r>
    </w:p>
    <w:p w14:paraId="0A6571C7" w14:textId="77777777" w:rsidR="00B51DDB" w:rsidRPr="00F3039A" w:rsidRDefault="00B51DDB" w:rsidP="007A6236">
      <w:pPr>
        <w:pStyle w:val="COMParaDecision"/>
        <w:numPr>
          <w:ilvl w:val="0"/>
          <w:numId w:val="3"/>
        </w:numPr>
        <w:tabs>
          <w:tab w:val="left" w:pos="993"/>
        </w:tabs>
        <w:ind w:left="540" w:hanging="540"/>
      </w:pPr>
      <w:r w:rsidRPr="00F3039A">
        <w:t>Recalling</w:t>
      </w:r>
      <w:r w:rsidRPr="00F3039A">
        <w:rPr>
          <w:u w:val="none"/>
        </w:rPr>
        <w:t xml:space="preserve"> Article 30 of the Convention and Resolution </w:t>
      </w:r>
      <w:hyperlink r:id="rId13" w:history="1">
        <w:r w:rsidRPr="00F3039A">
          <w:rPr>
            <w:rStyle w:val="Lienhypertexte"/>
          </w:rPr>
          <w:t>6.GA 5</w:t>
        </w:r>
      </w:hyperlink>
      <w:r w:rsidRPr="00F3039A">
        <w:rPr>
          <w:u w:val="none"/>
        </w:rPr>
        <w:t>,</w:t>
      </w:r>
    </w:p>
    <w:p w14:paraId="70CA838E" w14:textId="77777777" w:rsidR="00B51DDB" w:rsidRPr="00F3039A" w:rsidRDefault="00B51DDB" w:rsidP="007A6236">
      <w:pPr>
        <w:pStyle w:val="COMParaDecision"/>
        <w:numPr>
          <w:ilvl w:val="0"/>
          <w:numId w:val="3"/>
        </w:numPr>
        <w:tabs>
          <w:tab w:val="left" w:pos="993"/>
        </w:tabs>
        <w:ind w:left="540" w:hanging="540"/>
      </w:pPr>
      <w:r w:rsidRPr="00F3039A">
        <w:t>Welcomes</w:t>
      </w:r>
      <w:r w:rsidRPr="00F3039A">
        <w:rPr>
          <w:u w:val="none"/>
        </w:rPr>
        <w:t xml:space="preserve"> San Marino, which ratified the Convention during the reporting period, as well as Libya and the United Kingdom of Great Britain and Northern Ireland after the reporting period, bringing the total number of States Parties to 183, and </w:t>
      </w:r>
      <w:r w:rsidRPr="00F3039A">
        <w:t>encourages</w:t>
      </w:r>
      <w:r w:rsidRPr="00F3039A">
        <w:rPr>
          <w:u w:val="none"/>
        </w:rPr>
        <w:t xml:space="preserve"> those States which have not yet ratified to consider doing so;</w:t>
      </w:r>
    </w:p>
    <w:p w14:paraId="2425DB7E" w14:textId="77777777" w:rsidR="00B51DDB" w:rsidRPr="00F3039A" w:rsidRDefault="00B51DDB" w:rsidP="007A6236">
      <w:pPr>
        <w:pStyle w:val="COMParaDecision"/>
        <w:numPr>
          <w:ilvl w:val="0"/>
          <w:numId w:val="3"/>
        </w:numPr>
        <w:tabs>
          <w:tab w:val="left" w:pos="993"/>
        </w:tabs>
        <w:ind w:left="540" w:hanging="540"/>
      </w:pPr>
      <w:r w:rsidRPr="00F3039A">
        <w:t>Takes note</w:t>
      </w:r>
      <w:r w:rsidRPr="00F3039A">
        <w:rPr>
          <w:u w:val="none"/>
        </w:rPr>
        <w:t xml:space="preserve"> of the </w:t>
      </w:r>
      <w:r w:rsidRPr="00F3039A">
        <w:rPr>
          <w:u w:val="none"/>
          <w:lang w:val="en-US"/>
        </w:rPr>
        <w:t xml:space="preserve">report by the Committee to the General Assembly on its activities between January 2022 and December 2023, as annexed to this document, and </w:t>
      </w:r>
      <w:r w:rsidRPr="00F3039A">
        <w:rPr>
          <w:lang w:val="en-US"/>
        </w:rPr>
        <w:t>thanks</w:t>
      </w:r>
      <w:r w:rsidRPr="00F3039A">
        <w:rPr>
          <w:u w:val="none"/>
          <w:lang w:val="en-US"/>
        </w:rPr>
        <w:t xml:space="preserve"> the Committee for its effective work;</w:t>
      </w:r>
    </w:p>
    <w:p w14:paraId="5B6242D2" w14:textId="77777777" w:rsidR="00B51DDB" w:rsidRPr="00F3039A" w:rsidRDefault="00B51DDB" w:rsidP="007A6236">
      <w:pPr>
        <w:pStyle w:val="COMParaDecision"/>
        <w:numPr>
          <w:ilvl w:val="0"/>
          <w:numId w:val="3"/>
        </w:numPr>
        <w:tabs>
          <w:tab w:val="left" w:pos="993"/>
        </w:tabs>
        <w:ind w:left="540" w:hanging="540"/>
      </w:pPr>
      <w:r w:rsidRPr="00F3039A">
        <w:t>Commends</w:t>
      </w:r>
      <w:r w:rsidRPr="00F3039A">
        <w:rPr>
          <w:u w:val="none"/>
        </w:rPr>
        <w:t xml:space="preserve"> the Committee for the preparation of the guidance note on the economic dimensions of intangible cultural heritage safeguarding, and </w:t>
      </w:r>
      <w:r w:rsidRPr="00F3039A">
        <w:t>takes note</w:t>
      </w:r>
      <w:r w:rsidRPr="00F3039A">
        <w:rPr>
          <w:u w:val="none"/>
        </w:rPr>
        <w:t xml:space="preserve"> of the ongoing work in the thematic initiatives on safeguarding intangible cultural heritage and climate change and safeguarding intangible cultural heritage in urban contexts;</w:t>
      </w:r>
    </w:p>
    <w:p w14:paraId="63AA4828" w14:textId="77777777" w:rsidR="00B51DDB" w:rsidRPr="00F3039A" w:rsidRDefault="00B51DDB" w:rsidP="007A6236">
      <w:pPr>
        <w:pStyle w:val="COMParaDecision"/>
        <w:numPr>
          <w:ilvl w:val="0"/>
          <w:numId w:val="3"/>
        </w:numPr>
        <w:tabs>
          <w:tab w:val="left" w:pos="993"/>
        </w:tabs>
        <w:ind w:left="540" w:hanging="540"/>
      </w:pPr>
      <w:r w:rsidRPr="00F3039A">
        <w:t>Further commends</w:t>
      </w:r>
      <w:r w:rsidRPr="00F3039A">
        <w:rPr>
          <w:u w:val="none"/>
        </w:rPr>
        <w:t xml:space="preserve"> the Committee for the progress it made concerning the global reflection on a broader implementation of Article 18, through an inclusive consultation process with experts and the open-ended intergovernmental working group;</w:t>
      </w:r>
    </w:p>
    <w:p w14:paraId="169F0684" w14:textId="50957B61" w:rsidR="00B51DDB" w:rsidRPr="00F3039A" w:rsidRDefault="00B51DDB" w:rsidP="007A6236">
      <w:pPr>
        <w:pStyle w:val="COMParaDecision"/>
        <w:numPr>
          <w:ilvl w:val="0"/>
          <w:numId w:val="3"/>
        </w:numPr>
        <w:tabs>
          <w:tab w:val="left" w:pos="993"/>
        </w:tabs>
        <w:ind w:left="540" w:hanging="540"/>
      </w:pPr>
      <w:r w:rsidRPr="00F3039A">
        <w:t>Notes with satisfaction</w:t>
      </w:r>
      <w:r w:rsidRPr="00F3039A">
        <w:rPr>
          <w:u w:val="none"/>
        </w:rPr>
        <w:t xml:space="preserve"> the improved rates of submission under the ongoing cycle of periodic reporting and </w:t>
      </w:r>
      <w:r w:rsidR="00CA49EB" w:rsidRPr="00F3039A">
        <w:t>takes note</w:t>
      </w:r>
      <w:r w:rsidR="00CA49EB" w:rsidRPr="00F3039A">
        <w:rPr>
          <w:u w:val="none"/>
        </w:rPr>
        <w:t xml:space="preserve"> of</w:t>
      </w:r>
      <w:r w:rsidRPr="00F3039A">
        <w:rPr>
          <w:u w:val="none"/>
        </w:rPr>
        <w:t xml:space="preserve"> the Committee’s decision on the proposed alignment of the reporting mechanisms to a single global submission system in preparation for the quadrennial Global Report on Cultural Policies</w:t>
      </w:r>
      <w:r w:rsidRPr="00F3039A">
        <w:rPr>
          <w:u w:val="none"/>
          <w:lang w:val="en-US"/>
        </w:rPr>
        <w:t xml:space="preserve"> as from 2025 </w:t>
      </w:r>
      <w:r w:rsidRPr="00F3039A">
        <w:rPr>
          <w:u w:val="none"/>
        </w:rPr>
        <w:t xml:space="preserve">(Decision </w:t>
      </w:r>
      <w:hyperlink r:id="rId14" w:history="1">
        <w:r w:rsidRPr="00F3039A">
          <w:rPr>
            <w:rStyle w:val="Lienhypertexte"/>
          </w:rPr>
          <w:t>18.COM 7.c</w:t>
        </w:r>
      </w:hyperlink>
      <w:r w:rsidRPr="00F3039A">
        <w:rPr>
          <w:u w:val="none"/>
        </w:rPr>
        <w:t>);</w:t>
      </w:r>
    </w:p>
    <w:p w14:paraId="6DC9C394" w14:textId="77777777" w:rsidR="00B51DDB" w:rsidRPr="00F3039A" w:rsidRDefault="00B51DDB" w:rsidP="007A6236">
      <w:pPr>
        <w:pStyle w:val="COMParaDecision"/>
        <w:numPr>
          <w:ilvl w:val="0"/>
          <w:numId w:val="3"/>
        </w:numPr>
        <w:tabs>
          <w:tab w:val="left" w:pos="993"/>
        </w:tabs>
        <w:ind w:left="540" w:hanging="540"/>
      </w:pPr>
      <w:r w:rsidRPr="00F3039A">
        <w:t>Further welcomes</w:t>
      </w:r>
      <w:r w:rsidRPr="00F3039A">
        <w:rPr>
          <w:u w:val="none"/>
        </w:rPr>
        <w:t xml:space="preserve"> the continued work in the two global funding priorities of the Convention, ‘Strengthening capacities to safeguard intangible cultural heritage using multi-modal approaches and contribute to sustainable development’ and ‘Safeguarding intangible cultural heritage in formal and non-formal education’, in light of the 2030 Agenda for Sustainable Development and the preparation of the post-2030 agenda;</w:t>
      </w:r>
    </w:p>
    <w:p w14:paraId="7060E57F" w14:textId="0A90A0BF" w:rsidR="00B51DDB" w:rsidRPr="00F3039A" w:rsidRDefault="00B51DDB" w:rsidP="007A6236">
      <w:pPr>
        <w:pStyle w:val="COMParaDecision"/>
        <w:numPr>
          <w:ilvl w:val="0"/>
          <w:numId w:val="3"/>
        </w:numPr>
        <w:tabs>
          <w:tab w:val="left" w:pos="993"/>
        </w:tabs>
        <w:ind w:left="540" w:hanging="540"/>
      </w:pPr>
      <w:r w:rsidRPr="00F3039A">
        <w:t>Acknowledges</w:t>
      </w:r>
      <w:r w:rsidRPr="00F3039A">
        <w:rPr>
          <w:u w:val="none"/>
        </w:rPr>
        <w:t xml:space="preserve"> the decision of the Committee to utilise the newly established removal procedure to remove part of an element from one of the Lists of the Convention, </w:t>
      </w:r>
      <w:r w:rsidR="00CA49EB" w:rsidRPr="00F3039A">
        <w:rPr>
          <w:u w:val="none"/>
        </w:rPr>
        <w:t xml:space="preserve">with the endorsement of the State Party concerned, and </w:t>
      </w:r>
      <w:r w:rsidRPr="00F3039A">
        <w:rPr>
          <w:u w:val="none"/>
        </w:rPr>
        <w:t>in keeping with the founding principles of UNESCO and the principles of the Convention of dignity, equality and mutual respect among peoples;</w:t>
      </w:r>
    </w:p>
    <w:p w14:paraId="50512628" w14:textId="77777777" w:rsidR="00B51DDB" w:rsidRPr="00F3039A" w:rsidRDefault="00B51DDB" w:rsidP="007A6236">
      <w:pPr>
        <w:pStyle w:val="COMParaDecision"/>
        <w:numPr>
          <w:ilvl w:val="0"/>
          <w:numId w:val="3"/>
        </w:numPr>
        <w:tabs>
          <w:tab w:val="left" w:pos="993"/>
        </w:tabs>
        <w:ind w:left="540" w:hanging="540"/>
      </w:pPr>
      <w:r w:rsidRPr="00F3039A">
        <w:t>Requests</w:t>
      </w:r>
      <w:r w:rsidRPr="00F3039A">
        <w:rPr>
          <w:u w:val="none"/>
        </w:rPr>
        <w:t xml:space="preserve"> that the Director-General bring this report to the attention of the General Conference of UNESCO, in conformity with Article 30, paragraph 2 of the Convention.</w:t>
      </w:r>
    </w:p>
    <w:p w14:paraId="3F310961" w14:textId="64B3009C" w:rsidR="00562DDD" w:rsidRPr="00F0628D" w:rsidRDefault="00562DDD" w:rsidP="00DB5736">
      <w:pPr>
        <w:pStyle w:val="COMTitleDecision"/>
        <w:ind w:left="0"/>
      </w:pPr>
      <w:r w:rsidRPr="00F3039A">
        <w:t>RESOLUTION 10.GA 6</w:t>
      </w:r>
    </w:p>
    <w:p w14:paraId="574195F2" w14:textId="77777777" w:rsidR="00562DDD" w:rsidRPr="00F3039A" w:rsidRDefault="00562DDD" w:rsidP="00562DDD">
      <w:pPr>
        <w:pStyle w:val="COMPreambulaDecisions"/>
        <w:ind w:left="0"/>
        <w:rPr>
          <w:rFonts w:eastAsia="SimSun"/>
        </w:rPr>
      </w:pPr>
      <w:r w:rsidRPr="00F3039A">
        <w:t>The General Assembly,</w:t>
      </w:r>
    </w:p>
    <w:p w14:paraId="0A22383D" w14:textId="2CDEACD1" w:rsidR="00562DDD" w:rsidRPr="00F3039A" w:rsidRDefault="00562DDD" w:rsidP="007A6236">
      <w:pPr>
        <w:pStyle w:val="GAParaResolution"/>
        <w:numPr>
          <w:ilvl w:val="0"/>
          <w:numId w:val="32"/>
        </w:numPr>
        <w:ind w:left="540" w:hanging="540"/>
      </w:pPr>
      <w:r w:rsidRPr="00F3039A">
        <w:t>Having examined</w:t>
      </w:r>
      <w:r w:rsidRPr="00F3039A">
        <w:rPr>
          <w:u w:val="none"/>
        </w:rPr>
        <w:t xml:space="preserve"> document </w:t>
      </w:r>
      <w:hyperlink r:id="rId15" w:history="1">
        <w:r w:rsidRPr="00F0628D">
          <w:rPr>
            <w:rStyle w:val="Lienhypertexte"/>
          </w:rPr>
          <w:t>LHE/24/10.GA/6</w:t>
        </w:r>
      </w:hyperlink>
      <w:r w:rsidRPr="00F3039A">
        <w:rPr>
          <w:u w:val="none"/>
        </w:rPr>
        <w:t xml:space="preserve"> and its annexes,</w:t>
      </w:r>
    </w:p>
    <w:p w14:paraId="5DD42F09" w14:textId="77777777" w:rsidR="00562DDD" w:rsidRPr="00F3039A" w:rsidRDefault="00562DDD" w:rsidP="007A6236">
      <w:pPr>
        <w:pStyle w:val="COMParaDecision"/>
        <w:numPr>
          <w:ilvl w:val="0"/>
          <w:numId w:val="3"/>
        </w:numPr>
        <w:ind w:left="540" w:hanging="540"/>
      </w:pPr>
      <w:r w:rsidRPr="00F3039A">
        <w:t>Recalling</w:t>
      </w:r>
      <w:r w:rsidRPr="00F3039A">
        <w:rPr>
          <w:u w:val="none"/>
        </w:rPr>
        <w:t xml:space="preserve"> Resolution </w:t>
      </w:r>
      <w:hyperlink r:id="rId16" w:history="1">
        <w:r w:rsidRPr="00F3039A">
          <w:rPr>
            <w:rStyle w:val="Lienhypertexte"/>
          </w:rPr>
          <w:t>9.GA 6</w:t>
        </w:r>
      </w:hyperlink>
      <w:r w:rsidRPr="00F3039A">
        <w:rPr>
          <w:u w:val="none"/>
        </w:rPr>
        <w:t xml:space="preserve">, as well as Decisions </w:t>
      </w:r>
      <w:hyperlink r:id="rId17" w:history="1">
        <w:r w:rsidRPr="00F3039A">
          <w:rPr>
            <w:rStyle w:val="Lienhypertexte"/>
          </w:rPr>
          <w:t>17.COM 15</w:t>
        </w:r>
      </w:hyperlink>
      <w:r w:rsidRPr="00F3039A">
        <w:rPr>
          <w:u w:val="none"/>
        </w:rPr>
        <w:t xml:space="preserve"> and </w:t>
      </w:r>
      <w:hyperlink r:id="rId18" w:history="1">
        <w:r w:rsidRPr="00F3039A">
          <w:rPr>
            <w:rStyle w:val="Lienhypertexte"/>
          </w:rPr>
          <w:t>18.COM 7.c</w:t>
        </w:r>
      </w:hyperlink>
      <w:r w:rsidRPr="00F3039A">
        <w:rPr>
          <w:rStyle w:val="Lienhypertexte"/>
          <w:u w:val="none"/>
        </w:rPr>
        <w:t>,</w:t>
      </w:r>
    </w:p>
    <w:p w14:paraId="301D52EC" w14:textId="77777777" w:rsidR="00562DDD" w:rsidRPr="00F3039A" w:rsidRDefault="00562DDD" w:rsidP="007A6236">
      <w:pPr>
        <w:pStyle w:val="COMParaDecision"/>
        <w:numPr>
          <w:ilvl w:val="0"/>
          <w:numId w:val="3"/>
        </w:numPr>
        <w:ind w:left="540" w:hanging="540"/>
      </w:pPr>
      <w:r w:rsidRPr="00F3039A">
        <w:t>Further recalling</w:t>
      </w:r>
      <w:r w:rsidRPr="00F3039A">
        <w:rPr>
          <w:u w:val="none"/>
        </w:rPr>
        <w:t xml:space="preserve"> </w:t>
      </w:r>
      <w:hyperlink r:id="rId19" w:history="1">
        <w:r w:rsidRPr="00F3039A">
          <w:rPr>
            <w:rStyle w:val="Lienhypertexte"/>
          </w:rPr>
          <w:t>42 C/Resolution 81</w:t>
        </w:r>
      </w:hyperlink>
      <w:r w:rsidRPr="00F3039A">
        <w:rPr>
          <w:u w:val="none"/>
        </w:rPr>
        <w:t xml:space="preserve"> of the General Conference and </w:t>
      </w:r>
      <w:hyperlink r:id="rId20" w:history="1">
        <w:r w:rsidRPr="00F3039A">
          <w:rPr>
            <w:rStyle w:val="Lienhypertexte"/>
          </w:rPr>
          <w:t>219 EX/Decision 13</w:t>
        </w:r>
      </w:hyperlink>
      <w:r w:rsidRPr="00F3039A">
        <w:rPr>
          <w:u w:val="none"/>
        </w:rPr>
        <w:t xml:space="preserve"> of the Executive Board of UNESCO, as well as the 2021 IOS Evaluation of UNESCO’s action in the framework of the 2003 Convention and the 2024 IOS Evaluation of UNESCO’s periodic reporting on the Culture Sector’s Conventions and Recommendations,</w:t>
      </w:r>
    </w:p>
    <w:p w14:paraId="7002FBBA" w14:textId="77777777" w:rsidR="00562DDD" w:rsidRPr="00F3039A" w:rsidRDefault="00562DDD" w:rsidP="007A6236">
      <w:pPr>
        <w:pStyle w:val="COMParaDecision"/>
        <w:numPr>
          <w:ilvl w:val="0"/>
          <w:numId w:val="3"/>
        </w:numPr>
        <w:ind w:left="540" w:hanging="540"/>
      </w:pPr>
      <w:r w:rsidRPr="00F3039A">
        <w:t>Commends</w:t>
      </w:r>
      <w:r w:rsidRPr="00F3039A">
        <w:rPr>
          <w:u w:val="none"/>
        </w:rPr>
        <w:t xml:space="preserve"> the Secretariat for the continued support provided for the sound governance of the Convention, through the efficient organization of statutory meetings and management of international cooperation mechanisms;</w:t>
      </w:r>
    </w:p>
    <w:p w14:paraId="3D800029" w14:textId="398BCFFB" w:rsidR="00562DDD" w:rsidRPr="00F3039A" w:rsidRDefault="00562DDD" w:rsidP="00F0628D">
      <w:pPr>
        <w:pStyle w:val="COMParaDecision"/>
        <w:keepNext/>
        <w:keepLines/>
        <w:numPr>
          <w:ilvl w:val="0"/>
          <w:numId w:val="3"/>
        </w:numPr>
        <w:ind w:left="540" w:hanging="540"/>
      </w:pPr>
      <w:r w:rsidRPr="00F3039A">
        <w:t>Further commends</w:t>
      </w:r>
      <w:r w:rsidRPr="00F3039A">
        <w:rPr>
          <w:u w:val="none"/>
        </w:rPr>
        <w:t xml:space="preserve"> the Secretariat for the implementation of the revised Operational Directives following the completion of the global reflection on the listing mechanisms of the Convention, including its support to the Evaluation Body, and </w:t>
      </w:r>
      <w:r w:rsidRPr="00F3039A">
        <w:t>takes note</w:t>
      </w:r>
      <w:r w:rsidRPr="00F3039A">
        <w:rPr>
          <w:u w:val="none"/>
        </w:rPr>
        <w:t xml:space="preserve"> of the progress made </w:t>
      </w:r>
      <w:r w:rsidR="00FE523F" w:rsidRPr="00F3039A">
        <w:rPr>
          <w:u w:val="none"/>
        </w:rPr>
        <w:t xml:space="preserve">and all the challenges remaining </w:t>
      </w:r>
      <w:r w:rsidRPr="00F3039A">
        <w:rPr>
          <w:u w:val="none"/>
        </w:rPr>
        <w:t>in the reflection on a broader implementation on Article 18;</w:t>
      </w:r>
    </w:p>
    <w:p w14:paraId="72930CD1" w14:textId="77777777" w:rsidR="00562DDD" w:rsidRPr="00F3039A" w:rsidRDefault="00562DDD" w:rsidP="00F0628D">
      <w:pPr>
        <w:pStyle w:val="COMParaDecision"/>
        <w:keepNext/>
        <w:keepLines/>
        <w:numPr>
          <w:ilvl w:val="0"/>
          <w:numId w:val="3"/>
        </w:numPr>
        <w:ind w:left="540" w:hanging="540"/>
      </w:pPr>
      <w:r w:rsidRPr="00F3039A">
        <w:t>Acknowledges</w:t>
      </w:r>
      <w:r w:rsidRPr="00F3039A">
        <w:rPr>
          <w:u w:val="none"/>
        </w:rPr>
        <w:t xml:space="preserve"> the further systemization of the International Assistance mechanism, and </w:t>
      </w:r>
      <w:r w:rsidRPr="00F3039A">
        <w:t>welcomes</w:t>
      </w:r>
      <w:r w:rsidRPr="00F3039A">
        <w:rPr>
          <w:u w:val="none"/>
        </w:rPr>
        <w:t xml:space="preserve"> its expansion to a wider group of countries which have received assistance;</w:t>
      </w:r>
    </w:p>
    <w:p w14:paraId="0E5FABA9" w14:textId="77777777" w:rsidR="00562DDD" w:rsidRPr="00F3039A" w:rsidRDefault="00562DDD" w:rsidP="00F0628D">
      <w:pPr>
        <w:pStyle w:val="COMParaDecision"/>
        <w:keepNext/>
        <w:keepLines/>
        <w:numPr>
          <w:ilvl w:val="0"/>
          <w:numId w:val="3"/>
        </w:numPr>
        <w:ind w:left="540" w:hanging="540"/>
      </w:pPr>
      <w:r w:rsidRPr="00F3039A">
        <w:t>Notes with satisfaction</w:t>
      </w:r>
      <w:r w:rsidRPr="00F3039A">
        <w:rPr>
          <w:u w:val="none"/>
        </w:rPr>
        <w:t xml:space="preserve"> the substantially improved submission rates of periodic reports from Europe, the Arab States and Africa;</w:t>
      </w:r>
    </w:p>
    <w:p w14:paraId="07491E15" w14:textId="77777777" w:rsidR="00562DDD" w:rsidRPr="00F3039A" w:rsidRDefault="00562DDD" w:rsidP="00F0628D">
      <w:pPr>
        <w:pStyle w:val="COMParaDecision"/>
        <w:keepNext/>
        <w:keepLines/>
        <w:numPr>
          <w:ilvl w:val="0"/>
          <w:numId w:val="3"/>
        </w:numPr>
        <w:ind w:left="540" w:hanging="540"/>
      </w:pPr>
      <w:r w:rsidRPr="00F3039A">
        <w:t>Appreciates</w:t>
      </w:r>
      <w:r w:rsidRPr="00F3039A">
        <w:rPr>
          <w:u w:val="none"/>
        </w:rPr>
        <w:t xml:space="preserve"> the continued implementation of the global capacity-building programme and its reorientation to a multi-modal and intersectoral approach, and </w:t>
      </w:r>
      <w:r w:rsidRPr="00F3039A">
        <w:t>encourages</w:t>
      </w:r>
      <w:r w:rsidRPr="00F3039A">
        <w:rPr>
          <w:u w:val="none"/>
        </w:rPr>
        <w:t xml:space="preserve"> the Secretariat to continue enhancing its synergies within UNESCO and the wider UN system, with the aim of integrating living heritage in the post-2030 international development agenda;</w:t>
      </w:r>
    </w:p>
    <w:p w14:paraId="1B13BB23" w14:textId="77777777" w:rsidR="00562DDD" w:rsidRPr="00F3039A" w:rsidRDefault="00562DDD" w:rsidP="00F0628D">
      <w:pPr>
        <w:pStyle w:val="COMParaDecision"/>
        <w:keepNext/>
        <w:keepLines/>
        <w:numPr>
          <w:ilvl w:val="0"/>
          <w:numId w:val="3"/>
        </w:numPr>
        <w:ind w:left="540" w:hanging="540"/>
      </w:pPr>
      <w:r w:rsidRPr="00F3039A">
        <w:t>Further appreciates</w:t>
      </w:r>
      <w:r w:rsidRPr="00F3039A">
        <w:rPr>
          <w:u w:val="none"/>
        </w:rPr>
        <w:t xml:space="preserve"> the progress made under the thematic initiatives of the Convention, particularly in relation to its economic dimensions, climate change and urban contexts, and </w:t>
      </w:r>
      <w:r w:rsidRPr="00F3039A">
        <w:t>invites</w:t>
      </w:r>
      <w:r w:rsidRPr="00F3039A">
        <w:rPr>
          <w:u w:val="none"/>
        </w:rPr>
        <w:t xml:space="preserve"> the Secretariat to continue pursuing these efforts, and in other domains the Committee may request in line with the areas of action highlighted in the Seoul Vision for the Future of Safeguarding Living Heritage for Sustainable Development and Peace;</w:t>
      </w:r>
    </w:p>
    <w:p w14:paraId="5EFEE755" w14:textId="77777777" w:rsidR="00562DDD" w:rsidRPr="00F3039A" w:rsidRDefault="00562DDD" w:rsidP="00F0628D">
      <w:pPr>
        <w:pStyle w:val="COMParaDecision"/>
        <w:keepNext/>
        <w:keepLines/>
        <w:numPr>
          <w:ilvl w:val="0"/>
          <w:numId w:val="3"/>
        </w:numPr>
        <w:ind w:left="540" w:hanging="540"/>
      </w:pPr>
      <w:r w:rsidRPr="00F3039A">
        <w:t>Acknowledges</w:t>
      </w:r>
      <w:r w:rsidRPr="00F3039A">
        <w:rPr>
          <w:u w:val="none"/>
        </w:rPr>
        <w:t xml:space="preserve"> the progress accomplished as regards the twelve recommendations made by the 2021 IOS evaluation on UNESCO’s action in the framework of the 2003 Convention;</w:t>
      </w:r>
    </w:p>
    <w:p w14:paraId="73FD9BDD" w14:textId="77777777" w:rsidR="00562DDD" w:rsidRPr="00F3039A" w:rsidRDefault="00562DDD" w:rsidP="00F0628D">
      <w:pPr>
        <w:pStyle w:val="COMParaDecision"/>
        <w:keepNext/>
        <w:keepLines/>
        <w:numPr>
          <w:ilvl w:val="0"/>
          <w:numId w:val="3"/>
        </w:numPr>
        <w:ind w:left="540" w:hanging="540"/>
      </w:pPr>
      <w:r w:rsidRPr="00F3039A">
        <w:t>Takes note</w:t>
      </w:r>
      <w:r w:rsidRPr="00F3039A">
        <w:rPr>
          <w:u w:val="none"/>
        </w:rPr>
        <w:t xml:space="preserve"> of the following as regards the further development of the Convention:</w:t>
      </w:r>
    </w:p>
    <w:p w14:paraId="63517461" w14:textId="77777777" w:rsidR="00562DDD" w:rsidRPr="00F3039A" w:rsidRDefault="00562DDD" w:rsidP="00970AA9">
      <w:pPr>
        <w:pStyle w:val="COMParaDecision"/>
        <w:keepNext/>
        <w:keepLines/>
        <w:numPr>
          <w:ilvl w:val="0"/>
          <w:numId w:val="31"/>
        </w:numPr>
        <w:ind w:left="1134" w:hanging="567"/>
        <w:rPr>
          <w:u w:val="none"/>
        </w:rPr>
      </w:pPr>
      <w:r w:rsidRPr="00F3039A">
        <w:rPr>
          <w:u w:val="none"/>
        </w:rPr>
        <w:t xml:space="preserve">The Seoul Vision for the Future of Safeguarding Living Heritage for Sustainable Development and Peace as well as the inputs provided by States Parties through the survey, and </w:t>
      </w:r>
      <w:r w:rsidRPr="00970AA9">
        <w:t>calls upon</w:t>
      </w:r>
      <w:r w:rsidRPr="00F3039A">
        <w:rPr>
          <w:u w:val="none"/>
        </w:rPr>
        <w:t xml:space="preserve"> the stakeholders of the Convention to take into account the proposed main areas of action in their safeguarding efforts for the further development of the Convention;</w:t>
      </w:r>
    </w:p>
    <w:p w14:paraId="330043A9" w14:textId="73508C11" w:rsidR="00FE523F" w:rsidRPr="00F3039A" w:rsidRDefault="00FE523F" w:rsidP="00970AA9">
      <w:pPr>
        <w:pStyle w:val="COMParaDecision"/>
        <w:keepNext/>
        <w:keepLines/>
        <w:numPr>
          <w:ilvl w:val="0"/>
          <w:numId w:val="31"/>
        </w:numPr>
        <w:ind w:left="1134" w:hanging="567"/>
        <w:rPr>
          <w:u w:val="none"/>
        </w:rPr>
      </w:pPr>
      <w:r w:rsidRPr="00F0628D">
        <w:rPr>
          <w:u w:val="none"/>
        </w:rPr>
        <w:t xml:space="preserve">The ‘Spirit of Naples’ Call for Action launched at the UNESCO Conference on Cultural Heritage in the 21st Century, and </w:t>
      </w:r>
      <w:r w:rsidRPr="00970AA9">
        <w:t>encourages</w:t>
      </w:r>
      <w:r w:rsidRPr="00F0628D">
        <w:rPr>
          <w:u w:val="none"/>
        </w:rPr>
        <w:t xml:space="preserve"> all UNESCO Member States and stakeholders to enact public policies and strategies anchored in the Call for Action’s principles and to promote holistic approaches to safeguard both tangible and intangible heritage;</w:t>
      </w:r>
    </w:p>
    <w:p w14:paraId="46EA9A42" w14:textId="6A296336" w:rsidR="00562DDD" w:rsidRPr="00F3039A" w:rsidRDefault="00562DDD" w:rsidP="00970AA9">
      <w:pPr>
        <w:pStyle w:val="COMParaDecision"/>
        <w:numPr>
          <w:ilvl w:val="0"/>
          <w:numId w:val="31"/>
        </w:numPr>
        <w:ind w:left="1134" w:hanging="567"/>
        <w:rPr>
          <w:u w:val="none"/>
        </w:rPr>
      </w:pPr>
      <w:r w:rsidRPr="00F3039A">
        <w:rPr>
          <w:u w:val="none"/>
        </w:rPr>
        <w:t xml:space="preserve">The final declaration of the UNESCO World Conference on Cultural Policies and Sustainable Development – MONDIACULT 2022, as well as the 2024 IOS Evaluation of UNESCO’s periodic reporting on the Culture Sector’s Conventions and Recommendations, and </w:t>
      </w:r>
      <w:r w:rsidR="00FE523F" w:rsidRPr="00970AA9">
        <w:t>encourages</w:t>
      </w:r>
      <w:r w:rsidR="00FE523F" w:rsidRPr="00F3039A">
        <w:rPr>
          <w:u w:val="none"/>
        </w:rPr>
        <w:t xml:space="preserve"> </w:t>
      </w:r>
      <w:r w:rsidRPr="00F3039A">
        <w:rPr>
          <w:u w:val="none"/>
        </w:rPr>
        <w:t>the transitional measures to rationalize the periodic reporting towards the single global submission system, including in preparation for the UNESCO Global Report on Cultural Policies, as endorsed by the eighteenth session of the Committee;</w:t>
      </w:r>
    </w:p>
    <w:p w14:paraId="312CBAD5" w14:textId="2BDF305C" w:rsidR="00562DDD" w:rsidRPr="00F3039A" w:rsidRDefault="00562DDD" w:rsidP="00970AA9">
      <w:pPr>
        <w:pStyle w:val="COMParaDecision"/>
        <w:numPr>
          <w:ilvl w:val="0"/>
          <w:numId w:val="31"/>
        </w:numPr>
        <w:ind w:left="1134" w:hanging="567"/>
      </w:pPr>
      <w:r w:rsidRPr="00F3039A">
        <w:rPr>
          <w:u w:val="none"/>
        </w:rPr>
        <w:t xml:space="preserve">An invitation extended by the General Conference of UNESCO to contribute to the process of the strategic reflection on future programmatic directions and priorities for the quadrennium 2026-2029, </w:t>
      </w:r>
      <w:r w:rsidRPr="00F3039A">
        <w:t>affirms</w:t>
      </w:r>
      <w:r w:rsidRPr="00F3039A">
        <w:rPr>
          <w:u w:val="none"/>
        </w:rPr>
        <w:t xml:space="preserve"> the strategic importance of living heritage for sustainable human development in the fields of competence of the Organization, and </w:t>
      </w:r>
      <w:r w:rsidRPr="00F3039A">
        <w:t>requests</w:t>
      </w:r>
      <w:r w:rsidRPr="00F3039A">
        <w:rPr>
          <w:u w:val="none"/>
        </w:rPr>
        <w:t xml:space="preserve"> that the Secretariat reflect the discussions undertaken during the present session </w:t>
      </w:r>
      <w:r w:rsidR="00FE523F" w:rsidRPr="00F3039A">
        <w:rPr>
          <w:u w:val="none"/>
        </w:rPr>
        <w:t xml:space="preserve">as well as contributions to be received in writing after the session </w:t>
      </w:r>
      <w:r w:rsidRPr="00F3039A">
        <w:rPr>
          <w:u w:val="none"/>
        </w:rPr>
        <w:t>in the Culture Sector’s contribution to the Director-General’s preliminary proposals on the draft 43 C/5;</w:t>
      </w:r>
    </w:p>
    <w:p w14:paraId="1C084397" w14:textId="77777777" w:rsidR="00562DDD" w:rsidRPr="00F3039A" w:rsidRDefault="00562DDD" w:rsidP="007A6236">
      <w:pPr>
        <w:pStyle w:val="COMParaDecision"/>
        <w:numPr>
          <w:ilvl w:val="0"/>
          <w:numId w:val="3"/>
        </w:numPr>
        <w:ind w:left="540" w:hanging="540"/>
      </w:pPr>
      <w:r w:rsidRPr="00F3039A">
        <w:t>Further requests</w:t>
      </w:r>
      <w:r w:rsidRPr="00F3039A">
        <w:rPr>
          <w:u w:val="none"/>
        </w:rPr>
        <w:t xml:space="preserve"> that the Secretariat report on its activities for the period between January 2024 and December 2025 for examination by the General Assembly at its eleventh session.</w:t>
      </w:r>
    </w:p>
    <w:p w14:paraId="67CE8FE0" w14:textId="1699FF89" w:rsidR="007A6236" w:rsidRPr="00F3039A" w:rsidRDefault="007A6236" w:rsidP="00F0628D">
      <w:pPr>
        <w:pStyle w:val="COMTitleDecision"/>
        <w:keepLines/>
        <w:ind w:left="0"/>
        <w:rPr>
          <w:rFonts w:eastAsia="SimSun"/>
        </w:rPr>
      </w:pPr>
      <w:r w:rsidRPr="00F3039A">
        <w:t>RESOLUTION 10.GA 7</w:t>
      </w:r>
    </w:p>
    <w:p w14:paraId="7A727F08" w14:textId="77777777" w:rsidR="007A6236" w:rsidRPr="00F3039A" w:rsidRDefault="007A6236" w:rsidP="00F0628D">
      <w:pPr>
        <w:pStyle w:val="COMPreambulaDecisions"/>
        <w:keepLines/>
        <w:ind w:left="0"/>
        <w:rPr>
          <w:rFonts w:eastAsia="SimSun"/>
        </w:rPr>
      </w:pPr>
      <w:r w:rsidRPr="00F3039A">
        <w:t>The General Assembly,</w:t>
      </w:r>
    </w:p>
    <w:p w14:paraId="15803D03" w14:textId="07A612A0" w:rsidR="007A6236" w:rsidRPr="00F3039A" w:rsidRDefault="007A6236" w:rsidP="00F0628D">
      <w:pPr>
        <w:pStyle w:val="COMParaDecision"/>
        <w:keepNext/>
        <w:keepLines/>
        <w:numPr>
          <w:ilvl w:val="0"/>
          <w:numId w:val="33"/>
        </w:numPr>
        <w:ind w:left="540" w:hanging="540"/>
      </w:pPr>
      <w:r w:rsidRPr="00F3039A">
        <w:t>Having examined</w:t>
      </w:r>
      <w:r w:rsidRPr="00F3039A">
        <w:rPr>
          <w:u w:val="none"/>
        </w:rPr>
        <w:t xml:space="preserve"> document </w:t>
      </w:r>
      <w:hyperlink r:id="rId21" w:history="1">
        <w:r w:rsidRPr="00F0628D">
          <w:rPr>
            <w:rStyle w:val="Lienhypertexte"/>
          </w:rPr>
          <w:t>LHE/24/10.GA/7</w:t>
        </w:r>
      </w:hyperlink>
      <w:r w:rsidRPr="00F3039A">
        <w:rPr>
          <w:u w:val="none"/>
        </w:rPr>
        <w:t xml:space="preserve"> and its annex,</w:t>
      </w:r>
    </w:p>
    <w:p w14:paraId="73B14D2A" w14:textId="77777777" w:rsidR="007A6236" w:rsidRPr="00F3039A" w:rsidRDefault="007A6236" w:rsidP="00F0628D">
      <w:pPr>
        <w:pStyle w:val="COMParaDecision"/>
        <w:keepNext/>
        <w:keepLines/>
        <w:numPr>
          <w:ilvl w:val="0"/>
          <w:numId w:val="3"/>
        </w:numPr>
        <w:ind w:left="540" w:hanging="540"/>
      </w:pPr>
      <w:r w:rsidRPr="00F3039A">
        <w:t>Recalling</w:t>
      </w:r>
      <w:r w:rsidRPr="00F3039A">
        <w:rPr>
          <w:u w:val="none"/>
        </w:rPr>
        <w:t xml:space="preserve"> Resolution </w:t>
      </w:r>
      <w:hyperlink r:id="rId22" w:history="1">
        <w:r w:rsidRPr="00F3039A">
          <w:rPr>
            <w:rStyle w:val="Lienhypertexte"/>
          </w:rPr>
          <w:t>9.GA 9</w:t>
        </w:r>
      </w:hyperlink>
      <w:r w:rsidRPr="00F3039A">
        <w:rPr>
          <w:u w:val="none"/>
        </w:rPr>
        <w:t xml:space="preserve"> as well as Decisions </w:t>
      </w:r>
      <w:hyperlink r:id="rId23" w:history="1">
        <w:r w:rsidRPr="00F3039A">
          <w:rPr>
            <w:rStyle w:val="Lienhypertexte"/>
          </w:rPr>
          <w:t>16.COM 14</w:t>
        </w:r>
      </w:hyperlink>
      <w:r w:rsidRPr="00F3039A">
        <w:rPr>
          <w:u w:val="none"/>
        </w:rPr>
        <w:t xml:space="preserve">, </w:t>
      </w:r>
      <w:hyperlink r:id="rId24" w:history="1">
        <w:r w:rsidRPr="00F3039A">
          <w:rPr>
            <w:rStyle w:val="Lienhypertexte"/>
          </w:rPr>
          <w:t>17.COM 7</w:t>
        </w:r>
      </w:hyperlink>
      <w:r w:rsidRPr="00F3039A">
        <w:rPr>
          <w:u w:val="none"/>
        </w:rPr>
        <w:t xml:space="preserve">, </w:t>
      </w:r>
      <w:hyperlink r:id="rId25" w:history="1">
        <w:r w:rsidRPr="00F3039A">
          <w:rPr>
            <w:rStyle w:val="Lienhypertexte"/>
          </w:rPr>
          <w:t>18.COM 10</w:t>
        </w:r>
      </w:hyperlink>
      <w:r w:rsidRPr="00F3039A">
        <w:rPr>
          <w:rStyle w:val="Lienhypertexte"/>
          <w:u w:val="none"/>
        </w:rPr>
        <w:t xml:space="preserve"> </w:t>
      </w:r>
      <w:r w:rsidRPr="00F3039A">
        <w:rPr>
          <w:u w:val="none"/>
        </w:rPr>
        <w:t xml:space="preserve">and </w:t>
      </w:r>
      <w:hyperlink r:id="rId26" w:history="1">
        <w:r w:rsidRPr="00F3039A">
          <w:rPr>
            <w:rStyle w:val="Lienhypertexte"/>
          </w:rPr>
          <w:t>18.COM 11</w:t>
        </w:r>
      </w:hyperlink>
      <w:r w:rsidRPr="00F3039A">
        <w:rPr>
          <w:u w:val="none"/>
        </w:rPr>
        <w:t>,</w:t>
      </w:r>
    </w:p>
    <w:p w14:paraId="7D2BD65E" w14:textId="77777777" w:rsidR="007A6236" w:rsidRPr="00F3039A" w:rsidRDefault="007A6236" w:rsidP="007A6236">
      <w:pPr>
        <w:pStyle w:val="COMParaDecision"/>
        <w:keepNext/>
        <w:numPr>
          <w:ilvl w:val="0"/>
          <w:numId w:val="3"/>
        </w:numPr>
        <w:ind w:left="540" w:hanging="540"/>
      </w:pPr>
      <w:r w:rsidRPr="00F3039A">
        <w:t>Takes note</w:t>
      </w:r>
      <w:r w:rsidRPr="00F3039A">
        <w:rPr>
          <w:u w:val="none"/>
        </w:rPr>
        <w:t xml:space="preserve"> of the proposed amendments to the Operational Directives concerning the selection criteria for the Register of Good Safeguarding Practices, endorsed by the eighteenth session of the Committee and based on the recommendations of the Open-ended intergovernmental working group;</w:t>
      </w:r>
    </w:p>
    <w:p w14:paraId="15CBCAC3" w14:textId="77777777" w:rsidR="007A6236" w:rsidRPr="00F3039A" w:rsidRDefault="007A6236" w:rsidP="007A6236">
      <w:pPr>
        <w:pStyle w:val="COMParaDecision"/>
        <w:numPr>
          <w:ilvl w:val="0"/>
          <w:numId w:val="3"/>
        </w:numPr>
        <w:ind w:left="540" w:hanging="540"/>
      </w:pPr>
      <w:r w:rsidRPr="00F3039A">
        <w:t>Thanks</w:t>
      </w:r>
      <w:r w:rsidRPr="00F3039A">
        <w:rPr>
          <w:u w:val="none"/>
        </w:rPr>
        <w:t xml:space="preserve"> Sweden for having supported the reflection on a broader implementation of Article 18 of the Convention;</w:t>
      </w:r>
    </w:p>
    <w:p w14:paraId="462E62FF" w14:textId="77777777" w:rsidR="007A6236" w:rsidRPr="00F0628D" w:rsidRDefault="007A6236" w:rsidP="007A6236">
      <w:pPr>
        <w:pStyle w:val="COMParaDecision"/>
        <w:numPr>
          <w:ilvl w:val="0"/>
          <w:numId w:val="3"/>
        </w:numPr>
        <w:ind w:left="540" w:hanging="540"/>
        <w:rPr>
          <w:sz w:val="24"/>
          <w:szCs w:val="24"/>
          <w:u w:val="none"/>
        </w:rPr>
      </w:pPr>
      <w:r w:rsidRPr="00F3039A">
        <w:t>Expresses its appreciation</w:t>
      </w:r>
      <w:r w:rsidRPr="00F3039A">
        <w:rPr>
          <w:u w:val="none"/>
        </w:rPr>
        <w:t xml:space="preserve"> to the Open-ended intergovernmental working group and the experts who took part in the consultation for their work and reflection on how to improve access to and increase the visibility of the Register of Good Safeguarding Practices;</w:t>
      </w:r>
    </w:p>
    <w:p w14:paraId="667FE73D" w14:textId="580C2903" w:rsidR="00FE523F" w:rsidRPr="00F0628D" w:rsidRDefault="00FE523F" w:rsidP="00F0628D">
      <w:pPr>
        <w:pStyle w:val="COMParaDecision"/>
        <w:ind w:left="540" w:hanging="540"/>
        <w:rPr>
          <w:u w:val="none"/>
        </w:rPr>
      </w:pPr>
      <w:r w:rsidRPr="00F0628D">
        <w:rPr>
          <w:u w:val="none"/>
        </w:rPr>
        <w:t>5</w:t>
      </w:r>
      <w:r w:rsidR="00A936FB" w:rsidRPr="00F3039A">
        <w:rPr>
          <w:u w:val="none"/>
        </w:rPr>
        <w:t>.</w:t>
      </w:r>
      <w:r w:rsidRPr="00F0628D">
        <w:rPr>
          <w:u w:val="none"/>
        </w:rPr>
        <w:t xml:space="preserve">bis </w:t>
      </w:r>
      <w:r w:rsidRPr="00F0628D">
        <w:t>Requests</w:t>
      </w:r>
      <w:r w:rsidRPr="00F0628D">
        <w:rPr>
          <w:u w:val="none"/>
        </w:rPr>
        <w:t xml:space="preserve"> that the Secretariat, the Committee and the Evaluation Body explore ways to fully encompass the outcomes of the global reflection on the listing mechanisms of the Convention (2018-2022) and of the ongoing reflection on a broader implementation of Article 18 of the Convention, with a view to ensure that the Register of Good Safeguarding Practices benefits from an increasing number and a diversity of safeguarding experiences and to report about the outcome of this reflection in the next session of the General Assembly</w:t>
      </w:r>
      <w:r w:rsidR="008810CF" w:rsidRPr="00F0628D">
        <w:rPr>
          <w:u w:val="none"/>
        </w:rPr>
        <w:t xml:space="preserve"> ;</w:t>
      </w:r>
    </w:p>
    <w:p w14:paraId="7C98A766" w14:textId="77777777" w:rsidR="007A6236" w:rsidRPr="00F3039A" w:rsidRDefault="007A6236" w:rsidP="007A6236">
      <w:pPr>
        <w:pStyle w:val="COMParaDecision"/>
        <w:numPr>
          <w:ilvl w:val="0"/>
          <w:numId w:val="3"/>
        </w:numPr>
        <w:ind w:left="540" w:hanging="540"/>
      </w:pPr>
      <w:r w:rsidRPr="00F3039A">
        <w:t>Approves</w:t>
      </w:r>
      <w:r w:rsidRPr="00F3039A">
        <w:rPr>
          <w:u w:val="none"/>
        </w:rPr>
        <w:t xml:space="preserve"> the amendments to the Operational Directives as contained in Section I of the annex to the present Resolution;</w:t>
      </w:r>
    </w:p>
    <w:p w14:paraId="494D8338" w14:textId="77777777" w:rsidR="007A6236" w:rsidRPr="00F3039A" w:rsidRDefault="007A6236" w:rsidP="007A6236">
      <w:pPr>
        <w:pStyle w:val="COMParaDecision"/>
        <w:numPr>
          <w:ilvl w:val="0"/>
          <w:numId w:val="3"/>
        </w:numPr>
        <w:ind w:left="540" w:hanging="540"/>
        <w:rPr>
          <w:sz w:val="24"/>
          <w:szCs w:val="24"/>
          <w:u w:val="none"/>
        </w:rPr>
      </w:pPr>
      <w:r w:rsidRPr="00F3039A">
        <w:t>Takes note</w:t>
      </w:r>
      <w:r w:rsidRPr="00F3039A">
        <w:rPr>
          <w:u w:val="none"/>
        </w:rPr>
        <w:t xml:space="preserve"> of the proposed amendments to the Operational Directives to enlarge the scope of preparatory International Assistance, endorsed by the eighteenth session of the Committee;</w:t>
      </w:r>
    </w:p>
    <w:p w14:paraId="3DAFE78A" w14:textId="736C0250" w:rsidR="007A6236" w:rsidRPr="00F3039A" w:rsidRDefault="007A6236" w:rsidP="007A6236">
      <w:pPr>
        <w:pStyle w:val="COMParaDecision"/>
        <w:numPr>
          <w:ilvl w:val="0"/>
          <w:numId w:val="3"/>
        </w:numPr>
        <w:ind w:left="540" w:hanging="540"/>
        <w:rPr>
          <w:sz w:val="24"/>
          <w:szCs w:val="24"/>
          <w:u w:val="none"/>
        </w:rPr>
      </w:pPr>
      <w:r w:rsidRPr="00F3039A">
        <w:t>Encourages</w:t>
      </w:r>
      <w:r w:rsidRPr="00F3039A">
        <w:rPr>
          <w:u w:val="none"/>
        </w:rPr>
        <w:t xml:space="preserve"> eligible </w:t>
      </w:r>
      <w:r w:rsidRPr="00F3039A">
        <w:rPr>
          <w:rStyle w:val="Aucun"/>
          <w:u w:val="none"/>
        </w:rPr>
        <w:t xml:space="preserve">States Parties </w:t>
      </w:r>
      <w:r w:rsidRPr="00F3039A">
        <w:rPr>
          <w:u w:val="none"/>
        </w:rPr>
        <w:t>without a</w:t>
      </w:r>
      <w:r w:rsidR="00356D7F" w:rsidRPr="00F3039A">
        <w:rPr>
          <w:u w:val="none"/>
        </w:rPr>
        <w:t>n</w:t>
      </w:r>
      <w:r w:rsidRPr="00F3039A">
        <w:rPr>
          <w:u w:val="none"/>
        </w:rPr>
        <w:t xml:space="preserve"> element </w:t>
      </w:r>
      <w:r w:rsidR="00FE523F" w:rsidRPr="00F3039A">
        <w:rPr>
          <w:u w:val="none"/>
        </w:rPr>
        <w:t xml:space="preserve">of the intangible cultural heritage present on its territory </w:t>
      </w:r>
      <w:r w:rsidRPr="00F3039A">
        <w:rPr>
          <w:u w:val="none"/>
        </w:rPr>
        <w:t xml:space="preserve">inscribed on the Lists of the Convention </w:t>
      </w:r>
      <w:r w:rsidR="00FE523F" w:rsidRPr="00F3039A">
        <w:rPr>
          <w:u w:val="none"/>
        </w:rPr>
        <w:t xml:space="preserve">(excepting elements proposed via multinational nominations) </w:t>
      </w:r>
      <w:r w:rsidRPr="00F3039A">
        <w:rPr>
          <w:u w:val="none"/>
        </w:rPr>
        <w:t>to apply to the Fund for assistance with preparing their first nomination file to the Representative List of the Intangible Cultural Heritage of Humanity</w:t>
      </w:r>
      <w:r w:rsidRPr="00F3039A">
        <w:rPr>
          <w:rStyle w:val="Aucun"/>
          <w:u w:val="none"/>
        </w:rPr>
        <w:t xml:space="preserve">, bearing in mind the next deadline on </w:t>
      </w:r>
      <w:r w:rsidRPr="00F3039A">
        <w:rPr>
          <w:u w:val="none"/>
        </w:rPr>
        <w:t>31 March 2025 and yearly thereafter;</w:t>
      </w:r>
    </w:p>
    <w:p w14:paraId="20527E10" w14:textId="730CDA9B" w:rsidR="007A6236" w:rsidRPr="00F3039A" w:rsidRDefault="007A6236" w:rsidP="007A6236">
      <w:pPr>
        <w:pStyle w:val="COMParaDecision"/>
        <w:numPr>
          <w:ilvl w:val="0"/>
          <w:numId w:val="3"/>
        </w:numPr>
        <w:ind w:left="540" w:hanging="540"/>
      </w:pPr>
      <w:r w:rsidRPr="00F3039A">
        <w:t>Approves</w:t>
      </w:r>
      <w:r w:rsidRPr="00F3039A">
        <w:rPr>
          <w:u w:val="none"/>
        </w:rPr>
        <w:t xml:space="preserve"> the amendments to the Operational Directives as contained in annex to the present Resolution.</w:t>
      </w:r>
    </w:p>
    <w:p w14:paraId="3B0FCA3E" w14:textId="5D6FEE81" w:rsidR="007A6236" w:rsidRPr="00F3039A" w:rsidRDefault="00B709C3" w:rsidP="00F0628D">
      <w:pPr>
        <w:pStyle w:val="GATitleResolution"/>
        <w:keepNext w:val="0"/>
        <w:jc w:val="center"/>
        <w:rPr>
          <w:rFonts w:eastAsia="DengXian"/>
          <w:bCs/>
          <w:kern w:val="2"/>
          <w:lang w:eastAsia="zh-CN"/>
          <w14:ligatures w14:val="standardContextual"/>
        </w:rPr>
      </w:pPr>
      <w:r w:rsidRPr="00F3039A">
        <w:rPr>
          <w:rFonts w:eastAsia="DengXian"/>
          <w:bCs/>
          <w:kern w:val="2"/>
          <w:lang w:eastAsia="zh-CN"/>
          <w14:ligatures w14:val="standardContextual"/>
        </w:rPr>
        <w:t>ANNEX</w:t>
      </w:r>
    </w:p>
    <w:p w14:paraId="1A4C4554" w14:textId="77777777" w:rsidR="00B709C3" w:rsidRPr="00F3039A" w:rsidRDefault="00B709C3" w:rsidP="00F0628D">
      <w:pPr>
        <w:pStyle w:val="Paragraphedeliste"/>
        <w:numPr>
          <w:ilvl w:val="0"/>
          <w:numId w:val="34"/>
        </w:numPr>
        <w:tabs>
          <w:tab w:val="left" w:pos="1350"/>
        </w:tabs>
        <w:spacing w:after="160" w:line="259" w:lineRule="auto"/>
        <w:ind w:left="1260"/>
        <w:rPr>
          <w:rFonts w:ascii="Arial" w:eastAsia="DengXian" w:hAnsi="Arial" w:cs="Arial"/>
          <w:b/>
          <w:bCs/>
          <w:kern w:val="2"/>
          <w:sz w:val="22"/>
          <w:szCs w:val="22"/>
          <w:u w:val="single"/>
          <w:lang w:val="en-GB" w:eastAsia="zh-CN"/>
          <w14:ligatures w14:val="standardContextual"/>
        </w:rPr>
      </w:pPr>
      <w:r w:rsidRPr="00F3039A">
        <w:rPr>
          <w:rFonts w:ascii="Arial" w:eastAsia="DengXian" w:hAnsi="Arial" w:cs="Arial"/>
          <w:b/>
          <w:bCs/>
          <w:kern w:val="2"/>
          <w:sz w:val="22"/>
          <w:szCs w:val="22"/>
          <w:u w:val="single"/>
          <w:lang w:val="en-GB" w:eastAsia="zh-CN"/>
          <w14:ligatures w14:val="standardContextual"/>
        </w:rPr>
        <w:t>Criteria for selection of programmes, projects and activities that best reflect the principles and objectives of the Convention</w:t>
      </w:r>
    </w:p>
    <w:tbl>
      <w:tblPr>
        <w:tblStyle w:val="Grilledutableau2"/>
        <w:tblW w:w="9085"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3"/>
        <w:gridCol w:w="8502"/>
      </w:tblGrid>
      <w:tr w:rsidR="00B709C3" w:rsidRPr="00F3039A" w14:paraId="61AB1E2E" w14:textId="77777777" w:rsidTr="00E572C6">
        <w:tc>
          <w:tcPr>
            <w:tcW w:w="583" w:type="dxa"/>
            <w:shd w:val="clear" w:color="auto" w:fill="FFFFFF" w:themeFill="background1"/>
          </w:tcPr>
          <w:p w14:paraId="412CFD12" w14:textId="77777777" w:rsidR="00B709C3" w:rsidRPr="00F3039A" w:rsidRDefault="00B709C3" w:rsidP="00D90F9F">
            <w:pPr>
              <w:spacing w:before="60" w:after="60"/>
              <w:rPr>
                <w:rFonts w:ascii="Arial" w:eastAsia="Yu Mincho" w:hAnsi="Arial"/>
                <w:b/>
                <w:bCs/>
                <w:sz w:val="22"/>
                <w:szCs w:val="22"/>
                <w:lang w:val="en-GB"/>
              </w:rPr>
            </w:pPr>
            <w:r w:rsidRPr="00F3039A">
              <w:rPr>
                <w:rFonts w:ascii="Arial" w:eastAsia="Yu Mincho" w:hAnsi="Arial"/>
                <w:sz w:val="22"/>
                <w:szCs w:val="22"/>
                <w:lang w:val="en-GB"/>
              </w:rPr>
              <w:t>I.3</w:t>
            </w:r>
          </w:p>
        </w:tc>
        <w:tc>
          <w:tcPr>
            <w:tcW w:w="8502" w:type="dxa"/>
            <w:shd w:val="clear" w:color="auto" w:fill="FFFFFF" w:themeFill="background1"/>
          </w:tcPr>
          <w:p w14:paraId="75F56185" w14:textId="77777777" w:rsidR="00B709C3" w:rsidRPr="00F3039A" w:rsidRDefault="00B709C3" w:rsidP="00F0628D">
            <w:pPr>
              <w:spacing w:before="120" w:after="120"/>
              <w:rPr>
                <w:rFonts w:ascii="Arial" w:eastAsia="Yu Mincho" w:hAnsi="Arial"/>
                <w:sz w:val="22"/>
                <w:szCs w:val="22"/>
                <w:lang w:val="en-GB"/>
              </w:rPr>
            </w:pPr>
            <w:r w:rsidRPr="00F3039A">
              <w:rPr>
                <w:rFonts w:ascii="Arial" w:eastAsia="Yu Mincho" w:hAnsi="Arial"/>
                <w:sz w:val="22"/>
                <w:szCs w:val="22"/>
                <w:lang w:val="en-GB"/>
              </w:rPr>
              <w:t>[No change.]</w:t>
            </w:r>
          </w:p>
        </w:tc>
      </w:tr>
      <w:tr w:rsidR="00B709C3" w:rsidRPr="000E29C9" w14:paraId="7458FB1A" w14:textId="77777777" w:rsidTr="00E572C6">
        <w:tc>
          <w:tcPr>
            <w:tcW w:w="583" w:type="dxa"/>
          </w:tcPr>
          <w:p w14:paraId="7CB1B614" w14:textId="77777777" w:rsidR="00B709C3" w:rsidRPr="00F3039A" w:rsidRDefault="00B709C3" w:rsidP="00D90F9F">
            <w:pPr>
              <w:spacing w:before="60" w:after="60"/>
              <w:rPr>
                <w:rFonts w:ascii="Arial" w:eastAsia="Yu Mincho" w:hAnsi="Arial"/>
                <w:sz w:val="22"/>
                <w:szCs w:val="22"/>
                <w:lang w:val="en-GB"/>
              </w:rPr>
            </w:pPr>
            <w:r w:rsidRPr="00F3039A">
              <w:rPr>
                <w:rFonts w:ascii="Arial" w:eastAsia="Yu Mincho" w:hAnsi="Arial"/>
                <w:sz w:val="22"/>
                <w:szCs w:val="22"/>
                <w:lang w:val="en-GB"/>
              </w:rPr>
              <w:t>7.</w:t>
            </w:r>
          </w:p>
        </w:tc>
        <w:tc>
          <w:tcPr>
            <w:tcW w:w="8502" w:type="dxa"/>
          </w:tcPr>
          <w:p w14:paraId="48A328A2" w14:textId="77777777" w:rsidR="00B709C3" w:rsidRPr="00F3039A" w:rsidRDefault="00B709C3" w:rsidP="00D90F9F">
            <w:pPr>
              <w:spacing w:before="60" w:after="60"/>
              <w:rPr>
                <w:rFonts w:ascii="Arial" w:eastAsia="Calibri" w:hAnsi="Arial"/>
                <w:color w:val="231F20"/>
                <w:sz w:val="22"/>
                <w:szCs w:val="22"/>
                <w:lang w:val="en-GB" w:eastAsia="en-US"/>
              </w:rPr>
            </w:pPr>
            <w:r w:rsidRPr="00F3039A">
              <w:rPr>
                <w:rFonts w:ascii="Arial" w:eastAsia="Calibri" w:hAnsi="Arial"/>
                <w:color w:val="231F20"/>
                <w:sz w:val="22"/>
                <w:szCs w:val="22"/>
                <w:lang w:val="en-GB" w:eastAsia="en-US"/>
              </w:rPr>
              <w:t xml:space="preserve">From among the programmes, projects or activities proposed to it, the Committee shall select those that </w:t>
            </w:r>
            <w:r w:rsidRPr="00F3039A">
              <w:rPr>
                <w:rFonts w:ascii="Arial" w:eastAsia="Calibri" w:hAnsi="Arial"/>
                <w:strike/>
                <w:color w:val="231F20"/>
                <w:sz w:val="22"/>
                <w:szCs w:val="22"/>
                <w:lang w:val="en-GB" w:eastAsia="en-US"/>
              </w:rPr>
              <w:t>best</w:t>
            </w:r>
            <w:r w:rsidRPr="00F0628D">
              <w:rPr>
                <w:rFonts w:ascii="Arial" w:eastAsia="Calibri" w:hAnsi="Arial"/>
                <w:color w:val="231F20"/>
                <w:sz w:val="22"/>
                <w:szCs w:val="22"/>
                <w:lang w:val="en-GB" w:eastAsia="en-US"/>
              </w:rPr>
              <w:t xml:space="preserve"> </w:t>
            </w:r>
            <w:r w:rsidRPr="00F3039A">
              <w:rPr>
                <w:rFonts w:ascii="Arial" w:eastAsia="Calibri" w:hAnsi="Arial"/>
                <w:color w:val="231F20"/>
                <w:sz w:val="22"/>
                <w:szCs w:val="22"/>
                <w:lang w:val="en-GB" w:eastAsia="en-US"/>
              </w:rPr>
              <w:t>satisfy all of the following criteria:</w:t>
            </w:r>
          </w:p>
          <w:p w14:paraId="365AA2FF" w14:textId="11A199F9" w:rsidR="00B709C3" w:rsidRPr="00F3039A" w:rsidRDefault="00B709C3" w:rsidP="00F0628D">
            <w:pPr>
              <w:tabs>
                <w:tab w:val="left" w:pos="2127"/>
                <w:tab w:val="left" w:pos="2176"/>
              </w:tabs>
              <w:autoSpaceDE w:val="0"/>
              <w:autoSpaceDN w:val="0"/>
              <w:spacing w:before="60" w:after="60"/>
              <w:rPr>
                <w:rFonts w:ascii="Arial" w:eastAsia="Calibri" w:hAnsi="Arial"/>
                <w:color w:val="231F20"/>
                <w:sz w:val="22"/>
                <w:szCs w:val="22"/>
                <w:lang w:val="en-GB" w:eastAsia="en-US"/>
              </w:rPr>
            </w:pPr>
            <w:r w:rsidRPr="00F3039A">
              <w:rPr>
                <w:rFonts w:ascii="Arial" w:eastAsia="Calibri" w:hAnsi="Arial"/>
                <w:strike/>
                <w:color w:val="231F20"/>
                <w:sz w:val="22"/>
                <w:szCs w:val="22"/>
                <w:lang w:val="en-GB" w:eastAsia="en-US"/>
              </w:rPr>
              <w:t>P.1</w:t>
            </w:r>
            <w:r w:rsidRPr="00F3039A">
              <w:rPr>
                <w:rFonts w:ascii="Arial" w:eastAsia="Calibri" w:hAnsi="Arial"/>
                <w:color w:val="231F20"/>
                <w:sz w:val="22"/>
                <w:szCs w:val="22"/>
                <w:lang w:val="en-GB" w:eastAsia="en-US"/>
              </w:rPr>
              <w:t xml:space="preserve"> </w:t>
            </w:r>
            <w:r w:rsidRPr="00F3039A">
              <w:rPr>
                <w:rFonts w:ascii="Arial" w:eastAsia="Calibri" w:hAnsi="Arial"/>
                <w:color w:val="231F20"/>
                <w:sz w:val="22"/>
                <w:szCs w:val="22"/>
                <w:u w:val="single"/>
                <w:lang w:val="en-GB" w:eastAsia="en-US"/>
              </w:rPr>
              <w:t>G.1</w:t>
            </w:r>
            <w:r w:rsidRPr="00F3039A">
              <w:rPr>
                <w:rFonts w:ascii="Arial" w:eastAsia="Calibri" w:hAnsi="Arial"/>
                <w:color w:val="231F20"/>
                <w:sz w:val="22"/>
                <w:szCs w:val="22"/>
                <w:lang w:val="en-GB" w:eastAsia="en-US"/>
              </w:rPr>
              <w:t xml:space="preserve"> The programme, project or activity involves safeguarding, as defined in Article 2.3 of the Convention</w:t>
            </w:r>
            <w:r w:rsidRPr="00F3039A">
              <w:rPr>
                <w:rFonts w:ascii="Arial" w:eastAsia="Calibri" w:hAnsi="Arial"/>
                <w:color w:val="231F20"/>
                <w:sz w:val="22"/>
                <w:szCs w:val="22"/>
                <w:u w:val="single"/>
                <w:lang w:val="en-GB" w:eastAsia="en-US"/>
              </w:rPr>
              <w:t xml:space="preserve">, </w:t>
            </w:r>
            <w:r w:rsidRPr="00F3039A">
              <w:rPr>
                <w:rFonts w:ascii="Arial" w:eastAsia="Yu Mincho" w:hAnsi="Arial"/>
                <w:sz w:val="22"/>
                <w:szCs w:val="22"/>
                <w:u w:val="single"/>
                <w:lang w:val="en-GB"/>
              </w:rPr>
              <w:t>reflecting the principles and objectives of the Convention</w:t>
            </w:r>
            <w:r w:rsidRPr="00F3039A">
              <w:rPr>
                <w:rFonts w:ascii="Arial" w:eastAsia="Yu Mincho" w:hAnsi="Arial"/>
                <w:sz w:val="22"/>
                <w:szCs w:val="22"/>
                <w:lang w:val="en-GB"/>
              </w:rPr>
              <w:t>.</w:t>
            </w:r>
          </w:p>
          <w:p w14:paraId="4E2BE9CD" w14:textId="77777777" w:rsidR="00B709C3" w:rsidRPr="00F3039A" w:rsidRDefault="00B709C3" w:rsidP="00F0628D">
            <w:pPr>
              <w:tabs>
                <w:tab w:val="left" w:pos="2127"/>
                <w:tab w:val="left" w:pos="2176"/>
              </w:tabs>
              <w:autoSpaceDE w:val="0"/>
              <w:autoSpaceDN w:val="0"/>
              <w:spacing w:before="60" w:after="60"/>
              <w:rPr>
                <w:rFonts w:ascii="Arial" w:eastAsia="Calibri" w:hAnsi="Arial"/>
                <w:strike/>
                <w:color w:val="231F20"/>
                <w:sz w:val="22"/>
                <w:szCs w:val="22"/>
                <w:lang w:val="en-GB" w:eastAsia="en-US"/>
              </w:rPr>
            </w:pPr>
            <w:r w:rsidRPr="00F3039A">
              <w:rPr>
                <w:rFonts w:ascii="Arial" w:eastAsia="Calibri" w:hAnsi="Arial"/>
                <w:strike/>
                <w:color w:val="231F20"/>
                <w:sz w:val="22"/>
                <w:szCs w:val="22"/>
                <w:lang w:val="en-GB" w:eastAsia="en-US"/>
              </w:rPr>
              <w:t xml:space="preserve">P.2 The programme, project or activity promotes the coordination of efforts for safeguarding intangible cultural heritage on regional, subregional and/or international levels. </w:t>
            </w:r>
          </w:p>
          <w:p w14:paraId="05B53D29" w14:textId="7F9C8FF0" w:rsidR="00B709C3" w:rsidRPr="00F3039A" w:rsidRDefault="00B709C3" w:rsidP="00F0628D">
            <w:pPr>
              <w:tabs>
                <w:tab w:val="left" w:pos="2127"/>
                <w:tab w:val="left" w:pos="2176"/>
              </w:tabs>
              <w:autoSpaceDE w:val="0"/>
              <w:autoSpaceDN w:val="0"/>
              <w:spacing w:before="60" w:after="60"/>
              <w:rPr>
                <w:rFonts w:ascii="Arial" w:eastAsia="Calibri" w:hAnsi="Arial"/>
                <w:strike/>
                <w:color w:val="231F20"/>
                <w:sz w:val="22"/>
                <w:szCs w:val="22"/>
                <w:lang w:val="en-GB" w:eastAsia="en-US"/>
              </w:rPr>
            </w:pPr>
            <w:r w:rsidRPr="00F3039A">
              <w:rPr>
                <w:rFonts w:ascii="Arial" w:eastAsia="Calibri" w:hAnsi="Arial"/>
                <w:strike/>
                <w:color w:val="231F20"/>
                <w:sz w:val="22"/>
                <w:szCs w:val="22"/>
                <w:lang w:val="en-GB" w:eastAsia="en-US"/>
              </w:rPr>
              <w:t>P.3 The programme, project or activity reflects the principles and objectives of the Convention.</w:t>
            </w:r>
          </w:p>
          <w:p w14:paraId="14F7FFA6" w14:textId="344AEA04" w:rsidR="00B709C3" w:rsidRPr="00F3039A" w:rsidRDefault="00B709C3" w:rsidP="00F0628D">
            <w:pPr>
              <w:tabs>
                <w:tab w:val="left" w:pos="2127"/>
                <w:tab w:val="left" w:pos="2176"/>
              </w:tabs>
              <w:autoSpaceDE w:val="0"/>
              <w:autoSpaceDN w:val="0"/>
              <w:spacing w:before="60" w:after="60"/>
              <w:rPr>
                <w:rFonts w:ascii="Arial" w:eastAsia="Calibri" w:hAnsi="Arial"/>
                <w:color w:val="231F20"/>
                <w:sz w:val="22"/>
                <w:szCs w:val="22"/>
                <w:lang w:val="en-GB" w:eastAsia="en-US"/>
              </w:rPr>
            </w:pPr>
            <w:r w:rsidRPr="00F3039A">
              <w:rPr>
                <w:rFonts w:ascii="Arial" w:eastAsia="Calibri" w:hAnsi="Arial"/>
                <w:strike/>
                <w:color w:val="231F20"/>
                <w:sz w:val="22"/>
                <w:szCs w:val="22"/>
                <w:lang w:val="en-GB" w:eastAsia="en-US"/>
              </w:rPr>
              <w:t>P.4</w:t>
            </w:r>
            <w:r w:rsidRPr="00F3039A">
              <w:rPr>
                <w:rFonts w:ascii="Arial" w:eastAsia="Calibri" w:hAnsi="Arial"/>
                <w:color w:val="231F20"/>
                <w:sz w:val="22"/>
                <w:szCs w:val="22"/>
                <w:lang w:val="en-GB" w:eastAsia="en-US"/>
              </w:rPr>
              <w:t xml:space="preserve"> </w:t>
            </w:r>
            <w:r w:rsidRPr="00F3039A">
              <w:rPr>
                <w:rFonts w:ascii="Arial" w:eastAsia="Calibri" w:hAnsi="Arial"/>
                <w:color w:val="231F20"/>
                <w:sz w:val="22"/>
                <w:szCs w:val="22"/>
                <w:u w:val="single"/>
                <w:lang w:val="en-GB" w:eastAsia="en-US"/>
              </w:rPr>
              <w:t>G.2</w:t>
            </w:r>
            <w:r w:rsidRPr="00F3039A">
              <w:rPr>
                <w:rFonts w:ascii="Arial" w:eastAsia="Calibri" w:hAnsi="Arial"/>
                <w:color w:val="231F20"/>
                <w:sz w:val="22"/>
                <w:szCs w:val="22"/>
                <w:lang w:val="en-GB" w:eastAsia="en-US"/>
              </w:rPr>
              <w:t xml:space="preserve"> The programme, project or activity has demonstrated effectiveness in contributing to the viability of the intangible cultural heritage concerned.</w:t>
            </w:r>
          </w:p>
          <w:p w14:paraId="09174E29" w14:textId="440AD35E" w:rsidR="00B709C3" w:rsidRPr="00F3039A" w:rsidRDefault="00B709C3" w:rsidP="00F0628D">
            <w:pPr>
              <w:tabs>
                <w:tab w:val="left" w:pos="2127"/>
                <w:tab w:val="left" w:pos="2176"/>
              </w:tabs>
              <w:autoSpaceDE w:val="0"/>
              <w:autoSpaceDN w:val="0"/>
              <w:spacing w:before="60" w:after="60"/>
              <w:rPr>
                <w:rFonts w:ascii="Arial" w:eastAsia="Calibri" w:hAnsi="Arial"/>
                <w:color w:val="231F20"/>
                <w:sz w:val="22"/>
                <w:szCs w:val="22"/>
                <w:lang w:val="en-GB" w:eastAsia="en-US"/>
              </w:rPr>
            </w:pPr>
            <w:r w:rsidRPr="00F3039A">
              <w:rPr>
                <w:rFonts w:ascii="Arial" w:eastAsia="Calibri" w:hAnsi="Arial"/>
                <w:strike/>
                <w:color w:val="231F20"/>
                <w:sz w:val="22"/>
                <w:szCs w:val="22"/>
                <w:lang w:val="en-GB" w:eastAsia="en-US"/>
              </w:rPr>
              <w:t>P.5</w:t>
            </w:r>
            <w:r w:rsidRPr="00F3039A">
              <w:rPr>
                <w:rFonts w:ascii="Arial" w:eastAsia="Calibri" w:hAnsi="Arial"/>
                <w:color w:val="231F20"/>
                <w:sz w:val="22"/>
                <w:szCs w:val="22"/>
                <w:lang w:val="en-GB" w:eastAsia="en-US"/>
              </w:rPr>
              <w:t xml:space="preserve"> </w:t>
            </w:r>
            <w:r w:rsidRPr="00F3039A">
              <w:rPr>
                <w:rFonts w:ascii="Arial" w:eastAsia="Calibri" w:hAnsi="Arial"/>
                <w:color w:val="231F20"/>
                <w:sz w:val="22"/>
                <w:szCs w:val="22"/>
                <w:u w:val="single"/>
                <w:lang w:val="en-GB" w:eastAsia="en-US"/>
              </w:rPr>
              <w:t>G.3</w:t>
            </w:r>
            <w:r w:rsidRPr="00F3039A">
              <w:rPr>
                <w:rFonts w:ascii="Arial" w:eastAsia="Calibri" w:hAnsi="Arial"/>
                <w:color w:val="231F20"/>
                <w:sz w:val="22"/>
                <w:szCs w:val="22"/>
                <w:lang w:val="en-GB" w:eastAsia="en-US"/>
              </w:rPr>
              <w:t xml:space="preserve"> The programme, project or activity is or has been implemented with the participation of the community, group or, if applicable, individuals concerned and with their free, prior, </w:t>
            </w:r>
            <w:r w:rsidRPr="00F3039A">
              <w:rPr>
                <w:rFonts w:ascii="Arial" w:eastAsia="Calibri" w:hAnsi="Arial"/>
                <w:color w:val="231F20"/>
                <w:sz w:val="22"/>
                <w:szCs w:val="22"/>
                <w:u w:val="single"/>
                <w:lang w:val="en-GB" w:eastAsia="en-US"/>
              </w:rPr>
              <w:t>sustained</w:t>
            </w:r>
            <w:r w:rsidRPr="00F3039A">
              <w:rPr>
                <w:rFonts w:ascii="Arial" w:eastAsia="Calibri" w:hAnsi="Arial"/>
                <w:color w:val="231F20"/>
                <w:sz w:val="22"/>
                <w:szCs w:val="22"/>
                <w:lang w:val="en-GB" w:eastAsia="en-US"/>
              </w:rPr>
              <w:t xml:space="preserve"> and informed consent</w:t>
            </w:r>
            <w:r w:rsidR="00554FA7" w:rsidRPr="00F3039A">
              <w:rPr>
                <w:rFonts w:ascii="Arial" w:eastAsia="Calibri" w:hAnsi="Arial"/>
                <w:color w:val="231F20"/>
                <w:sz w:val="22"/>
                <w:szCs w:val="22"/>
                <w:lang w:val="en-GB" w:eastAsia="en-US"/>
              </w:rPr>
              <w:t xml:space="preserve"> </w:t>
            </w:r>
            <w:r w:rsidR="00554FA7" w:rsidRPr="00970AA9">
              <w:rPr>
                <w:rFonts w:ascii="Arial" w:eastAsia="Calibri" w:hAnsi="Arial"/>
                <w:color w:val="231F20"/>
                <w:sz w:val="22"/>
                <w:szCs w:val="22"/>
                <w:u w:val="single"/>
                <w:lang w:val="en-GB" w:eastAsia="en-US"/>
              </w:rPr>
              <w:t>at the time of submission</w:t>
            </w:r>
            <w:r w:rsidRPr="00F3039A">
              <w:rPr>
                <w:rFonts w:ascii="Arial" w:eastAsia="Calibri" w:hAnsi="Arial"/>
                <w:color w:val="231F20"/>
                <w:sz w:val="22"/>
                <w:szCs w:val="22"/>
                <w:lang w:val="en-GB" w:eastAsia="en-US"/>
              </w:rPr>
              <w:t xml:space="preserve">. </w:t>
            </w:r>
          </w:p>
          <w:p w14:paraId="5E1E3FFA" w14:textId="77777777" w:rsidR="00B709C3" w:rsidRPr="00F3039A" w:rsidRDefault="00B709C3" w:rsidP="00F0628D">
            <w:pPr>
              <w:tabs>
                <w:tab w:val="left" w:pos="2127"/>
                <w:tab w:val="left" w:pos="2176"/>
              </w:tabs>
              <w:autoSpaceDE w:val="0"/>
              <w:autoSpaceDN w:val="0"/>
              <w:spacing w:before="60" w:after="60"/>
              <w:rPr>
                <w:rFonts w:ascii="Arial" w:eastAsia="Calibri" w:hAnsi="Arial"/>
                <w:strike/>
                <w:color w:val="231F20"/>
                <w:sz w:val="22"/>
                <w:szCs w:val="22"/>
                <w:lang w:val="en-GB" w:eastAsia="en-US"/>
              </w:rPr>
            </w:pPr>
            <w:r w:rsidRPr="00F3039A">
              <w:rPr>
                <w:rFonts w:ascii="Arial" w:eastAsia="Calibri" w:hAnsi="Arial"/>
                <w:strike/>
                <w:color w:val="231F20"/>
                <w:sz w:val="22"/>
                <w:szCs w:val="22"/>
                <w:lang w:val="en-GB" w:eastAsia="en-US"/>
              </w:rPr>
              <w:t xml:space="preserve">P.6 The programme, project or activity may serve as a subregional, regional or international model, as the case may be, for safeguarding activities. </w:t>
            </w:r>
          </w:p>
          <w:p w14:paraId="498945CB" w14:textId="390070CC" w:rsidR="00B709C3" w:rsidRPr="00F3039A" w:rsidRDefault="00B709C3" w:rsidP="00F0628D">
            <w:pPr>
              <w:tabs>
                <w:tab w:val="left" w:pos="2127"/>
                <w:tab w:val="left" w:pos="2176"/>
              </w:tabs>
              <w:autoSpaceDE w:val="0"/>
              <w:autoSpaceDN w:val="0"/>
              <w:spacing w:before="60" w:after="60"/>
              <w:rPr>
                <w:rFonts w:ascii="Arial" w:eastAsia="Calibri" w:hAnsi="Arial"/>
                <w:color w:val="231F20"/>
                <w:sz w:val="22"/>
                <w:szCs w:val="22"/>
                <w:lang w:val="en-GB" w:eastAsia="en-US"/>
              </w:rPr>
            </w:pPr>
            <w:r w:rsidRPr="00F3039A">
              <w:rPr>
                <w:rFonts w:ascii="Arial" w:eastAsia="Calibri" w:hAnsi="Arial"/>
                <w:strike/>
                <w:color w:val="231F20"/>
                <w:sz w:val="22"/>
                <w:szCs w:val="22"/>
                <w:lang w:val="en-GB" w:eastAsia="en-US"/>
              </w:rPr>
              <w:t>P.7</w:t>
            </w:r>
            <w:r w:rsidRPr="00F3039A">
              <w:rPr>
                <w:rFonts w:ascii="Arial" w:eastAsia="Calibri" w:hAnsi="Arial"/>
                <w:color w:val="231F20"/>
                <w:sz w:val="22"/>
                <w:szCs w:val="22"/>
                <w:lang w:val="en-GB" w:eastAsia="en-US"/>
              </w:rPr>
              <w:t xml:space="preserve"> </w:t>
            </w:r>
            <w:r w:rsidRPr="00F3039A">
              <w:rPr>
                <w:rFonts w:ascii="Arial" w:eastAsia="Calibri" w:hAnsi="Arial"/>
                <w:color w:val="231F20"/>
                <w:sz w:val="22"/>
                <w:szCs w:val="22"/>
                <w:u w:val="single"/>
                <w:lang w:val="en-GB" w:eastAsia="en-US"/>
              </w:rPr>
              <w:t>G.4</w:t>
            </w:r>
            <w:r w:rsidRPr="00F3039A">
              <w:rPr>
                <w:rFonts w:ascii="Arial" w:eastAsia="Calibri" w:hAnsi="Arial"/>
                <w:color w:val="231F20"/>
                <w:sz w:val="22"/>
                <w:szCs w:val="22"/>
                <w:lang w:val="en-GB" w:eastAsia="en-US"/>
              </w:rPr>
              <w:t xml:space="preserve"> The submitting State(s) Party(ies), implementing body(ies), and community, group or, if applicable, individuals concerned are willing to </w:t>
            </w:r>
            <w:r w:rsidRPr="00F3039A">
              <w:rPr>
                <w:rFonts w:ascii="Arial" w:eastAsia="Calibri" w:hAnsi="Arial"/>
                <w:color w:val="231F20"/>
                <w:sz w:val="22"/>
                <w:szCs w:val="22"/>
                <w:u w:val="single"/>
                <w:lang w:val="en-GB" w:eastAsia="en-US"/>
              </w:rPr>
              <w:t>coordinate and</w:t>
            </w:r>
            <w:r w:rsidRPr="00F3039A">
              <w:rPr>
                <w:rFonts w:ascii="Arial" w:eastAsia="Calibri" w:hAnsi="Arial"/>
                <w:color w:val="231F20"/>
                <w:sz w:val="22"/>
                <w:szCs w:val="22"/>
                <w:lang w:val="en-GB" w:eastAsia="en-US"/>
              </w:rPr>
              <w:t xml:space="preserve"> cooperate in the dissemination of </w:t>
            </w:r>
            <w:r w:rsidRPr="00F3039A">
              <w:rPr>
                <w:rFonts w:ascii="Arial" w:eastAsia="Calibri" w:hAnsi="Arial"/>
                <w:strike/>
                <w:color w:val="231F20"/>
                <w:sz w:val="22"/>
                <w:szCs w:val="22"/>
                <w:lang w:val="en-GB" w:eastAsia="en-US"/>
              </w:rPr>
              <w:t>best</w:t>
            </w:r>
            <w:r w:rsidRPr="00F3039A">
              <w:rPr>
                <w:rFonts w:ascii="Arial" w:eastAsia="Calibri" w:hAnsi="Arial"/>
                <w:color w:val="231F20"/>
                <w:sz w:val="22"/>
                <w:szCs w:val="22"/>
                <w:lang w:val="en-GB" w:eastAsia="en-US"/>
              </w:rPr>
              <w:t xml:space="preserve"> </w:t>
            </w:r>
            <w:r w:rsidRPr="00F3039A">
              <w:rPr>
                <w:rFonts w:ascii="Arial" w:eastAsia="Calibri" w:hAnsi="Arial"/>
                <w:color w:val="231F20"/>
                <w:sz w:val="22"/>
                <w:szCs w:val="22"/>
                <w:u w:val="single"/>
                <w:lang w:val="en-GB" w:eastAsia="en-US"/>
              </w:rPr>
              <w:t>good</w:t>
            </w:r>
            <w:r w:rsidRPr="00F3039A">
              <w:rPr>
                <w:rFonts w:ascii="Arial" w:eastAsia="Calibri" w:hAnsi="Arial"/>
                <w:color w:val="231F20"/>
                <w:sz w:val="22"/>
                <w:szCs w:val="22"/>
                <w:lang w:val="en-GB" w:eastAsia="en-US"/>
              </w:rPr>
              <w:t xml:space="preserve"> practices, if their programme, project or activity is selected.</w:t>
            </w:r>
            <w:r w:rsidRPr="00F3039A">
              <w:rPr>
                <w:rFonts w:ascii="Arial" w:eastAsia="Yu Mincho" w:hAnsi="Arial"/>
                <w:sz w:val="22"/>
                <w:szCs w:val="22"/>
                <w:u w:val="single"/>
                <w:lang w:val="en-GB"/>
              </w:rPr>
              <w:t xml:space="preserve"> They may serve as a source of inspiration at local, subregional, regional or international levels, as the case may be, for safeguarding activities</w:t>
            </w:r>
            <w:r w:rsidRPr="00F3039A">
              <w:rPr>
                <w:rFonts w:ascii="Arial" w:eastAsia="Calibri" w:hAnsi="Arial"/>
                <w:sz w:val="22"/>
                <w:szCs w:val="22"/>
                <w:u w:val="single"/>
                <w:lang w:val="en-GB" w:eastAsia="en-US"/>
              </w:rPr>
              <w:t>.</w:t>
            </w:r>
          </w:p>
          <w:p w14:paraId="32474CC5" w14:textId="77777777" w:rsidR="00B709C3" w:rsidRPr="00F3039A" w:rsidRDefault="00B709C3" w:rsidP="00D90F9F">
            <w:pPr>
              <w:spacing w:before="60" w:after="60"/>
              <w:rPr>
                <w:rFonts w:ascii="Arial" w:eastAsia="Yu Mincho" w:hAnsi="Arial"/>
                <w:strike/>
                <w:sz w:val="22"/>
                <w:szCs w:val="22"/>
                <w:lang w:val="en-GB"/>
              </w:rPr>
            </w:pPr>
            <w:r w:rsidRPr="00F3039A">
              <w:rPr>
                <w:rFonts w:ascii="Arial" w:eastAsia="Calibri" w:hAnsi="Arial"/>
                <w:strike/>
                <w:color w:val="231F20"/>
                <w:sz w:val="22"/>
                <w:szCs w:val="22"/>
                <w:lang w:val="en-GB" w:eastAsia="en-US"/>
              </w:rPr>
              <w:t>P.8 The programme, project or activity features experiences that are susceptible to an assessment of their results.</w:t>
            </w:r>
          </w:p>
        </w:tc>
      </w:tr>
    </w:tbl>
    <w:p w14:paraId="3E766FB8" w14:textId="77777777" w:rsidR="00074E7C" w:rsidRPr="00F3039A" w:rsidRDefault="00074E7C" w:rsidP="00F0628D">
      <w:pPr>
        <w:pStyle w:val="Paragraphedeliste"/>
        <w:numPr>
          <w:ilvl w:val="0"/>
          <w:numId w:val="34"/>
        </w:numPr>
        <w:spacing w:before="240" w:after="160" w:line="259" w:lineRule="auto"/>
        <w:ind w:hanging="540"/>
        <w:rPr>
          <w:rFonts w:ascii="Arial" w:eastAsia="DengXian" w:hAnsi="Arial" w:cs="Arial"/>
          <w:b/>
          <w:bCs/>
          <w:kern w:val="2"/>
          <w:sz w:val="22"/>
          <w:szCs w:val="22"/>
          <w:u w:val="single"/>
          <w:lang w:val="en-GB" w:eastAsia="zh-CN"/>
          <w14:ligatures w14:val="standardContextual"/>
        </w:rPr>
      </w:pPr>
      <w:bookmarkStart w:id="0" w:name="PartII"/>
      <w:r w:rsidRPr="00F3039A">
        <w:rPr>
          <w:rFonts w:ascii="Arial" w:eastAsia="DengXian" w:hAnsi="Arial" w:cs="Arial"/>
          <w:b/>
          <w:bCs/>
          <w:kern w:val="2"/>
          <w:sz w:val="22"/>
          <w:szCs w:val="22"/>
          <w:u w:val="single"/>
          <w:lang w:val="en-GB" w:eastAsia="zh-CN"/>
          <w14:ligatures w14:val="standardContextual"/>
        </w:rPr>
        <w:t xml:space="preserve">Submission of files </w:t>
      </w:r>
    </w:p>
    <w:tbl>
      <w:tblPr>
        <w:tblStyle w:val="Grilledutableau2"/>
        <w:tblW w:w="9085"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8498"/>
      </w:tblGrid>
      <w:tr w:rsidR="00074E7C" w:rsidRPr="00F3039A" w14:paraId="60B95F49" w14:textId="77777777" w:rsidTr="00E572C6">
        <w:tc>
          <w:tcPr>
            <w:tcW w:w="587" w:type="dxa"/>
            <w:shd w:val="clear" w:color="auto" w:fill="FFFFFF" w:themeFill="background1"/>
          </w:tcPr>
          <w:bookmarkEnd w:id="0"/>
          <w:p w14:paraId="0AD80125" w14:textId="77777777" w:rsidR="00074E7C" w:rsidRPr="00F3039A" w:rsidRDefault="00074E7C" w:rsidP="00F0628D">
            <w:pPr>
              <w:spacing w:before="60" w:after="60"/>
              <w:rPr>
                <w:rFonts w:ascii="Arial" w:eastAsia="Yu Mincho" w:hAnsi="Arial"/>
                <w:b/>
                <w:bCs/>
                <w:sz w:val="22"/>
                <w:szCs w:val="22"/>
                <w:lang w:val="en-GB"/>
              </w:rPr>
            </w:pPr>
            <w:r w:rsidRPr="00F3039A">
              <w:rPr>
                <w:rFonts w:ascii="Arial" w:eastAsia="Yu Mincho" w:hAnsi="Arial"/>
                <w:sz w:val="22"/>
                <w:szCs w:val="22"/>
                <w:lang w:val="en-GB"/>
              </w:rPr>
              <w:t>I.7</w:t>
            </w:r>
          </w:p>
        </w:tc>
        <w:tc>
          <w:tcPr>
            <w:tcW w:w="8498" w:type="dxa"/>
            <w:shd w:val="clear" w:color="auto" w:fill="FFFFFF" w:themeFill="background1"/>
          </w:tcPr>
          <w:p w14:paraId="1BB097B9" w14:textId="77777777" w:rsidR="00074E7C" w:rsidRPr="00F3039A" w:rsidRDefault="00074E7C" w:rsidP="00F0628D">
            <w:pPr>
              <w:spacing w:before="120" w:after="120"/>
              <w:rPr>
                <w:rFonts w:ascii="Arial" w:eastAsia="Yu Mincho" w:hAnsi="Arial"/>
                <w:sz w:val="22"/>
                <w:szCs w:val="22"/>
                <w:lang w:val="en-GB"/>
              </w:rPr>
            </w:pPr>
            <w:r w:rsidRPr="00F3039A">
              <w:rPr>
                <w:rFonts w:ascii="Arial" w:eastAsia="Yu Mincho" w:hAnsi="Arial"/>
                <w:sz w:val="22"/>
                <w:szCs w:val="22"/>
                <w:lang w:val="en-GB"/>
              </w:rPr>
              <w:t>[No change.]</w:t>
            </w:r>
          </w:p>
        </w:tc>
      </w:tr>
      <w:tr w:rsidR="00074E7C" w:rsidRPr="000E29C9" w14:paraId="2FEA1003" w14:textId="77777777" w:rsidTr="00E572C6">
        <w:tc>
          <w:tcPr>
            <w:tcW w:w="587" w:type="dxa"/>
          </w:tcPr>
          <w:p w14:paraId="42894D82" w14:textId="77777777" w:rsidR="00074E7C" w:rsidRPr="00F3039A" w:rsidRDefault="00074E7C" w:rsidP="00F0628D">
            <w:pPr>
              <w:spacing w:before="60" w:after="60"/>
              <w:rPr>
                <w:rFonts w:ascii="Arial" w:eastAsia="Yu Mincho" w:hAnsi="Arial"/>
                <w:sz w:val="22"/>
                <w:szCs w:val="22"/>
                <w:lang w:val="en-GB"/>
              </w:rPr>
            </w:pPr>
            <w:r w:rsidRPr="00F3039A">
              <w:rPr>
                <w:rFonts w:ascii="Arial" w:eastAsia="Yu Mincho" w:hAnsi="Arial"/>
                <w:sz w:val="22"/>
                <w:szCs w:val="22"/>
                <w:lang w:val="en-GB"/>
              </w:rPr>
              <w:t>21.</w:t>
            </w:r>
          </w:p>
        </w:tc>
        <w:tc>
          <w:tcPr>
            <w:tcW w:w="8498" w:type="dxa"/>
          </w:tcPr>
          <w:p w14:paraId="286F53D6" w14:textId="77777777" w:rsidR="00074E7C" w:rsidRPr="00F3039A" w:rsidRDefault="00074E7C" w:rsidP="00F0628D">
            <w:pPr>
              <w:snapToGrid w:val="0"/>
              <w:spacing w:before="120" w:after="120"/>
              <w:rPr>
                <w:rFonts w:ascii="Arial" w:eastAsia="Yu Mincho" w:hAnsi="Arial"/>
                <w:sz w:val="22"/>
                <w:szCs w:val="22"/>
                <w:lang w:val="en-GB"/>
              </w:rPr>
            </w:pPr>
            <w:r w:rsidRPr="00F3039A">
              <w:rPr>
                <w:rFonts w:ascii="Arial" w:eastAsia="Yu Mincho" w:hAnsi="Arial"/>
                <w:sz w:val="22"/>
                <w:szCs w:val="22"/>
                <w:lang w:val="en-GB"/>
              </w:rPr>
              <w:t>States Parties may request preparatory assistance, in consultation with communities, groups and, where appropriate, individuals concerned, for the elaboration of:</w:t>
            </w:r>
          </w:p>
          <w:p w14:paraId="51F009E4" w14:textId="77777777" w:rsidR="00074E7C" w:rsidRPr="00F3039A" w:rsidRDefault="00074E7C" w:rsidP="00F0628D">
            <w:pPr>
              <w:numPr>
                <w:ilvl w:val="0"/>
                <w:numId w:val="36"/>
              </w:numPr>
              <w:snapToGrid w:val="0"/>
              <w:spacing w:before="120" w:after="120"/>
              <w:ind w:left="457"/>
              <w:jc w:val="both"/>
              <w:rPr>
                <w:rFonts w:ascii="Arial" w:eastAsia="Yu Mincho" w:hAnsi="Arial"/>
                <w:snapToGrid w:val="0"/>
                <w:sz w:val="22"/>
                <w:szCs w:val="22"/>
                <w:lang w:val="en-GB"/>
              </w:rPr>
            </w:pPr>
            <w:r w:rsidRPr="00F3039A">
              <w:rPr>
                <w:rFonts w:ascii="Arial" w:eastAsia="Yu Mincho" w:hAnsi="Arial"/>
                <w:snapToGrid w:val="0"/>
                <w:sz w:val="22"/>
                <w:szCs w:val="22"/>
                <w:lang w:val="en-GB"/>
              </w:rPr>
              <w:t>nomination files to the List of Intangible Cultural Heritage in Need of Urgent Safeguarding,</w:t>
            </w:r>
          </w:p>
          <w:p w14:paraId="00B83ECF" w14:textId="44EDF10D" w:rsidR="00074E7C" w:rsidRPr="00F3039A" w:rsidRDefault="00074E7C" w:rsidP="00F0628D">
            <w:pPr>
              <w:numPr>
                <w:ilvl w:val="0"/>
                <w:numId w:val="36"/>
              </w:numPr>
              <w:snapToGrid w:val="0"/>
              <w:spacing w:before="120" w:after="120"/>
              <w:ind w:left="457"/>
              <w:jc w:val="both"/>
              <w:rPr>
                <w:rFonts w:ascii="Arial" w:eastAsia="Yu Mincho" w:hAnsi="Arial"/>
                <w:snapToGrid w:val="0"/>
                <w:sz w:val="22"/>
                <w:szCs w:val="22"/>
                <w:u w:val="single"/>
                <w:lang w:val="en-GB"/>
              </w:rPr>
            </w:pPr>
            <w:r w:rsidRPr="00F3039A">
              <w:rPr>
                <w:rFonts w:ascii="Arial" w:eastAsia="Yu Mincho" w:hAnsi="Arial"/>
                <w:snapToGrid w:val="0"/>
                <w:sz w:val="22"/>
                <w:szCs w:val="22"/>
                <w:u w:val="single"/>
                <w:lang w:val="en-GB"/>
              </w:rPr>
              <w:t>nomination files to the Representative List (only for States Parties with no elements</w:t>
            </w:r>
            <w:r w:rsidR="00554FA7" w:rsidRPr="00F3039A">
              <w:rPr>
                <w:rFonts w:ascii="Arial" w:eastAsia="Yu Mincho" w:hAnsi="Arial"/>
                <w:snapToGrid w:val="0"/>
                <w:sz w:val="22"/>
                <w:szCs w:val="22"/>
                <w:u w:val="single"/>
                <w:lang w:val="en-GB"/>
              </w:rPr>
              <w:t xml:space="preserve"> of the intangible cultural heritage present in its territory</w:t>
            </w:r>
            <w:r w:rsidRPr="00F3039A">
              <w:rPr>
                <w:rFonts w:ascii="Arial" w:eastAsia="Yu Mincho" w:hAnsi="Arial"/>
                <w:snapToGrid w:val="0"/>
                <w:sz w:val="22"/>
                <w:szCs w:val="22"/>
                <w:u w:val="single"/>
                <w:lang w:val="en-GB"/>
              </w:rPr>
              <w:t xml:space="preserve"> already inscribed on this List</w:t>
            </w:r>
            <w:r w:rsidR="00773EDA" w:rsidRPr="00F3039A">
              <w:rPr>
                <w:rFonts w:ascii="Arial" w:eastAsia="Yu Mincho" w:hAnsi="Arial"/>
                <w:snapToGrid w:val="0"/>
                <w:sz w:val="22"/>
                <w:szCs w:val="22"/>
                <w:u w:val="single"/>
                <w:lang w:val="en-GB"/>
              </w:rPr>
              <w:t xml:space="preserve"> excepting elements proposed via multinational nominations</w:t>
            </w:r>
            <w:r w:rsidRPr="00F3039A">
              <w:rPr>
                <w:rFonts w:ascii="Arial" w:eastAsia="Yu Mincho" w:hAnsi="Arial"/>
                <w:snapToGrid w:val="0"/>
                <w:sz w:val="22"/>
                <w:szCs w:val="22"/>
                <w:u w:val="single"/>
                <w:lang w:val="en-GB"/>
              </w:rPr>
              <w:t>),</w:t>
            </w:r>
          </w:p>
          <w:p w14:paraId="374E298C" w14:textId="77777777" w:rsidR="00074E7C" w:rsidRPr="00F3039A" w:rsidRDefault="00074E7C" w:rsidP="00F0628D">
            <w:pPr>
              <w:numPr>
                <w:ilvl w:val="0"/>
                <w:numId w:val="36"/>
              </w:numPr>
              <w:snapToGrid w:val="0"/>
              <w:spacing w:before="120" w:after="120"/>
              <w:ind w:left="457"/>
              <w:jc w:val="both"/>
              <w:rPr>
                <w:rFonts w:ascii="Arial" w:eastAsia="Yu Mincho" w:hAnsi="Arial"/>
                <w:snapToGrid w:val="0"/>
                <w:sz w:val="22"/>
                <w:szCs w:val="22"/>
                <w:lang w:val="en-GB"/>
              </w:rPr>
            </w:pPr>
            <w:r w:rsidRPr="00F3039A">
              <w:rPr>
                <w:rFonts w:ascii="Arial" w:eastAsia="Yu Mincho" w:hAnsi="Arial"/>
                <w:snapToGrid w:val="0"/>
                <w:sz w:val="22"/>
                <w:szCs w:val="22"/>
                <w:lang w:val="en-GB"/>
              </w:rPr>
              <w:t xml:space="preserve">proposals of programmes, projects and activities that best reflect the principles and objectives of the Convention, </w:t>
            </w:r>
          </w:p>
          <w:p w14:paraId="4C9CA8FD" w14:textId="77777777" w:rsidR="00074E7C" w:rsidRPr="00F3039A" w:rsidRDefault="00074E7C" w:rsidP="00F0628D">
            <w:pPr>
              <w:numPr>
                <w:ilvl w:val="0"/>
                <w:numId w:val="36"/>
              </w:numPr>
              <w:snapToGrid w:val="0"/>
              <w:spacing w:before="120" w:after="120"/>
              <w:ind w:left="457"/>
              <w:jc w:val="both"/>
              <w:rPr>
                <w:rFonts w:ascii="Calibri" w:eastAsia="Calibri" w:hAnsi="Calibri"/>
                <w:snapToGrid w:val="0"/>
                <w:color w:val="000000"/>
                <w:sz w:val="22"/>
                <w:szCs w:val="22"/>
                <w:u w:val="single"/>
                <w:lang w:val="en-GB"/>
              </w:rPr>
            </w:pPr>
            <w:r w:rsidRPr="00F3039A">
              <w:rPr>
                <w:rFonts w:ascii="Arial" w:eastAsia="Yu Mincho" w:hAnsi="Arial"/>
                <w:snapToGrid w:val="0"/>
                <w:sz w:val="22"/>
                <w:szCs w:val="22"/>
                <w:lang w:val="en-GB"/>
              </w:rPr>
              <w:t xml:space="preserve">requests for the transfer of an element from one List to another, and </w:t>
            </w:r>
          </w:p>
          <w:p w14:paraId="310BE201" w14:textId="77777777" w:rsidR="00074E7C" w:rsidRPr="00F3039A" w:rsidRDefault="00074E7C" w:rsidP="00F0628D">
            <w:pPr>
              <w:numPr>
                <w:ilvl w:val="0"/>
                <w:numId w:val="36"/>
              </w:numPr>
              <w:snapToGrid w:val="0"/>
              <w:spacing w:before="120" w:after="120"/>
              <w:ind w:left="457"/>
              <w:jc w:val="both"/>
              <w:rPr>
                <w:rFonts w:ascii="Calibri" w:eastAsia="Calibri" w:hAnsi="Calibri"/>
                <w:snapToGrid w:val="0"/>
                <w:color w:val="000000"/>
                <w:sz w:val="22"/>
                <w:szCs w:val="22"/>
                <w:u w:val="single"/>
                <w:lang w:val="en-GB"/>
              </w:rPr>
            </w:pPr>
            <w:r w:rsidRPr="00F3039A">
              <w:rPr>
                <w:rFonts w:ascii="Arial" w:eastAsia="Yu Mincho" w:hAnsi="Arial"/>
                <w:snapToGrid w:val="0"/>
                <w:sz w:val="22"/>
                <w:szCs w:val="22"/>
                <w:lang w:val="en-GB"/>
              </w:rPr>
              <w:t>nomination files on an extended or reduced basis of already inscribed elements.</w:t>
            </w:r>
          </w:p>
        </w:tc>
      </w:tr>
    </w:tbl>
    <w:p w14:paraId="7FBC60CA" w14:textId="275EE6C4" w:rsidR="00521F6F" w:rsidRPr="00F3039A" w:rsidRDefault="00521F6F" w:rsidP="00521F6F">
      <w:pPr>
        <w:pStyle w:val="COMTitleDecision"/>
        <w:ind w:left="0"/>
        <w:rPr>
          <w:rFonts w:eastAsia="SimSun"/>
        </w:rPr>
      </w:pPr>
      <w:r w:rsidRPr="00F3039A">
        <w:t>RESOLUTION 10.GA 8</w:t>
      </w:r>
    </w:p>
    <w:p w14:paraId="78DA28E1" w14:textId="77777777" w:rsidR="00521F6F" w:rsidRPr="00F3039A" w:rsidRDefault="00521F6F" w:rsidP="00521F6F">
      <w:pPr>
        <w:pStyle w:val="COMPreambulaDecisions"/>
        <w:ind w:left="0"/>
        <w:rPr>
          <w:rFonts w:eastAsia="SimSun"/>
        </w:rPr>
      </w:pPr>
      <w:r w:rsidRPr="00F3039A">
        <w:t>The General Assembly,</w:t>
      </w:r>
    </w:p>
    <w:p w14:paraId="645F378C" w14:textId="20D0F4D3" w:rsidR="00521F6F" w:rsidRPr="00F3039A" w:rsidRDefault="00521F6F" w:rsidP="00521F6F">
      <w:pPr>
        <w:pStyle w:val="COMParaDecision"/>
        <w:numPr>
          <w:ilvl w:val="0"/>
          <w:numId w:val="37"/>
        </w:numPr>
        <w:ind w:left="540" w:hanging="540"/>
      </w:pPr>
      <w:r w:rsidRPr="00F3039A">
        <w:t>Having examined</w:t>
      </w:r>
      <w:r w:rsidRPr="00F3039A">
        <w:rPr>
          <w:u w:val="none"/>
        </w:rPr>
        <w:t xml:space="preserve"> documents </w:t>
      </w:r>
      <w:hyperlink r:id="rId27" w:history="1">
        <w:r w:rsidRPr="00F0628D">
          <w:rPr>
            <w:rStyle w:val="Lienhypertexte"/>
          </w:rPr>
          <w:t>LHE/24/10.GA/8</w:t>
        </w:r>
      </w:hyperlink>
      <w:r w:rsidRPr="00F3039A">
        <w:rPr>
          <w:u w:val="none"/>
        </w:rPr>
        <w:t xml:space="preserve"> and </w:t>
      </w:r>
      <w:hyperlink r:id="rId28" w:history="1">
        <w:r w:rsidRPr="00F3039A">
          <w:rPr>
            <w:rStyle w:val="Lienhypertexte"/>
          </w:rPr>
          <w:t>LHE/24/10.GA/INF.8</w:t>
        </w:r>
      </w:hyperlink>
      <w:r w:rsidRPr="00F3039A">
        <w:rPr>
          <w:u w:val="none"/>
        </w:rPr>
        <w:t xml:space="preserve"> and their respective annexes, </w:t>
      </w:r>
    </w:p>
    <w:p w14:paraId="33E2E0C8" w14:textId="77777777" w:rsidR="00521F6F" w:rsidRPr="00F3039A" w:rsidRDefault="00521F6F" w:rsidP="00521F6F">
      <w:pPr>
        <w:pStyle w:val="COMParaDecision"/>
        <w:numPr>
          <w:ilvl w:val="0"/>
          <w:numId w:val="37"/>
        </w:numPr>
        <w:ind w:left="540" w:hanging="540"/>
      </w:pPr>
      <w:r w:rsidRPr="00F3039A">
        <w:t>Recalling</w:t>
      </w:r>
      <w:r w:rsidRPr="00F3039A">
        <w:rPr>
          <w:u w:val="none"/>
        </w:rPr>
        <w:t xml:space="preserve"> Article 7(c) of the Convention and Chapter II.1 of the Operational Directives,</w:t>
      </w:r>
    </w:p>
    <w:p w14:paraId="21D63A37" w14:textId="77777777" w:rsidR="00521F6F" w:rsidRPr="00F3039A" w:rsidRDefault="00521F6F" w:rsidP="00521F6F">
      <w:pPr>
        <w:pStyle w:val="COMParaDecision"/>
        <w:numPr>
          <w:ilvl w:val="0"/>
          <w:numId w:val="37"/>
        </w:numPr>
        <w:ind w:left="540" w:hanging="540"/>
        <w:rPr>
          <w:u w:val="none"/>
        </w:rPr>
      </w:pPr>
      <w:r w:rsidRPr="00F3039A">
        <w:t>Further recalling</w:t>
      </w:r>
      <w:r w:rsidRPr="00F3039A">
        <w:rPr>
          <w:u w:val="none"/>
        </w:rPr>
        <w:t xml:space="preserve"> the UNESCO General Conference’s Appropriation resolution for </w:t>
      </w:r>
      <w:bookmarkStart w:id="1" w:name="_Hlk150367455"/>
      <w:r w:rsidRPr="00F3039A">
        <w:rPr>
          <w:u w:val="none"/>
        </w:rPr>
        <w:t>2024–</w:t>
      </w:r>
      <w:bookmarkEnd w:id="1"/>
      <w:r w:rsidRPr="00F3039A">
        <w:rPr>
          <w:u w:val="none"/>
        </w:rPr>
        <w:t xml:space="preserve">2025 </w:t>
      </w:r>
      <w:r w:rsidRPr="00F3039A">
        <w:rPr>
          <w:color w:val="212121"/>
          <w:u w:val="none"/>
          <w:shd w:val="clear" w:color="auto" w:fill="FFFFFF"/>
        </w:rPr>
        <w:t>(</w:t>
      </w:r>
      <w:hyperlink r:id="rId29" w:history="1">
        <w:r w:rsidRPr="00F3039A">
          <w:rPr>
            <w:rStyle w:val="Lienhypertexte"/>
          </w:rPr>
          <w:t>42 C/Resolution 80</w:t>
        </w:r>
      </w:hyperlink>
      <w:r w:rsidRPr="00F3039A">
        <w:rPr>
          <w:color w:val="212121"/>
          <w:u w:val="none"/>
          <w:shd w:val="clear" w:color="auto" w:fill="FFFFFF"/>
        </w:rPr>
        <w:t>)</w:t>
      </w:r>
      <w:r w:rsidRPr="00F3039A">
        <w:rPr>
          <w:u w:val="none"/>
        </w:rPr>
        <w:t>,</w:t>
      </w:r>
    </w:p>
    <w:p w14:paraId="3284167D" w14:textId="77777777" w:rsidR="00521F6F" w:rsidRPr="00F3039A" w:rsidRDefault="00521F6F" w:rsidP="00970AA9">
      <w:pPr>
        <w:pStyle w:val="COMParaDecision"/>
        <w:keepNext/>
        <w:keepLines/>
        <w:ind w:left="567" w:firstLine="0"/>
        <w:rPr>
          <w:b/>
          <w:bCs/>
          <w:u w:val="none"/>
        </w:rPr>
      </w:pPr>
      <w:r w:rsidRPr="00F3039A">
        <w:rPr>
          <w:b/>
          <w:bCs/>
          <w:u w:val="none"/>
        </w:rPr>
        <w:t>Status and trends of the Fund</w:t>
      </w:r>
    </w:p>
    <w:p w14:paraId="105F9055" w14:textId="77777777" w:rsidR="00521F6F" w:rsidRPr="00F3039A" w:rsidRDefault="00521F6F" w:rsidP="00521F6F">
      <w:pPr>
        <w:pStyle w:val="COMParaDecision"/>
        <w:numPr>
          <w:ilvl w:val="0"/>
          <w:numId w:val="37"/>
        </w:numPr>
        <w:ind w:left="540" w:hanging="567"/>
      </w:pPr>
      <w:r w:rsidRPr="00F3039A">
        <w:t>Takes note</w:t>
      </w:r>
      <w:r w:rsidRPr="00F3039A">
        <w:rPr>
          <w:u w:val="none"/>
        </w:rPr>
        <w:t xml:space="preserve"> of the statement of assessed contributions of the Fund for 2022–2023, </w:t>
      </w:r>
      <w:r w:rsidRPr="00F3039A">
        <w:t>recalls</w:t>
      </w:r>
      <w:r w:rsidRPr="00F3039A">
        <w:rPr>
          <w:u w:val="none"/>
        </w:rPr>
        <w:t xml:space="preserve"> that the payment of compulsory and assessed voluntary contributions is, per Article 26 of the Convention, an obligation incumbent on all States Parties which have ratified the Convention, and </w:t>
      </w:r>
      <w:r w:rsidRPr="00F3039A">
        <w:t>calls upon</w:t>
      </w:r>
      <w:r w:rsidRPr="00F3039A">
        <w:rPr>
          <w:u w:val="none"/>
        </w:rPr>
        <w:t xml:space="preserve"> all States Parties which have not yet paid the totality of their assessed contributions, including voluntary assessed contributions, to ensure that their contributions are paid in due course; </w:t>
      </w:r>
    </w:p>
    <w:p w14:paraId="3D30B4F7" w14:textId="77777777" w:rsidR="00521F6F" w:rsidRPr="00F3039A" w:rsidRDefault="00521F6F" w:rsidP="00521F6F">
      <w:pPr>
        <w:pStyle w:val="COMParaDecision"/>
        <w:numPr>
          <w:ilvl w:val="0"/>
          <w:numId w:val="37"/>
        </w:numPr>
        <w:ind w:left="540" w:hanging="567"/>
        <w:rPr>
          <w:u w:val="none"/>
        </w:rPr>
      </w:pPr>
      <w:r w:rsidRPr="00F3039A">
        <w:t>Further takes note</w:t>
      </w:r>
      <w:r w:rsidRPr="00F3039A">
        <w:rPr>
          <w:u w:val="none"/>
        </w:rPr>
        <w:t xml:space="preserve"> of the donors that have provided during the </w:t>
      </w:r>
      <w:r w:rsidRPr="00F3039A">
        <w:rPr>
          <w:bCs/>
          <w:u w:val="none"/>
        </w:rPr>
        <w:t xml:space="preserve">2022–2023 </w:t>
      </w:r>
      <w:r w:rsidRPr="00F3039A">
        <w:rPr>
          <w:u w:val="none"/>
        </w:rPr>
        <w:t>biennium (a) voluntary supplementary contributions for specific activities approved by the Committee, namely the Netherlands and the International Information and Networking Centre for Intangible Cultural Heritage in the Asia-Pacific Region (ICHCAP), as well as (b) voluntary supplementary contributions to the Sub–fund for enhancing the human capacities of the Secretariat, namely France, Lithuania, Monaco, Slovakia and Slovenia;</w:t>
      </w:r>
    </w:p>
    <w:p w14:paraId="109B4864" w14:textId="77777777" w:rsidR="00521F6F" w:rsidRPr="00F3039A" w:rsidRDefault="00521F6F" w:rsidP="00521F6F">
      <w:pPr>
        <w:pStyle w:val="COMParaDecision"/>
        <w:numPr>
          <w:ilvl w:val="0"/>
          <w:numId w:val="37"/>
        </w:numPr>
        <w:ind w:left="540" w:hanging="567"/>
      </w:pPr>
      <w:r w:rsidRPr="00F3039A">
        <w:t>Thanks</w:t>
      </w:r>
      <w:r w:rsidRPr="00F3039A">
        <w:rPr>
          <w:u w:val="none"/>
        </w:rPr>
        <w:t xml:space="preserve"> all the contributors that have supported the Convention and its Secretariat, since its last session, through different forms of support, financial or in-kind, such as voluntary supplementary contributions to the Intangible Cultural Heritage Fund including the Sub-fund for enhancing the human capacities of the Secretariat, Funds-in-Trust, or loaned personnel, and </w:t>
      </w:r>
      <w:r w:rsidRPr="00F3039A">
        <w:t>encourages</w:t>
      </w:r>
      <w:r w:rsidRPr="00F3039A">
        <w:rPr>
          <w:u w:val="none"/>
        </w:rPr>
        <w:t xml:space="preserve"> potential contributors to consider the possibility of supporting the Convention through the modality of their choice;</w:t>
      </w:r>
    </w:p>
    <w:p w14:paraId="3034E3F2" w14:textId="77777777" w:rsidR="00521F6F" w:rsidRPr="00F3039A" w:rsidRDefault="00521F6F" w:rsidP="00521F6F">
      <w:pPr>
        <w:pStyle w:val="COMParaDecision"/>
        <w:numPr>
          <w:ilvl w:val="0"/>
          <w:numId w:val="37"/>
        </w:numPr>
        <w:ind w:left="540" w:hanging="567"/>
      </w:pPr>
      <w:r w:rsidRPr="00F3039A">
        <w:t>Reiterates</w:t>
      </w:r>
      <w:r w:rsidRPr="00F3039A">
        <w:rPr>
          <w:u w:val="none"/>
        </w:rPr>
        <w:t xml:space="preserve"> the need to enhance the human resources of the Secretariat on a lasting basis to allow the Secretariat to better respond to the needs of the States Parties and </w:t>
      </w:r>
      <w:r w:rsidRPr="00F3039A">
        <w:t>invites</w:t>
      </w:r>
      <w:r w:rsidRPr="00F3039A">
        <w:rPr>
          <w:u w:val="none"/>
        </w:rPr>
        <w:t xml:space="preserve"> States Parties to provide voluntary supplementary contributions to the Sub-fund for enhancing the human capacities of the Secretariat;</w:t>
      </w:r>
    </w:p>
    <w:p w14:paraId="7819768E" w14:textId="77777777" w:rsidR="00521F6F" w:rsidRPr="00F3039A" w:rsidRDefault="00521F6F" w:rsidP="00970AA9">
      <w:pPr>
        <w:pStyle w:val="COMParaDecision"/>
        <w:keepNext/>
        <w:keepLines/>
        <w:ind w:left="567" w:firstLine="0"/>
        <w:rPr>
          <w:b/>
          <w:bCs/>
          <w:u w:val="none"/>
        </w:rPr>
      </w:pPr>
      <w:r w:rsidRPr="00F3039A">
        <w:rPr>
          <w:b/>
          <w:bCs/>
          <w:u w:val="none"/>
        </w:rPr>
        <w:t>Plan for the use of the resources of the Fund</w:t>
      </w:r>
    </w:p>
    <w:p w14:paraId="03E615E8" w14:textId="77777777" w:rsidR="00521F6F" w:rsidRPr="00F3039A" w:rsidRDefault="00521F6F" w:rsidP="00521F6F">
      <w:pPr>
        <w:pStyle w:val="COMParaDecision"/>
        <w:numPr>
          <w:ilvl w:val="0"/>
          <w:numId w:val="37"/>
        </w:numPr>
        <w:ind w:left="540" w:hanging="567"/>
        <w:rPr>
          <w:u w:val="none"/>
        </w:rPr>
      </w:pPr>
      <w:r w:rsidRPr="00F3039A">
        <w:t>Approves</w:t>
      </w:r>
      <w:r w:rsidRPr="00F3039A">
        <w:rPr>
          <w:u w:val="none"/>
        </w:rPr>
        <w:t xml:space="preserve"> the Plan for the use of the resources of the Fund for the period 1 January 2024 to 31 December 2025 as well as for the period 1 January 2026 to 30 June 2026 in the Annex to this Resolution;</w:t>
      </w:r>
    </w:p>
    <w:p w14:paraId="2CE3238C" w14:textId="77777777" w:rsidR="00521F6F" w:rsidRPr="00F3039A" w:rsidRDefault="00521F6F" w:rsidP="00521F6F">
      <w:pPr>
        <w:pStyle w:val="COMParaDecision"/>
        <w:numPr>
          <w:ilvl w:val="0"/>
          <w:numId w:val="37"/>
        </w:numPr>
        <w:ind w:left="540" w:hanging="567"/>
        <w:rPr>
          <w:u w:val="none"/>
        </w:rPr>
      </w:pPr>
      <w:r w:rsidRPr="00F3039A">
        <w:t>Understands</w:t>
      </w:r>
      <w:r w:rsidRPr="00F3039A">
        <w:rPr>
          <w:u w:val="none"/>
        </w:rPr>
        <w:t xml:space="preserve"> that, at the time of its eleventh session in 2026, it may readjust the budget plan from 1 January 2026 to 30 June 2026; if the General Assembly is unable to meet prior to 30 June 2026, the Secretariat is authorized to continue operations until such a time that the General Assembly is able to meet;</w:t>
      </w:r>
    </w:p>
    <w:p w14:paraId="20D78987" w14:textId="77777777" w:rsidR="00521F6F" w:rsidRPr="00F3039A" w:rsidRDefault="00521F6F" w:rsidP="00521F6F">
      <w:pPr>
        <w:pStyle w:val="COMParaDecision"/>
        <w:numPr>
          <w:ilvl w:val="0"/>
          <w:numId w:val="37"/>
        </w:numPr>
        <w:ind w:left="540" w:hanging="567"/>
        <w:rPr>
          <w:u w:val="none"/>
        </w:rPr>
      </w:pPr>
      <w:r w:rsidRPr="00F3039A">
        <w:t>Also takes note</w:t>
      </w:r>
      <w:r w:rsidRPr="00F3039A">
        <w:rPr>
          <w:u w:val="none"/>
        </w:rPr>
        <w:t xml:space="preserve"> of the authorization granted by the Committee to the Secretariat to use on an experimental basis an amount not exceeding 10 per cent of the approved budget of each International Assistance project, in addition to the amount granted by the Committee or its Bureau for each project, to monitor and assess the impact of projects supported by the Fund;</w:t>
      </w:r>
    </w:p>
    <w:p w14:paraId="07C3C774" w14:textId="77777777" w:rsidR="00521F6F" w:rsidRPr="00F3039A" w:rsidRDefault="00521F6F" w:rsidP="00521F6F">
      <w:pPr>
        <w:pStyle w:val="COMParaDecision"/>
        <w:numPr>
          <w:ilvl w:val="0"/>
          <w:numId w:val="37"/>
        </w:numPr>
        <w:ind w:left="540" w:hanging="567"/>
        <w:rPr>
          <w:u w:val="none"/>
        </w:rPr>
      </w:pPr>
      <w:r w:rsidRPr="00F3039A">
        <w:t>Further welcomes</w:t>
      </w:r>
      <w:r w:rsidRPr="00F3039A">
        <w:rPr>
          <w:u w:val="none"/>
        </w:rPr>
        <w:t xml:space="preserve"> the adjustments in allocations foreseen to operationalize the outcomes of the global reflection on the listing mechanisms of the 2003 Convention, in particular on a broader implementation of Article 18 of the Convention; </w:t>
      </w:r>
    </w:p>
    <w:p w14:paraId="7CC76496" w14:textId="77777777" w:rsidR="00521F6F" w:rsidRPr="00F3039A" w:rsidRDefault="00521F6F" w:rsidP="00521F6F">
      <w:pPr>
        <w:pStyle w:val="COMParaDecision"/>
        <w:numPr>
          <w:ilvl w:val="0"/>
          <w:numId w:val="37"/>
        </w:numPr>
        <w:ind w:left="540" w:hanging="567"/>
      </w:pPr>
      <w:r w:rsidRPr="00F3039A">
        <w:t>Takes note furthermore</w:t>
      </w:r>
      <w:r w:rsidRPr="00F3039A">
        <w:rPr>
          <w:u w:val="none"/>
        </w:rPr>
        <w:t xml:space="preserve"> of the authorization granted by the Committee to the Secretariat, when utilizing the funds allocated under budget line 3 of the Plan, to make transfers between activities included under budget line 3 up to a cumulative amount equivalent to 5 per cent of the initial total allocation proposed to the General Assembly for this purpose;</w:t>
      </w:r>
    </w:p>
    <w:p w14:paraId="086AB838" w14:textId="77777777" w:rsidR="00521F6F" w:rsidRPr="00F3039A" w:rsidRDefault="00521F6F" w:rsidP="00521F6F">
      <w:pPr>
        <w:pStyle w:val="COMParaDecision"/>
        <w:numPr>
          <w:ilvl w:val="0"/>
          <w:numId w:val="37"/>
        </w:numPr>
        <w:ind w:left="540" w:hanging="567"/>
        <w:rPr>
          <w:u w:val="none"/>
        </w:rPr>
      </w:pPr>
      <w:r w:rsidRPr="00F3039A">
        <w:t>Authorizes</w:t>
      </w:r>
      <w:r w:rsidRPr="00F3039A">
        <w:rPr>
          <w:u w:val="none"/>
        </w:rPr>
        <w:t xml:space="preserve"> the Committee to make immediate use of any voluntary supplementary contributions that might be received during these periods, as described in Article 27 of the Convention, in accordance with the percentages laid out in the Plan;</w:t>
      </w:r>
    </w:p>
    <w:p w14:paraId="0129FB36" w14:textId="77777777" w:rsidR="00521F6F" w:rsidRPr="00F3039A" w:rsidRDefault="00521F6F" w:rsidP="00521F6F">
      <w:pPr>
        <w:pStyle w:val="COMParaDecision"/>
        <w:numPr>
          <w:ilvl w:val="0"/>
          <w:numId w:val="37"/>
        </w:numPr>
        <w:ind w:left="540" w:hanging="567"/>
        <w:rPr>
          <w:u w:val="none"/>
        </w:rPr>
      </w:pPr>
      <w:r w:rsidRPr="00F3039A">
        <w:t>Further authorizes</w:t>
      </w:r>
      <w:r w:rsidRPr="00F3039A">
        <w:rPr>
          <w:u w:val="none"/>
        </w:rPr>
        <w:t xml:space="preserve"> the Committee to make immediate use of any contributions that it might accept, during these periods, for specific purposes relating to specific projects, provided that those projects have been approved by the Committee prior to the receipt of the funds, as described in Article 25.5 of the Convention;</w:t>
      </w:r>
    </w:p>
    <w:p w14:paraId="4297094E" w14:textId="5488E4D3" w:rsidR="00521F6F" w:rsidRPr="00F3039A" w:rsidRDefault="00521F6F" w:rsidP="00521F6F">
      <w:pPr>
        <w:pStyle w:val="COMParaDecision"/>
        <w:numPr>
          <w:ilvl w:val="0"/>
          <w:numId w:val="37"/>
        </w:numPr>
        <w:ind w:left="540" w:hanging="567"/>
        <w:rPr>
          <w:u w:val="none"/>
        </w:rPr>
      </w:pPr>
      <w:r w:rsidRPr="00F3039A">
        <w:t>Also authorizes</w:t>
      </w:r>
      <w:r w:rsidRPr="00F3039A">
        <w:rPr>
          <w:u w:val="none"/>
        </w:rPr>
        <w:t xml:space="preserve"> the Secretariat to make transfers between budget lines 4, 5, 6 and 7, up to an equivalent of 30 per cent of their initial total allocation, and </w:t>
      </w:r>
      <w:r w:rsidRPr="00F3039A">
        <w:t>requests</w:t>
      </w:r>
      <w:r w:rsidRPr="00F3039A">
        <w:rPr>
          <w:u w:val="none"/>
        </w:rPr>
        <w:t xml:space="preserve"> that the Secretariat inform the Committee and the General Assembly in writing, at the session following such action, of the details of and reasons for these transfers.</w:t>
      </w:r>
    </w:p>
    <w:p w14:paraId="12E4BBAA" w14:textId="77777777" w:rsidR="00521F6F" w:rsidRPr="00F3039A" w:rsidRDefault="00521F6F" w:rsidP="00F0628D">
      <w:pPr>
        <w:keepNext/>
        <w:jc w:val="center"/>
        <w:rPr>
          <w:rFonts w:ascii="Arial" w:eastAsia="SimSun" w:hAnsi="Arial" w:cs="Arial"/>
          <w:b/>
          <w:bCs/>
          <w:sz w:val="22"/>
          <w:szCs w:val="22"/>
          <w:u w:val="single"/>
          <w:lang w:val="en-GB"/>
        </w:rPr>
      </w:pPr>
      <w:r w:rsidRPr="00F3039A">
        <w:rPr>
          <w:rFonts w:ascii="Arial" w:eastAsia="SimSun" w:hAnsi="Arial" w:cs="Arial"/>
          <w:b/>
          <w:bCs/>
          <w:sz w:val="22"/>
          <w:szCs w:val="22"/>
          <w:u w:val="single"/>
          <w:lang w:val="en-GB"/>
        </w:rPr>
        <w:t>ANNEX</w:t>
      </w:r>
    </w:p>
    <w:p w14:paraId="6C0035EE" w14:textId="77777777" w:rsidR="00521F6F" w:rsidRPr="00F3039A" w:rsidRDefault="00521F6F" w:rsidP="00F0628D">
      <w:pPr>
        <w:pStyle w:val="Paragraphedeliste"/>
        <w:keepNext/>
        <w:ind w:left="1353"/>
        <w:rPr>
          <w:rFonts w:ascii="Arial" w:eastAsia="SimSun" w:hAnsi="Arial" w:cs="Arial"/>
          <w:b/>
          <w:bCs/>
          <w:sz w:val="22"/>
          <w:szCs w:val="22"/>
          <w:u w:val="single"/>
          <w:lang w:val="en-GB"/>
        </w:rPr>
      </w:pPr>
    </w:p>
    <w:tbl>
      <w:tblPr>
        <w:tblW w:w="9706" w:type="dxa"/>
        <w:tblCellMar>
          <w:left w:w="70" w:type="dxa"/>
          <w:right w:w="70" w:type="dxa"/>
        </w:tblCellMar>
        <w:tblLook w:val="04A0" w:firstRow="1" w:lastRow="0" w:firstColumn="1" w:lastColumn="0" w:noHBand="0" w:noVBand="1"/>
      </w:tblPr>
      <w:tblGrid>
        <w:gridCol w:w="571"/>
        <w:gridCol w:w="5269"/>
        <w:gridCol w:w="1260"/>
        <w:gridCol w:w="1260"/>
        <w:gridCol w:w="1346"/>
      </w:tblGrid>
      <w:tr w:rsidR="00521F6F" w:rsidRPr="000E29C9" w14:paraId="6D0E7923" w14:textId="77777777" w:rsidTr="00F0628D">
        <w:trPr>
          <w:trHeight w:val="315"/>
        </w:trPr>
        <w:tc>
          <w:tcPr>
            <w:tcW w:w="7100" w:type="dxa"/>
            <w:gridSpan w:val="3"/>
            <w:tcBorders>
              <w:top w:val="single" w:sz="8" w:space="0" w:color="auto"/>
              <w:left w:val="single" w:sz="8" w:space="0" w:color="auto"/>
              <w:bottom w:val="single" w:sz="8" w:space="0" w:color="auto"/>
              <w:right w:val="single" w:sz="8" w:space="0" w:color="000000"/>
            </w:tcBorders>
            <w:shd w:val="clear" w:color="000000" w:fill="D8D8D8"/>
            <w:vAlign w:val="center"/>
            <w:hideMark/>
          </w:tcPr>
          <w:p w14:paraId="5F21EF1C" w14:textId="77777777" w:rsidR="00521F6F" w:rsidRPr="00F3039A" w:rsidRDefault="00521F6F" w:rsidP="00F0628D">
            <w:pPr>
              <w:keepNext/>
              <w:jc w:val="center"/>
              <w:rPr>
                <w:rFonts w:ascii="Arial" w:hAnsi="Arial" w:cs="Arial"/>
                <w:b/>
                <w:bCs/>
                <w:color w:val="000000"/>
                <w:sz w:val="18"/>
                <w:szCs w:val="18"/>
                <w:lang w:val="en-US"/>
              </w:rPr>
            </w:pPr>
            <w:r w:rsidRPr="00F3039A">
              <w:rPr>
                <w:rFonts w:ascii="Arial" w:hAnsi="Arial" w:cs="Arial"/>
                <w:b/>
                <w:bCs/>
                <w:color w:val="000000"/>
                <w:sz w:val="18"/>
                <w:szCs w:val="18"/>
                <w:lang w:val="en-US"/>
              </w:rPr>
              <w:t>Draft plan for the use of the resources of the Fund</w:t>
            </w:r>
          </w:p>
        </w:tc>
        <w:tc>
          <w:tcPr>
            <w:tcW w:w="1260" w:type="dxa"/>
            <w:tcBorders>
              <w:top w:val="dashed" w:sz="4" w:space="0" w:color="auto"/>
              <w:left w:val="nil"/>
              <w:bottom w:val="dashed" w:sz="4" w:space="0" w:color="auto"/>
              <w:right w:val="dashed" w:sz="4" w:space="0" w:color="auto"/>
            </w:tcBorders>
            <w:shd w:val="clear" w:color="auto" w:fill="auto"/>
            <w:vAlign w:val="center"/>
            <w:hideMark/>
          </w:tcPr>
          <w:p w14:paraId="33DEE48F" w14:textId="77777777" w:rsidR="00521F6F" w:rsidRPr="00F3039A" w:rsidRDefault="00521F6F" w:rsidP="00F0628D">
            <w:pPr>
              <w:keepNext/>
              <w:jc w:val="center"/>
              <w:rPr>
                <w:rFonts w:ascii="Arial" w:hAnsi="Arial" w:cs="Arial"/>
                <w:b/>
                <w:bCs/>
                <w:color w:val="000000"/>
                <w:sz w:val="18"/>
                <w:szCs w:val="18"/>
                <w:lang w:val="en-US"/>
              </w:rPr>
            </w:pPr>
            <w:r w:rsidRPr="00F3039A">
              <w:rPr>
                <w:rFonts w:ascii="Arial" w:hAnsi="Arial" w:cs="Arial"/>
                <w:b/>
                <w:bCs/>
                <w:color w:val="000000"/>
                <w:sz w:val="18"/>
                <w:szCs w:val="18"/>
                <w:lang w:val="en-US"/>
              </w:rPr>
              <w:t> </w:t>
            </w:r>
          </w:p>
        </w:tc>
        <w:tc>
          <w:tcPr>
            <w:tcW w:w="1346" w:type="dxa"/>
            <w:tcBorders>
              <w:top w:val="dashed" w:sz="4" w:space="0" w:color="auto"/>
              <w:left w:val="nil"/>
              <w:bottom w:val="dashed" w:sz="4" w:space="0" w:color="auto"/>
              <w:right w:val="dashed" w:sz="4" w:space="0" w:color="auto"/>
            </w:tcBorders>
            <w:shd w:val="clear" w:color="auto" w:fill="auto"/>
            <w:noWrap/>
            <w:vAlign w:val="bottom"/>
            <w:hideMark/>
          </w:tcPr>
          <w:p w14:paraId="08F2FE32" w14:textId="77777777" w:rsidR="00521F6F" w:rsidRPr="00F3039A" w:rsidRDefault="00521F6F" w:rsidP="00F0628D">
            <w:pPr>
              <w:keepNext/>
              <w:jc w:val="center"/>
              <w:rPr>
                <w:rFonts w:ascii="Calibri" w:hAnsi="Calibri" w:cs="Calibri"/>
                <w:color w:val="000000"/>
                <w:sz w:val="22"/>
                <w:szCs w:val="22"/>
                <w:lang w:val="en-US"/>
              </w:rPr>
            </w:pPr>
            <w:r w:rsidRPr="00F3039A">
              <w:rPr>
                <w:rFonts w:ascii="Calibri" w:hAnsi="Calibri" w:cs="Calibri"/>
                <w:color w:val="000000"/>
                <w:sz w:val="22"/>
                <w:szCs w:val="22"/>
                <w:lang w:val="en-US"/>
              </w:rPr>
              <w:t> </w:t>
            </w:r>
          </w:p>
        </w:tc>
      </w:tr>
      <w:tr w:rsidR="00E70AAD" w:rsidRPr="00F3039A" w14:paraId="1686A918" w14:textId="77777777" w:rsidTr="00F0628D">
        <w:trPr>
          <w:trHeight w:val="1384"/>
        </w:trPr>
        <w:tc>
          <w:tcPr>
            <w:tcW w:w="5840"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5F4A1DA9" w14:textId="77777777" w:rsidR="00E70AAD" w:rsidRPr="00F3039A" w:rsidRDefault="00E70AAD" w:rsidP="00F0628D">
            <w:pPr>
              <w:keepNext/>
              <w:rPr>
                <w:rFonts w:ascii="Arial" w:hAnsi="Arial" w:cs="Arial"/>
                <w:color w:val="000000"/>
                <w:sz w:val="18"/>
                <w:szCs w:val="18"/>
                <w:lang w:val="en-US"/>
              </w:rPr>
            </w:pPr>
            <w:r w:rsidRPr="00F3039A">
              <w:rPr>
                <w:rFonts w:ascii="Arial" w:hAnsi="Arial" w:cs="Arial"/>
                <w:color w:val="000000"/>
                <w:sz w:val="18"/>
                <w:szCs w:val="18"/>
                <w:lang w:val="en-US"/>
              </w:rPr>
              <w:t>For the period 1 January 2024 to 31 December 2025, as well as for the period 1 January to 30 June 2026, the resources of the Intangible Cultural Heritage Fund may be used for the following purposes:</w:t>
            </w:r>
          </w:p>
        </w:tc>
        <w:tc>
          <w:tcPr>
            <w:tcW w:w="1260" w:type="dxa"/>
            <w:tcBorders>
              <w:top w:val="nil"/>
              <w:left w:val="nil"/>
              <w:bottom w:val="single" w:sz="4" w:space="0" w:color="auto"/>
              <w:right w:val="single" w:sz="8" w:space="0" w:color="auto"/>
            </w:tcBorders>
            <w:shd w:val="clear" w:color="auto" w:fill="auto"/>
            <w:vAlign w:val="center"/>
            <w:hideMark/>
          </w:tcPr>
          <w:p w14:paraId="5315B599" w14:textId="77777777" w:rsidR="00E70AAD" w:rsidRPr="00F3039A" w:rsidRDefault="00E70AAD" w:rsidP="00F0628D">
            <w:pPr>
              <w:keepNext/>
              <w:jc w:val="center"/>
              <w:rPr>
                <w:rFonts w:ascii="Arial" w:hAnsi="Arial" w:cs="Arial"/>
                <w:color w:val="000000"/>
                <w:sz w:val="18"/>
                <w:szCs w:val="18"/>
                <w:lang w:val="en-US"/>
              </w:rPr>
            </w:pPr>
            <w:r w:rsidRPr="00F3039A">
              <w:rPr>
                <w:rFonts w:ascii="Arial" w:hAnsi="Arial" w:cs="Arial"/>
                <w:color w:val="000000"/>
                <w:sz w:val="18"/>
                <w:szCs w:val="18"/>
                <w:lang w:val="en-US"/>
              </w:rPr>
              <w:t>% of the total amount proposed 2024–2025 [1]</w:t>
            </w:r>
          </w:p>
        </w:tc>
        <w:tc>
          <w:tcPr>
            <w:tcW w:w="1260" w:type="dxa"/>
            <w:tcBorders>
              <w:top w:val="nil"/>
              <w:left w:val="nil"/>
              <w:bottom w:val="dashed" w:sz="4" w:space="0" w:color="auto"/>
              <w:right w:val="dashed" w:sz="4" w:space="0" w:color="auto"/>
            </w:tcBorders>
            <w:shd w:val="clear" w:color="auto" w:fill="auto"/>
            <w:vAlign w:val="center"/>
            <w:hideMark/>
          </w:tcPr>
          <w:p w14:paraId="02E49EC1" w14:textId="77777777" w:rsidR="00E70AAD" w:rsidRPr="00F3039A" w:rsidRDefault="00E70AAD" w:rsidP="00F0628D">
            <w:pPr>
              <w:keepNext/>
              <w:jc w:val="center"/>
              <w:rPr>
                <w:rFonts w:ascii="Arial" w:hAnsi="Arial" w:cs="Arial"/>
                <w:color w:val="000000"/>
                <w:sz w:val="18"/>
                <w:szCs w:val="18"/>
              </w:rPr>
            </w:pPr>
            <w:r w:rsidRPr="00F3039A">
              <w:rPr>
                <w:rFonts w:ascii="Arial" w:hAnsi="Arial" w:cs="Arial"/>
                <w:color w:val="000000"/>
                <w:sz w:val="18"/>
                <w:szCs w:val="18"/>
              </w:rPr>
              <w:t>Indicative amounts</w:t>
            </w:r>
            <w:r w:rsidRPr="00F3039A">
              <w:rPr>
                <w:rFonts w:ascii="Arial" w:hAnsi="Arial" w:cs="Arial"/>
                <w:color w:val="000000"/>
                <w:sz w:val="18"/>
                <w:szCs w:val="18"/>
              </w:rPr>
              <w:br/>
              <w:t>2024–2025</w:t>
            </w:r>
          </w:p>
        </w:tc>
        <w:tc>
          <w:tcPr>
            <w:tcW w:w="1346" w:type="dxa"/>
            <w:tcBorders>
              <w:top w:val="nil"/>
              <w:left w:val="nil"/>
              <w:bottom w:val="dashed" w:sz="4" w:space="0" w:color="auto"/>
              <w:right w:val="dashed" w:sz="4" w:space="0" w:color="auto"/>
            </w:tcBorders>
            <w:shd w:val="clear" w:color="auto" w:fill="auto"/>
            <w:vAlign w:val="center"/>
            <w:hideMark/>
          </w:tcPr>
          <w:p w14:paraId="17AB025F" w14:textId="77777777" w:rsidR="00E70AAD" w:rsidRPr="00F3039A" w:rsidRDefault="00E70AAD" w:rsidP="00F0628D">
            <w:pPr>
              <w:keepNext/>
              <w:jc w:val="center"/>
              <w:rPr>
                <w:rFonts w:ascii="Arial" w:hAnsi="Arial" w:cs="Arial"/>
                <w:color w:val="000000"/>
                <w:sz w:val="18"/>
                <w:szCs w:val="18"/>
              </w:rPr>
            </w:pPr>
            <w:r w:rsidRPr="00F3039A">
              <w:rPr>
                <w:rFonts w:ascii="Arial" w:hAnsi="Arial" w:cs="Arial"/>
                <w:color w:val="000000"/>
                <w:sz w:val="18"/>
                <w:szCs w:val="18"/>
              </w:rPr>
              <w:t>Indicative amounts</w:t>
            </w:r>
            <w:r w:rsidRPr="00F3039A">
              <w:rPr>
                <w:rFonts w:ascii="Arial" w:hAnsi="Arial" w:cs="Arial"/>
                <w:color w:val="000000"/>
                <w:sz w:val="18"/>
                <w:szCs w:val="18"/>
              </w:rPr>
              <w:br/>
              <w:t>Jan–Jun 2026</w:t>
            </w:r>
          </w:p>
        </w:tc>
      </w:tr>
      <w:tr w:rsidR="00E70AAD" w:rsidRPr="00F3039A" w14:paraId="5A178680" w14:textId="77777777" w:rsidTr="00F0628D">
        <w:trPr>
          <w:trHeight w:val="1880"/>
        </w:trPr>
        <w:tc>
          <w:tcPr>
            <w:tcW w:w="571" w:type="dxa"/>
            <w:tcBorders>
              <w:top w:val="nil"/>
              <w:left w:val="single" w:sz="8" w:space="0" w:color="auto"/>
              <w:bottom w:val="single" w:sz="4" w:space="0" w:color="auto"/>
              <w:right w:val="single" w:sz="4" w:space="0" w:color="auto"/>
            </w:tcBorders>
            <w:shd w:val="clear" w:color="auto" w:fill="auto"/>
            <w:noWrap/>
            <w:vAlign w:val="center"/>
            <w:hideMark/>
          </w:tcPr>
          <w:p w14:paraId="4711B923" w14:textId="77777777" w:rsidR="00E70AAD" w:rsidRPr="00F3039A" w:rsidRDefault="00E70AAD" w:rsidP="00F0628D">
            <w:pPr>
              <w:keepNext/>
              <w:ind w:firstLineChars="100" w:firstLine="180"/>
              <w:rPr>
                <w:rFonts w:ascii="Arial" w:hAnsi="Arial" w:cs="Arial"/>
                <w:color w:val="000000"/>
                <w:sz w:val="18"/>
                <w:szCs w:val="18"/>
              </w:rPr>
            </w:pPr>
            <w:r w:rsidRPr="00F3039A">
              <w:rPr>
                <w:rFonts w:ascii="Arial" w:hAnsi="Arial" w:cs="Arial"/>
                <w:color w:val="000000"/>
                <w:sz w:val="18"/>
                <w:szCs w:val="18"/>
              </w:rPr>
              <w:t>1.</w:t>
            </w:r>
          </w:p>
        </w:tc>
        <w:tc>
          <w:tcPr>
            <w:tcW w:w="5269" w:type="dxa"/>
            <w:tcBorders>
              <w:top w:val="nil"/>
              <w:left w:val="nil"/>
              <w:bottom w:val="single" w:sz="4" w:space="0" w:color="auto"/>
              <w:right w:val="single" w:sz="4" w:space="0" w:color="auto"/>
            </w:tcBorders>
            <w:shd w:val="clear" w:color="auto" w:fill="auto"/>
            <w:vAlign w:val="center"/>
            <w:hideMark/>
          </w:tcPr>
          <w:p w14:paraId="0DF84F21" w14:textId="77777777" w:rsidR="00E70AAD" w:rsidRPr="00F3039A" w:rsidRDefault="00E70AAD" w:rsidP="00F0628D">
            <w:pPr>
              <w:keepNext/>
              <w:rPr>
                <w:rFonts w:ascii="Arial" w:hAnsi="Arial" w:cs="Arial"/>
                <w:color w:val="000000"/>
                <w:sz w:val="18"/>
                <w:szCs w:val="18"/>
                <w:lang w:val="en-US"/>
              </w:rPr>
            </w:pPr>
            <w:r w:rsidRPr="00F3039A">
              <w:rPr>
                <w:rFonts w:ascii="Arial" w:hAnsi="Arial" w:cs="Arial"/>
                <w:color w:val="000000"/>
                <w:sz w:val="18"/>
                <w:szCs w:val="18"/>
                <w:lang w:val="en-US"/>
              </w:rPr>
              <w:t>International Assistance, comprising the safeguarding of the heritage inscribed on the List of Intangible Cultural Heritage in Need of Urgent Safeguarding, the preparation of inventories and support for other safeguarding programmes, projects and activities, including the monitoring and evaluation of requests approved;</w:t>
            </w:r>
          </w:p>
        </w:tc>
        <w:tc>
          <w:tcPr>
            <w:tcW w:w="1260" w:type="dxa"/>
            <w:tcBorders>
              <w:top w:val="nil"/>
              <w:left w:val="nil"/>
              <w:bottom w:val="single" w:sz="4" w:space="0" w:color="auto"/>
              <w:right w:val="single" w:sz="8" w:space="0" w:color="auto"/>
            </w:tcBorders>
            <w:shd w:val="clear" w:color="auto" w:fill="auto"/>
            <w:vAlign w:val="center"/>
            <w:hideMark/>
          </w:tcPr>
          <w:p w14:paraId="4DC3F712" w14:textId="77777777" w:rsidR="00E70AAD" w:rsidRPr="00F3039A" w:rsidRDefault="00E70AAD" w:rsidP="00F0628D">
            <w:pPr>
              <w:keepNext/>
              <w:jc w:val="center"/>
              <w:rPr>
                <w:rFonts w:ascii="Arial" w:hAnsi="Arial" w:cs="Arial"/>
                <w:color w:val="000000"/>
                <w:sz w:val="18"/>
                <w:szCs w:val="18"/>
              </w:rPr>
            </w:pPr>
            <w:r w:rsidRPr="00F3039A">
              <w:rPr>
                <w:rFonts w:ascii="Arial" w:hAnsi="Arial" w:cs="Arial"/>
                <w:color w:val="000000"/>
                <w:sz w:val="18"/>
                <w:szCs w:val="18"/>
              </w:rPr>
              <w:t>50,00%</w:t>
            </w:r>
          </w:p>
        </w:tc>
        <w:tc>
          <w:tcPr>
            <w:tcW w:w="1260" w:type="dxa"/>
            <w:tcBorders>
              <w:top w:val="nil"/>
              <w:left w:val="nil"/>
              <w:bottom w:val="dashed" w:sz="4" w:space="0" w:color="auto"/>
              <w:right w:val="dashed" w:sz="4" w:space="0" w:color="auto"/>
            </w:tcBorders>
            <w:shd w:val="clear" w:color="auto" w:fill="auto"/>
            <w:vAlign w:val="center"/>
            <w:hideMark/>
          </w:tcPr>
          <w:p w14:paraId="71EA43A1" w14:textId="77777777" w:rsidR="00E70AAD" w:rsidRPr="00F3039A" w:rsidRDefault="00E70AAD" w:rsidP="00F0628D">
            <w:pPr>
              <w:keepNext/>
              <w:jc w:val="center"/>
              <w:rPr>
                <w:rFonts w:ascii="Arial" w:hAnsi="Arial" w:cs="Arial"/>
                <w:i/>
                <w:iCs/>
                <w:color w:val="000000"/>
                <w:sz w:val="18"/>
                <w:szCs w:val="18"/>
              </w:rPr>
            </w:pPr>
            <w:r w:rsidRPr="00F3039A">
              <w:rPr>
                <w:rFonts w:ascii="Arial" w:hAnsi="Arial" w:cs="Arial"/>
                <w:i/>
                <w:iCs/>
                <w:color w:val="000000"/>
                <w:sz w:val="18"/>
                <w:szCs w:val="18"/>
              </w:rPr>
              <w:t>$4 094 789</w:t>
            </w:r>
          </w:p>
        </w:tc>
        <w:tc>
          <w:tcPr>
            <w:tcW w:w="1346" w:type="dxa"/>
            <w:tcBorders>
              <w:top w:val="nil"/>
              <w:left w:val="nil"/>
              <w:bottom w:val="dashed" w:sz="4" w:space="0" w:color="auto"/>
              <w:right w:val="dashed" w:sz="4" w:space="0" w:color="auto"/>
            </w:tcBorders>
            <w:shd w:val="clear" w:color="auto" w:fill="auto"/>
            <w:vAlign w:val="center"/>
            <w:hideMark/>
          </w:tcPr>
          <w:p w14:paraId="43316C60" w14:textId="77777777" w:rsidR="00E70AAD" w:rsidRPr="00F3039A" w:rsidRDefault="00E70AAD" w:rsidP="00F0628D">
            <w:pPr>
              <w:keepNext/>
              <w:jc w:val="center"/>
              <w:rPr>
                <w:rFonts w:ascii="Arial" w:hAnsi="Arial" w:cs="Arial"/>
                <w:i/>
                <w:iCs/>
                <w:color w:val="000000"/>
                <w:sz w:val="18"/>
                <w:szCs w:val="18"/>
              </w:rPr>
            </w:pPr>
            <w:r w:rsidRPr="00F3039A">
              <w:rPr>
                <w:rFonts w:ascii="Arial" w:hAnsi="Arial" w:cs="Arial"/>
                <w:i/>
                <w:iCs/>
                <w:color w:val="000000"/>
                <w:sz w:val="18"/>
                <w:szCs w:val="18"/>
              </w:rPr>
              <w:t>$1 023 697</w:t>
            </w:r>
          </w:p>
        </w:tc>
      </w:tr>
      <w:tr w:rsidR="00E70AAD" w:rsidRPr="00F3039A" w14:paraId="19E79703" w14:textId="77777777" w:rsidTr="00F0628D">
        <w:trPr>
          <w:trHeight w:val="1068"/>
        </w:trPr>
        <w:tc>
          <w:tcPr>
            <w:tcW w:w="571" w:type="dxa"/>
            <w:tcBorders>
              <w:top w:val="nil"/>
              <w:left w:val="single" w:sz="8" w:space="0" w:color="auto"/>
              <w:bottom w:val="single" w:sz="4" w:space="0" w:color="auto"/>
              <w:right w:val="single" w:sz="4" w:space="0" w:color="auto"/>
            </w:tcBorders>
            <w:shd w:val="clear" w:color="auto" w:fill="auto"/>
            <w:noWrap/>
            <w:vAlign w:val="center"/>
            <w:hideMark/>
          </w:tcPr>
          <w:p w14:paraId="538FBE5B" w14:textId="77777777" w:rsidR="00E70AAD" w:rsidRPr="00F3039A" w:rsidRDefault="00E70AAD" w:rsidP="00F0628D">
            <w:pPr>
              <w:keepNext/>
              <w:ind w:firstLineChars="100" w:firstLine="180"/>
              <w:rPr>
                <w:rFonts w:ascii="Arial" w:hAnsi="Arial" w:cs="Arial"/>
                <w:color w:val="000000"/>
                <w:sz w:val="18"/>
                <w:szCs w:val="18"/>
              </w:rPr>
            </w:pPr>
            <w:r w:rsidRPr="00F3039A">
              <w:rPr>
                <w:rFonts w:ascii="Arial" w:hAnsi="Arial" w:cs="Arial"/>
                <w:color w:val="000000"/>
                <w:sz w:val="18"/>
                <w:szCs w:val="18"/>
              </w:rPr>
              <w:t>1.1</w:t>
            </w:r>
          </w:p>
        </w:tc>
        <w:tc>
          <w:tcPr>
            <w:tcW w:w="5269" w:type="dxa"/>
            <w:tcBorders>
              <w:top w:val="nil"/>
              <w:left w:val="nil"/>
              <w:bottom w:val="single" w:sz="4" w:space="0" w:color="auto"/>
              <w:right w:val="single" w:sz="4" w:space="0" w:color="auto"/>
            </w:tcBorders>
            <w:shd w:val="clear" w:color="auto" w:fill="auto"/>
            <w:vAlign w:val="center"/>
            <w:hideMark/>
          </w:tcPr>
          <w:p w14:paraId="4C868B70" w14:textId="77777777" w:rsidR="00E70AAD" w:rsidRPr="00F3039A" w:rsidRDefault="00E70AAD" w:rsidP="00F0628D">
            <w:pPr>
              <w:keepNext/>
              <w:rPr>
                <w:rFonts w:ascii="Arial" w:hAnsi="Arial" w:cs="Arial"/>
                <w:color w:val="000000"/>
                <w:sz w:val="18"/>
                <w:szCs w:val="18"/>
                <w:lang w:val="en-US"/>
              </w:rPr>
            </w:pPr>
            <w:r w:rsidRPr="00F3039A">
              <w:rPr>
                <w:rFonts w:ascii="Arial" w:hAnsi="Arial" w:cs="Arial"/>
                <w:color w:val="000000"/>
                <w:sz w:val="18"/>
                <w:szCs w:val="18"/>
                <w:lang w:val="en-US"/>
              </w:rPr>
              <w:t>Enhancing human resources to improve the implementation of the International Assistance mechanisms through three extra-budgetary fixed-term posts (one P3, one P2 and one G5);</w:t>
            </w:r>
          </w:p>
        </w:tc>
        <w:tc>
          <w:tcPr>
            <w:tcW w:w="1260" w:type="dxa"/>
            <w:tcBorders>
              <w:top w:val="nil"/>
              <w:left w:val="nil"/>
              <w:bottom w:val="single" w:sz="4" w:space="0" w:color="auto"/>
              <w:right w:val="single" w:sz="8" w:space="0" w:color="auto"/>
            </w:tcBorders>
            <w:shd w:val="clear" w:color="auto" w:fill="auto"/>
            <w:vAlign w:val="center"/>
            <w:hideMark/>
          </w:tcPr>
          <w:p w14:paraId="7D0A48FE" w14:textId="77777777" w:rsidR="00E70AAD" w:rsidRPr="00F3039A" w:rsidRDefault="00E70AAD" w:rsidP="00F0628D">
            <w:pPr>
              <w:keepNext/>
              <w:jc w:val="center"/>
              <w:rPr>
                <w:rFonts w:ascii="Arial" w:hAnsi="Arial" w:cs="Arial"/>
                <w:color w:val="000000"/>
                <w:sz w:val="18"/>
                <w:szCs w:val="18"/>
              </w:rPr>
            </w:pPr>
            <w:r w:rsidRPr="00F3039A">
              <w:rPr>
                <w:rFonts w:ascii="Arial" w:hAnsi="Arial" w:cs="Arial"/>
                <w:color w:val="000000"/>
                <w:sz w:val="18"/>
                <w:szCs w:val="18"/>
              </w:rPr>
              <w:t>12,30%</w:t>
            </w:r>
          </w:p>
        </w:tc>
        <w:tc>
          <w:tcPr>
            <w:tcW w:w="1260" w:type="dxa"/>
            <w:tcBorders>
              <w:top w:val="nil"/>
              <w:left w:val="nil"/>
              <w:bottom w:val="dashed" w:sz="4" w:space="0" w:color="auto"/>
              <w:right w:val="dashed" w:sz="4" w:space="0" w:color="auto"/>
            </w:tcBorders>
            <w:shd w:val="clear" w:color="auto" w:fill="auto"/>
            <w:vAlign w:val="center"/>
            <w:hideMark/>
          </w:tcPr>
          <w:p w14:paraId="0E9F3136" w14:textId="77777777" w:rsidR="00E70AAD" w:rsidRPr="00F3039A" w:rsidRDefault="00E70AAD" w:rsidP="00F0628D">
            <w:pPr>
              <w:keepNext/>
              <w:jc w:val="center"/>
              <w:rPr>
                <w:rFonts w:ascii="Arial" w:hAnsi="Arial" w:cs="Arial"/>
                <w:i/>
                <w:iCs/>
                <w:color w:val="000000"/>
                <w:sz w:val="18"/>
                <w:szCs w:val="18"/>
              </w:rPr>
            </w:pPr>
            <w:r w:rsidRPr="00F3039A">
              <w:rPr>
                <w:rFonts w:ascii="Arial" w:hAnsi="Arial" w:cs="Arial"/>
                <w:i/>
                <w:iCs/>
                <w:color w:val="000000"/>
                <w:sz w:val="18"/>
                <w:szCs w:val="18"/>
              </w:rPr>
              <w:t>$1 007 318</w:t>
            </w:r>
          </w:p>
        </w:tc>
        <w:tc>
          <w:tcPr>
            <w:tcW w:w="1346" w:type="dxa"/>
            <w:tcBorders>
              <w:top w:val="nil"/>
              <w:left w:val="nil"/>
              <w:bottom w:val="dashed" w:sz="4" w:space="0" w:color="auto"/>
              <w:right w:val="dashed" w:sz="4" w:space="0" w:color="auto"/>
            </w:tcBorders>
            <w:shd w:val="clear" w:color="auto" w:fill="auto"/>
            <w:vAlign w:val="center"/>
            <w:hideMark/>
          </w:tcPr>
          <w:p w14:paraId="0C2F9EB1" w14:textId="77777777" w:rsidR="00E70AAD" w:rsidRPr="00F3039A" w:rsidRDefault="00E70AAD" w:rsidP="00F0628D">
            <w:pPr>
              <w:keepNext/>
              <w:jc w:val="center"/>
              <w:rPr>
                <w:rFonts w:ascii="Arial" w:hAnsi="Arial" w:cs="Arial"/>
                <w:i/>
                <w:iCs/>
                <w:color w:val="000000"/>
                <w:sz w:val="18"/>
                <w:szCs w:val="18"/>
              </w:rPr>
            </w:pPr>
            <w:r w:rsidRPr="00F3039A">
              <w:rPr>
                <w:rFonts w:ascii="Arial" w:hAnsi="Arial" w:cs="Arial"/>
                <w:i/>
                <w:iCs/>
                <w:color w:val="000000"/>
                <w:sz w:val="18"/>
                <w:szCs w:val="18"/>
              </w:rPr>
              <w:t>$251 830</w:t>
            </w:r>
          </w:p>
        </w:tc>
      </w:tr>
      <w:tr w:rsidR="00E70AAD" w:rsidRPr="00F3039A" w14:paraId="689789AC" w14:textId="77777777" w:rsidTr="00F0628D">
        <w:trPr>
          <w:trHeight w:val="932"/>
        </w:trPr>
        <w:tc>
          <w:tcPr>
            <w:tcW w:w="571" w:type="dxa"/>
            <w:tcBorders>
              <w:top w:val="nil"/>
              <w:left w:val="single" w:sz="8" w:space="0" w:color="auto"/>
              <w:bottom w:val="single" w:sz="4" w:space="0" w:color="auto"/>
              <w:right w:val="single" w:sz="4" w:space="0" w:color="auto"/>
            </w:tcBorders>
            <w:shd w:val="clear" w:color="auto" w:fill="auto"/>
            <w:noWrap/>
            <w:vAlign w:val="center"/>
            <w:hideMark/>
          </w:tcPr>
          <w:p w14:paraId="64991618" w14:textId="77777777" w:rsidR="00E70AAD" w:rsidRPr="00F3039A" w:rsidRDefault="00E70AAD" w:rsidP="00F0628D">
            <w:pPr>
              <w:keepNext/>
              <w:ind w:firstLineChars="100" w:firstLine="180"/>
              <w:rPr>
                <w:rFonts w:ascii="Arial" w:hAnsi="Arial" w:cs="Arial"/>
                <w:color w:val="000000"/>
                <w:sz w:val="18"/>
                <w:szCs w:val="18"/>
              </w:rPr>
            </w:pPr>
            <w:r w:rsidRPr="00F3039A">
              <w:rPr>
                <w:rFonts w:ascii="Arial" w:hAnsi="Arial" w:cs="Arial"/>
                <w:color w:val="000000"/>
                <w:sz w:val="18"/>
                <w:szCs w:val="18"/>
              </w:rPr>
              <w:t>2.</w:t>
            </w:r>
          </w:p>
        </w:tc>
        <w:tc>
          <w:tcPr>
            <w:tcW w:w="5269" w:type="dxa"/>
            <w:tcBorders>
              <w:top w:val="nil"/>
              <w:left w:val="nil"/>
              <w:bottom w:val="single" w:sz="4" w:space="0" w:color="auto"/>
              <w:right w:val="single" w:sz="4" w:space="0" w:color="auto"/>
            </w:tcBorders>
            <w:shd w:val="clear" w:color="auto" w:fill="auto"/>
            <w:vAlign w:val="center"/>
            <w:hideMark/>
          </w:tcPr>
          <w:p w14:paraId="5FF185E9" w14:textId="77777777" w:rsidR="00E70AAD" w:rsidRPr="00F3039A" w:rsidRDefault="00E70AAD" w:rsidP="00F0628D">
            <w:pPr>
              <w:keepNext/>
              <w:rPr>
                <w:rFonts w:ascii="Arial" w:hAnsi="Arial" w:cs="Arial"/>
                <w:color w:val="000000"/>
                <w:sz w:val="18"/>
                <w:szCs w:val="18"/>
                <w:lang w:val="en-US"/>
              </w:rPr>
            </w:pPr>
            <w:r w:rsidRPr="00F3039A">
              <w:rPr>
                <w:rFonts w:ascii="Arial" w:hAnsi="Arial" w:cs="Arial"/>
                <w:color w:val="000000"/>
                <w:sz w:val="18"/>
                <w:szCs w:val="18"/>
                <w:lang w:val="en-US"/>
              </w:rPr>
              <w:t xml:space="preserve">Preparatory assistance for International Assistance requests, nominations and proposals to the Lists and Register of the Convention; </w:t>
            </w:r>
          </w:p>
        </w:tc>
        <w:tc>
          <w:tcPr>
            <w:tcW w:w="1260" w:type="dxa"/>
            <w:tcBorders>
              <w:top w:val="nil"/>
              <w:left w:val="nil"/>
              <w:bottom w:val="single" w:sz="4" w:space="0" w:color="auto"/>
              <w:right w:val="single" w:sz="8" w:space="0" w:color="auto"/>
            </w:tcBorders>
            <w:shd w:val="clear" w:color="auto" w:fill="auto"/>
            <w:vAlign w:val="center"/>
            <w:hideMark/>
          </w:tcPr>
          <w:p w14:paraId="749462FD" w14:textId="77777777" w:rsidR="00E70AAD" w:rsidRPr="00F3039A" w:rsidRDefault="00E70AAD" w:rsidP="00F0628D">
            <w:pPr>
              <w:keepNext/>
              <w:jc w:val="center"/>
              <w:rPr>
                <w:rFonts w:ascii="Arial" w:hAnsi="Arial" w:cs="Arial"/>
                <w:color w:val="000000"/>
                <w:sz w:val="18"/>
                <w:szCs w:val="18"/>
              </w:rPr>
            </w:pPr>
            <w:r w:rsidRPr="00F3039A">
              <w:rPr>
                <w:rFonts w:ascii="Arial" w:hAnsi="Arial" w:cs="Arial"/>
                <w:color w:val="000000"/>
                <w:sz w:val="18"/>
                <w:szCs w:val="18"/>
              </w:rPr>
              <w:t>2,80%</w:t>
            </w:r>
          </w:p>
        </w:tc>
        <w:tc>
          <w:tcPr>
            <w:tcW w:w="1260" w:type="dxa"/>
            <w:tcBorders>
              <w:top w:val="nil"/>
              <w:left w:val="nil"/>
              <w:bottom w:val="dashed" w:sz="4" w:space="0" w:color="auto"/>
              <w:right w:val="dashed" w:sz="4" w:space="0" w:color="auto"/>
            </w:tcBorders>
            <w:shd w:val="clear" w:color="auto" w:fill="auto"/>
            <w:vAlign w:val="center"/>
            <w:hideMark/>
          </w:tcPr>
          <w:p w14:paraId="7BA6702E" w14:textId="77777777" w:rsidR="00E70AAD" w:rsidRPr="00F3039A" w:rsidRDefault="00E70AAD" w:rsidP="00F0628D">
            <w:pPr>
              <w:keepNext/>
              <w:jc w:val="center"/>
              <w:rPr>
                <w:rFonts w:ascii="Arial" w:hAnsi="Arial" w:cs="Arial"/>
                <w:i/>
                <w:iCs/>
                <w:color w:val="000000"/>
                <w:sz w:val="18"/>
                <w:szCs w:val="18"/>
              </w:rPr>
            </w:pPr>
            <w:r w:rsidRPr="00F3039A">
              <w:rPr>
                <w:rFonts w:ascii="Arial" w:hAnsi="Arial" w:cs="Arial"/>
                <w:i/>
                <w:iCs/>
                <w:color w:val="000000"/>
                <w:sz w:val="18"/>
                <w:szCs w:val="18"/>
              </w:rPr>
              <w:t>$229 308</w:t>
            </w:r>
          </w:p>
        </w:tc>
        <w:tc>
          <w:tcPr>
            <w:tcW w:w="1346" w:type="dxa"/>
            <w:tcBorders>
              <w:top w:val="nil"/>
              <w:left w:val="nil"/>
              <w:bottom w:val="dashed" w:sz="4" w:space="0" w:color="auto"/>
              <w:right w:val="dashed" w:sz="4" w:space="0" w:color="auto"/>
            </w:tcBorders>
            <w:shd w:val="clear" w:color="auto" w:fill="auto"/>
            <w:vAlign w:val="center"/>
            <w:hideMark/>
          </w:tcPr>
          <w:p w14:paraId="3B2A80AF" w14:textId="77777777" w:rsidR="00E70AAD" w:rsidRPr="00F3039A" w:rsidRDefault="00E70AAD" w:rsidP="00F0628D">
            <w:pPr>
              <w:keepNext/>
              <w:jc w:val="center"/>
              <w:rPr>
                <w:rFonts w:ascii="Arial" w:hAnsi="Arial" w:cs="Arial"/>
                <w:i/>
                <w:iCs/>
                <w:color w:val="000000"/>
                <w:sz w:val="18"/>
                <w:szCs w:val="18"/>
              </w:rPr>
            </w:pPr>
            <w:r w:rsidRPr="00F3039A">
              <w:rPr>
                <w:rFonts w:ascii="Arial" w:hAnsi="Arial" w:cs="Arial"/>
                <w:i/>
                <w:iCs/>
                <w:color w:val="000000"/>
                <w:sz w:val="18"/>
                <w:szCs w:val="18"/>
              </w:rPr>
              <w:t>$57 327</w:t>
            </w:r>
          </w:p>
        </w:tc>
      </w:tr>
      <w:tr w:rsidR="00E70AAD" w:rsidRPr="00F3039A" w14:paraId="4C7FCB81" w14:textId="77777777" w:rsidTr="00F0628D">
        <w:trPr>
          <w:trHeight w:val="2557"/>
        </w:trPr>
        <w:tc>
          <w:tcPr>
            <w:tcW w:w="571" w:type="dxa"/>
            <w:tcBorders>
              <w:top w:val="nil"/>
              <w:left w:val="single" w:sz="8" w:space="0" w:color="auto"/>
              <w:bottom w:val="single" w:sz="4" w:space="0" w:color="auto"/>
              <w:right w:val="single" w:sz="4" w:space="0" w:color="auto"/>
            </w:tcBorders>
            <w:shd w:val="clear" w:color="auto" w:fill="auto"/>
            <w:noWrap/>
            <w:vAlign w:val="center"/>
            <w:hideMark/>
          </w:tcPr>
          <w:p w14:paraId="18896BFF" w14:textId="77777777" w:rsidR="00E70AAD" w:rsidRPr="00F3039A" w:rsidRDefault="00E70AAD" w:rsidP="00F0628D">
            <w:pPr>
              <w:keepNext/>
              <w:ind w:firstLineChars="100" w:firstLine="180"/>
              <w:rPr>
                <w:rFonts w:ascii="Arial" w:hAnsi="Arial" w:cs="Arial"/>
                <w:color w:val="000000"/>
                <w:sz w:val="18"/>
                <w:szCs w:val="18"/>
              </w:rPr>
            </w:pPr>
            <w:r w:rsidRPr="00F3039A">
              <w:rPr>
                <w:rFonts w:ascii="Arial" w:hAnsi="Arial" w:cs="Arial"/>
                <w:color w:val="000000"/>
                <w:sz w:val="18"/>
                <w:szCs w:val="18"/>
              </w:rPr>
              <w:t>3.</w:t>
            </w:r>
          </w:p>
        </w:tc>
        <w:tc>
          <w:tcPr>
            <w:tcW w:w="5269" w:type="dxa"/>
            <w:tcBorders>
              <w:top w:val="nil"/>
              <w:left w:val="nil"/>
              <w:bottom w:val="single" w:sz="4" w:space="0" w:color="auto"/>
              <w:right w:val="single" w:sz="4" w:space="0" w:color="auto"/>
            </w:tcBorders>
            <w:shd w:val="clear" w:color="auto" w:fill="auto"/>
            <w:vAlign w:val="center"/>
            <w:hideMark/>
          </w:tcPr>
          <w:p w14:paraId="6B00C750" w14:textId="77777777" w:rsidR="00E70AAD" w:rsidRPr="00F3039A" w:rsidRDefault="00E70AAD" w:rsidP="00F0628D">
            <w:pPr>
              <w:keepNext/>
              <w:rPr>
                <w:rFonts w:ascii="Arial" w:hAnsi="Arial" w:cs="Arial"/>
                <w:color w:val="000000"/>
                <w:sz w:val="18"/>
                <w:szCs w:val="18"/>
                <w:lang w:val="en-US"/>
              </w:rPr>
            </w:pPr>
            <w:r w:rsidRPr="00F3039A">
              <w:rPr>
                <w:rFonts w:ascii="Arial" w:hAnsi="Arial" w:cs="Arial"/>
                <w:color w:val="000000"/>
                <w:sz w:val="18"/>
                <w:szCs w:val="18"/>
                <w:lang w:val="en-US"/>
              </w:rPr>
              <w:t xml:space="preserve">Other functions of the Committee, as described in Article 7 of the Convention, aimed at promoting the objectives of the Convention and encouraging and monitoring its implementation, in particular by strengthening capacities to effectively safeguard intangible cultural heritage, raising awareness of the importance of such heritage, providing guidance on good safeguarding practices and updating and publishing the Lists and the Register of Good Safeguarding Practices: </w:t>
            </w:r>
          </w:p>
        </w:tc>
        <w:tc>
          <w:tcPr>
            <w:tcW w:w="1260" w:type="dxa"/>
            <w:tcBorders>
              <w:top w:val="nil"/>
              <w:left w:val="nil"/>
              <w:bottom w:val="single" w:sz="4" w:space="0" w:color="auto"/>
              <w:right w:val="single" w:sz="8" w:space="0" w:color="auto"/>
            </w:tcBorders>
            <w:shd w:val="clear" w:color="auto" w:fill="auto"/>
            <w:vAlign w:val="center"/>
            <w:hideMark/>
          </w:tcPr>
          <w:p w14:paraId="34F5F06B" w14:textId="77777777" w:rsidR="00E70AAD" w:rsidRPr="00F3039A" w:rsidRDefault="00E70AAD" w:rsidP="00F0628D">
            <w:pPr>
              <w:keepNext/>
              <w:jc w:val="center"/>
              <w:rPr>
                <w:rFonts w:ascii="Arial" w:hAnsi="Arial" w:cs="Arial"/>
                <w:color w:val="000000"/>
                <w:sz w:val="18"/>
                <w:szCs w:val="18"/>
              </w:rPr>
            </w:pPr>
            <w:r w:rsidRPr="00F3039A">
              <w:rPr>
                <w:rFonts w:ascii="Arial" w:hAnsi="Arial" w:cs="Arial"/>
                <w:color w:val="000000"/>
                <w:sz w:val="18"/>
                <w:szCs w:val="18"/>
              </w:rPr>
              <w:t>20,00%</w:t>
            </w:r>
          </w:p>
        </w:tc>
        <w:tc>
          <w:tcPr>
            <w:tcW w:w="1260" w:type="dxa"/>
            <w:tcBorders>
              <w:top w:val="nil"/>
              <w:left w:val="nil"/>
              <w:bottom w:val="dashed" w:sz="4" w:space="0" w:color="auto"/>
              <w:right w:val="dashed" w:sz="4" w:space="0" w:color="auto"/>
            </w:tcBorders>
            <w:shd w:val="clear" w:color="auto" w:fill="auto"/>
            <w:vAlign w:val="center"/>
            <w:hideMark/>
          </w:tcPr>
          <w:p w14:paraId="5A150C0A" w14:textId="77777777" w:rsidR="00E70AAD" w:rsidRPr="00F3039A" w:rsidRDefault="00E70AAD" w:rsidP="00F0628D">
            <w:pPr>
              <w:keepNext/>
              <w:jc w:val="center"/>
              <w:rPr>
                <w:rFonts w:ascii="Arial" w:hAnsi="Arial" w:cs="Arial"/>
                <w:i/>
                <w:iCs/>
                <w:color w:val="000000"/>
                <w:sz w:val="18"/>
                <w:szCs w:val="18"/>
              </w:rPr>
            </w:pPr>
            <w:r w:rsidRPr="00F3039A">
              <w:rPr>
                <w:rFonts w:ascii="Arial" w:hAnsi="Arial" w:cs="Arial"/>
                <w:i/>
                <w:iCs/>
                <w:color w:val="000000"/>
                <w:sz w:val="18"/>
                <w:szCs w:val="18"/>
              </w:rPr>
              <w:t>$1 637 916</w:t>
            </w:r>
          </w:p>
        </w:tc>
        <w:tc>
          <w:tcPr>
            <w:tcW w:w="1346" w:type="dxa"/>
            <w:tcBorders>
              <w:top w:val="nil"/>
              <w:left w:val="nil"/>
              <w:bottom w:val="dashed" w:sz="4" w:space="0" w:color="auto"/>
              <w:right w:val="dashed" w:sz="4" w:space="0" w:color="auto"/>
            </w:tcBorders>
            <w:shd w:val="clear" w:color="auto" w:fill="auto"/>
            <w:vAlign w:val="center"/>
            <w:hideMark/>
          </w:tcPr>
          <w:p w14:paraId="747BCD4C" w14:textId="77777777" w:rsidR="00E70AAD" w:rsidRPr="00F3039A" w:rsidRDefault="00E70AAD" w:rsidP="00F0628D">
            <w:pPr>
              <w:keepNext/>
              <w:jc w:val="center"/>
              <w:rPr>
                <w:rFonts w:ascii="Arial" w:hAnsi="Arial" w:cs="Arial"/>
                <w:i/>
                <w:iCs/>
                <w:color w:val="000000"/>
                <w:sz w:val="18"/>
                <w:szCs w:val="18"/>
              </w:rPr>
            </w:pPr>
            <w:r w:rsidRPr="00F3039A">
              <w:rPr>
                <w:rFonts w:ascii="Arial" w:hAnsi="Arial" w:cs="Arial"/>
                <w:i/>
                <w:iCs/>
                <w:color w:val="000000"/>
                <w:sz w:val="18"/>
                <w:szCs w:val="18"/>
              </w:rPr>
              <w:t>$409 479</w:t>
            </w:r>
          </w:p>
        </w:tc>
      </w:tr>
      <w:tr w:rsidR="00E70AAD" w:rsidRPr="00F3039A" w14:paraId="126C713C" w14:textId="77777777" w:rsidTr="00970AA9">
        <w:trPr>
          <w:trHeight w:val="300"/>
        </w:trPr>
        <w:tc>
          <w:tcPr>
            <w:tcW w:w="571" w:type="dxa"/>
            <w:vMerge w:val="restart"/>
            <w:tcBorders>
              <w:top w:val="nil"/>
              <w:left w:val="single" w:sz="8" w:space="0" w:color="auto"/>
              <w:bottom w:val="single" w:sz="4" w:space="0" w:color="auto"/>
              <w:right w:val="single" w:sz="4" w:space="0" w:color="auto"/>
            </w:tcBorders>
            <w:shd w:val="clear" w:color="000000" w:fill="E7E6E6"/>
            <w:noWrap/>
            <w:vAlign w:val="center"/>
            <w:hideMark/>
          </w:tcPr>
          <w:p w14:paraId="5DAEE71B" w14:textId="77777777" w:rsidR="00E70AAD" w:rsidRPr="00F3039A" w:rsidRDefault="00E70AAD" w:rsidP="009314C9">
            <w:pPr>
              <w:jc w:val="center"/>
              <w:rPr>
                <w:rFonts w:ascii="Arial" w:hAnsi="Arial" w:cs="Arial"/>
                <w:i/>
                <w:iCs/>
                <w:color w:val="000000"/>
                <w:sz w:val="18"/>
                <w:szCs w:val="18"/>
              </w:rPr>
            </w:pPr>
            <w:r w:rsidRPr="00F3039A">
              <w:rPr>
                <w:rFonts w:ascii="Arial" w:hAnsi="Arial" w:cs="Arial"/>
                <w:i/>
                <w:iCs/>
                <w:color w:val="000000"/>
                <w:sz w:val="18"/>
                <w:szCs w:val="18"/>
              </w:rPr>
              <w:t> </w:t>
            </w:r>
          </w:p>
        </w:tc>
        <w:tc>
          <w:tcPr>
            <w:tcW w:w="5269" w:type="dxa"/>
            <w:vMerge w:val="restart"/>
            <w:tcBorders>
              <w:top w:val="nil"/>
              <w:left w:val="single" w:sz="4" w:space="0" w:color="auto"/>
              <w:bottom w:val="single" w:sz="4" w:space="0" w:color="auto"/>
              <w:right w:val="single" w:sz="4" w:space="0" w:color="auto"/>
            </w:tcBorders>
            <w:shd w:val="clear" w:color="000000" w:fill="E7E6E6"/>
            <w:vAlign w:val="center"/>
            <w:hideMark/>
          </w:tcPr>
          <w:p w14:paraId="19E4EF72" w14:textId="77777777" w:rsidR="00E70AAD" w:rsidRPr="00F3039A" w:rsidRDefault="00E70AAD" w:rsidP="003611CB">
            <w:pPr>
              <w:rPr>
                <w:rFonts w:ascii="Arial" w:hAnsi="Arial" w:cs="Arial"/>
                <w:b/>
                <w:bCs/>
                <w:i/>
                <w:iCs/>
                <w:color w:val="000000"/>
                <w:sz w:val="16"/>
                <w:szCs w:val="16"/>
                <w:lang w:val="en-US"/>
              </w:rPr>
            </w:pPr>
            <w:r w:rsidRPr="00F3039A">
              <w:rPr>
                <w:rFonts w:ascii="Arial" w:hAnsi="Arial" w:cs="Arial"/>
                <w:b/>
                <w:bCs/>
                <w:i/>
                <w:iCs/>
                <w:color w:val="000000"/>
                <w:sz w:val="16"/>
                <w:szCs w:val="16"/>
                <w:lang w:val="en-US"/>
              </w:rPr>
              <w:t>ER 1: Implementation of the Convention encouraged through a strengthened capacity-building programme and the integration of intangible cultural heritage into development plans, policies and programmes;</w:t>
            </w:r>
          </w:p>
        </w:tc>
        <w:tc>
          <w:tcPr>
            <w:tcW w:w="1260" w:type="dxa"/>
            <w:vMerge w:val="restart"/>
            <w:tcBorders>
              <w:top w:val="nil"/>
              <w:left w:val="single" w:sz="4" w:space="0" w:color="auto"/>
              <w:bottom w:val="single" w:sz="4" w:space="0" w:color="auto"/>
              <w:right w:val="single" w:sz="8" w:space="0" w:color="auto"/>
            </w:tcBorders>
            <w:shd w:val="clear" w:color="000000" w:fill="E7E6E6"/>
            <w:vAlign w:val="center"/>
            <w:hideMark/>
          </w:tcPr>
          <w:p w14:paraId="0D6CEE47" w14:textId="77777777" w:rsidR="00E70AAD" w:rsidRPr="00F3039A" w:rsidRDefault="00E70AAD" w:rsidP="009314C9">
            <w:pPr>
              <w:jc w:val="center"/>
              <w:rPr>
                <w:rFonts w:ascii="Arial" w:hAnsi="Arial" w:cs="Arial"/>
                <w:i/>
                <w:iCs/>
                <w:color w:val="000000"/>
                <w:sz w:val="16"/>
                <w:szCs w:val="16"/>
              </w:rPr>
            </w:pPr>
            <w:r w:rsidRPr="00F3039A">
              <w:rPr>
                <w:rFonts w:ascii="Arial" w:hAnsi="Arial" w:cs="Arial"/>
                <w:i/>
                <w:iCs/>
                <w:color w:val="000000"/>
                <w:sz w:val="16"/>
                <w:szCs w:val="16"/>
              </w:rPr>
              <w:t>10.4%</w:t>
            </w:r>
          </w:p>
        </w:tc>
        <w:tc>
          <w:tcPr>
            <w:tcW w:w="1260" w:type="dxa"/>
            <w:vMerge w:val="restart"/>
            <w:tcBorders>
              <w:top w:val="nil"/>
              <w:left w:val="nil"/>
              <w:bottom w:val="dashed" w:sz="4" w:space="0" w:color="auto"/>
              <w:right w:val="dashed" w:sz="4" w:space="0" w:color="auto"/>
            </w:tcBorders>
            <w:shd w:val="clear" w:color="000000" w:fill="E7E6E6"/>
            <w:vAlign w:val="center"/>
            <w:hideMark/>
          </w:tcPr>
          <w:p w14:paraId="26FDC22E" w14:textId="77777777" w:rsidR="00E70AAD" w:rsidRPr="00F3039A" w:rsidRDefault="00E70AAD" w:rsidP="009314C9">
            <w:pPr>
              <w:jc w:val="center"/>
              <w:rPr>
                <w:rFonts w:ascii="Arial" w:hAnsi="Arial" w:cs="Arial"/>
                <w:i/>
                <w:iCs/>
                <w:color w:val="000000"/>
                <w:sz w:val="18"/>
                <w:szCs w:val="18"/>
              </w:rPr>
            </w:pPr>
            <w:r w:rsidRPr="00F3039A">
              <w:rPr>
                <w:rFonts w:ascii="Arial" w:hAnsi="Arial" w:cs="Arial"/>
                <w:i/>
                <w:iCs/>
                <w:color w:val="000000"/>
                <w:sz w:val="18"/>
                <w:szCs w:val="18"/>
              </w:rPr>
              <w:t>$851 716</w:t>
            </w:r>
          </w:p>
        </w:tc>
        <w:tc>
          <w:tcPr>
            <w:tcW w:w="1346" w:type="dxa"/>
            <w:vMerge w:val="restart"/>
            <w:tcBorders>
              <w:top w:val="nil"/>
              <w:left w:val="dashed" w:sz="4" w:space="0" w:color="auto"/>
              <w:bottom w:val="dashed" w:sz="4" w:space="0" w:color="auto"/>
              <w:right w:val="dashed" w:sz="4" w:space="0" w:color="auto"/>
            </w:tcBorders>
            <w:shd w:val="clear" w:color="000000" w:fill="E7E6E6"/>
            <w:vAlign w:val="center"/>
            <w:hideMark/>
          </w:tcPr>
          <w:p w14:paraId="700F34E0" w14:textId="77777777" w:rsidR="00E70AAD" w:rsidRPr="00F3039A" w:rsidRDefault="00E70AAD" w:rsidP="009314C9">
            <w:pPr>
              <w:jc w:val="center"/>
              <w:rPr>
                <w:rFonts w:ascii="Arial" w:hAnsi="Arial" w:cs="Arial"/>
                <w:i/>
                <w:iCs/>
                <w:color w:val="000000"/>
                <w:sz w:val="18"/>
                <w:szCs w:val="18"/>
              </w:rPr>
            </w:pPr>
            <w:r w:rsidRPr="00F3039A">
              <w:rPr>
                <w:rFonts w:ascii="Arial" w:hAnsi="Arial" w:cs="Arial"/>
                <w:i/>
                <w:iCs/>
                <w:color w:val="000000"/>
                <w:sz w:val="18"/>
                <w:szCs w:val="18"/>
              </w:rPr>
              <w:t>$212 929</w:t>
            </w:r>
          </w:p>
        </w:tc>
      </w:tr>
      <w:tr w:rsidR="00E70AAD" w:rsidRPr="00F3039A" w14:paraId="2301C453" w14:textId="77777777" w:rsidTr="00970AA9">
        <w:trPr>
          <w:trHeight w:val="300"/>
        </w:trPr>
        <w:tc>
          <w:tcPr>
            <w:tcW w:w="571" w:type="dxa"/>
            <w:vMerge/>
            <w:tcBorders>
              <w:top w:val="nil"/>
              <w:left w:val="single" w:sz="8" w:space="0" w:color="auto"/>
              <w:bottom w:val="single" w:sz="4" w:space="0" w:color="auto"/>
              <w:right w:val="single" w:sz="4" w:space="0" w:color="auto"/>
            </w:tcBorders>
            <w:vAlign w:val="center"/>
            <w:hideMark/>
          </w:tcPr>
          <w:p w14:paraId="6540C803" w14:textId="77777777" w:rsidR="00E70AAD" w:rsidRPr="00F3039A" w:rsidRDefault="00E70AAD" w:rsidP="009314C9">
            <w:pPr>
              <w:rPr>
                <w:rFonts w:ascii="Arial" w:hAnsi="Arial" w:cs="Arial"/>
                <w:i/>
                <w:iCs/>
                <w:color w:val="000000"/>
                <w:sz w:val="18"/>
                <w:szCs w:val="18"/>
              </w:rPr>
            </w:pPr>
          </w:p>
        </w:tc>
        <w:tc>
          <w:tcPr>
            <w:tcW w:w="5269" w:type="dxa"/>
            <w:vMerge/>
            <w:tcBorders>
              <w:top w:val="nil"/>
              <w:left w:val="single" w:sz="4" w:space="0" w:color="auto"/>
              <w:bottom w:val="single" w:sz="4" w:space="0" w:color="auto"/>
              <w:right w:val="single" w:sz="4" w:space="0" w:color="auto"/>
            </w:tcBorders>
            <w:vAlign w:val="center"/>
            <w:hideMark/>
          </w:tcPr>
          <w:p w14:paraId="0146044B" w14:textId="77777777" w:rsidR="00E70AAD" w:rsidRPr="00F3039A" w:rsidRDefault="00E70AAD" w:rsidP="003611CB">
            <w:pPr>
              <w:rPr>
                <w:rFonts w:ascii="Arial" w:hAnsi="Arial" w:cs="Arial"/>
                <w:b/>
                <w:bCs/>
                <w:i/>
                <w:iCs/>
                <w:color w:val="000000"/>
                <w:sz w:val="16"/>
                <w:szCs w:val="16"/>
              </w:rPr>
            </w:pPr>
          </w:p>
        </w:tc>
        <w:tc>
          <w:tcPr>
            <w:tcW w:w="1260" w:type="dxa"/>
            <w:vMerge/>
            <w:tcBorders>
              <w:top w:val="nil"/>
              <w:left w:val="single" w:sz="4" w:space="0" w:color="auto"/>
              <w:bottom w:val="single" w:sz="4" w:space="0" w:color="auto"/>
              <w:right w:val="single" w:sz="8" w:space="0" w:color="auto"/>
            </w:tcBorders>
            <w:vAlign w:val="center"/>
            <w:hideMark/>
          </w:tcPr>
          <w:p w14:paraId="2D8A5D54" w14:textId="77777777" w:rsidR="00E70AAD" w:rsidRPr="00F3039A" w:rsidRDefault="00E70AAD" w:rsidP="009314C9">
            <w:pPr>
              <w:jc w:val="center"/>
              <w:rPr>
                <w:rFonts w:ascii="Arial" w:hAnsi="Arial" w:cs="Arial"/>
                <w:i/>
                <w:iCs/>
                <w:color w:val="000000"/>
                <w:sz w:val="16"/>
                <w:szCs w:val="16"/>
              </w:rPr>
            </w:pPr>
          </w:p>
        </w:tc>
        <w:tc>
          <w:tcPr>
            <w:tcW w:w="1260" w:type="dxa"/>
            <w:vMerge/>
            <w:tcBorders>
              <w:top w:val="nil"/>
              <w:left w:val="nil"/>
              <w:bottom w:val="dashed" w:sz="4" w:space="0" w:color="auto"/>
              <w:right w:val="dashed" w:sz="4" w:space="0" w:color="auto"/>
            </w:tcBorders>
            <w:vAlign w:val="center"/>
            <w:hideMark/>
          </w:tcPr>
          <w:p w14:paraId="302B395B" w14:textId="77777777" w:rsidR="00E70AAD" w:rsidRPr="00F3039A" w:rsidRDefault="00E70AAD" w:rsidP="009314C9">
            <w:pPr>
              <w:rPr>
                <w:rFonts w:ascii="Arial" w:hAnsi="Arial" w:cs="Arial"/>
                <w:i/>
                <w:iCs/>
                <w:color w:val="000000"/>
                <w:sz w:val="18"/>
                <w:szCs w:val="18"/>
              </w:rPr>
            </w:pPr>
          </w:p>
        </w:tc>
        <w:tc>
          <w:tcPr>
            <w:tcW w:w="1346" w:type="dxa"/>
            <w:vMerge/>
            <w:tcBorders>
              <w:top w:val="nil"/>
              <w:left w:val="dashed" w:sz="4" w:space="0" w:color="auto"/>
              <w:bottom w:val="dashed" w:sz="4" w:space="0" w:color="auto"/>
              <w:right w:val="dashed" w:sz="4" w:space="0" w:color="auto"/>
            </w:tcBorders>
            <w:vAlign w:val="center"/>
            <w:hideMark/>
          </w:tcPr>
          <w:p w14:paraId="054429BC" w14:textId="77777777" w:rsidR="00E70AAD" w:rsidRPr="00F3039A" w:rsidRDefault="00E70AAD" w:rsidP="009314C9">
            <w:pPr>
              <w:rPr>
                <w:rFonts w:ascii="Arial" w:hAnsi="Arial" w:cs="Arial"/>
                <w:i/>
                <w:iCs/>
                <w:color w:val="000000"/>
                <w:sz w:val="18"/>
                <w:szCs w:val="18"/>
              </w:rPr>
            </w:pPr>
          </w:p>
        </w:tc>
      </w:tr>
      <w:tr w:rsidR="00E70AAD" w:rsidRPr="00F3039A" w14:paraId="1B705E1D" w14:textId="77777777" w:rsidTr="00970AA9">
        <w:trPr>
          <w:trHeight w:val="300"/>
        </w:trPr>
        <w:tc>
          <w:tcPr>
            <w:tcW w:w="571" w:type="dxa"/>
            <w:vMerge/>
            <w:tcBorders>
              <w:top w:val="nil"/>
              <w:left w:val="single" w:sz="8" w:space="0" w:color="auto"/>
              <w:bottom w:val="single" w:sz="4" w:space="0" w:color="auto"/>
              <w:right w:val="single" w:sz="4" w:space="0" w:color="auto"/>
            </w:tcBorders>
            <w:vAlign w:val="center"/>
            <w:hideMark/>
          </w:tcPr>
          <w:p w14:paraId="15D57261" w14:textId="77777777" w:rsidR="00E70AAD" w:rsidRPr="00F3039A" w:rsidRDefault="00E70AAD" w:rsidP="009314C9">
            <w:pPr>
              <w:rPr>
                <w:rFonts w:ascii="Arial" w:hAnsi="Arial" w:cs="Arial"/>
                <w:i/>
                <w:iCs/>
                <w:color w:val="000000"/>
                <w:sz w:val="18"/>
                <w:szCs w:val="18"/>
              </w:rPr>
            </w:pPr>
          </w:p>
        </w:tc>
        <w:tc>
          <w:tcPr>
            <w:tcW w:w="5269" w:type="dxa"/>
            <w:vMerge/>
            <w:tcBorders>
              <w:top w:val="nil"/>
              <w:left w:val="single" w:sz="4" w:space="0" w:color="auto"/>
              <w:bottom w:val="single" w:sz="4" w:space="0" w:color="auto"/>
              <w:right w:val="single" w:sz="4" w:space="0" w:color="auto"/>
            </w:tcBorders>
            <w:vAlign w:val="center"/>
            <w:hideMark/>
          </w:tcPr>
          <w:p w14:paraId="3891BEFE" w14:textId="77777777" w:rsidR="00E70AAD" w:rsidRPr="00F3039A" w:rsidRDefault="00E70AAD" w:rsidP="003611CB">
            <w:pPr>
              <w:rPr>
                <w:rFonts w:ascii="Arial" w:hAnsi="Arial" w:cs="Arial"/>
                <w:b/>
                <w:bCs/>
                <w:i/>
                <w:iCs/>
                <w:color w:val="000000"/>
                <w:sz w:val="16"/>
                <w:szCs w:val="16"/>
              </w:rPr>
            </w:pPr>
          </w:p>
        </w:tc>
        <w:tc>
          <w:tcPr>
            <w:tcW w:w="1260" w:type="dxa"/>
            <w:vMerge w:val="restart"/>
            <w:tcBorders>
              <w:top w:val="nil"/>
              <w:left w:val="single" w:sz="4" w:space="0" w:color="auto"/>
              <w:bottom w:val="single" w:sz="4" w:space="0" w:color="auto"/>
              <w:right w:val="single" w:sz="8" w:space="0" w:color="auto"/>
            </w:tcBorders>
            <w:shd w:val="clear" w:color="000000" w:fill="E7E6E6"/>
            <w:vAlign w:val="center"/>
            <w:hideMark/>
          </w:tcPr>
          <w:p w14:paraId="4EEC9222" w14:textId="77777777" w:rsidR="00E70AAD" w:rsidRPr="00F3039A" w:rsidRDefault="00E70AAD" w:rsidP="009314C9">
            <w:pPr>
              <w:jc w:val="center"/>
              <w:rPr>
                <w:rFonts w:ascii="Arial" w:hAnsi="Arial" w:cs="Arial"/>
                <w:i/>
                <w:iCs/>
                <w:color w:val="000000"/>
                <w:sz w:val="16"/>
                <w:szCs w:val="16"/>
              </w:rPr>
            </w:pPr>
            <w:r w:rsidRPr="00F3039A">
              <w:rPr>
                <w:rFonts w:ascii="Arial" w:hAnsi="Arial" w:cs="Arial"/>
                <w:i/>
                <w:iCs/>
                <w:color w:val="000000"/>
                <w:sz w:val="16"/>
                <w:szCs w:val="16"/>
              </w:rPr>
              <w:t>(52% of line 3)</w:t>
            </w:r>
          </w:p>
        </w:tc>
        <w:tc>
          <w:tcPr>
            <w:tcW w:w="1260" w:type="dxa"/>
            <w:vMerge/>
            <w:tcBorders>
              <w:top w:val="nil"/>
              <w:left w:val="nil"/>
              <w:bottom w:val="dashed" w:sz="4" w:space="0" w:color="auto"/>
              <w:right w:val="dashed" w:sz="4" w:space="0" w:color="auto"/>
            </w:tcBorders>
            <w:vAlign w:val="center"/>
            <w:hideMark/>
          </w:tcPr>
          <w:p w14:paraId="64AEF6DE" w14:textId="77777777" w:rsidR="00E70AAD" w:rsidRPr="00F3039A" w:rsidRDefault="00E70AAD" w:rsidP="009314C9">
            <w:pPr>
              <w:rPr>
                <w:rFonts w:ascii="Arial" w:hAnsi="Arial" w:cs="Arial"/>
                <w:i/>
                <w:iCs/>
                <w:color w:val="000000"/>
                <w:sz w:val="18"/>
                <w:szCs w:val="18"/>
              </w:rPr>
            </w:pPr>
          </w:p>
        </w:tc>
        <w:tc>
          <w:tcPr>
            <w:tcW w:w="1346" w:type="dxa"/>
            <w:vMerge/>
            <w:tcBorders>
              <w:top w:val="nil"/>
              <w:left w:val="dashed" w:sz="4" w:space="0" w:color="auto"/>
              <w:bottom w:val="dashed" w:sz="4" w:space="0" w:color="auto"/>
              <w:right w:val="dashed" w:sz="4" w:space="0" w:color="auto"/>
            </w:tcBorders>
            <w:vAlign w:val="center"/>
            <w:hideMark/>
          </w:tcPr>
          <w:p w14:paraId="27419EA8" w14:textId="77777777" w:rsidR="00E70AAD" w:rsidRPr="00F3039A" w:rsidRDefault="00E70AAD" w:rsidP="009314C9">
            <w:pPr>
              <w:rPr>
                <w:rFonts w:ascii="Arial" w:hAnsi="Arial" w:cs="Arial"/>
                <w:i/>
                <w:iCs/>
                <w:color w:val="000000"/>
                <w:sz w:val="18"/>
                <w:szCs w:val="18"/>
              </w:rPr>
            </w:pPr>
          </w:p>
        </w:tc>
      </w:tr>
      <w:tr w:rsidR="00E70AAD" w:rsidRPr="00F3039A" w14:paraId="2F31DAD9" w14:textId="77777777" w:rsidTr="00970AA9">
        <w:trPr>
          <w:trHeight w:val="300"/>
        </w:trPr>
        <w:tc>
          <w:tcPr>
            <w:tcW w:w="571" w:type="dxa"/>
            <w:vMerge/>
            <w:tcBorders>
              <w:top w:val="nil"/>
              <w:left w:val="single" w:sz="8" w:space="0" w:color="auto"/>
              <w:bottom w:val="single" w:sz="4" w:space="0" w:color="auto"/>
              <w:right w:val="single" w:sz="4" w:space="0" w:color="auto"/>
            </w:tcBorders>
            <w:vAlign w:val="center"/>
            <w:hideMark/>
          </w:tcPr>
          <w:p w14:paraId="40D73229" w14:textId="77777777" w:rsidR="00E70AAD" w:rsidRPr="00F3039A" w:rsidRDefault="00E70AAD" w:rsidP="009314C9">
            <w:pPr>
              <w:rPr>
                <w:rFonts w:ascii="Arial" w:hAnsi="Arial" w:cs="Arial"/>
                <w:i/>
                <w:iCs/>
                <w:color w:val="000000"/>
                <w:sz w:val="18"/>
                <w:szCs w:val="18"/>
              </w:rPr>
            </w:pPr>
          </w:p>
        </w:tc>
        <w:tc>
          <w:tcPr>
            <w:tcW w:w="5269" w:type="dxa"/>
            <w:vMerge/>
            <w:tcBorders>
              <w:top w:val="nil"/>
              <w:left w:val="single" w:sz="4" w:space="0" w:color="auto"/>
              <w:bottom w:val="single" w:sz="4" w:space="0" w:color="auto"/>
              <w:right w:val="single" w:sz="4" w:space="0" w:color="auto"/>
            </w:tcBorders>
            <w:vAlign w:val="center"/>
            <w:hideMark/>
          </w:tcPr>
          <w:p w14:paraId="1AAC2E81" w14:textId="77777777" w:rsidR="00E70AAD" w:rsidRPr="00F3039A" w:rsidRDefault="00E70AAD" w:rsidP="003611CB">
            <w:pPr>
              <w:rPr>
                <w:rFonts w:ascii="Arial" w:hAnsi="Arial" w:cs="Arial"/>
                <w:b/>
                <w:bCs/>
                <w:i/>
                <w:iCs/>
                <w:color w:val="000000"/>
                <w:sz w:val="16"/>
                <w:szCs w:val="16"/>
              </w:rPr>
            </w:pPr>
          </w:p>
        </w:tc>
        <w:tc>
          <w:tcPr>
            <w:tcW w:w="1260" w:type="dxa"/>
            <w:vMerge/>
            <w:tcBorders>
              <w:top w:val="nil"/>
              <w:left w:val="single" w:sz="4" w:space="0" w:color="auto"/>
              <w:bottom w:val="single" w:sz="4" w:space="0" w:color="auto"/>
              <w:right w:val="single" w:sz="8" w:space="0" w:color="auto"/>
            </w:tcBorders>
            <w:vAlign w:val="center"/>
            <w:hideMark/>
          </w:tcPr>
          <w:p w14:paraId="1C852E11" w14:textId="77777777" w:rsidR="00E70AAD" w:rsidRPr="00F3039A" w:rsidRDefault="00E70AAD" w:rsidP="009314C9">
            <w:pPr>
              <w:jc w:val="center"/>
              <w:rPr>
                <w:rFonts w:ascii="Arial" w:hAnsi="Arial" w:cs="Arial"/>
                <w:i/>
                <w:iCs/>
                <w:color w:val="000000"/>
                <w:sz w:val="16"/>
                <w:szCs w:val="16"/>
              </w:rPr>
            </w:pPr>
          </w:p>
        </w:tc>
        <w:tc>
          <w:tcPr>
            <w:tcW w:w="1260" w:type="dxa"/>
            <w:vMerge/>
            <w:tcBorders>
              <w:top w:val="nil"/>
              <w:left w:val="nil"/>
              <w:bottom w:val="dashed" w:sz="4" w:space="0" w:color="auto"/>
              <w:right w:val="dashed" w:sz="4" w:space="0" w:color="auto"/>
            </w:tcBorders>
            <w:vAlign w:val="center"/>
            <w:hideMark/>
          </w:tcPr>
          <w:p w14:paraId="3C4506E3" w14:textId="77777777" w:rsidR="00E70AAD" w:rsidRPr="00F3039A" w:rsidRDefault="00E70AAD" w:rsidP="009314C9">
            <w:pPr>
              <w:rPr>
                <w:rFonts w:ascii="Arial" w:hAnsi="Arial" w:cs="Arial"/>
                <w:i/>
                <w:iCs/>
                <w:color w:val="000000"/>
                <w:sz w:val="18"/>
                <w:szCs w:val="18"/>
              </w:rPr>
            </w:pPr>
          </w:p>
        </w:tc>
        <w:tc>
          <w:tcPr>
            <w:tcW w:w="1346" w:type="dxa"/>
            <w:vMerge/>
            <w:tcBorders>
              <w:top w:val="nil"/>
              <w:left w:val="dashed" w:sz="4" w:space="0" w:color="auto"/>
              <w:bottom w:val="dashed" w:sz="4" w:space="0" w:color="auto"/>
              <w:right w:val="dashed" w:sz="4" w:space="0" w:color="auto"/>
            </w:tcBorders>
            <w:vAlign w:val="center"/>
            <w:hideMark/>
          </w:tcPr>
          <w:p w14:paraId="3F25FB98" w14:textId="77777777" w:rsidR="00E70AAD" w:rsidRPr="00F3039A" w:rsidRDefault="00E70AAD" w:rsidP="009314C9">
            <w:pPr>
              <w:rPr>
                <w:rFonts w:ascii="Arial" w:hAnsi="Arial" w:cs="Arial"/>
                <w:i/>
                <w:iCs/>
                <w:color w:val="000000"/>
                <w:sz w:val="18"/>
                <w:szCs w:val="18"/>
              </w:rPr>
            </w:pPr>
          </w:p>
        </w:tc>
      </w:tr>
      <w:tr w:rsidR="00E70AAD" w:rsidRPr="00F3039A" w14:paraId="3F8C2490" w14:textId="77777777" w:rsidTr="00970AA9">
        <w:trPr>
          <w:trHeight w:val="300"/>
        </w:trPr>
        <w:tc>
          <w:tcPr>
            <w:tcW w:w="571" w:type="dxa"/>
            <w:vMerge w:val="restart"/>
            <w:tcBorders>
              <w:top w:val="nil"/>
              <w:left w:val="single" w:sz="8" w:space="0" w:color="auto"/>
              <w:bottom w:val="single" w:sz="4" w:space="0" w:color="auto"/>
              <w:right w:val="single" w:sz="4" w:space="0" w:color="auto"/>
            </w:tcBorders>
            <w:shd w:val="clear" w:color="000000" w:fill="E7E6E6"/>
            <w:noWrap/>
            <w:vAlign w:val="center"/>
            <w:hideMark/>
          </w:tcPr>
          <w:p w14:paraId="26A58E80" w14:textId="77777777" w:rsidR="00E70AAD" w:rsidRPr="00F3039A" w:rsidRDefault="00E70AAD" w:rsidP="009314C9">
            <w:pPr>
              <w:jc w:val="center"/>
              <w:rPr>
                <w:rFonts w:ascii="Arial" w:hAnsi="Arial" w:cs="Arial"/>
                <w:i/>
                <w:iCs/>
                <w:color w:val="000000"/>
                <w:sz w:val="18"/>
                <w:szCs w:val="18"/>
              </w:rPr>
            </w:pPr>
            <w:r w:rsidRPr="00F3039A">
              <w:rPr>
                <w:rFonts w:ascii="Arial" w:hAnsi="Arial" w:cs="Arial"/>
                <w:i/>
                <w:iCs/>
                <w:color w:val="000000"/>
                <w:sz w:val="18"/>
                <w:szCs w:val="18"/>
              </w:rPr>
              <w:t> </w:t>
            </w:r>
          </w:p>
        </w:tc>
        <w:tc>
          <w:tcPr>
            <w:tcW w:w="5269" w:type="dxa"/>
            <w:vMerge w:val="restart"/>
            <w:tcBorders>
              <w:top w:val="nil"/>
              <w:left w:val="single" w:sz="4" w:space="0" w:color="auto"/>
              <w:bottom w:val="single" w:sz="4" w:space="0" w:color="auto"/>
              <w:right w:val="single" w:sz="4" w:space="0" w:color="auto"/>
            </w:tcBorders>
            <w:shd w:val="clear" w:color="000000" w:fill="E7E6E6"/>
            <w:vAlign w:val="center"/>
            <w:hideMark/>
          </w:tcPr>
          <w:p w14:paraId="38588BE8" w14:textId="77777777" w:rsidR="00E70AAD" w:rsidRPr="00F3039A" w:rsidRDefault="00E70AAD" w:rsidP="003611CB">
            <w:pPr>
              <w:rPr>
                <w:rFonts w:ascii="Arial" w:hAnsi="Arial" w:cs="Arial"/>
                <w:b/>
                <w:bCs/>
                <w:i/>
                <w:iCs/>
                <w:color w:val="000000"/>
                <w:sz w:val="16"/>
                <w:szCs w:val="16"/>
                <w:lang w:val="en-US"/>
              </w:rPr>
            </w:pPr>
            <w:r w:rsidRPr="00F3039A">
              <w:rPr>
                <w:rFonts w:ascii="Arial" w:hAnsi="Arial" w:cs="Arial"/>
                <w:b/>
                <w:bCs/>
                <w:i/>
                <w:iCs/>
                <w:color w:val="000000"/>
                <w:sz w:val="16"/>
                <w:szCs w:val="16"/>
                <w:lang w:val="en-US"/>
              </w:rPr>
              <w:t>ER 2: Sound governance of the Convention facilitated by enhanced monitoring, knowledge management services and awareness-raising associated with international cooperation mechanisms</w:t>
            </w:r>
          </w:p>
        </w:tc>
        <w:tc>
          <w:tcPr>
            <w:tcW w:w="1260" w:type="dxa"/>
            <w:vMerge w:val="restart"/>
            <w:tcBorders>
              <w:top w:val="nil"/>
              <w:left w:val="single" w:sz="4" w:space="0" w:color="auto"/>
              <w:bottom w:val="single" w:sz="4" w:space="0" w:color="auto"/>
              <w:right w:val="single" w:sz="8" w:space="0" w:color="auto"/>
            </w:tcBorders>
            <w:shd w:val="clear" w:color="000000" w:fill="E7E6E6"/>
            <w:vAlign w:val="center"/>
            <w:hideMark/>
          </w:tcPr>
          <w:p w14:paraId="5E8E5914" w14:textId="77777777" w:rsidR="00E70AAD" w:rsidRPr="00F3039A" w:rsidRDefault="00E70AAD" w:rsidP="009314C9">
            <w:pPr>
              <w:jc w:val="center"/>
              <w:rPr>
                <w:rFonts w:ascii="Arial" w:hAnsi="Arial" w:cs="Arial"/>
                <w:i/>
                <w:iCs/>
                <w:color w:val="000000"/>
                <w:sz w:val="16"/>
                <w:szCs w:val="16"/>
              </w:rPr>
            </w:pPr>
            <w:r w:rsidRPr="00F3039A">
              <w:rPr>
                <w:rFonts w:ascii="Arial" w:hAnsi="Arial" w:cs="Arial"/>
                <w:i/>
                <w:iCs/>
                <w:color w:val="000000"/>
                <w:sz w:val="16"/>
                <w:szCs w:val="16"/>
              </w:rPr>
              <w:t>9.6%</w:t>
            </w:r>
          </w:p>
        </w:tc>
        <w:tc>
          <w:tcPr>
            <w:tcW w:w="1260" w:type="dxa"/>
            <w:vMerge w:val="restart"/>
            <w:tcBorders>
              <w:top w:val="nil"/>
              <w:left w:val="nil"/>
              <w:bottom w:val="dashed" w:sz="4" w:space="0" w:color="auto"/>
              <w:right w:val="dashed" w:sz="4" w:space="0" w:color="auto"/>
            </w:tcBorders>
            <w:shd w:val="clear" w:color="000000" w:fill="E7E6E6"/>
            <w:vAlign w:val="center"/>
            <w:hideMark/>
          </w:tcPr>
          <w:p w14:paraId="15FC396C" w14:textId="77777777" w:rsidR="00E70AAD" w:rsidRPr="00F3039A" w:rsidRDefault="00E70AAD" w:rsidP="009314C9">
            <w:pPr>
              <w:jc w:val="center"/>
              <w:rPr>
                <w:rFonts w:ascii="Arial" w:hAnsi="Arial" w:cs="Arial"/>
                <w:i/>
                <w:iCs/>
                <w:color w:val="000000"/>
                <w:sz w:val="18"/>
                <w:szCs w:val="18"/>
              </w:rPr>
            </w:pPr>
            <w:r w:rsidRPr="00F3039A">
              <w:rPr>
                <w:rFonts w:ascii="Arial" w:hAnsi="Arial" w:cs="Arial"/>
                <w:i/>
                <w:iCs/>
                <w:color w:val="000000"/>
                <w:sz w:val="18"/>
                <w:szCs w:val="18"/>
              </w:rPr>
              <w:t>$786 199</w:t>
            </w:r>
          </w:p>
        </w:tc>
        <w:tc>
          <w:tcPr>
            <w:tcW w:w="1346" w:type="dxa"/>
            <w:vMerge w:val="restart"/>
            <w:tcBorders>
              <w:top w:val="nil"/>
              <w:left w:val="dashed" w:sz="4" w:space="0" w:color="auto"/>
              <w:bottom w:val="dashed" w:sz="4" w:space="0" w:color="auto"/>
              <w:right w:val="dashed" w:sz="4" w:space="0" w:color="auto"/>
            </w:tcBorders>
            <w:shd w:val="clear" w:color="000000" w:fill="E7E6E6"/>
            <w:vAlign w:val="center"/>
            <w:hideMark/>
          </w:tcPr>
          <w:p w14:paraId="08339FF5" w14:textId="77777777" w:rsidR="00E70AAD" w:rsidRPr="00F3039A" w:rsidRDefault="00E70AAD" w:rsidP="009314C9">
            <w:pPr>
              <w:jc w:val="center"/>
              <w:rPr>
                <w:rFonts w:ascii="Arial" w:hAnsi="Arial" w:cs="Arial"/>
                <w:i/>
                <w:iCs/>
                <w:color w:val="000000"/>
                <w:sz w:val="18"/>
                <w:szCs w:val="18"/>
              </w:rPr>
            </w:pPr>
            <w:r w:rsidRPr="00F3039A">
              <w:rPr>
                <w:rFonts w:ascii="Arial" w:hAnsi="Arial" w:cs="Arial"/>
                <w:i/>
                <w:iCs/>
                <w:color w:val="000000"/>
                <w:sz w:val="18"/>
                <w:szCs w:val="18"/>
              </w:rPr>
              <w:t>$196 550</w:t>
            </w:r>
          </w:p>
        </w:tc>
      </w:tr>
      <w:tr w:rsidR="00E70AAD" w:rsidRPr="00F3039A" w14:paraId="6BF12A62" w14:textId="77777777" w:rsidTr="00F0628D">
        <w:trPr>
          <w:trHeight w:val="300"/>
        </w:trPr>
        <w:tc>
          <w:tcPr>
            <w:tcW w:w="571" w:type="dxa"/>
            <w:vMerge/>
            <w:tcBorders>
              <w:top w:val="nil"/>
              <w:left w:val="single" w:sz="8" w:space="0" w:color="auto"/>
              <w:bottom w:val="single" w:sz="4" w:space="0" w:color="auto"/>
              <w:right w:val="single" w:sz="4" w:space="0" w:color="auto"/>
            </w:tcBorders>
            <w:vAlign w:val="center"/>
            <w:hideMark/>
          </w:tcPr>
          <w:p w14:paraId="7E6388BE" w14:textId="77777777" w:rsidR="00E70AAD" w:rsidRPr="00F3039A" w:rsidRDefault="00E70AAD" w:rsidP="009314C9">
            <w:pPr>
              <w:rPr>
                <w:rFonts w:ascii="Arial" w:hAnsi="Arial" w:cs="Arial"/>
                <w:i/>
                <w:iCs/>
                <w:color w:val="000000"/>
                <w:sz w:val="18"/>
                <w:szCs w:val="18"/>
              </w:rPr>
            </w:pPr>
          </w:p>
        </w:tc>
        <w:tc>
          <w:tcPr>
            <w:tcW w:w="5269" w:type="dxa"/>
            <w:vMerge/>
            <w:tcBorders>
              <w:top w:val="nil"/>
              <w:left w:val="single" w:sz="4" w:space="0" w:color="auto"/>
              <w:bottom w:val="single" w:sz="4" w:space="0" w:color="auto"/>
              <w:right w:val="single" w:sz="4" w:space="0" w:color="auto"/>
            </w:tcBorders>
            <w:vAlign w:val="center"/>
            <w:hideMark/>
          </w:tcPr>
          <w:p w14:paraId="4B81D875" w14:textId="77777777" w:rsidR="00E70AAD" w:rsidRPr="00F3039A" w:rsidRDefault="00E70AAD" w:rsidP="009314C9">
            <w:pPr>
              <w:rPr>
                <w:rFonts w:ascii="Arial" w:hAnsi="Arial" w:cs="Arial"/>
                <w:b/>
                <w:bCs/>
                <w:i/>
                <w:iCs/>
                <w:color w:val="000000"/>
                <w:sz w:val="16"/>
                <w:szCs w:val="16"/>
              </w:rPr>
            </w:pPr>
          </w:p>
        </w:tc>
        <w:tc>
          <w:tcPr>
            <w:tcW w:w="1260" w:type="dxa"/>
            <w:vMerge/>
            <w:tcBorders>
              <w:top w:val="nil"/>
              <w:left w:val="single" w:sz="4" w:space="0" w:color="auto"/>
              <w:bottom w:val="single" w:sz="4" w:space="0" w:color="auto"/>
              <w:right w:val="single" w:sz="8" w:space="0" w:color="auto"/>
            </w:tcBorders>
            <w:vAlign w:val="center"/>
            <w:hideMark/>
          </w:tcPr>
          <w:p w14:paraId="48338FF2" w14:textId="77777777" w:rsidR="00E70AAD" w:rsidRPr="00F3039A" w:rsidRDefault="00E70AAD" w:rsidP="009314C9">
            <w:pPr>
              <w:jc w:val="center"/>
              <w:rPr>
                <w:rFonts w:ascii="Arial" w:hAnsi="Arial" w:cs="Arial"/>
                <w:i/>
                <w:iCs/>
                <w:color w:val="000000"/>
                <w:sz w:val="16"/>
                <w:szCs w:val="16"/>
              </w:rPr>
            </w:pPr>
          </w:p>
        </w:tc>
        <w:tc>
          <w:tcPr>
            <w:tcW w:w="1260" w:type="dxa"/>
            <w:vMerge/>
            <w:tcBorders>
              <w:top w:val="nil"/>
              <w:left w:val="nil"/>
              <w:bottom w:val="dashed" w:sz="4" w:space="0" w:color="auto"/>
              <w:right w:val="dashed" w:sz="4" w:space="0" w:color="auto"/>
            </w:tcBorders>
            <w:vAlign w:val="center"/>
            <w:hideMark/>
          </w:tcPr>
          <w:p w14:paraId="7D261DCA" w14:textId="77777777" w:rsidR="00E70AAD" w:rsidRPr="00F3039A" w:rsidRDefault="00E70AAD" w:rsidP="009314C9">
            <w:pPr>
              <w:rPr>
                <w:rFonts w:ascii="Arial" w:hAnsi="Arial" w:cs="Arial"/>
                <w:i/>
                <w:iCs/>
                <w:color w:val="000000"/>
                <w:sz w:val="18"/>
                <w:szCs w:val="18"/>
              </w:rPr>
            </w:pPr>
          </w:p>
        </w:tc>
        <w:tc>
          <w:tcPr>
            <w:tcW w:w="1346" w:type="dxa"/>
            <w:vMerge/>
            <w:tcBorders>
              <w:top w:val="nil"/>
              <w:left w:val="dashed" w:sz="4" w:space="0" w:color="auto"/>
              <w:bottom w:val="dashed" w:sz="4" w:space="0" w:color="auto"/>
              <w:right w:val="dashed" w:sz="4" w:space="0" w:color="auto"/>
            </w:tcBorders>
            <w:vAlign w:val="center"/>
            <w:hideMark/>
          </w:tcPr>
          <w:p w14:paraId="3A51B748" w14:textId="77777777" w:rsidR="00E70AAD" w:rsidRPr="00F3039A" w:rsidRDefault="00E70AAD" w:rsidP="009314C9">
            <w:pPr>
              <w:rPr>
                <w:rFonts w:ascii="Arial" w:hAnsi="Arial" w:cs="Arial"/>
                <w:i/>
                <w:iCs/>
                <w:color w:val="000000"/>
                <w:sz w:val="18"/>
                <w:szCs w:val="18"/>
              </w:rPr>
            </w:pPr>
          </w:p>
        </w:tc>
      </w:tr>
      <w:tr w:rsidR="00E70AAD" w:rsidRPr="00F3039A" w14:paraId="15E39B74" w14:textId="77777777" w:rsidTr="00F0628D">
        <w:trPr>
          <w:trHeight w:val="300"/>
        </w:trPr>
        <w:tc>
          <w:tcPr>
            <w:tcW w:w="571" w:type="dxa"/>
            <w:vMerge/>
            <w:tcBorders>
              <w:top w:val="nil"/>
              <w:left w:val="single" w:sz="8" w:space="0" w:color="auto"/>
              <w:bottom w:val="single" w:sz="4" w:space="0" w:color="auto"/>
              <w:right w:val="single" w:sz="4" w:space="0" w:color="auto"/>
            </w:tcBorders>
            <w:vAlign w:val="center"/>
            <w:hideMark/>
          </w:tcPr>
          <w:p w14:paraId="1DF3DAA7" w14:textId="77777777" w:rsidR="00E70AAD" w:rsidRPr="00F3039A" w:rsidRDefault="00E70AAD" w:rsidP="009314C9">
            <w:pPr>
              <w:rPr>
                <w:rFonts w:ascii="Arial" w:hAnsi="Arial" w:cs="Arial"/>
                <w:i/>
                <w:iCs/>
                <w:color w:val="000000"/>
                <w:sz w:val="18"/>
                <w:szCs w:val="18"/>
              </w:rPr>
            </w:pPr>
          </w:p>
        </w:tc>
        <w:tc>
          <w:tcPr>
            <w:tcW w:w="5269" w:type="dxa"/>
            <w:vMerge/>
            <w:tcBorders>
              <w:top w:val="nil"/>
              <w:left w:val="single" w:sz="4" w:space="0" w:color="auto"/>
              <w:bottom w:val="single" w:sz="4" w:space="0" w:color="auto"/>
              <w:right w:val="single" w:sz="4" w:space="0" w:color="auto"/>
            </w:tcBorders>
            <w:vAlign w:val="center"/>
            <w:hideMark/>
          </w:tcPr>
          <w:p w14:paraId="2F18059F" w14:textId="77777777" w:rsidR="00E70AAD" w:rsidRPr="00F3039A" w:rsidRDefault="00E70AAD" w:rsidP="009314C9">
            <w:pPr>
              <w:rPr>
                <w:rFonts w:ascii="Arial" w:hAnsi="Arial" w:cs="Arial"/>
                <w:b/>
                <w:bCs/>
                <w:i/>
                <w:iCs/>
                <w:color w:val="000000"/>
                <w:sz w:val="16"/>
                <w:szCs w:val="16"/>
              </w:rPr>
            </w:pPr>
          </w:p>
        </w:tc>
        <w:tc>
          <w:tcPr>
            <w:tcW w:w="1260" w:type="dxa"/>
            <w:vMerge w:val="restart"/>
            <w:tcBorders>
              <w:top w:val="nil"/>
              <w:left w:val="single" w:sz="4" w:space="0" w:color="auto"/>
              <w:bottom w:val="single" w:sz="4" w:space="0" w:color="auto"/>
              <w:right w:val="single" w:sz="8" w:space="0" w:color="auto"/>
            </w:tcBorders>
            <w:shd w:val="clear" w:color="000000" w:fill="E7E6E6"/>
            <w:vAlign w:val="center"/>
            <w:hideMark/>
          </w:tcPr>
          <w:p w14:paraId="5713E9C0" w14:textId="77777777" w:rsidR="00E70AAD" w:rsidRPr="00F3039A" w:rsidRDefault="00E70AAD" w:rsidP="009314C9">
            <w:pPr>
              <w:jc w:val="center"/>
              <w:rPr>
                <w:rFonts w:ascii="Arial" w:hAnsi="Arial" w:cs="Arial"/>
                <w:i/>
                <w:iCs/>
                <w:color w:val="000000"/>
                <w:sz w:val="16"/>
                <w:szCs w:val="16"/>
              </w:rPr>
            </w:pPr>
            <w:r w:rsidRPr="00F3039A">
              <w:rPr>
                <w:rFonts w:ascii="Arial" w:hAnsi="Arial" w:cs="Arial"/>
                <w:i/>
                <w:iCs/>
                <w:color w:val="000000"/>
                <w:sz w:val="16"/>
                <w:szCs w:val="16"/>
              </w:rPr>
              <w:t>(48% of line 3)</w:t>
            </w:r>
          </w:p>
        </w:tc>
        <w:tc>
          <w:tcPr>
            <w:tcW w:w="1260" w:type="dxa"/>
            <w:vMerge/>
            <w:tcBorders>
              <w:top w:val="nil"/>
              <w:left w:val="nil"/>
              <w:bottom w:val="dashed" w:sz="4" w:space="0" w:color="auto"/>
              <w:right w:val="dashed" w:sz="4" w:space="0" w:color="auto"/>
            </w:tcBorders>
            <w:vAlign w:val="center"/>
            <w:hideMark/>
          </w:tcPr>
          <w:p w14:paraId="31FB4544" w14:textId="77777777" w:rsidR="00E70AAD" w:rsidRPr="00F3039A" w:rsidRDefault="00E70AAD" w:rsidP="009314C9">
            <w:pPr>
              <w:rPr>
                <w:rFonts w:ascii="Arial" w:hAnsi="Arial" w:cs="Arial"/>
                <w:i/>
                <w:iCs/>
                <w:color w:val="000000"/>
                <w:sz w:val="18"/>
                <w:szCs w:val="18"/>
              </w:rPr>
            </w:pPr>
          </w:p>
        </w:tc>
        <w:tc>
          <w:tcPr>
            <w:tcW w:w="1346" w:type="dxa"/>
            <w:vMerge/>
            <w:tcBorders>
              <w:top w:val="nil"/>
              <w:left w:val="dashed" w:sz="4" w:space="0" w:color="auto"/>
              <w:bottom w:val="dashed" w:sz="4" w:space="0" w:color="auto"/>
              <w:right w:val="dashed" w:sz="4" w:space="0" w:color="auto"/>
            </w:tcBorders>
            <w:vAlign w:val="center"/>
            <w:hideMark/>
          </w:tcPr>
          <w:p w14:paraId="0F9D055E" w14:textId="77777777" w:rsidR="00E70AAD" w:rsidRPr="00F3039A" w:rsidRDefault="00E70AAD" w:rsidP="009314C9">
            <w:pPr>
              <w:rPr>
                <w:rFonts w:ascii="Arial" w:hAnsi="Arial" w:cs="Arial"/>
                <w:i/>
                <w:iCs/>
                <w:color w:val="000000"/>
                <w:sz w:val="18"/>
                <w:szCs w:val="18"/>
              </w:rPr>
            </w:pPr>
          </w:p>
        </w:tc>
      </w:tr>
      <w:tr w:rsidR="00E70AAD" w:rsidRPr="00F3039A" w14:paraId="0C028A8F" w14:textId="77777777" w:rsidTr="00F0628D">
        <w:trPr>
          <w:trHeight w:val="300"/>
        </w:trPr>
        <w:tc>
          <w:tcPr>
            <w:tcW w:w="571" w:type="dxa"/>
            <w:vMerge/>
            <w:tcBorders>
              <w:top w:val="nil"/>
              <w:left w:val="single" w:sz="8" w:space="0" w:color="auto"/>
              <w:bottom w:val="single" w:sz="4" w:space="0" w:color="auto"/>
              <w:right w:val="single" w:sz="4" w:space="0" w:color="auto"/>
            </w:tcBorders>
            <w:vAlign w:val="center"/>
            <w:hideMark/>
          </w:tcPr>
          <w:p w14:paraId="57CF5C60" w14:textId="77777777" w:rsidR="00E70AAD" w:rsidRPr="00F3039A" w:rsidRDefault="00E70AAD" w:rsidP="009314C9">
            <w:pPr>
              <w:rPr>
                <w:rFonts w:ascii="Arial" w:hAnsi="Arial" w:cs="Arial"/>
                <w:i/>
                <w:iCs/>
                <w:color w:val="000000"/>
                <w:sz w:val="18"/>
                <w:szCs w:val="18"/>
              </w:rPr>
            </w:pPr>
          </w:p>
        </w:tc>
        <w:tc>
          <w:tcPr>
            <w:tcW w:w="5269" w:type="dxa"/>
            <w:vMerge/>
            <w:tcBorders>
              <w:top w:val="nil"/>
              <w:left w:val="single" w:sz="4" w:space="0" w:color="auto"/>
              <w:bottom w:val="single" w:sz="4" w:space="0" w:color="auto"/>
              <w:right w:val="single" w:sz="4" w:space="0" w:color="auto"/>
            </w:tcBorders>
            <w:vAlign w:val="center"/>
            <w:hideMark/>
          </w:tcPr>
          <w:p w14:paraId="4917A14C" w14:textId="77777777" w:rsidR="00E70AAD" w:rsidRPr="00F3039A" w:rsidRDefault="00E70AAD" w:rsidP="009314C9">
            <w:pPr>
              <w:rPr>
                <w:rFonts w:ascii="Arial" w:hAnsi="Arial" w:cs="Arial"/>
                <w:b/>
                <w:bCs/>
                <w:i/>
                <w:iCs/>
                <w:color w:val="000000"/>
                <w:sz w:val="16"/>
                <w:szCs w:val="16"/>
              </w:rPr>
            </w:pPr>
          </w:p>
        </w:tc>
        <w:tc>
          <w:tcPr>
            <w:tcW w:w="1260" w:type="dxa"/>
            <w:vMerge/>
            <w:tcBorders>
              <w:top w:val="nil"/>
              <w:left w:val="single" w:sz="4" w:space="0" w:color="auto"/>
              <w:bottom w:val="single" w:sz="4" w:space="0" w:color="auto"/>
              <w:right w:val="single" w:sz="8" w:space="0" w:color="auto"/>
            </w:tcBorders>
            <w:vAlign w:val="center"/>
            <w:hideMark/>
          </w:tcPr>
          <w:p w14:paraId="7F452C61" w14:textId="77777777" w:rsidR="00E70AAD" w:rsidRPr="00F3039A" w:rsidRDefault="00E70AAD" w:rsidP="009314C9">
            <w:pPr>
              <w:rPr>
                <w:rFonts w:ascii="Arial" w:hAnsi="Arial" w:cs="Arial"/>
                <w:i/>
                <w:iCs/>
                <w:color w:val="000000"/>
                <w:sz w:val="16"/>
                <w:szCs w:val="16"/>
              </w:rPr>
            </w:pPr>
          </w:p>
        </w:tc>
        <w:tc>
          <w:tcPr>
            <w:tcW w:w="1260" w:type="dxa"/>
            <w:vMerge/>
            <w:tcBorders>
              <w:top w:val="nil"/>
              <w:left w:val="nil"/>
              <w:bottom w:val="dashed" w:sz="4" w:space="0" w:color="auto"/>
              <w:right w:val="dashed" w:sz="4" w:space="0" w:color="auto"/>
            </w:tcBorders>
            <w:vAlign w:val="center"/>
            <w:hideMark/>
          </w:tcPr>
          <w:p w14:paraId="1BC47B1A" w14:textId="77777777" w:rsidR="00E70AAD" w:rsidRPr="00F3039A" w:rsidRDefault="00E70AAD" w:rsidP="009314C9">
            <w:pPr>
              <w:rPr>
                <w:rFonts w:ascii="Arial" w:hAnsi="Arial" w:cs="Arial"/>
                <w:i/>
                <w:iCs/>
                <w:color w:val="000000"/>
                <w:sz w:val="18"/>
                <w:szCs w:val="18"/>
              </w:rPr>
            </w:pPr>
          </w:p>
        </w:tc>
        <w:tc>
          <w:tcPr>
            <w:tcW w:w="1346" w:type="dxa"/>
            <w:vMerge/>
            <w:tcBorders>
              <w:top w:val="nil"/>
              <w:left w:val="dashed" w:sz="4" w:space="0" w:color="auto"/>
              <w:bottom w:val="dashed" w:sz="4" w:space="0" w:color="auto"/>
              <w:right w:val="dashed" w:sz="4" w:space="0" w:color="auto"/>
            </w:tcBorders>
            <w:vAlign w:val="center"/>
            <w:hideMark/>
          </w:tcPr>
          <w:p w14:paraId="5BB363A5" w14:textId="77777777" w:rsidR="00E70AAD" w:rsidRPr="00F3039A" w:rsidRDefault="00E70AAD" w:rsidP="009314C9">
            <w:pPr>
              <w:rPr>
                <w:rFonts w:ascii="Arial" w:hAnsi="Arial" w:cs="Arial"/>
                <w:i/>
                <w:iCs/>
                <w:color w:val="000000"/>
                <w:sz w:val="18"/>
                <w:szCs w:val="18"/>
              </w:rPr>
            </w:pPr>
          </w:p>
        </w:tc>
      </w:tr>
      <w:tr w:rsidR="00E70AAD" w:rsidRPr="00F3039A" w14:paraId="29CA410B" w14:textId="77777777" w:rsidTr="00F0628D">
        <w:trPr>
          <w:trHeight w:val="1263"/>
        </w:trPr>
        <w:tc>
          <w:tcPr>
            <w:tcW w:w="571" w:type="dxa"/>
            <w:tcBorders>
              <w:top w:val="nil"/>
              <w:left w:val="single" w:sz="8" w:space="0" w:color="auto"/>
              <w:bottom w:val="single" w:sz="4" w:space="0" w:color="auto"/>
              <w:right w:val="single" w:sz="4" w:space="0" w:color="auto"/>
            </w:tcBorders>
            <w:shd w:val="clear" w:color="auto" w:fill="auto"/>
            <w:noWrap/>
            <w:vAlign w:val="center"/>
            <w:hideMark/>
          </w:tcPr>
          <w:p w14:paraId="588A4CB7" w14:textId="77777777" w:rsidR="00E70AAD" w:rsidRPr="00F3039A" w:rsidRDefault="00E70AAD" w:rsidP="009314C9">
            <w:pPr>
              <w:ind w:firstLineChars="100" w:firstLine="180"/>
              <w:rPr>
                <w:rFonts w:ascii="Arial" w:hAnsi="Arial" w:cs="Arial"/>
                <w:color w:val="000000"/>
                <w:sz w:val="18"/>
                <w:szCs w:val="18"/>
              </w:rPr>
            </w:pPr>
            <w:r w:rsidRPr="00F3039A">
              <w:rPr>
                <w:rFonts w:ascii="Arial" w:hAnsi="Arial" w:cs="Arial"/>
                <w:color w:val="000000"/>
                <w:sz w:val="18"/>
                <w:szCs w:val="18"/>
              </w:rPr>
              <w:t>4.</w:t>
            </w:r>
          </w:p>
        </w:tc>
        <w:tc>
          <w:tcPr>
            <w:tcW w:w="5269" w:type="dxa"/>
            <w:tcBorders>
              <w:top w:val="nil"/>
              <w:left w:val="nil"/>
              <w:bottom w:val="single" w:sz="4" w:space="0" w:color="auto"/>
              <w:right w:val="single" w:sz="4" w:space="0" w:color="auto"/>
            </w:tcBorders>
            <w:shd w:val="clear" w:color="auto" w:fill="auto"/>
            <w:vAlign w:val="center"/>
            <w:hideMark/>
          </w:tcPr>
          <w:p w14:paraId="4CADEE3C" w14:textId="77777777" w:rsidR="00E70AAD" w:rsidRPr="00F3039A" w:rsidRDefault="00E70AAD" w:rsidP="009314C9">
            <w:pPr>
              <w:rPr>
                <w:rFonts w:ascii="Arial" w:hAnsi="Arial" w:cs="Arial"/>
                <w:color w:val="000000"/>
                <w:sz w:val="18"/>
                <w:szCs w:val="18"/>
                <w:lang w:val="en-US"/>
              </w:rPr>
            </w:pPr>
            <w:r w:rsidRPr="00F3039A">
              <w:rPr>
                <w:rFonts w:ascii="Arial" w:hAnsi="Arial" w:cs="Arial"/>
                <w:color w:val="000000"/>
                <w:sz w:val="18"/>
                <w:szCs w:val="18"/>
                <w:lang w:val="en-US"/>
              </w:rPr>
              <w:t>Participation in the sessions of the Committee, its Bureau and subsidiary bodies of experts in intangible cultural heritage representing developing States that are Members of the Committee;</w:t>
            </w:r>
          </w:p>
        </w:tc>
        <w:tc>
          <w:tcPr>
            <w:tcW w:w="1260" w:type="dxa"/>
            <w:tcBorders>
              <w:top w:val="nil"/>
              <w:left w:val="nil"/>
              <w:bottom w:val="single" w:sz="4" w:space="0" w:color="auto"/>
              <w:right w:val="single" w:sz="8" w:space="0" w:color="auto"/>
            </w:tcBorders>
            <w:shd w:val="clear" w:color="auto" w:fill="auto"/>
            <w:vAlign w:val="center"/>
            <w:hideMark/>
          </w:tcPr>
          <w:p w14:paraId="5D5B8DDF" w14:textId="77777777" w:rsidR="00E70AAD" w:rsidRPr="00F3039A" w:rsidRDefault="00E70AAD" w:rsidP="009314C9">
            <w:pPr>
              <w:jc w:val="center"/>
              <w:rPr>
                <w:rFonts w:ascii="Arial" w:hAnsi="Arial" w:cs="Arial"/>
                <w:color w:val="000000"/>
                <w:sz w:val="18"/>
                <w:szCs w:val="18"/>
              </w:rPr>
            </w:pPr>
            <w:r w:rsidRPr="00F3039A">
              <w:rPr>
                <w:rFonts w:ascii="Arial" w:hAnsi="Arial" w:cs="Arial"/>
                <w:color w:val="000000"/>
                <w:sz w:val="18"/>
                <w:szCs w:val="18"/>
              </w:rPr>
              <w:t>2,50%</w:t>
            </w:r>
          </w:p>
        </w:tc>
        <w:tc>
          <w:tcPr>
            <w:tcW w:w="1260" w:type="dxa"/>
            <w:tcBorders>
              <w:top w:val="nil"/>
              <w:left w:val="nil"/>
              <w:bottom w:val="dashed" w:sz="4" w:space="0" w:color="auto"/>
              <w:right w:val="dashed" w:sz="4" w:space="0" w:color="auto"/>
            </w:tcBorders>
            <w:shd w:val="clear" w:color="auto" w:fill="auto"/>
            <w:vAlign w:val="center"/>
            <w:hideMark/>
          </w:tcPr>
          <w:p w14:paraId="1C5E8772" w14:textId="77777777" w:rsidR="00E70AAD" w:rsidRPr="00F3039A" w:rsidRDefault="00E70AAD" w:rsidP="009314C9">
            <w:pPr>
              <w:jc w:val="center"/>
              <w:rPr>
                <w:rFonts w:ascii="Arial" w:hAnsi="Arial" w:cs="Arial"/>
                <w:i/>
                <w:iCs/>
                <w:color w:val="000000"/>
                <w:sz w:val="18"/>
                <w:szCs w:val="18"/>
              </w:rPr>
            </w:pPr>
            <w:r w:rsidRPr="00F3039A">
              <w:rPr>
                <w:rFonts w:ascii="Arial" w:hAnsi="Arial" w:cs="Arial"/>
                <w:i/>
                <w:iCs/>
                <w:color w:val="000000"/>
                <w:sz w:val="18"/>
                <w:szCs w:val="18"/>
              </w:rPr>
              <w:t>$204 739</w:t>
            </w:r>
          </w:p>
        </w:tc>
        <w:tc>
          <w:tcPr>
            <w:tcW w:w="1346" w:type="dxa"/>
            <w:tcBorders>
              <w:top w:val="nil"/>
              <w:left w:val="nil"/>
              <w:bottom w:val="dashed" w:sz="4" w:space="0" w:color="auto"/>
              <w:right w:val="dashed" w:sz="4" w:space="0" w:color="auto"/>
            </w:tcBorders>
            <w:shd w:val="clear" w:color="auto" w:fill="auto"/>
            <w:vAlign w:val="center"/>
            <w:hideMark/>
          </w:tcPr>
          <w:p w14:paraId="717ED550" w14:textId="77777777" w:rsidR="00E70AAD" w:rsidRPr="00F3039A" w:rsidRDefault="00E70AAD" w:rsidP="009314C9">
            <w:pPr>
              <w:jc w:val="center"/>
              <w:rPr>
                <w:rFonts w:ascii="Arial" w:hAnsi="Arial" w:cs="Arial"/>
                <w:i/>
                <w:iCs/>
                <w:color w:val="000000"/>
                <w:sz w:val="18"/>
                <w:szCs w:val="18"/>
              </w:rPr>
            </w:pPr>
            <w:r w:rsidRPr="00F3039A">
              <w:rPr>
                <w:rFonts w:ascii="Arial" w:hAnsi="Arial" w:cs="Arial"/>
                <w:i/>
                <w:iCs/>
                <w:color w:val="000000"/>
                <w:sz w:val="18"/>
                <w:szCs w:val="18"/>
              </w:rPr>
              <w:t>$51 185</w:t>
            </w:r>
          </w:p>
        </w:tc>
      </w:tr>
      <w:tr w:rsidR="00E70AAD" w:rsidRPr="00F3039A" w14:paraId="61D43520" w14:textId="77777777" w:rsidTr="00F0628D">
        <w:trPr>
          <w:trHeight w:val="1248"/>
        </w:trPr>
        <w:tc>
          <w:tcPr>
            <w:tcW w:w="571" w:type="dxa"/>
            <w:tcBorders>
              <w:top w:val="nil"/>
              <w:left w:val="single" w:sz="8" w:space="0" w:color="auto"/>
              <w:bottom w:val="single" w:sz="4" w:space="0" w:color="auto"/>
              <w:right w:val="single" w:sz="4" w:space="0" w:color="auto"/>
            </w:tcBorders>
            <w:shd w:val="clear" w:color="auto" w:fill="auto"/>
            <w:noWrap/>
            <w:vAlign w:val="center"/>
            <w:hideMark/>
          </w:tcPr>
          <w:p w14:paraId="4F2E1AE3" w14:textId="77777777" w:rsidR="00E70AAD" w:rsidRPr="00F3039A" w:rsidRDefault="00E70AAD" w:rsidP="009314C9">
            <w:pPr>
              <w:ind w:firstLineChars="100" w:firstLine="180"/>
              <w:rPr>
                <w:rFonts w:ascii="Arial" w:hAnsi="Arial" w:cs="Arial"/>
                <w:color w:val="000000"/>
                <w:sz w:val="18"/>
                <w:szCs w:val="18"/>
              </w:rPr>
            </w:pPr>
            <w:r w:rsidRPr="00F3039A">
              <w:rPr>
                <w:rFonts w:ascii="Arial" w:hAnsi="Arial" w:cs="Arial"/>
                <w:color w:val="000000"/>
                <w:sz w:val="18"/>
                <w:szCs w:val="18"/>
              </w:rPr>
              <w:t>5.</w:t>
            </w:r>
          </w:p>
        </w:tc>
        <w:tc>
          <w:tcPr>
            <w:tcW w:w="5269" w:type="dxa"/>
            <w:tcBorders>
              <w:top w:val="nil"/>
              <w:left w:val="nil"/>
              <w:bottom w:val="single" w:sz="4" w:space="0" w:color="auto"/>
              <w:right w:val="single" w:sz="4" w:space="0" w:color="auto"/>
            </w:tcBorders>
            <w:shd w:val="clear" w:color="auto" w:fill="auto"/>
            <w:vAlign w:val="center"/>
            <w:hideMark/>
          </w:tcPr>
          <w:p w14:paraId="36CA52C7" w14:textId="77777777" w:rsidR="00E70AAD" w:rsidRPr="00F3039A" w:rsidRDefault="00E70AAD" w:rsidP="009314C9">
            <w:pPr>
              <w:rPr>
                <w:rFonts w:ascii="Arial" w:hAnsi="Arial" w:cs="Arial"/>
                <w:color w:val="000000"/>
                <w:sz w:val="18"/>
                <w:szCs w:val="18"/>
                <w:lang w:val="en-US"/>
              </w:rPr>
            </w:pPr>
            <w:r w:rsidRPr="00F3039A">
              <w:rPr>
                <w:rFonts w:ascii="Arial" w:hAnsi="Arial" w:cs="Arial"/>
                <w:color w:val="000000"/>
                <w:sz w:val="18"/>
                <w:szCs w:val="18"/>
                <w:lang w:val="en-US"/>
              </w:rPr>
              <w:t>Participation in the sessions of the Committee and its consultative bodies of experts in intangible cultural heritage representing developing States that are Parties to the Convention but not Members of the Committee;</w:t>
            </w:r>
          </w:p>
        </w:tc>
        <w:tc>
          <w:tcPr>
            <w:tcW w:w="1260" w:type="dxa"/>
            <w:tcBorders>
              <w:top w:val="nil"/>
              <w:left w:val="nil"/>
              <w:bottom w:val="single" w:sz="4" w:space="0" w:color="auto"/>
              <w:right w:val="single" w:sz="8" w:space="0" w:color="auto"/>
            </w:tcBorders>
            <w:shd w:val="clear" w:color="auto" w:fill="auto"/>
            <w:vAlign w:val="center"/>
            <w:hideMark/>
          </w:tcPr>
          <w:p w14:paraId="5F3CD682" w14:textId="77777777" w:rsidR="00E70AAD" w:rsidRPr="00F3039A" w:rsidRDefault="00E70AAD" w:rsidP="009314C9">
            <w:pPr>
              <w:jc w:val="center"/>
              <w:rPr>
                <w:rFonts w:ascii="Arial" w:hAnsi="Arial" w:cs="Arial"/>
                <w:color w:val="000000"/>
                <w:sz w:val="18"/>
                <w:szCs w:val="18"/>
              </w:rPr>
            </w:pPr>
            <w:r w:rsidRPr="00F3039A">
              <w:rPr>
                <w:rFonts w:ascii="Arial" w:hAnsi="Arial" w:cs="Arial"/>
                <w:color w:val="000000"/>
                <w:sz w:val="18"/>
                <w:szCs w:val="18"/>
              </w:rPr>
              <w:t>2,70%</w:t>
            </w:r>
          </w:p>
        </w:tc>
        <w:tc>
          <w:tcPr>
            <w:tcW w:w="1260" w:type="dxa"/>
            <w:tcBorders>
              <w:top w:val="nil"/>
              <w:left w:val="nil"/>
              <w:bottom w:val="dashed" w:sz="4" w:space="0" w:color="auto"/>
              <w:right w:val="dashed" w:sz="4" w:space="0" w:color="auto"/>
            </w:tcBorders>
            <w:shd w:val="clear" w:color="auto" w:fill="auto"/>
            <w:vAlign w:val="center"/>
            <w:hideMark/>
          </w:tcPr>
          <w:p w14:paraId="3BFE13D1" w14:textId="77777777" w:rsidR="00E70AAD" w:rsidRPr="00F3039A" w:rsidRDefault="00E70AAD" w:rsidP="009314C9">
            <w:pPr>
              <w:jc w:val="center"/>
              <w:rPr>
                <w:rFonts w:ascii="Arial" w:hAnsi="Arial" w:cs="Arial"/>
                <w:i/>
                <w:iCs/>
                <w:color w:val="000000"/>
                <w:sz w:val="18"/>
                <w:szCs w:val="18"/>
              </w:rPr>
            </w:pPr>
            <w:r w:rsidRPr="00F3039A">
              <w:rPr>
                <w:rFonts w:ascii="Arial" w:hAnsi="Arial" w:cs="Arial"/>
                <w:i/>
                <w:iCs/>
                <w:color w:val="000000"/>
                <w:sz w:val="18"/>
                <w:szCs w:val="18"/>
              </w:rPr>
              <w:t>$221 119</w:t>
            </w:r>
          </w:p>
        </w:tc>
        <w:tc>
          <w:tcPr>
            <w:tcW w:w="1346" w:type="dxa"/>
            <w:tcBorders>
              <w:top w:val="nil"/>
              <w:left w:val="nil"/>
              <w:bottom w:val="dashed" w:sz="4" w:space="0" w:color="auto"/>
              <w:right w:val="dashed" w:sz="4" w:space="0" w:color="auto"/>
            </w:tcBorders>
            <w:shd w:val="clear" w:color="auto" w:fill="auto"/>
            <w:vAlign w:val="center"/>
            <w:hideMark/>
          </w:tcPr>
          <w:p w14:paraId="1D4B038F" w14:textId="77777777" w:rsidR="00E70AAD" w:rsidRPr="00F3039A" w:rsidRDefault="00E70AAD" w:rsidP="009314C9">
            <w:pPr>
              <w:jc w:val="center"/>
              <w:rPr>
                <w:rFonts w:ascii="Arial" w:hAnsi="Arial" w:cs="Arial"/>
                <w:i/>
                <w:iCs/>
                <w:color w:val="000000"/>
                <w:sz w:val="18"/>
                <w:szCs w:val="18"/>
              </w:rPr>
            </w:pPr>
            <w:r w:rsidRPr="00F3039A">
              <w:rPr>
                <w:rFonts w:ascii="Arial" w:hAnsi="Arial" w:cs="Arial"/>
                <w:i/>
                <w:iCs/>
                <w:color w:val="000000"/>
                <w:sz w:val="18"/>
                <w:szCs w:val="18"/>
              </w:rPr>
              <w:t>$55 280</w:t>
            </w:r>
          </w:p>
        </w:tc>
      </w:tr>
      <w:tr w:rsidR="00E70AAD" w:rsidRPr="00F3039A" w14:paraId="2290B8BC" w14:textId="77777777" w:rsidTr="00F0628D">
        <w:trPr>
          <w:trHeight w:val="1925"/>
        </w:trPr>
        <w:tc>
          <w:tcPr>
            <w:tcW w:w="571" w:type="dxa"/>
            <w:tcBorders>
              <w:top w:val="nil"/>
              <w:left w:val="single" w:sz="8" w:space="0" w:color="auto"/>
              <w:bottom w:val="single" w:sz="4" w:space="0" w:color="auto"/>
              <w:right w:val="single" w:sz="4" w:space="0" w:color="auto"/>
            </w:tcBorders>
            <w:shd w:val="clear" w:color="auto" w:fill="auto"/>
            <w:noWrap/>
            <w:vAlign w:val="center"/>
            <w:hideMark/>
          </w:tcPr>
          <w:p w14:paraId="250704F6" w14:textId="77777777" w:rsidR="00E70AAD" w:rsidRPr="00F3039A" w:rsidRDefault="00E70AAD" w:rsidP="009314C9">
            <w:pPr>
              <w:ind w:firstLineChars="100" w:firstLine="180"/>
              <w:rPr>
                <w:rFonts w:ascii="Arial" w:hAnsi="Arial" w:cs="Arial"/>
                <w:color w:val="000000"/>
                <w:sz w:val="18"/>
                <w:szCs w:val="18"/>
              </w:rPr>
            </w:pPr>
            <w:r w:rsidRPr="00F3039A">
              <w:rPr>
                <w:rFonts w:ascii="Arial" w:hAnsi="Arial" w:cs="Arial"/>
                <w:color w:val="000000"/>
                <w:sz w:val="18"/>
                <w:szCs w:val="18"/>
              </w:rPr>
              <w:t>6.</w:t>
            </w:r>
          </w:p>
        </w:tc>
        <w:tc>
          <w:tcPr>
            <w:tcW w:w="5269" w:type="dxa"/>
            <w:tcBorders>
              <w:top w:val="nil"/>
              <w:left w:val="nil"/>
              <w:bottom w:val="single" w:sz="4" w:space="0" w:color="auto"/>
              <w:right w:val="single" w:sz="4" w:space="0" w:color="auto"/>
            </w:tcBorders>
            <w:shd w:val="clear" w:color="auto" w:fill="auto"/>
            <w:vAlign w:val="center"/>
            <w:hideMark/>
          </w:tcPr>
          <w:p w14:paraId="19562045" w14:textId="77777777" w:rsidR="00E70AAD" w:rsidRPr="00F3039A" w:rsidRDefault="00E70AAD" w:rsidP="009314C9">
            <w:pPr>
              <w:rPr>
                <w:rFonts w:ascii="Arial" w:hAnsi="Arial" w:cs="Arial"/>
                <w:color w:val="000000"/>
                <w:sz w:val="18"/>
                <w:szCs w:val="18"/>
                <w:lang w:val="en-US"/>
              </w:rPr>
            </w:pPr>
            <w:r w:rsidRPr="00F3039A">
              <w:rPr>
                <w:rFonts w:ascii="Arial" w:hAnsi="Arial" w:cs="Arial"/>
                <w:color w:val="000000"/>
                <w:sz w:val="18"/>
                <w:szCs w:val="18"/>
                <w:lang w:val="en-US"/>
              </w:rPr>
              <w:t>Participation in the sessions of the Committee, its Bureau and consultative bodies of public or private bodies, private persons, notably members of communities and groups, that have been invited by the Committee to advise it on specific matters, as well as experts in intangible cultural heritage representing accredited NGOs from developing countries;</w:t>
            </w:r>
          </w:p>
        </w:tc>
        <w:tc>
          <w:tcPr>
            <w:tcW w:w="1260" w:type="dxa"/>
            <w:tcBorders>
              <w:top w:val="nil"/>
              <w:left w:val="nil"/>
              <w:bottom w:val="single" w:sz="4" w:space="0" w:color="auto"/>
              <w:right w:val="single" w:sz="8" w:space="0" w:color="auto"/>
            </w:tcBorders>
            <w:shd w:val="clear" w:color="auto" w:fill="auto"/>
            <w:vAlign w:val="center"/>
            <w:hideMark/>
          </w:tcPr>
          <w:p w14:paraId="39C53673" w14:textId="77777777" w:rsidR="00E70AAD" w:rsidRPr="00F3039A" w:rsidRDefault="00E70AAD" w:rsidP="009314C9">
            <w:pPr>
              <w:jc w:val="center"/>
              <w:rPr>
                <w:rFonts w:ascii="Arial" w:hAnsi="Arial" w:cs="Arial"/>
                <w:color w:val="000000"/>
                <w:sz w:val="18"/>
                <w:szCs w:val="18"/>
              </w:rPr>
            </w:pPr>
            <w:r w:rsidRPr="00F3039A">
              <w:rPr>
                <w:rFonts w:ascii="Arial" w:hAnsi="Arial" w:cs="Arial"/>
                <w:color w:val="000000"/>
                <w:sz w:val="18"/>
                <w:szCs w:val="18"/>
              </w:rPr>
              <w:t>2,70%</w:t>
            </w:r>
          </w:p>
        </w:tc>
        <w:tc>
          <w:tcPr>
            <w:tcW w:w="1260" w:type="dxa"/>
            <w:tcBorders>
              <w:top w:val="nil"/>
              <w:left w:val="nil"/>
              <w:bottom w:val="dashed" w:sz="4" w:space="0" w:color="auto"/>
              <w:right w:val="dashed" w:sz="4" w:space="0" w:color="auto"/>
            </w:tcBorders>
            <w:shd w:val="clear" w:color="auto" w:fill="auto"/>
            <w:vAlign w:val="center"/>
            <w:hideMark/>
          </w:tcPr>
          <w:p w14:paraId="5DC6BE08" w14:textId="77777777" w:rsidR="00E70AAD" w:rsidRPr="00F3039A" w:rsidRDefault="00E70AAD" w:rsidP="009314C9">
            <w:pPr>
              <w:jc w:val="center"/>
              <w:rPr>
                <w:rFonts w:ascii="Arial" w:hAnsi="Arial" w:cs="Arial"/>
                <w:i/>
                <w:iCs/>
                <w:color w:val="000000"/>
                <w:sz w:val="18"/>
                <w:szCs w:val="18"/>
              </w:rPr>
            </w:pPr>
            <w:r w:rsidRPr="00F3039A">
              <w:rPr>
                <w:rFonts w:ascii="Arial" w:hAnsi="Arial" w:cs="Arial"/>
                <w:i/>
                <w:iCs/>
                <w:color w:val="000000"/>
                <w:sz w:val="18"/>
                <w:szCs w:val="18"/>
              </w:rPr>
              <w:t>$221 119</w:t>
            </w:r>
          </w:p>
        </w:tc>
        <w:tc>
          <w:tcPr>
            <w:tcW w:w="1346" w:type="dxa"/>
            <w:tcBorders>
              <w:top w:val="nil"/>
              <w:left w:val="nil"/>
              <w:bottom w:val="dashed" w:sz="4" w:space="0" w:color="auto"/>
              <w:right w:val="dashed" w:sz="4" w:space="0" w:color="auto"/>
            </w:tcBorders>
            <w:shd w:val="clear" w:color="auto" w:fill="auto"/>
            <w:vAlign w:val="center"/>
            <w:hideMark/>
          </w:tcPr>
          <w:p w14:paraId="2C751418" w14:textId="77777777" w:rsidR="00E70AAD" w:rsidRPr="00F3039A" w:rsidRDefault="00E70AAD" w:rsidP="009314C9">
            <w:pPr>
              <w:jc w:val="center"/>
              <w:rPr>
                <w:rFonts w:ascii="Arial" w:hAnsi="Arial" w:cs="Arial"/>
                <w:i/>
                <w:iCs/>
                <w:color w:val="000000"/>
                <w:sz w:val="18"/>
                <w:szCs w:val="18"/>
              </w:rPr>
            </w:pPr>
            <w:r w:rsidRPr="00F3039A">
              <w:rPr>
                <w:rFonts w:ascii="Arial" w:hAnsi="Arial" w:cs="Arial"/>
                <w:i/>
                <w:iCs/>
                <w:color w:val="000000"/>
                <w:sz w:val="18"/>
                <w:szCs w:val="18"/>
              </w:rPr>
              <w:t>$55 280</w:t>
            </w:r>
          </w:p>
        </w:tc>
      </w:tr>
      <w:tr w:rsidR="00E70AAD" w:rsidRPr="00F3039A" w14:paraId="076BDEE9" w14:textId="77777777" w:rsidTr="00F0628D">
        <w:trPr>
          <w:trHeight w:val="767"/>
        </w:trPr>
        <w:tc>
          <w:tcPr>
            <w:tcW w:w="571" w:type="dxa"/>
            <w:tcBorders>
              <w:top w:val="nil"/>
              <w:left w:val="single" w:sz="8" w:space="0" w:color="auto"/>
              <w:bottom w:val="single" w:sz="4" w:space="0" w:color="auto"/>
              <w:right w:val="single" w:sz="4" w:space="0" w:color="auto"/>
            </w:tcBorders>
            <w:shd w:val="clear" w:color="auto" w:fill="auto"/>
            <w:noWrap/>
            <w:vAlign w:val="center"/>
            <w:hideMark/>
          </w:tcPr>
          <w:p w14:paraId="250BB9DF" w14:textId="77777777" w:rsidR="00E70AAD" w:rsidRPr="00F3039A" w:rsidRDefault="00E70AAD" w:rsidP="009314C9">
            <w:pPr>
              <w:ind w:firstLineChars="100" w:firstLine="180"/>
              <w:rPr>
                <w:rFonts w:ascii="Arial" w:hAnsi="Arial" w:cs="Arial"/>
                <w:color w:val="000000"/>
                <w:sz w:val="18"/>
                <w:szCs w:val="18"/>
              </w:rPr>
            </w:pPr>
            <w:r w:rsidRPr="00F3039A">
              <w:rPr>
                <w:rFonts w:ascii="Arial" w:hAnsi="Arial" w:cs="Arial"/>
                <w:color w:val="000000"/>
                <w:sz w:val="18"/>
                <w:szCs w:val="18"/>
              </w:rPr>
              <w:t>7.</w:t>
            </w:r>
          </w:p>
        </w:tc>
        <w:tc>
          <w:tcPr>
            <w:tcW w:w="5269" w:type="dxa"/>
            <w:tcBorders>
              <w:top w:val="nil"/>
              <w:left w:val="nil"/>
              <w:bottom w:val="single" w:sz="4" w:space="0" w:color="auto"/>
              <w:right w:val="single" w:sz="4" w:space="0" w:color="auto"/>
            </w:tcBorders>
            <w:shd w:val="clear" w:color="auto" w:fill="auto"/>
            <w:vAlign w:val="center"/>
            <w:hideMark/>
          </w:tcPr>
          <w:p w14:paraId="4DE674FB" w14:textId="77777777" w:rsidR="00E70AAD" w:rsidRPr="00F3039A" w:rsidRDefault="00E70AAD" w:rsidP="009314C9">
            <w:pPr>
              <w:rPr>
                <w:rFonts w:ascii="Arial" w:hAnsi="Arial" w:cs="Arial"/>
                <w:color w:val="000000"/>
                <w:sz w:val="18"/>
                <w:szCs w:val="18"/>
                <w:lang w:val="en-US"/>
              </w:rPr>
            </w:pPr>
            <w:r w:rsidRPr="00F3039A">
              <w:rPr>
                <w:rFonts w:ascii="Arial" w:hAnsi="Arial" w:cs="Arial"/>
                <w:color w:val="000000"/>
                <w:sz w:val="18"/>
                <w:szCs w:val="18"/>
                <w:lang w:val="en-US"/>
              </w:rPr>
              <w:t>The costs of advisory services to be provided at the request of the Committee</w:t>
            </w:r>
          </w:p>
        </w:tc>
        <w:tc>
          <w:tcPr>
            <w:tcW w:w="1260" w:type="dxa"/>
            <w:tcBorders>
              <w:top w:val="nil"/>
              <w:left w:val="nil"/>
              <w:bottom w:val="single" w:sz="4" w:space="0" w:color="auto"/>
              <w:right w:val="single" w:sz="8" w:space="0" w:color="auto"/>
            </w:tcBorders>
            <w:shd w:val="clear" w:color="auto" w:fill="auto"/>
            <w:vAlign w:val="center"/>
            <w:hideMark/>
          </w:tcPr>
          <w:p w14:paraId="53854825" w14:textId="77777777" w:rsidR="00E70AAD" w:rsidRPr="00F3039A" w:rsidRDefault="00E70AAD" w:rsidP="009314C9">
            <w:pPr>
              <w:jc w:val="center"/>
              <w:rPr>
                <w:rFonts w:ascii="Arial" w:hAnsi="Arial" w:cs="Arial"/>
                <w:color w:val="000000"/>
                <w:sz w:val="18"/>
                <w:szCs w:val="18"/>
              </w:rPr>
            </w:pPr>
            <w:r w:rsidRPr="00F3039A">
              <w:rPr>
                <w:rFonts w:ascii="Arial" w:hAnsi="Arial" w:cs="Arial"/>
                <w:color w:val="000000"/>
                <w:sz w:val="18"/>
                <w:szCs w:val="18"/>
              </w:rPr>
              <w:t>7,00%</w:t>
            </w:r>
          </w:p>
        </w:tc>
        <w:tc>
          <w:tcPr>
            <w:tcW w:w="1260" w:type="dxa"/>
            <w:tcBorders>
              <w:top w:val="nil"/>
              <w:left w:val="nil"/>
              <w:bottom w:val="dashed" w:sz="4" w:space="0" w:color="auto"/>
              <w:right w:val="dashed" w:sz="4" w:space="0" w:color="auto"/>
            </w:tcBorders>
            <w:shd w:val="clear" w:color="auto" w:fill="auto"/>
            <w:vAlign w:val="center"/>
            <w:hideMark/>
          </w:tcPr>
          <w:p w14:paraId="3B2D8FAE" w14:textId="77777777" w:rsidR="00E70AAD" w:rsidRPr="00F3039A" w:rsidRDefault="00E70AAD" w:rsidP="009314C9">
            <w:pPr>
              <w:jc w:val="center"/>
              <w:rPr>
                <w:rFonts w:ascii="Arial" w:hAnsi="Arial" w:cs="Arial"/>
                <w:i/>
                <w:iCs/>
                <w:color w:val="000000"/>
                <w:sz w:val="18"/>
                <w:szCs w:val="18"/>
              </w:rPr>
            </w:pPr>
            <w:r w:rsidRPr="00F3039A">
              <w:rPr>
                <w:rFonts w:ascii="Arial" w:hAnsi="Arial" w:cs="Arial"/>
                <w:i/>
                <w:iCs/>
                <w:color w:val="000000"/>
                <w:sz w:val="18"/>
                <w:szCs w:val="18"/>
              </w:rPr>
              <w:t>$573 270</w:t>
            </w:r>
          </w:p>
        </w:tc>
        <w:tc>
          <w:tcPr>
            <w:tcW w:w="1346" w:type="dxa"/>
            <w:tcBorders>
              <w:top w:val="nil"/>
              <w:left w:val="nil"/>
              <w:bottom w:val="dashed" w:sz="4" w:space="0" w:color="auto"/>
              <w:right w:val="dashed" w:sz="4" w:space="0" w:color="auto"/>
            </w:tcBorders>
            <w:shd w:val="clear" w:color="auto" w:fill="auto"/>
            <w:vAlign w:val="center"/>
            <w:hideMark/>
          </w:tcPr>
          <w:p w14:paraId="5DEDD0B0" w14:textId="77777777" w:rsidR="00E70AAD" w:rsidRPr="00F3039A" w:rsidRDefault="00E70AAD" w:rsidP="009314C9">
            <w:pPr>
              <w:jc w:val="center"/>
              <w:rPr>
                <w:rFonts w:ascii="Arial" w:hAnsi="Arial" w:cs="Arial"/>
                <w:i/>
                <w:iCs/>
                <w:color w:val="000000"/>
                <w:sz w:val="18"/>
                <w:szCs w:val="18"/>
              </w:rPr>
            </w:pPr>
            <w:r w:rsidRPr="00F3039A">
              <w:rPr>
                <w:rFonts w:ascii="Arial" w:hAnsi="Arial" w:cs="Arial"/>
                <w:i/>
                <w:iCs/>
                <w:color w:val="000000"/>
                <w:sz w:val="18"/>
                <w:szCs w:val="18"/>
              </w:rPr>
              <w:t>$143 318</w:t>
            </w:r>
          </w:p>
        </w:tc>
      </w:tr>
      <w:tr w:rsidR="00E70AAD" w:rsidRPr="00F3039A" w14:paraId="191709F0" w14:textId="77777777" w:rsidTr="00F0628D">
        <w:trPr>
          <w:trHeight w:val="300"/>
        </w:trPr>
        <w:tc>
          <w:tcPr>
            <w:tcW w:w="571" w:type="dxa"/>
            <w:tcBorders>
              <w:top w:val="nil"/>
              <w:left w:val="single" w:sz="8" w:space="0" w:color="auto"/>
              <w:bottom w:val="single" w:sz="4" w:space="0" w:color="auto"/>
              <w:right w:val="single" w:sz="4" w:space="0" w:color="auto"/>
            </w:tcBorders>
            <w:shd w:val="clear" w:color="auto" w:fill="auto"/>
            <w:noWrap/>
            <w:vAlign w:val="center"/>
            <w:hideMark/>
          </w:tcPr>
          <w:p w14:paraId="5053447F" w14:textId="77777777" w:rsidR="00E70AAD" w:rsidRPr="00F3039A" w:rsidRDefault="00E70AAD" w:rsidP="009314C9">
            <w:pPr>
              <w:ind w:firstLineChars="100" w:firstLine="201"/>
              <w:rPr>
                <w:rFonts w:ascii="Arial" w:hAnsi="Arial" w:cs="Arial"/>
                <w:b/>
                <w:bCs/>
                <w:color w:val="000000"/>
                <w:sz w:val="20"/>
                <w:szCs w:val="20"/>
              </w:rPr>
            </w:pPr>
            <w:r w:rsidRPr="00F3039A">
              <w:rPr>
                <w:rFonts w:ascii="Arial" w:hAnsi="Arial" w:cs="Arial"/>
                <w:b/>
                <w:bCs/>
                <w:color w:val="000000"/>
                <w:sz w:val="20"/>
                <w:szCs w:val="20"/>
              </w:rPr>
              <w:t> </w:t>
            </w:r>
          </w:p>
        </w:tc>
        <w:tc>
          <w:tcPr>
            <w:tcW w:w="5269" w:type="dxa"/>
            <w:tcBorders>
              <w:top w:val="nil"/>
              <w:left w:val="nil"/>
              <w:bottom w:val="single" w:sz="4" w:space="0" w:color="auto"/>
              <w:right w:val="single" w:sz="4" w:space="0" w:color="auto"/>
            </w:tcBorders>
            <w:shd w:val="clear" w:color="auto" w:fill="auto"/>
            <w:vAlign w:val="center"/>
            <w:hideMark/>
          </w:tcPr>
          <w:p w14:paraId="25778A4A" w14:textId="77777777" w:rsidR="00E70AAD" w:rsidRPr="00F3039A" w:rsidRDefault="00E70AAD" w:rsidP="009314C9">
            <w:pPr>
              <w:jc w:val="both"/>
              <w:rPr>
                <w:rFonts w:ascii="Arial" w:hAnsi="Arial" w:cs="Arial"/>
                <w:b/>
                <w:bCs/>
                <w:color w:val="000000"/>
                <w:sz w:val="18"/>
                <w:szCs w:val="18"/>
              </w:rPr>
            </w:pPr>
            <w:r w:rsidRPr="00F3039A">
              <w:rPr>
                <w:rFonts w:ascii="Arial" w:hAnsi="Arial" w:cs="Arial"/>
                <w:b/>
                <w:bCs/>
                <w:color w:val="000000"/>
                <w:sz w:val="18"/>
                <w:szCs w:val="18"/>
              </w:rPr>
              <w:t>TOTAL</w:t>
            </w:r>
          </w:p>
        </w:tc>
        <w:tc>
          <w:tcPr>
            <w:tcW w:w="1260" w:type="dxa"/>
            <w:tcBorders>
              <w:top w:val="nil"/>
              <w:left w:val="nil"/>
              <w:bottom w:val="single" w:sz="4" w:space="0" w:color="auto"/>
              <w:right w:val="single" w:sz="8" w:space="0" w:color="auto"/>
            </w:tcBorders>
            <w:shd w:val="clear" w:color="auto" w:fill="auto"/>
            <w:vAlign w:val="center"/>
            <w:hideMark/>
          </w:tcPr>
          <w:p w14:paraId="1F105939" w14:textId="77777777" w:rsidR="00E70AAD" w:rsidRPr="00F3039A" w:rsidRDefault="00E70AAD" w:rsidP="009314C9">
            <w:pPr>
              <w:jc w:val="center"/>
              <w:rPr>
                <w:rFonts w:ascii="Arial" w:hAnsi="Arial" w:cs="Arial"/>
                <w:b/>
                <w:bCs/>
                <w:color w:val="000000"/>
                <w:sz w:val="18"/>
                <w:szCs w:val="18"/>
              </w:rPr>
            </w:pPr>
            <w:r w:rsidRPr="00F3039A">
              <w:rPr>
                <w:rFonts w:ascii="Arial" w:hAnsi="Arial" w:cs="Arial"/>
                <w:b/>
                <w:bCs/>
                <w:color w:val="000000"/>
                <w:sz w:val="18"/>
                <w:szCs w:val="18"/>
              </w:rPr>
              <w:t>100,00%</w:t>
            </w:r>
          </w:p>
        </w:tc>
        <w:tc>
          <w:tcPr>
            <w:tcW w:w="1260" w:type="dxa"/>
            <w:tcBorders>
              <w:top w:val="nil"/>
              <w:left w:val="nil"/>
              <w:bottom w:val="dashed" w:sz="4" w:space="0" w:color="auto"/>
              <w:right w:val="dashed" w:sz="4" w:space="0" w:color="auto"/>
            </w:tcBorders>
            <w:shd w:val="clear" w:color="auto" w:fill="auto"/>
            <w:vAlign w:val="center"/>
            <w:hideMark/>
          </w:tcPr>
          <w:p w14:paraId="513B99ED" w14:textId="77777777" w:rsidR="00E70AAD" w:rsidRPr="00F3039A" w:rsidRDefault="00E70AAD" w:rsidP="009314C9">
            <w:pPr>
              <w:jc w:val="center"/>
              <w:rPr>
                <w:rFonts w:ascii="Arial" w:hAnsi="Arial" w:cs="Arial"/>
                <w:b/>
                <w:bCs/>
                <w:i/>
                <w:iCs/>
                <w:color w:val="000000"/>
                <w:sz w:val="18"/>
                <w:szCs w:val="18"/>
              </w:rPr>
            </w:pPr>
            <w:r w:rsidRPr="00F3039A">
              <w:rPr>
                <w:rFonts w:ascii="Arial" w:hAnsi="Arial" w:cs="Arial"/>
                <w:b/>
                <w:bCs/>
                <w:i/>
                <w:iCs/>
                <w:color w:val="000000"/>
                <w:sz w:val="18"/>
                <w:szCs w:val="18"/>
              </w:rPr>
              <w:t>$8 189 578</w:t>
            </w:r>
          </w:p>
        </w:tc>
        <w:tc>
          <w:tcPr>
            <w:tcW w:w="1346" w:type="dxa"/>
            <w:tcBorders>
              <w:top w:val="nil"/>
              <w:left w:val="nil"/>
              <w:bottom w:val="dashed" w:sz="4" w:space="0" w:color="auto"/>
              <w:right w:val="dashed" w:sz="4" w:space="0" w:color="auto"/>
            </w:tcBorders>
            <w:shd w:val="clear" w:color="auto" w:fill="auto"/>
            <w:vAlign w:val="center"/>
            <w:hideMark/>
          </w:tcPr>
          <w:p w14:paraId="768CF81B" w14:textId="77777777" w:rsidR="00E70AAD" w:rsidRPr="00F3039A" w:rsidRDefault="00E70AAD" w:rsidP="009314C9">
            <w:pPr>
              <w:jc w:val="center"/>
              <w:rPr>
                <w:rFonts w:ascii="Arial" w:hAnsi="Arial" w:cs="Arial"/>
                <w:b/>
                <w:bCs/>
                <w:i/>
                <w:iCs/>
                <w:color w:val="000000"/>
                <w:sz w:val="18"/>
                <w:szCs w:val="18"/>
              </w:rPr>
            </w:pPr>
            <w:r w:rsidRPr="00F3039A">
              <w:rPr>
                <w:rFonts w:ascii="Arial" w:hAnsi="Arial" w:cs="Arial"/>
                <w:b/>
                <w:bCs/>
                <w:i/>
                <w:iCs/>
                <w:color w:val="000000"/>
                <w:sz w:val="18"/>
                <w:szCs w:val="18"/>
              </w:rPr>
              <w:t>$2 047 394</w:t>
            </w:r>
          </w:p>
        </w:tc>
      </w:tr>
      <w:tr w:rsidR="00521F6F" w:rsidRPr="00F3039A" w14:paraId="241DF827" w14:textId="77777777" w:rsidTr="009314C9">
        <w:trPr>
          <w:trHeight w:val="812"/>
        </w:trPr>
        <w:tc>
          <w:tcPr>
            <w:tcW w:w="9706" w:type="dxa"/>
            <w:gridSpan w:val="5"/>
            <w:tcBorders>
              <w:top w:val="nil"/>
              <w:left w:val="single" w:sz="8" w:space="0" w:color="auto"/>
              <w:bottom w:val="single" w:sz="8" w:space="0" w:color="auto"/>
              <w:right w:val="single" w:sz="8" w:space="0" w:color="000000"/>
            </w:tcBorders>
            <w:shd w:val="clear" w:color="auto" w:fill="auto"/>
            <w:vAlign w:val="center"/>
            <w:hideMark/>
          </w:tcPr>
          <w:p w14:paraId="23E505D8" w14:textId="77777777" w:rsidR="00521F6F" w:rsidRPr="00F3039A" w:rsidRDefault="00521F6F" w:rsidP="009314C9">
            <w:pPr>
              <w:rPr>
                <w:sz w:val="20"/>
                <w:szCs w:val="20"/>
                <w:lang w:val="en-US"/>
              </w:rPr>
            </w:pPr>
            <w:r w:rsidRPr="00F3039A">
              <w:rPr>
                <w:rFonts w:ascii="Arial" w:hAnsi="Arial" w:cs="Arial"/>
                <w:color w:val="000000"/>
                <w:sz w:val="18"/>
                <w:szCs w:val="18"/>
                <w:lang w:val="en-US"/>
              </w:rPr>
              <w:t>[1] Percentages are applied to the balance of the Fund as of 31 December 2023. This balance does not include the Reserve Fund (US$1,000,000).</w:t>
            </w:r>
          </w:p>
        </w:tc>
      </w:tr>
      <w:tr w:rsidR="00521F6F" w:rsidRPr="000E29C9" w14:paraId="363D75F1" w14:textId="77777777" w:rsidTr="009314C9">
        <w:trPr>
          <w:trHeight w:val="812"/>
        </w:trPr>
        <w:tc>
          <w:tcPr>
            <w:tcW w:w="9706"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2CC5AAFD" w14:textId="77777777" w:rsidR="00521F6F" w:rsidRPr="00F3039A" w:rsidRDefault="00521F6F" w:rsidP="009314C9">
            <w:pPr>
              <w:rPr>
                <w:sz w:val="20"/>
                <w:szCs w:val="20"/>
                <w:lang w:val="en-US"/>
              </w:rPr>
            </w:pPr>
            <w:r w:rsidRPr="00F3039A">
              <w:rPr>
                <w:rFonts w:ascii="Arial" w:hAnsi="Arial" w:cs="Arial"/>
                <w:color w:val="000000"/>
                <w:sz w:val="18"/>
                <w:szCs w:val="18"/>
                <w:lang w:val="en-US"/>
              </w:rPr>
              <w:t>Funds that have not been committed at the end of the period of this Plan are carried over to the next financial period and shall be allocated in accordance with the Plan approved by the General Assembly at that time.</w:t>
            </w:r>
          </w:p>
        </w:tc>
      </w:tr>
      <w:tr w:rsidR="00521F6F" w:rsidRPr="000E29C9" w14:paraId="7E1809B1" w14:textId="77777777" w:rsidTr="009314C9">
        <w:trPr>
          <w:trHeight w:val="887"/>
        </w:trPr>
        <w:tc>
          <w:tcPr>
            <w:tcW w:w="9706"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6EE263B5" w14:textId="77777777" w:rsidR="00521F6F" w:rsidRPr="00F3039A" w:rsidRDefault="00521F6F" w:rsidP="009314C9">
            <w:pPr>
              <w:rPr>
                <w:sz w:val="20"/>
                <w:szCs w:val="20"/>
                <w:lang w:val="en-US"/>
              </w:rPr>
            </w:pPr>
            <w:r w:rsidRPr="00F3039A">
              <w:rPr>
                <w:rFonts w:ascii="Arial" w:hAnsi="Arial" w:cs="Arial"/>
                <w:color w:val="000000"/>
                <w:sz w:val="18"/>
                <w:szCs w:val="18"/>
                <w:lang w:val="en-US"/>
              </w:rPr>
              <w:t xml:space="preserve">For the period 1 January 2026 to 30 June 2026 one–fourth of the amount established for the twenty–four months of the financial period 2024–2025 shall be allocated on a provisional basis, except for the Reserve Fund, whose amount was set by the Committee at US$1 million (Decision </w:t>
            </w:r>
            <w:hyperlink r:id="rId30" w:history="1">
              <w:r w:rsidRPr="00F3039A">
                <w:rPr>
                  <w:rStyle w:val="Lienhypertexte"/>
                  <w:rFonts w:ascii="Arial" w:hAnsi="Arial" w:cs="Arial"/>
                  <w:sz w:val="18"/>
                  <w:szCs w:val="18"/>
                  <w:lang w:val="en-US"/>
                </w:rPr>
                <w:t>10.COM 8</w:t>
              </w:r>
            </w:hyperlink>
            <w:r w:rsidRPr="00F3039A">
              <w:rPr>
                <w:rFonts w:ascii="Arial" w:hAnsi="Arial" w:cs="Arial"/>
                <w:color w:val="000000"/>
                <w:sz w:val="18"/>
                <w:szCs w:val="18"/>
                <w:lang w:val="en-US"/>
              </w:rPr>
              <w:t>).</w:t>
            </w:r>
          </w:p>
        </w:tc>
      </w:tr>
    </w:tbl>
    <w:p w14:paraId="4977DFCA" w14:textId="18BA5AC8" w:rsidR="00521F6F" w:rsidRPr="00F3039A" w:rsidRDefault="00521F6F" w:rsidP="00521F6F">
      <w:pPr>
        <w:pStyle w:val="GATitleResolution"/>
        <w:rPr>
          <w:rFonts w:asciiTheme="minorBidi" w:hAnsiTheme="minorBidi" w:cstheme="minorBidi"/>
        </w:rPr>
      </w:pPr>
      <w:r w:rsidRPr="00F3039A">
        <w:rPr>
          <w:rFonts w:asciiTheme="minorBidi" w:hAnsiTheme="minorBidi" w:cstheme="minorBidi"/>
        </w:rPr>
        <w:t>RESOLUTION 10.GA 9</w:t>
      </w:r>
    </w:p>
    <w:p w14:paraId="16D11B08" w14:textId="77777777" w:rsidR="00521F6F" w:rsidRPr="00F3039A" w:rsidRDefault="00521F6F" w:rsidP="00521F6F">
      <w:pPr>
        <w:pStyle w:val="GAPreambulaResolution"/>
        <w:ind w:left="0"/>
        <w:rPr>
          <w:rFonts w:asciiTheme="minorBidi" w:hAnsiTheme="minorBidi" w:cstheme="minorBidi"/>
        </w:rPr>
      </w:pPr>
      <w:r w:rsidRPr="00F3039A">
        <w:rPr>
          <w:rFonts w:asciiTheme="minorBidi" w:hAnsiTheme="minorBidi" w:cstheme="minorBidi"/>
        </w:rPr>
        <w:t>The General Assembly,</w:t>
      </w:r>
    </w:p>
    <w:p w14:paraId="6F06C2CB" w14:textId="64F527BE" w:rsidR="00521F6F" w:rsidRPr="00F3039A" w:rsidRDefault="00521F6F" w:rsidP="00521F6F">
      <w:pPr>
        <w:pStyle w:val="COMParaDecision"/>
        <w:numPr>
          <w:ilvl w:val="0"/>
          <w:numId w:val="38"/>
        </w:numPr>
        <w:ind w:left="450" w:hanging="450"/>
        <w:jc w:val="left"/>
        <w:rPr>
          <w:rFonts w:asciiTheme="minorBidi" w:hAnsiTheme="minorBidi" w:cstheme="minorBidi"/>
        </w:rPr>
      </w:pPr>
      <w:r w:rsidRPr="00F3039A">
        <w:rPr>
          <w:rFonts w:asciiTheme="minorBidi" w:hAnsiTheme="minorBidi" w:cstheme="minorBidi"/>
        </w:rPr>
        <w:t>Having examined</w:t>
      </w:r>
      <w:r w:rsidRPr="00F3039A">
        <w:rPr>
          <w:rFonts w:asciiTheme="minorBidi" w:hAnsiTheme="minorBidi" w:cstheme="minorBidi"/>
          <w:u w:val="none"/>
        </w:rPr>
        <w:t xml:space="preserve"> document </w:t>
      </w:r>
      <w:hyperlink r:id="rId31" w:history="1">
        <w:r w:rsidRPr="00F0628D">
          <w:rPr>
            <w:rStyle w:val="Lienhypertexte"/>
          </w:rPr>
          <w:t>LHE/24/10.GA/9</w:t>
        </w:r>
      </w:hyperlink>
      <w:r w:rsidRPr="00F3039A">
        <w:rPr>
          <w:rFonts w:asciiTheme="minorBidi" w:hAnsiTheme="minorBidi" w:cstheme="minorBidi"/>
          <w:u w:val="none"/>
        </w:rPr>
        <w:t xml:space="preserve"> and its annex,</w:t>
      </w:r>
    </w:p>
    <w:p w14:paraId="716BCB1F" w14:textId="77777777" w:rsidR="00521F6F" w:rsidRPr="00F3039A" w:rsidRDefault="00521F6F" w:rsidP="00521F6F">
      <w:pPr>
        <w:pStyle w:val="COMParaDecision"/>
        <w:numPr>
          <w:ilvl w:val="0"/>
          <w:numId w:val="38"/>
        </w:numPr>
        <w:ind w:left="450" w:hanging="450"/>
        <w:rPr>
          <w:rFonts w:asciiTheme="minorBidi" w:hAnsiTheme="minorBidi" w:cstheme="minorBidi"/>
        </w:rPr>
      </w:pPr>
      <w:r w:rsidRPr="00F3039A">
        <w:rPr>
          <w:rFonts w:asciiTheme="minorBidi" w:hAnsiTheme="minorBidi" w:cstheme="minorBidi"/>
        </w:rPr>
        <w:t>Recalling</w:t>
      </w:r>
      <w:r w:rsidRPr="00F3039A">
        <w:rPr>
          <w:rFonts w:asciiTheme="minorBidi" w:hAnsiTheme="minorBidi" w:cstheme="minorBidi"/>
          <w:u w:val="none"/>
        </w:rPr>
        <w:t xml:space="preserve"> Article 9 of the Convention and paragraphs 91-99 of the Operational Directives,</w:t>
      </w:r>
    </w:p>
    <w:p w14:paraId="4F5C5B52" w14:textId="77777777" w:rsidR="00521F6F" w:rsidRPr="00F3039A" w:rsidRDefault="00521F6F" w:rsidP="00521F6F">
      <w:pPr>
        <w:pStyle w:val="COMParaDecision"/>
        <w:numPr>
          <w:ilvl w:val="0"/>
          <w:numId w:val="38"/>
        </w:numPr>
        <w:ind w:left="450" w:hanging="450"/>
        <w:rPr>
          <w:rFonts w:asciiTheme="minorBidi" w:hAnsiTheme="minorBidi" w:cstheme="minorBidi"/>
        </w:rPr>
      </w:pPr>
      <w:r w:rsidRPr="00F3039A">
        <w:rPr>
          <w:rFonts w:asciiTheme="minorBidi" w:hAnsiTheme="minorBidi" w:cstheme="minorBidi"/>
        </w:rPr>
        <w:t>Further recalling</w:t>
      </w:r>
      <w:r w:rsidRPr="00F3039A">
        <w:rPr>
          <w:rFonts w:asciiTheme="minorBidi" w:hAnsiTheme="minorBidi" w:cstheme="minorBidi"/>
          <w:u w:val="none"/>
        </w:rPr>
        <w:t xml:space="preserve"> Decision </w:t>
      </w:r>
      <w:hyperlink r:id="rId32" w:history="1">
        <w:r w:rsidRPr="00F3039A">
          <w:rPr>
            <w:rStyle w:val="Lienhypertexte"/>
            <w:rFonts w:asciiTheme="minorBidi" w:hAnsiTheme="minorBidi" w:cstheme="minorBidi"/>
          </w:rPr>
          <w:t>18.COM 16</w:t>
        </w:r>
      </w:hyperlink>
      <w:r w:rsidRPr="00F3039A">
        <w:rPr>
          <w:rStyle w:val="Lienhypertexte"/>
          <w:rFonts w:asciiTheme="minorBidi" w:hAnsiTheme="minorBidi" w:cstheme="minorBidi"/>
          <w:u w:val="none"/>
        </w:rPr>
        <w:t>,</w:t>
      </w:r>
    </w:p>
    <w:p w14:paraId="25284AC2" w14:textId="77777777" w:rsidR="00521F6F" w:rsidRPr="00F3039A" w:rsidRDefault="00521F6F" w:rsidP="00521F6F">
      <w:pPr>
        <w:pStyle w:val="COMParaDecision"/>
        <w:numPr>
          <w:ilvl w:val="0"/>
          <w:numId w:val="38"/>
        </w:numPr>
        <w:ind w:left="450" w:hanging="450"/>
        <w:rPr>
          <w:rFonts w:asciiTheme="minorBidi" w:hAnsiTheme="minorBidi" w:cstheme="minorBidi"/>
        </w:rPr>
      </w:pPr>
      <w:r w:rsidRPr="00F3039A">
        <w:rPr>
          <w:rFonts w:asciiTheme="minorBidi" w:hAnsiTheme="minorBidi" w:cstheme="minorBidi"/>
        </w:rPr>
        <w:t>Accredits</w:t>
      </w:r>
      <w:r w:rsidRPr="00F3039A">
        <w:rPr>
          <w:rFonts w:asciiTheme="minorBidi" w:hAnsiTheme="minorBidi" w:cstheme="minorBidi"/>
          <w:u w:val="none"/>
        </w:rPr>
        <w:t xml:space="preserve"> the fifty-eight NGOs listed in the annex to this resolution to act in an advisory capacity to the Committee;</w:t>
      </w:r>
    </w:p>
    <w:p w14:paraId="15C8B285" w14:textId="77777777" w:rsidR="00521F6F" w:rsidRPr="00F3039A" w:rsidRDefault="00521F6F" w:rsidP="00521F6F">
      <w:pPr>
        <w:pStyle w:val="COMParaDecision"/>
        <w:numPr>
          <w:ilvl w:val="0"/>
          <w:numId w:val="38"/>
        </w:numPr>
        <w:ind w:left="450" w:hanging="450"/>
        <w:rPr>
          <w:rFonts w:asciiTheme="minorBidi" w:hAnsiTheme="minorBidi" w:cstheme="minorBidi"/>
        </w:rPr>
      </w:pPr>
      <w:r w:rsidRPr="00F3039A">
        <w:rPr>
          <w:rFonts w:asciiTheme="minorBidi" w:hAnsiTheme="minorBidi" w:cstheme="minorBidi"/>
        </w:rPr>
        <w:t>Encourages</w:t>
      </w:r>
      <w:r w:rsidRPr="00F3039A">
        <w:rPr>
          <w:rFonts w:asciiTheme="minorBidi" w:hAnsiTheme="minorBidi" w:cstheme="minorBidi"/>
          <w:u w:val="none"/>
        </w:rPr>
        <w:t xml:space="preserve"> NGOs from under-represented Electoral Groups that meet the criteria for accreditation to submit their requests for accreditation at the earliest opportunity to improve the geographical distribution of accredited NGOs </w:t>
      </w:r>
      <w:bookmarkStart w:id="2" w:name="_Hlk47615881"/>
      <w:r w:rsidRPr="00F3039A">
        <w:rPr>
          <w:rFonts w:asciiTheme="minorBidi" w:hAnsiTheme="minorBidi" w:cstheme="minorBidi"/>
          <w:u w:val="none"/>
        </w:rPr>
        <w:t xml:space="preserve">and </w:t>
      </w:r>
      <w:r w:rsidRPr="00F3039A">
        <w:rPr>
          <w:rFonts w:asciiTheme="minorBidi" w:hAnsiTheme="minorBidi" w:cstheme="minorBidi"/>
        </w:rPr>
        <w:t>invites</w:t>
      </w:r>
      <w:r w:rsidRPr="00F3039A">
        <w:rPr>
          <w:rFonts w:asciiTheme="minorBidi" w:hAnsiTheme="minorBidi" w:cstheme="minorBidi"/>
          <w:u w:val="none"/>
        </w:rPr>
        <w:t xml:space="preserve"> States Parties from those Electoral Groups to make this call widely known among NGOs based within their territories;</w:t>
      </w:r>
    </w:p>
    <w:bookmarkEnd w:id="2"/>
    <w:p w14:paraId="4F755B14" w14:textId="77777777" w:rsidR="00521F6F" w:rsidRPr="00F3039A" w:rsidRDefault="00521F6F" w:rsidP="00521F6F">
      <w:pPr>
        <w:pStyle w:val="COMParaDecision"/>
        <w:numPr>
          <w:ilvl w:val="0"/>
          <w:numId w:val="38"/>
        </w:numPr>
        <w:ind w:left="450" w:hanging="450"/>
        <w:rPr>
          <w:rFonts w:asciiTheme="minorBidi" w:hAnsiTheme="minorBidi" w:cstheme="minorBidi"/>
        </w:rPr>
      </w:pPr>
      <w:r w:rsidRPr="00F3039A">
        <w:rPr>
          <w:rFonts w:asciiTheme="minorBidi" w:hAnsiTheme="minorBidi" w:cstheme="minorBidi"/>
        </w:rPr>
        <w:t>Reminds</w:t>
      </w:r>
      <w:r w:rsidRPr="00F3039A">
        <w:rPr>
          <w:rFonts w:asciiTheme="minorBidi" w:hAnsiTheme="minorBidi" w:cstheme="minorBidi"/>
          <w:u w:val="none"/>
        </w:rPr>
        <w:t xml:space="preserve"> the NGOs accredited in 2012, 2016, and 2020 that they are to submit their quadrennial report to the Secretariat before the deadline of 15 February 2025 so that the twentieth session of the Committee can review the contributions and commitment of each advisory organization.</w:t>
      </w:r>
    </w:p>
    <w:p w14:paraId="133A80A3" w14:textId="77777777" w:rsidR="00521F6F" w:rsidRPr="00F3039A" w:rsidRDefault="00521F6F" w:rsidP="003D1C83">
      <w:pPr>
        <w:pStyle w:val="COMParaDecision"/>
        <w:spacing w:before="240" w:after="240"/>
        <w:ind w:left="567" w:firstLine="0"/>
        <w:jc w:val="center"/>
        <w:rPr>
          <w:rFonts w:asciiTheme="minorBidi" w:hAnsiTheme="minorBidi" w:cstheme="minorBidi"/>
          <w:b/>
          <w:bCs/>
          <w:snapToGrid w:val="0"/>
          <w:u w:val="none"/>
          <w:lang w:eastAsia="en-US"/>
        </w:rPr>
      </w:pPr>
      <w:r w:rsidRPr="00F3039A">
        <w:rPr>
          <w:rFonts w:asciiTheme="minorBidi" w:hAnsiTheme="minorBidi" w:cstheme="minorBidi"/>
          <w:b/>
          <w:bCs/>
          <w:snapToGrid w:val="0"/>
          <w:u w:val="none"/>
          <w:lang w:eastAsia="en-US"/>
        </w:rPr>
        <w:t>Annex: Fifty-eight non-governmental organizations recommended for accreditation by the eighteenth session of the Committee.</w:t>
      </w:r>
    </w:p>
    <w:tbl>
      <w:tblPr>
        <w:tblW w:w="4769" w:type="pct"/>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6"/>
        <w:gridCol w:w="1945"/>
        <w:gridCol w:w="1622"/>
      </w:tblGrid>
      <w:tr w:rsidR="00521F6F" w:rsidRPr="00F3039A" w14:paraId="4395ACCA" w14:textId="77777777" w:rsidTr="006B723A">
        <w:trPr>
          <w:trHeight w:val="576"/>
        </w:trPr>
        <w:tc>
          <w:tcPr>
            <w:tcW w:w="3058" w:type="pct"/>
            <w:shd w:val="clear" w:color="auto" w:fill="5B9BD5" w:themeFill="accent1"/>
            <w:vAlign w:val="center"/>
            <w:hideMark/>
          </w:tcPr>
          <w:p w14:paraId="4665B48C" w14:textId="77777777" w:rsidR="00521F6F" w:rsidRPr="00F3039A" w:rsidRDefault="00521F6F" w:rsidP="003D1C83">
            <w:pPr>
              <w:contextualSpacing/>
              <w:jc w:val="center"/>
              <w:rPr>
                <w:rFonts w:asciiTheme="minorBidi" w:hAnsiTheme="minorBidi" w:cstheme="minorBidi"/>
                <w:b/>
                <w:bCs/>
                <w:sz w:val="20"/>
                <w:szCs w:val="20"/>
                <w:lang w:val="en-GB" w:eastAsia="ja-JP"/>
              </w:rPr>
            </w:pPr>
            <w:r w:rsidRPr="00F3039A">
              <w:rPr>
                <w:rFonts w:asciiTheme="minorBidi" w:hAnsiTheme="minorBidi" w:cstheme="minorBidi"/>
                <w:b/>
                <w:bCs/>
                <w:sz w:val="20"/>
                <w:szCs w:val="20"/>
                <w:lang w:val="en-GB"/>
              </w:rPr>
              <w:t>Organization name</w:t>
            </w:r>
          </w:p>
        </w:tc>
        <w:tc>
          <w:tcPr>
            <w:tcW w:w="1059" w:type="pct"/>
            <w:shd w:val="clear" w:color="auto" w:fill="5B9BD5" w:themeFill="accent1"/>
            <w:vAlign w:val="center"/>
            <w:hideMark/>
          </w:tcPr>
          <w:p w14:paraId="46CC35B4" w14:textId="77777777" w:rsidR="00521F6F" w:rsidRPr="00F3039A" w:rsidRDefault="00521F6F" w:rsidP="003D1C83">
            <w:pPr>
              <w:contextualSpacing/>
              <w:jc w:val="center"/>
              <w:rPr>
                <w:rFonts w:asciiTheme="minorBidi" w:hAnsiTheme="minorBidi" w:cstheme="minorBidi"/>
                <w:b/>
                <w:bCs/>
                <w:sz w:val="20"/>
                <w:szCs w:val="20"/>
                <w:lang w:val="en-GB"/>
              </w:rPr>
            </w:pPr>
            <w:r w:rsidRPr="00F3039A">
              <w:rPr>
                <w:rFonts w:asciiTheme="minorBidi" w:hAnsiTheme="minorBidi" w:cstheme="minorBidi"/>
                <w:b/>
                <w:bCs/>
                <w:sz w:val="20"/>
                <w:szCs w:val="20"/>
                <w:lang w:val="en-GB"/>
              </w:rPr>
              <w:t>Country of registered office</w:t>
            </w:r>
          </w:p>
        </w:tc>
        <w:tc>
          <w:tcPr>
            <w:tcW w:w="883" w:type="pct"/>
            <w:shd w:val="clear" w:color="auto" w:fill="5B9BD5" w:themeFill="accent1"/>
            <w:vAlign w:val="center"/>
            <w:hideMark/>
          </w:tcPr>
          <w:p w14:paraId="233501E0" w14:textId="77777777" w:rsidR="00521F6F" w:rsidRPr="00F3039A" w:rsidRDefault="00521F6F" w:rsidP="003D1C83">
            <w:pPr>
              <w:contextualSpacing/>
              <w:jc w:val="center"/>
              <w:rPr>
                <w:rFonts w:asciiTheme="minorBidi" w:hAnsiTheme="minorBidi" w:cstheme="minorBidi"/>
                <w:b/>
                <w:bCs/>
                <w:sz w:val="20"/>
                <w:szCs w:val="20"/>
                <w:lang w:val="en-GB"/>
              </w:rPr>
            </w:pPr>
            <w:r w:rsidRPr="00F3039A">
              <w:rPr>
                <w:rFonts w:asciiTheme="minorBidi" w:hAnsiTheme="minorBidi" w:cstheme="minorBidi"/>
                <w:b/>
                <w:bCs/>
                <w:sz w:val="20"/>
                <w:szCs w:val="20"/>
                <w:lang w:val="en-GB"/>
              </w:rPr>
              <w:t>Application number</w:t>
            </w:r>
          </w:p>
        </w:tc>
      </w:tr>
      <w:tr w:rsidR="00521F6F" w:rsidRPr="00F3039A" w14:paraId="6196FB8C" w14:textId="77777777" w:rsidTr="006B723A">
        <w:trPr>
          <w:trHeight w:val="576"/>
        </w:trPr>
        <w:tc>
          <w:tcPr>
            <w:tcW w:w="3058" w:type="pct"/>
            <w:vAlign w:val="center"/>
          </w:tcPr>
          <w:p w14:paraId="6012A6FC" w14:textId="77777777" w:rsidR="00521F6F" w:rsidRPr="00F3039A" w:rsidRDefault="00521F6F" w:rsidP="003D1C83">
            <w:pPr>
              <w:contextualSpacing/>
              <w:rPr>
                <w:rFonts w:asciiTheme="minorBidi" w:hAnsiTheme="minorBidi" w:cstheme="minorBidi"/>
                <w:b/>
                <w:bCs/>
                <w:sz w:val="20"/>
                <w:szCs w:val="20"/>
                <w:lang w:val="en-GB"/>
              </w:rPr>
            </w:pPr>
            <w:r w:rsidRPr="00F3039A">
              <w:rPr>
                <w:rFonts w:asciiTheme="minorBidi" w:hAnsiTheme="minorBidi" w:cstheme="minorBidi"/>
                <w:b/>
                <w:bCs/>
                <w:sz w:val="20"/>
                <w:szCs w:val="20"/>
                <w:lang w:val="en-GB"/>
              </w:rPr>
              <w:t>4 Grada Dragodid</w:t>
            </w:r>
          </w:p>
        </w:tc>
        <w:tc>
          <w:tcPr>
            <w:tcW w:w="1059" w:type="pct"/>
            <w:vAlign w:val="center"/>
          </w:tcPr>
          <w:p w14:paraId="469CF713" w14:textId="77777777" w:rsidR="00521F6F" w:rsidRPr="00F3039A" w:rsidRDefault="00521F6F" w:rsidP="003D1C83">
            <w:pPr>
              <w:contextualSpacing/>
              <w:jc w:val="center"/>
              <w:rPr>
                <w:rFonts w:asciiTheme="minorBidi" w:hAnsiTheme="minorBidi" w:cstheme="minorBidi"/>
                <w:sz w:val="20"/>
                <w:szCs w:val="20"/>
                <w:lang w:val="en-GB"/>
              </w:rPr>
            </w:pPr>
            <w:r w:rsidRPr="00F3039A">
              <w:rPr>
                <w:rFonts w:asciiTheme="minorBidi" w:hAnsiTheme="minorBidi" w:cstheme="minorBidi"/>
                <w:sz w:val="20"/>
                <w:szCs w:val="20"/>
                <w:lang w:val="en-GB"/>
              </w:rPr>
              <w:t>Croatia</w:t>
            </w:r>
          </w:p>
        </w:tc>
        <w:tc>
          <w:tcPr>
            <w:tcW w:w="883" w:type="pct"/>
            <w:vAlign w:val="center"/>
          </w:tcPr>
          <w:p w14:paraId="0EBF7277" w14:textId="77777777" w:rsidR="00521F6F" w:rsidRPr="00F3039A" w:rsidRDefault="00521F6F" w:rsidP="00F0628D">
            <w:pPr>
              <w:pStyle w:val="Titre7"/>
              <w:keepNext w:val="0"/>
              <w:keepLines w:val="0"/>
              <w:jc w:val="center"/>
              <w:rPr>
                <w:rFonts w:asciiTheme="minorBidi" w:hAnsiTheme="minorBidi" w:cstheme="minorBidi"/>
                <w:i w:val="0"/>
                <w:iCs w:val="0"/>
                <w:color w:val="auto"/>
                <w:sz w:val="20"/>
                <w:szCs w:val="20"/>
                <w:lang w:val="en-GB"/>
              </w:rPr>
            </w:pPr>
            <w:r w:rsidRPr="00F3039A">
              <w:rPr>
                <w:rFonts w:asciiTheme="minorBidi" w:hAnsiTheme="minorBidi" w:cstheme="minorBidi"/>
                <w:i w:val="0"/>
                <w:iCs w:val="0"/>
                <w:color w:val="auto"/>
                <w:sz w:val="20"/>
                <w:szCs w:val="20"/>
                <w:lang w:val="en-GB"/>
              </w:rPr>
              <w:t>NGO-90566</w:t>
            </w:r>
          </w:p>
        </w:tc>
      </w:tr>
      <w:tr w:rsidR="00521F6F" w:rsidRPr="00F3039A" w14:paraId="3F7D6CE1" w14:textId="77777777" w:rsidTr="006B723A">
        <w:trPr>
          <w:trHeight w:val="576"/>
        </w:trPr>
        <w:tc>
          <w:tcPr>
            <w:tcW w:w="3058" w:type="pct"/>
            <w:shd w:val="clear" w:color="auto" w:fill="DEEAF6" w:themeFill="accent1" w:themeFillTint="33"/>
            <w:vAlign w:val="center"/>
          </w:tcPr>
          <w:p w14:paraId="783D0C2A" w14:textId="77777777" w:rsidR="00521F6F" w:rsidRPr="00F3039A" w:rsidRDefault="00521F6F" w:rsidP="003D1C83">
            <w:pPr>
              <w:contextualSpacing/>
              <w:rPr>
                <w:rFonts w:asciiTheme="minorBidi" w:hAnsiTheme="minorBidi" w:cstheme="minorBidi"/>
                <w:b/>
                <w:bCs/>
                <w:sz w:val="20"/>
                <w:szCs w:val="20"/>
                <w:lang w:val="es-ES"/>
              </w:rPr>
            </w:pPr>
            <w:r w:rsidRPr="00F3039A">
              <w:rPr>
                <w:rFonts w:asciiTheme="minorBidi" w:hAnsiTheme="minorBidi" w:cstheme="minorBidi"/>
                <w:b/>
                <w:bCs/>
                <w:sz w:val="20"/>
                <w:szCs w:val="20"/>
                <w:lang w:val="es-ES"/>
              </w:rPr>
              <w:t>Acción Cultural Ngobe</w:t>
            </w:r>
            <w:r w:rsidRPr="00F3039A">
              <w:rPr>
                <w:rFonts w:asciiTheme="minorBidi" w:hAnsiTheme="minorBidi" w:cstheme="minorBidi"/>
                <w:sz w:val="20"/>
                <w:szCs w:val="20"/>
                <w:lang w:val="es-ES"/>
              </w:rPr>
              <w:br/>
              <w:t>Ngäbe Cultural Action</w:t>
            </w:r>
          </w:p>
        </w:tc>
        <w:tc>
          <w:tcPr>
            <w:tcW w:w="1059" w:type="pct"/>
            <w:shd w:val="clear" w:color="auto" w:fill="DEEAF6" w:themeFill="accent1" w:themeFillTint="33"/>
            <w:vAlign w:val="center"/>
          </w:tcPr>
          <w:p w14:paraId="59088D16" w14:textId="77777777" w:rsidR="00521F6F" w:rsidRPr="00F3039A" w:rsidRDefault="00521F6F" w:rsidP="003D1C83">
            <w:pPr>
              <w:contextualSpacing/>
              <w:jc w:val="center"/>
              <w:rPr>
                <w:rFonts w:asciiTheme="minorBidi" w:hAnsiTheme="minorBidi" w:cstheme="minorBidi"/>
                <w:sz w:val="20"/>
                <w:szCs w:val="20"/>
                <w:lang w:val="en-GB"/>
              </w:rPr>
            </w:pPr>
            <w:r w:rsidRPr="00F3039A">
              <w:rPr>
                <w:rFonts w:asciiTheme="minorBidi" w:hAnsiTheme="minorBidi" w:cstheme="minorBidi"/>
                <w:sz w:val="20"/>
                <w:szCs w:val="20"/>
                <w:lang w:val="en-GB"/>
              </w:rPr>
              <w:t>Panama</w:t>
            </w:r>
          </w:p>
        </w:tc>
        <w:tc>
          <w:tcPr>
            <w:tcW w:w="883" w:type="pct"/>
            <w:shd w:val="clear" w:color="auto" w:fill="DEEAF6" w:themeFill="accent1" w:themeFillTint="33"/>
            <w:vAlign w:val="center"/>
          </w:tcPr>
          <w:p w14:paraId="38195923" w14:textId="77777777" w:rsidR="00521F6F" w:rsidRPr="00F3039A" w:rsidRDefault="00521F6F" w:rsidP="003D1C83">
            <w:pPr>
              <w:contextualSpacing/>
              <w:jc w:val="center"/>
              <w:rPr>
                <w:rFonts w:asciiTheme="minorBidi" w:hAnsiTheme="minorBidi" w:cstheme="minorBidi"/>
                <w:sz w:val="20"/>
                <w:szCs w:val="20"/>
                <w:lang w:val="en-GB"/>
              </w:rPr>
            </w:pPr>
            <w:r w:rsidRPr="00F3039A">
              <w:rPr>
                <w:rFonts w:asciiTheme="minorBidi" w:hAnsiTheme="minorBidi" w:cstheme="minorBidi"/>
                <w:sz w:val="20"/>
                <w:szCs w:val="20"/>
                <w:lang w:val="en-GB"/>
              </w:rPr>
              <w:t>NGO-90583</w:t>
            </w:r>
          </w:p>
        </w:tc>
      </w:tr>
      <w:tr w:rsidR="00521F6F" w:rsidRPr="00F3039A" w14:paraId="79E74F61" w14:textId="77777777" w:rsidTr="006B723A">
        <w:trPr>
          <w:trHeight w:val="576"/>
        </w:trPr>
        <w:tc>
          <w:tcPr>
            <w:tcW w:w="3058" w:type="pct"/>
            <w:vAlign w:val="center"/>
          </w:tcPr>
          <w:p w14:paraId="49C6D36C" w14:textId="77777777" w:rsidR="00521F6F" w:rsidRPr="00F3039A" w:rsidRDefault="00521F6F" w:rsidP="003D1C83">
            <w:pPr>
              <w:contextualSpacing/>
              <w:rPr>
                <w:rFonts w:asciiTheme="minorBidi" w:hAnsiTheme="minorBidi" w:cstheme="minorBidi"/>
                <w:b/>
                <w:bCs/>
                <w:sz w:val="20"/>
                <w:szCs w:val="20"/>
                <w:lang w:val="en-GB"/>
              </w:rPr>
            </w:pPr>
            <w:r w:rsidRPr="00F3039A">
              <w:rPr>
                <w:rFonts w:asciiTheme="minorBidi" w:hAnsiTheme="minorBidi" w:cstheme="minorBidi"/>
                <w:b/>
                <w:bCs/>
                <w:sz w:val="20"/>
                <w:szCs w:val="20"/>
                <w:lang w:val="en-GB"/>
              </w:rPr>
              <w:t>American Folklore Society</w:t>
            </w:r>
          </w:p>
        </w:tc>
        <w:tc>
          <w:tcPr>
            <w:tcW w:w="1059" w:type="pct"/>
            <w:vAlign w:val="center"/>
          </w:tcPr>
          <w:p w14:paraId="6BA9AE59" w14:textId="77777777" w:rsidR="00521F6F" w:rsidRPr="00F3039A" w:rsidRDefault="00521F6F" w:rsidP="003D1C83">
            <w:pPr>
              <w:contextualSpacing/>
              <w:jc w:val="center"/>
              <w:rPr>
                <w:rFonts w:asciiTheme="minorBidi" w:hAnsiTheme="minorBidi" w:cstheme="minorBidi"/>
                <w:sz w:val="20"/>
                <w:szCs w:val="20"/>
                <w:lang w:val="en-GB"/>
              </w:rPr>
            </w:pPr>
            <w:r w:rsidRPr="00F3039A">
              <w:rPr>
                <w:rFonts w:asciiTheme="minorBidi" w:hAnsiTheme="minorBidi" w:cstheme="minorBidi"/>
                <w:sz w:val="20"/>
                <w:szCs w:val="20"/>
                <w:lang w:val="en-GB"/>
              </w:rPr>
              <w:t>United States of America</w:t>
            </w:r>
          </w:p>
        </w:tc>
        <w:tc>
          <w:tcPr>
            <w:tcW w:w="883" w:type="pct"/>
            <w:vAlign w:val="center"/>
          </w:tcPr>
          <w:p w14:paraId="67927D8C" w14:textId="77777777" w:rsidR="00521F6F" w:rsidRPr="00F3039A" w:rsidRDefault="00521F6F" w:rsidP="003D1C83">
            <w:pPr>
              <w:contextualSpacing/>
              <w:jc w:val="center"/>
              <w:rPr>
                <w:rFonts w:asciiTheme="minorBidi" w:hAnsiTheme="minorBidi" w:cstheme="minorBidi"/>
                <w:sz w:val="20"/>
                <w:szCs w:val="20"/>
                <w:lang w:val="en-GB"/>
              </w:rPr>
            </w:pPr>
            <w:r w:rsidRPr="00F3039A">
              <w:rPr>
                <w:rFonts w:asciiTheme="minorBidi" w:hAnsiTheme="minorBidi" w:cstheme="minorBidi"/>
                <w:sz w:val="20"/>
                <w:szCs w:val="20"/>
                <w:lang w:val="en-GB"/>
              </w:rPr>
              <w:t>NGO-90563</w:t>
            </w:r>
          </w:p>
        </w:tc>
      </w:tr>
      <w:tr w:rsidR="00521F6F" w:rsidRPr="00F3039A" w14:paraId="00A411DA" w14:textId="77777777" w:rsidTr="006B723A">
        <w:trPr>
          <w:trHeight w:val="576"/>
        </w:trPr>
        <w:tc>
          <w:tcPr>
            <w:tcW w:w="3058" w:type="pct"/>
            <w:shd w:val="clear" w:color="auto" w:fill="DEEAF6" w:themeFill="accent1" w:themeFillTint="33"/>
            <w:vAlign w:val="center"/>
          </w:tcPr>
          <w:p w14:paraId="39DD2F2E" w14:textId="77777777" w:rsidR="00521F6F" w:rsidRPr="00F3039A" w:rsidRDefault="00521F6F" w:rsidP="003D1C83">
            <w:pPr>
              <w:contextualSpacing/>
              <w:rPr>
                <w:rFonts w:asciiTheme="minorBidi" w:hAnsiTheme="minorBidi" w:cstheme="minorBidi"/>
                <w:b/>
                <w:bCs/>
                <w:sz w:val="20"/>
                <w:szCs w:val="20"/>
                <w:lang w:val="en-GB"/>
              </w:rPr>
            </w:pPr>
            <w:r w:rsidRPr="00F3039A">
              <w:rPr>
                <w:rFonts w:asciiTheme="minorBidi" w:hAnsiTheme="minorBidi" w:cstheme="minorBidi"/>
                <w:b/>
                <w:bCs/>
                <w:sz w:val="20"/>
                <w:szCs w:val="20"/>
                <w:lang w:val="en-GB"/>
              </w:rPr>
              <w:t>ART - Meșteșugurile Prutului</w:t>
            </w:r>
            <w:r w:rsidRPr="00F3039A">
              <w:rPr>
                <w:rFonts w:asciiTheme="minorBidi" w:hAnsiTheme="minorBidi" w:cstheme="minorBidi"/>
                <w:sz w:val="20"/>
                <w:szCs w:val="20"/>
                <w:lang w:val="en-GB"/>
              </w:rPr>
              <w:br/>
              <w:t>ART - Prut Crafts Association</w:t>
            </w:r>
          </w:p>
        </w:tc>
        <w:tc>
          <w:tcPr>
            <w:tcW w:w="1059" w:type="pct"/>
            <w:shd w:val="clear" w:color="auto" w:fill="DEEAF6" w:themeFill="accent1" w:themeFillTint="33"/>
            <w:vAlign w:val="center"/>
          </w:tcPr>
          <w:p w14:paraId="7567C3C3" w14:textId="77777777" w:rsidR="00521F6F" w:rsidRPr="00F3039A" w:rsidRDefault="00521F6F" w:rsidP="003D1C83">
            <w:pPr>
              <w:contextualSpacing/>
              <w:jc w:val="center"/>
              <w:rPr>
                <w:rFonts w:asciiTheme="minorBidi" w:hAnsiTheme="minorBidi" w:cstheme="minorBidi"/>
                <w:sz w:val="20"/>
                <w:szCs w:val="20"/>
                <w:lang w:val="en-GB"/>
              </w:rPr>
            </w:pPr>
            <w:r w:rsidRPr="00F3039A">
              <w:rPr>
                <w:rFonts w:asciiTheme="minorBidi" w:hAnsiTheme="minorBidi" w:cstheme="minorBidi"/>
                <w:sz w:val="20"/>
                <w:szCs w:val="20"/>
                <w:lang w:val="en-GB"/>
              </w:rPr>
              <w:t>Romania</w:t>
            </w:r>
          </w:p>
        </w:tc>
        <w:tc>
          <w:tcPr>
            <w:tcW w:w="883" w:type="pct"/>
            <w:shd w:val="clear" w:color="auto" w:fill="DEEAF6" w:themeFill="accent1" w:themeFillTint="33"/>
            <w:vAlign w:val="center"/>
          </w:tcPr>
          <w:p w14:paraId="28CDF7B1" w14:textId="77777777" w:rsidR="00521F6F" w:rsidRPr="00F3039A" w:rsidRDefault="00521F6F" w:rsidP="003D1C83">
            <w:pPr>
              <w:contextualSpacing/>
              <w:jc w:val="center"/>
              <w:rPr>
                <w:rFonts w:asciiTheme="minorBidi" w:hAnsiTheme="minorBidi" w:cstheme="minorBidi"/>
                <w:sz w:val="20"/>
                <w:szCs w:val="20"/>
                <w:lang w:val="en-GB"/>
              </w:rPr>
            </w:pPr>
            <w:r w:rsidRPr="00F3039A">
              <w:rPr>
                <w:rFonts w:asciiTheme="minorBidi" w:hAnsiTheme="minorBidi" w:cstheme="minorBidi"/>
                <w:sz w:val="20"/>
                <w:szCs w:val="20"/>
                <w:lang w:val="en-GB"/>
              </w:rPr>
              <w:t>NGO-90577</w:t>
            </w:r>
          </w:p>
        </w:tc>
      </w:tr>
      <w:tr w:rsidR="00521F6F" w:rsidRPr="00F3039A" w14:paraId="4F8ADD7B" w14:textId="77777777" w:rsidTr="006B723A">
        <w:trPr>
          <w:trHeight w:val="576"/>
        </w:trPr>
        <w:tc>
          <w:tcPr>
            <w:tcW w:w="3058" w:type="pct"/>
            <w:vAlign w:val="center"/>
          </w:tcPr>
          <w:p w14:paraId="314D95CA" w14:textId="77777777" w:rsidR="00521F6F" w:rsidRPr="00F3039A" w:rsidRDefault="00521F6F" w:rsidP="003D1C83">
            <w:pPr>
              <w:contextualSpacing/>
              <w:rPr>
                <w:rFonts w:asciiTheme="minorBidi" w:hAnsiTheme="minorBidi" w:cstheme="minorBidi"/>
                <w:sz w:val="20"/>
                <w:szCs w:val="20"/>
                <w:lang w:val="pt-BR"/>
              </w:rPr>
            </w:pPr>
            <w:r w:rsidRPr="00F3039A">
              <w:rPr>
                <w:rFonts w:asciiTheme="minorBidi" w:hAnsiTheme="minorBidi" w:cstheme="minorBidi"/>
                <w:b/>
                <w:bCs/>
                <w:sz w:val="20"/>
                <w:szCs w:val="20"/>
                <w:lang w:val="pt-BR"/>
              </w:rPr>
              <w:t>Associação Camará Capoeira</w:t>
            </w:r>
            <w:r w:rsidRPr="00F3039A">
              <w:rPr>
                <w:rFonts w:asciiTheme="minorBidi" w:hAnsiTheme="minorBidi" w:cstheme="minorBidi"/>
                <w:sz w:val="20"/>
                <w:szCs w:val="20"/>
                <w:lang w:val="pt-BR"/>
              </w:rPr>
              <w:br/>
              <w:t>Camará Capoeira Association</w:t>
            </w:r>
          </w:p>
        </w:tc>
        <w:tc>
          <w:tcPr>
            <w:tcW w:w="1059" w:type="pct"/>
            <w:vAlign w:val="center"/>
          </w:tcPr>
          <w:p w14:paraId="087825B4" w14:textId="77777777" w:rsidR="00521F6F" w:rsidRPr="00F3039A" w:rsidRDefault="00521F6F" w:rsidP="003D1C83">
            <w:pPr>
              <w:contextualSpacing/>
              <w:jc w:val="center"/>
              <w:rPr>
                <w:rFonts w:asciiTheme="minorBidi" w:hAnsiTheme="minorBidi" w:cstheme="minorBidi"/>
                <w:sz w:val="20"/>
                <w:szCs w:val="20"/>
                <w:lang w:val="en-GB"/>
              </w:rPr>
            </w:pPr>
            <w:r w:rsidRPr="00F3039A">
              <w:rPr>
                <w:rFonts w:asciiTheme="minorBidi" w:hAnsiTheme="minorBidi" w:cstheme="minorBidi"/>
                <w:sz w:val="20"/>
                <w:szCs w:val="20"/>
                <w:lang w:val="en-GB"/>
              </w:rPr>
              <w:t>Brazil</w:t>
            </w:r>
          </w:p>
        </w:tc>
        <w:tc>
          <w:tcPr>
            <w:tcW w:w="883" w:type="pct"/>
            <w:vAlign w:val="center"/>
          </w:tcPr>
          <w:p w14:paraId="044B15AA" w14:textId="77777777" w:rsidR="00521F6F" w:rsidRPr="00F3039A" w:rsidRDefault="00521F6F" w:rsidP="003D1C83">
            <w:pPr>
              <w:contextualSpacing/>
              <w:jc w:val="center"/>
              <w:rPr>
                <w:rFonts w:asciiTheme="minorBidi" w:hAnsiTheme="minorBidi" w:cstheme="minorBidi"/>
                <w:sz w:val="20"/>
                <w:szCs w:val="20"/>
                <w:lang w:val="en-GB"/>
              </w:rPr>
            </w:pPr>
            <w:r w:rsidRPr="00F3039A">
              <w:rPr>
                <w:rFonts w:asciiTheme="minorBidi" w:hAnsiTheme="minorBidi" w:cstheme="minorBidi"/>
                <w:sz w:val="20"/>
                <w:szCs w:val="20"/>
                <w:lang w:val="en-GB"/>
              </w:rPr>
              <w:t>NGO-90543</w:t>
            </w:r>
          </w:p>
        </w:tc>
      </w:tr>
      <w:tr w:rsidR="00521F6F" w:rsidRPr="00F3039A" w14:paraId="7CD8D066" w14:textId="77777777" w:rsidTr="006B723A">
        <w:trPr>
          <w:trHeight w:val="576"/>
        </w:trPr>
        <w:tc>
          <w:tcPr>
            <w:tcW w:w="3058" w:type="pct"/>
            <w:shd w:val="clear" w:color="auto" w:fill="DEEAF6" w:themeFill="accent1" w:themeFillTint="33"/>
            <w:vAlign w:val="center"/>
          </w:tcPr>
          <w:p w14:paraId="1D5F9B27" w14:textId="77777777" w:rsidR="00521F6F" w:rsidRPr="00F3039A" w:rsidRDefault="00521F6F" w:rsidP="003D1C83">
            <w:pPr>
              <w:contextualSpacing/>
              <w:rPr>
                <w:rFonts w:asciiTheme="minorBidi" w:hAnsiTheme="minorBidi" w:cstheme="minorBidi"/>
                <w:b/>
                <w:bCs/>
                <w:sz w:val="20"/>
                <w:szCs w:val="20"/>
                <w:lang w:val="pt-BR"/>
              </w:rPr>
            </w:pPr>
            <w:r w:rsidRPr="00F3039A">
              <w:rPr>
                <w:rFonts w:asciiTheme="minorBidi" w:hAnsiTheme="minorBidi" w:cstheme="minorBidi"/>
                <w:b/>
                <w:bCs/>
                <w:sz w:val="20"/>
                <w:szCs w:val="20"/>
                <w:lang w:val="pt-BR"/>
              </w:rPr>
              <w:t>Associação Nacional das Baianas de Acarajé, Mingau, Receptivo, e Similares</w:t>
            </w:r>
            <w:r w:rsidRPr="00F3039A">
              <w:rPr>
                <w:rFonts w:asciiTheme="minorBidi" w:hAnsiTheme="minorBidi" w:cstheme="minorBidi"/>
                <w:sz w:val="20"/>
                <w:szCs w:val="20"/>
                <w:lang w:val="pt-BR"/>
              </w:rPr>
              <w:br/>
              <w:t>National Association of Baianas of Acarajé, Mingau, Receptive, and Similarities</w:t>
            </w:r>
          </w:p>
        </w:tc>
        <w:tc>
          <w:tcPr>
            <w:tcW w:w="1059" w:type="pct"/>
            <w:shd w:val="clear" w:color="auto" w:fill="DEEAF6" w:themeFill="accent1" w:themeFillTint="33"/>
            <w:vAlign w:val="center"/>
          </w:tcPr>
          <w:p w14:paraId="77CFF2B1" w14:textId="77777777" w:rsidR="00521F6F" w:rsidRPr="00F3039A" w:rsidRDefault="00521F6F" w:rsidP="003D1C83">
            <w:pPr>
              <w:contextualSpacing/>
              <w:jc w:val="center"/>
              <w:rPr>
                <w:rFonts w:asciiTheme="minorBidi" w:hAnsiTheme="minorBidi" w:cstheme="minorBidi"/>
                <w:sz w:val="20"/>
                <w:szCs w:val="20"/>
                <w:lang w:val="en-GB"/>
              </w:rPr>
            </w:pPr>
            <w:r w:rsidRPr="00F3039A">
              <w:rPr>
                <w:rFonts w:asciiTheme="minorBidi" w:hAnsiTheme="minorBidi" w:cstheme="minorBidi"/>
                <w:sz w:val="20"/>
                <w:szCs w:val="20"/>
                <w:lang w:val="en-GB"/>
              </w:rPr>
              <w:t>Brazil</w:t>
            </w:r>
          </w:p>
        </w:tc>
        <w:tc>
          <w:tcPr>
            <w:tcW w:w="883" w:type="pct"/>
            <w:shd w:val="clear" w:color="auto" w:fill="DEEAF6" w:themeFill="accent1" w:themeFillTint="33"/>
            <w:vAlign w:val="center"/>
          </w:tcPr>
          <w:p w14:paraId="7F9E7419" w14:textId="77777777" w:rsidR="00521F6F" w:rsidRPr="00F3039A" w:rsidRDefault="00521F6F" w:rsidP="003D1C83">
            <w:pPr>
              <w:contextualSpacing/>
              <w:jc w:val="center"/>
              <w:rPr>
                <w:rFonts w:asciiTheme="minorBidi" w:hAnsiTheme="minorBidi" w:cstheme="minorBidi"/>
                <w:sz w:val="20"/>
                <w:szCs w:val="20"/>
                <w:lang w:val="en-GB"/>
              </w:rPr>
            </w:pPr>
            <w:r w:rsidRPr="00F3039A">
              <w:rPr>
                <w:rFonts w:asciiTheme="minorBidi" w:hAnsiTheme="minorBidi" w:cstheme="minorBidi"/>
                <w:sz w:val="20"/>
                <w:szCs w:val="20"/>
                <w:lang w:val="en-GB"/>
              </w:rPr>
              <w:t>NGO-90580</w:t>
            </w:r>
          </w:p>
        </w:tc>
      </w:tr>
      <w:tr w:rsidR="00521F6F" w:rsidRPr="00F3039A" w14:paraId="21B6F58E" w14:textId="77777777" w:rsidTr="006B723A">
        <w:trPr>
          <w:trHeight w:val="576"/>
        </w:trPr>
        <w:tc>
          <w:tcPr>
            <w:tcW w:w="3058" w:type="pct"/>
            <w:vAlign w:val="center"/>
          </w:tcPr>
          <w:p w14:paraId="24BFD9DC" w14:textId="77777777" w:rsidR="00521F6F" w:rsidRPr="00F3039A" w:rsidRDefault="00521F6F" w:rsidP="003D1C83">
            <w:pPr>
              <w:contextualSpacing/>
              <w:rPr>
                <w:rFonts w:asciiTheme="minorBidi" w:hAnsiTheme="minorBidi" w:cstheme="minorBidi"/>
                <w:b/>
                <w:bCs/>
                <w:sz w:val="20"/>
                <w:szCs w:val="20"/>
              </w:rPr>
            </w:pPr>
            <w:r w:rsidRPr="00F3039A">
              <w:rPr>
                <w:rFonts w:asciiTheme="minorBidi" w:hAnsiTheme="minorBidi" w:cstheme="minorBidi"/>
                <w:b/>
                <w:bCs/>
                <w:sz w:val="20"/>
                <w:szCs w:val="20"/>
              </w:rPr>
              <w:t>Association Al Muniya de Marrakech pour la revivification et la préservation du patrimoine du Royaume du Maroc</w:t>
            </w:r>
          </w:p>
        </w:tc>
        <w:tc>
          <w:tcPr>
            <w:tcW w:w="1059" w:type="pct"/>
            <w:vAlign w:val="center"/>
          </w:tcPr>
          <w:p w14:paraId="6F1589B0" w14:textId="77777777" w:rsidR="00521F6F" w:rsidRPr="00F3039A" w:rsidRDefault="00521F6F" w:rsidP="003D1C83">
            <w:pPr>
              <w:contextualSpacing/>
              <w:jc w:val="center"/>
              <w:rPr>
                <w:rFonts w:asciiTheme="minorBidi" w:hAnsiTheme="minorBidi" w:cstheme="minorBidi"/>
                <w:sz w:val="20"/>
                <w:szCs w:val="20"/>
                <w:lang w:val="en-GB"/>
              </w:rPr>
            </w:pPr>
            <w:r w:rsidRPr="00F3039A">
              <w:rPr>
                <w:rFonts w:asciiTheme="minorBidi" w:hAnsiTheme="minorBidi" w:cstheme="minorBidi"/>
                <w:sz w:val="20"/>
                <w:szCs w:val="20"/>
                <w:lang w:val="en-GB"/>
              </w:rPr>
              <w:t>Morocco</w:t>
            </w:r>
          </w:p>
        </w:tc>
        <w:tc>
          <w:tcPr>
            <w:tcW w:w="883" w:type="pct"/>
            <w:vAlign w:val="center"/>
          </w:tcPr>
          <w:p w14:paraId="28500AB1" w14:textId="77777777" w:rsidR="00521F6F" w:rsidRPr="00F3039A" w:rsidRDefault="00521F6F" w:rsidP="003D1C83">
            <w:pPr>
              <w:contextualSpacing/>
              <w:jc w:val="center"/>
              <w:rPr>
                <w:rFonts w:asciiTheme="minorBidi" w:hAnsiTheme="minorBidi" w:cstheme="minorBidi"/>
                <w:sz w:val="20"/>
                <w:szCs w:val="20"/>
                <w:lang w:val="en-GB"/>
              </w:rPr>
            </w:pPr>
            <w:r w:rsidRPr="00F3039A">
              <w:rPr>
                <w:rFonts w:asciiTheme="minorBidi" w:hAnsiTheme="minorBidi" w:cstheme="minorBidi"/>
                <w:sz w:val="20"/>
                <w:szCs w:val="20"/>
                <w:lang w:val="en-GB"/>
              </w:rPr>
              <w:t>NGO-90528</w:t>
            </w:r>
          </w:p>
        </w:tc>
      </w:tr>
      <w:tr w:rsidR="00521F6F" w:rsidRPr="00F3039A" w14:paraId="258C4B1A" w14:textId="77777777" w:rsidTr="006B723A">
        <w:trPr>
          <w:trHeight w:val="576"/>
        </w:trPr>
        <w:tc>
          <w:tcPr>
            <w:tcW w:w="3058" w:type="pct"/>
            <w:shd w:val="clear" w:color="auto" w:fill="DEEAF6" w:themeFill="accent1" w:themeFillTint="33"/>
            <w:vAlign w:val="center"/>
          </w:tcPr>
          <w:p w14:paraId="02F7067B" w14:textId="77777777" w:rsidR="00521F6F" w:rsidRPr="00F3039A" w:rsidRDefault="00521F6F" w:rsidP="003D1C83">
            <w:pPr>
              <w:contextualSpacing/>
              <w:rPr>
                <w:rFonts w:asciiTheme="minorBidi" w:hAnsiTheme="minorBidi" w:cstheme="minorBidi"/>
                <w:b/>
                <w:bCs/>
                <w:sz w:val="20"/>
                <w:szCs w:val="20"/>
              </w:rPr>
            </w:pPr>
            <w:r w:rsidRPr="00F3039A">
              <w:rPr>
                <w:rFonts w:asciiTheme="minorBidi" w:hAnsiTheme="minorBidi" w:cstheme="minorBidi"/>
                <w:b/>
                <w:bCs/>
                <w:sz w:val="20"/>
                <w:szCs w:val="20"/>
              </w:rPr>
              <w:t>Association Culture, Paix et Développement (CPD)</w:t>
            </w:r>
          </w:p>
        </w:tc>
        <w:tc>
          <w:tcPr>
            <w:tcW w:w="1059" w:type="pct"/>
            <w:shd w:val="clear" w:color="auto" w:fill="DEEAF6" w:themeFill="accent1" w:themeFillTint="33"/>
            <w:vAlign w:val="center"/>
          </w:tcPr>
          <w:p w14:paraId="59C05182" w14:textId="77777777" w:rsidR="00521F6F" w:rsidRPr="00F3039A" w:rsidRDefault="00521F6F" w:rsidP="003D1C83">
            <w:pPr>
              <w:contextualSpacing/>
              <w:jc w:val="center"/>
              <w:rPr>
                <w:rFonts w:asciiTheme="minorBidi" w:hAnsiTheme="minorBidi" w:cstheme="minorBidi"/>
                <w:sz w:val="20"/>
                <w:szCs w:val="20"/>
                <w:lang w:val="en-GB"/>
              </w:rPr>
            </w:pPr>
            <w:r w:rsidRPr="00F3039A">
              <w:rPr>
                <w:rFonts w:asciiTheme="minorBidi" w:hAnsiTheme="minorBidi" w:cstheme="minorBidi"/>
                <w:sz w:val="20"/>
                <w:szCs w:val="20"/>
                <w:lang w:val="en-GB"/>
              </w:rPr>
              <w:t>Togo</w:t>
            </w:r>
          </w:p>
        </w:tc>
        <w:tc>
          <w:tcPr>
            <w:tcW w:w="883" w:type="pct"/>
            <w:shd w:val="clear" w:color="auto" w:fill="DEEAF6" w:themeFill="accent1" w:themeFillTint="33"/>
            <w:vAlign w:val="center"/>
          </w:tcPr>
          <w:p w14:paraId="4203C43E" w14:textId="77777777" w:rsidR="00521F6F" w:rsidRPr="00F3039A" w:rsidRDefault="00521F6F" w:rsidP="003D1C83">
            <w:pPr>
              <w:contextualSpacing/>
              <w:jc w:val="center"/>
              <w:rPr>
                <w:rFonts w:asciiTheme="minorBidi" w:hAnsiTheme="minorBidi" w:cstheme="minorBidi"/>
                <w:sz w:val="20"/>
                <w:szCs w:val="20"/>
                <w:lang w:val="en-GB"/>
              </w:rPr>
            </w:pPr>
            <w:r w:rsidRPr="00F3039A">
              <w:rPr>
                <w:rFonts w:asciiTheme="minorBidi" w:hAnsiTheme="minorBidi" w:cstheme="minorBidi"/>
                <w:sz w:val="20"/>
                <w:szCs w:val="20"/>
                <w:lang w:val="en-GB"/>
              </w:rPr>
              <w:t>NGO-90564</w:t>
            </w:r>
          </w:p>
        </w:tc>
      </w:tr>
      <w:tr w:rsidR="00521F6F" w:rsidRPr="00F3039A" w14:paraId="1C60F564" w14:textId="77777777" w:rsidTr="006B723A">
        <w:trPr>
          <w:trHeight w:val="576"/>
        </w:trPr>
        <w:tc>
          <w:tcPr>
            <w:tcW w:w="3058" w:type="pct"/>
            <w:vAlign w:val="center"/>
          </w:tcPr>
          <w:p w14:paraId="1229F05A" w14:textId="77777777" w:rsidR="00521F6F" w:rsidRPr="00F3039A" w:rsidRDefault="00521F6F" w:rsidP="003D1C83">
            <w:pPr>
              <w:contextualSpacing/>
              <w:rPr>
                <w:rFonts w:asciiTheme="minorBidi" w:hAnsiTheme="minorBidi" w:cstheme="minorBidi"/>
                <w:b/>
                <w:bCs/>
                <w:sz w:val="20"/>
                <w:szCs w:val="20"/>
              </w:rPr>
            </w:pPr>
            <w:r w:rsidRPr="00F3039A">
              <w:rPr>
                <w:rFonts w:asciiTheme="minorBidi" w:hAnsiTheme="minorBidi" w:cstheme="minorBidi"/>
                <w:b/>
                <w:bCs/>
                <w:sz w:val="20"/>
                <w:szCs w:val="20"/>
              </w:rPr>
              <w:t>Association tunisienne de sauvegarde et de valorisation du Patrimoine Culturel Immatériel tunisien</w:t>
            </w:r>
          </w:p>
        </w:tc>
        <w:tc>
          <w:tcPr>
            <w:tcW w:w="1059" w:type="pct"/>
            <w:vAlign w:val="center"/>
          </w:tcPr>
          <w:p w14:paraId="6DF6603E" w14:textId="77777777" w:rsidR="00521F6F" w:rsidRPr="00F3039A" w:rsidRDefault="00521F6F" w:rsidP="003D1C83">
            <w:pPr>
              <w:contextualSpacing/>
              <w:jc w:val="center"/>
              <w:rPr>
                <w:rFonts w:asciiTheme="minorBidi" w:hAnsiTheme="minorBidi" w:cstheme="minorBidi"/>
                <w:sz w:val="20"/>
                <w:szCs w:val="20"/>
                <w:lang w:val="en-GB"/>
              </w:rPr>
            </w:pPr>
            <w:r w:rsidRPr="00F3039A">
              <w:rPr>
                <w:rFonts w:asciiTheme="minorBidi" w:hAnsiTheme="minorBidi" w:cstheme="minorBidi"/>
                <w:sz w:val="20"/>
                <w:szCs w:val="20"/>
                <w:lang w:val="en-GB"/>
              </w:rPr>
              <w:t>Tunisia</w:t>
            </w:r>
          </w:p>
        </w:tc>
        <w:tc>
          <w:tcPr>
            <w:tcW w:w="883" w:type="pct"/>
            <w:vAlign w:val="center"/>
          </w:tcPr>
          <w:p w14:paraId="1FD72987" w14:textId="77777777" w:rsidR="00521F6F" w:rsidRPr="00F3039A" w:rsidRDefault="00521F6F" w:rsidP="003D1C83">
            <w:pPr>
              <w:contextualSpacing/>
              <w:jc w:val="center"/>
              <w:rPr>
                <w:rFonts w:asciiTheme="minorBidi" w:hAnsiTheme="minorBidi" w:cstheme="minorBidi"/>
                <w:sz w:val="20"/>
                <w:szCs w:val="20"/>
                <w:lang w:val="en-GB"/>
              </w:rPr>
            </w:pPr>
            <w:r w:rsidRPr="00F3039A">
              <w:rPr>
                <w:rFonts w:asciiTheme="minorBidi" w:hAnsiTheme="minorBidi" w:cstheme="minorBidi"/>
                <w:sz w:val="20"/>
                <w:szCs w:val="20"/>
                <w:lang w:val="en-GB"/>
              </w:rPr>
              <w:t>NGO-90525</w:t>
            </w:r>
          </w:p>
        </w:tc>
      </w:tr>
      <w:tr w:rsidR="00521F6F" w:rsidRPr="00F3039A" w14:paraId="1F97C411" w14:textId="77777777" w:rsidTr="006B723A">
        <w:trPr>
          <w:trHeight w:val="576"/>
        </w:trPr>
        <w:tc>
          <w:tcPr>
            <w:tcW w:w="3058" w:type="pct"/>
            <w:shd w:val="clear" w:color="auto" w:fill="DEEAF6" w:themeFill="accent1" w:themeFillTint="33"/>
            <w:vAlign w:val="center"/>
          </w:tcPr>
          <w:p w14:paraId="4EB2AC88" w14:textId="77777777" w:rsidR="00521F6F" w:rsidRPr="00F3039A" w:rsidRDefault="00521F6F" w:rsidP="003D1C83">
            <w:pPr>
              <w:contextualSpacing/>
              <w:rPr>
                <w:rFonts w:asciiTheme="minorBidi" w:hAnsiTheme="minorBidi" w:cstheme="minorBidi"/>
                <w:b/>
                <w:bCs/>
                <w:sz w:val="20"/>
                <w:szCs w:val="20"/>
                <w:lang w:val="en-GB"/>
              </w:rPr>
            </w:pPr>
            <w:r w:rsidRPr="00F3039A">
              <w:rPr>
                <w:rFonts w:asciiTheme="minorBidi" w:hAnsiTheme="minorBidi" w:cstheme="minorBidi"/>
                <w:b/>
                <w:bCs/>
                <w:sz w:val="20"/>
                <w:szCs w:val="20"/>
                <w:lang w:val="en-GB"/>
              </w:rPr>
              <w:t>Associazione Cultura Italiae</w:t>
            </w:r>
            <w:r w:rsidRPr="00F3039A">
              <w:rPr>
                <w:rFonts w:asciiTheme="minorBidi" w:hAnsiTheme="minorBidi" w:cstheme="minorBidi"/>
                <w:sz w:val="20"/>
                <w:szCs w:val="20"/>
                <w:lang w:val="en-GB"/>
              </w:rPr>
              <w:br/>
              <w:t>Association Culture of Italy</w:t>
            </w:r>
          </w:p>
        </w:tc>
        <w:tc>
          <w:tcPr>
            <w:tcW w:w="1059" w:type="pct"/>
            <w:shd w:val="clear" w:color="auto" w:fill="DEEAF6" w:themeFill="accent1" w:themeFillTint="33"/>
            <w:vAlign w:val="center"/>
          </w:tcPr>
          <w:p w14:paraId="3791C7E1" w14:textId="77777777" w:rsidR="00521F6F" w:rsidRPr="00F3039A" w:rsidRDefault="00521F6F" w:rsidP="003D1C83">
            <w:pPr>
              <w:contextualSpacing/>
              <w:jc w:val="center"/>
              <w:rPr>
                <w:rFonts w:asciiTheme="minorBidi" w:hAnsiTheme="minorBidi" w:cstheme="minorBidi"/>
                <w:sz w:val="20"/>
                <w:szCs w:val="20"/>
                <w:lang w:val="en-GB"/>
              </w:rPr>
            </w:pPr>
            <w:r w:rsidRPr="00F3039A">
              <w:rPr>
                <w:rFonts w:asciiTheme="minorBidi" w:hAnsiTheme="minorBidi" w:cstheme="minorBidi"/>
                <w:sz w:val="20"/>
                <w:szCs w:val="20"/>
                <w:lang w:val="en-GB"/>
              </w:rPr>
              <w:t>Italy</w:t>
            </w:r>
          </w:p>
        </w:tc>
        <w:tc>
          <w:tcPr>
            <w:tcW w:w="883" w:type="pct"/>
            <w:shd w:val="clear" w:color="auto" w:fill="DEEAF6" w:themeFill="accent1" w:themeFillTint="33"/>
            <w:vAlign w:val="center"/>
          </w:tcPr>
          <w:p w14:paraId="6EADE0D8" w14:textId="77777777" w:rsidR="00521F6F" w:rsidRPr="00F3039A" w:rsidRDefault="00521F6F" w:rsidP="003D1C83">
            <w:pPr>
              <w:contextualSpacing/>
              <w:jc w:val="center"/>
              <w:rPr>
                <w:rFonts w:asciiTheme="minorBidi" w:hAnsiTheme="minorBidi" w:cstheme="minorBidi"/>
                <w:sz w:val="20"/>
                <w:szCs w:val="20"/>
                <w:lang w:val="en-GB"/>
              </w:rPr>
            </w:pPr>
            <w:r w:rsidRPr="00F3039A">
              <w:rPr>
                <w:rFonts w:asciiTheme="minorBidi" w:hAnsiTheme="minorBidi" w:cstheme="minorBidi"/>
                <w:sz w:val="20"/>
                <w:szCs w:val="20"/>
                <w:lang w:val="en-GB"/>
              </w:rPr>
              <w:t>NGO-90589</w:t>
            </w:r>
          </w:p>
        </w:tc>
      </w:tr>
      <w:tr w:rsidR="00521F6F" w:rsidRPr="00F3039A" w14:paraId="24F70FE4" w14:textId="77777777" w:rsidTr="006B723A">
        <w:trPr>
          <w:trHeight w:val="576"/>
        </w:trPr>
        <w:tc>
          <w:tcPr>
            <w:tcW w:w="3058" w:type="pct"/>
            <w:vAlign w:val="center"/>
          </w:tcPr>
          <w:p w14:paraId="1C4994EC" w14:textId="77777777" w:rsidR="00521F6F" w:rsidRPr="00F3039A" w:rsidRDefault="00521F6F" w:rsidP="003D1C83">
            <w:pPr>
              <w:contextualSpacing/>
              <w:rPr>
                <w:rFonts w:asciiTheme="minorBidi" w:hAnsiTheme="minorBidi" w:cstheme="minorBidi"/>
                <w:b/>
                <w:bCs/>
                <w:sz w:val="20"/>
                <w:szCs w:val="20"/>
                <w:lang w:val="pt-BR"/>
              </w:rPr>
            </w:pPr>
            <w:r w:rsidRPr="00F3039A">
              <w:rPr>
                <w:rFonts w:asciiTheme="minorBidi" w:hAnsiTheme="minorBidi" w:cstheme="minorBidi"/>
                <w:b/>
                <w:bCs/>
                <w:sz w:val="20"/>
                <w:szCs w:val="20"/>
                <w:lang w:val="pt-BR"/>
              </w:rPr>
              <w:t>Associazione Ecomuseo Casilino ad Duas Lauros</w:t>
            </w:r>
            <w:r w:rsidRPr="00F3039A">
              <w:rPr>
                <w:rFonts w:asciiTheme="minorBidi" w:hAnsiTheme="minorBidi" w:cstheme="minorBidi"/>
                <w:sz w:val="20"/>
                <w:szCs w:val="20"/>
                <w:lang w:val="pt-BR"/>
              </w:rPr>
              <w:br/>
              <w:t>Ecomuseum Casilino ad Duas Lauros Association</w:t>
            </w:r>
          </w:p>
        </w:tc>
        <w:tc>
          <w:tcPr>
            <w:tcW w:w="1059" w:type="pct"/>
            <w:vAlign w:val="center"/>
          </w:tcPr>
          <w:p w14:paraId="4DE2E5EB" w14:textId="77777777" w:rsidR="00521F6F" w:rsidRPr="00F3039A" w:rsidRDefault="00521F6F" w:rsidP="003D1C83">
            <w:pPr>
              <w:contextualSpacing/>
              <w:jc w:val="center"/>
              <w:rPr>
                <w:rFonts w:asciiTheme="minorBidi" w:hAnsiTheme="minorBidi" w:cstheme="minorBidi"/>
                <w:sz w:val="20"/>
                <w:szCs w:val="20"/>
                <w:lang w:val="en-GB"/>
              </w:rPr>
            </w:pPr>
            <w:r w:rsidRPr="00F3039A">
              <w:rPr>
                <w:rFonts w:asciiTheme="minorBidi" w:hAnsiTheme="minorBidi" w:cstheme="minorBidi"/>
                <w:sz w:val="20"/>
                <w:szCs w:val="20"/>
                <w:lang w:val="en-GB"/>
              </w:rPr>
              <w:t>Italy</w:t>
            </w:r>
          </w:p>
        </w:tc>
        <w:tc>
          <w:tcPr>
            <w:tcW w:w="883" w:type="pct"/>
            <w:vAlign w:val="center"/>
          </w:tcPr>
          <w:p w14:paraId="149B4D74" w14:textId="77777777" w:rsidR="00521F6F" w:rsidRPr="00F3039A" w:rsidRDefault="00521F6F" w:rsidP="003D1C83">
            <w:pPr>
              <w:contextualSpacing/>
              <w:jc w:val="center"/>
              <w:rPr>
                <w:rFonts w:asciiTheme="minorBidi" w:hAnsiTheme="minorBidi" w:cstheme="minorBidi"/>
                <w:sz w:val="20"/>
                <w:szCs w:val="20"/>
                <w:lang w:val="en-GB"/>
              </w:rPr>
            </w:pPr>
            <w:r w:rsidRPr="00F3039A">
              <w:rPr>
                <w:rFonts w:asciiTheme="minorBidi" w:hAnsiTheme="minorBidi" w:cstheme="minorBidi"/>
                <w:sz w:val="20"/>
                <w:szCs w:val="20"/>
                <w:lang w:val="en-GB"/>
              </w:rPr>
              <w:t>NGO-90582</w:t>
            </w:r>
          </w:p>
        </w:tc>
      </w:tr>
      <w:tr w:rsidR="00521F6F" w:rsidRPr="00F3039A" w14:paraId="18571CF7" w14:textId="77777777" w:rsidTr="006B723A">
        <w:trPr>
          <w:trHeight w:val="576"/>
        </w:trPr>
        <w:tc>
          <w:tcPr>
            <w:tcW w:w="3058" w:type="pct"/>
            <w:shd w:val="clear" w:color="auto" w:fill="DEEAF6" w:themeFill="accent1" w:themeFillTint="33"/>
            <w:vAlign w:val="center"/>
          </w:tcPr>
          <w:p w14:paraId="352972DF" w14:textId="77777777" w:rsidR="00521F6F" w:rsidRPr="00F3039A" w:rsidRDefault="00521F6F" w:rsidP="003D1C83">
            <w:pPr>
              <w:contextualSpacing/>
              <w:rPr>
                <w:rFonts w:asciiTheme="minorBidi" w:hAnsiTheme="minorBidi" w:cstheme="minorBidi"/>
                <w:b/>
                <w:bCs/>
                <w:sz w:val="20"/>
                <w:szCs w:val="20"/>
                <w:lang w:val="en-GB"/>
              </w:rPr>
            </w:pPr>
            <w:r w:rsidRPr="00F3039A">
              <w:rPr>
                <w:rFonts w:asciiTheme="minorBidi" w:hAnsiTheme="minorBidi" w:cstheme="minorBidi"/>
                <w:b/>
                <w:bCs/>
                <w:sz w:val="20"/>
                <w:szCs w:val="20"/>
                <w:lang w:val="en-GB"/>
              </w:rPr>
              <w:t>Barbados Museum &amp; Historical Society</w:t>
            </w:r>
          </w:p>
        </w:tc>
        <w:tc>
          <w:tcPr>
            <w:tcW w:w="1059" w:type="pct"/>
            <w:shd w:val="clear" w:color="auto" w:fill="DEEAF6" w:themeFill="accent1" w:themeFillTint="33"/>
            <w:vAlign w:val="center"/>
          </w:tcPr>
          <w:p w14:paraId="1228B513" w14:textId="77777777" w:rsidR="00521F6F" w:rsidRPr="00F3039A" w:rsidRDefault="00521F6F" w:rsidP="003D1C83">
            <w:pPr>
              <w:contextualSpacing/>
              <w:jc w:val="center"/>
              <w:rPr>
                <w:rFonts w:asciiTheme="minorBidi" w:hAnsiTheme="minorBidi" w:cstheme="minorBidi"/>
                <w:sz w:val="20"/>
                <w:szCs w:val="20"/>
                <w:lang w:val="en-GB"/>
              </w:rPr>
            </w:pPr>
            <w:r w:rsidRPr="00F3039A">
              <w:rPr>
                <w:rFonts w:asciiTheme="minorBidi" w:hAnsiTheme="minorBidi" w:cstheme="minorBidi"/>
                <w:sz w:val="20"/>
                <w:szCs w:val="20"/>
                <w:lang w:val="en-GB"/>
              </w:rPr>
              <w:t>Barbados</w:t>
            </w:r>
          </w:p>
        </w:tc>
        <w:tc>
          <w:tcPr>
            <w:tcW w:w="883" w:type="pct"/>
            <w:shd w:val="clear" w:color="auto" w:fill="DEEAF6" w:themeFill="accent1" w:themeFillTint="33"/>
            <w:vAlign w:val="center"/>
          </w:tcPr>
          <w:p w14:paraId="3EB74822" w14:textId="77777777" w:rsidR="00521F6F" w:rsidRPr="00F3039A" w:rsidRDefault="00521F6F" w:rsidP="003D1C83">
            <w:pPr>
              <w:contextualSpacing/>
              <w:jc w:val="center"/>
              <w:rPr>
                <w:rFonts w:asciiTheme="minorBidi" w:hAnsiTheme="minorBidi" w:cstheme="minorBidi"/>
                <w:sz w:val="20"/>
                <w:szCs w:val="20"/>
                <w:lang w:val="en-GB"/>
              </w:rPr>
            </w:pPr>
            <w:r w:rsidRPr="00F3039A">
              <w:rPr>
                <w:rFonts w:asciiTheme="minorBidi" w:hAnsiTheme="minorBidi" w:cstheme="minorBidi"/>
                <w:sz w:val="20"/>
                <w:szCs w:val="20"/>
                <w:lang w:val="en-GB"/>
              </w:rPr>
              <w:t>NGO-90554</w:t>
            </w:r>
          </w:p>
        </w:tc>
      </w:tr>
      <w:tr w:rsidR="00521F6F" w:rsidRPr="00F3039A" w14:paraId="76D9885A" w14:textId="77777777" w:rsidTr="006B723A">
        <w:trPr>
          <w:trHeight w:val="576"/>
        </w:trPr>
        <w:tc>
          <w:tcPr>
            <w:tcW w:w="3058" w:type="pct"/>
            <w:vAlign w:val="center"/>
          </w:tcPr>
          <w:p w14:paraId="60FEF6B0" w14:textId="77777777" w:rsidR="00521F6F" w:rsidRPr="00F3039A" w:rsidRDefault="00521F6F" w:rsidP="009314C9">
            <w:pPr>
              <w:contextualSpacing/>
              <w:rPr>
                <w:rFonts w:asciiTheme="minorBidi" w:hAnsiTheme="minorBidi" w:cstheme="minorBidi"/>
                <w:b/>
                <w:bCs/>
                <w:sz w:val="20"/>
                <w:szCs w:val="20"/>
                <w:lang w:val="en-GB"/>
              </w:rPr>
            </w:pPr>
            <w:r w:rsidRPr="00F3039A">
              <w:rPr>
                <w:rFonts w:asciiTheme="minorBidi" w:hAnsiTheme="minorBidi" w:cstheme="minorBidi"/>
                <w:b/>
                <w:bCs/>
                <w:sz w:val="20"/>
                <w:szCs w:val="20"/>
                <w:lang w:val="en-GB"/>
              </w:rPr>
              <w:t>Biedrība « Suitu kultūras mantojums »</w:t>
            </w:r>
            <w:r w:rsidRPr="00F3039A">
              <w:rPr>
                <w:rFonts w:asciiTheme="minorBidi" w:hAnsiTheme="minorBidi" w:cstheme="minorBidi"/>
                <w:sz w:val="20"/>
                <w:szCs w:val="20"/>
                <w:lang w:val="en-GB"/>
              </w:rPr>
              <w:br/>
              <w:t>Suiti Cultural Heritage Foundation</w:t>
            </w:r>
          </w:p>
        </w:tc>
        <w:tc>
          <w:tcPr>
            <w:tcW w:w="1059" w:type="pct"/>
            <w:vAlign w:val="center"/>
          </w:tcPr>
          <w:p w14:paraId="304A984D" w14:textId="77777777" w:rsidR="00521F6F" w:rsidRPr="00F3039A" w:rsidRDefault="00521F6F" w:rsidP="009314C9">
            <w:pPr>
              <w:contextualSpacing/>
              <w:jc w:val="center"/>
              <w:rPr>
                <w:rFonts w:asciiTheme="minorBidi" w:hAnsiTheme="minorBidi" w:cstheme="minorBidi"/>
                <w:sz w:val="20"/>
                <w:szCs w:val="20"/>
                <w:lang w:val="en-GB"/>
              </w:rPr>
            </w:pPr>
            <w:r w:rsidRPr="00F3039A">
              <w:rPr>
                <w:rFonts w:asciiTheme="minorBidi" w:hAnsiTheme="minorBidi" w:cstheme="minorBidi"/>
                <w:sz w:val="20"/>
                <w:szCs w:val="20"/>
                <w:lang w:val="en-GB"/>
              </w:rPr>
              <w:t>Latvia</w:t>
            </w:r>
          </w:p>
        </w:tc>
        <w:tc>
          <w:tcPr>
            <w:tcW w:w="883" w:type="pct"/>
            <w:vAlign w:val="center"/>
          </w:tcPr>
          <w:p w14:paraId="38C19E0F" w14:textId="77777777" w:rsidR="00521F6F" w:rsidRPr="00F3039A" w:rsidRDefault="00521F6F" w:rsidP="009314C9">
            <w:pPr>
              <w:contextualSpacing/>
              <w:jc w:val="center"/>
              <w:rPr>
                <w:rFonts w:asciiTheme="minorBidi" w:hAnsiTheme="minorBidi" w:cstheme="minorBidi"/>
                <w:sz w:val="20"/>
                <w:szCs w:val="20"/>
                <w:lang w:val="en-GB"/>
              </w:rPr>
            </w:pPr>
            <w:r w:rsidRPr="00F3039A">
              <w:rPr>
                <w:rFonts w:asciiTheme="minorBidi" w:hAnsiTheme="minorBidi" w:cstheme="minorBidi"/>
                <w:sz w:val="20"/>
                <w:szCs w:val="20"/>
                <w:lang w:val="en-GB"/>
              </w:rPr>
              <w:t>NGO-90570</w:t>
            </w:r>
          </w:p>
        </w:tc>
      </w:tr>
      <w:tr w:rsidR="00521F6F" w:rsidRPr="00F3039A" w14:paraId="38A835A7" w14:textId="77777777" w:rsidTr="006B723A">
        <w:trPr>
          <w:trHeight w:val="576"/>
        </w:trPr>
        <w:tc>
          <w:tcPr>
            <w:tcW w:w="3058" w:type="pct"/>
            <w:shd w:val="clear" w:color="auto" w:fill="DEEAF6" w:themeFill="accent1" w:themeFillTint="33"/>
            <w:vAlign w:val="center"/>
          </w:tcPr>
          <w:p w14:paraId="1250DBE9" w14:textId="77777777" w:rsidR="00521F6F" w:rsidRPr="00F3039A" w:rsidRDefault="00521F6F" w:rsidP="009314C9">
            <w:pPr>
              <w:contextualSpacing/>
              <w:rPr>
                <w:rFonts w:asciiTheme="minorBidi" w:hAnsiTheme="minorBidi" w:cstheme="minorBidi"/>
                <w:b/>
                <w:bCs/>
                <w:sz w:val="20"/>
                <w:szCs w:val="20"/>
                <w:lang w:val="en-GB"/>
              </w:rPr>
            </w:pPr>
            <w:r w:rsidRPr="00F3039A">
              <w:rPr>
                <w:rFonts w:asciiTheme="minorBidi" w:hAnsiTheme="minorBidi" w:cstheme="minorBidi"/>
                <w:b/>
                <w:bCs/>
                <w:sz w:val="20"/>
                <w:szCs w:val="20"/>
                <w:lang w:val="en-GB"/>
              </w:rPr>
              <w:t>Blanchard House Institute</w:t>
            </w:r>
          </w:p>
        </w:tc>
        <w:tc>
          <w:tcPr>
            <w:tcW w:w="1059" w:type="pct"/>
            <w:shd w:val="clear" w:color="auto" w:fill="DEEAF6" w:themeFill="accent1" w:themeFillTint="33"/>
            <w:vAlign w:val="center"/>
          </w:tcPr>
          <w:p w14:paraId="43112CD2" w14:textId="77777777" w:rsidR="00521F6F" w:rsidRPr="00F3039A" w:rsidRDefault="00521F6F" w:rsidP="009314C9">
            <w:pPr>
              <w:contextualSpacing/>
              <w:jc w:val="center"/>
              <w:rPr>
                <w:rFonts w:asciiTheme="minorBidi" w:hAnsiTheme="minorBidi" w:cstheme="minorBidi"/>
                <w:sz w:val="20"/>
                <w:szCs w:val="20"/>
                <w:lang w:val="en-GB"/>
              </w:rPr>
            </w:pPr>
            <w:r w:rsidRPr="00F3039A">
              <w:rPr>
                <w:rFonts w:asciiTheme="minorBidi" w:hAnsiTheme="minorBidi" w:cstheme="minorBidi"/>
                <w:sz w:val="20"/>
                <w:szCs w:val="20"/>
                <w:lang w:val="en-GB"/>
              </w:rPr>
              <w:t>United States of America</w:t>
            </w:r>
          </w:p>
        </w:tc>
        <w:tc>
          <w:tcPr>
            <w:tcW w:w="883" w:type="pct"/>
            <w:shd w:val="clear" w:color="auto" w:fill="DEEAF6" w:themeFill="accent1" w:themeFillTint="33"/>
            <w:vAlign w:val="center"/>
          </w:tcPr>
          <w:p w14:paraId="04F15074" w14:textId="77777777" w:rsidR="00521F6F" w:rsidRPr="00F3039A" w:rsidRDefault="00521F6F" w:rsidP="009314C9">
            <w:pPr>
              <w:contextualSpacing/>
              <w:jc w:val="center"/>
              <w:rPr>
                <w:rFonts w:asciiTheme="minorBidi" w:hAnsiTheme="minorBidi" w:cstheme="minorBidi"/>
                <w:sz w:val="20"/>
                <w:szCs w:val="20"/>
                <w:lang w:val="en-GB"/>
              </w:rPr>
            </w:pPr>
            <w:r w:rsidRPr="00F3039A">
              <w:rPr>
                <w:rFonts w:asciiTheme="minorBidi" w:hAnsiTheme="minorBidi" w:cstheme="minorBidi"/>
                <w:sz w:val="20"/>
                <w:szCs w:val="20"/>
                <w:lang w:val="en-GB"/>
              </w:rPr>
              <w:t>NGO-90597</w:t>
            </w:r>
          </w:p>
        </w:tc>
      </w:tr>
      <w:tr w:rsidR="00521F6F" w:rsidRPr="00F3039A" w14:paraId="65F19FA7" w14:textId="77777777" w:rsidTr="006B723A">
        <w:trPr>
          <w:trHeight w:val="576"/>
        </w:trPr>
        <w:tc>
          <w:tcPr>
            <w:tcW w:w="3058" w:type="pct"/>
            <w:vAlign w:val="center"/>
          </w:tcPr>
          <w:p w14:paraId="281F1465" w14:textId="77777777" w:rsidR="00521F6F" w:rsidRPr="00F3039A" w:rsidRDefault="00521F6F" w:rsidP="009314C9">
            <w:pPr>
              <w:contextualSpacing/>
              <w:rPr>
                <w:rFonts w:asciiTheme="minorBidi" w:hAnsiTheme="minorBidi" w:cstheme="minorBidi"/>
                <w:b/>
                <w:bCs/>
                <w:sz w:val="20"/>
                <w:szCs w:val="20"/>
                <w:lang w:val="es-ES"/>
              </w:rPr>
            </w:pPr>
            <w:r w:rsidRPr="00F3039A">
              <w:rPr>
                <w:rFonts w:asciiTheme="minorBidi" w:hAnsiTheme="minorBidi" w:cstheme="minorBidi"/>
                <w:b/>
                <w:bCs/>
                <w:sz w:val="20"/>
                <w:szCs w:val="20"/>
                <w:lang w:val="es-ES"/>
              </w:rPr>
              <w:t>Bursa UNESCO Derenği</w:t>
            </w:r>
            <w:r w:rsidRPr="00F3039A">
              <w:rPr>
                <w:rFonts w:asciiTheme="minorBidi" w:hAnsiTheme="minorBidi" w:cstheme="minorBidi"/>
                <w:sz w:val="20"/>
                <w:szCs w:val="20"/>
                <w:lang w:val="es-ES"/>
              </w:rPr>
              <w:br/>
              <w:t>Bursa UNESCO Association</w:t>
            </w:r>
          </w:p>
        </w:tc>
        <w:tc>
          <w:tcPr>
            <w:tcW w:w="1059" w:type="pct"/>
            <w:vAlign w:val="center"/>
          </w:tcPr>
          <w:p w14:paraId="4B5E4088" w14:textId="77777777" w:rsidR="00521F6F" w:rsidRPr="00F3039A" w:rsidRDefault="00521F6F" w:rsidP="009314C9">
            <w:pPr>
              <w:contextualSpacing/>
              <w:jc w:val="center"/>
              <w:rPr>
                <w:rFonts w:asciiTheme="minorBidi" w:hAnsiTheme="minorBidi" w:cstheme="minorBidi"/>
                <w:sz w:val="20"/>
                <w:szCs w:val="20"/>
                <w:lang w:val="en-GB"/>
              </w:rPr>
            </w:pPr>
            <w:r w:rsidRPr="00F3039A">
              <w:rPr>
                <w:rFonts w:asciiTheme="minorBidi" w:hAnsiTheme="minorBidi" w:cstheme="minorBidi"/>
                <w:sz w:val="20"/>
                <w:szCs w:val="20"/>
                <w:lang w:val="en-GB"/>
              </w:rPr>
              <w:t>Türkiye</w:t>
            </w:r>
          </w:p>
        </w:tc>
        <w:tc>
          <w:tcPr>
            <w:tcW w:w="883" w:type="pct"/>
            <w:vAlign w:val="center"/>
          </w:tcPr>
          <w:p w14:paraId="79DE7313" w14:textId="77777777" w:rsidR="00521F6F" w:rsidRPr="00F3039A" w:rsidRDefault="00521F6F" w:rsidP="009314C9">
            <w:pPr>
              <w:contextualSpacing/>
              <w:jc w:val="center"/>
              <w:rPr>
                <w:rFonts w:asciiTheme="minorBidi" w:hAnsiTheme="minorBidi" w:cstheme="minorBidi"/>
                <w:sz w:val="20"/>
                <w:szCs w:val="20"/>
                <w:lang w:val="en-GB"/>
              </w:rPr>
            </w:pPr>
            <w:r w:rsidRPr="00F3039A">
              <w:rPr>
                <w:rFonts w:asciiTheme="minorBidi" w:hAnsiTheme="minorBidi" w:cstheme="minorBidi"/>
                <w:sz w:val="20"/>
                <w:szCs w:val="20"/>
                <w:lang w:val="en-GB"/>
              </w:rPr>
              <w:t>NGO-90545</w:t>
            </w:r>
          </w:p>
        </w:tc>
      </w:tr>
      <w:tr w:rsidR="00521F6F" w:rsidRPr="00F3039A" w14:paraId="066A313C" w14:textId="77777777" w:rsidTr="006B723A">
        <w:trPr>
          <w:trHeight w:val="576"/>
        </w:trPr>
        <w:tc>
          <w:tcPr>
            <w:tcW w:w="3058" w:type="pct"/>
            <w:shd w:val="clear" w:color="auto" w:fill="DEEAF6" w:themeFill="accent1" w:themeFillTint="33"/>
            <w:vAlign w:val="center"/>
          </w:tcPr>
          <w:p w14:paraId="0186BE56" w14:textId="77777777" w:rsidR="00521F6F" w:rsidRPr="00F3039A" w:rsidRDefault="00521F6F" w:rsidP="009314C9">
            <w:pPr>
              <w:contextualSpacing/>
              <w:rPr>
                <w:rFonts w:asciiTheme="minorBidi" w:hAnsiTheme="minorBidi" w:cstheme="minorBidi"/>
                <w:sz w:val="20"/>
                <w:szCs w:val="20"/>
                <w:lang w:val="pt-BR"/>
              </w:rPr>
            </w:pPr>
            <w:r w:rsidRPr="00F3039A">
              <w:rPr>
                <w:rFonts w:asciiTheme="minorBidi" w:hAnsiTheme="minorBidi" w:cstheme="minorBidi"/>
                <w:b/>
                <w:bCs/>
                <w:sz w:val="20"/>
                <w:szCs w:val="20"/>
                <w:lang w:val="pt-BR"/>
              </w:rPr>
              <w:t>Clube Carbavalesco Mixto Seu Malaquias</w:t>
            </w:r>
            <w:r w:rsidRPr="00F3039A">
              <w:rPr>
                <w:rFonts w:asciiTheme="minorBidi" w:hAnsiTheme="minorBidi" w:cstheme="minorBidi"/>
                <w:sz w:val="20"/>
                <w:szCs w:val="20"/>
                <w:lang w:val="pt-BR"/>
              </w:rPr>
              <w:br/>
              <w:t>Carnival Club Mixto Seu Malaquias</w:t>
            </w:r>
          </w:p>
        </w:tc>
        <w:tc>
          <w:tcPr>
            <w:tcW w:w="1059" w:type="pct"/>
            <w:shd w:val="clear" w:color="auto" w:fill="DEEAF6" w:themeFill="accent1" w:themeFillTint="33"/>
            <w:vAlign w:val="center"/>
          </w:tcPr>
          <w:p w14:paraId="2940959A" w14:textId="77777777" w:rsidR="00521F6F" w:rsidRPr="00F3039A" w:rsidRDefault="00521F6F" w:rsidP="009314C9">
            <w:pPr>
              <w:contextualSpacing/>
              <w:jc w:val="center"/>
              <w:rPr>
                <w:rFonts w:asciiTheme="minorBidi" w:hAnsiTheme="minorBidi" w:cstheme="minorBidi"/>
                <w:sz w:val="20"/>
                <w:szCs w:val="20"/>
                <w:lang w:val="en-GB"/>
              </w:rPr>
            </w:pPr>
            <w:r w:rsidRPr="00F3039A">
              <w:rPr>
                <w:rFonts w:asciiTheme="minorBidi" w:hAnsiTheme="minorBidi" w:cstheme="minorBidi"/>
                <w:sz w:val="20"/>
                <w:szCs w:val="20"/>
                <w:lang w:val="en-GB"/>
              </w:rPr>
              <w:t>Brazil</w:t>
            </w:r>
          </w:p>
        </w:tc>
        <w:tc>
          <w:tcPr>
            <w:tcW w:w="883" w:type="pct"/>
            <w:shd w:val="clear" w:color="auto" w:fill="DEEAF6" w:themeFill="accent1" w:themeFillTint="33"/>
            <w:vAlign w:val="center"/>
          </w:tcPr>
          <w:p w14:paraId="2DB7FCCE" w14:textId="77777777" w:rsidR="00521F6F" w:rsidRPr="00F3039A" w:rsidRDefault="00521F6F" w:rsidP="009314C9">
            <w:pPr>
              <w:contextualSpacing/>
              <w:jc w:val="center"/>
              <w:rPr>
                <w:rFonts w:asciiTheme="minorBidi" w:hAnsiTheme="minorBidi" w:cstheme="minorBidi"/>
                <w:sz w:val="20"/>
                <w:szCs w:val="20"/>
                <w:lang w:val="en-GB"/>
              </w:rPr>
            </w:pPr>
            <w:r w:rsidRPr="00F3039A">
              <w:rPr>
                <w:rFonts w:asciiTheme="minorBidi" w:hAnsiTheme="minorBidi" w:cstheme="minorBidi"/>
                <w:sz w:val="20"/>
                <w:szCs w:val="20"/>
                <w:lang w:val="en-GB"/>
              </w:rPr>
              <w:t>NGO-90540</w:t>
            </w:r>
          </w:p>
        </w:tc>
      </w:tr>
      <w:tr w:rsidR="00521F6F" w:rsidRPr="00F3039A" w14:paraId="0ACDAAAF" w14:textId="77777777" w:rsidTr="006B723A">
        <w:trPr>
          <w:trHeight w:val="576"/>
        </w:trPr>
        <w:tc>
          <w:tcPr>
            <w:tcW w:w="3058" w:type="pct"/>
            <w:vAlign w:val="center"/>
          </w:tcPr>
          <w:p w14:paraId="32EF8415" w14:textId="77777777" w:rsidR="00521F6F" w:rsidRPr="00F3039A" w:rsidRDefault="00521F6F" w:rsidP="009314C9">
            <w:pPr>
              <w:contextualSpacing/>
              <w:rPr>
                <w:rFonts w:asciiTheme="minorBidi" w:hAnsiTheme="minorBidi" w:cstheme="minorBidi"/>
                <w:b/>
                <w:bCs/>
                <w:sz w:val="20"/>
                <w:szCs w:val="20"/>
              </w:rPr>
            </w:pPr>
            <w:r w:rsidRPr="00F3039A">
              <w:rPr>
                <w:rFonts w:asciiTheme="minorBidi" w:hAnsiTheme="minorBidi" w:cstheme="minorBidi"/>
                <w:b/>
                <w:bCs/>
                <w:sz w:val="20"/>
                <w:szCs w:val="20"/>
              </w:rPr>
              <w:t>Conseil International de la Danse - CID</w:t>
            </w:r>
          </w:p>
        </w:tc>
        <w:tc>
          <w:tcPr>
            <w:tcW w:w="1059" w:type="pct"/>
            <w:vAlign w:val="center"/>
          </w:tcPr>
          <w:p w14:paraId="29AADB15" w14:textId="77777777" w:rsidR="00521F6F" w:rsidRPr="00F3039A" w:rsidRDefault="00521F6F" w:rsidP="009314C9">
            <w:pPr>
              <w:contextualSpacing/>
              <w:jc w:val="center"/>
              <w:rPr>
                <w:rFonts w:asciiTheme="minorBidi" w:hAnsiTheme="minorBidi" w:cstheme="minorBidi"/>
                <w:sz w:val="20"/>
                <w:szCs w:val="20"/>
                <w:lang w:val="en-GB"/>
              </w:rPr>
            </w:pPr>
            <w:r w:rsidRPr="00F3039A">
              <w:rPr>
                <w:rFonts w:asciiTheme="minorBidi" w:hAnsiTheme="minorBidi" w:cstheme="minorBidi"/>
                <w:sz w:val="20"/>
                <w:szCs w:val="20"/>
                <w:lang w:val="en-GB"/>
              </w:rPr>
              <w:t>France</w:t>
            </w:r>
          </w:p>
        </w:tc>
        <w:tc>
          <w:tcPr>
            <w:tcW w:w="883" w:type="pct"/>
            <w:vAlign w:val="center"/>
          </w:tcPr>
          <w:p w14:paraId="1AA36E5D" w14:textId="77777777" w:rsidR="00521F6F" w:rsidRPr="00F3039A" w:rsidRDefault="00521F6F" w:rsidP="009314C9">
            <w:pPr>
              <w:contextualSpacing/>
              <w:jc w:val="center"/>
              <w:rPr>
                <w:rFonts w:asciiTheme="minorBidi" w:hAnsiTheme="minorBidi" w:cstheme="minorBidi"/>
                <w:sz w:val="20"/>
                <w:szCs w:val="20"/>
                <w:lang w:val="en-GB"/>
              </w:rPr>
            </w:pPr>
            <w:r w:rsidRPr="00F3039A">
              <w:rPr>
                <w:rFonts w:asciiTheme="minorBidi" w:hAnsiTheme="minorBidi" w:cstheme="minorBidi"/>
                <w:sz w:val="20"/>
                <w:szCs w:val="20"/>
                <w:lang w:val="en-GB"/>
              </w:rPr>
              <w:t>NGO-90538</w:t>
            </w:r>
          </w:p>
        </w:tc>
      </w:tr>
      <w:tr w:rsidR="00521F6F" w:rsidRPr="00F3039A" w14:paraId="41CBFCBA" w14:textId="77777777" w:rsidTr="006B723A">
        <w:trPr>
          <w:trHeight w:val="576"/>
        </w:trPr>
        <w:tc>
          <w:tcPr>
            <w:tcW w:w="3058" w:type="pct"/>
            <w:shd w:val="clear" w:color="auto" w:fill="DEEAF6" w:themeFill="accent1" w:themeFillTint="33"/>
            <w:vAlign w:val="center"/>
          </w:tcPr>
          <w:p w14:paraId="0F19C2F2" w14:textId="77777777" w:rsidR="00521F6F" w:rsidRPr="00F3039A" w:rsidRDefault="00521F6F" w:rsidP="009314C9">
            <w:pPr>
              <w:contextualSpacing/>
              <w:rPr>
                <w:rFonts w:asciiTheme="minorBidi" w:hAnsiTheme="minorBidi" w:cstheme="minorBidi"/>
                <w:b/>
                <w:bCs/>
                <w:sz w:val="20"/>
                <w:szCs w:val="20"/>
                <w:lang w:val="es-ES"/>
              </w:rPr>
            </w:pPr>
            <w:r w:rsidRPr="00F3039A">
              <w:rPr>
                <w:rFonts w:asciiTheme="minorBidi" w:hAnsiTheme="minorBidi" w:cstheme="minorBidi"/>
                <w:b/>
                <w:bCs/>
                <w:sz w:val="20"/>
                <w:szCs w:val="20"/>
                <w:lang w:val="es-ES"/>
              </w:rPr>
              <w:t>Corporacion Cinemateca Municipal de Valledupar Cinemateca Vallenata</w:t>
            </w:r>
            <w:r w:rsidRPr="00F3039A">
              <w:rPr>
                <w:rFonts w:asciiTheme="minorBidi" w:hAnsiTheme="minorBidi" w:cstheme="minorBidi"/>
                <w:sz w:val="20"/>
                <w:szCs w:val="20"/>
                <w:lang w:val="es-ES"/>
              </w:rPr>
              <w:br/>
              <w:t>Valledupar Municipal Cinematheque Corporation Cinemateca Vallenata</w:t>
            </w:r>
          </w:p>
        </w:tc>
        <w:tc>
          <w:tcPr>
            <w:tcW w:w="1059" w:type="pct"/>
            <w:shd w:val="clear" w:color="auto" w:fill="DEEAF6" w:themeFill="accent1" w:themeFillTint="33"/>
            <w:vAlign w:val="center"/>
          </w:tcPr>
          <w:p w14:paraId="6A58850E" w14:textId="77777777" w:rsidR="00521F6F" w:rsidRPr="00F3039A" w:rsidRDefault="00521F6F" w:rsidP="009314C9">
            <w:pPr>
              <w:contextualSpacing/>
              <w:jc w:val="center"/>
              <w:rPr>
                <w:rFonts w:asciiTheme="minorBidi" w:hAnsiTheme="minorBidi" w:cstheme="minorBidi"/>
                <w:sz w:val="20"/>
                <w:szCs w:val="20"/>
                <w:lang w:val="en-GB"/>
              </w:rPr>
            </w:pPr>
            <w:r w:rsidRPr="00F3039A">
              <w:rPr>
                <w:rFonts w:asciiTheme="minorBidi" w:hAnsiTheme="minorBidi" w:cstheme="minorBidi"/>
                <w:sz w:val="20"/>
                <w:szCs w:val="20"/>
                <w:lang w:val="en-GB"/>
              </w:rPr>
              <w:t>Colombia</w:t>
            </w:r>
          </w:p>
        </w:tc>
        <w:tc>
          <w:tcPr>
            <w:tcW w:w="883" w:type="pct"/>
            <w:shd w:val="clear" w:color="auto" w:fill="DEEAF6" w:themeFill="accent1" w:themeFillTint="33"/>
            <w:vAlign w:val="center"/>
          </w:tcPr>
          <w:p w14:paraId="60F5690D" w14:textId="77777777" w:rsidR="00521F6F" w:rsidRPr="00F3039A" w:rsidRDefault="00521F6F" w:rsidP="009314C9">
            <w:pPr>
              <w:contextualSpacing/>
              <w:jc w:val="center"/>
              <w:rPr>
                <w:rFonts w:asciiTheme="minorBidi" w:hAnsiTheme="minorBidi" w:cstheme="minorBidi"/>
                <w:sz w:val="20"/>
                <w:szCs w:val="20"/>
                <w:lang w:val="en-GB"/>
              </w:rPr>
            </w:pPr>
            <w:r w:rsidRPr="00F3039A">
              <w:rPr>
                <w:rFonts w:asciiTheme="minorBidi" w:hAnsiTheme="minorBidi" w:cstheme="minorBidi"/>
                <w:sz w:val="20"/>
                <w:szCs w:val="20"/>
                <w:lang w:val="en-GB"/>
              </w:rPr>
              <w:t>NGO-90592</w:t>
            </w:r>
          </w:p>
        </w:tc>
      </w:tr>
      <w:tr w:rsidR="00521F6F" w:rsidRPr="00F3039A" w14:paraId="3BA2CF3E" w14:textId="77777777" w:rsidTr="006B723A">
        <w:trPr>
          <w:trHeight w:val="576"/>
        </w:trPr>
        <w:tc>
          <w:tcPr>
            <w:tcW w:w="3058" w:type="pct"/>
            <w:vAlign w:val="center"/>
          </w:tcPr>
          <w:p w14:paraId="49AB3FB7" w14:textId="77777777" w:rsidR="00521F6F" w:rsidRPr="00F3039A" w:rsidRDefault="00521F6F" w:rsidP="009314C9">
            <w:pPr>
              <w:contextualSpacing/>
              <w:rPr>
                <w:rFonts w:asciiTheme="minorBidi" w:hAnsiTheme="minorBidi" w:cstheme="minorBidi"/>
                <w:b/>
                <w:bCs/>
                <w:sz w:val="20"/>
                <w:szCs w:val="20"/>
                <w:lang w:val="en-GB"/>
              </w:rPr>
            </w:pPr>
            <w:r w:rsidRPr="00F3039A">
              <w:rPr>
                <w:rFonts w:asciiTheme="minorBidi" w:hAnsiTheme="minorBidi" w:cstheme="minorBidi"/>
                <w:b/>
                <w:bCs/>
                <w:sz w:val="20"/>
                <w:szCs w:val="20"/>
                <w:lang w:val="en-GB"/>
              </w:rPr>
              <w:t>Corporación Huiltur - CorpoHuiltur</w:t>
            </w:r>
            <w:r w:rsidRPr="00F3039A">
              <w:rPr>
                <w:rFonts w:asciiTheme="minorBidi" w:hAnsiTheme="minorBidi" w:cstheme="minorBidi"/>
                <w:sz w:val="20"/>
                <w:szCs w:val="20"/>
                <w:lang w:val="en-GB"/>
              </w:rPr>
              <w:br/>
              <w:t>Huiltur Corporation</w:t>
            </w:r>
          </w:p>
        </w:tc>
        <w:tc>
          <w:tcPr>
            <w:tcW w:w="1059" w:type="pct"/>
            <w:vAlign w:val="center"/>
          </w:tcPr>
          <w:p w14:paraId="49B828A5" w14:textId="77777777" w:rsidR="00521F6F" w:rsidRPr="00F3039A" w:rsidRDefault="00521F6F" w:rsidP="009314C9">
            <w:pPr>
              <w:contextualSpacing/>
              <w:jc w:val="center"/>
              <w:rPr>
                <w:rFonts w:asciiTheme="minorBidi" w:hAnsiTheme="minorBidi" w:cstheme="minorBidi"/>
                <w:sz w:val="20"/>
                <w:szCs w:val="20"/>
                <w:lang w:val="en-GB"/>
              </w:rPr>
            </w:pPr>
            <w:r w:rsidRPr="00F3039A">
              <w:rPr>
                <w:rFonts w:asciiTheme="minorBidi" w:hAnsiTheme="minorBidi" w:cstheme="minorBidi"/>
                <w:sz w:val="20"/>
                <w:szCs w:val="20"/>
                <w:lang w:val="en-GB"/>
              </w:rPr>
              <w:t>Colombia</w:t>
            </w:r>
          </w:p>
        </w:tc>
        <w:tc>
          <w:tcPr>
            <w:tcW w:w="883" w:type="pct"/>
            <w:vAlign w:val="center"/>
          </w:tcPr>
          <w:p w14:paraId="38FC21A0" w14:textId="77777777" w:rsidR="00521F6F" w:rsidRPr="00F3039A" w:rsidRDefault="00521F6F" w:rsidP="009314C9">
            <w:pPr>
              <w:contextualSpacing/>
              <w:jc w:val="center"/>
              <w:rPr>
                <w:rFonts w:asciiTheme="minorBidi" w:hAnsiTheme="minorBidi" w:cstheme="minorBidi"/>
                <w:sz w:val="20"/>
                <w:szCs w:val="20"/>
                <w:lang w:val="en-GB"/>
              </w:rPr>
            </w:pPr>
            <w:r w:rsidRPr="00F3039A">
              <w:rPr>
                <w:rFonts w:asciiTheme="minorBidi" w:hAnsiTheme="minorBidi" w:cstheme="minorBidi"/>
                <w:sz w:val="20"/>
                <w:szCs w:val="20"/>
                <w:lang w:val="en-GB"/>
              </w:rPr>
              <w:t>NGO-90576</w:t>
            </w:r>
          </w:p>
        </w:tc>
      </w:tr>
      <w:tr w:rsidR="00521F6F" w:rsidRPr="00F3039A" w14:paraId="7C46AF9A" w14:textId="77777777" w:rsidTr="006B723A">
        <w:trPr>
          <w:trHeight w:val="576"/>
        </w:trPr>
        <w:tc>
          <w:tcPr>
            <w:tcW w:w="3058" w:type="pct"/>
            <w:shd w:val="clear" w:color="auto" w:fill="DEEAF6" w:themeFill="accent1" w:themeFillTint="33"/>
            <w:vAlign w:val="center"/>
          </w:tcPr>
          <w:p w14:paraId="6FF54860" w14:textId="77777777" w:rsidR="00521F6F" w:rsidRPr="00F3039A" w:rsidRDefault="00521F6F" w:rsidP="009314C9">
            <w:pPr>
              <w:contextualSpacing/>
              <w:rPr>
                <w:rFonts w:asciiTheme="minorBidi" w:hAnsiTheme="minorBidi" w:cstheme="minorBidi"/>
                <w:b/>
                <w:bCs/>
                <w:sz w:val="20"/>
                <w:szCs w:val="20"/>
                <w:lang w:val="en-GB"/>
              </w:rPr>
            </w:pPr>
            <w:r w:rsidRPr="00F3039A">
              <w:rPr>
                <w:rFonts w:asciiTheme="minorBidi" w:hAnsiTheme="minorBidi" w:cstheme="minorBidi"/>
                <w:b/>
                <w:bCs/>
                <w:sz w:val="20"/>
                <w:szCs w:val="20"/>
                <w:lang w:val="en-GB"/>
              </w:rPr>
              <w:t>Corporacion Memoria Austral</w:t>
            </w:r>
            <w:r w:rsidRPr="00F3039A">
              <w:rPr>
                <w:rFonts w:asciiTheme="minorBidi" w:hAnsiTheme="minorBidi" w:cstheme="minorBidi"/>
                <w:sz w:val="20"/>
                <w:szCs w:val="20"/>
                <w:lang w:val="en-GB"/>
              </w:rPr>
              <w:br/>
              <w:t>Memoria Austral Association</w:t>
            </w:r>
          </w:p>
        </w:tc>
        <w:tc>
          <w:tcPr>
            <w:tcW w:w="1059" w:type="pct"/>
            <w:shd w:val="clear" w:color="auto" w:fill="DEEAF6" w:themeFill="accent1" w:themeFillTint="33"/>
            <w:vAlign w:val="center"/>
          </w:tcPr>
          <w:p w14:paraId="2FE67653" w14:textId="77777777" w:rsidR="00521F6F" w:rsidRPr="00F3039A" w:rsidRDefault="00521F6F" w:rsidP="009314C9">
            <w:pPr>
              <w:contextualSpacing/>
              <w:jc w:val="center"/>
              <w:rPr>
                <w:rFonts w:asciiTheme="minorBidi" w:hAnsiTheme="minorBidi" w:cstheme="minorBidi"/>
                <w:sz w:val="20"/>
                <w:szCs w:val="20"/>
                <w:lang w:val="en-GB"/>
              </w:rPr>
            </w:pPr>
            <w:r w:rsidRPr="00F3039A">
              <w:rPr>
                <w:rFonts w:asciiTheme="minorBidi" w:hAnsiTheme="minorBidi" w:cstheme="minorBidi"/>
                <w:sz w:val="20"/>
                <w:szCs w:val="20"/>
                <w:lang w:val="en-GB"/>
              </w:rPr>
              <w:t>Chile</w:t>
            </w:r>
          </w:p>
        </w:tc>
        <w:tc>
          <w:tcPr>
            <w:tcW w:w="883" w:type="pct"/>
            <w:shd w:val="clear" w:color="auto" w:fill="DEEAF6" w:themeFill="accent1" w:themeFillTint="33"/>
            <w:vAlign w:val="center"/>
          </w:tcPr>
          <w:p w14:paraId="375613E9" w14:textId="77777777" w:rsidR="00521F6F" w:rsidRPr="00F3039A" w:rsidRDefault="00521F6F" w:rsidP="009314C9">
            <w:pPr>
              <w:contextualSpacing/>
              <w:jc w:val="center"/>
              <w:rPr>
                <w:rFonts w:asciiTheme="minorBidi" w:hAnsiTheme="minorBidi" w:cstheme="minorBidi"/>
                <w:sz w:val="20"/>
                <w:szCs w:val="20"/>
                <w:lang w:val="en-GB"/>
              </w:rPr>
            </w:pPr>
            <w:r w:rsidRPr="00F3039A">
              <w:rPr>
                <w:rFonts w:asciiTheme="minorBidi" w:hAnsiTheme="minorBidi" w:cstheme="minorBidi"/>
                <w:sz w:val="20"/>
                <w:szCs w:val="20"/>
                <w:lang w:val="en-GB"/>
              </w:rPr>
              <w:t>NGO-90586</w:t>
            </w:r>
          </w:p>
        </w:tc>
      </w:tr>
      <w:tr w:rsidR="00521F6F" w:rsidRPr="00F3039A" w14:paraId="2D59E21E" w14:textId="77777777" w:rsidTr="006B723A">
        <w:trPr>
          <w:trHeight w:val="576"/>
        </w:trPr>
        <w:tc>
          <w:tcPr>
            <w:tcW w:w="3058" w:type="pct"/>
            <w:vAlign w:val="center"/>
          </w:tcPr>
          <w:p w14:paraId="3ECB9E9B" w14:textId="77777777" w:rsidR="00521F6F" w:rsidRPr="00F3039A" w:rsidRDefault="00521F6F" w:rsidP="009314C9">
            <w:pPr>
              <w:contextualSpacing/>
              <w:rPr>
                <w:rFonts w:asciiTheme="minorBidi" w:hAnsiTheme="minorBidi" w:cstheme="minorBidi"/>
                <w:b/>
                <w:bCs/>
                <w:sz w:val="20"/>
                <w:szCs w:val="20"/>
              </w:rPr>
            </w:pPr>
            <w:r w:rsidRPr="00F3039A">
              <w:rPr>
                <w:rFonts w:asciiTheme="minorBidi" w:hAnsiTheme="minorBidi" w:cstheme="minorBidi"/>
                <w:b/>
                <w:bCs/>
                <w:sz w:val="20"/>
                <w:szCs w:val="20"/>
              </w:rPr>
              <w:t>Fondazione Santagata per l’Economia della Cultura ETS (ente del terzo settore)</w:t>
            </w:r>
            <w:r w:rsidRPr="00F3039A">
              <w:rPr>
                <w:rFonts w:asciiTheme="minorBidi" w:hAnsiTheme="minorBidi" w:cstheme="minorBidi"/>
                <w:sz w:val="20"/>
                <w:szCs w:val="20"/>
              </w:rPr>
              <w:br/>
              <w:t>Fondazione Santagata for the Economics of Culture ETS (third sector entity)</w:t>
            </w:r>
          </w:p>
        </w:tc>
        <w:tc>
          <w:tcPr>
            <w:tcW w:w="1059" w:type="pct"/>
            <w:vAlign w:val="center"/>
          </w:tcPr>
          <w:p w14:paraId="24907D4C" w14:textId="77777777" w:rsidR="00521F6F" w:rsidRPr="00F3039A" w:rsidRDefault="00521F6F" w:rsidP="009314C9">
            <w:pPr>
              <w:contextualSpacing/>
              <w:jc w:val="center"/>
              <w:rPr>
                <w:rFonts w:asciiTheme="minorBidi" w:hAnsiTheme="minorBidi" w:cstheme="minorBidi"/>
                <w:sz w:val="20"/>
                <w:szCs w:val="20"/>
                <w:lang w:val="en-GB"/>
              </w:rPr>
            </w:pPr>
            <w:r w:rsidRPr="00F3039A">
              <w:rPr>
                <w:rFonts w:asciiTheme="minorBidi" w:hAnsiTheme="minorBidi" w:cstheme="minorBidi"/>
                <w:sz w:val="20"/>
                <w:szCs w:val="20"/>
                <w:lang w:val="en-GB"/>
              </w:rPr>
              <w:t>Italy</w:t>
            </w:r>
          </w:p>
        </w:tc>
        <w:tc>
          <w:tcPr>
            <w:tcW w:w="883" w:type="pct"/>
            <w:vAlign w:val="center"/>
          </w:tcPr>
          <w:p w14:paraId="5623900B" w14:textId="77777777" w:rsidR="00521F6F" w:rsidRPr="00F3039A" w:rsidRDefault="00521F6F" w:rsidP="009314C9">
            <w:pPr>
              <w:contextualSpacing/>
              <w:jc w:val="center"/>
              <w:rPr>
                <w:rFonts w:asciiTheme="minorBidi" w:hAnsiTheme="minorBidi" w:cstheme="minorBidi"/>
                <w:sz w:val="20"/>
                <w:szCs w:val="20"/>
                <w:lang w:val="en-GB"/>
              </w:rPr>
            </w:pPr>
            <w:r w:rsidRPr="00F3039A">
              <w:rPr>
                <w:rFonts w:asciiTheme="minorBidi" w:hAnsiTheme="minorBidi" w:cstheme="minorBidi"/>
                <w:sz w:val="20"/>
                <w:szCs w:val="20"/>
                <w:lang w:val="en-GB"/>
              </w:rPr>
              <w:t>NGO-90552</w:t>
            </w:r>
          </w:p>
        </w:tc>
      </w:tr>
      <w:tr w:rsidR="00521F6F" w:rsidRPr="00F3039A" w14:paraId="10563C51" w14:textId="77777777" w:rsidTr="006B723A">
        <w:trPr>
          <w:trHeight w:val="576"/>
        </w:trPr>
        <w:tc>
          <w:tcPr>
            <w:tcW w:w="3058" w:type="pct"/>
            <w:shd w:val="clear" w:color="auto" w:fill="DEEAF6" w:themeFill="accent1" w:themeFillTint="33"/>
            <w:vAlign w:val="center"/>
          </w:tcPr>
          <w:p w14:paraId="6C4476DB" w14:textId="77777777" w:rsidR="00521F6F" w:rsidRPr="00F3039A" w:rsidRDefault="00521F6F" w:rsidP="009314C9">
            <w:pPr>
              <w:contextualSpacing/>
              <w:rPr>
                <w:rFonts w:asciiTheme="minorBidi" w:hAnsiTheme="minorBidi" w:cstheme="minorBidi"/>
                <w:b/>
                <w:bCs/>
                <w:sz w:val="20"/>
                <w:szCs w:val="20"/>
                <w:lang w:val="en-GB"/>
              </w:rPr>
            </w:pPr>
            <w:r w:rsidRPr="00F3039A">
              <w:rPr>
                <w:rFonts w:asciiTheme="minorBidi" w:hAnsiTheme="minorBidi" w:cstheme="minorBidi"/>
                <w:b/>
                <w:bCs/>
                <w:sz w:val="20"/>
                <w:szCs w:val="20"/>
                <w:lang w:val="en-GB"/>
              </w:rPr>
              <w:t>Fundación Casa Taller</w:t>
            </w:r>
            <w:r w:rsidRPr="00F3039A">
              <w:rPr>
                <w:rFonts w:asciiTheme="minorBidi" w:hAnsiTheme="minorBidi" w:cstheme="minorBidi"/>
                <w:sz w:val="20"/>
                <w:szCs w:val="20"/>
                <w:lang w:val="en-GB"/>
              </w:rPr>
              <w:br/>
              <w:t>Workshop Home Foundation</w:t>
            </w:r>
          </w:p>
        </w:tc>
        <w:tc>
          <w:tcPr>
            <w:tcW w:w="1059" w:type="pct"/>
            <w:shd w:val="clear" w:color="auto" w:fill="DEEAF6" w:themeFill="accent1" w:themeFillTint="33"/>
            <w:vAlign w:val="center"/>
          </w:tcPr>
          <w:p w14:paraId="1990A739" w14:textId="77777777" w:rsidR="00521F6F" w:rsidRPr="00F3039A" w:rsidRDefault="00521F6F" w:rsidP="009314C9">
            <w:pPr>
              <w:contextualSpacing/>
              <w:jc w:val="center"/>
              <w:rPr>
                <w:rFonts w:asciiTheme="minorBidi" w:hAnsiTheme="minorBidi" w:cstheme="minorBidi"/>
                <w:sz w:val="20"/>
                <w:szCs w:val="20"/>
                <w:lang w:val="en-GB"/>
              </w:rPr>
            </w:pPr>
            <w:r w:rsidRPr="00F3039A">
              <w:rPr>
                <w:rFonts w:asciiTheme="minorBidi" w:hAnsiTheme="minorBidi" w:cstheme="minorBidi"/>
                <w:sz w:val="20"/>
                <w:szCs w:val="20"/>
                <w:lang w:val="en-GB"/>
              </w:rPr>
              <w:t>Panama</w:t>
            </w:r>
          </w:p>
        </w:tc>
        <w:tc>
          <w:tcPr>
            <w:tcW w:w="883" w:type="pct"/>
            <w:shd w:val="clear" w:color="auto" w:fill="DEEAF6" w:themeFill="accent1" w:themeFillTint="33"/>
            <w:vAlign w:val="center"/>
          </w:tcPr>
          <w:p w14:paraId="5D6BEC54" w14:textId="77777777" w:rsidR="00521F6F" w:rsidRPr="00F3039A" w:rsidRDefault="00521F6F" w:rsidP="009314C9">
            <w:pPr>
              <w:contextualSpacing/>
              <w:jc w:val="center"/>
              <w:rPr>
                <w:rFonts w:asciiTheme="minorBidi" w:hAnsiTheme="minorBidi" w:cstheme="minorBidi"/>
                <w:sz w:val="20"/>
                <w:szCs w:val="20"/>
                <w:lang w:val="en-GB"/>
              </w:rPr>
            </w:pPr>
            <w:r w:rsidRPr="00F3039A">
              <w:rPr>
                <w:rFonts w:asciiTheme="minorBidi" w:hAnsiTheme="minorBidi" w:cstheme="minorBidi"/>
                <w:sz w:val="20"/>
                <w:szCs w:val="20"/>
                <w:lang w:val="en-GB"/>
              </w:rPr>
              <w:t>NGO-90579</w:t>
            </w:r>
          </w:p>
        </w:tc>
      </w:tr>
      <w:tr w:rsidR="00521F6F" w:rsidRPr="00F3039A" w14:paraId="673A5396" w14:textId="77777777" w:rsidTr="006B723A">
        <w:trPr>
          <w:trHeight w:val="576"/>
        </w:trPr>
        <w:tc>
          <w:tcPr>
            <w:tcW w:w="3058" w:type="pct"/>
            <w:vAlign w:val="center"/>
          </w:tcPr>
          <w:p w14:paraId="5754B52F" w14:textId="77777777" w:rsidR="00521F6F" w:rsidRPr="00F3039A" w:rsidRDefault="00521F6F" w:rsidP="009314C9">
            <w:pPr>
              <w:contextualSpacing/>
              <w:rPr>
                <w:rFonts w:asciiTheme="minorBidi" w:hAnsiTheme="minorBidi" w:cstheme="minorBidi"/>
                <w:b/>
                <w:bCs/>
                <w:sz w:val="20"/>
                <w:szCs w:val="20"/>
                <w:lang w:val="es-ES"/>
              </w:rPr>
            </w:pPr>
            <w:r w:rsidRPr="00F3039A">
              <w:rPr>
                <w:rFonts w:asciiTheme="minorBidi" w:hAnsiTheme="minorBidi" w:cstheme="minorBidi"/>
                <w:b/>
                <w:bCs/>
                <w:sz w:val="20"/>
                <w:szCs w:val="20"/>
                <w:lang w:val="es-ES"/>
              </w:rPr>
              <w:t>Fundación La Sacha</w:t>
            </w:r>
            <w:r w:rsidRPr="00F3039A">
              <w:rPr>
                <w:rFonts w:asciiTheme="minorBidi" w:hAnsiTheme="minorBidi" w:cstheme="minorBidi"/>
                <w:sz w:val="20"/>
                <w:szCs w:val="20"/>
                <w:lang w:val="es-ES"/>
              </w:rPr>
              <w:br/>
              <w:t>Sacha Foundation</w:t>
            </w:r>
          </w:p>
        </w:tc>
        <w:tc>
          <w:tcPr>
            <w:tcW w:w="1059" w:type="pct"/>
            <w:vAlign w:val="center"/>
          </w:tcPr>
          <w:p w14:paraId="67B7AA08" w14:textId="77777777" w:rsidR="00521F6F" w:rsidRPr="00F3039A" w:rsidRDefault="00521F6F" w:rsidP="009314C9">
            <w:pPr>
              <w:contextualSpacing/>
              <w:jc w:val="center"/>
              <w:rPr>
                <w:rFonts w:asciiTheme="minorBidi" w:hAnsiTheme="minorBidi" w:cstheme="minorBidi"/>
                <w:sz w:val="20"/>
                <w:szCs w:val="20"/>
                <w:lang w:val="en-GB"/>
              </w:rPr>
            </w:pPr>
            <w:r w:rsidRPr="00F3039A">
              <w:rPr>
                <w:rFonts w:asciiTheme="minorBidi" w:hAnsiTheme="minorBidi" w:cstheme="minorBidi"/>
                <w:sz w:val="20"/>
                <w:szCs w:val="20"/>
                <w:lang w:val="en-GB"/>
              </w:rPr>
              <w:t>Argentina</w:t>
            </w:r>
          </w:p>
        </w:tc>
        <w:tc>
          <w:tcPr>
            <w:tcW w:w="883" w:type="pct"/>
            <w:vAlign w:val="center"/>
          </w:tcPr>
          <w:p w14:paraId="0C02EC92" w14:textId="77777777" w:rsidR="00521F6F" w:rsidRPr="00F3039A" w:rsidRDefault="00521F6F" w:rsidP="009314C9">
            <w:pPr>
              <w:contextualSpacing/>
              <w:jc w:val="center"/>
              <w:rPr>
                <w:rFonts w:asciiTheme="minorBidi" w:hAnsiTheme="minorBidi" w:cstheme="minorBidi"/>
                <w:sz w:val="20"/>
                <w:szCs w:val="20"/>
                <w:lang w:val="en-GB"/>
              </w:rPr>
            </w:pPr>
            <w:r w:rsidRPr="00F3039A">
              <w:rPr>
                <w:rFonts w:asciiTheme="minorBidi" w:hAnsiTheme="minorBidi" w:cstheme="minorBidi"/>
                <w:sz w:val="20"/>
                <w:szCs w:val="20"/>
                <w:lang w:val="en-GB"/>
              </w:rPr>
              <w:t>NGO-90546</w:t>
            </w:r>
          </w:p>
        </w:tc>
      </w:tr>
      <w:tr w:rsidR="00521F6F" w:rsidRPr="00F3039A" w14:paraId="1F97A498" w14:textId="77777777" w:rsidTr="006B723A">
        <w:trPr>
          <w:trHeight w:val="576"/>
        </w:trPr>
        <w:tc>
          <w:tcPr>
            <w:tcW w:w="3058" w:type="pct"/>
            <w:shd w:val="clear" w:color="auto" w:fill="DEEAF6" w:themeFill="accent1" w:themeFillTint="33"/>
            <w:vAlign w:val="center"/>
          </w:tcPr>
          <w:p w14:paraId="43A58453" w14:textId="77777777" w:rsidR="00521F6F" w:rsidRPr="00F3039A" w:rsidRDefault="00521F6F" w:rsidP="009314C9">
            <w:pPr>
              <w:contextualSpacing/>
              <w:rPr>
                <w:rFonts w:asciiTheme="minorBidi" w:hAnsiTheme="minorBidi" w:cstheme="minorBidi"/>
                <w:b/>
                <w:bCs/>
                <w:sz w:val="20"/>
                <w:szCs w:val="20"/>
                <w:lang w:val="en-GB"/>
              </w:rPr>
            </w:pPr>
            <w:r w:rsidRPr="00F3039A">
              <w:rPr>
                <w:rFonts w:asciiTheme="minorBidi" w:hAnsiTheme="minorBidi" w:cstheme="minorBidi"/>
                <w:b/>
                <w:bCs/>
                <w:sz w:val="20"/>
                <w:szCs w:val="20"/>
                <w:lang w:val="en-GB"/>
              </w:rPr>
              <w:t>Grenada National Trust</w:t>
            </w:r>
          </w:p>
        </w:tc>
        <w:tc>
          <w:tcPr>
            <w:tcW w:w="1059" w:type="pct"/>
            <w:shd w:val="clear" w:color="auto" w:fill="DEEAF6" w:themeFill="accent1" w:themeFillTint="33"/>
            <w:vAlign w:val="center"/>
          </w:tcPr>
          <w:p w14:paraId="3FD22E08" w14:textId="77777777" w:rsidR="00521F6F" w:rsidRPr="00F3039A" w:rsidRDefault="00521F6F" w:rsidP="009314C9">
            <w:pPr>
              <w:contextualSpacing/>
              <w:jc w:val="center"/>
              <w:rPr>
                <w:rFonts w:asciiTheme="minorBidi" w:hAnsiTheme="minorBidi" w:cstheme="minorBidi"/>
                <w:sz w:val="20"/>
                <w:szCs w:val="20"/>
                <w:lang w:val="en-GB"/>
              </w:rPr>
            </w:pPr>
            <w:r w:rsidRPr="00F3039A">
              <w:rPr>
                <w:rFonts w:asciiTheme="minorBidi" w:hAnsiTheme="minorBidi" w:cstheme="minorBidi"/>
                <w:sz w:val="20"/>
                <w:szCs w:val="20"/>
                <w:lang w:val="en-GB"/>
              </w:rPr>
              <w:t>Grenada</w:t>
            </w:r>
          </w:p>
        </w:tc>
        <w:tc>
          <w:tcPr>
            <w:tcW w:w="883" w:type="pct"/>
            <w:shd w:val="clear" w:color="auto" w:fill="DEEAF6" w:themeFill="accent1" w:themeFillTint="33"/>
            <w:vAlign w:val="center"/>
          </w:tcPr>
          <w:p w14:paraId="7D3CC67D" w14:textId="77777777" w:rsidR="00521F6F" w:rsidRPr="00F3039A" w:rsidRDefault="00521F6F" w:rsidP="009314C9">
            <w:pPr>
              <w:contextualSpacing/>
              <w:jc w:val="center"/>
              <w:rPr>
                <w:rFonts w:asciiTheme="minorBidi" w:hAnsiTheme="minorBidi" w:cstheme="minorBidi"/>
                <w:sz w:val="20"/>
                <w:szCs w:val="20"/>
                <w:lang w:val="en-GB"/>
              </w:rPr>
            </w:pPr>
            <w:r w:rsidRPr="00F3039A">
              <w:rPr>
                <w:rFonts w:asciiTheme="minorBidi" w:hAnsiTheme="minorBidi" w:cstheme="minorBidi"/>
                <w:sz w:val="20"/>
                <w:szCs w:val="20"/>
                <w:lang w:val="en-GB"/>
              </w:rPr>
              <w:t>NGO-90555</w:t>
            </w:r>
          </w:p>
        </w:tc>
      </w:tr>
      <w:tr w:rsidR="00521F6F" w:rsidRPr="00F3039A" w14:paraId="6E6B9526" w14:textId="77777777" w:rsidTr="006B723A">
        <w:trPr>
          <w:trHeight w:val="576"/>
        </w:trPr>
        <w:tc>
          <w:tcPr>
            <w:tcW w:w="3058" w:type="pct"/>
            <w:vAlign w:val="center"/>
          </w:tcPr>
          <w:p w14:paraId="17922660" w14:textId="77777777" w:rsidR="00521F6F" w:rsidRPr="00F3039A" w:rsidRDefault="00521F6F" w:rsidP="009314C9">
            <w:pPr>
              <w:contextualSpacing/>
              <w:rPr>
                <w:rFonts w:asciiTheme="minorBidi" w:hAnsiTheme="minorBidi" w:cstheme="minorBidi"/>
                <w:b/>
                <w:bCs/>
                <w:sz w:val="20"/>
                <w:szCs w:val="20"/>
                <w:lang w:val="en-GB"/>
              </w:rPr>
            </w:pPr>
            <w:r w:rsidRPr="00F3039A">
              <w:rPr>
                <w:rFonts w:asciiTheme="minorBidi" w:hAnsiTheme="minorBidi" w:cstheme="minorBidi"/>
                <w:b/>
                <w:bCs/>
                <w:sz w:val="20"/>
                <w:szCs w:val="20"/>
                <w:lang w:val="en-GB"/>
              </w:rPr>
              <w:t>Heimilisiðnaðarfélag Íslands</w:t>
            </w:r>
            <w:r w:rsidRPr="00F3039A">
              <w:rPr>
                <w:rFonts w:asciiTheme="minorBidi" w:hAnsiTheme="minorBidi" w:cstheme="minorBidi"/>
                <w:sz w:val="20"/>
                <w:szCs w:val="20"/>
                <w:lang w:val="en-GB"/>
              </w:rPr>
              <w:br/>
              <w:t>Icelandic Handicraft Association</w:t>
            </w:r>
          </w:p>
        </w:tc>
        <w:tc>
          <w:tcPr>
            <w:tcW w:w="1059" w:type="pct"/>
            <w:vAlign w:val="center"/>
          </w:tcPr>
          <w:p w14:paraId="5CD6EB78" w14:textId="77777777" w:rsidR="00521F6F" w:rsidRPr="00F3039A" w:rsidRDefault="00521F6F" w:rsidP="009314C9">
            <w:pPr>
              <w:contextualSpacing/>
              <w:jc w:val="center"/>
              <w:rPr>
                <w:rFonts w:asciiTheme="minorBidi" w:hAnsiTheme="minorBidi" w:cstheme="minorBidi"/>
                <w:sz w:val="20"/>
                <w:szCs w:val="20"/>
                <w:lang w:val="en-GB"/>
              </w:rPr>
            </w:pPr>
            <w:r w:rsidRPr="00F3039A">
              <w:rPr>
                <w:rFonts w:asciiTheme="minorBidi" w:hAnsiTheme="minorBidi" w:cstheme="minorBidi"/>
                <w:sz w:val="20"/>
                <w:szCs w:val="20"/>
                <w:lang w:val="en-GB"/>
              </w:rPr>
              <w:t>Iceland</w:t>
            </w:r>
          </w:p>
        </w:tc>
        <w:tc>
          <w:tcPr>
            <w:tcW w:w="883" w:type="pct"/>
            <w:vAlign w:val="center"/>
          </w:tcPr>
          <w:p w14:paraId="3C143615" w14:textId="77777777" w:rsidR="00521F6F" w:rsidRPr="00F3039A" w:rsidRDefault="00521F6F" w:rsidP="009314C9">
            <w:pPr>
              <w:contextualSpacing/>
              <w:jc w:val="center"/>
              <w:rPr>
                <w:rFonts w:asciiTheme="minorBidi" w:hAnsiTheme="minorBidi" w:cstheme="minorBidi"/>
                <w:sz w:val="20"/>
                <w:szCs w:val="20"/>
                <w:lang w:val="en-GB"/>
              </w:rPr>
            </w:pPr>
            <w:r w:rsidRPr="00F3039A">
              <w:rPr>
                <w:rFonts w:asciiTheme="minorBidi" w:hAnsiTheme="minorBidi" w:cstheme="minorBidi"/>
                <w:sz w:val="20"/>
                <w:szCs w:val="20"/>
                <w:lang w:val="en-GB"/>
              </w:rPr>
              <w:t>NGO-90533</w:t>
            </w:r>
          </w:p>
        </w:tc>
      </w:tr>
      <w:tr w:rsidR="00521F6F" w:rsidRPr="00F3039A" w14:paraId="4C142DC0" w14:textId="77777777" w:rsidTr="006B723A">
        <w:trPr>
          <w:trHeight w:val="576"/>
        </w:trPr>
        <w:tc>
          <w:tcPr>
            <w:tcW w:w="3058" w:type="pct"/>
            <w:shd w:val="clear" w:color="auto" w:fill="DEEAF6" w:themeFill="accent1" w:themeFillTint="33"/>
            <w:vAlign w:val="center"/>
          </w:tcPr>
          <w:p w14:paraId="3045C49F" w14:textId="77777777" w:rsidR="00521F6F" w:rsidRPr="00F3039A" w:rsidRDefault="00521F6F" w:rsidP="009314C9">
            <w:pPr>
              <w:contextualSpacing/>
              <w:rPr>
                <w:rFonts w:asciiTheme="minorBidi" w:hAnsiTheme="minorBidi" w:cstheme="minorBidi"/>
                <w:b/>
                <w:bCs/>
                <w:sz w:val="20"/>
                <w:szCs w:val="20"/>
                <w:lang w:val="pt-BR"/>
              </w:rPr>
            </w:pPr>
            <w:r w:rsidRPr="00F3039A">
              <w:rPr>
                <w:rFonts w:asciiTheme="minorBidi" w:hAnsiTheme="minorBidi" w:cstheme="minorBidi"/>
                <w:b/>
                <w:bCs/>
                <w:sz w:val="20"/>
                <w:szCs w:val="20"/>
                <w:lang w:val="pt-BR"/>
              </w:rPr>
              <w:t>Iepé - Instituto de Pesquisa e Formação Indígena</w:t>
            </w:r>
            <w:r w:rsidRPr="00F3039A">
              <w:rPr>
                <w:rFonts w:asciiTheme="minorBidi" w:hAnsiTheme="minorBidi" w:cstheme="minorBidi"/>
                <w:sz w:val="20"/>
                <w:szCs w:val="20"/>
                <w:lang w:val="pt-BR"/>
              </w:rPr>
              <w:br/>
              <w:t>Iepé - Indigenous Research and Training Institute</w:t>
            </w:r>
          </w:p>
        </w:tc>
        <w:tc>
          <w:tcPr>
            <w:tcW w:w="1059" w:type="pct"/>
            <w:shd w:val="clear" w:color="auto" w:fill="DEEAF6" w:themeFill="accent1" w:themeFillTint="33"/>
            <w:vAlign w:val="center"/>
          </w:tcPr>
          <w:p w14:paraId="7F94DE4D" w14:textId="77777777" w:rsidR="00521F6F" w:rsidRPr="00F3039A" w:rsidRDefault="00521F6F" w:rsidP="009314C9">
            <w:pPr>
              <w:contextualSpacing/>
              <w:jc w:val="center"/>
              <w:rPr>
                <w:rFonts w:asciiTheme="minorBidi" w:hAnsiTheme="minorBidi" w:cstheme="minorBidi"/>
                <w:sz w:val="20"/>
                <w:szCs w:val="20"/>
                <w:lang w:val="en-GB"/>
              </w:rPr>
            </w:pPr>
            <w:r w:rsidRPr="00F3039A">
              <w:rPr>
                <w:rFonts w:asciiTheme="minorBidi" w:hAnsiTheme="minorBidi" w:cstheme="minorBidi"/>
                <w:sz w:val="20"/>
                <w:szCs w:val="20"/>
                <w:lang w:val="en-GB"/>
              </w:rPr>
              <w:t>Brazil</w:t>
            </w:r>
          </w:p>
        </w:tc>
        <w:tc>
          <w:tcPr>
            <w:tcW w:w="883" w:type="pct"/>
            <w:shd w:val="clear" w:color="auto" w:fill="DEEAF6" w:themeFill="accent1" w:themeFillTint="33"/>
            <w:vAlign w:val="center"/>
          </w:tcPr>
          <w:p w14:paraId="0D212850" w14:textId="77777777" w:rsidR="00521F6F" w:rsidRPr="00F3039A" w:rsidRDefault="00521F6F" w:rsidP="009314C9">
            <w:pPr>
              <w:contextualSpacing/>
              <w:jc w:val="center"/>
              <w:rPr>
                <w:rFonts w:asciiTheme="minorBidi" w:hAnsiTheme="minorBidi" w:cstheme="minorBidi"/>
                <w:sz w:val="20"/>
                <w:szCs w:val="20"/>
                <w:lang w:val="en-GB"/>
              </w:rPr>
            </w:pPr>
            <w:r w:rsidRPr="00F3039A">
              <w:rPr>
                <w:rFonts w:asciiTheme="minorBidi" w:hAnsiTheme="minorBidi" w:cstheme="minorBidi"/>
                <w:sz w:val="20"/>
                <w:szCs w:val="20"/>
                <w:lang w:val="en-GB"/>
              </w:rPr>
              <w:t>NGO-90584</w:t>
            </w:r>
          </w:p>
        </w:tc>
      </w:tr>
      <w:tr w:rsidR="00521F6F" w:rsidRPr="00F3039A" w14:paraId="6B5CD839" w14:textId="77777777" w:rsidTr="006B723A">
        <w:trPr>
          <w:trHeight w:val="576"/>
        </w:trPr>
        <w:tc>
          <w:tcPr>
            <w:tcW w:w="3058" w:type="pct"/>
            <w:vAlign w:val="center"/>
          </w:tcPr>
          <w:p w14:paraId="3D2BEA6E" w14:textId="77777777" w:rsidR="00521F6F" w:rsidRPr="00F3039A" w:rsidRDefault="00521F6F" w:rsidP="009314C9">
            <w:pPr>
              <w:contextualSpacing/>
              <w:rPr>
                <w:rFonts w:asciiTheme="minorBidi" w:hAnsiTheme="minorBidi" w:cstheme="minorBidi"/>
                <w:b/>
                <w:bCs/>
                <w:sz w:val="20"/>
                <w:szCs w:val="20"/>
                <w:lang w:val="en-GB"/>
              </w:rPr>
            </w:pPr>
            <w:r w:rsidRPr="00F3039A">
              <w:rPr>
                <w:rFonts w:asciiTheme="minorBidi" w:hAnsiTheme="minorBidi" w:cstheme="minorBidi"/>
                <w:b/>
                <w:bCs/>
                <w:sz w:val="20"/>
                <w:szCs w:val="20"/>
                <w:lang w:val="en-GB"/>
              </w:rPr>
              <w:t>Kadın ve Demokrasi Vakfı (KADEM)</w:t>
            </w:r>
            <w:r w:rsidRPr="00F3039A">
              <w:rPr>
                <w:rFonts w:asciiTheme="minorBidi" w:hAnsiTheme="minorBidi" w:cstheme="minorBidi"/>
                <w:sz w:val="20"/>
                <w:szCs w:val="20"/>
                <w:lang w:val="en-GB"/>
              </w:rPr>
              <w:br/>
              <w:t>Women and Democracy Foundation (KADEM)</w:t>
            </w:r>
          </w:p>
        </w:tc>
        <w:tc>
          <w:tcPr>
            <w:tcW w:w="1059" w:type="pct"/>
            <w:vAlign w:val="center"/>
          </w:tcPr>
          <w:p w14:paraId="58CD42F8" w14:textId="77777777" w:rsidR="00521F6F" w:rsidRPr="00F3039A" w:rsidRDefault="00521F6F" w:rsidP="009314C9">
            <w:pPr>
              <w:contextualSpacing/>
              <w:jc w:val="center"/>
              <w:rPr>
                <w:rFonts w:asciiTheme="minorBidi" w:hAnsiTheme="minorBidi" w:cstheme="minorBidi"/>
                <w:sz w:val="20"/>
                <w:szCs w:val="20"/>
                <w:lang w:val="en-GB"/>
              </w:rPr>
            </w:pPr>
            <w:r w:rsidRPr="00F3039A">
              <w:rPr>
                <w:rFonts w:asciiTheme="minorBidi" w:hAnsiTheme="minorBidi" w:cstheme="minorBidi"/>
                <w:sz w:val="20"/>
                <w:szCs w:val="20"/>
                <w:lang w:val="en-GB"/>
              </w:rPr>
              <w:t>Türkiye</w:t>
            </w:r>
          </w:p>
        </w:tc>
        <w:tc>
          <w:tcPr>
            <w:tcW w:w="883" w:type="pct"/>
            <w:vAlign w:val="center"/>
          </w:tcPr>
          <w:p w14:paraId="558F0919" w14:textId="77777777" w:rsidR="00521F6F" w:rsidRPr="00F3039A" w:rsidRDefault="00521F6F" w:rsidP="009314C9">
            <w:pPr>
              <w:contextualSpacing/>
              <w:jc w:val="center"/>
              <w:rPr>
                <w:rFonts w:asciiTheme="minorBidi" w:hAnsiTheme="minorBidi" w:cstheme="minorBidi"/>
                <w:sz w:val="20"/>
                <w:szCs w:val="20"/>
                <w:lang w:val="en-GB"/>
              </w:rPr>
            </w:pPr>
            <w:r w:rsidRPr="00F3039A">
              <w:rPr>
                <w:rFonts w:asciiTheme="minorBidi" w:hAnsiTheme="minorBidi" w:cstheme="minorBidi"/>
                <w:sz w:val="20"/>
                <w:szCs w:val="20"/>
                <w:lang w:val="en-GB"/>
              </w:rPr>
              <w:t>NGO-90557</w:t>
            </w:r>
          </w:p>
        </w:tc>
      </w:tr>
      <w:tr w:rsidR="00521F6F" w:rsidRPr="00F3039A" w14:paraId="5CBC541B" w14:textId="77777777" w:rsidTr="006B723A">
        <w:trPr>
          <w:trHeight w:val="576"/>
        </w:trPr>
        <w:tc>
          <w:tcPr>
            <w:tcW w:w="3058" w:type="pct"/>
            <w:shd w:val="clear" w:color="auto" w:fill="DEEAF6" w:themeFill="accent1" w:themeFillTint="33"/>
            <w:vAlign w:val="center"/>
          </w:tcPr>
          <w:p w14:paraId="63E0023C" w14:textId="77777777" w:rsidR="00521F6F" w:rsidRPr="00F3039A" w:rsidRDefault="00521F6F" w:rsidP="009314C9">
            <w:pPr>
              <w:contextualSpacing/>
              <w:rPr>
                <w:rFonts w:asciiTheme="minorBidi" w:hAnsiTheme="minorBidi" w:cstheme="minorBidi"/>
                <w:b/>
                <w:bCs/>
                <w:sz w:val="20"/>
                <w:szCs w:val="20"/>
                <w:lang w:val="en-GB"/>
              </w:rPr>
            </w:pPr>
            <w:r w:rsidRPr="00F3039A">
              <w:rPr>
                <w:rFonts w:asciiTheme="minorBidi" w:hAnsiTheme="minorBidi" w:cstheme="minorBidi"/>
                <w:b/>
                <w:bCs/>
                <w:sz w:val="20"/>
                <w:szCs w:val="20"/>
                <w:lang w:val="en-GB"/>
              </w:rPr>
              <w:t>Kulturno Umjetničko Društvo ‘Puračić’</w:t>
            </w:r>
            <w:r w:rsidRPr="00F3039A">
              <w:rPr>
                <w:rFonts w:asciiTheme="minorBidi" w:hAnsiTheme="minorBidi" w:cstheme="minorBidi"/>
                <w:sz w:val="20"/>
                <w:szCs w:val="20"/>
                <w:lang w:val="en-GB"/>
              </w:rPr>
              <w:br/>
              <w:t>Cultural Artistic Association ‘Puračić’</w:t>
            </w:r>
          </w:p>
        </w:tc>
        <w:tc>
          <w:tcPr>
            <w:tcW w:w="1059" w:type="pct"/>
            <w:shd w:val="clear" w:color="auto" w:fill="DEEAF6" w:themeFill="accent1" w:themeFillTint="33"/>
            <w:vAlign w:val="center"/>
          </w:tcPr>
          <w:p w14:paraId="23C297A2" w14:textId="77777777" w:rsidR="00521F6F" w:rsidRPr="00F3039A" w:rsidRDefault="00521F6F" w:rsidP="009314C9">
            <w:pPr>
              <w:contextualSpacing/>
              <w:jc w:val="center"/>
              <w:rPr>
                <w:rFonts w:asciiTheme="minorBidi" w:hAnsiTheme="minorBidi" w:cstheme="minorBidi"/>
                <w:sz w:val="20"/>
                <w:szCs w:val="20"/>
                <w:lang w:val="en-GB"/>
              </w:rPr>
            </w:pPr>
            <w:r w:rsidRPr="00F3039A">
              <w:rPr>
                <w:rFonts w:asciiTheme="minorBidi" w:hAnsiTheme="minorBidi" w:cstheme="minorBidi"/>
                <w:sz w:val="20"/>
                <w:szCs w:val="20"/>
                <w:lang w:val="en-GB"/>
              </w:rPr>
              <w:t>Bosnia and Herzegovina</w:t>
            </w:r>
          </w:p>
        </w:tc>
        <w:tc>
          <w:tcPr>
            <w:tcW w:w="883" w:type="pct"/>
            <w:shd w:val="clear" w:color="auto" w:fill="DEEAF6" w:themeFill="accent1" w:themeFillTint="33"/>
            <w:vAlign w:val="center"/>
          </w:tcPr>
          <w:p w14:paraId="7B3FE18A" w14:textId="77777777" w:rsidR="00521F6F" w:rsidRPr="00F3039A" w:rsidRDefault="00521F6F" w:rsidP="009314C9">
            <w:pPr>
              <w:contextualSpacing/>
              <w:jc w:val="center"/>
              <w:rPr>
                <w:rFonts w:asciiTheme="minorBidi" w:hAnsiTheme="minorBidi" w:cstheme="minorBidi"/>
                <w:sz w:val="20"/>
                <w:szCs w:val="20"/>
                <w:lang w:val="en-GB"/>
              </w:rPr>
            </w:pPr>
            <w:r w:rsidRPr="00F3039A">
              <w:rPr>
                <w:rFonts w:asciiTheme="minorBidi" w:hAnsiTheme="minorBidi" w:cstheme="minorBidi"/>
                <w:sz w:val="20"/>
                <w:szCs w:val="20"/>
                <w:lang w:val="en-GB"/>
              </w:rPr>
              <w:t>NGO-90541</w:t>
            </w:r>
          </w:p>
        </w:tc>
      </w:tr>
      <w:tr w:rsidR="00521F6F" w:rsidRPr="00F3039A" w14:paraId="479F0DCC" w14:textId="77777777" w:rsidTr="006B723A">
        <w:trPr>
          <w:trHeight w:val="576"/>
        </w:trPr>
        <w:tc>
          <w:tcPr>
            <w:tcW w:w="3058" w:type="pct"/>
            <w:vAlign w:val="center"/>
          </w:tcPr>
          <w:p w14:paraId="3FF37C15" w14:textId="77777777" w:rsidR="00521F6F" w:rsidRPr="00F3039A" w:rsidRDefault="00521F6F" w:rsidP="009314C9">
            <w:pPr>
              <w:contextualSpacing/>
              <w:rPr>
                <w:rFonts w:asciiTheme="minorBidi" w:hAnsiTheme="minorBidi" w:cstheme="minorBidi"/>
                <w:b/>
                <w:bCs/>
                <w:sz w:val="20"/>
                <w:szCs w:val="20"/>
                <w:lang w:val="en-GB"/>
              </w:rPr>
            </w:pPr>
            <w:r w:rsidRPr="00F3039A">
              <w:rPr>
                <w:rFonts w:asciiTheme="minorBidi" w:hAnsiTheme="minorBidi" w:cstheme="minorBidi"/>
                <w:b/>
                <w:bCs/>
                <w:sz w:val="20"/>
                <w:szCs w:val="20"/>
                <w:lang w:val="en-GB"/>
              </w:rPr>
              <w:t>L’Œuvre d’Orient</w:t>
            </w:r>
          </w:p>
        </w:tc>
        <w:tc>
          <w:tcPr>
            <w:tcW w:w="1059" w:type="pct"/>
            <w:vAlign w:val="center"/>
          </w:tcPr>
          <w:p w14:paraId="7AEBF729" w14:textId="77777777" w:rsidR="00521F6F" w:rsidRPr="00F3039A" w:rsidRDefault="00521F6F" w:rsidP="009314C9">
            <w:pPr>
              <w:contextualSpacing/>
              <w:jc w:val="center"/>
              <w:rPr>
                <w:rFonts w:asciiTheme="minorBidi" w:hAnsiTheme="minorBidi" w:cstheme="minorBidi"/>
                <w:sz w:val="20"/>
                <w:szCs w:val="20"/>
                <w:lang w:val="en-GB"/>
              </w:rPr>
            </w:pPr>
            <w:r w:rsidRPr="00F3039A">
              <w:rPr>
                <w:rFonts w:asciiTheme="minorBidi" w:hAnsiTheme="minorBidi" w:cstheme="minorBidi"/>
                <w:sz w:val="20"/>
                <w:szCs w:val="20"/>
                <w:lang w:val="en-GB"/>
              </w:rPr>
              <w:t>France</w:t>
            </w:r>
          </w:p>
        </w:tc>
        <w:tc>
          <w:tcPr>
            <w:tcW w:w="883" w:type="pct"/>
            <w:vAlign w:val="center"/>
          </w:tcPr>
          <w:p w14:paraId="4975CF50" w14:textId="77777777" w:rsidR="00521F6F" w:rsidRPr="00F3039A" w:rsidRDefault="00521F6F" w:rsidP="009314C9">
            <w:pPr>
              <w:contextualSpacing/>
              <w:jc w:val="center"/>
              <w:rPr>
                <w:rFonts w:asciiTheme="minorBidi" w:hAnsiTheme="minorBidi" w:cstheme="minorBidi"/>
                <w:sz w:val="20"/>
                <w:szCs w:val="20"/>
                <w:lang w:val="en-GB"/>
              </w:rPr>
            </w:pPr>
            <w:r w:rsidRPr="00F3039A">
              <w:rPr>
                <w:rFonts w:asciiTheme="minorBidi" w:hAnsiTheme="minorBidi" w:cstheme="minorBidi"/>
                <w:sz w:val="20"/>
                <w:szCs w:val="20"/>
                <w:lang w:val="en-GB"/>
              </w:rPr>
              <w:t>NGO-90548</w:t>
            </w:r>
          </w:p>
        </w:tc>
      </w:tr>
      <w:tr w:rsidR="00521F6F" w:rsidRPr="00F3039A" w14:paraId="4733147A" w14:textId="77777777" w:rsidTr="006B723A">
        <w:trPr>
          <w:trHeight w:val="576"/>
        </w:trPr>
        <w:tc>
          <w:tcPr>
            <w:tcW w:w="3058" w:type="pct"/>
            <w:shd w:val="clear" w:color="auto" w:fill="DEEAF6" w:themeFill="accent1" w:themeFillTint="33"/>
            <w:vAlign w:val="center"/>
          </w:tcPr>
          <w:p w14:paraId="3BE12DDE" w14:textId="77777777" w:rsidR="00521F6F" w:rsidRPr="00F3039A" w:rsidRDefault="00521F6F" w:rsidP="009314C9">
            <w:pPr>
              <w:contextualSpacing/>
              <w:rPr>
                <w:rFonts w:asciiTheme="minorBidi" w:hAnsiTheme="minorBidi" w:cstheme="minorBidi"/>
                <w:b/>
                <w:bCs/>
                <w:sz w:val="20"/>
                <w:szCs w:val="20"/>
              </w:rPr>
            </w:pPr>
            <w:r w:rsidRPr="00F3039A">
              <w:rPr>
                <w:rFonts w:asciiTheme="minorBidi" w:hAnsiTheme="minorBidi" w:cstheme="minorBidi"/>
                <w:b/>
                <w:bCs/>
                <w:sz w:val="20"/>
                <w:szCs w:val="20"/>
              </w:rPr>
              <w:t>Office pour le Patrimoine Immatériel - OPCI-Ethnodoc</w:t>
            </w:r>
          </w:p>
        </w:tc>
        <w:tc>
          <w:tcPr>
            <w:tcW w:w="1059" w:type="pct"/>
            <w:shd w:val="clear" w:color="auto" w:fill="DEEAF6" w:themeFill="accent1" w:themeFillTint="33"/>
            <w:vAlign w:val="center"/>
          </w:tcPr>
          <w:p w14:paraId="48A9608F" w14:textId="77777777" w:rsidR="00521F6F" w:rsidRPr="00F3039A" w:rsidRDefault="00521F6F" w:rsidP="009314C9">
            <w:pPr>
              <w:contextualSpacing/>
              <w:jc w:val="center"/>
              <w:rPr>
                <w:rFonts w:asciiTheme="minorBidi" w:hAnsiTheme="minorBidi" w:cstheme="minorBidi"/>
                <w:sz w:val="20"/>
                <w:szCs w:val="20"/>
                <w:lang w:val="en-GB"/>
              </w:rPr>
            </w:pPr>
            <w:r w:rsidRPr="00F3039A">
              <w:rPr>
                <w:rFonts w:asciiTheme="minorBidi" w:hAnsiTheme="minorBidi" w:cstheme="minorBidi"/>
                <w:sz w:val="20"/>
                <w:szCs w:val="20"/>
                <w:lang w:val="en-GB"/>
              </w:rPr>
              <w:t>France</w:t>
            </w:r>
          </w:p>
        </w:tc>
        <w:tc>
          <w:tcPr>
            <w:tcW w:w="883" w:type="pct"/>
            <w:shd w:val="clear" w:color="auto" w:fill="DEEAF6" w:themeFill="accent1" w:themeFillTint="33"/>
            <w:vAlign w:val="center"/>
          </w:tcPr>
          <w:p w14:paraId="24EA2FA8" w14:textId="77777777" w:rsidR="00521F6F" w:rsidRPr="00F3039A" w:rsidRDefault="00521F6F" w:rsidP="009314C9">
            <w:pPr>
              <w:contextualSpacing/>
              <w:jc w:val="center"/>
              <w:rPr>
                <w:rFonts w:asciiTheme="minorBidi" w:hAnsiTheme="minorBidi" w:cstheme="minorBidi"/>
                <w:sz w:val="20"/>
                <w:szCs w:val="20"/>
                <w:lang w:val="en-GB"/>
              </w:rPr>
            </w:pPr>
            <w:r w:rsidRPr="00F3039A">
              <w:rPr>
                <w:rFonts w:asciiTheme="minorBidi" w:hAnsiTheme="minorBidi" w:cstheme="minorBidi"/>
                <w:sz w:val="20"/>
                <w:szCs w:val="20"/>
                <w:lang w:val="en-GB"/>
              </w:rPr>
              <w:t>NGO-90536</w:t>
            </w:r>
          </w:p>
        </w:tc>
      </w:tr>
      <w:tr w:rsidR="00521F6F" w:rsidRPr="00F3039A" w14:paraId="06989431" w14:textId="77777777" w:rsidTr="006B723A">
        <w:trPr>
          <w:trHeight w:val="576"/>
        </w:trPr>
        <w:tc>
          <w:tcPr>
            <w:tcW w:w="3058" w:type="pct"/>
            <w:vAlign w:val="center"/>
          </w:tcPr>
          <w:p w14:paraId="0DA55B00" w14:textId="77777777" w:rsidR="00521F6F" w:rsidRPr="00F3039A" w:rsidRDefault="00521F6F" w:rsidP="009314C9">
            <w:pPr>
              <w:contextualSpacing/>
              <w:rPr>
                <w:rFonts w:asciiTheme="minorBidi" w:hAnsiTheme="minorBidi" w:cstheme="minorBidi"/>
                <w:b/>
                <w:bCs/>
                <w:sz w:val="20"/>
                <w:szCs w:val="20"/>
                <w:lang w:val="pt-BR"/>
              </w:rPr>
            </w:pPr>
            <w:r w:rsidRPr="00F3039A">
              <w:rPr>
                <w:rFonts w:asciiTheme="minorBidi" w:hAnsiTheme="minorBidi" w:cstheme="minorBidi"/>
                <w:b/>
                <w:bCs/>
                <w:sz w:val="20"/>
                <w:szCs w:val="20"/>
                <w:lang w:val="pt-BR"/>
              </w:rPr>
              <w:t>Operação Amazônia Nativa (OPAN)</w:t>
            </w:r>
            <w:r w:rsidRPr="00F3039A">
              <w:rPr>
                <w:rFonts w:asciiTheme="minorBidi" w:hAnsiTheme="minorBidi" w:cstheme="minorBidi"/>
                <w:sz w:val="20"/>
                <w:szCs w:val="20"/>
                <w:lang w:val="pt-BR"/>
              </w:rPr>
              <w:br/>
              <w:t>Operation Amazon Native (OPAN)</w:t>
            </w:r>
          </w:p>
        </w:tc>
        <w:tc>
          <w:tcPr>
            <w:tcW w:w="1059" w:type="pct"/>
            <w:vAlign w:val="center"/>
          </w:tcPr>
          <w:p w14:paraId="1BA0B7D7" w14:textId="77777777" w:rsidR="00521F6F" w:rsidRPr="00F3039A" w:rsidRDefault="00521F6F" w:rsidP="009314C9">
            <w:pPr>
              <w:contextualSpacing/>
              <w:jc w:val="center"/>
              <w:rPr>
                <w:rFonts w:asciiTheme="minorBidi" w:hAnsiTheme="minorBidi" w:cstheme="minorBidi"/>
                <w:sz w:val="20"/>
                <w:szCs w:val="20"/>
                <w:lang w:val="en-GB"/>
              </w:rPr>
            </w:pPr>
            <w:r w:rsidRPr="00F3039A">
              <w:rPr>
                <w:rFonts w:asciiTheme="minorBidi" w:hAnsiTheme="minorBidi" w:cstheme="minorBidi"/>
                <w:sz w:val="20"/>
                <w:szCs w:val="20"/>
                <w:lang w:val="en-GB"/>
              </w:rPr>
              <w:t>Brazil</w:t>
            </w:r>
          </w:p>
        </w:tc>
        <w:tc>
          <w:tcPr>
            <w:tcW w:w="883" w:type="pct"/>
            <w:vAlign w:val="center"/>
          </w:tcPr>
          <w:p w14:paraId="7FB9665A" w14:textId="77777777" w:rsidR="00521F6F" w:rsidRPr="00F3039A" w:rsidRDefault="00521F6F" w:rsidP="009314C9">
            <w:pPr>
              <w:contextualSpacing/>
              <w:jc w:val="center"/>
              <w:rPr>
                <w:rFonts w:asciiTheme="minorBidi" w:hAnsiTheme="minorBidi" w:cstheme="minorBidi"/>
                <w:sz w:val="20"/>
                <w:szCs w:val="20"/>
                <w:lang w:val="en-GB"/>
              </w:rPr>
            </w:pPr>
            <w:r w:rsidRPr="00F3039A">
              <w:rPr>
                <w:rFonts w:asciiTheme="minorBidi" w:hAnsiTheme="minorBidi" w:cstheme="minorBidi"/>
                <w:sz w:val="20"/>
                <w:szCs w:val="20"/>
                <w:lang w:val="en-GB"/>
              </w:rPr>
              <w:t>NGO-90559</w:t>
            </w:r>
          </w:p>
        </w:tc>
      </w:tr>
      <w:tr w:rsidR="00521F6F" w:rsidRPr="00F3039A" w14:paraId="7BB4E06D" w14:textId="77777777" w:rsidTr="006B723A">
        <w:trPr>
          <w:trHeight w:val="615"/>
        </w:trPr>
        <w:tc>
          <w:tcPr>
            <w:tcW w:w="3058" w:type="pct"/>
            <w:shd w:val="clear" w:color="auto" w:fill="DEEAF6" w:themeFill="accent1" w:themeFillTint="33"/>
            <w:vAlign w:val="center"/>
          </w:tcPr>
          <w:p w14:paraId="2679DB44" w14:textId="77777777" w:rsidR="00521F6F" w:rsidRPr="00F3039A" w:rsidRDefault="00521F6F" w:rsidP="009314C9">
            <w:pPr>
              <w:contextualSpacing/>
              <w:rPr>
                <w:rFonts w:asciiTheme="minorBidi" w:hAnsiTheme="minorBidi" w:cstheme="minorBidi"/>
                <w:b/>
                <w:bCs/>
                <w:sz w:val="20"/>
                <w:szCs w:val="20"/>
                <w:lang w:val="en-US"/>
              </w:rPr>
            </w:pPr>
            <w:r w:rsidRPr="00F3039A">
              <w:rPr>
                <w:rFonts w:asciiTheme="minorBidi" w:hAnsiTheme="minorBidi" w:cstheme="minorBidi"/>
                <w:b/>
                <w:bCs/>
                <w:sz w:val="20"/>
                <w:szCs w:val="20"/>
                <w:lang w:val="pt-BR"/>
              </w:rPr>
              <w:t xml:space="preserve">O.R.S. Osservatorio Ricerca Sociale. </w:t>
            </w:r>
            <w:r w:rsidRPr="00F3039A">
              <w:rPr>
                <w:rFonts w:asciiTheme="minorBidi" w:hAnsiTheme="minorBidi" w:cstheme="minorBidi"/>
                <w:b/>
                <w:bCs/>
                <w:sz w:val="20"/>
                <w:szCs w:val="20"/>
                <w:lang w:val="en-US"/>
              </w:rPr>
              <w:t>Centro studi, politiche e ricerche sociali - APS</w:t>
            </w:r>
            <w:r w:rsidRPr="00F3039A">
              <w:rPr>
                <w:rFonts w:asciiTheme="minorBidi" w:hAnsiTheme="minorBidi" w:cstheme="minorBidi"/>
                <w:b/>
                <w:bCs/>
                <w:sz w:val="20"/>
                <w:szCs w:val="20"/>
                <w:lang w:val="en-US"/>
              </w:rPr>
              <w:br/>
            </w:r>
            <w:r w:rsidRPr="00F3039A">
              <w:rPr>
                <w:rFonts w:asciiTheme="minorBidi" w:hAnsiTheme="minorBidi" w:cstheme="minorBidi"/>
                <w:sz w:val="20"/>
                <w:szCs w:val="20"/>
                <w:lang w:val="en-US"/>
              </w:rPr>
              <w:t>O.R.S. Social Research Observatory. Centre studies, policies and social researches - APS</w:t>
            </w:r>
          </w:p>
        </w:tc>
        <w:tc>
          <w:tcPr>
            <w:tcW w:w="1059" w:type="pct"/>
            <w:shd w:val="clear" w:color="auto" w:fill="DEEAF6" w:themeFill="accent1" w:themeFillTint="33"/>
            <w:vAlign w:val="center"/>
          </w:tcPr>
          <w:p w14:paraId="2BDD93C6" w14:textId="77777777" w:rsidR="00521F6F" w:rsidRPr="00F3039A" w:rsidRDefault="00521F6F" w:rsidP="009314C9">
            <w:pPr>
              <w:contextualSpacing/>
              <w:jc w:val="center"/>
              <w:rPr>
                <w:rFonts w:asciiTheme="minorBidi" w:hAnsiTheme="minorBidi" w:cstheme="minorBidi"/>
                <w:sz w:val="20"/>
                <w:szCs w:val="20"/>
                <w:lang w:val="en-GB"/>
              </w:rPr>
            </w:pPr>
            <w:r w:rsidRPr="00F3039A">
              <w:rPr>
                <w:rFonts w:asciiTheme="minorBidi" w:hAnsiTheme="minorBidi" w:cstheme="minorBidi"/>
                <w:sz w:val="20"/>
                <w:szCs w:val="20"/>
                <w:lang w:val="en-GB"/>
              </w:rPr>
              <w:t>Italy</w:t>
            </w:r>
          </w:p>
        </w:tc>
        <w:tc>
          <w:tcPr>
            <w:tcW w:w="883" w:type="pct"/>
            <w:shd w:val="clear" w:color="auto" w:fill="DEEAF6" w:themeFill="accent1" w:themeFillTint="33"/>
            <w:vAlign w:val="center"/>
          </w:tcPr>
          <w:p w14:paraId="6E7AE520" w14:textId="77777777" w:rsidR="00521F6F" w:rsidRPr="00F3039A" w:rsidRDefault="00521F6F" w:rsidP="009314C9">
            <w:pPr>
              <w:contextualSpacing/>
              <w:jc w:val="center"/>
              <w:rPr>
                <w:rFonts w:asciiTheme="minorBidi" w:hAnsiTheme="minorBidi" w:cstheme="minorBidi"/>
                <w:sz w:val="20"/>
                <w:szCs w:val="20"/>
                <w:lang w:val="en-GB"/>
              </w:rPr>
            </w:pPr>
            <w:r w:rsidRPr="00F3039A">
              <w:rPr>
                <w:rFonts w:asciiTheme="minorBidi" w:hAnsiTheme="minorBidi" w:cstheme="minorBidi"/>
                <w:sz w:val="20"/>
                <w:szCs w:val="20"/>
                <w:lang w:val="en-GB"/>
              </w:rPr>
              <w:t>NGO-90539</w:t>
            </w:r>
          </w:p>
        </w:tc>
      </w:tr>
      <w:tr w:rsidR="00521F6F" w:rsidRPr="00F3039A" w14:paraId="737794D0" w14:textId="77777777" w:rsidTr="006B723A">
        <w:trPr>
          <w:trHeight w:val="615"/>
        </w:trPr>
        <w:tc>
          <w:tcPr>
            <w:tcW w:w="3058" w:type="pct"/>
            <w:shd w:val="clear" w:color="auto" w:fill="auto"/>
            <w:vAlign w:val="center"/>
          </w:tcPr>
          <w:p w14:paraId="6512B3B3" w14:textId="77777777" w:rsidR="00521F6F" w:rsidRPr="00F3039A" w:rsidRDefault="00521F6F" w:rsidP="009314C9">
            <w:pPr>
              <w:contextualSpacing/>
              <w:rPr>
                <w:rFonts w:asciiTheme="minorBidi" w:hAnsiTheme="minorBidi" w:cstheme="minorBidi"/>
                <w:b/>
                <w:bCs/>
                <w:sz w:val="20"/>
                <w:szCs w:val="20"/>
                <w:lang w:val="en-GB"/>
              </w:rPr>
            </w:pPr>
            <w:r w:rsidRPr="00F3039A">
              <w:rPr>
                <w:rFonts w:asciiTheme="minorBidi" w:hAnsiTheme="minorBidi" w:cstheme="minorBidi"/>
                <w:b/>
                <w:bCs/>
                <w:sz w:val="20"/>
                <w:szCs w:val="20"/>
                <w:lang w:val="en-GB"/>
              </w:rPr>
              <w:t>International Bobbin and Needle Lace Organisation</w:t>
            </w:r>
          </w:p>
        </w:tc>
        <w:tc>
          <w:tcPr>
            <w:tcW w:w="1059" w:type="pct"/>
            <w:shd w:val="clear" w:color="auto" w:fill="auto"/>
            <w:vAlign w:val="center"/>
          </w:tcPr>
          <w:p w14:paraId="1984CED8" w14:textId="77777777" w:rsidR="00521F6F" w:rsidRPr="00F3039A" w:rsidRDefault="00521F6F" w:rsidP="009314C9">
            <w:pPr>
              <w:contextualSpacing/>
              <w:jc w:val="center"/>
              <w:rPr>
                <w:rFonts w:asciiTheme="minorBidi" w:hAnsiTheme="minorBidi" w:cstheme="minorBidi"/>
                <w:sz w:val="20"/>
                <w:szCs w:val="20"/>
                <w:lang w:val="en-GB"/>
              </w:rPr>
            </w:pPr>
            <w:r w:rsidRPr="00F3039A">
              <w:rPr>
                <w:rFonts w:asciiTheme="minorBidi" w:hAnsiTheme="minorBidi" w:cstheme="minorBidi"/>
                <w:sz w:val="20"/>
                <w:szCs w:val="20"/>
                <w:lang w:val="en-GB"/>
              </w:rPr>
              <w:t>France</w:t>
            </w:r>
          </w:p>
        </w:tc>
        <w:tc>
          <w:tcPr>
            <w:tcW w:w="883" w:type="pct"/>
            <w:shd w:val="clear" w:color="auto" w:fill="auto"/>
            <w:vAlign w:val="center"/>
          </w:tcPr>
          <w:p w14:paraId="16FFEEC4" w14:textId="77777777" w:rsidR="00521F6F" w:rsidRPr="00F3039A" w:rsidRDefault="00521F6F" w:rsidP="009314C9">
            <w:pPr>
              <w:contextualSpacing/>
              <w:jc w:val="center"/>
              <w:rPr>
                <w:rFonts w:asciiTheme="minorBidi" w:hAnsiTheme="minorBidi" w:cstheme="minorBidi"/>
                <w:sz w:val="20"/>
                <w:szCs w:val="20"/>
                <w:lang w:val="en-GB"/>
              </w:rPr>
            </w:pPr>
            <w:r w:rsidRPr="00F3039A">
              <w:rPr>
                <w:rFonts w:asciiTheme="minorBidi" w:hAnsiTheme="minorBidi" w:cstheme="minorBidi"/>
                <w:sz w:val="20"/>
                <w:szCs w:val="20"/>
                <w:lang w:val="en-GB"/>
              </w:rPr>
              <w:t>NGO-90585</w:t>
            </w:r>
          </w:p>
        </w:tc>
      </w:tr>
      <w:tr w:rsidR="00521F6F" w:rsidRPr="00F3039A" w14:paraId="6B713087" w14:textId="77777777" w:rsidTr="006B723A">
        <w:trPr>
          <w:trHeight w:val="576"/>
        </w:trPr>
        <w:tc>
          <w:tcPr>
            <w:tcW w:w="3058" w:type="pct"/>
            <w:shd w:val="clear" w:color="auto" w:fill="DEEAF6" w:themeFill="accent1" w:themeFillTint="33"/>
            <w:vAlign w:val="center"/>
          </w:tcPr>
          <w:p w14:paraId="4D94F7EE" w14:textId="77777777" w:rsidR="00521F6F" w:rsidRPr="00F3039A" w:rsidRDefault="00521F6F" w:rsidP="009314C9">
            <w:pPr>
              <w:contextualSpacing/>
              <w:rPr>
                <w:rFonts w:asciiTheme="minorBidi" w:hAnsiTheme="minorBidi" w:cstheme="minorBidi"/>
                <w:b/>
                <w:bCs/>
                <w:sz w:val="20"/>
                <w:szCs w:val="20"/>
                <w:lang w:val="en-GB"/>
              </w:rPr>
            </w:pPr>
            <w:r w:rsidRPr="00F3039A">
              <w:rPr>
                <w:rFonts w:asciiTheme="minorBidi" w:hAnsiTheme="minorBidi" w:cstheme="minorBidi"/>
                <w:b/>
                <w:bCs/>
                <w:sz w:val="20"/>
                <w:szCs w:val="20"/>
                <w:lang w:val="en-GB"/>
              </w:rPr>
              <w:t>Pearl Rhythm Foundation</w:t>
            </w:r>
          </w:p>
        </w:tc>
        <w:tc>
          <w:tcPr>
            <w:tcW w:w="1059" w:type="pct"/>
            <w:shd w:val="clear" w:color="auto" w:fill="DEEAF6" w:themeFill="accent1" w:themeFillTint="33"/>
            <w:vAlign w:val="center"/>
          </w:tcPr>
          <w:p w14:paraId="66F855C7" w14:textId="77777777" w:rsidR="00521F6F" w:rsidRPr="00F3039A" w:rsidRDefault="00521F6F" w:rsidP="009314C9">
            <w:pPr>
              <w:contextualSpacing/>
              <w:jc w:val="center"/>
              <w:rPr>
                <w:rFonts w:asciiTheme="minorBidi" w:hAnsiTheme="minorBidi" w:cstheme="minorBidi"/>
                <w:sz w:val="20"/>
                <w:szCs w:val="20"/>
                <w:lang w:val="en-GB"/>
              </w:rPr>
            </w:pPr>
            <w:r w:rsidRPr="00F3039A">
              <w:rPr>
                <w:rFonts w:asciiTheme="minorBidi" w:hAnsiTheme="minorBidi" w:cstheme="minorBidi"/>
                <w:sz w:val="20"/>
                <w:szCs w:val="20"/>
                <w:lang w:val="en-GB"/>
              </w:rPr>
              <w:t>Uganda</w:t>
            </w:r>
          </w:p>
        </w:tc>
        <w:tc>
          <w:tcPr>
            <w:tcW w:w="883" w:type="pct"/>
            <w:shd w:val="clear" w:color="auto" w:fill="DEEAF6" w:themeFill="accent1" w:themeFillTint="33"/>
            <w:vAlign w:val="center"/>
          </w:tcPr>
          <w:p w14:paraId="5FFF97D8" w14:textId="77777777" w:rsidR="00521F6F" w:rsidRPr="00F3039A" w:rsidRDefault="00521F6F" w:rsidP="009314C9">
            <w:pPr>
              <w:contextualSpacing/>
              <w:jc w:val="center"/>
              <w:rPr>
                <w:rFonts w:asciiTheme="minorBidi" w:hAnsiTheme="minorBidi" w:cstheme="minorBidi"/>
                <w:sz w:val="20"/>
                <w:szCs w:val="20"/>
                <w:lang w:val="en-GB"/>
              </w:rPr>
            </w:pPr>
            <w:r w:rsidRPr="00F3039A">
              <w:rPr>
                <w:rFonts w:asciiTheme="minorBidi" w:hAnsiTheme="minorBidi" w:cstheme="minorBidi"/>
                <w:sz w:val="20"/>
                <w:szCs w:val="20"/>
                <w:lang w:val="en-GB"/>
              </w:rPr>
              <w:t>NGO-90578</w:t>
            </w:r>
          </w:p>
        </w:tc>
      </w:tr>
      <w:tr w:rsidR="00521F6F" w:rsidRPr="00F3039A" w14:paraId="47FB30B2" w14:textId="77777777" w:rsidTr="006B723A">
        <w:trPr>
          <w:trHeight w:val="576"/>
        </w:trPr>
        <w:tc>
          <w:tcPr>
            <w:tcW w:w="3058" w:type="pct"/>
            <w:shd w:val="clear" w:color="auto" w:fill="auto"/>
            <w:vAlign w:val="center"/>
          </w:tcPr>
          <w:p w14:paraId="705F9CEE" w14:textId="77777777" w:rsidR="00521F6F" w:rsidRPr="00F3039A" w:rsidRDefault="00521F6F" w:rsidP="009314C9">
            <w:pPr>
              <w:contextualSpacing/>
              <w:rPr>
                <w:rFonts w:asciiTheme="minorBidi" w:hAnsiTheme="minorBidi" w:cstheme="minorBidi"/>
                <w:b/>
                <w:bCs/>
                <w:sz w:val="20"/>
                <w:szCs w:val="20"/>
                <w:lang w:val="es-ES"/>
              </w:rPr>
            </w:pPr>
            <w:r w:rsidRPr="00F3039A">
              <w:rPr>
                <w:rFonts w:asciiTheme="minorBidi" w:hAnsiTheme="minorBidi" w:cstheme="minorBidi"/>
                <w:b/>
                <w:bCs/>
                <w:sz w:val="20"/>
                <w:szCs w:val="20"/>
                <w:lang w:val="es-ES"/>
              </w:rPr>
              <w:t xml:space="preserve">Persatuan Penulis Nasional Malaysia (PENA) </w:t>
            </w:r>
          </w:p>
          <w:p w14:paraId="1F145A43" w14:textId="77777777" w:rsidR="00521F6F" w:rsidRPr="00F3039A" w:rsidRDefault="00521F6F" w:rsidP="009314C9">
            <w:pPr>
              <w:contextualSpacing/>
              <w:rPr>
                <w:rFonts w:asciiTheme="minorBidi" w:hAnsiTheme="minorBidi" w:cstheme="minorBidi"/>
                <w:sz w:val="20"/>
                <w:szCs w:val="20"/>
                <w:lang w:val="en-GB"/>
              </w:rPr>
            </w:pPr>
            <w:r w:rsidRPr="00F3039A">
              <w:rPr>
                <w:rFonts w:asciiTheme="minorBidi" w:hAnsiTheme="minorBidi" w:cstheme="minorBidi"/>
                <w:sz w:val="20"/>
                <w:szCs w:val="20"/>
                <w:lang w:val="en-GB"/>
              </w:rPr>
              <w:t>Malaysian National Writers Association (PENA)</w:t>
            </w:r>
          </w:p>
        </w:tc>
        <w:tc>
          <w:tcPr>
            <w:tcW w:w="1059" w:type="pct"/>
            <w:shd w:val="clear" w:color="auto" w:fill="auto"/>
            <w:vAlign w:val="center"/>
          </w:tcPr>
          <w:p w14:paraId="6AD7834B" w14:textId="77777777" w:rsidR="00521F6F" w:rsidRPr="00F3039A" w:rsidRDefault="00521F6F" w:rsidP="009314C9">
            <w:pPr>
              <w:contextualSpacing/>
              <w:jc w:val="center"/>
              <w:rPr>
                <w:rFonts w:asciiTheme="minorBidi" w:hAnsiTheme="minorBidi" w:cstheme="minorBidi"/>
                <w:sz w:val="20"/>
                <w:szCs w:val="20"/>
                <w:lang w:val="en-GB"/>
              </w:rPr>
            </w:pPr>
            <w:r w:rsidRPr="00F3039A">
              <w:rPr>
                <w:rFonts w:asciiTheme="minorBidi" w:hAnsiTheme="minorBidi" w:cstheme="minorBidi"/>
                <w:sz w:val="20"/>
                <w:szCs w:val="20"/>
                <w:lang w:val="en-GB"/>
              </w:rPr>
              <w:t>Malaysia</w:t>
            </w:r>
          </w:p>
        </w:tc>
        <w:tc>
          <w:tcPr>
            <w:tcW w:w="883" w:type="pct"/>
            <w:shd w:val="clear" w:color="auto" w:fill="auto"/>
            <w:vAlign w:val="center"/>
          </w:tcPr>
          <w:p w14:paraId="68D4D4F9" w14:textId="77777777" w:rsidR="00521F6F" w:rsidRPr="00F3039A" w:rsidRDefault="00521F6F" w:rsidP="009314C9">
            <w:pPr>
              <w:pStyle w:val="Titre9"/>
              <w:jc w:val="center"/>
              <w:rPr>
                <w:rFonts w:asciiTheme="minorBidi" w:hAnsiTheme="minorBidi" w:cstheme="minorBidi"/>
                <w:i w:val="0"/>
                <w:iCs w:val="0"/>
                <w:sz w:val="20"/>
                <w:szCs w:val="20"/>
                <w:lang w:val="en-GB"/>
              </w:rPr>
            </w:pPr>
            <w:r w:rsidRPr="00F3039A">
              <w:rPr>
                <w:rFonts w:asciiTheme="minorBidi" w:hAnsiTheme="minorBidi" w:cstheme="minorBidi"/>
                <w:i w:val="0"/>
                <w:iCs w:val="0"/>
                <w:sz w:val="20"/>
                <w:szCs w:val="20"/>
                <w:lang w:val="en-GB"/>
              </w:rPr>
              <w:t>NGO-90587</w:t>
            </w:r>
          </w:p>
        </w:tc>
      </w:tr>
      <w:tr w:rsidR="00521F6F" w:rsidRPr="00F3039A" w14:paraId="57A09A8D" w14:textId="77777777" w:rsidTr="006B723A">
        <w:trPr>
          <w:trHeight w:val="576"/>
        </w:trPr>
        <w:tc>
          <w:tcPr>
            <w:tcW w:w="3058" w:type="pct"/>
            <w:shd w:val="clear" w:color="auto" w:fill="DEEAF6" w:themeFill="accent1" w:themeFillTint="33"/>
            <w:vAlign w:val="center"/>
          </w:tcPr>
          <w:p w14:paraId="0A87E725" w14:textId="77777777" w:rsidR="00521F6F" w:rsidRPr="00F3039A" w:rsidRDefault="00521F6F" w:rsidP="009314C9">
            <w:pPr>
              <w:contextualSpacing/>
              <w:rPr>
                <w:rFonts w:asciiTheme="minorBidi" w:hAnsiTheme="minorBidi" w:cstheme="minorBidi"/>
                <w:sz w:val="20"/>
                <w:szCs w:val="20"/>
                <w:lang w:val="en-GB"/>
              </w:rPr>
            </w:pPr>
            <w:r w:rsidRPr="00F3039A">
              <w:rPr>
                <w:rFonts w:asciiTheme="minorBidi" w:hAnsiTheme="minorBidi" w:cstheme="minorBidi"/>
                <w:b/>
                <w:bCs/>
                <w:sz w:val="20"/>
                <w:szCs w:val="20"/>
                <w:lang w:val="en-GB"/>
              </w:rPr>
              <w:t>Pertubuhan Kraft Malaysia (Dikenali Sebagai Malaysian Craft Council)</w:t>
            </w:r>
            <w:r w:rsidRPr="00F3039A">
              <w:rPr>
                <w:rFonts w:asciiTheme="minorBidi" w:hAnsiTheme="minorBidi" w:cstheme="minorBidi"/>
                <w:sz w:val="20"/>
                <w:szCs w:val="20"/>
                <w:lang w:val="en-GB"/>
              </w:rPr>
              <w:br/>
              <w:t>Malaysian Craft Council</w:t>
            </w:r>
          </w:p>
        </w:tc>
        <w:tc>
          <w:tcPr>
            <w:tcW w:w="1059" w:type="pct"/>
            <w:shd w:val="clear" w:color="auto" w:fill="DEEAF6" w:themeFill="accent1" w:themeFillTint="33"/>
            <w:vAlign w:val="center"/>
          </w:tcPr>
          <w:p w14:paraId="1ABB3F0D" w14:textId="77777777" w:rsidR="00521F6F" w:rsidRPr="00F3039A" w:rsidRDefault="00521F6F" w:rsidP="009314C9">
            <w:pPr>
              <w:contextualSpacing/>
              <w:jc w:val="center"/>
              <w:rPr>
                <w:rFonts w:asciiTheme="minorBidi" w:hAnsiTheme="minorBidi" w:cstheme="minorBidi"/>
                <w:sz w:val="20"/>
                <w:szCs w:val="20"/>
                <w:lang w:val="en-GB"/>
              </w:rPr>
            </w:pPr>
            <w:r w:rsidRPr="00F3039A">
              <w:rPr>
                <w:rFonts w:asciiTheme="minorBidi" w:hAnsiTheme="minorBidi" w:cstheme="minorBidi"/>
                <w:sz w:val="20"/>
                <w:szCs w:val="20"/>
                <w:lang w:val="en-GB"/>
              </w:rPr>
              <w:t>Malaysia</w:t>
            </w:r>
          </w:p>
        </w:tc>
        <w:tc>
          <w:tcPr>
            <w:tcW w:w="883" w:type="pct"/>
            <w:shd w:val="clear" w:color="auto" w:fill="DEEAF6" w:themeFill="accent1" w:themeFillTint="33"/>
            <w:vAlign w:val="center"/>
          </w:tcPr>
          <w:p w14:paraId="1C6E8993" w14:textId="77777777" w:rsidR="00521F6F" w:rsidRPr="00F3039A" w:rsidRDefault="00521F6F" w:rsidP="009314C9">
            <w:pPr>
              <w:contextualSpacing/>
              <w:jc w:val="center"/>
              <w:rPr>
                <w:rFonts w:asciiTheme="minorBidi" w:hAnsiTheme="minorBidi" w:cstheme="minorBidi"/>
                <w:sz w:val="20"/>
                <w:szCs w:val="20"/>
                <w:lang w:val="en-GB"/>
              </w:rPr>
            </w:pPr>
            <w:r w:rsidRPr="00F3039A">
              <w:rPr>
                <w:rFonts w:asciiTheme="minorBidi" w:hAnsiTheme="minorBidi" w:cstheme="minorBidi"/>
                <w:sz w:val="20"/>
                <w:szCs w:val="20"/>
                <w:lang w:val="en-GB"/>
              </w:rPr>
              <w:t>NGO-90531</w:t>
            </w:r>
          </w:p>
        </w:tc>
      </w:tr>
      <w:tr w:rsidR="00521F6F" w:rsidRPr="00F3039A" w14:paraId="7A1BBBC0" w14:textId="77777777" w:rsidTr="006B723A">
        <w:trPr>
          <w:trHeight w:val="576"/>
        </w:trPr>
        <w:tc>
          <w:tcPr>
            <w:tcW w:w="3058" w:type="pct"/>
            <w:shd w:val="clear" w:color="auto" w:fill="auto"/>
            <w:vAlign w:val="center"/>
          </w:tcPr>
          <w:p w14:paraId="4755FE5F" w14:textId="77777777" w:rsidR="00521F6F" w:rsidRPr="00F3039A" w:rsidRDefault="00521F6F" w:rsidP="009314C9">
            <w:pPr>
              <w:contextualSpacing/>
              <w:rPr>
                <w:rFonts w:asciiTheme="minorBidi" w:hAnsiTheme="minorBidi" w:cstheme="minorBidi"/>
                <w:sz w:val="20"/>
                <w:szCs w:val="20"/>
                <w:lang w:val="en-GB"/>
              </w:rPr>
            </w:pPr>
            <w:r w:rsidRPr="00F3039A">
              <w:rPr>
                <w:rFonts w:asciiTheme="minorBidi" w:hAnsiTheme="minorBidi" w:cstheme="minorBidi"/>
                <w:b/>
                <w:bCs/>
                <w:sz w:val="20"/>
                <w:szCs w:val="20"/>
                <w:lang w:val="en-GB"/>
              </w:rPr>
              <w:t>Pusat Budaya Pusaka SDN. BHD</w:t>
            </w:r>
            <w:r w:rsidRPr="00F3039A">
              <w:rPr>
                <w:rFonts w:asciiTheme="minorBidi" w:hAnsiTheme="minorBidi" w:cstheme="minorBidi"/>
                <w:sz w:val="20"/>
                <w:szCs w:val="20"/>
                <w:lang w:val="en-GB"/>
              </w:rPr>
              <w:br/>
              <w:t>PUSAKA</w:t>
            </w:r>
          </w:p>
        </w:tc>
        <w:tc>
          <w:tcPr>
            <w:tcW w:w="1059" w:type="pct"/>
            <w:shd w:val="clear" w:color="auto" w:fill="auto"/>
            <w:vAlign w:val="center"/>
          </w:tcPr>
          <w:p w14:paraId="490C529C" w14:textId="77777777" w:rsidR="00521F6F" w:rsidRPr="00F3039A" w:rsidRDefault="00521F6F" w:rsidP="009314C9">
            <w:pPr>
              <w:contextualSpacing/>
              <w:jc w:val="center"/>
              <w:rPr>
                <w:rFonts w:asciiTheme="minorBidi" w:hAnsiTheme="minorBidi" w:cstheme="minorBidi"/>
                <w:sz w:val="20"/>
                <w:szCs w:val="20"/>
                <w:lang w:val="en-GB"/>
              </w:rPr>
            </w:pPr>
            <w:r w:rsidRPr="00F3039A">
              <w:rPr>
                <w:rFonts w:asciiTheme="minorBidi" w:hAnsiTheme="minorBidi" w:cstheme="minorBidi"/>
                <w:sz w:val="20"/>
                <w:szCs w:val="20"/>
                <w:lang w:val="en-GB"/>
              </w:rPr>
              <w:t>Malaysia</w:t>
            </w:r>
          </w:p>
        </w:tc>
        <w:tc>
          <w:tcPr>
            <w:tcW w:w="883" w:type="pct"/>
            <w:shd w:val="clear" w:color="auto" w:fill="auto"/>
            <w:vAlign w:val="center"/>
          </w:tcPr>
          <w:p w14:paraId="78CA0B2D" w14:textId="77777777" w:rsidR="00521F6F" w:rsidRPr="00F3039A" w:rsidRDefault="00521F6F" w:rsidP="009314C9">
            <w:pPr>
              <w:pStyle w:val="Titre7"/>
              <w:jc w:val="center"/>
              <w:rPr>
                <w:rFonts w:asciiTheme="minorBidi" w:hAnsiTheme="minorBidi" w:cstheme="minorBidi"/>
                <w:i w:val="0"/>
                <w:iCs w:val="0"/>
                <w:color w:val="auto"/>
                <w:sz w:val="20"/>
                <w:szCs w:val="20"/>
                <w:lang w:val="en-GB"/>
              </w:rPr>
            </w:pPr>
            <w:r w:rsidRPr="00F3039A">
              <w:rPr>
                <w:rFonts w:asciiTheme="minorBidi" w:hAnsiTheme="minorBidi" w:cstheme="minorBidi"/>
                <w:i w:val="0"/>
                <w:iCs w:val="0"/>
                <w:color w:val="auto"/>
                <w:sz w:val="20"/>
                <w:szCs w:val="20"/>
                <w:lang w:val="en-GB"/>
              </w:rPr>
              <w:t>NGO-90532</w:t>
            </w:r>
          </w:p>
        </w:tc>
      </w:tr>
      <w:tr w:rsidR="00521F6F" w:rsidRPr="00F3039A" w14:paraId="7CDC530C" w14:textId="77777777" w:rsidTr="006B723A">
        <w:trPr>
          <w:trHeight w:val="576"/>
        </w:trPr>
        <w:tc>
          <w:tcPr>
            <w:tcW w:w="3058" w:type="pct"/>
            <w:shd w:val="clear" w:color="auto" w:fill="DEEAF6" w:themeFill="accent1" w:themeFillTint="33"/>
            <w:vAlign w:val="center"/>
          </w:tcPr>
          <w:p w14:paraId="14FE9F14" w14:textId="77777777" w:rsidR="00521F6F" w:rsidRPr="00F3039A" w:rsidRDefault="00521F6F" w:rsidP="009314C9">
            <w:pPr>
              <w:contextualSpacing/>
              <w:rPr>
                <w:rFonts w:asciiTheme="minorBidi" w:hAnsiTheme="minorBidi" w:cstheme="minorBidi"/>
                <w:b/>
                <w:bCs/>
                <w:sz w:val="20"/>
                <w:szCs w:val="20"/>
                <w:lang w:val="en-GB"/>
              </w:rPr>
            </w:pPr>
            <w:r w:rsidRPr="00F3039A">
              <w:rPr>
                <w:rFonts w:asciiTheme="minorBidi" w:hAnsiTheme="minorBidi" w:cstheme="minorBidi"/>
                <w:b/>
                <w:bCs/>
                <w:sz w:val="20"/>
                <w:szCs w:val="20"/>
                <w:lang w:val="en-GB"/>
              </w:rPr>
              <w:t>International Repertory of Music Literature</w:t>
            </w:r>
          </w:p>
        </w:tc>
        <w:tc>
          <w:tcPr>
            <w:tcW w:w="1059" w:type="pct"/>
            <w:shd w:val="clear" w:color="auto" w:fill="DEEAF6" w:themeFill="accent1" w:themeFillTint="33"/>
            <w:vAlign w:val="center"/>
          </w:tcPr>
          <w:p w14:paraId="07296C28" w14:textId="77777777" w:rsidR="00521F6F" w:rsidRPr="00F3039A" w:rsidRDefault="00521F6F" w:rsidP="009314C9">
            <w:pPr>
              <w:contextualSpacing/>
              <w:jc w:val="center"/>
              <w:rPr>
                <w:rFonts w:asciiTheme="minorBidi" w:hAnsiTheme="minorBidi" w:cstheme="minorBidi"/>
                <w:sz w:val="20"/>
                <w:szCs w:val="20"/>
                <w:lang w:val="en-GB"/>
              </w:rPr>
            </w:pPr>
            <w:r w:rsidRPr="00F3039A">
              <w:rPr>
                <w:rFonts w:asciiTheme="minorBidi" w:hAnsiTheme="minorBidi" w:cstheme="minorBidi"/>
                <w:sz w:val="20"/>
                <w:szCs w:val="20"/>
                <w:lang w:val="en-GB"/>
              </w:rPr>
              <w:t>United States of America</w:t>
            </w:r>
          </w:p>
        </w:tc>
        <w:tc>
          <w:tcPr>
            <w:tcW w:w="883" w:type="pct"/>
            <w:shd w:val="clear" w:color="auto" w:fill="DEEAF6" w:themeFill="accent1" w:themeFillTint="33"/>
            <w:vAlign w:val="center"/>
          </w:tcPr>
          <w:p w14:paraId="5B26DC3F" w14:textId="77777777" w:rsidR="00521F6F" w:rsidRPr="00F3039A" w:rsidRDefault="00521F6F" w:rsidP="009314C9">
            <w:pPr>
              <w:contextualSpacing/>
              <w:jc w:val="center"/>
              <w:rPr>
                <w:rFonts w:asciiTheme="minorBidi" w:hAnsiTheme="minorBidi" w:cstheme="minorBidi"/>
                <w:sz w:val="20"/>
                <w:szCs w:val="20"/>
                <w:lang w:val="en-GB"/>
              </w:rPr>
            </w:pPr>
            <w:r w:rsidRPr="00F3039A">
              <w:rPr>
                <w:rFonts w:asciiTheme="minorBidi" w:hAnsiTheme="minorBidi" w:cstheme="minorBidi"/>
                <w:sz w:val="20"/>
                <w:szCs w:val="20"/>
                <w:lang w:val="en-GB"/>
              </w:rPr>
              <w:t>NGO-90527</w:t>
            </w:r>
          </w:p>
        </w:tc>
      </w:tr>
      <w:tr w:rsidR="00521F6F" w:rsidRPr="00F3039A" w14:paraId="17DFD408" w14:textId="77777777" w:rsidTr="006B723A">
        <w:trPr>
          <w:trHeight w:val="480"/>
        </w:trPr>
        <w:tc>
          <w:tcPr>
            <w:tcW w:w="3058" w:type="pct"/>
            <w:shd w:val="clear" w:color="auto" w:fill="auto"/>
            <w:vAlign w:val="center"/>
          </w:tcPr>
          <w:p w14:paraId="2B6ADE5C" w14:textId="77777777" w:rsidR="00521F6F" w:rsidRPr="00F3039A" w:rsidRDefault="00521F6F" w:rsidP="009314C9">
            <w:pPr>
              <w:contextualSpacing/>
              <w:rPr>
                <w:rFonts w:asciiTheme="minorBidi" w:hAnsiTheme="minorBidi" w:cstheme="minorBidi"/>
                <w:b/>
                <w:bCs/>
                <w:sz w:val="20"/>
                <w:szCs w:val="20"/>
                <w:lang w:val="en-GB"/>
              </w:rPr>
            </w:pPr>
            <w:r w:rsidRPr="00F3039A">
              <w:rPr>
                <w:rFonts w:asciiTheme="minorBidi" w:hAnsiTheme="minorBidi" w:cstheme="minorBidi"/>
                <w:b/>
                <w:bCs/>
                <w:sz w:val="20"/>
                <w:szCs w:val="20"/>
                <w:lang w:val="en-GB"/>
              </w:rPr>
              <w:t>Society of Native Nations</w:t>
            </w:r>
          </w:p>
        </w:tc>
        <w:tc>
          <w:tcPr>
            <w:tcW w:w="1059" w:type="pct"/>
            <w:shd w:val="clear" w:color="auto" w:fill="auto"/>
            <w:vAlign w:val="center"/>
          </w:tcPr>
          <w:p w14:paraId="3DE13196" w14:textId="77777777" w:rsidR="00521F6F" w:rsidRPr="00F3039A" w:rsidRDefault="00521F6F" w:rsidP="009314C9">
            <w:pPr>
              <w:contextualSpacing/>
              <w:jc w:val="center"/>
              <w:rPr>
                <w:rFonts w:asciiTheme="minorBidi" w:hAnsiTheme="minorBidi" w:cstheme="minorBidi"/>
                <w:sz w:val="20"/>
                <w:szCs w:val="20"/>
                <w:lang w:val="en-GB"/>
              </w:rPr>
            </w:pPr>
            <w:r w:rsidRPr="00F3039A">
              <w:rPr>
                <w:rFonts w:asciiTheme="minorBidi" w:hAnsiTheme="minorBidi" w:cstheme="minorBidi"/>
                <w:sz w:val="20"/>
                <w:szCs w:val="20"/>
                <w:lang w:val="en-GB"/>
              </w:rPr>
              <w:t>United States of America</w:t>
            </w:r>
          </w:p>
        </w:tc>
        <w:tc>
          <w:tcPr>
            <w:tcW w:w="883" w:type="pct"/>
            <w:shd w:val="clear" w:color="auto" w:fill="auto"/>
            <w:vAlign w:val="center"/>
          </w:tcPr>
          <w:p w14:paraId="033809E2" w14:textId="77777777" w:rsidR="00521F6F" w:rsidRPr="00F3039A" w:rsidRDefault="00521F6F" w:rsidP="009314C9">
            <w:pPr>
              <w:contextualSpacing/>
              <w:jc w:val="center"/>
              <w:rPr>
                <w:rFonts w:asciiTheme="minorBidi" w:hAnsiTheme="minorBidi" w:cstheme="minorBidi"/>
                <w:sz w:val="20"/>
                <w:szCs w:val="20"/>
                <w:lang w:val="en-GB"/>
              </w:rPr>
            </w:pPr>
            <w:r w:rsidRPr="00F3039A">
              <w:rPr>
                <w:rFonts w:asciiTheme="minorBidi" w:hAnsiTheme="minorBidi" w:cstheme="minorBidi"/>
                <w:sz w:val="20"/>
                <w:szCs w:val="20"/>
                <w:lang w:val="en-GB"/>
              </w:rPr>
              <w:t>NGO-90596</w:t>
            </w:r>
          </w:p>
        </w:tc>
      </w:tr>
      <w:tr w:rsidR="00521F6F" w:rsidRPr="00F3039A" w14:paraId="06FC76EB" w14:textId="77777777" w:rsidTr="006B723A">
        <w:trPr>
          <w:trHeight w:val="576"/>
        </w:trPr>
        <w:tc>
          <w:tcPr>
            <w:tcW w:w="3058" w:type="pct"/>
            <w:shd w:val="clear" w:color="auto" w:fill="DEEAF6" w:themeFill="accent1" w:themeFillTint="33"/>
            <w:vAlign w:val="center"/>
          </w:tcPr>
          <w:p w14:paraId="00D601D7" w14:textId="77777777" w:rsidR="00521F6F" w:rsidRPr="00F3039A" w:rsidRDefault="00521F6F" w:rsidP="009314C9">
            <w:pPr>
              <w:ind w:left="873" w:hanging="851"/>
              <w:contextualSpacing/>
              <w:rPr>
                <w:rFonts w:asciiTheme="minorBidi" w:hAnsiTheme="minorBidi" w:cstheme="minorBidi"/>
                <w:b/>
                <w:bCs/>
                <w:sz w:val="20"/>
                <w:szCs w:val="20"/>
                <w:lang w:val="es-ES"/>
              </w:rPr>
            </w:pPr>
            <w:r w:rsidRPr="00F3039A">
              <w:rPr>
                <w:rFonts w:asciiTheme="minorBidi" w:hAnsiTheme="minorBidi" w:cstheme="minorBidi"/>
                <w:b/>
                <w:bCs/>
                <w:sz w:val="20"/>
                <w:szCs w:val="20"/>
                <w:lang w:val="es-ES"/>
              </w:rPr>
              <w:t>Sri Idagunji Mahaganapati Yakshagana Mandali, Keremane ®</w:t>
            </w:r>
          </w:p>
        </w:tc>
        <w:tc>
          <w:tcPr>
            <w:tcW w:w="1059" w:type="pct"/>
            <w:shd w:val="clear" w:color="auto" w:fill="DEEAF6" w:themeFill="accent1" w:themeFillTint="33"/>
            <w:vAlign w:val="center"/>
          </w:tcPr>
          <w:p w14:paraId="2D1151CD" w14:textId="77777777" w:rsidR="00521F6F" w:rsidRPr="00F3039A" w:rsidRDefault="00521F6F" w:rsidP="009314C9">
            <w:pPr>
              <w:contextualSpacing/>
              <w:jc w:val="center"/>
              <w:rPr>
                <w:rFonts w:asciiTheme="minorBidi" w:hAnsiTheme="minorBidi" w:cstheme="minorBidi"/>
                <w:sz w:val="20"/>
                <w:szCs w:val="20"/>
                <w:lang w:val="en-GB"/>
              </w:rPr>
            </w:pPr>
            <w:r w:rsidRPr="00F3039A">
              <w:rPr>
                <w:rFonts w:asciiTheme="minorBidi" w:hAnsiTheme="minorBidi" w:cstheme="minorBidi"/>
                <w:sz w:val="20"/>
                <w:szCs w:val="20"/>
                <w:lang w:val="en-GB"/>
              </w:rPr>
              <w:t>India</w:t>
            </w:r>
          </w:p>
        </w:tc>
        <w:tc>
          <w:tcPr>
            <w:tcW w:w="883" w:type="pct"/>
            <w:shd w:val="clear" w:color="auto" w:fill="DEEAF6" w:themeFill="accent1" w:themeFillTint="33"/>
            <w:vAlign w:val="center"/>
          </w:tcPr>
          <w:p w14:paraId="0C7BDDE6" w14:textId="77777777" w:rsidR="00521F6F" w:rsidRPr="00F3039A" w:rsidRDefault="00521F6F" w:rsidP="009314C9">
            <w:pPr>
              <w:contextualSpacing/>
              <w:jc w:val="center"/>
              <w:rPr>
                <w:rFonts w:asciiTheme="minorBidi" w:hAnsiTheme="minorBidi" w:cstheme="minorBidi"/>
                <w:sz w:val="20"/>
                <w:szCs w:val="20"/>
                <w:lang w:val="en-GB"/>
              </w:rPr>
            </w:pPr>
            <w:r w:rsidRPr="00F3039A">
              <w:rPr>
                <w:rFonts w:asciiTheme="minorBidi" w:hAnsiTheme="minorBidi" w:cstheme="minorBidi"/>
                <w:sz w:val="20"/>
                <w:szCs w:val="20"/>
                <w:lang w:val="en-GB"/>
              </w:rPr>
              <w:t>NGO-90568</w:t>
            </w:r>
          </w:p>
        </w:tc>
      </w:tr>
      <w:tr w:rsidR="00521F6F" w:rsidRPr="00F3039A" w14:paraId="2B4EA4F0" w14:textId="77777777" w:rsidTr="006B723A">
        <w:trPr>
          <w:trHeight w:val="576"/>
        </w:trPr>
        <w:tc>
          <w:tcPr>
            <w:tcW w:w="3058" w:type="pct"/>
            <w:shd w:val="clear" w:color="auto" w:fill="auto"/>
            <w:vAlign w:val="center"/>
          </w:tcPr>
          <w:p w14:paraId="1E6AD39A" w14:textId="77777777" w:rsidR="00521F6F" w:rsidRPr="00F3039A" w:rsidRDefault="00521F6F" w:rsidP="009314C9">
            <w:pPr>
              <w:contextualSpacing/>
              <w:rPr>
                <w:rFonts w:asciiTheme="minorBidi" w:hAnsiTheme="minorBidi" w:cstheme="minorBidi"/>
                <w:b/>
                <w:bCs/>
                <w:sz w:val="20"/>
                <w:szCs w:val="20"/>
                <w:lang w:val="en-GB"/>
              </w:rPr>
            </w:pPr>
            <w:r w:rsidRPr="00F3039A">
              <w:rPr>
                <w:rFonts w:asciiTheme="minorBidi" w:hAnsiTheme="minorBidi" w:cstheme="minorBidi"/>
                <w:b/>
                <w:bCs/>
                <w:sz w:val="20"/>
                <w:szCs w:val="20"/>
                <w:lang w:val="en-GB"/>
              </w:rPr>
              <w:t>Svenska Hemslöjdsöreningarnas Riksförbund</w:t>
            </w:r>
            <w:r w:rsidRPr="00F3039A">
              <w:rPr>
                <w:rFonts w:asciiTheme="minorBidi" w:hAnsiTheme="minorBidi" w:cstheme="minorBidi"/>
                <w:sz w:val="20"/>
                <w:szCs w:val="20"/>
                <w:lang w:val="en-GB"/>
              </w:rPr>
              <w:br/>
              <w:t>National Association of Swedish Handicraft Societies</w:t>
            </w:r>
          </w:p>
        </w:tc>
        <w:tc>
          <w:tcPr>
            <w:tcW w:w="1059" w:type="pct"/>
            <w:shd w:val="clear" w:color="auto" w:fill="auto"/>
            <w:vAlign w:val="center"/>
          </w:tcPr>
          <w:p w14:paraId="03447BF3" w14:textId="77777777" w:rsidR="00521F6F" w:rsidRPr="00F3039A" w:rsidRDefault="00521F6F" w:rsidP="009314C9">
            <w:pPr>
              <w:contextualSpacing/>
              <w:jc w:val="center"/>
              <w:rPr>
                <w:rFonts w:asciiTheme="minorBidi" w:hAnsiTheme="minorBidi" w:cstheme="minorBidi"/>
                <w:sz w:val="20"/>
                <w:szCs w:val="20"/>
                <w:lang w:val="en-GB"/>
              </w:rPr>
            </w:pPr>
            <w:r w:rsidRPr="00F3039A">
              <w:rPr>
                <w:rFonts w:asciiTheme="minorBidi" w:hAnsiTheme="minorBidi" w:cstheme="minorBidi"/>
                <w:sz w:val="20"/>
                <w:szCs w:val="20"/>
                <w:lang w:val="en-GB"/>
              </w:rPr>
              <w:t>Sweden</w:t>
            </w:r>
          </w:p>
        </w:tc>
        <w:tc>
          <w:tcPr>
            <w:tcW w:w="883" w:type="pct"/>
            <w:shd w:val="clear" w:color="auto" w:fill="auto"/>
            <w:vAlign w:val="center"/>
          </w:tcPr>
          <w:p w14:paraId="7553CF8F" w14:textId="77777777" w:rsidR="00521F6F" w:rsidRPr="00F3039A" w:rsidRDefault="00521F6F" w:rsidP="009314C9">
            <w:pPr>
              <w:contextualSpacing/>
              <w:jc w:val="center"/>
              <w:rPr>
                <w:rFonts w:asciiTheme="minorBidi" w:hAnsiTheme="minorBidi" w:cstheme="minorBidi"/>
                <w:sz w:val="20"/>
                <w:szCs w:val="20"/>
                <w:lang w:val="en-GB"/>
              </w:rPr>
            </w:pPr>
            <w:r w:rsidRPr="00F3039A">
              <w:rPr>
                <w:rFonts w:asciiTheme="minorBidi" w:hAnsiTheme="minorBidi" w:cstheme="minorBidi"/>
                <w:sz w:val="20"/>
                <w:szCs w:val="20"/>
                <w:lang w:val="en-GB"/>
              </w:rPr>
              <w:t>NGO-90544</w:t>
            </w:r>
          </w:p>
        </w:tc>
      </w:tr>
      <w:tr w:rsidR="00521F6F" w:rsidRPr="00F3039A" w14:paraId="06EDCA3B" w14:textId="77777777" w:rsidTr="006B723A">
        <w:trPr>
          <w:trHeight w:val="576"/>
        </w:trPr>
        <w:tc>
          <w:tcPr>
            <w:tcW w:w="3058" w:type="pct"/>
            <w:shd w:val="clear" w:color="auto" w:fill="DEEAF6" w:themeFill="accent1" w:themeFillTint="33"/>
            <w:vAlign w:val="center"/>
          </w:tcPr>
          <w:p w14:paraId="031A676E" w14:textId="77777777" w:rsidR="00521F6F" w:rsidRPr="00F3039A" w:rsidRDefault="00521F6F" w:rsidP="009314C9">
            <w:pPr>
              <w:contextualSpacing/>
              <w:rPr>
                <w:rFonts w:asciiTheme="minorBidi" w:hAnsiTheme="minorBidi" w:cstheme="minorBidi"/>
                <w:b/>
                <w:bCs/>
                <w:sz w:val="20"/>
                <w:szCs w:val="20"/>
                <w:lang w:val="en-GB"/>
              </w:rPr>
            </w:pPr>
            <w:r w:rsidRPr="00F3039A">
              <w:rPr>
                <w:rFonts w:asciiTheme="minorBidi" w:hAnsiTheme="minorBidi" w:cstheme="minorBidi"/>
                <w:b/>
                <w:bCs/>
                <w:sz w:val="20"/>
                <w:szCs w:val="20"/>
                <w:lang w:val="en-GB"/>
              </w:rPr>
              <w:t>Dragon Dance</w:t>
            </w:r>
          </w:p>
        </w:tc>
        <w:tc>
          <w:tcPr>
            <w:tcW w:w="1059" w:type="pct"/>
            <w:shd w:val="clear" w:color="auto" w:fill="DEEAF6" w:themeFill="accent1" w:themeFillTint="33"/>
            <w:vAlign w:val="center"/>
          </w:tcPr>
          <w:p w14:paraId="26FE8B14" w14:textId="77777777" w:rsidR="00521F6F" w:rsidRPr="00F3039A" w:rsidRDefault="00521F6F" w:rsidP="009314C9">
            <w:pPr>
              <w:contextualSpacing/>
              <w:jc w:val="center"/>
              <w:rPr>
                <w:rFonts w:asciiTheme="minorBidi" w:hAnsiTheme="minorBidi" w:cstheme="minorBidi"/>
                <w:sz w:val="20"/>
                <w:szCs w:val="20"/>
                <w:lang w:val="en-GB"/>
              </w:rPr>
            </w:pPr>
            <w:r w:rsidRPr="00F3039A">
              <w:rPr>
                <w:rFonts w:asciiTheme="minorBidi" w:hAnsiTheme="minorBidi" w:cstheme="minorBidi"/>
                <w:sz w:val="20"/>
                <w:szCs w:val="20"/>
                <w:lang w:val="en-GB"/>
              </w:rPr>
              <w:t>Canada</w:t>
            </w:r>
          </w:p>
        </w:tc>
        <w:tc>
          <w:tcPr>
            <w:tcW w:w="883" w:type="pct"/>
            <w:shd w:val="clear" w:color="auto" w:fill="DEEAF6" w:themeFill="accent1" w:themeFillTint="33"/>
            <w:vAlign w:val="center"/>
          </w:tcPr>
          <w:p w14:paraId="0E2A46E0" w14:textId="77777777" w:rsidR="00521F6F" w:rsidRPr="00F3039A" w:rsidRDefault="00521F6F" w:rsidP="009314C9">
            <w:pPr>
              <w:contextualSpacing/>
              <w:jc w:val="center"/>
              <w:rPr>
                <w:rFonts w:asciiTheme="minorBidi" w:hAnsiTheme="minorBidi" w:cstheme="minorBidi"/>
                <w:sz w:val="20"/>
                <w:szCs w:val="20"/>
                <w:lang w:val="en-GB"/>
              </w:rPr>
            </w:pPr>
            <w:r w:rsidRPr="00F3039A">
              <w:rPr>
                <w:rFonts w:asciiTheme="minorBidi" w:hAnsiTheme="minorBidi" w:cstheme="minorBidi"/>
                <w:sz w:val="20"/>
                <w:szCs w:val="20"/>
                <w:lang w:val="en-GB"/>
              </w:rPr>
              <w:t>NGO-90549</w:t>
            </w:r>
          </w:p>
        </w:tc>
      </w:tr>
      <w:tr w:rsidR="00521F6F" w:rsidRPr="00F3039A" w14:paraId="37A263AC" w14:textId="77777777" w:rsidTr="006B723A">
        <w:trPr>
          <w:trHeight w:val="576"/>
        </w:trPr>
        <w:tc>
          <w:tcPr>
            <w:tcW w:w="3058" w:type="pct"/>
            <w:shd w:val="clear" w:color="auto" w:fill="auto"/>
            <w:vAlign w:val="center"/>
          </w:tcPr>
          <w:p w14:paraId="6B73FE84" w14:textId="77777777" w:rsidR="00521F6F" w:rsidRPr="00F3039A" w:rsidRDefault="00521F6F" w:rsidP="009314C9">
            <w:pPr>
              <w:contextualSpacing/>
              <w:rPr>
                <w:rFonts w:asciiTheme="minorBidi" w:hAnsiTheme="minorBidi" w:cstheme="minorBidi"/>
                <w:b/>
                <w:bCs/>
                <w:sz w:val="20"/>
                <w:szCs w:val="20"/>
                <w:lang w:val="en-GB"/>
              </w:rPr>
            </w:pPr>
            <w:r w:rsidRPr="00F3039A">
              <w:rPr>
                <w:rFonts w:asciiTheme="minorBidi" w:hAnsiTheme="minorBidi" w:cstheme="minorBidi"/>
                <w:b/>
                <w:bCs/>
                <w:sz w:val="20"/>
                <w:szCs w:val="20"/>
                <w:lang w:val="en-GB"/>
              </w:rPr>
              <w:t>Traditional Arts and Culture Scotland (TRACS)</w:t>
            </w:r>
          </w:p>
        </w:tc>
        <w:tc>
          <w:tcPr>
            <w:tcW w:w="1059" w:type="pct"/>
            <w:shd w:val="clear" w:color="auto" w:fill="auto"/>
            <w:vAlign w:val="center"/>
          </w:tcPr>
          <w:p w14:paraId="5BF7F9EC" w14:textId="77777777" w:rsidR="00521F6F" w:rsidRPr="00F3039A" w:rsidRDefault="00521F6F" w:rsidP="009314C9">
            <w:pPr>
              <w:contextualSpacing/>
              <w:jc w:val="center"/>
              <w:rPr>
                <w:rFonts w:asciiTheme="minorBidi" w:hAnsiTheme="minorBidi" w:cstheme="minorBidi"/>
                <w:sz w:val="20"/>
                <w:szCs w:val="20"/>
                <w:lang w:val="en-GB"/>
              </w:rPr>
            </w:pPr>
            <w:r w:rsidRPr="00F3039A">
              <w:rPr>
                <w:rFonts w:asciiTheme="minorBidi" w:hAnsiTheme="minorBidi" w:cstheme="minorBidi"/>
                <w:sz w:val="20"/>
                <w:szCs w:val="20"/>
                <w:lang w:val="en-GB"/>
              </w:rPr>
              <w:t>United Kingdom of Great Britain and Northern Ireland</w:t>
            </w:r>
          </w:p>
        </w:tc>
        <w:tc>
          <w:tcPr>
            <w:tcW w:w="883" w:type="pct"/>
            <w:shd w:val="clear" w:color="auto" w:fill="auto"/>
            <w:vAlign w:val="center"/>
          </w:tcPr>
          <w:p w14:paraId="533BC932" w14:textId="77777777" w:rsidR="00521F6F" w:rsidRPr="00F3039A" w:rsidRDefault="00521F6F" w:rsidP="009314C9">
            <w:pPr>
              <w:contextualSpacing/>
              <w:jc w:val="center"/>
              <w:rPr>
                <w:rFonts w:asciiTheme="minorBidi" w:hAnsiTheme="minorBidi" w:cstheme="minorBidi"/>
                <w:sz w:val="20"/>
                <w:szCs w:val="20"/>
                <w:lang w:val="en-GB"/>
              </w:rPr>
            </w:pPr>
            <w:r w:rsidRPr="00F3039A">
              <w:rPr>
                <w:rFonts w:asciiTheme="minorBidi" w:hAnsiTheme="minorBidi" w:cstheme="minorBidi"/>
                <w:sz w:val="20"/>
                <w:szCs w:val="20"/>
                <w:lang w:val="en-GB"/>
              </w:rPr>
              <w:t>NGO-90561</w:t>
            </w:r>
          </w:p>
        </w:tc>
      </w:tr>
      <w:tr w:rsidR="00521F6F" w:rsidRPr="00F3039A" w14:paraId="65DE4318" w14:textId="77777777" w:rsidTr="006B723A">
        <w:trPr>
          <w:trHeight w:val="576"/>
        </w:trPr>
        <w:tc>
          <w:tcPr>
            <w:tcW w:w="3058" w:type="pct"/>
            <w:shd w:val="clear" w:color="auto" w:fill="DEEAF6" w:themeFill="accent1" w:themeFillTint="33"/>
            <w:vAlign w:val="center"/>
          </w:tcPr>
          <w:p w14:paraId="6BD69586" w14:textId="77777777" w:rsidR="00521F6F" w:rsidRPr="00F3039A" w:rsidRDefault="00521F6F" w:rsidP="009314C9">
            <w:pPr>
              <w:contextualSpacing/>
              <w:rPr>
                <w:rFonts w:asciiTheme="minorBidi" w:hAnsiTheme="minorBidi" w:cstheme="minorBidi"/>
                <w:b/>
                <w:bCs/>
                <w:sz w:val="20"/>
                <w:szCs w:val="20"/>
                <w:lang w:val="en-GB"/>
              </w:rPr>
            </w:pPr>
            <w:r w:rsidRPr="00F3039A">
              <w:rPr>
                <w:rFonts w:asciiTheme="minorBidi" w:hAnsiTheme="minorBidi" w:cstheme="minorBidi"/>
                <w:b/>
                <w:bCs/>
                <w:sz w:val="20"/>
                <w:szCs w:val="20"/>
                <w:lang w:val="en-GB"/>
              </w:rPr>
              <w:t>Türkischer Klassischer Choir Association</w:t>
            </w:r>
            <w:r w:rsidRPr="00F3039A">
              <w:rPr>
                <w:rFonts w:asciiTheme="minorBidi" w:hAnsiTheme="minorBidi" w:cstheme="minorBidi"/>
                <w:b/>
                <w:bCs/>
                <w:sz w:val="20"/>
                <w:szCs w:val="20"/>
                <w:lang w:val="en-GB"/>
              </w:rPr>
              <w:br/>
            </w:r>
            <w:r w:rsidRPr="00F3039A">
              <w:rPr>
                <w:rFonts w:asciiTheme="minorBidi" w:hAnsiTheme="minorBidi" w:cstheme="minorBidi"/>
                <w:sz w:val="20"/>
                <w:szCs w:val="20"/>
                <w:lang w:val="en-GB"/>
              </w:rPr>
              <w:t>Zurich Turkish Classical Choir Association</w:t>
            </w:r>
          </w:p>
        </w:tc>
        <w:tc>
          <w:tcPr>
            <w:tcW w:w="1059" w:type="pct"/>
            <w:shd w:val="clear" w:color="auto" w:fill="DEEAF6" w:themeFill="accent1" w:themeFillTint="33"/>
            <w:vAlign w:val="center"/>
          </w:tcPr>
          <w:p w14:paraId="22331FEE" w14:textId="77777777" w:rsidR="00521F6F" w:rsidRPr="00F3039A" w:rsidRDefault="00521F6F" w:rsidP="009314C9">
            <w:pPr>
              <w:contextualSpacing/>
              <w:jc w:val="center"/>
              <w:rPr>
                <w:rFonts w:asciiTheme="minorBidi" w:hAnsiTheme="minorBidi" w:cstheme="minorBidi"/>
                <w:sz w:val="20"/>
                <w:szCs w:val="20"/>
                <w:lang w:val="en-GB"/>
              </w:rPr>
            </w:pPr>
            <w:r w:rsidRPr="00F3039A">
              <w:rPr>
                <w:rFonts w:asciiTheme="minorBidi" w:hAnsiTheme="minorBidi" w:cstheme="minorBidi"/>
                <w:sz w:val="20"/>
                <w:szCs w:val="20"/>
                <w:lang w:val="en-GB"/>
              </w:rPr>
              <w:t>Switzerland</w:t>
            </w:r>
          </w:p>
        </w:tc>
        <w:tc>
          <w:tcPr>
            <w:tcW w:w="883" w:type="pct"/>
            <w:shd w:val="clear" w:color="auto" w:fill="DEEAF6" w:themeFill="accent1" w:themeFillTint="33"/>
            <w:vAlign w:val="center"/>
          </w:tcPr>
          <w:p w14:paraId="1E5CB6D1" w14:textId="77777777" w:rsidR="00521F6F" w:rsidRPr="00F3039A" w:rsidRDefault="00521F6F" w:rsidP="009314C9">
            <w:pPr>
              <w:contextualSpacing/>
              <w:jc w:val="center"/>
              <w:rPr>
                <w:rFonts w:asciiTheme="minorBidi" w:hAnsiTheme="minorBidi" w:cstheme="minorBidi"/>
                <w:sz w:val="20"/>
                <w:szCs w:val="20"/>
                <w:lang w:val="en-GB"/>
              </w:rPr>
            </w:pPr>
            <w:r w:rsidRPr="00F3039A">
              <w:rPr>
                <w:rFonts w:asciiTheme="minorBidi" w:hAnsiTheme="minorBidi" w:cstheme="minorBidi"/>
                <w:sz w:val="20"/>
                <w:szCs w:val="20"/>
                <w:lang w:val="en-GB"/>
              </w:rPr>
              <w:t>NGO-90560</w:t>
            </w:r>
          </w:p>
        </w:tc>
      </w:tr>
      <w:tr w:rsidR="00521F6F" w:rsidRPr="00F3039A" w14:paraId="671183F2" w14:textId="77777777" w:rsidTr="006B723A">
        <w:trPr>
          <w:trHeight w:val="576"/>
        </w:trPr>
        <w:tc>
          <w:tcPr>
            <w:tcW w:w="3058" w:type="pct"/>
            <w:shd w:val="clear" w:color="auto" w:fill="auto"/>
            <w:vAlign w:val="center"/>
          </w:tcPr>
          <w:p w14:paraId="1AC0E163" w14:textId="77777777" w:rsidR="00521F6F" w:rsidRPr="00F3039A" w:rsidRDefault="00521F6F" w:rsidP="009314C9">
            <w:pPr>
              <w:contextualSpacing/>
              <w:rPr>
                <w:rFonts w:asciiTheme="minorBidi" w:hAnsiTheme="minorBidi" w:cstheme="minorBidi"/>
                <w:b/>
                <w:bCs/>
                <w:sz w:val="20"/>
                <w:szCs w:val="20"/>
                <w:lang w:val="en-GB"/>
              </w:rPr>
            </w:pPr>
            <w:r w:rsidRPr="00F3039A">
              <w:rPr>
                <w:rFonts w:asciiTheme="minorBidi" w:hAnsiTheme="minorBidi" w:cstheme="minorBidi"/>
                <w:b/>
                <w:bCs/>
                <w:sz w:val="20"/>
                <w:szCs w:val="20"/>
                <w:lang w:val="en-GB"/>
              </w:rPr>
              <w:t>Uluslararasi Mevlana Vakfi</w:t>
            </w:r>
            <w:r w:rsidRPr="00F3039A">
              <w:rPr>
                <w:rFonts w:asciiTheme="minorBidi" w:hAnsiTheme="minorBidi" w:cstheme="minorBidi"/>
                <w:b/>
                <w:bCs/>
                <w:sz w:val="20"/>
                <w:szCs w:val="20"/>
                <w:lang w:val="en-GB"/>
              </w:rPr>
              <w:br/>
            </w:r>
            <w:r w:rsidRPr="00F3039A">
              <w:rPr>
                <w:rFonts w:asciiTheme="minorBidi" w:hAnsiTheme="minorBidi" w:cstheme="minorBidi"/>
                <w:sz w:val="20"/>
                <w:szCs w:val="20"/>
                <w:lang w:val="en-GB"/>
              </w:rPr>
              <w:t>International Mevlana Foundation</w:t>
            </w:r>
          </w:p>
        </w:tc>
        <w:tc>
          <w:tcPr>
            <w:tcW w:w="1059" w:type="pct"/>
            <w:shd w:val="clear" w:color="auto" w:fill="auto"/>
            <w:vAlign w:val="center"/>
          </w:tcPr>
          <w:p w14:paraId="74935B7E" w14:textId="77777777" w:rsidR="00521F6F" w:rsidRPr="00F3039A" w:rsidRDefault="00521F6F" w:rsidP="009314C9">
            <w:pPr>
              <w:contextualSpacing/>
              <w:jc w:val="center"/>
              <w:rPr>
                <w:rFonts w:asciiTheme="minorBidi" w:hAnsiTheme="minorBidi" w:cstheme="minorBidi"/>
                <w:sz w:val="20"/>
                <w:szCs w:val="20"/>
                <w:lang w:val="en-GB"/>
              </w:rPr>
            </w:pPr>
            <w:r w:rsidRPr="00F3039A">
              <w:rPr>
                <w:rFonts w:asciiTheme="minorBidi" w:hAnsiTheme="minorBidi" w:cstheme="minorBidi"/>
                <w:sz w:val="20"/>
                <w:szCs w:val="20"/>
                <w:lang w:val="en-GB"/>
              </w:rPr>
              <w:t>Türkiye</w:t>
            </w:r>
          </w:p>
        </w:tc>
        <w:tc>
          <w:tcPr>
            <w:tcW w:w="883" w:type="pct"/>
            <w:shd w:val="clear" w:color="auto" w:fill="auto"/>
            <w:vAlign w:val="center"/>
          </w:tcPr>
          <w:p w14:paraId="5429EA62" w14:textId="77777777" w:rsidR="00521F6F" w:rsidRPr="00F3039A" w:rsidRDefault="00521F6F" w:rsidP="009314C9">
            <w:pPr>
              <w:contextualSpacing/>
              <w:jc w:val="center"/>
              <w:rPr>
                <w:rFonts w:asciiTheme="minorBidi" w:hAnsiTheme="minorBidi" w:cstheme="minorBidi"/>
                <w:sz w:val="20"/>
                <w:szCs w:val="20"/>
                <w:lang w:val="en-GB"/>
              </w:rPr>
            </w:pPr>
            <w:r w:rsidRPr="00F3039A">
              <w:rPr>
                <w:rFonts w:asciiTheme="minorBidi" w:hAnsiTheme="minorBidi" w:cstheme="minorBidi"/>
                <w:sz w:val="20"/>
                <w:szCs w:val="20"/>
                <w:lang w:val="en-GB"/>
              </w:rPr>
              <w:t>NGO-90547</w:t>
            </w:r>
          </w:p>
        </w:tc>
      </w:tr>
      <w:tr w:rsidR="00521F6F" w:rsidRPr="00F3039A" w14:paraId="7C8D7C0C" w14:textId="77777777" w:rsidTr="006B723A">
        <w:trPr>
          <w:trHeight w:val="576"/>
        </w:trPr>
        <w:tc>
          <w:tcPr>
            <w:tcW w:w="3058" w:type="pct"/>
            <w:shd w:val="clear" w:color="auto" w:fill="DEEAF6" w:themeFill="accent1" w:themeFillTint="33"/>
            <w:vAlign w:val="center"/>
          </w:tcPr>
          <w:p w14:paraId="25FFCCA8" w14:textId="77777777" w:rsidR="00521F6F" w:rsidRPr="00F3039A" w:rsidRDefault="00521F6F" w:rsidP="009314C9">
            <w:pPr>
              <w:contextualSpacing/>
              <w:rPr>
                <w:rFonts w:asciiTheme="minorBidi" w:hAnsiTheme="minorBidi" w:cstheme="minorBidi"/>
                <w:b/>
                <w:bCs/>
                <w:sz w:val="20"/>
                <w:szCs w:val="20"/>
                <w:lang w:val="es-ES"/>
              </w:rPr>
            </w:pPr>
            <w:r w:rsidRPr="00F3039A">
              <w:rPr>
                <w:rFonts w:asciiTheme="minorBidi" w:hAnsiTheme="minorBidi" w:cstheme="minorBidi"/>
                <w:b/>
                <w:bCs/>
                <w:sz w:val="20"/>
                <w:szCs w:val="20"/>
                <w:lang w:val="es-ES"/>
              </w:rPr>
              <w:t>UN ETXEA- Asociación del País Vasco para la UNESCO</w:t>
            </w:r>
            <w:r w:rsidRPr="00F3039A">
              <w:rPr>
                <w:rFonts w:asciiTheme="minorBidi" w:hAnsiTheme="minorBidi" w:cstheme="minorBidi"/>
                <w:b/>
                <w:bCs/>
                <w:sz w:val="20"/>
                <w:szCs w:val="20"/>
                <w:lang w:val="es-ES"/>
              </w:rPr>
              <w:br/>
            </w:r>
            <w:r w:rsidRPr="00F3039A">
              <w:rPr>
                <w:rFonts w:asciiTheme="minorBidi" w:hAnsiTheme="minorBidi" w:cstheme="minorBidi"/>
                <w:sz w:val="20"/>
                <w:szCs w:val="20"/>
                <w:lang w:val="es-ES"/>
              </w:rPr>
              <w:t>UN ETXEA- Basque Country Association for UNESCO</w:t>
            </w:r>
          </w:p>
        </w:tc>
        <w:tc>
          <w:tcPr>
            <w:tcW w:w="1059" w:type="pct"/>
            <w:shd w:val="clear" w:color="auto" w:fill="DEEAF6" w:themeFill="accent1" w:themeFillTint="33"/>
            <w:vAlign w:val="center"/>
          </w:tcPr>
          <w:p w14:paraId="615B1887" w14:textId="77777777" w:rsidR="00521F6F" w:rsidRPr="00F3039A" w:rsidRDefault="00521F6F" w:rsidP="009314C9">
            <w:pPr>
              <w:contextualSpacing/>
              <w:jc w:val="center"/>
              <w:rPr>
                <w:rFonts w:asciiTheme="minorBidi" w:hAnsiTheme="minorBidi" w:cstheme="minorBidi"/>
                <w:sz w:val="20"/>
                <w:szCs w:val="20"/>
                <w:lang w:val="en-GB"/>
              </w:rPr>
            </w:pPr>
            <w:r w:rsidRPr="00F3039A">
              <w:rPr>
                <w:rFonts w:asciiTheme="minorBidi" w:hAnsiTheme="minorBidi" w:cstheme="minorBidi"/>
                <w:sz w:val="20"/>
                <w:szCs w:val="20"/>
                <w:lang w:val="en-GB"/>
              </w:rPr>
              <w:t>Spain</w:t>
            </w:r>
          </w:p>
        </w:tc>
        <w:tc>
          <w:tcPr>
            <w:tcW w:w="883" w:type="pct"/>
            <w:shd w:val="clear" w:color="auto" w:fill="DEEAF6" w:themeFill="accent1" w:themeFillTint="33"/>
            <w:vAlign w:val="center"/>
          </w:tcPr>
          <w:p w14:paraId="7EC8E887" w14:textId="77777777" w:rsidR="00521F6F" w:rsidRPr="00F3039A" w:rsidRDefault="00521F6F" w:rsidP="009314C9">
            <w:pPr>
              <w:contextualSpacing/>
              <w:jc w:val="center"/>
              <w:rPr>
                <w:rFonts w:asciiTheme="minorBidi" w:hAnsiTheme="minorBidi" w:cstheme="minorBidi"/>
                <w:sz w:val="20"/>
                <w:szCs w:val="20"/>
                <w:lang w:val="en-GB"/>
              </w:rPr>
            </w:pPr>
            <w:r w:rsidRPr="00F3039A">
              <w:rPr>
                <w:rFonts w:asciiTheme="minorBidi" w:hAnsiTheme="minorBidi" w:cstheme="minorBidi"/>
                <w:sz w:val="20"/>
                <w:szCs w:val="20"/>
                <w:lang w:val="en-GB"/>
              </w:rPr>
              <w:t>NGO-90590</w:t>
            </w:r>
          </w:p>
        </w:tc>
      </w:tr>
      <w:tr w:rsidR="00521F6F" w:rsidRPr="00F3039A" w14:paraId="244CC4CE" w14:textId="77777777" w:rsidTr="006B723A">
        <w:trPr>
          <w:trHeight w:val="576"/>
        </w:trPr>
        <w:tc>
          <w:tcPr>
            <w:tcW w:w="3058" w:type="pct"/>
            <w:shd w:val="clear" w:color="auto" w:fill="auto"/>
            <w:vAlign w:val="center"/>
          </w:tcPr>
          <w:p w14:paraId="5ADCE60C" w14:textId="77777777" w:rsidR="00521F6F" w:rsidRPr="00F3039A" w:rsidRDefault="00521F6F" w:rsidP="009314C9">
            <w:pPr>
              <w:contextualSpacing/>
              <w:rPr>
                <w:rFonts w:asciiTheme="minorBidi" w:hAnsiTheme="minorBidi" w:cstheme="minorBidi"/>
                <w:b/>
                <w:bCs/>
                <w:sz w:val="20"/>
                <w:szCs w:val="20"/>
                <w:lang w:val="en-GB"/>
              </w:rPr>
            </w:pPr>
            <w:r w:rsidRPr="00F3039A">
              <w:rPr>
                <w:rFonts w:asciiTheme="minorBidi" w:hAnsiTheme="minorBidi" w:cstheme="minorBidi"/>
                <w:b/>
                <w:bCs/>
                <w:sz w:val="20"/>
                <w:szCs w:val="20"/>
                <w:lang w:val="en-GB"/>
              </w:rPr>
              <w:t>Vabnagar Foundation</w:t>
            </w:r>
          </w:p>
        </w:tc>
        <w:tc>
          <w:tcPr>
            <w:tcW w:w="1059" w:type="pct"/>
            <w:shd w:val="clear" w:color="auto" w:fill="auto"/>
            <w:vAlign w:val="center"/>
          </w:tcPr>
          <w:p w14:paraId="677246C7" w14:textId="77777777" w:rsidR="00521F6F" w:rsidRPr="00F3039A" w:rsidRDefault="00521F6F" w:rsidP="009314C9">
            <w:pPr>
              <w:contextualSpacing/>
              <w:jc w:val="center"/>
              <w:rPr>
                <w:rFonts w:asciiTheme="minorBidi" w:hAnsiTheme="minorBidi" w:cstheme="minorBidi"/>
                <w:sz w:val="20"/>
                <w:szCs w:val="20"/>
                <w:lang w:val="en-GB"/>
              </w:rPr>
            </w:pPr>
            <w:r w:rsidRPr="00F3039A">
              <w:rPr>
                <w:rFonts w:asciiTheme="minorBidi" w:hAnsiTheme="minorBidi" w:cstheme="minorBidi"/>
                <w:sz w:val="20"/>
                <w:szCs w:val="20"/>
                <w:lang w:val="en-GB"/>
              </w:rPr>
              <w:t>Bangladesh</w:t>
            </w:r>
          </w:p>
        </w:tc>
        <w:tc>
          <w:tcPr>
            <w:tcW w:w="883" w:type="pct"/>
            <w:shd w:val="clear" w:color="auto" w:fill="auto"/>
            <w:vAlign w:val="center"/>
          </w:tcPr>
          <w:p w14:paraId="26123A21" w14:textId="77777777" w:rsidR="00521F6F" w:rsidRPr="00F3039A" w:rsidRDefault="00521F6F" w:rsidP="009314C9">
            <w:pPr>
              <w:contextualSpacing/>
              <w:jc w:val="center"/>
              <w:rPr>
                <w:rFonts w:asciiTheme="minorBidi" w:hAnsiTheme="minorBidi" w:cstheme="minorBidi"/>
                <w:sz w:val="20"/>
                <w:szCs w:val="20"/>
                <w:lang w:val="en-GB"/>
              </w:rPr>
            </w:pPr>
            <w:r w:rsidRPr="00F3039A">
              <w:rPr>
                <w:rFonts w:asciiTheme="minorBidi" w:hAnsiTheme="minorBidi" w:cstheme="minorBidi"/>
                <w:sz w:val="20"/>
                <w:szCs w:val="20"/>
                <w:lang w:val="en-GB"/>
              </w:rPr>
              <w:t>NGO-90526</w:t>
            </w:r>
          </w:p>
        </w:tc>
      </w:tr>
      <w:tr w:rsidR="00521F6F" w:rsidRPr="00F3039A" w14:paraId="0EFCB789" w14:textId="77777777" w:rsidTr="006B723A">
        <w:trPr>
          <w:trHeight w:val="576"/>
        </w:trPr>
        <w:tc>
          <w:tcPr>
            <w:tcW w:w="3058" w:type="pct"/>
            <w:shd w:val="clear" w:color="auto" w:fill="DEEAF6" w:themeFill="accent1" w:themeFillTint="33"/>
            <w:vAlign w:val="center"/>
          </w:tcPr>
          <w:p w14:paraId="3026CAE2" w14:textId="77777777" w:rsidR="00521F6F" w:rsidRPr="00F3039A" w:rsidRDefault="00521F6F" w:rsidP="009314C9">
            <w:pPr>
              <w:contextualSpacing/>
              <w:rPr>
                <w:rFonts w:asciiTheme="minorBidi" w:hAnsiTheme="minorBidi" w:cstheme="minorBidi"/>
                <w:b/>
                <w:bCs/>
                <w:sz w:val="20"/>
                <w:szCs w:val="20"/>
                <w:lang w:val="en-GB"/>
              </w:rPr>
            </w:pPr>
            <w:r w:rsidRPr="00F3039A">
              <w:rPr>
                <w:rFonts w:asciiTheme="minorBidi" w:hAnsiTheme="minorBidi" w:cstheme="minorBidi"/>
                <w:b/>
                <w:bCs/>
                <w:sz w:val="20"/>
                <w:szCs w:val="20"/>
                <w:lang w:val="en-GB"/>
              </w:rPr>
              <w:t>World Music асоцијација Србије</w:t>
            </w:r>
            <w:r w:rsidRPr="00F3039A">
              <w:rPr>
                <w:rFonts w:asciiTheme="minorBidi" w:hAnsiTheme="minorBidi" w:cstheme="minorBidi"/>
                <w:b/>
                <w:bCs/>
                <w:sz w:val="20"/>
                <w:szCs w:val="20"/>
                <w:lang w:val="en-GB"/>
              </w:rPr>
              <w:br/>
            </w:r>
            <w:r w:rsidRPr="00F3039A">
              <w:rPr>
                <w:rFonts w:asciiTheme="minorBidi" w:hAnsiTheme="minorBidi" w:cstheme="minorBidi"/>
                <w:sz w:val="20"/>
                <w:szCs w:val="20"/>
                <w:lang w:val="en-GB"/>
              </w:rPr>
              <w:t>World Music Association of Serbia</w:t>
            </w:r>
          </w:p>
        </w:tc>
        <w:tc>
          <w:tcPr>
            <w:tcW w:w="1059" w:type="pct"/>
            <w:shd w:val="clear" w:color="auto" w:fill="DEEAF6" w:themeFill="accent1" w:themeFillTint="33"/>
            <w:vAlign w:val="center"/>
          </w:tcPr>
          <w:p w14:paraId="5B4214D8" w14:textId="77777777" w:rsidR="00521F6F" w:rsidRPr="00F3039A" w:rsidRDefault="00521F6F" w:rsidP="009314C9">
            <w:pPr>
              <w:contextualSpacing/>
              <w:jc w:val="center"/>
              <w:rPr>
                <w:rFonts w:asciiTheme="minorBidi" w:hAnsiTheme="minorBidi" w:cstheme="minorBidi"/>
                <w:sz w:val="20"/>
                <w:szCs w:val="20"/>
                <w:lang w:val="en-GB"/>
              </w:rPr>
            </w:pPr>
            <w:r w:rsidRPr="00F3039A">
              <w:rPr>
                <w:rFonts w:asciiTheme="minorBidi" w:hAnsiTheme="minorBidi" w:cstheme="minorBidi"/>
                <w:sz w:val="20"/>
                <w:szCs w:val="20"/>
                <w:lang w:val="en-GB"/>
              </w:rPr>
              <w:t>Serbia</w:t>
            </w:r>
          </w:p>
        </w:tc>
        <w:tc>
          <w:tcPr>
            <w:tcW w:w="883" w:type="pct"/>
            <w:shd w:val="clear" w:color="auto" w:fill="DEEAF6" w:themeFill="accent1" w:themeFillTint="33"/>
            <w:vAlign w:val="center"/>
          </w:tcPr>
          <w:p w14:paraId="11268D05" w14:textId="77777777" w:rsidR="00521F6F" w:rsidRPr="00F3039A" w:rsidRDefault="00521F6F" w:rsidP="009314C9">
            <w:pPr>
              <w:contextualSpacing/>
              <w:jc w:val="center"/>
              <w:rPr>
                <w:rFonts w:asciiTheme="minorBidi" w:hAnsiTheme="minorBidi" w:cstheme="minorBidi"/>
                <w:sz w:val="20"/>
                <w:szCs w:val="20"/>
                <w:lang w:val="en-GB"/>
              </w:rPr>
            </w:pPr>
            <w:r w:rsidRPr="00F3039A">
              <w:rPr>
                <w:rFonts w:asciiTheme="minorBidi" w:hAnsiTheme="minorBidi" w:cstheme="minorBidi"/>
                <w:sz w:val="20"/>
                <w:szCs w:val="20"/>
                <w:lang w:val="en-GB"/>
              </w:rPr>
              <w:t>NGO-90530</w:t>
            </w:r>
          </w:p>
        </w:tc>
      </w:tr>
      <w:tr w:rsidR="00521F6F" w:rsidRPr="00F3039A" w14:paraId="1F0D5648" w14:textId="77777777" w:rsidTr="006B723A">
        <w:trPr>
          <w:trHeight w:val="576"/>
        </w:trPr>
        <w:tc>
          <w:tcPr>
            <w:tcW w:w="3058" w:type="pct"/>
            <w:shd w:val="clear" w:color="auto" w:fill="auto"/>
            <w:vAlign w:val="center"/>
          </w:tcPr>
          <w:p w14:paraId="1019B786" w14:textId="77777777" w:rsidR="00521F6F" w:rsidRPr="00F3039A" w:rsidRDefault="00521F6F" w:rsidP="009314C9">
            <w:pPr>
              <w:contextualSpacing/>
              <w:rPr>
                <w:rFonts w:asciiTheme="minorBidi" w:hAnsiTheme="minorBidi" w:cstheme="minorBidi"/>
                <w:b/>
                <w:bCs/>
                <w:sz w:val="20"/>
                <w:szCs w:val="20"/>
                <w:lang w:val="es-ES"/>
              </w:rPr>
            </w:pPr>
            <w:r w:rsidRPr="00F3039A">
              <w:rPr>
                <w:rFonts w:asciiTheme="minorBidi" w:hAnsiTheme="minorBidi" w:cstheme="minorBidi"/>
                <w:b/>
                <w:bCs/>
                <w:sz w:val="20"/>
                <w:szCs w:val="20"/>
                <w:lang w:val="es-ES"/>
              </w:rPr>
              <w:t>Yayasan Toraja Melo</w:t>
            </w:r>
            <w:r w:rsidRPr="00F3039A">
              <w:rPr>
                <w:rFonts w:asciiTheme="minorBidi" w:hAnsiTheme="minorBidi" w:cstheme="minorBidi"/>
                <w:b/>
                <w:bCs/>
                <w:sz w:val="20"/>
                <w:szCs w:val="20"/>
                <w:lang w:val="es-ES"/>
              </w:rPr>
              <w:br/>
            </w:r>
            <w:r w:rsidRPr="00F3039A">
              <w:rPr>
                <w:rFonts w:asciiTheme="minorBidi" w:hAnsiTheme="minorBidi" w:cstheme="minorBidi"/>
                <w:sz w:val="20"/>
                <w:szCs w:val="20"/>
                <w:lang w:val="es-ES"/>
              </w:rPr>
              <w:t>Toraja Melo Foundation</w:t>
            </w:r>
          </w:p>
        </w:tc>
        <w:tc>
          <w:tcPr>
            <w:tcW w:w="1059" w:type="pct"/>
            <w:shd w:val="clear" w:color="auto" w:fill="auto"/>
            <w:vAlign w:val="center"/>
          </w:tcPr>
          <w:p w14:paraId="45A23E5C" w14:textId="77777777" w:rsidR="00521F6F" w:rsidRPr="00F3039A" w:rsidRDefault="00521F6F" w:rsidP="009314C9">
            <w:pPr>
              <w:contextualSpacing/>
              <w:jc w:val="center"/>
              <w:rPr>
                <w:rFonts w:asciiTheme="minorBidi" w:hAnsiTheme="minorBidi" w:cstheme="minorBidi"/>
                <w:sz w:val="20"/>
                <w:szCs w:val="20"/>
                <w:lang w:val="en-GB"/>
              </w:rPr>
            </w:pPr>
            <w:r w:rsidRPr="00F3039A">
              <w:rPr>
                <w:rFonts w:asciiTheme="minorBidi" w:hAnsiTheme="minorBidi" w:cstheme="minorBidi"/>
                <w:sz w:val="20"/>
                <w:szCs w:val="20"/>
                <w:lang w:val="en-GB"/>
              </w:rPr>
              <w:t>Indonesia</w:t>
            </w:r>
          </w:p>
        </w:tc>
        <w:tc>
          <w:tcPr>
            <w:tcW w:w="883" w:type="pct"/>
            <w:shd w:val="clear" w:color="auto" w:fill="auto"/>
            <w:vAlign w:val="center"/>
          </w:tcPr>
          <w:p w14:paraId="7C3F2F7A" w14:textId="77777777" w:rsidR="00521F6F" w:rsidRPr="00F3039A" w:rsidRDefault="00521F6F" w:rsidP="009314C9">
            <w:pPr>
              <w:contextualSpacing/>
              <w:jc w:val="center"/>
              <w:rPr>
                <w:rFonts w:asciiTheme="minorBidi" w:hAnsiTheme="minorBidi" w:cstheme="minorBidi"/>
                <w:sz w:val="20"/>
                <w:szCs w:val="20"/>
                <w:lang w:val="en-GB"/>
              </w:rPr>
            </w:pPr>
            <w:r w:rsidRPr="00F3039A">
              <w:rPr>
                <w:rFonts w:asciiTheme="minorBidi" w:hAnsiTheme="minorBidi" w:cstheme="minorBidi"/>
                <w:sz w:val="20"/>
                <w:szCs w:val="20"/>
                <w:lang w:val="en-GB"/>
              </w:rPr>
              <w:t>NGO-90575</w:t>
            </w:r>
          </w:p>
        </w:tc>
      </w:tr>
      <w:tr w:rsidR="00521F6F" w:rsidRPr="00F3039A" w14:paraId="51205D78" w14:textId="77777777" w:rsidTr="006B723A">
        <w:trPr>
          <w:trHeight w:val="576"/>
        </w:trPr>
        <w:tc>
          <w:tcPr>
            <w:tcW w:w="3058" w:type="pct"/>
            <w:shd w:val="clear" w:color="auto" w:fill="DEEAF6" w:themeFill="accent1" w:themeFillTint="33"/>
            <w:vAlign w:val="center"/>
          </w:tcPr>
          <w:p w14:paraId="5DB3BE7A" w14:textId="77777777" w:rsidR="00521F6F" w:rsidRPr="00F3039A" w:rsidRDefault="00521F6F" w:rsidP="009314C9">
            <w:pPr>
              <w:contextualSpacing/>
              <w:rPr>
                <w:rFonts w:asciiTheme="minorBidi" w:hAnsiTheme="minorBidi" w:cstheme="minorBidi"/>
                <w:b/>
                <w:bCs/>
                <w:sz w:val="20"/>
                <w:szCs w:val="20"/>
              </w:rPr>
            </w:pPr>
            <w:r w:rsidRPr="00F3039A">
              <w:rPr>
                <w:rFonts w:asciiTheme="minorBidi" w:hAnsiTheme="minorBidi" w:cstheme="minorBidi"/>
                <w:b/>
                <w:bCs/>
                <w:sz w:val="20"/>
                <w:szCs w:val="20"/>
                <w:lang w:val="en-GB"/>
              </w:rPr>
              <w:t>Μεσογειακό</w:t>
            </w:r>
            <w:r w:rsidRPr="00F3039A">
              <w:rPr>
                <w:rFonts w:asciiTheme="minorBidi" w:hAnsiTheme="minorBidi" w:cstheme="minorBidi"/>
                <w:b/>
                <w:bCs/>
                <w:sz w:val="20"/>
                <w:szCs w:val="20"/>
              </w:rPr>
              <w:t xml:space="preserve"> </w:t>
            </w:r>
            <w:r w:rsidRPr="00F3039A">
              <w:rPr>
                <w:rFonts w:asciiTheme="minorBidi" w:hAnsiTheme="minorBidi" w:cstheme="minorBidi"/>
                <w:b/>
                <w:bCs/>
                <w:sz w:val="20"/>
                <w:szCs w:val="20"/>
                <w:lang w:val="en-GB"/>
              </w:rPr>
              <w:t>Ινστιτούτο</w:t>
            </w:r>
            <w:r w:rsidRPr="00F3039A">
              <w:rPr>
                <w:rFonts w:asciiTheme="minorBidi" w:hAnsiTheme="minorBidi" w:cstheme="minorBidi"/>
                <w:b/>
                <w:bCs/>
                <w:sz w:val="20"/>
                <w:szCs w:val="20"/>
              </w:rPr>
              <w:t xml:space="preserve"> </w:t>
            </w:r>
            <w:r w:rsidRPr="00F3039A">
              <w:rPr>
                <w:rFonts w:asciiTheme="minorBidi" w:hAnsiTheme="minorBidi" w:cstheme="minorBidi"/>
                <w:b/>
                <w:bCs/>
                <w:sz w:val="20"/>
                <w:szCs w:val="20"/>
                <w:lang w:val="en-GB"/>
              </w:rPr>
              <w:t>για</w:t>
            </w:r>
            <w:r w:rsidRPr="00F3039A">
              <w:rPr>
                <w:rFonts w:asciiTheme="minorBidi" w:hAnsiTheme="minorBidi" w:cstheme="minorBidi"/>
                <w:b/>
                <w:bCs/>
                <w:sz w:val="20"/>
                <w:szCs w:val="20"/>
              </w:rPr>
              <w:t xml:space="preserve"> </w:t>
            </w:r>
            <w:r w:rsidRPr="00F3039A">
              <w:rPr>
                <w:rFonts w:asciiTheme="minorBidi" w:hAnsiTheme="minorBidi" w:cstheme="minorBidi"/>
                <w:b/>
                <w:bCs/>
                <w:sz w:val="20"/>
                <w:szCs w:val="20"/>
                <w:lang w:val="en-GB"/>
              </w:rPr>
              <w:t>τη</w:t>
            </w:r>
            <w:r w:rsidRPr="00F3039A">
              <w:rPr>
                <w:rFonts w:asciiTheme="minorBidi" w:hAnsiTheme="minorBidi" w:cstheme="minorBidi"/>
                <w:b/>
                <w:bCs/>
                <w:sz w:val="20"/>
                <w:szCs w:val="20"/>
              </w:rPr>
              <w:t xml:space="preserve"> </w:t>
            </w:r>
            <w:r w:rsidRPr="00F3039A">
              <w:rPr>
                <w:rFonts w:asciiTheme="minorBidi" w:hAnsiTheme="minorBidi" w:cstheme="minorBidi"/>
                <w:b/>
                <w:bCs/>
                <w:sz w:val="20"/>
                <w:szCs w:val="20"/>
                <w:lang w:val="en-GB"/>
              </w:rPr>
              <w:t>Φύση</w:t>
            </w:r>
            <w:r w:rsidRPr="00F3039A">
              <w:rPr>
                <w:rFonts w:asciiTheme="minorBidi" w:hAnsiTheme="minorBidi" w:cstheme="minorBidi"/>
                <w:b/>
                <w:bCs/>
                <w:sz w:val="20"/>
                <w:szCs w:val="20"/>
              </w:rPr>
              <w:t xml:space="preserve"> </w:t>
            </w:r>
            <w:r w:rsidRPr="00F3039A">
              <w:rPr>
                <w:rFonts w:asciiTheme="minorBidi" w:hAnsiTheme="minorBidi" w:cstheme="minorBidi"/>
                <w:b/>
                <w:bCs/>
                <w:sz w:val="20"/>
                <w:szCs w:val="20"/>
                <w:lang w:val="en-GB"/>
              </w:rPr>
              <w:t>και</w:t>
            </w:r>
            <w:r w:rsidRPr="00F3039A">
              <w:rPr>
                <w:rFonts w:asciiTheme="minorBidi" w:hAnsiTheme="minorBidi" w:cstheme="minorBidi"/>
                <w:b/>
                <w:bCs/>
                <w:sz w:val="20"/>
                <w:szCs w:val="20"/>
              </w:rPr>
              <w:t xml:space="preserve"> </w:t>
            </w:r>
            <w:r w:rsidRPr="00F3039A">
              <w:rPr>
                <w:rFonts w:asciiTheme="minorBidi" w:hAnsiTheme="minorBidi" w:cstheme="minorBidi"/>
                <w:b/>
                <w:bCs/>
                <w:sz w:val="20"/>
                <w:szCs w:val="20"/>
                <w:lang w:val="en-GB"/>
              </w:rPr>
              <w:t>τον</w:t>
            </w:r>
            <w:r w:rsidRPr="00F3039A">
              <w:rPr>
                <w:rFonts w:asciiTheme="minorBidi" w:hAnsiTheme="minorBidi" w:cstheme="minorBidi"/>
                <w:b/>
                <w:bCs/>
                <w:sz w:val="20"/>
                <w:szCs w:val="20"/>
              </w:rPr>
              <w:t xml:space="preserve"> </w:t>
            </w:r>
            <w:r w:rsidRPr="00F3039A">
              <w:rPr>
                <w:rFonts w:asciiTheme="minorBidi" w:hAnsiTheme="minorBidi" w:cstheme="minorBidi"/>
                <w:b/>
                <w:bCs/>
                <w:sz w:val="20"/>
                <w:szCs w:val="20"/>
                <w:lang w:val="en-GB"/>
              </w:rPr>
              <w:t>Άνθρωπο</w:t>
            </w:r>
            <w:r w:rsidRPr="00F3039A">
              <w:rPr>
                <w:rFonts w:asciiTheme="minorBidi" w:hAnsiTheme="minorBidi" w:cstheme="minorBidi"/>
                <w:b/>
                <w:bCs/>
                <w:sz w:val="20"/>
                <w:szCs w:val="20"/>
              </w:rPr>
              <w:br/>
            </w:r>
            <w:r w:rsidRPr="00F3039A">
              <w:rPr>
                <w:rFonts w:asciiTheme="minorBidi" w:hAnsiTheme="minorBidi" w:cstheme="minorBidi"/>
                <w:sz w:val="20"/>
                <w:szCs w:val="20"/>
              </w:rPr>
              <w:t>Mediterranean Institute for Nature and Anthropos</w:t>
            </w:r>
          </w:p>
        </w:tc>
        <w:tc>
          <w:tcPr>
            <w:tcW w:w="1059" w:type="pct"/>
            <w:shd w:val="clear" w:color="auto" w:fill="DEEAF6" w:themeFill="accent1" w:themeFillTint="33"/>
            <w:vAlign w:val="center"/>
          </w:tcPr>
          <w:p w14:paraId="539F429C" w14:textId="77777777" w:rsidR="00521F6F" w:rsidRPr="00F3039A" w:rsidRDefault="00521F6F" w:rsidP="009314C9">
            <w:pPr>
              <w:contextualSpacing/>
              <w:jc w:val="center"/>
              <w:rPr>
                <w:rFonts w:asciiTheme="minorBidi" w:hAnsiTheme="minorBidi" w:cstheme="minorBidi"/>
                <w:sz w:val="20"/>
                <w:szCs w:val="20"/>
                <w:lang w:val="en-GB"/>
              </w:rPr>
            </w:pPr>
            <w:r w:rsidRPr="00F3039A">
              <w:rPr>
                <w:rFonts w:asciiTheme="minorBidi" w:hAnsiTheme="minorBidi" w:cstheme="minorBidi"/>
                <w:sz w:val="20"/>
                <w:szCs w:val="20"/>
                <w:lang w:val="en-GB"/>
              </w:rPr>
              <w:t>Greece</w:t>
            </w:r>
          </w:p>
        </w:tc>
        <w:tc>
          <w:tcPr>
            <w:tcW w:w="883" w:type="pct"/>
            <w:shd w:val="clear" w:color="auto" w:fill="DEEAF6" w:themeFill="accent1" w:themeFillTint="33"/>
            <w:vAlign w:val="center"/>
          </w:tcPr>
          <w:p w14:paraId="1FCB30EB" w14:textId="77777777" w:rsidR="00521F6F" w:rsidRPr="00F3039A" w:rsidRDefault="00521F6F" w:rsidP="009314C9">
            <w:pPr>
              <w:contextualSpacing/>
              <w:jc w:val="center"/>
              <w:rPr>
                <w:rFonts w:asciiTheme="minorBidi" w:hAnsiTheme="minorBidi" w:cstheme="minorBidi"/>
                <w:sz w:val="20"/>
                <w:szCs w:val="20"/>
                <w:lang w:val="en-GB"/>
              </w:rPr>
            </w:pPr>
            <w:r w:rsidRPr="00F3039A">
              <w:rPr>
                <w:rFonts w:asciiTheme="minorBidi" w:hAnsiTheme="minorBidi" w:cstheme="minorBidi"/>
                <w:sz w:val="20"/>
                <w:szCs w:val="20"/>
                <w:lang w:val="en-GB"/>
              </w:rPr>
              <w:t>NGO-90556</w:t>
            </w:r>
          </w:p>
        </w:tc>
      </w:tr>
      <w:tr w:rsidR="00521F6F" w:rsidRPr="00F3039A" w14:paraId="67E93AC5" w14:textId="77777777" w:rsidTr="006B723A">
        <w:trPr>
          <w:trHeight w:val="576"/>
        </w:trPr>
        <w:tc>
          <w:tcPr>
            <w:tcW w:w="3058" w:type="pct"/>
            <w:shd w:val="clear" w:color="auto" w:fill="auto"/>
            <w:vAlign w:val="center"/>
          </w:tcPr>
          <w:p w14:paraId="61AEA3FA" w14:textId="77777777" w:rsidR="00521F6F" w:rsidRPr="00F3039A" w:rsidRDefault="00521F6F" w:rsidP="009314C9">
            <w:pPr>
              <w:contextualSpacing/>
              <w:rPr>
                <w:rFonts w:asciiTheme="minorBidi" w:hAnsiTheme="minorBidi" w:cstheme="minorBidi"/>
                <w:b/>
                <w:bCs/>
                <w:sz w:val="20"/>
                <w:szCs w:val="20"/>
              </w:rPr>
            </w:pPr>
            <w:r w:rsidRPr="00F3039A">
              <w:rPr>
                <w:rFonts w:asciiTheme="minorBidi" w:hAnsiTheme="minorBidi" w:cstheme="minorBidi"/>
                <w:b/>
                <w:bCs/>
                <w:sz w:val="20"/>
                <w:szCs w:val="20"/>
                <w:lang w:val="en-GB"/>
              </w:rPr>
              <w:t>Ґромадська</w:t>
            </w:r>
            <w:r w:rsidRPr="00F3039A">
              <w:rPr>
                <w:rFonts w:asciiTheme="minorBidi" w:hAnsiTheme="minorBidi" w:cstheme="minorBidi"/>
                <w:b/>
                <w:bCs/>
                <w:sz w:val="20"/>
                <w:szCs w:val="20"/>
              </w:rPr>
              <w:t xml:space="preserve"> </w:t>
            </w:r>
            <w:r w:rsidRPr="00F3039A">
              <w:rPr>
                <w:rFonts w:asciiTheme="minorBidi" w:hAnsiTheme="minorBidi" w:cstheme="minorBidi"/>
                <w:b/>
                <w:bCs/>
                <w:sz w:val="20"/>
                <w:szCs w:val="20"/>
                <w:lang w:val="en-GB"/>
              </w:rPr>
              <w:t>орґанізація</w:t>
            </w:r>
            <w:r w:rsidRPr="00F3039A">
              <w:rPr>
                <w:rFonts w:asciiTheme="minorBidi" w:hAnsiTheme="minorBidi" w:cstheme="minorBidi"/>
                <w:b/>
                <w:bCs/>
                <w:sz w:val="20"/>
                <w:szCs w:val="20"/>
              </w:rPr>
              <w:t xml:space="preserve"> </w:t>
            </w:r>
            <w:r w:rsidRPr="00F3039A">
              <w:rPr>
                <w:rFonts w:asciiTheme="minorBidi" w:hAnsiTheme="minorBidi" w:cstheme="minorBidi"/>
                <w:b/>
                <w:bCs/>
                <w:sz w:val="20"/>
                <w:szCs w:val="20"/>
                <w:lang w:val="en-GB"/>
              </w:rPr>
              <w:t>ЖІНКИ</w:t>
            </w:r>
            <w:r w:rsidRPr="00F3039A">
              <w:rPr>
                <w:rFonts w:asciiTheme="minorBidi" w:hAnsiTheme="minorBidi" w:cstheme="minorBidi"/>
                <w:b/>
                <w:bCs/>
                <w:sz w:val="20"/>
                <w:szCs w:val="20"/>
              </w:rPr>
              <w:t xml:space="preserve"> </w:t>
            </w:r>
            <w:r w:rsidRPr="00F3039A">
              <w:rPr>
                <w:rFonts w:asciiTheme="minorBidi" w:hAnsiTheme="minorBidi" w:cstheme="minorBidi"/>
                <w:b/>
                <w:bCs/>
                <w:sz w:val="20"/>
                <w:szCs w:val="20"/>
                <w:lang w:val="en-GB"/>
              </w:rPr>
              <w:t>плюс</w:t>
            </w:r>
            <w:r w:rsidRPr="00F3039A">
              <w:rPr>
                <w:rFonts w:asciiTheme="minorBidi" w:hAnsiTheme="minorBidi" w:cstheme="minorBidi"/>
                <w:b/>
                <w:bCs/>
                <w:sz w:val="20"/>
                <w:szCs w:val="20"/>
              </w:rPr>
              <w:br/>
            </w:r>
            <w:r w:rsidRPr="00F3039A">
              <w:rPr>
                <w:rFonts w:asciiTheme="minorBidi" w:hAnsiTheme="minorBidi" w:cstheme="minorBidi"/>
                <w:sz w:val="20"/>
                <w:szCs w:val="20"/>
              </w:rPr>
              <w:t>WOMEN plus</w:t>
            </w:r>
          </w:p>
        </w:tc>
        <w:tc>
          <w:tcPr>
            <w:tcW w:w="1059" w:type="pct"/>
            <w:shd w:val="clear" w:color="auto" w:fill="auto"/>
            <w:vAlign w:val="center"/>
          </w:tcPr>
          <w:p w14:paraId="03D5906E" w14:textId="77777777" w:rsidR="00521F6F" w:rsidRPr="00F3039A" w:rsidRDefault="00521F6F" w:rsidP="009314C9">
            <w:pPr>
              <w:contextualSpacing/>
              <w:jc w:val="center"/>
              <w:rPr>
                <w:rFonts w:asciiTheme="minorBidi" w:hAnsiTheme="minorBidi" w:cstheme="minorBidi"/>
                <w:sz w:val="20"/>
                <w:szCs w:val="20"/>
                <w:lang w:val="en-GB"/>
              </w:rPr>
            </w:pPr>
            <w:r w:rsidRPr="00F3039A">
              <w:rPr>
                <w:rFonts w:asciiTheme="minorBidi" w:hAnsiTheme="minorBidi" w:cstheme="minorBidi"/>
                <w:sz w:val="20"/>
                <w:szCs w:val="20"/>
                <w:lang w:val="en-GB"/>
              </w:rPr>
              <w:t>Ukraine</w:t>
            </w:r>
          </w:p>
        </w:tc>
        <w:tc>
          <w:tcPr>
            <w:tcW w:w="883" w:type="pct"/>
            <w:shd w:val="clear" w:color="auto" w:fill="auto"/>
            <w:vAlign w:val="center"/>
          </w:tcPr>
          <w:p w14:paraId="331280F0" w14:textId="77777777" w:rsidR="00521F6F" w:rsidRPr="00F3039A" w:rsidRDefault="00521F6F" w:rsidP="009314C9">
            <w:pPr>
              <w:contextualSpacing/>
              <w:jc w:val="center"/>
              <w:rPr>
                <w:rFonts w:asciiTheme="minorBidi" w:hAnsiTheme="minorBidi" w:cstheme="minorBidi"/>
                <w:sz w:val="20"/>
                <w:szCs w:val="20"/>
                <w:lang w:val="en-GB"/>
              </w:rPr>
            </w:pPr>
            <w:r w:rsidRPr="00F3039A">
              <w:rPr>
                <w:rFonts w:asciiTheme="minorBidi" w:hAnsiTheme="minorBidi" w:cstheme="minorBidi"/>
                <w:sz w:val="20"/>
                <w:szCs w:val="20"/>
                <w:lang w:val="en-GB"/>
              </w:rPr>
              <w:t>NGO-90558</w:t>
            </w:r>
          </w:p>
        </w:tc>
      </w:tr>
      <w:tr w:rsidR="00521F6F" w:rsidRPr="00F3039A" w14:paraId="712F69D1" w14:textId="77777777" w:rsidTr="006B723A">
        <w:trPr>
          <w:trHeight w:val="576"/>
        </w:trPr>
        <w:tc>
          <w:tcPr>
            <w:tcW w:w="3058" w:type="pct"/>
            <w:shd w:val="clear" w:color="auto" w:fill="DEEAF6" w:themeFill="accent1" w:themeFillTint="33"/>
            <w:vAlign w:val="center"/>
          </w:tcPr>
          <w:p w14:paraId="7980919F" w14:textId="77777777" w:rsidR="00521F6F" w:rsidRPr="00F3039A" w:rsidRDefault="00521F6F" w:rsidP="009314C9">
            <w:pPr>
              <w:contextualSpacing/>
              <w:rPr>
                <w:rFonts w:asciiTheme="minorBidi" w:hAnsiTheme="minorBidi" w:cstheme="minorBidi"/>
                <w:b/>
                <w:bCs/>
                <w:sz w:val="20"/>
                <w:szCs w:val="20"/>
              </w:rPr>
            </w:pPr>
            <w:r w:rsidRPr="00F3039A">
              <w:rPr>
                <w:rFonts w:asciiTheme="minorBidi" w:hAnsiTheme="minorBidi" w:cstheme="minorBidi"/>
                <w:b/>
                <w:bCs/>
                <w:sz w:val="20"/>
                <w:szCs w:val="20"/>
                <w:lang w:val="en-GB"/>
              </w:rPr>
              <w:t>Фондация</w:t>
            </w:r>
            <w:r w:rsidRPr="00F3039A">
              <w:rPr>
                <w:rFonts w:asciiTheme="minorBidi" w:hAnsiTheme="minorBidi" w:cstheme="minorBidi"/>
                <w:b/>
                <w:bCs/>
                <w:sz w:val="20"/>
                <w:szCs w:val="20"/>
              </w:rPr>
              <w:t xml:space="preserve"> </w:t>
            </w:r>
            <w:r w:rsidRPr="00F3039A">
              <w:rPr>
                <w:rFonts w:asciiTheme="minorBidi" w:hAnsiTheme="minorBidi" w:cstheme="minorBidi"/>
                <w:b/>
                <w:bCs/>
                <w:sz w:val="20"/>
                <w:szCs w:val="20"/>
                <w:lang w:val="en-GB"/>
              </w:rPr>
              <w:t>Стойна</w:t>
            </w:r>
            <w:r w:rsidRPr="00F3039A">
              <w:rPr>
                <w:rFonts w:asciiTheme="minorBidi" w:hAnsiTheme="minorBidi" w:cstheme="minorBidi"/>
                <w:b/>
                <w:bCs/>
                <w:sz w:val="20"/>
                <w:szCs w:val="20"/>
              </w:rPr>
              <w:t xml:space="preserve"> </w:t>
            </w:r>
            <w:r w:rsidRPr="00F3039A">
              <w:rPr>
                <w:rFonts w:asciiTheme="minorBidi" w:hAnsiTheme="minorBidi" w:cstheme="minorBidi"/>
                <w:b/>
                <w:bCs/>
                <w:sz w:val="20"/>
                <w:szCs w:val="20"/>
                <w:lang w:val="en-GB"/>
              </w:rPr>
              <w:t>Кръстанова</w:t>
            </w:r>
            <w:r w:rsidRPr="00F3039A">
              <w:rPr>
                <w:rFonts w:asciiTheme="minorBidi" w:hAnsiTheme="minorBidi" w:cstheme="minorBidi"/>
                <w:b/>
                <w:bCs/>
                <w:sz w:val="20"/>
                <w:szCs w:val="20"/>
              </w:rPr>
              <w:br/>
            </w:r>
            <w:r w:rsidRPr="00F3039A">
              <w:rPr>
                <w:rFonts w:asciiTheme="minorBidi" w:hAnsiTheme="minorBidi" w:cstheme="minorBidi"/>
                <w:sz w:val="20"/>
                <w:szCs w:val="20"/>
              </w:rPr>
              <w:t>Stoyna Krastanova Foundation</w:t>
            </w:r>
          </w:p>
        </w:tc>
        <w:tc>
          <w:tcPr>
            <w:tcW w:w="1059" w:type="pct"/>
            <w:shd w:val="clear" w:color="auto" w:fill="DEEAF6" w:themeFill="accent1" w:themeFillTint="33"/>
            <w:vAlign w:val="center"/>
          </w:tcPr>
          <w:p w14:paraId="545F7CD8" w14:textId="77777777" w:rsidR="00521F6F" w:rsidRPr="00F3039A" w:rsidRDefault="00521F6F" w:rsidP="009314C9">
            <w:pPr>
              <w:contextualSpacing/>
              <w:jc w:val="center"/>
              <w:rPr>
                <w:rFonts w:asciiTheme="minorBidi" w:hAnsiTheme="minorBidi" w:cstheme="minorBidi"/>
                <w:sz w:val="20"/>
                <w:szCs w:val="20"/>
                <w:lang w:val="en-GB"/>
              </w:rPr>
            </w:pPr>
            <w:r w:rsidRPr="00F3039A">
              <w:rPr>
                <w:rFonts w:asciiTheme="minorBidi" w:hAnsiTheme="minorBidi" w:cstheme="minorBidi"/>
                <w:sz w:val="20"/>
                <w:szCs w:val="20"/>
                <w:lang w:val="en-GB"/>
              </w:rPr>
              <w:t>Bulgaria</w:t>
            </w:r>
          </w:p>
        </w:tc>
        <w:tc>
          <w:tcPr>
            <w:tcW w:w="883" w:type="pct"/>
            <w:shd w:val="clear" w:color="auto" w:fill="DEEAF6" w:themeFill="accent1" w:themeFillTint="33"/>
            <w:vAlign w:val="center"/>
          </w:tcPr>
          <w:p w14:paraId="6E453C83" w14:textId="77777777" w:rsidR="00521F6F" w:rsidRPr="00F3039A" w:rsidRDefault="00521F6F" w:rsidP="009314C9">
            <w:pPr>
              <w:contextualSpacing/>
              <w:jc w:val="center"/>
              <w:rPr>
                <w:rFonts w:asciiTheme="minorBidi" w:hAnsiTheme="minorBidi" w:cstheme="minorBidi"/>
                <w:sz w:val="20"/>
                <w:szCs w:val="20"/>
                <w:lang w:val="en-GB"/>
              </w:rPr>
            </w:pPr>
            <w:r w:rsidRPr="00F3039A">
              <w:rPr>
                <w:rFonts w:asciiTheme="minorBidi" w:hAnsiTheme="minorBidi" w:cstheme="minorBidi"/>
                <w:sz w:val="20"/>
                <w:szCs w:val="20"/>
                <w:lang w:val="en-GB"/>
              </w:rPr>
              <w:t>NGO-90571</w:t>
            </w:r>
          </w:p>
        </w:tc>
      </w:tr>
      <w:tr w:rsidR="00521F6F" w:rsidRPr="00F3039A" w14:paraId="3941D2D7" w14:textId="77777777" w:rsidTr="006B723A">
        <w:trPr>
          <w:trHeight w:val="576"/>
        </w:trPr>
        <w:tc>
          <w:tcPr>
            <w:tcW w:w="3058" w:type="pct"/>
            <w:shd w:val="clear" w:color="auto" w:fill="auto"/>
            <w:vAlign w:val="center"/>
          </w:tcPr>
          <w:p w14:paraId="42FB7D6C" w14:textId="77777777" w:rsidR="00521F6F" w:rsidRPr="00F3039A" w:rsidRDefault="00521F6F" w:rsidP="009314C9">
            <w:pPr>
              <w:widowControl w:val="0"/>
              <w:contextualSpacing/>
              <w:rPr>
                <w:rFonts w:asciiTheme="minorBidi" w:hAnsiTheme="minorBidi" w:cstheme="minorBidi"/>
                <w:b/>
                <w:bCs/>
                <w:sz w:val="20"/>
                <w:szCs w:val="20"/>
                <w:lang w:val="en-GB"/>
              </w:rPr>
            </w:pPr>
            <w:r w:rsidRPr="00F3039A">
              <w:rPr>
                <w:rFonts w:asciiTheme="minorBidi" w:hAnsiTheme="minorBidi" w:cstheme="minorBidi"/>
                <w:b/>
                <w:bCs/>
                <w:sz w:val="20"/>
                <w:szCs w:val="20"/>
                <w:rtl/>
                <w:lang w:val="en-GB"/>
              </w:rPr>
              <w:t>جمعية حرفة التعاونية</w:t>
            </w:r>
          </w:p>
          <w:p w14:paraId="450773DF" w14:textId="77777777" w:rsidR="00521F6F" w:rsidRPr="00F3039A" w:rsidRDefault="00521F6F" w:rsidP="009314C9">
            <w:pPr>
              <w:contextualSpacing/>
              <w:rPr>
                <w:rFonts w:asciiTheme="minorBidi" w:hAnsiTheme="minorBidi" w:cstheme="minorBidi"/>
                <w:sz w:val="20"/>
                <w:szCs w:val="20"/>
                <w:lang w:val="en-GB"/>
              </w:rPr>
            </w:pPr>
            <w:r w:rsidRPr="00F3039A">
              <w:rPr>
                <w:rFonts w:asciiTheme="minorBidi" w:hAnsiTheme="minorBidi" w:cstheme="minorBidi"/>
                <w:sz w:val="20"/>
                <w:szCs w:val="20"/>
                <w:lang w:val="en-GB"/>
              </w:rPr>
              <w:t>Herfah Cooperative Association</w:t>
            </w:r>
          </w:p>
        </w:tc>
        <w:tc>
          <w:tcPr>
            <w:tcW w:w="1059" w:type="pct"/>
            <w:shd w:val="clear" w:color="auto" w:fill="auto"/>
            <w:vAlign w:val="center"/>
          </w:tcPr>
          <w:p w14:paraId="49F51178" w14:textId="77777777" w:rsidR="00521F6F" w:rsidRPr="00F3039A" w:rsidRDefault="00521F6F" w:rsidP="009314C9">
            <w:pPr>
              <w:contextualSpacing/>
              <w:jc w:val="center"/>
              <w:rPr>
                <w:rFonts w:asciiTheme="minorBidi" w:hAnsiTheme="minorBidi" w:cstheme="minorBidi"/>
                <w:sz w:val="20"/>
                <w:szCs w:val="20"/>
                <w:lang w:val="en-GB"/>
              </w:rPr>
            </w:pPr>
            <w:r w:rsidRPr="00F3039A">
              <w:rPr>
                <w:rFonts w:asciiTheme="minorBidi" w:hAnsiTheme="minorBidi" w:cstheme="minorBidi"/>
                <w:sz w:val="20"/>
                <w:szCs w:val="20"/>
                <w:lang w:val="en-GB"/>
              </w:rPr>
              <w:t>Saudi Arabia</w:t>
            </w:r>
          </w:p>
        </w:tc>
        <w:tc>
          <w:tcPr>
            <w:tcW w:w="883" w:type="pct"/>
            <w:shd w:val="clear" w:color="auto" w:fill="auto"/>
            <w:vAlign w:val="center"/>
          </w:tcPr>
          <w:p w14:paraId="59AC122B" w14:textId="77777777" w:rsidR="00521F6F" w:rsidRPr="00F3039A" w:rsidRDefault="00521F6F" w:rsidP="009314C9">
            <w:pPr>
              <w:contextualSpacing/>
              <w:jc w:val="center"/>
              <w:rPr>
                <w:rFonts w:asciiTheme="minorBidi" w:hAnsiTheme="minorBidi" w:cstheme="minorBidi"/>
                <w:sz w:val="20"/>
                <w:szCs w:val="20"/>
                <w:lang w:val="en-GB"/>
              </w:rPr>
            </w:pPr>
            <w:r w:rsidRPr="00F3039A">
              <w:rPr>
                <w:rFonts w:asciiTheme="minorBidi" w:hAnsiTheme="minorBidi" w:cstheme="minorBidi"/>
                <w:sz w:val="20"/>
                <w:szCs w:val="20"/>
                <w:lang w:val="en-GB"/>
              </w:rPr>
              <w:t>NGO-90591</w:t>
            </w:r>
          </w:p>
        </w:tc>
      </w:tr>
      <w:tr w:rsidR="00521F6F" w:rsidRPr="00F3039A" w14:paraId="5E4A1585" w14:textId="77777777" w:rsidTr="006B723A">
        <w:trPr>
          <w:trHeight w:val="576"/>
        </w:trPr>
        <w:tc>
          <w:tcPr>
            <w:tcW w:w="3058" w:type="pct"/>
            <w:shd w:val="clear" w:color="auto" w:fill="DEEAF6" w:themeFill="accent1" w:themeFillTint="33"/>
            <w:vAlign w:val="center"/>
          </w:tcPr>
          <w:p w14:paraId="2D424611" w14:textId="77777777" w:rsidR="00521F6F" w:rsidRPr="00F3039A" w:rsidRDefault="00521F6F" w:rsidP="009314C9">
            <w:pPr>
              <w:contextualSpacing/>
              <w:rPr>
                <w:rFonts w:asciiTheme="minorBidi" w:hAnsiTheme="minorBidi" w:cstheme="minorBidi"/>
                <w:b/>
                <w:bCs/>
                <w:sz w:val="20"/>
                <w:szCs w:val="20"/>
                <w:lang w:val="en-GB"/>
              </w:rPr>
            </w:pPr>
            <w:bookmarkStart w:id="3" w:name="_Hlk150107361"/>
            <w:r w:rsidRPr="00F3039A">
              <w:rPr>
                <w:rFonts w:asciiTheme="minorBidi" w:hAnsiTheme="minorBidi" w:cstheme="minorBidi"/>
                <w:b/>
                <w:bCs/>
                <w:sz w:val="20"/>
                <w:szCs w:val="20"/>
                <w:rtl/>
                <w:lang w:val="en-GB"/>
              </w:rPr>
              <w:t>جمعية الصعيد للتربية والتنمية</w:t>
            </w:r>
          </w:p>
          <w:p w14:paraId="6286CA59" w14:textId="77777777" w:rsidR="00521F6F" w:rsidRPr="00F3039A" w:rsidRDefault="00521F6F" w:rsidP="009314C9">
            <w:pPr>
              <w:contextualSpacing/>
              <w:rPr>
                <w:rFonts w:asciiTheme="minorBidi" w:hAnsiTheme="minorBidi" w:cstheme="minorBidi"/>
                <w:sz w:val="20"/>
                <w:szCs w:val="20"/>
                <w:lang w:val="en-GB"/>
              </w:rPr>
            </w:pPr>
            <w:r w:rsidRPr="00F3039A">
              <w:rPr>
                <w:rFonts w:asciiTheme="minorBidi" w:hAnsiTheme="minorBidi" w:cstheme="minorBidi"/>
                <w:sz w:val="20"/>
                <w:szCs w:val="20"/>
                <w:lang w:val="en-GB"/>
              </w:rPr>
              <w:t>Association of Upper Egypt for Education and Development</w:t>
            </w:r>
          </w:p>
        </w:tc>
        <w:tc>
          <w:tcPr>
            <w:tcW w:w="1059" w:type="pct"/>
            <w:shd w:val="clear" w:color="auto" w:fill="DEEAF6" w:themeFill="accent1" w:themeFillTint="33"/>
            <w:vAlign w:val="center"/>
          </w:tcPr>
          <w:p w14:paraId="680D9FCE" w14:textId="77777777" w:rsidR="00521F6F" w:rsidRPr="00F3039A" w:rsidRDefault="00521F6F" w:rsidP="009314C9">
            <w:pPr>
              <w:contextualSpacing/>
              <w:jc w:val="center"/>
              <w:rPr>
                <w:rFonts w:asciiTheme="minorBidi" w:hAnsiTheme="minorBidi" w:cstheme="minorBidi"/>
                <w:sz w:val="20"/>
                <w:szCs w:val="20"/>
                <w:lang w:val="en-GB"/>
              </w:rPr>
            </w:pPr>
            <w:r w:rsidRPr="00F3039A">
              <w:rPr>
                <w:rFonts w:asciiTheme="minorBidi" w:hAnsiTheme="minorBidi" w:cstheme="minorBidi"/>
                <w:sz w:val="20"/>
                <w:szCs w:val="20"/>
                <w:lang w:val="en-GB"/>
              </w:rPr>
              <w:t>Egypt</w:t>
            </w:r>
          </w:p>
        </w:tc>
        <w:tc>
          <w:tcPr>
            <w:tcW w:w="883" w:type="pct"/>
            <w:shd w:val="clear" w:color="auto" w:fill="DEEAF6" w:themeFill="accent1" w:themeFillTint="33"/>
            <w:vAlign w:val="center"/>
          </w:tcPr>
          <w:p w14:paraId="6DB89C1E" w14:textId="77777777" w:rsidR="00521F6F" w:rsidRPr="00F3039A" w:rsidRDefault="00521F6F" w:rsidP="009314C9">
            <w:pPr>
              <w:pStyle w:val="Titre7"/>
              <w:jc w:val="center"/>
              <w:rPr>
                <w:rFonts w:asciiTheme="minorBidi" w:hAnsiTheme="minorBidi" w:cstheme="minorBidi"/>
                <w:i w:val="0"/>
                <w:iCs w:val="0"/>
                <w:color w:val="auto"/>
                <w:sz w:val="20"/>
                <w:szCs w:val="20"/>
                <w:lang w:val="en-GB"/>
              </w:rPr>
            </w:pPr>
            <w:r w:rsidRPr="00F3039A">
              <w:rPr>
                <w:rFonts w:asciiTheme="minorBidi" w:hAnsiTheme="minorBidi" w:cstheme="minorBidi"/>
                <w:i w:val="0"/>
                <w:iCs w:val="0"/>
                <w:color w:val="auto"/>
                <w:sz w:val="20"/>
                <w:szCs w:val="20"/>
                <w:lang w:val="en-GB"/>
              </w:rPr>
              <w:t>NGO-90535</w:t>
            </w:r>
          </w:p>
        </w:tc>
      </w:tr>
      <w:tr w:rsidR="00521F6F" w:rsidRPr="00F3039A" w14:paraId="18EE8664" w14:textId="77777777" w:rsidTr="006B723A">
        <w:trPr>
          <w:trHeight w:val="576"/>
        </w:trPr>
        <w:tc>
          <w:tcPr>
            <w:tcW w:w="3058" w:type="pct"/>
            <w:shd w:val="clear" w:color="auto" w:fill="auto"/>
            <w:vAlign w:val="center"/>
          </w:tcPr>
          <w:p w14:paraId="5B287B70" w14:textId="77777777" w:rsidR="00521F6F" w:rsidRPr="00F3039A" w:rsidRDefault="00521F6F" w:rsidP="009314C9">
            <w:pPr>
              <w:contextualSpacing/>
              <w:rPr>
                <w:rFonts w:asciiTheme="minorBidi" w:hAnsiTheme="minorBidi" w:cstheme="minorBidi"/>
                <w:b/>
                <w:bCs/>
                <w:sz w:val="20"/>
                <w:szCs w:val="20"/>
              </w:rPr>
            </w:pPr>
            <w:r w:rsidRPr="00F3039A">
              <w:rPr>
                <w:rFonts w:asciiTheme="minorBidi" w:hAnsiTheme="minorBidi" w:cstheme="minorBidi"/>
                <w:b/>
                <w:bCs/>
                <w:sz w:val="20"/>
                <w:szCs w:val="20"/>
                <w:rtl/>
                <w:lang w:val="en-GB"/>
              </w:rPr>
              <w:t>جمعيّة صيانة القصور والمحافظة على التّراث ببني خداش</w:t>
            </w:r>
          </w:p>
          <w:p w14:paraId="3B1455A6" w14:textId="77777777" w:rsidR="00521F6F" w:rsidRPr="00F3039A" w:rsidRDefault="00521F6F" w:rsidP="009314C9">
            <w:pPr>
              <w:contextualSpacing/>
              <w:rPr>
                <w:rFonts w:asciiTheme="minorBidi" w:hAnsiTheme="minorBidi" w:cstheme="minorBidi"/>
                <w:sz w:val="20"/>
                <w:szCs w:val="20"/>
              </w:rPr>
            </w:pPr>
            <w:r w:rsidRPr="00F3039A">
              <w:rPr>
                <w:rFonts w:asciiTheme="minorBidi" w:hAnsiTheme="minorBidi" w:cstheme="minorBidi"/>
                <w:sz w:val="20"/>
                <w:szCs w:val="20"/>
              </w:rPr>
              <w:t>Association de protection de ksour et sauvegarde du patrimoine à Béni Kheddache</w:t>
            </w:r>
          </w:p>
        </w:tc>
        <w:tc>
          <w:tcPr>
            <w:tcW w:w="1059" w:type="pct"/>
            <w:shd w:val="clear" w:color="auto" w:fill="auto"/>
            <w:vAlign w:val="center"/>
          </w:tcPr>
          <w:p w14:paraId="1626929B" w14:textId="77777777" w:rsidR="00521F6F" w:rsidRPr="00F3039A" w:rsidRDefault="00521F6F" w:rsidP="009314C9">
            <w:pPr>
              <w:contextualSpacing/>
              <w:jc w:val="center"/>
              <w:rPr>
                <w:rFonts w:asciiTheme="minorBidi" w:hAnsiTheme="minorBidi" w:cstheme="minorBidi"/>
                <w:sz w:val="20"/>
                <w:szCs w:val="20"/>
                <w:lang w:val="en-GB"/>
              </w:rPr>
            </w:pPr>
            <w:r w:rsidRPr="00F3039A">
              <w:rPr>
                <w:rFonts w:asciiTheme="minorBidi" w:hAnsiTheme="minorBidi" w:cstheme="minorBidi"/>
                <w:sz w:val="20"/>
                <w:szCs w:val="20"/>
                <w:lang w:val="en-GB"/>
              </w:rPr>
              <w:t>Tunisia</w:t>
            </w:r>
          </w:p>
        </w:tc>
        <w:tc>
          <w:tcPr>
            <w:tcW w:w="883" w:type="pct"/>
            <w:shd w:val="clear" w:color="auto" w:fill="auto"/>
            <w:vAlign w:val="center"/>
          </w:tcPr>
          <w:p w14:paraId="60D2FADB" w14:textId="77777777" w:rsidR="00521F6F" w:rsidRPr="00F3039A" w:rsidRDefault="00521F6F" w:rsidP="009314C9">
            <w:pPr>
              <w:contextualSpacing/>
              <w:jc w:val="center"/>
              <w:rPr>
                <w:rFonts w:asciiTheme="minorBidi" w:hAnsiTheme="minorBidi" w:cstheme="minorBidi"/>
                <w:sz w:val="20"/>
                <w:szCs w:val="20"/>
                <w:lang w:val="en-GB"/>
              </w:rPr>
            </w:pPr>
            <w:r w:rsidRPr="00F3039A">
              <w:rPr>
                <w:rFonts w:asciiTheme="minorBidi" w:hAnsiTheme="minorBidi" w:cstheme="minorBidi"/>
                <w:sz w:val="20"/>
                <w:szCs w:val="20"/>
                <w:lang w:val="en-GB"/>
              </w:rPr>
              <w:t>NGO-90534</w:t>
            </w:r>
          </w:p>
        </w:tc>
      </w:tr>
      <w:tr w:rsidR="00521F6F" w:rsidRPr="00F3039A" w14:paraId="27805136" w14:textId="77777777" w:rsidTr="006B723A">
        <w:trPr>
          <w:trHeight w:val="576"/>
        </w:trPr>
        <w:tc>
          <w:tcPr>
            <w:tcW w:w="3058" w:type="pct"/>
            <w:shd w:val="clear" w:color="auto" w:fill="DEEAF6" w:themeFill="accent1" w:themeFillTint="33"/>
            <w:vAlign w:val="center"/>
          </w:tcPr>
          <w:p w14:paraId="11A67436" w14:textId="77777777" w:rsidR="00521F6F" w:rsidRPr="00F3039A" w:rsidRDefault="00521F6F" w:rsidP="009314C9">
            <w:pPr>
              <w:contextualSpacing/>
              <w:rPr>
                <w:rFonts w:asciiTheme="minorBidi" w:hAnsiTheme="minorBidi" w:cstheme="minorBidi"/>
                <w:b/>
                <w:bCs/>
                <w:sz w:val="20"/>
                <w:szCs w:val="20"/>
                <w:lang w:val="en-GB"/>
              </w:rPr>
            </w:pPr>
            <w:r w:rsidRPr="00F3039A">
              <w:rPr>
                <w:rFonts w:asciiTheme="minorBidi" w:hAnsiTheme="minorBidi" w:cstheme="minorBidi"/>
                <w:b/>
                <w:bCs/>
                <w:sz w:val="20"/>
                <w:szCs w:val="20"/>
                <w:rtl/>
                <w:lang w:val="en-GB"/>
              </w:rPr>
              <w:t>مؤسسة راقودة للفن والتراث</w:t>
            </w:r>
          </w:p>
          <w:p w14:paraId="39C4F2D7" w14:textId="77777777" w:rsidR="00521F6F" w:rsidRPr="00F3039A" w:rsidRDefault="00521F6F" w:rsidP="009314C9">
            <w:pPr>
              <w:contextualSpacing/>
              <w:rPr>
                <w:rFonts w:asciiTheme="minorBidi" w:hAnsiTheme="minorBidi" w:cstheme="minorBidi"/>
                <w:sz w:val="20"/>
                <w:szCs w:val="20"/>
                <w:lang w:val="en-GB"/>
              </w:rPr>
            </w:pPr>
            <w:r w:rsidRPr="00F3039A">
              <w:rPr>
                <w:rFonts w:asciiTheme="minorBidi" w:hAnsiTheme="minorBidi" w:cstheme="minorBidi"/>
                <w:sz w:val="20"/>
                <w:szCs w:val="20"/>
                <w:lang w:val="en-GB"/>
              </w:rPr>
              <w:t>Raquda Foundation for Art and Heritage</w:t>
            </w:r>
          </w:p>
        </w:tc>
        <w:tc>
          <w:tcPr>
            <w:tcW w:w="1059" w:type="pct"/>
            <w:shd w:val="clear" w:color="auto" w:fill="DEEAF6" w:themeFill="accent1" w:themeFillTint="33"/>
            <w:vAlign w:val="center"/>
          </w:tcPr>
          <w:p w14:paraId="53A4F6EC" w14:textId="77777777" w:rsidR="00521F6F" w:rsidRPr="00F3039A" w:rsidRDefault="00521F6F" w:rsidP="009314C9">
            <w:pPr>
              <w:pStyle w:val="Titre7"/>
              <w:jc w:val="center"/>
              <w:rPr>
                <w:rFonts w:asciiTheme="minorBidi" w:hAnsiTheme="minorBidi" w:cstheme="minorBidi"/>
                <w:i w:val="0"/>
                <w:iCs w:val="0"/>
                <w:color w:val="auto"/>
                <w:sz w:val="20"/>
                <w:szCs w:val="20"/>
                <w:lang w:val="en-GB"/>
              </w:rPr>
            </w:pPr>
            <w:r w:rsidRPr="00F3039A">
              <w:rPr>
                <w:rFonts w:asciiTheme="minorBidi" w:hAnsiTheme="minorBidi" w:cstheme="minorBidi"/>
                <w:i w:val="0"/>
                <w:iCs w:val="0"/>
                <w:color w:val="auto"/>
                <w:sz w:val="20"/>
                <w:szCs w:val="20"/>
                <w:lang w:val="en-GB"/>
              </w:rPr>
              <w:t>Egypt</w:t>
            </w:r>
          </w:p>
        </w:tc>
        <w:tc>
          <w:tcPr>
            <w:tcW w:w="883" w:type="pct"/>
            <w:shd w:val="clear" w:color="auto" w:fill="DEEAF6" w:themeFill="accent1" w:themeFillTint="33"/>
            <w:vAlign w:val="center"/>
          </w:tcPr>
          <w:p w14:paraId="7AA1AD3F" w14:textId="77777777" w:rsidR="00521F6F" w:rsidRPr="00F3039A" w:rsidRDefault="00521F6F" w:rsidP="009314C9">
            <w:pPr>
              <w:contextualSpacing/>
              <w:jc w:val="center"/>
              <w:rPr>
                <w:rFonts w:asciiTheme="minorBidi" w:hAnsiTheme="minorBidi" w:cstheme="minorBidi"/>
                <w:sz w:val="20"/>
                <w:szCs w:val="20"/>
                <w:lang w:val="en-GB"/>
              </w:rPr>
            </w:pPr>
            <w:r w:rsidRPr="00F3039A">
              <w:rPr>
                <w:rFonts w:asciiTheme="minorBidi" w:hAnsiTheme="minorBidi" w:cstheme="minorBidi"/>
                <w:sz w:val="20"/>
                <w:szCs w:val="20"/>
                <w:lang w:val="en-GB"/>
              </w:rPr>
              <w:t>NGO-90581</w:t>
            </w:r>
          </w:p>
        </w:tc>
      </w:tr>
      <w:tr w:rsidR="00521F6F" w:rsidRPr="00F3039A" w14:paraId="4517BF5C" w14:textId="77777777" w:rsidTr="006B723A">
        <w:trPr>
          <w:trHeight w:val="576"/>
        </w:trPr>
        <w:tc>
          <w:tcPr>
            <w:tcW w:w="3058" w:type="pct"/>
            <w:shd w:val="clear" w:color="auto" w:fill="auto"/>
            <w:vAlign w:val="center"/>
          </w:tcPr>
          <w:p w14:paraId="00B839E5" w14:textId="77777777" w:rsidR="00521F6F" w:rsidRPr="00F3039A" w:rsidRDefault="00521F6F" w:rsidP="009314C9">
            <w:pPr>
              <w:contextualSpacing/>
              <w:rPr>
                <w:rFonts w:asciiTheme="minorBidi" w:hAnsiTheme="minorBidi" w:cstheme="minorBidi"/>
                <w:sz w:val="20"/>
                <w:szCs w:val="20"/>
              </w:rPr>
            </w:pPr>
            <w:r w:rsidRPr="00F3039A">
              <w:rPr>
                <w:rFonts w:asciiTheme="minorBidi" w:hAnsiTheme="minorBidi" w:cstheme="minorBidi"/>
                <w:b/>
                <w:bCs/>
                <w:sz w:val="20"/>
                <w:szCs w:val="20"/>
                <w:rtl/>
                <w:lang w:val="en-GB"/>
              </w:rPr>
              <w:t>مؤسسه فرهنگ</w:t>
            </w:r>
            <w:r w:rsidRPr="00F3039A">
              <w:rPr>
                <w:rFonts w:asciiTheme="minorBidi" w:hAnsiTheme="minorBidi" w:cstheme="minorBidi" w:hint="cs"/>
                <w:b/>
                <w:bCs/>
                <w:sz w:val="20"/>
                <w:szCs w:val="20"/>
                <w:rtl/>
                <w:lang w:val="en-GB"/>
              </w:rPr>
              <w:t>ی</w:t>
            </w:r>
            <w:r w:rsidRPr="00F3039A">
              <w:rPr>
                <w:rFonts w:asciiTheme="minorBidi" w:hAnsiTheme="minorBidi" w:cstheme="minorBidi"/>
                <w:b/>
                <w:bCs/>
                <w:sz w:val="20"/>
                <w:szCs w:val="20"/>
                <w:rtl/>
                <w:lang w:val="en-GB"/>
              </w:rPr>
              <w:t xml:space="preserve"> هنر</w:t>
            </w:r>
            <w:r w:rsidRPr="00F3039A">
              <w:rPr>
                <w:rFonts w:asciiTheme="minorBidi" w:hAnsiTheme="minorBidi" w:cstheme="minorBidi" w:hint="cs"/>
                <w:b/>
                <w:bCs/>
                <w:sz w:val="20"/>
                <w:szCs w:val="20"/>
                <w:rtl/>
                <w:lang w:val="en-GB"/>
              </w:rPr>
              <w:t>ی</w:t>
            </w:r>
            <w:r w:rsidRPr="00F3039A">
              <w:rPr>
                <w:rFonts w:asciiTheme="minorBidi" w:hAnsiTheme="minorBidi" w:cstheme="minorBidi"/>
                <w:b/>
                <w:bCs/>
                <w:sz w:val="20"/>
                <w:szCs w:val="20"/>
                <w:rtl/>
                <w:lang w:val="en-GB"/>
              </w:rPr>
              <w:t xml:space="preserve"> مانا نقش شهاب</w:t>
            </w:r>
          </w:p>
          <w:p w14:paraId="3691BF4A" w14:textId="77777777" w:rsidR="00521F6F" w:rsidRPr="00F3039A" w:rsidRDefault="00521F6F" w:rsidP="009314C9">
            <w:pPr>
              <w:contextualSpacing/>
              <w:rPr>
                <w:rFonts w:asciiTheme="minorBidi" w:hAnsiTheme="minorBidi" w:cstheme="minorBidi"/>
                <w:b/>
                <w:bCs/>
                <w:sz w:val="20"/>
                <w:szCs w:val="20"/>
                <w:lang w:val="en-GB"/>
              </w:rPr>
            </w:pPr>
            <w:r w:rsidRPr="00F3039A">
              <w:rPr>
                <w:rFonts w:asciiTheme="minorBidi" w:hAnsiTheme="minorBidi" w:cstheme="minorBidi"/>
                <w:sz w:val="20"/>
                <w:szCs w:val="20"/>
                <w:lang w:val="en-GB"/>
              </w:rPr>
              <w:t>Mana Naqsh Shahab Art &amp; Culture Institute</w:t>
            </w:r>
          </w:p>
        </w:tc>
        <w:tc>
          <w:tcPr>
            <w:tcW w:w="1059" w:type="pct"/>
            <w:shd w:val="clear" w:color="auto" w:fill="auto"/>
            <w:vAlign w:val="center"/>
          </w:tcPr>
          <w:p w14:paraId="10643D19" w14:textId="77777777" w:rsidR="00521F6F" w:rsidRPr="00F3039A" w:rsidRDefault="00521F6F" w:rsidP="009314C9">
            <w:pPr>
              <w:contextualSpacing/>
              <w:jc w:val="center"/>
              <w:rPr>
                <w:rFonts w:asciiTheme="minorBidi" w:hAnsiTheme="minorBidi" w:cstheme="minorBidi"/>
                <w:sz w:val="20"/>
                <w:szCs w:val="20"/>
                <w:lang w:val="en-GB"/>
              </w:rPr>
            </w:pPr>
            <w:r w:rsidRPr="00F3039A">
              <w:rPr>
                <w:rFonts w:asciiTheme="minorBidi" w:hAnsiTheme="minorBidi" w:cstheme="minorBidi"/>
                <w:sz w:val="20"/>
                <w:szCs w:val="20"/>
                <w:lang w:val="en-GB"/>
              </w:rPr>
              <w:t>Iran (Islamic Republic of)</w:t>
            </w:r>
          </w:p>
        </w:tc>
        <w:tc>
          <w:tcPr>
            <w:tcW w:w="883" w:type="pct"/>
            <w:shd w:val="clear" w:color="auto" w:fill="auto"/>
            <w:vAlign w:val="center"/>
          </w:tcPr>
          <w:p w14:paraId="7088A466" w14:textId="77777777" w:rsidR="00521F6F" w:rsidRPr="00F3039A" w:rsidRDefault="00521F6F" w:rsidP="009314C9">
            <w:pPr>
              <w:pStyle w:val="Titre7"/>
              <w:jc w:val="center"/>
              <w:rPr>
                <w:rFonts w:asciiTheme="minorBidi" w:hAnsiTheme="minorBidi" w:cstheme="minorBidi"/>
                <w:i w:val="0"/>
                <w:iCs w:val="0"/>
                <w:color w:val="auto"/>
                <w:sz w:val="20"/>
                <w:szCs w:val="20"/>
                <w:lang w:val="en-GB"/>
              </w:rPr>
            </w:pPr>
            <w:r w:rsidRPr="00F3039A">
              <w:rPr>
                <w:rFonts w:asciiTheme="minorBidi" w:hAnsiTheme="minorBidi" w:cstheme="minorBidi"/>
                <w:i w:val="0"/>
                <w:iCs w:val="0"/>
                <w:color w:val="auto"/>
                <w:sz w:val="20"/>
                <w:szCs w:val="20"/>
                <w:lang w:val="en-GB"/>
              </w:rPr>
              <w:t>NGO-90551</w:t>
            </w:r>
          </w:p>
        </w:tc>
      </w:tr>
      <w:tr w:rsidR="00521F6F" w:rsidRPr="00F3039A" w14:paraId="2869FB70" w14:textId="77777777" w:rsidTr="006B723A">
        <w:trPr>
          <w:trHeight w:val="576"/>
        </w:trPr>
        <w:tc>
          <w:tcPr>
            <w:tcW w:w="3058" w:type="pct"/>
            <w:shd w:val="clear" w:color="auto" w:fill="DEEAF6" w:themeFill="accent1" w:themeFillTint="33"/>
            <w:vAlign w:val="center"/>
          </w:tcPr>
          <w:p w14:paraId="3B151240" w14:textId="77777777" w:rsidR="00521F6F" w:rsidRPr="00F3039A" w:rsidRDefault="00521F6F" w:rsidP="009314C9">
            <w:pPr>
              <w:contextualSpacing/>
              <w:rPr>
                <w:rFonts w:asciiTheme="minorBidi" w:hAnsiTheme="minorBidi" w:cstheme="minorBidi"/>
                <w:b/>
                <w:bCs/>
                <w:sz w:val="20"/>
                <w:szCs w:val="20"/>
              </w:rPr>
            </w:pPr>
            <w:r w:rsidRPr="00F3039A">
              <w:rPr>
                <w:rFonts w:ascii="Nirmala UI" w:hAnsi="Nirmala UI" w:cs="Nirmala UI"/>
                <w:b/>
                <w:bCs/>
                <w:sz w:val="20"/>
                <w:szCs w:val="20"/>
                <w:cs/>
                <w:lang w:val="en-GB" w:bidi="kn-IN"/>
              </w:rPr>
              <w:t>ಕರ್ನಾಟಕ</w:t>
            </w:r>
            <w:r w:rsidRPr="00F3039A">
              <w:rPr>
                <w:rFonts w:asciiTheme="minorBidi" w:hAnsiTheme="minorBidi" w:cstheme="minorBidi"/>
                <w:b/>
                <w:bCs/>
                <w:sz w:val="20"/>
                <w:szCs w:val="20"/>
                <w:cs/>
                <w:lang w:val="en-GB" w:bidi="kn-IN"/>
              </w:rPr>
              <w:t xml:space="preserve"> </w:t>
            </w:r>
            <w:r w:rsidRPr="00F3039A">
              <w:rPr>
                <w:rFonts w:ascii="Nirmala UI" w:hAnsi="Nirmala UI" w:cs="Nirmala UI"/>
                <w:b/>
                <w:bCs/>
                <w:sz w:val="20"/>
                <w:szCs w:val="20"/>
                <w:cs/>
                <w:lang w:val="en-GB" w:bidi="kn-IN"/>
              </w:rPr>
              <w:t>ಜಾನಪದ</w:t>
            </w:r>
            <w:r w:rsidRPr="00F3039A">
              <w:rPr>
                <w:rFonts w:asciiTheme="minorBidi" w:hAnsiTheme="minorBidi" w:cstheme="minorBidi"/>
                <w:b/>
                <w:bCs/>
                <w:sz w:val="20"/>
                <w:szCs w:val="20"/>
                <w:cs/>
                <w:lang w:val="en-GB" w:bidi="kn-IN"/>
              </w:rPr>
              <w:t xml:space="preserve"> </w:t>
            </w:r>
            <w:r w:rsidRPr="00F3039A">
              <w:rPr>
                <w:rFonts w:ascii="Nirmala UI" w:hAnsi="Nirmala UI" w:cs="Nirmala UI"/>
                <w:b/>
                <w:bCs/>
                <w:sz w:val="20"/>
                <w:szCs w:val="20"/>
                <w:cs/>
                <w:lang w:val="en-GB" w:bidi="kn-IN"/>
              </w:rPr>
              <w:t>ಪರಿಷತ್ತು</w:t>
            </w:r>
          </w:p>
          <w:p w14:paraId="3269F552" w14:textId="77777777" w:rsidR="00521F6F" w:rsidRPr="00F3039A" w:rsidRDefault="00521F6F" w:rsidP="009314C9">
            <w:pPr>
              <w:contextualSpacing/>
              <w:rPr>
                <w:rFonts w:asciiTheme="minorBidi" w:hAnsiTheme="minorBidi" w:cstheme="minorBidi"/>
                <w:sz w:val="20"/>
                <w:szCs w:val="20"/>
              </w:rPr>
            </w:pPr>
            <w:r w:rsidRPr="00F3039A">
              <w:rPr>
                <w:rFonts w:asciiTheme="minorBidi" w:hAnsiTheme="minorBidi" w:cstheme="minorBidi"/>
                <w:sz w:val="20"/>
                <w:szCs w:val="20"/>
              </w:rPr>
              <w:t>Karnataka Janapada Parishath</w:t>
            </w:r>
          </w:p>
        </w:tc>
        <w:tc>
          <w:tcPr>
            <w:tcW w:w="1059" w:type="pct"/>
            <w:shd w:val="clear" w:color="auto" w:fill="DEEAF6" w:themeFill="accent1" w:themeFillTint="33"/>
            <w:vAlign w:val="center"/>
          </w:tcPr>
          <w:p w14:paraId="25F51CFD" w14:textId="77777777" w:rsidR="00521F6F" w:rsidRPr="00F3039A" w:rsidRDefault="00521F6F" w:rsidP="009314C9">
            <w:pPr>
              <w:pStyle w:val="Titre7"/>
              <w:jc w:val="center"/>
              <w:rPr>
                <w:rFonts w:asciiTheme="minorBidi" w:hAnsiTheme="minorBidi" w:cstheme="minorBidi"/>
                <w:i w:val="0"/>
                <w:iCs w:val="0"/>
                <w:color w:val="auto"/>
                <w:sz w:val="20"/>
                <w:szCs w:val="20"/>
                <w:lang w:val="en-GB"/>
              </w:rPr>
            </w:pPr>
            <w:r w:rsidRPr="00F3039A">
              <w:rPr>
                <w:rFonts w:asciiTheme="minorBidi" w:hAnsiTheme="minorBidi" w:cstheme="minorBidi"/>
                <w:i w:val="0"/>
                <w:iCs w:val="0"/>
                <w:color w:val="auto"/>
                <w:sz w:val="20"/>
                <w:szCs w:val="20"/>
                <w:lang w:val="en-GB"/>
              </w:rPr>
              <w:t>India</w:t>
            </w:r>
          </w:p>
        </w:tc>
        <w:tc>
          <w:tcPr>
            <w:tcW w:w="883" w:type="pct"/>
            <w:shd w:val="clear" w:color="auto" w:fill="DEEAF6" w:themeFill="accent1" w:themeFillTint="33"/>
            <w:vAlign w:val="center"/>
          </w:tcPr>
          <w:p w14:paraId="4765D35A" w14:textId="77777777" w:rsidR="00521F6F" w:rsidRPr="00F3039A" w:rsidRDefault="00521F6F" w:rsidP="009314C9">
            <w:pPr>
              <w:contextualSpacing/>
              <w:jc w:val="center"/>
              <w:rPr>
                <w:rFonts w:asciiTheme="minorBidi" w:hAnsiTheme="minorBidi" w:cstheme="minorBidi"/>
                <w:sz w:val="20"/>
                <w:szCs w:val="20"/>
                <w:lang w:val="en-GB"/>
              </w:rPr>
            </w:pPr>
            <w:r w:rsidRPr="00F3039A">
              <w:rPr>
                <w:rFonts w:asciiTheme="minorBidi" w:hAnsiTheme="minorBidi" w:cstheme="minorBidi"/>
                <w:sz w:val="20"/>
                <w:szCs w:val="20"/>
                <w:lang w:val="en-GB"/>
              </w:rPr>
              <w:t>NGO-90550</w:t>
            </w:r>
          </w:p>
        </w:tc>
      </w:tr>
    </w:tbl>
    <w:bookmarkEnd w:id="3"/>
    <w:p w14:paraId="4D285A53" w14:textId="18B02FD0" w:rsidR="003F45CA" w:rsidRPr="00F3039A" w:rsidRDefault="003F45CA" w:rsidP="00F0628D">
      <w:pPr>
        <w:pStyle w:val="COMTitleDecision"/>
        <w:widowControl w:val="0"/>
        <w:ind w:left="0"/>
        <w:rPr>
          <w:rFonts w:eastAsia="SimSun"/>
        </w:rPr>
      </w:pPr>
      <w:r w:rsidRPr="00F3039A">
        <w:t>RESOLUTION 10.GA 9 Add.</w:t>
      </w:r>
    </w:p>
    <w:p w14:paraId="201E0A15" w14:textId="77777777" w:rsidR="003F45CA" w:rsidRPr="00F3039A" w:rsidRDefault="003F45CA" w:rsidP="00F0628D">
      <w:pPr>
        <w:pStyle w:val="COMPreambulaDecisions"/>
        <w:widowControl w:val="0"/>
        <w:ind w:left="0"/>
        <w:rPr>
          <w:rFonts w:eastAsia="SimSun"/>
        </w:rPr>
      </w:pPr>
      <w:r w:rsidRPr="00F3039A">
        <w:t>The General Assembly,</w:t>
      </w:r>
    </w:p>
    <w:p w14:paraId="3B7578A2" w14:textId="753FFD38" w:rsidR="003F45CA" w:rsidRPr="00F3039A" w:rsidRDefault="003F45CA" w:rsidP="00F0628D">
      <w:pPr>
        <w:pStyle w:val="COMParaDecision"/>
        <w:keepNext/>
        <w:widowControl w:val="0"/>
        <w:numPr>
          <w:ilvl w:val="0"/>
          <w:numId w:val="41"/>
        </w:numPr>
        <w:tabs>
          <w:tab w:val="left" w:pos="567"/>
        </w:tabs>
        <w:ind w:left="1134" w:hanging="1134"/>
      </w:pPr>
      <w:r w:rsidRPr="00F3039A">
        <w:t>Having examined</w:t>
      </w:r>
      <w:r w:rsidRPr="00F3039A">
        <w:rPr>
          <w:u w:val="none"/>
        </w:rPr>
        <w:t xml:space="preserve"> document </w:t>
      </w:r>
      <w:hyperlink r:id="rId33" w:history="1">
        <w:r w:rsidRPr="00F0628D">
          <w:rPr>
            <w:rStyle w:val="Lienhypertexte"/>
          </w:rPr>
          <w:t>LHE/24/10.GA/9 Add.</w:t>
        </w:r>
      </w:hyperlink>
      <w:r w:rsidRPr="00F3039A">
        <w:rPr>
          <w:u w:val="none"/>
        </w:rPr>
        <w:t>,</w:t>
      </w:r>
    </w:p>
    <w:p w14:paraId="24A1B0C0" w14:textId="77777777" w:rsidR="003F45CA" w:rsidRPr="00F3039A" w:rsidRDefault="003F45CA" w:rsidP="00F0628D">
      <w:pPr>
        <w:pStyle w:val="COMParaDecision"/>
        <w:keepNext/>
        <w:widowControl w:val="0"/>
        <w:numPr>
          <w:ilvl w:val="0"/>
          <w:numId w:val="42"/>
        </w:numPr>
        <w:ind w:left="567" w:hanging="567"/>
      </w:pPr>
      <w:r w:rsidRPr="00F3039A">
        <w:t>Recalling</w:t>
      </w:r>
      <w:r w:rsidRPr="00F3039A">
        <w:rPr>
          <w:u w:val="none"/>
        </w:rPr>
        <w:t xml:space="preserve"> Resolutions </w:t>
      </w:r>
      <w:hyperlink r:id="rId34" w:history="1">
        <w:r w:rsidRPr="00F3039A">
          <w:rPr>
            <w:rStyle w:val="Lienhypertexte"/>
          </w:rPr>
          <w:t>8.GA 12</w:t>
        </w:r>
      </w:hyperlink>
      <w:r w:rsidRPr="00F3039A">
        <w:rPr>
          <w:rStyle w:val="Lienhypertexte"/>
          <w:u w:val="none"/>
        </w:rPr>
        <w:t xml:space="preserve"> and </w:t>
      </w:r>
      <w:hyperlink r:id="rId35" w:history="1">
        <w:r w:rsidRPr="00F3039A">
          <w:rPr>
            <w:rStyle w:val="Lienhypertexte"/>
          </w:rPr>
          <w:t>9.GA 7</w:t>
        </w:r>
      </w:hyperlink>
      <w:r w:rsidRPr="00F3039A">
        <w:rPr>
          <w:rStyle w:val="Lienhypertexte"/>
          <w:u w:val="none"/>
        </w:rPr>
        <w:t>,</w:t>
      </w:r>
      <w:r w:rsidRPr="00F3039A">
        <w:rPr>
          <w:u w:val="none"/>
        </w:rPr>
        <w:t xml:space="preserve"> as well as Decisions </w:t>
      </w:r>
      <w:hyperlink r:id="rId36" w:history="1">
        <w:r w:rsidRPr="00F3039A">
          <w:rPr>
            <w:rStyle w:val="Lienhypertexte"/>
          </w:rPr>
          <w:t>12.COM 13</w:t>
        </w:r>
      </w:hyperlink>
      <w:r w:rsidRPr="00F3039A">
        <w:rPr>
          <w:u w:val="none"/>
        </w:rPr>
        <w:t xml:space="preserve">, </w:t>
      </w:r>
      <w:hyperlink r:id="rId37" w:history="1">
        <w:r w:rsidRPr="00F3039A">
          <w:rPr>
            <w:rStyle w:val="Lienhypertexte"/>
          </w:rPr>
          <w:t>12.COM 17</w:t>
        </w:r>
      </w:hyperlink>
      <w:r w:rsidRPr="00F3039A">
        <w:rPr>
          <w:u w:val="none"/>
        </w:rPr>
        <w:t xml:space="preserve">, </w:t>
      </w:r>
      <w:hyperlink r:id="rId38" w:history="1">
        <w:r w:rsidRPr="00F3039A">
          <w:rPr>
            <w:rStyle w:val="Lienhypertexte"/>
          </w:rPr>
          <w:t>14.COM 15</w:t>
        </w:r>
      </w:hyperlink>
      <w:r w:rsidRPr="00F3039A">
        <w:rPr>
          <w:rStyle w:val="Lienhypertexte"/>
          <w:u w:val="none"/>
        </w:rPr>
        <w:t xml:space="preserve"> and </w:t>
      </w:r>
      <w:hyperlink r:id="rId39" w:history="1">
        <w:r w:rsidRPr="00F3039A">
          <w:rPr>
            <w:rStyle w:val="Lienhypertexte"/>
          </w:rPr>
          <w:t>18.COM 15</w:t>
        </w:r>
      </w:hyperlink>
      <w:r w:rsidRPr="00F3039A">
        <w:rPr>
          <w:rStyle w:val="Lienhypertexte"/>
          <w:u w:val="none"/>
        </w:rPr>
        <w:t>,</w:t>
      </w:r>
    </w:p>
    <w:p w14:paraId="6A067DAE" w14:textId="77777777" w:rsidR="003F45CA" w:rsidRPr="00F3039A" w:rsidRDefault="003F45CA" w:rsidP="00F0628D">
      <w:pPr>
        <w:pStyle w:val="COMParaDecision"/>
        <w:keepNext/>
        <w:widowControl w:val="0"/>
        <w:numPr>
          <w:ilvl w:val="0"/>
          <w:numId w:val="42"/>
        </w:numPr>
        <w:ind w:left="567" w:hanging="567"/>
        <w:rPr>
          <w:u w:val="none"/>
        </w:rPr>
      </w:pPr>
      <w:r w:rsidRPr="00F3039A">
        <w:t>Takes note</w:t>
      </w:r>
      <w:r w:rsidRPr="00F3039A">
        <w:rPr>
          <w:u w:val="none"/>
        </w:rPr>
        <w:t xml:space="preserve"> of the proposed plan for ensuring geographical balance amongst accredited NGOs under the 2003 Convention, including relevant financial resources identified on an experimental basis, and </w:t>
      </w:r>
      <w:r w:rsidRPr="00F3039A">
        <w:t>expresses its appreciation</w:t>
      </w:r>
      <w:r w:rsidRPr="00F3039A">
        <w:rPr>
          <w:u w:val="none"/>
        </w:rPr>
        <w:t xml:space="preserve"> to States Parties, the ICH NGO Forum, Category 2 Centres and other stakeholders for contributing their views through the consultation process;</w:t>
      </w:r>
    </w:p>
    <w:p w14:paraId="16106470" w14:textId="77777777" w:rsidR="003F45CA" w:rsidRPr="00F3039A" w:rsidRDefault="003F45CA" w:rsidP="00F0628D">
      <w:pPr>
        <w:pStyle w:val="COMParaDecision"/>
        <w:keepNext/>
        <w:widowControl w:val="0"/>
        <w:numPr>
          <w:ilvl w:val="0"/>
          <w:numId w:val="42"/>
        </w:numPr>
        <w:ind w:left="567" w:hanging="567"/>
        <w:rPr>
          <w:u w:val="none"/>
        </w:rPr>
      </w:pPr>
      <w:r w:rsidRPr="00F3039A">
        <w:t>Encourages</w:t>
      </w:r>
      <w:r w:rsidRPr="00F3039A">
        <w:rPr>
          <w:u w:val="none"/>
        </w:rPr>
        <w:t xml:space="preserve"> the Secretariat, the ICH NGO Forum, Category 2 Centres and other stakeholders to implement the above-mentioned plan;</w:t>
      </w:r>
    </w:p>
    <w:p w14:paraId="0DE9E991" w14:textId="77777777" w:rsidR="003F45CA" w:rsidRPr="00F3039A" w:rsidRDefault="003F45CA" w:rsidP="00F0628D">
      <w:pPr>
        <w:pStyle w:val="COMParaDecision"/>
        <w:keepNext/>
        <w:widowControl w:val="0"/>
        <w:numPr>
          <w:ilvl w:val="0"/>
          <w:numId w:val="42"/>
        </w:numPr>
        <w:ind w:left="567" w:hanging="567"/>
        <w:rPr>
          <w:u w:val="none"/>
        </w:rPr>
      </w:pPr>
      <w:r w:rsidRPr="00F3039A">
        <w:t>Requests</w:t>
      </w:r>
      <w:r w:rsidRPr="00F3039A">
        <w:rPr>
          <w:u w:val="none"/>
        </w:rPr>
        <w:t xml:space="preserve"> the Secretariat to report on the results of the actions taken for examination by the twentieth session of the Committee in 2025 and the eleventh session of the General Assembly in 2026.</w:t>
      </w:r>
    </w:p>
    <w:p w14:paraId="70AC3D1B" w14:textId="24B946A5" w:rsidR="005D4B3A" w:rsidRPr="00F3039A" w:rsidRDefault="005D4B3A" w:rsidP="00F0628D">
      <w:pPr>
        <w:pStyle w:val="COMTitleDecision"/>
        <w:widowControl w:val="0"/>
        <w:ind w:left="0"/>
        <w:rPr>
          <w:rFonts w:eastAsia="SimSun"/>
        </w:rPr>
      </w:pPr>
      <w:r w:rsidRPr="00F3039A">
        <w:t>RESOLUTION 10.GA 10</w:t>
      </w:r>
    </w:p>
    <w:p w14:paraId="1AB11E63" w14:textId="77777777" w:rsidR="005D4B3A" w:rsidRPr="00F3039A" w:rsidRDefault="005D4B3A" w:rsidP="005D4B3A">
      <w:pPr>
        <w:pStyle w:val="COMPreambulaDecisions"/>
        <w:ind w:left="0"/>
        <w:rPr>
          <w:rFonts w:eastAsia="SimSun"/>
        </w:rPr>
      </w:pPr>
      <w:r w:rsidRPr="00F3039A">
        <w:t>The General Assembly,</w:t>
      </w:r>
    </w:p>
    <w:p w14:paraId="17E76CE5" w14:textId="2D6B396B" w:rsidR="005D4B3A" w:rsidRPr="00F3039A" w:rsidRDefault="005D4B3A" w:rsidP="005D4B3A">
      <w:pPr>
        <w:pStyle w:val="COMParaDecision"/>
        <w:numPr>
          <w:ilvl w:val="0"/>
          <w:numId w:val="39"/>
        </w:numPr>
        <w:ind w:left="540" w:hanging="540"/>
      </w:pPr>
      <w:r w:rsidRPr="00F3039A">
        <w:t>Having examined</w:t>
      </w:r>
      <w:r w:rsidRPr="00F3039A">
        <w:rPr>
          <w:u w:val="none"/>
        </w:rPr>
        <w:t xml:space="preserve"> document </w:t>
      </w:r>
      <w:hyperlink r:id="rId40" w:history="1">
        <w:r w:rsidRPr="00F0628D">
          <w:rPr>
            <w:rStyle w:val="Lienhypertexte"/>
          </w:rPr>
          <w:t>LHE/24/10.GA/10</w:t>
        </w:r>
      </w:hyperlink>
      <w:r w:rsidRPr="00F3039A">
        <w:rPr>
          <w:u w:val="none"/>
        </w:rPr>
        <w:t>,</w:t>
      </w:r>
    </w:p>
    <w:p w14:paraId="2449581F" w14:textId="77777777" w:rsidR="005D4B3A" w:rsidRPr="00F3039A" w:rsidRDefault="005D4B3A" w:rsidP="005D4B3A">
      <w:pPr>
        <w:pStyle w:val="COMParaDecision"/>
        <w:numPr>
          <w:ilvl w:val="0"/>
          <w:numId w:val="39"/>
        </w:numPr>
        <w:ind w:left="540" w:hanging="540"/>
      </w:pPr>
      <w:r w:rsidRPr="00F3039A">
        <w:t>Recalling</w:t>
      </w:r>
      <w:r w:rsidRPr="00F3039A">
        <w:rPr>
          <w:u w:val="none"/>
        </w:rPr>
        <w:t xml:space="preserve"> Resolution </w:t>
      </w:r>
      <w:hyperlink r:id="rId41" w:history="1">
        <w:r w:rsidRPr="00F3039A">
          <w:rPr>
            <w:rStyle w:val="Lienhypertexte"/>
          </w:rPr>
          <w:t>9.GA 13</w:t>
        </w:r>
      </w:hyperlink>
      <w:r w:rsidRPr="00F3039A">
        <w:rPr>
          <w:u w:val="none"/>
        </w:rPr>
        <w:t xml:space="preserve"> and Decision </w:t>
      </w:r>
      <w:hyperlink r:id="rId42" w:history="1">
        <w:r w:rsidRPr="00F3039A">
          <w:rPr>
            <w:rStyle w:val="Lienhypertexte"/>
          </w:rPr>
          <w:t>18.COM 6</w:t>
        </w:r>
      </w:hyperlink>
      <w:r w:rsidRPr="00F3039A">
        <w:rPr>
          <w:rStyle w:val="Lienhypertexte"/>
          <w:u w:val="none"/>
        </w:rPr>
        <w:t>,</w:t>
      </w:r>
    </w:p>
    <w:p w14:paraId="2CC66951" w14:textId="77777777" w:rsidR="005D4B3A" w:rsidRPr="00F3039A" w:rsidRDefault="005D4B3A" w:rsidP="005D4B3A">
      <w:pPr>
        <w:pStyle w:val="COMParaDecision"/>
        <w:numPr>
          <w:ilvl w:val="0"/>
          <w:numId w:val="39"/>
        </w:numPr>
        <w:ind w:left="540" w:hanging="540"/>
        <w:jc w:val="left"/>
      </w:pPr>
      <w:r w:rsidRPr="00F3039A">
        <w:t>Further recalling</w:t>
      </w:r>
      <w:r w:rsidRPr="00F3039A">
        <w:rPr>
          <w:u w:val="none"/>
        </w:rPr>
        <w:t xml:space="preserve"> </w:t>
      </w:r>
      <w:hyperlink r:id="rId43" w:history="1">
        <w:r w:rsidRPr="00F3039A">
          <w:rPr>
            <w:rStyle w:val="Lienhypertexte"/>
          </w:rPr>
          <w:t>42 C/Resolution 34</w:t>
        </w:r>
      </w:hyperlink>
      <w:r w:rsidRPr="00F3039A">
        <w:rPr>
          <w:u w:val="none"/>
        </w:rPr>
        <w:t xml:space="preserve"> of the General Conference of UNESCO,</w:t>
      </w:r>
    </w:p>
    <w:p w14:paraId="52C309EA" w14:textId="77777777" w:rsidR="005D4B3A" w:rsidRPr="00F3039A" w:rsidRDefault="005D4B3A" w:rsidP="005D4B3A">
      <w:pPr>
        <w:pStyle w:val="COMParaDecision"/>
        <w:numPr>
          <w:ilvl w:val="0"/>
          <w:numId w:val="39"/>
        </w:numPr>
        <w:ind w:left="540" w:hanging="540"/>
      </w:pPr>
      <w:r w:rsidRPr="00F3039A">
        <w:t>Welcomes</w:t>
      </w:r>
      <w:r w:rsidRPr="00F3039A">
        <w:rPr>
          <w:u w:val="none"/>
        </w:rPr>
        <w:t xml:space="preserve"> the proclamation of 17 October as the International Day of the Intangible Cultural Heritage;</w:t>
      </w:r>
    </w:p>
    <w:p w14:paraId="1F602668" w14:textId="77777777" w:rsidR="005D4B3A" w:rsidRPr="00F3039A" w:rsidRDefault="005D4B3A" w:rsidP="005D4B3A">
      <w:pPr>
        <w:pStyle w:val="COMParaDecision"/>
        <w:numPr>
          <w:ilvl w:val="0"/>
          <w:numId w:val="39"/>
        </w:numPr>
        <w:ind w:left="540" w:hanging="540"/>
        <w:rPr>
          <w:u w:val="none"/>
        </w:rPr>
      </w:pPr>
      <w:r w:rsidRPr="00F3039A">
        <w:t>Commends</w:t>
      </w:r>
      <w:r w:rsidRPr="00F3039A">
        <w:rPr>
          <w:u w:val="none"/>
        </w:rPr>
        <w:t xml:space="preserve"> the activities undertaken in all Electoral Groups, at national, regional and international levels, in the context of the Convention’s twentieth anniversary celebration, including conferences, festivals, expert meetings, exhibitions, publications, awareness-raising campaigns, amongst others;</w:t>
      </w:r>
    </w:p>
    <w:p w14:paraId="46AE39CD" w14:textId="77777777" w:rsidR="005D4B3A" w:rsidRPr="00F3039A" w:rsidRDefault="005D4B3A" w:rsidP="005D4B3A">
      <w:pPr>
        <w:pStyle w:val="COMParaDecision"/>
        <w:numPr>
          <w:ilvl w:val="0"/>
          <w:numId w:val="39"/>
        </w:numPr>
        <w:ind w:left="540" w:hanging="540"/>
        <w:rPr>
          <w:u w:val="none"/>
        </w:rPr>
      </w:pPr>
      <w:r w:rsidRPr="00F3039A">
        <w:t>Expresses its gratitude</w:t>
      </w:r>
      <w:r w:rsidRPr="00F3039A">
        <w:rPr>
          <w:u w:val="none"/>
        </w:rPr>
        <w:t xml:space="preserve"> to the Republic of Korea for hosting the Global meeting for the twentieth anniversary of the 2003 Convention in Seoul and </w:t>
      </w:r>
      <w:r w:rsidRPr="00F3039A">
        <w:t>welcomes</w:t>
      </w:r>
      <w:r w:rsidRPr="00F3039A">
        <w:rPr>
          <w:u w:val="none"/>
        </w:rPr>
        <w:t xml:space="preserve"> the areas for future action highlighted in the ‘Seoul Vision for the Future of Safeguarding Living Heritage for Sustainable Development and Peace’;</w:t>
      </w:r>
    </w:p>
    <w:p w14:paraId="24EC3508" w14:textId="77777777" w:rsidR="005D4B3A" w:rsidRPr="00F3039A" w:rsidRDefault="005D4B3A" w:rsidP="005D4B3A">
      <w:pPr>
        <w:pStyle w:val="COMParaDecision"/>
        <w:numPr>
          <w:ilvl w:val="0"/>
          <w:numId w:val="39"/>
        </w:numPr>
        <w:ind w:left="540" w:hanging="540"/>
        <w:rPr>
          <w:u w:val="none"/>
        </w:rPr>
      </w:pPr>
      <w:r w:rsidRPr="00F3039A">
        <w:t>Also expresses its gratitude</w:t>
      </w:r>
      <w:r w:rsidRPr="00F3039A">
        <w:rPr>
          <w:u w:val="none"/>
        </w:rPr>
        <w:t xml:space="preserve"> to Italy for hosting the Naples Conference on Cultural Heritage in the 21st Century, and </w:t>
      </w:r>
      <w:r w:rsidRPr="00F3039A">
        <w:t>further welcomes</w:t>
      </w:r>
      <w:r w:rsidRPr="00F3039A">
        <w:rPr>
          <w:u w:val="none"/>
        </w:rPr>
        <w:t xml:space="preserve"> the resulting call for action, which sets out eleven major principles to ensure a prospective vision for the safeguarding of heritage;</w:t>
      </w:r>
    </w:p>
    <w:p w14:paraId="14BB394B" w14:textId="77777777" w:rsidR="005D4B3A" w:rsidRPr="00F3039A" w:rsidRDefault="005D4B3A" w:rsidP="005D4B3A">
      <w:pPr>
        <w:pStyle w:val="COMParaDecision"/>
        <w:numPr>
          <w:ilvl w:val="0"/>
          <w:numId w:val="39"/>
        </w:numPr>
        <w:ind w:left="540" w:hanging="540"/>
      </w:pPr>
      <w:r w:rsidRPr="00F3039A">
        <w:t>Further expresses its gratitude</w:t>
      </w:r>
      <w:r w:rsidRPr="00F3039A">
        <w:rPr>
          <w:u w:val="none"/>
        </w:rPr>
        <w:t xml:space="preserve"> to States Parties from Latin American and Caribbean for the regional initiatives reflecting on achievements and future developments of the Convention, including a conference held at UNESCO Headquarters, a meeting of experts organized in Peru in cooperation with the Category 2 Centre CRESPIAL, and the launch of a publication, compiling the results of the regional reflection;</w:t>
      </w:r>
    </w:p>
    <w:p w14:paraId="6D91AD5D" w14:textId="77777777" w:rsidR="005D4B3A" w:rsidRPr="00F3039A" w:rsidRDefault="005D4B3A" w:rsidP="005D4B3A">
      <w:pPr>
        <w:pStyle w:val="COMParaDecision"/>
        <w:numPr>
          <w:ilvl w:val="0"/>
          <w:numId w:val="39"/>
        </w:numPr>
        <w:ind w:left="540" w:hanging="540"/>
        <w:rPr>
          <w:u w:val="none"/>
        </w:rPr>
      </w:pPr>
      <w:r w:rsidRPr="00F3039A">
        <w:t>Thanks</w:t>
      </w:r>
      <w:r w:rsidRPr="00F3039A">
        <w:rPr>
          <w:u w:val="none"/>
        </w:rPr>
        <w:t xml:space="preserve"> the States Parties that have generously provided extrabudgetary or in-kind support for the celebration of the Convention’s twentieth anniversary;</w:t>
      </w:r>
    </w:p>
    <w:p w14:paraId="08B4AEB1" w14:textId="77777777" w:rsidR="005D4B3A" w:rsidRPr="00F3039A" w:rsidRDefault="005D4B3A" w:rsidP="005D4B3A">
      <w:pPr>
        <w:pStyle w:val="COMParaDecision"/>
        <w:numPr>
          <w:ilvl w:val="0"/>
          <w:numId w:val="39"/>
        </w:numPr>
        <w:ind w:left="540" w:hanging="540"/>
      </w:pPr>
      <w:r w:rsidRPr="00F3039A">
        <w:t>Expresses its appreciation</w:t>
      </w:r>
      <w:r w:rsidRPr="00F3039A">
        <w:rPr>
          <w:u w:val="none"/>
        </w:rPr>
        <w:t xml:space="preserve"> to the Secretariat, all States Parties, communities, and other stakeholders for their active participation in the celebration throughout the anniversary year, particularly in promoting the objectives of the Convention, taking stock of past achievements, and exploring the Convention’s future development.</w:t>
      </w:r>
    </w:p>
    <w:p w14:paraId="759097DE" w14:textId="1F6FC1AC" w:rsidR="00BB414C" w:rsidRPr="00F3039A" w:rsidRDefault="00BB414C" w:rsidP="00BB414C">
      <w:pPr>
        <w:pStyle w:val="COMTitleDecision"/>
        <w:ind w:left="0"/>
        <w:rPr>
          <w:rFonts w:eastAsia="SimSun"/>
        </w:rPr>
      </w:pPr>
      <w:r w:rsidRPr="00F3039A">
        <w:t>RESOLUTION 10.GA 11</w:t>
      </w:r>
    </w:p>
    <w:p w14:paraId="471F1E5A" w14:textId="77777777" w:rsidR="00BB414C" w:rsidRPr="00F3039A" w:rsidRDefault="00BB414C" w:rsidP="00BB414C">
      <w:pPr>
        <w:pStyle w:val="COMPreambulaDecisions"/>
        <w:ind w:left="0"/>
        <w:rPr>
          <w:rFonts w:eastAsia="SimSun"/>
        </w:rPr>
      </w:pPr>
      <w:r w:rsidRPr="00F3039A">
        <w:t>The General Assembly,</w:t>
      </w:r>
    </w:p>
    <w:p w14:paraId="0FDC4288" w14:textId="61C10A2B" w:rsidR="00BB414C" w:rsidRPr="00F3039A" w:rsidRDefault="00BB414C" w:rsidP="00BB414C">
      <w:pPr>
        <w:pStyle w:val="COMParaDecision"/>
        <w:numPr>
          <w:ilvl w:val="0"/>
          <w:numId w:val="40"/>
        </w:numPr>
        <w:ind w:left="540" w:hanging="540"/>
      </w:pPr>
      <w:r w:rsidRPr="00F3039A">
        <w:t>Having examined</w:t>
      </w:r>
      <w:r w:rsidRPr="00F3039A">
        <w:rPr>
          <w:u w:val="none"/>
        </w:rPr>
        <w:t xml:space="preserve"> document </w:t>
      </w:r>
      <w:hyperlink r:id="rId44" w:history="1">
        <w:r w:rsidRPr="00F0628D">
          <w:rPr>
            <w:rStyle w:val="Lienhypertexte"/>
          </w:rPr>
          <w:t>LHE/24/10.GA/11</w:t>
        </w:r>
      </w:hyperlink>
      <w:r w:rsidRPr="00F3039A">
        <w:rPr>
          <w:u w:val="none"/>
        </w:rPr>
        <w:t>,</w:t>
      </w:r>
    </w:p>
    <w:p w14:paraId="0FF11B19" w14:textId="77777777" w:rsidR="00BB414C" w:rsidRPr="00F3039A" w:rsidRDefault="00BB414C" w:rsidP="00BB414C">
      <w:pPr>
        <w:pStyle w:val="COMParaDecision"/>
        <w:numPr>
          <w:ilvl w:val="0"/>
          <w:numId w:val="40"/>
        </w:numPr>
        <w:ind w:left="540" w:hanging="540"/>
      </w:pPr>
      <w:r w:rsidRPr="00F3039A">
        <w:t>Recalling</w:t>
      </w:r>
      <w:r w:rsidRPr="00F3039A">
        <w:rPr>
          <w:u w:val="none"/>
        </w:rPr>
        <w:t xml:space="preserve"> Articles 5, 6 and 26.5 of the Convention and Rules 35, 36 and 37 of its Rules of Procedure,</w:t>
      </w:r>
    </w:p>
    <w:p w14:paraId="2FA950B2" w14:textId="77777777" w:rsidR="00BB414C" w:rsidRPr="00F3039A" w:rsidRDefault="00BB414C" w:rsidP="00BB414C">
      <w:pPr>
        <w:pStyle w:val="COMParaDecision"/>
        <w:numPr>
          <w:ilvl w:val="0"/>
          <w:numId w:val="40"/>
        </w:numPr>
        <w:ind w:left="540" w:hanging="540"/>
        <w:jc w:val="left"/>
      </w:pPr>
      <w:r w:rsidRPr="00F3039A">
        <w:t>Further recalling</w:t>
      </w:r>
      <w:r w:rsidRPr="00F3039A">
        <w:rPr>
          <w:u w:val="none"/>
        </w:rPr>
        <w:t xml:space="preserve"> Resolution 10.GA 4,</w:t>
      </w:r>
    </w:p>
    <w:p w14:paraId="0D898280" w14:textId="77777777" w:rsidR="00BB414C" w:rsidRPr="00F3039A" w:rsidRDefault="00BB414C" w:rsidP="00BB414C">
      <w:pPr>
        <w:pStyle w:val="COMParaDecision"/>
        <w:keepNext/>
        <w:numPr>
          <w:ilvl w:val="0"/>
          <w:numId w:val="40"/>
        </w:numPr>
        <w:ind w:left="540" w:hanging="540"/>
      </w:pPr>
      <w:r w:rsidRPr="00F3039A">
        <w:t>Elects</w:t>
      </w:r>
      <w:r w:rsidRPr="00F3039A">
        <w:rPr>
          <w:u w:val="none"/>
        </w:rPr>
        <w:t xml:space="preserve"> the following twelve States Parties to the Intergovernmental Committee for the Safeguarding of the Intangible Cultural Heritage for a term of four years from the date of election:</w:t>
      </w:r>
    </w:p>
    <w:p w14:paraId="6F602710" w14:textId="4894BC67" w:rsidR="00BB414C" w:rsidRPr="00F3039A" w:rsidRDefault="00BB414C" w:rsidP="00BB414C">
      <w:pPr>
        <w:pStyle w:val="GAParaResolution"/>
        <w:keepLines/>
        <w:ind w:left="567"/>
        <w:rPr>
          <w:u w:val="none"/>
        </w:rPr>
      </w:pPr>
      <w:r w:rsidRPr="00F3039A">
        <w:rPr>
          <w:u w:val="none"/>
        </w:rPr>
        <w:t xml:space="preserve">Group I: </w:t>
      </w:r>
      <w:r w:rsidR="00CA49EB" w:rsidRPr="00F3039A">
        <w:rPr>
          <w:u w:val="none"/>
        </w:rPr>
        <w:t>France, Spain</w:t>
      </w:r>
    </w:p>
    <w:p w14:paraId="56C7845A" w14:textId="4F1BE44C" w:rsidR="00BB414C" w:rsidRPr="00F3039A" w:rsidRDefault="00BB414C" w:rsidP="00BB414C">
      <w:pPr>
        <w:pStyle w:val="GAParaResolution"/>
        <w:keepLines/>
        <w:ind w:left="567"/>
        <w:rPr>
          <w:u w:val="none"/>
        </w:rPr>
      </w:pPr>
      <w:r w:rsidRPr="00F3039A">
        <w:rPr>
          <w:u w:val="none"/>
        </w:rPr>
        <w:t xml:space="preserve">Group II: </w:t>
      </w:r>
      <w:r w:rsidR="00CA49EB" w:rsidRPr="00F3039A">
        <w:rPr>
          <w:u w:val="none"/>
        </w:rPr>
        <w:t>Ukraine</w:t>
      </w:r>
    </w:p>
    <w:p w14:paraId="3F2D4E22" w14:textId="5925CAA3" w:rsidR="00BB414C" w:rsidRPr="00F3039A" w:rsidRDefault="00BB414C" w:rsidP="00BB414C">
      <w:pPr>
        <w:pStyle w:val="GAParaResolution"/>
        <w:keepLines/>
        <w:ind w:left="567"/>
        <w:rPr>
          <w:u w:val="none"/>
        </w:rPr>
      </w:pPr>
      <w:r w:rsidRPr="00F3039A">
        <w:rPr>
          <w:u w:val="none"/>
        </w:rPr>
        <w:t xml:space="preserve">Group III: </w:t>
      </w:r>
      <w:r w:rsidR="00CA49EB" w:rsidRPr="00F3039A">
        <w:rPr>
          <w:u w:val="none"/>
        </w:rPr>
        <w:t>Barbados, Dominican Republic, Haiti</w:t>
      </w:r>
    </w:p>
    <w:p w14:paraId="481B353C" w14:textId="5F6632EF" w:rsidR="00BB414C" w:rsidRPr="00F3039A" w:rsidRDefault="00BB414C" w:rsidP="00BB414C">
      <w:pPr>
        <w:pStyle w:val="GAParaResolution"/>
        <w:keepLines/>
        <w:ind w:left="567"/>
        <w:rPr>
          <w:u w:val="none"/>
        </w:rPr>
      </w:pPr>
      <w:r w:rsidRPr="00F3039A">
        <w:rPr>
          <w:u w:val="none"/>
        </w:rPr>
        <w:t xml:space="preserve">Group IV: </w:t>
      </w:r>
      <w:r w:rsidR="00CA49EB" w:rsidRPr="00F3039A">
        <w:rPr>
          <w:u w:val="none"/>
        </w:rPr>
        <w:t>China</w:t>
      </w:r>
    </w:p>
    <w:p w14:paraId="56D61231" w14:textId="45C8B88E" w:rsidR="00BB414C" w:rsidRPr="00F0628D" w:rsidRDefault="00BB414C" w:rsidP="00BB414C">
      <w:pPr>
        <w:pStyle w:val="GAParaResolution"/>
        <w:keepLines/>
        <w:ind w:left="567"/>
        <w:rPr>
          <w:u w:val="none"/>
          <w:lang w:val="es-ES"/>
        </w:rPr>
      </w:pPr>
      <w:r w:rsidRPr="00F0628D">
        <w:rPr>
          <w:u w:val="none"/>
          <w:lang w:val="es-ES"/>
        </w:rPr>
        <w:t xml:space="preserve">Group V(a): </w:t>
      </w:r>
      <w:r w:rsidR="000E1C55" w:rsidRPr="00F0628D">
        <w:rPr>
          <w:u w:val="none"/>
          <w:lang w:val="es-ES"/>
        </w:rPr>
        <w:t xml:space="preserve">Nigeria, </w:t>
      </w:r>
      <w:r w:rsidR="00CA49EB" w:rsidRPr="00F0628D">
        <w:rPr>
          <w:u w:val="none"/>
          <w:lang w:val="es-ES"/>
        </w:rPr>
        <w:t>Uganda, Za</w:t>
      </w:r>
      <w:r w:rsidR="00CA49EB" w:rsidRPr="00F3039A">
        <w:rPr>
          <w:u w:val="none"/>
          <w:lang w:val="es-ES"/>
        </w:rPr>
        <w:t>mbia</w:t>
      </w:r>
    </w:p>
    <w:p w14:paraId="55409FFA" w14:textId="3BFF6A2C" w:rsidR="00A90C2B" w:rsidRPr="00A707EC" w:rsidRDefault="00BB414C" w:rsidP="00F0628D">
      <w:pPr>
        <w:pStyle w:val="GAParaResolution"/>
        <w:keepLines/>
        <w:ind w:left="567"/>
        <w:rPr>
          <w:snapToGrid w:val="0"/>
          <w:lang w:eastAsia="en-US"/>
        </w:rPr>
      </w:pPr>
      <w:r w:rsidRPr="007931FE">
        <w:rPr>
          <w:u w:val="none"/>
          <w:lang w:val="en-US"/>
        </w:rPr>
        <w:t xml:space="preserve">Group V(b): </w:t>
      </w:r>
      <w:r w:rsidR="00CA49EB" w:rsidRPr="007931FE">
        <w:rPr>
          <w:u w:val="none"/>
          <w:lang w:val="en-US"/>
        </w:rPr>
        <w:t>Algeria, Uni</w:t>
      </w:r>
      <w:r w:rsidR="00CA49EB" w:rsidRPr="00F3039A">
        <w:rPr>
          <w:u w:val="none"/>
          <w:lang w:val="en-US"/>
        </w:rPr>
        <w:t>ted Arab Emirates</w:t>
      </w:r>
    </w:p>
    <w:sectPr w:rsidR="00A90C2B" w:rsidRPr="00A707EC" w:rsidSect="00AA47C0">
      <w:headerReference w:type="even" r:id="rId45"/>
      <w:headerReference w:type="default" r:id="rId46"/>
      <w:headerReference w:type="first" r:id="rId47"/>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E1F1D2" w14:textId="77777777" w:rsidR="00B45139" w:rsidRDefault="00B45139" w:rsidP="00655736">
      <w:r>
        <w:separator/>
      </w:r>
    </w:p>
  </w:endnote>
  <w:endnote w:type="continuationSeparator" w:id="0">
    <w:p w14:paraId="1C05921B" w14:textId="77777777" w:rsidR="00B45139" w:rsidRDefault="00B45139"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Nirmala UI">
    <w:panose1 w:val="020B0502040204020203"/>
    <w:charset w:val="00"/>
    <w:family w:val="swiss"/>
    <w:pitch w:val="variable"/>
    <w:sig w:usb0="80FF8023" w:usb1="0200004A" w:usb2="000002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E3375F" w14:textId="77777777" w:rsidR="00B45139" w:rsidRDefault="00B45139" w:rsidP="00655736">
      <w:r>
        <w:separator/>
      </w:r>
    </w:p>
  </w:footnote>
  <w:footnote w:type="continuationSeparator" w:id="0">
    <w:p w14:paraId="7CA1849E" w14:textId="77777777" w:rsidR="00B45139" w:rsidRDefault="00B45139" w:rsidP="00655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4CB336" w14:textId="31095874" w:rsidR="004B3817" w:rsidRPr="00AE7841" w:rsidRDefault="00AA47C0" w:rsidP="002F0671">
    <w:pPr>
      <w:pStyle w:val="En-tte"/>
      <w:rPr>
        <w:rFonts w:ascii="Arial" w:hAnsi="Arial" w:cs="Arial"/>
        <w:lang w:val="en-GB"/>
      </w:rPr>
    </w:pPr>
    <w:r>
      <w:rPr>
        <w:rFonts w:ascii="Arial" w:hAnsi="Arial" w:cs="Arial"/>
        <w:sz w:val="20"/>
        <w:szCs w:val="20"/>
        <w:lang w:val="en-GB"/>
      </w:rPr>
      <w:t>LHE/2</w:t>
    </w:r>
    <w:r w:rsidR="00901C5E">
      <w:rPr>
        <w:rFonts w:ascii="Arial" w:hAnsi="Arial" w:cs="Arial"/>
        <w:sz w:val="20"/>
        <w:szCs w:val="20"/>
        <w:lang w:val="en-GB"/>
      </w:rPr>
      <w:t>4</w:t>
    </w:r>
    <w:r>
      <w:rPr>
        <w:rFonts w:ascii="Arial" w:hAnsi="Arial" w:cs="Arial"/>
        <w:sz w:val="20"/>
        <w:szCs w:val="20"/>
        <w:lang w:val="en-GB"/>
      </w:rPr>
      <w:t>/</w:t>
    </w:r>
    <w:r w:rsidR="00901C5E">
      <w:rPr>
        <w:rFonts w:ascii="Arial" w:hAnsi="Arial" w:cs="Arial"/>
        <w:sz w:val="20"/>
        <w:szCs w:val="20"/>
        <w:lang w:val="en-GB"/>
      </w:rPr>
      <w:t>10</w:t>
    </w:r>
    <w:r w:rsidRPr="00C23A97">
      <w:rPr>
        <w:rFonts w:ascii="Arial" w:hAnsi="Arial" w:cs="Arial"/>
        <w:sz w:val="20"/>
        <w:szCs w:val="20"/>
        <w:lang w:val="en-GB"/>
      </w:rPr>
      <w:t>.GA/</w:t>
    </w:r>
    <w:r w:rsidR="00C23046">
      <w:rPr>
        <w:rFonts w:ascii="Arial" w:hAnsi="Arial" w:cs="Arial"/>
        <w:sz w:val="20"/>
        <w:szCs w:val="20"/>
        <w:lang w:val="en-GB"/>
      </w:rPr>
      <w:t>Resolutions</w:t>
    </w:r>
    <w:r w:rsidRPr="00C23A97">
      <w:rPr>
        <w:rFonts w:ascii="Arial" w:hAnsi="Arial" w:cs="Arial"/>
        <w:sz w:val="20"/>
        <w:szCs w:val="20"/>
        <w:lang w:val="en-GB"/>
      </w:rPr>
      <w:t xml:space="preserve"> – page </w:t>
    </w:r>
    <w:r w:rsidRPr="00C23A97">
      <w:rPr>
        <w:rStyle w:val="Numrodepage"/>
        <w:rFonts w:ascii="Arial" w:hAnsi="Arial" w:cs="Arial"/>
        <w:sz w:val="20"/>
        <w:szCs w:val="20"/>
        <w:lang w:val="en-GB"/>
      </w:rPr>
      <w:fldChar w:fldCharType="begin"/>
    </w:r>
    <w:r w:rsidRPr="00C23A97">
      <w:rPr>
        <w:rStyle w:val="Numrodepage"/>
        <w:rFonts w:ascii="Arial" w:hAnsi="Arial" w:cs="Arial"/>
        <w:sz w:val="20"/>
        <w:szCs w:val="20"/>
        <w:lang w:val="en-GB"/>
      </w:rPr>
      <w:instrText xml:space="preserve"> PAGE </w:instrText>
    </w:r>
    <w:r w:rsidRPr="00C23A97">
      <w:rPr>
        <w:rStyle w:val="Numrodepage"/>
        <w:rFonts w:ascii="Arial" w:hAnsi="Arial" w:cs="Arial"/>
        <w:sz w:val="20"/>
        <w:szCs w:val="20"/>
        <w:lang w:val="en-GB"/>
      </w:rPr>
      <w:fldChar w:fldCharType="separate"/>
    </w:r>
    <w:r>
      <w:rPr>
        <w:rStyle w:val="Numrodepage"/>
        <w:rFonts w:ascii="Arial" w:hAnsi="Arial" w:cs="Arial"/>
        <w:noProof/>
        <w:sz w:val="20"/>
        <w:szCs w:val="20"/>
        <w:lang w:val="en-GB"/>
      </w:rPr>
      <w:t>14</w:t>
    </w:r>
    <w:r w:rsidRPr="00C23A97">
      <w:rPr>
        <w:rStyle w:val="Numrodepage"/>
        <w:rFonts w:ascii="Arial" w:hAnsi="Arial" w:cs="Arial"/>
        <w:sz w:val="20"/>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953812" w14:textId="37F520F4" w:rsidR="004B3817" w:rsidRDefault="00AA47C0" w:rsidP="00AE7841">
    <w:pPr>
      <w:pStyle w:val="En-tte"/>
      <w:jc w:val="right"/>
    </w:pPr>
    <w:r>
      <w:rPr>
        <w:rFonts w:ascii="Arial" w:hAnsi="Arial" w:cs="Arial"/>
        <w:sz w:val="20"/>
        <w:szCs w:val="20"/>
        <w:lang w:val="en-GB"/>
      </w:rPr>
      <w:t>LHE/2</w:t>
    </w:r>
    <w:r w:rsidR="00901C5E">
      <w:rPr>
        <w:rFonts w:ascii="Arial" w:hAnsi="Arial" w:cs="Arial"/>
        <w:sz w:val="20"/>
        <w:szCs w:val="20"/>
        <w:lang w:val="en-GB"/>
      </w:rPr>
      <w:t>4</w:t>
    </w:r>
    <w:r>
      <w:rPr>
        <w:rFonts w:ascii="Arial" w:hAnsi="Arial" w:cs="Arial"/>
        <w:sz w:val="20"/>
        <w:szCs w:val="20"/>
        <w:lang w:val="en-GB"/>
      </w:rPr>
      <w:t>/</w:t>
    </w:r>
    <w:r w:rsidR="00901C5E">
      <w:rPr>
        <w:rFonts w:ascii="Arial" w:hAnsi="Arial" w:cs="Arial"/>
        <w:sz w:val="20"/>
        <w:szCs w:val="20"/>
        <w:lang w:val="en-GB"/>
      </w:rPr>
      <w:t>10</w:t>
    </w:r>
    <w:r w:rsidRPr="00C23A97">
      <w:rPr>
        <w:rFonts w:ascii="Arial" w:hAnsi="Arial" w:cs="Arial"/>
        <w:sz w:val="20"/>
        <w:szCs w:val="20"/>
        <w:lang w:val="en-GB"/>
      </w:rPr>
      <w:t>.GA/</w:t>
    </w:r>
    <w:r w:rsidR="007E2BD8">
      <w:rPr>
        <w:rFonts w:ascii="Arial" w:hAnsi="Arial" w:cs="Arial"/>
        <w:sz w:val="20"/>
        <w:szCs w:val="20"/>
        <w:lang w:val="en-GB"/>
      </w:rPr>
      <w:t>Resolutions</w:t>
    </w:r>
    <w:r w:rsidRPr="00C23A97">
      <w:rPr>
        <w:rFonts w:ascii="Arial" w:hAnsi="Arial" w:cs="Arial"/>
        <w:sz w:val="20"/>
        <w:szCs w:val="20"/>
        <w:lang w:val="en-GB"/>
      </w:rPr>
      <w:t xml:space="preserve"> – page </w:t>
    </w:r>
    <w:r w:rsidRPr="00C23A97">
      <w:rPr>
        <w:rStyle w:val="Numrodepage"/>
        <w:rFonts w:ascii="Arial" w:hAnsi="Arial" w:cs="Arial"/>
        <w:sz w:val="20"/>
        <w:szCs w:val="20"/>
        <w:lang w:val="en-GB"/>
      </w:rPr>
      <w:fldChar w:fldCharType="begin"/>
    </w:r>
    <w:r w:rsidRPr="00C23A97">
      <w:rPr>
        <w:rStyle w:val="Numrodepage"/>
        <w:rFonts w:ascii="Arial" w:hAnsi="Arial" w:cs="Arial"/>
        <w:sz w:val="20"/>
        <w:szCs w:val="20"/>
        <w:lang w:val="en-GB"/>
      </w:rPr>
      <w:instrText xml:space="preserve"> PAGE </w:instrText>
    </w:r>
    <w:r w:rsidRPr="00C23A97">
      <w:rPr>
        <w:rStyle w:val="Numrodepage"/>
        <w:rFonts w:ascii="Arial" w:hAnsi="Arial" w:cs="Arial"/>
        <w:sz w:val="20"/>
        <w:szCs w:val="20"/>
        <w:lang w:val="en-GB"/>
      </w:rPr>
      <w:fldChar w:fldCharType="separate"/>
    </w:r>
    <w:r>
      <w:rPr>
        <w:rStyle w:val="Numrodepage"/>
        <w:rFonts w:ascii="Arial" w:hAnsi="Arial" w:cs="Arial"/>
        <w:noProof/>
        <w:sz w:val="20"/>
        <w:szCs w:val="20"/>
        <w:lang w:val="en-GB"/>
      </w:rPr>
      <w:t>3</w:t>
    </w:r>
    <w:r w:rsidRPr="00C23A97">
      <w:rPr>
        <w:rStyle w:val="Numrodepage"/>
        <w:rFonts w:ascii="Arial" w:hAnsi="Arial" w:cs="Arial"/>
        <w:sz w:val="20"/>
        <w:szCs w:val="20"/>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05368B" w14:textId="2B16EAFB" w:rsidR="0023791D" w:rsidRDefault="0023791D" w:rsidP="0023791D">
    <w:pPr>
      <w:pStyle w:val="En-tte"/>
    </w:pPr>
    <w:r>
      <w:rPr>
        <w:noProof/>
      </w:rPr>
      <w:drawing>
        <wp:anchor distT="0" distB="0" distL="114300" distR="114300" simplePos="0" relativeHeight="251663360" behindDoc="0" locked="0" layoutInCell="1" allowOverlap="1" wp14:anchorId="3F39B5EE" wp14:editId="29C95036">
          <wp:simplePos x="0" y="0"/>
          <wp:positionH relativeFrom="column">
            <wp:posOffset>10160</wp:posOffset>
          </wp:positionH>
          <wp:positionV relativeFrom="paragraph">
            <wp:posOffset>0</wp:posOffset>
          </wp:positionV>
          <wp:extent cx="1711325" cy="1296035"/>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1325" cy="1296035"/>
                  </a:xfrm>
                  <a:prstGeom prst="rect">
                    <a:avLst/>
                  </a:prstGeom>
                  <a:noFill/>
                </pic:spPr>
              </pic:pic>
            </a:graphicData>
          </a:graphic>
          <wp14:sizeRelH relativeFrom="page">
            <wp14:pctWidth>0</wp14:pctWidth>
          </wp14:sizeRelH>
          <wp14:sizeRelV relativeFrom="page">
            <wp14:pctHeight>0</wp14:pctHeight>
          </wp14:sizeRelV>
        </wp:anchor>
      </w:drawing>
    </w:r>
  </w:p>
  <w:p w14:paraId="770A261E" w14:textId="0170D0E1" w:rsidR="0023791D" w:rsidRDefault="004D2974" w:rsidP="0023791D">
    <w:pPr>
      <w:pStyle w:val="En-tte"/>
      <w:spacing w:after="520"/>
      <w:jc w:val="right"/>
      <w:rPr>
        <w:rFonts w:ascii="Arial" w:hAnsi="Arial" w:cs="Arial"/>
        <w:b/>
        <w:sz w:val="44"/>
        <w:szCs w:val="44"/>
        <w:lang w:val="en-US"/>
      </w:rPr>
    </w:pPr>
    <w:r>
      <w:rPr>
        <w:rFonts w:ascii="Arial" w:hAnsi="Arial" w:cs="Arial"/>
        <w:b/>
        <w:sz w:val="44"/>
        <w:szCs w:val="44"/>
        <w:lang w:val="en-US"/>
      </w:rPr>
      <w:t>10</w:t>
    </w:r>
    <w:r w:rsidR="0023791D">
      <w:rPr>
        <w:rFonts w:ascii="Arial" w:hAnsi="Arial" w:cs="Arial"/>
        <w:b/>
        <w:sz w:val="44"/>
        <w:szCs w:val="44"/>
        <w:lang w:val="en-US"/>
      </w:rPr>
      <w:t xml:space="preserve"> GA</w:t>
    </w:r>
  </w:p>
  <w:p w14:paraId="5B6552DE" w14:textId="36958BF9" w:rsidR="0023791D" w:rsidRDefault="0023791D" w:rsidP="0023791D">
    <w:pPr>
      <w:jc w:val="right"/>
      <w:rPr>
        <w:rFonts w:ascii="Arial" w:hAnsi="Arial" w:cs="Arial"/>
        <w:b/>
        <w:sz w:val="22"/>
        <w:szCs w:val="22"/>
        <w:lang w:val="en-US"/>
      </w:rPr>
    </w:pPr>
    <w:r>
      <w:rPr>
        <w:rFonts w:ascii="Arial" w:hAnsi="Arial" w:cs="Arial"/>
        <w:b/>
        <w:sz w:val="22"/>
        <w:szCs w:val="22"/>
        <w:lang w:val="en-US"/>
      </w:rPr>
      <w:t>LHE/2</w:t>
    </w:r>
    <w:r w:rsidR="004D2974">
      <w:rPr>
        <w:rFonts w:ascii="Arial" w:hAnsi="Arial" w:cs="Arial"/>
        <w:b/>
        <w:sz w:val="22"/>
        <w:szCs w:val="22"/>
        <w:lang w:val="en-US"/>
      </w:rPr>
      <w:t>4</w:t>
    </w:r>
    <w:r>
      <w:rPr>
        <w:rFonts w:ascii="Arial" w:hAnsi="Arial" w:cs="Arial"/>
        <w:b/>
        <w:sz w:val="22"/>
        <w:szCs w:val="22"/>
        <w:lang w:val="en-US"/>
      </w:rPr>
      <w:t>/</w:t>
    </w:r>
    <w:r w:rsidR="004D2974">
      <w:rPr>
        <w:rFonts w:ascii="Arial" w:hAnsi="Arial" w:cs="Arial"/>
        <w:b/>
        <w:sz w:val="22"/>
        <w:szCs w:val="22"/>
        <w:lang w:val="en-US"/>
      </w:rPr>
      <w:t>10</w:t>
    </w:r>
    <w:r>
      <w:rPr>
        <w:rFonts w:ascii="Arial" w:hAnsi="Arial" w:cs="Arial"/>
        <w:b/>
        <w:sz w:val="22"/>
        <w:szCs w:val="22"/>
        <w:lang w:val="en-US"/>
      </w:rPr>
      <w:t>.GA/Resolutions</w:t>
    </w:r>
  </w:p>
  <w:p w14:paraId="59290628" w14:textId="4E004595" w:rsidR="0023791D" w:rsidRDefault="0023791D" w:rsidP="0023791D">
    <w:pPr>
      <w:jc w:val="right"/>
      <w:rPr>
        <w:rFonts w:ascii="Arial" w:hAnsi="Arial" w:cs="Arial"/>
        <w:b/>
        <w:sz w:val="22"/>
        <w:szCs w:val="22"/>
        <w:lang w:val="en-US"/>
      </w:rPr>
    </w:pPr>
    <w:r>
      <w:rPr>
        <w:rFonts w:ascii="Arial" w:hAnsi="Arial" w:cs="Arial"/>
        <w:b/>
        <w:sz w:val="22"/>
        <w:szCs w:val="22"/>
        <w:lang w:val="en-US"/>
      </w:rPr>
      <w:t xml:space="preserve">Paris, </w:t>
    </w:r>
    <w:r w:rsidR="000E29C9">
      <w:rPr>
        <w:rFonts w:ascii="Arial" w:hAnsi="Arial" w:cs="Arial"/>
        <w:b/>
        <w:sz w:val="22"/>
        <w:szCs w:val="22"/>
        <w:lang w:val="en-US"/>
      </w:rPr>
      <w:t xml:space="preserve">28 </w:t>
    </w:r>
    <w:r w:rsidR="00DD7BA1">
      <w:rPr>
        <w:rFonts w:ascii="Arial" w:hAnsi="Arial" w:cs="Arial"/>
        <w:b/>
        <w:sz w:val="22"/>
        <w:szCs w:val="22"/>
        <w:lang w:val="en-US"/>
      </w:rPr>
      <w:t>June</w:t>
    </w:r>
    <w:r w:rsidR="00EB322A">
      <w:rPr>
        <w:rFonts w:ascii="Arial" w:hAnsi="Arial" w:cs="Arial"/>
        <w:b/>
        <w:sz w:val="22"/>
        <w:szCs w:val="22"/>
        <w:lang w:val="en-US"/>
      </w:rPr>
      <w:t xml:space="preserve"> </w:t>
    </w:r>
    <w:r>
      <w:rPr>
        <w:rFonts w:ascii="Arial" w:hAnsi="Arial" w:cs="Arial"/>
        <w:b/>
        <w:sz w:val="22"/>
        <w:szCs w:val="22"/>
        <w:lang w:val="en-US"/>
      </w:rPr>
      <w:t>202</w:t>
    </w:r>
    <w:r w:rsidR="004D2974">
      <w:rPr>
        <w:rFonts w:ascii="Arial" w:hAnsi="Arial" w:cs="Arial"/>
        <w:b/>
        <w:sz w:val="22"/>
        <w:szCs w:val="22"/>
        <w:lang w:val="en-US"/>
      </w:rPr>
      <w:t>4</w:t>
    </w:r>
  </w:p>
  <w:p w14:paraId="2DF3B27A" w14:textId="29415DFA" w:rsidR="004B3817" w:rsidRPr="00632565" w:rsidRDefault="0023791D" w:rsidP="00632565">
    <w:pPr>
      <w:jc w:val="right"/>
      <w:rPr>
        <w:rFonts w:ascii="Arial" w:hAnsi="Arial" w:cs="Arial"/>
        <w:b/>
        <w:sz w:val="22"/>
        <w:szCs w:val="22"/>
        <w:lang w:val="en-GB"/>
      </w:rPr>
    </w:pPr>
    <w:r>
      <w:rPr>
        <w:rFonts w:ascii="Arial" w:hAnsi="Arial" w:cs="Arial"/>
        <w:b/>
        <w:sz w:val="22"/>
        <w:szCs w:val="22"/>
        <w:lang w:val="en-GB"/>
      </w:rPr>
      <w:t>Original: English/French</w:t>
    </w:r>
  </w:p>
  <w:p w14:paraId="20346665" w14:textId="77777777" w:rsidR="004B3817" w:rsidRPr="00632565" w:rsidRDefault="004B3817">
    <w:pPr>
      <w:pStyle w:val="En-tte"/>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A55ED9"/>
    <w:multiLevelType w:val="hybridMultilevel"/>
    <w:tmpl w:val="429835A6"/>
    <w:lvl w:ilvl="0" w:tplc="FFFFFFFF">
      <w:start w:val="1"/>
      <w:numFmt w:val="decimal"/>
      <w:lvlText w:val="%1."/>
      <w:lvlJc w:val="left"/>
      <w:pPr>
        <w:ind w:left="1353" w:hanging="360"/>
      </w:pPr>
      <w:rPr>
        <w:rFonts w:ascii="Arial" w:hAnsi="Arial" w:cs="Arial" w:hint="default"/>
        <w:sz w:val="22"/>
        <w:szCs w:val="22"/>
      </w:rPr>
    </w:lvl>
    <w:lvl w:ilvl="1" w:tplc="FFFFFFFF" w:tentative="1">
      <w:start w:val="1"/>
      <w:numFmt w:val="lowerLetter"/>
      <w:lvlText w:val="%2."/>
      <w:lvlJc w:val="left"/>
      <w:pPr>
        <w:ind w:left="2073" w:hanging="360"/>
      </w:pPr>
    </w:lvl>
    <w:lvl w:ilvl="2" w:tplc="FFFFFFFF" w:tentative="1">
      <w:start w:val="1"/>
      <w:numFmt w:val="lowerRoman"/>
      <w:lvlText w:val="%3."/>
      <w:lvlJc w:val="right"/>
      <w:pPr>
        <w:ind w:left="2793" w:hanging="180"/>
      </w:pPr>
    </w:lvl>
    <w:lvl w:ilvl="3" w:tplc="FFFFFFFF" w:tentative="1">
      <w:start w:val="1"/>
      <w:numFmt w:val="decimal"/>
      <w:lvlText w:val="%4."/>
      <w:lvlJc w:val="left"/>
      <w:pPr>
        <w:ind w:left="3513" w:hanging="360"/>
      </w:pPr>
    </w:lvl>
    <w:lvl w:ilvl="4" w:tplc="FFFFFFFF" w:tentative="1">
      <w:start w:val="1"/>
      <w:numFmt w:val="lowerLetter"/>
      <w:lvlText w:val="%5."/>
      <w:lvlJc w:val="left"/>
      <w:pPr>
        <w:ind w:left="4233" w:hanging="360"/>
      </w:pPr>
    </w:lvl>
    <w:lvl w:ilvl="5" w:tplc="FFFFFFFF" w:tentative="1">
      <w:start w:val="1"/>
      <w:numFmt w:val="lowerRoman"/>
      <w:lvlText w:val="%6."/>
      <w:lvlJc w:val="right"/>
      <w:pPr>
        <w:ind w:left="4953" w:hanging="180"/>
      </w:pPr>
    </w:lvl>
    <w:lvl w:ilvl="6" w:tplc="FFFFFFFF" w:tentative="1">
      <w:start w:val="1"/>
      <w:numFmt w:val="decimal"/>
      <w:lvlText w:val="%7."/>
      <w:lvlJc w:val="left"/>
      <w:pPr>
        <w:ind w:left="5673" w:hanging="360"/>
      </w:pPr>
    </w:lvl>
    <w:lvl w:ilvl="7" w:tplc="FFFFFFFF" w:tentative="1">
      <w:start w:val="1"/>
      <w:numFmt w:val="lowerLetter"/>
      <w:lvlText w:val="%8."/>
      <w:lvlJc w:val="left"/>
      <w:pPr>
        <w:ind w:left="6393" w:hanging="360"/>
      </w:pPr>
    </w:lvl>
    <w:lvl w:ilvl="8" w:tplc="FFFFFFFF" w:tentative="1">
      <w:start w:val="1"/>
      <w:numFmt w:val="lowerRoman"/>
      <w:lvlText w:val="%9."/>
      <w:lvlJc w:val="right"/>
      <w:pPr>
        <w:ind w:left="7113" w:hanging="180"/>
      </w:pPr>
    </w:lvl>
  </w:abstractNum>
  <w:abstractNum w:abstractNumId="1" w15:restartNumberingAfterBreak="0">
    <w:nsid w:val="0982043F"/>
    <w:multiLevelType w:val="hybridMultilevel"/>
    <w:tmpl w:val="429835A6"/>
    <w:lvl w:ilvl="0" w:tplc="FFFFFFFF">
      <w:start w:val="1"/>
      <w:numFmt w:val="decimal"/>
      <w:lvlText w:val="%1."/>
      <w:lvlJc w:val="left"/>
      <w:pPr>
        <w:ind w:left="1353" w:hanging="360"/>
      </w:pPr>
      <w:rPr>
        <w:rFonts w:ascii="Arial" w:hAnsi="Arial" w:cs="Arial" w:hint="default"/>
        <w:sz w:val="22"/>
        <w:szCs w:val="22"/>
      </w:rPr>
    </w:lvl>
    <w:lvl w:ilvl="1" w:tplc="FFFFFFFF" w:tentative="1">
      <w:start w:val="1"/>
      <w:numFmt w:val="lowerLetter"/>
      <w:lvlText w:val="%2."/>
      <w:lvlJc w:val="left"/>
      <w:pPr>
        <w:ind w:left="2073" w:hanging="360"/>
      </w:pPr>
    </w:lvl>
    <w:lvl w:ilvl="2" w:tplc="FFFFFFFF" w:tentative="1">
      <w:start w:val="1"/>
      <w:numFmt w:val="lowerRoman"/>
      <w:lvlText w:val="%3."/>
      <w:lvlJc w:val="right"/>
      <w:pPr>
        <w:ind w:left="2793" w:hanging="180"/>
      </w:pPr>
    </w:lvl>
    <w:lvl w:ilvl="3" w:tplc="FFFFFFFF" w:tentative="1">
      <w:start w:val="1"/>
      <w:numFmt w:val="decimal"/>
      <w:lvlText w:val="%4."/>
      <w:lvlJc w:val="left"/>
      <w:pPr>
        <w:ind w:left="3513" w:hanging="360"/>
      </w:pPr>
    </w:lvl>
    <w:lvl w:ilvl="4" w:tplc="FFFFFFFF" w:tentative="1">
      <w:start w:val="1"/>
      <w:numFmt w:val="lowerLetter"/>
      <w:lvlText w:val="%5."/>
      <w:lvlJc w:val="left"/>
      <w:pPr>
        <w:ind w:left="4233" w:hanging="360"/>
      </w:pPr>
    </w:lvl>
    <w:lvl w:ilvl="5" w:tplc="FFFFFFFF" w:tentative="1">
      <w:start w:val="1"/>
      <w:numFmt w:val="lowerRoman"/>
      <w:lvlText w:val="%6."/>
      <w:lvlJc w:val="right"/>
      <w:pPr>
        <w:ind w:left="4953" w:hanging="180"/>
      </w:pPr>
    </w:lvl>
    <w:lvl w:ilvl="6" w:tplc="FFFFFFFF" w:tentative="1">
      <w:start w:val="1"/>
      <w:numFmt w:val="decimal"/>
      <w:lvlText w:val="%7."/>
      <w:lvlJc w:val="left"/>
      <w:pPr>
        <w:ind w:left="5673" w:hanging="360"/>
      </w:pPr>
    </w:lvl>
    <w:lvl w:ilvl="7" w:tplc="FFFFFFFF" w:tentative="1">
      <w:start w:val="1"/>
      <w:numFmt w:val="lowerLetter"/>
      <w:lvlText w:val="%8."/>
      <w:lvlJc w:val="left"/>
      <w:pPr>
        <w:ind w:left="6393" w:hanging="360"/>
      </w:pPr>
    </w:lvl>
    <w:lvl w:ilvl="8" w:tplc="FFFFFFFF" w:tentative="1">
      <w:start w:val="1"/>
      <w:numFmt w:val="lowerRoman"/>
      <w:lvlText w:val="%9."/>
      <w:lvlJc w:val="right"/>
      <w:pPr>
        <w:ind w:left="7113" w:hanging="180"/>
      </w:pPr>
    </w:lvl>
  </w:abstractNum>
  <w:abstractNum w:abstractNumId="2"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3" w15:restartNumberingAfterBreak="0">
    <w:nsid w:val="1668532E"/>
    <w:multiLevelType w:val="hybridMultilevel"/>
    <w:tmpl w:val="978EAFB4"/>
    <w:lvl w:ilvl="0" w:tplc="3110B4D4">
      <w:start w:val="1"/>
      <w:numFmt w:val="lowerLetter"/>
      <w:lvlText w:val="(%1)"/>
      <w:lvlJc w:val="left"/>
      <w:pPr>
        <w:ind w:left="720" w:hanging="360"/>
      </w:pPr>
      <w:rPr>
        <w:rFonts w:hint="default"/>
        <w:strike w:val="0"/>
        <w:u w:val="none"/>
      </w:rPr>
    </w:lvl>
    <w:lvl w:ilvl="1" w:tplc="98C8AC6A">
      <w:start w:val="2"/>
      <w:numFmt w:val="lowerRoman"/>
      <w:lvlText w:val="(%2)"/>
      <w:lvlJc w:val="left"/>
      <w:pPr>
        <w:ind w:left="1440" w:hanging="360"/>
      </w:pPr>
      <w:rPr>
        <w:rFonts w:eastAsia="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232DE9"/>
    <w:multiLevelType w:val="hybridMultilevel"/>
    <w:tmpl w:val="B298E760"/>
    <w:lvl w:ilvl="0" w:tplc="D0E46A06">
      <w:start w:val="1"/>
      <w:numFmt w:val="lowerLetter"/>
      <w:lvlText w:val="(%1)"/>
      <w:lvlJc w:val="left"/>
      <w:pPr>
        <w:ind w:left="720" w:hanging="360"/>
      </w:pPr>
      <w:rPr>
        <w:rFonts w:hint="default"/>
      </w:rPr>
    </w:lvl>
    <w:lvl w:ilvl="1" w:tplc="98C8AC6A">
      <w:start w:val="2"/>
      <w:numFmt w:val="lowerRoman"/>
      <w:lvlText w:val="(%2)"/>
      <w:lvlJc w:val="left"/>
      <w:pPr>
        <w:ind w:left="1440" w:hanging="360"/>
      </w:pPr>
      <w:rPr>
        <w:rFonts w:eastAsia="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3D3B6C"/>
    <w:multiLevelType w:val="hybridMultilevel"/>
    <w:tmpl w:val="12E67500"/>
    <w:lvl w:ilvl="0" w:tplc="2BE2DF18">
      <w:start w:val="9"/>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45C1B8F"/>
    <w:multiLevelType w:val="hybridMultilevel"/>
    <w:tmpl w:val="44DAEB5A"/>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6B069E8"/>
    <w:multiLevelType w:val="hybridMultilevel"/>
    <w:tmpl w:val="44DAD8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6F532D6"/>
    <w:multiLevelType w:val="hybridMultilevel"/>
    <w:tmpl w:val="0F1E4B28"/>
    <w:lvl w:ilvl="0" w:tplc="334E9284">
      <w:start w:val="1"/>
      <w:numFmt w:val="lowerRoman"/>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F07BFE"/>
    <w:multiLevelType w:val="hybridMultilevel"/>
    <w:tmpl w:val="E24AD55A"/>
    <w:lvl w:ilvl="0" w:tplc="76CAC304">
      <w:start w:val="1"/>
      <w:numFmt w:val="decimal"/>
      <w:pStyle w:val="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96E02F0"/>
    <w:multiLevelType w:val="hybridMultilevel"/>
    <w:tmpl w:val="B52608A0"/>
    <w:lvl w:ilvl="0" w:tplc="FB02318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97A4DB1"/>
    <w:multiLevelType w:val="hybridMultilevel"/>
    <w:tmpl w:val="19F638FC"/>
    <w:lvl w:ilvl="0" w:tplc="6FCA1F78">
      <w:start w:val="1"/>
      <w:numFmt w:val="decimal"/>
      <w:lvlText w:val="%1."/>
      <w:lvlJc w:val="left"/>
      <w:pPr>
        <w:ind w:left="1353" w:hanging="360"/>
      </w:pPr>
      <w:rPr>
        <w:rFonts w:ascii="Arial" w:hAnsi="Arial" w:cs="Arial" w:hint="default"/>
        <w:b w:val="0"/>
        <w:bCs/>
        <w:sz w:val="22"/>
        <w:szCs w:val="22"/>
      </w:rPr>
    </w:lvl>
    <w:lvl w:ilvl="1" w:tplc="040C0019" w:tentative="1">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2" w15:restartNumberingAfterBreak="0">
    <w:nsid w:val="3AC30BD2"/>
    <w:multiLevelType w:val="hybridMultilevel"/>
    <w:tmpl w:val="2F02E984"/>
    <w:lvl w:ilvl="0" w:tplc="DFC65752">
      <w:start w:val="1"/>
      <w:numFmt w:val="upperRoman"/>
      <w:pStyle w:val="Titre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C024A97"/>
    <w:multiLevelType w:val="hybridMultilevel"/>
    <w:tmpl w:val="7214D7B4"/>
    <w:lvl w:ilvl="0" w:tplc="BA7CDEE4">
      <w:start w:val="1"/>
      <w:numFmt w:val="lowerRoman"/>
      <w:lvlText w:val="(%1)"/>
      <w:lvlJc w:val="left"/>
      <w:pPr>
        <w:ind w:left="1440" w:hanging="360"/>
      </w:pPr>
      <w:rPr>
        <w:rFonts w:asciiTheme="minorBidi" w:eastAsia="Calibri" w:hAnsiTheme="minorBidi" w:cstheme="minorBid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A96642"/>
    <w:multiLevelType w:val="hybridMultilevel"/>
    <w:tmpl w:val="B298E760"/>
    <w:lvl w:ilvl="0" w:tplc="D0E46A06">
      <w:start w:val="1"/>
      <w:numFmt w:val="lowerLetter"/>
      <w:lvlText w:val="(%1)"/>
      <w:lvlJc w:val="left"/>
      <w:pPr>
        <w:ind w:left="720" w:hanging="360"/>
      </w:pPr>
      <w:rPr>
        <w:rFonts w:hint="default"/>
      </w:rPr>
    </w:lvl>
    <w:lvl w:ilvl="1" w:tplc="98C8AC6A">
      <w:start w:val="2"/>
      <w:numFmt w:val="lowerRoman"/>
      <w:lvlText w:val="(%2)"/>
      <w:lvlJc w:val="left"/>
      <w:pPr>
        <w:ind w:left="1440" w:hanging="360"/>
      </w:pPr>
      <w:rPr>
        <w:rFonts w:eastAsia="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4F0075"/>
    <w:multiLevelType w:val="hybridMultilevel"/>
    <w:tmpl w:val="7CFC2D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295216A"/>
    <w:multiLevelType w:val="hybridMultilevel"/>
    <w:tmpl w:val="D4D2177C"/>
    <w:lvl w:ilvl="0" w:tplc="D626FAFA">
      <w:start w:val="1"/>
      <w:numFmt w:val="lowerLetter"/>
      <w:lvlText w:val="%1)"/>
      <w:lvlJc w:val="left"/>
      <w:pPr>
        <w:ind w:left="2574" w:hanging="360"/>
      </w:pPr>
      <w:rPr>
        <w:rFonts w:hint="default"/>
        <w:u w:val="none"/>
      </w:rPr>
    </w:lvl>
    <w:lvl w:ilvl="1" w:tplc="04090019" w:tentative="1">
      <w:start w:val="1"/>
      <w:numFmt w:val="lowerLetter"/>
      <w:lvlText w:val="%2."/>
      <w:lvlJc w:val="left"/>
      <w:pPr>
        <w:ind w:left="3294" w:hanging="360"/>
      </w:pPr>
    </w:lvl>
    <w:lvl w:ilvl="2" w:tplc="0409001B" w:tentative="1">
      <w:start w:val="1"/>
      <w:numFmt w:val="lowerRoman"/>
      <w:lvlText w:val="%3."/>
      <w:lvlJc w:val="right"/>
      <w:pPr>
        <w:ind w:left="4014" w:hanging="180"/>
      </w:pPr>
    </w:lvl>
    <w:lvl w:ilvl="3" w:tplc="0409000F" w:tentative="1">
      <w:start w:val="1"/>
      <w:numFmt w:val="decimal"/>
      <w:lvlText w:val="%4."/>
      <w:lvlJc w:val="left"/>
      <w:pPr>
        <w:ind w:left="4734" w:hanging="360"/>
      </w:pPr>
    </w:lvl>
    <w:lvl w:ilvl="4" w:tplc="04090019" w:tentative="1">
      <w:start w:val="1"/>
      <w:numFmt w:val="lowerLetter"/>
      <w:lvlText w:val="%5."/>
      <w:lvlJc w:val="left"/>
      <w:pPr>
        <w:ind w:left="5454" w:hanging="360"/>
      </w:pPr>
    </w:lvl>
    <w:lvl w:ilvl="5" w:tplc="0409001B" w:tentative="1">
      <w:start w:val="1"/>
      <w:numFmt w:val="lowerRoman"/>
      <w:lvlText w:val="%6."/>
      <w:lvlJc w:val="right"/>
      <w:pPr>
        <w:ind w:left="6174" w:hanging="180"/>
      </w:pPr>
    </w:lvl>
    <w:lvl w:ilvl="6" w:tplc="0409000F" w:tentative="1">
      <w:start w:val="1"/>
      <w:numFmt w:val="decimal"/>
      <w:lvlText w:val="%7."/>
      <w:lvlJc w:val="left"/>
      <w:pPr>
        <w:ind w:left="6894" w:hanging="360"/>
      </w:pPr>
    </w:lvl>
    <w:lvl w:ilvl="7" w:tplc="04090019" w:tentative="1">
      <w:start w:val="1"/>
      <w:numFmt w:val="lowerLetter"/>
      <w:lvlText w:val="%8."/>
      <w:lvlJc w:val="left"/>
      <w:pPr>
        <w:ind w:left="7614" w:hanging="360"/>
      </w:pPr>
    </w:lvl>
    <w:lvl w:ilvl="8" w:tplc="0409001B" w:tentative="1">
      <w:start w:val="1"/>
      <w:numFmt w:val="lowerRoman"/>
      <w:lvlText w:val="%9."/>
      <w:lvlJc w:val="right"/>
      <w:pPr>
        <w:ind w:left="8334" w:hanging="180"/>
      </w:pPr>
    </w:lvl>
  </w:abstractNum>
  <w:abstractNum w:abstractNumId="17" w15:restartNumberingAfterBreak="0">
    <w:nsid w:val="46514D6D"/>
    <w:multiLevelType w:val="hybridMultilevel"/>
    <w:tmpl w:val="7F02D938"/>
    <w:lvl w:ilvl="0" w:tplc="FFFFFFFF">
      <w:start w:val="1"/>
      <w:numFmt w:val="lowerLetter"/>
      <w:lvlText w:val="(%1)"/>
      <w:lvlJc w:val="left"/>
      <w:pPr>
        <w:ind w:left="720" w:hanging="360"/>
      </w:pPr>
      <w:rPr>
        <w:rFonts w:ascii="Calibri" w:eastAsia="Calibri" w:hAnsi="Calibri" w:cs="Calibri" w:hint="default"/>
        <w:strike w:val="0"/>
        <w:color w:val="231F20"/>
        <w:w w:val="90"/>
        <w:sz w:val="20"/>
        <w:szCs w:val="20"/>
      </w:rPr>
    </w:lvl>
    <w:lvl w:ilvl="1" w:tplc="E6B2E464">
      <w:start w:val="1"/>
      <w:numFmt w:val="lowerRoman"/>
      <w:lvlText w:val="(%2)"/>
      <w:lvlJc w:val="left"/>
      <w:pPr>
        <w:ind w:left="1440" w:hanging="360"/>
      </w:pPr>
      <w:rPr>
        <w:rFonts w:eastAsia="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47DE580E"/>
    <w:multiLevelType w:val="hybridMultilevel"/>
    <w:tmpl w:val="429835A6"/>
    <w:lvl w:ilvl="0" w:tplc="FFFFFFFF">
      <w:start w:val="1"/>
      <w:numFmt w:val="decimal"/>
      <w:lvlText w:val="%1."/>
      <w:lvlJc w:val="left"/>
      <w:pPr>
        <w:ind w:left="1353" w:hanging="360"/>
      </w:pPr>
      <w:rPr>
        <w:rFonts w:ascii="Arial" w:hAnsi="Arial" w:cs="Arial" w:hint="default"/>
        <w:sz w:val="22"/>
        <w:szCs w:val="22"/>
      </w:rPr>
    </w:lvl>
    <w:lvl w:ilvl="1" w:tplc="FFFFFFFF" w:tentative="1">
      <w:start w:val="1"/>
      <w:numFmt w:val="lowerLetter"/>
      <w:lvlText w:val="%2."/>
      <w:lvlJc w:val="left"/>
      <w:pPr>
        <w:ind w:left="2073" w:hanging="360"/>
      </w:pPr>
    </w:lvl>
    <w:lvl w:ilvl="2" w:tplc="FFFFFFFF" w:tentative="1">
      <w:start w:val="1"/>
      <w:numFmt w:val="lowerRoman"/>
      <w:lvlText w:val="%3."/>
      <w:lvlJc w:val="right"/>
      <w:pPr>
        <w:ind w:left="2793" w:hanging="180"/>
      </w:pPr>
    </w:lvl>
    <w:lvl w:ilvl="3" w:tplc="FFFFFFFF" w:tentative="1">
      <w:start w:val="1"/>
      <w:numFmt w:val="decimal"/>
      <w:lvlText w:val="%4."/>
      <w:lvlJc w:val="left"/>
      <w:pPr>
        <w:ind w:left="3513" w:hanging="360"/>
      </w:pPr>
    </w:lvl>
    <w:lvl w:ilvl="4" w:tplc="FFFFFFFF" w:tentative="1">
      <w:start w:val="1"/>
      <w:numFmt w:val="lowerLetter"/>
      <w:lvlText w:val="%5."/>
      <w:lvlJc w:val="left"/>
      <w:pPr>
        <w:ind w:left="4233" w:hanging="360"/>
      </w:pPr>
    </w:lvl>
    <w:lvl w:ilvl="5" w:tplc="FFFFFFFF" w:tentative="1">
      <w:start w:val="1"/>
      <w:numFmt w:val="lowerRoman"/>
      <w:lvlText w:val="%6."/>
      <w:lvlJc w:val="right"/>
      <w:pPr>
        <w:ind w:left="4953" w:hanging="180"/>
      </w:pPr>
    </w:lvl>
    <w:lvl w:ilvl="6" w:tplc="FFFFFFFF" w:tentative="1">
      <w:start w:val="1"/>
      <w:numFmt w:val="decimal"/>
      <w:lvlText w:val="%7."/>
      <w:lvlJc w:val="left"/>
      <w:pPr>
        <w:ind w:left="5673" w:hanging="360"/>
      </w:pPr>
    </w:lvl>
    <w:lvl w:ilvl="7" w:tplc="FFFFFFFF" w:tentative="1">
      <w:start w:val="1"/>
      <w:numFmt w:val="lowerLetter"/>
      <w:lvlText w:val="%8."/>
      <w:lvlJc w:val="left"/>
      <w:pPr>
        <w:ind w:left="6393" w:hanging="360"/>
      </w:pPr>
    </w:lvl>
    <w:lvl w:ilvl="8" w:tplc="FFFFFFFF" w:tentative="1">
      <w:start w:val="1"/>
      <w:numFmt w:val="lowerRoman"/>
      <w:lvlText w:val="%9."/>
      <w:lvlJc w:val="right"/>
      <w:pPr>
        <w:ind w:left="7113" w:hanging="180"/>
      </w:pPr>
    </w:lvl>
  </w:abstractNum>
  <w:abstractNum w:abstractNumId="19" w15:restartNumberingAfterBreak="0">
    <w:nsid w:val="4A6D788D"/>
    <w:multiLevelType w:val="hybridMultilevel"/>
    <w:tmpl w:val="1D103AB8"/>
    <w:lvl w:ilvl="0" w:tplc="59428F78">
      <w:start w:val="6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A777787"/>
    <w:multiLevelType w:val="hybridMultilevel"/>
    <w:tmpl w:val="7B584DFC"/>
    <w:lvl w:ilvl="0" w:tplc="FD8EED48">
      <w:start w:val="2"/>
      <w:numFmt w:val="decimal"/>
      <w:lvlText w:val="%1."/>
      <w:lvlJc w:val="left"/>
      <w:pPr>
        <w:ind w:left="1353" w:hanging="360"/>
      </w:pPr>
      <w:rPr>
        <w:rFonts w:ascii="Arial" w:hAnsi="Arial" w:cs="Arial" w:hint="default"/>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CA76E18"/>
    <w:multiLevelType w:val="hybridMultilevel"/>
    <w:tmpl w:val="44DAEB5A"/>
    <w:lvl w:ilvl="0" w:tplc="8E584DD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D7B3D50"/>
    <w:multiLevelType w:val="hybridMultilevel"/>
    <w:tmpl w:val="D3DE81AE"/>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3" w15:restartNumberingAfterBreak="0">
    <w:nsid w:val="5CE6304E"/>
    <w:multiLevelType w:val="hybridMultilevel"/>
    <w:tmpl w:val="B298E760"/>
    <w:lvl w:ilvl="0" w:tplc="D0E46A06">
      <w:start w:val="1"/>
      <w:numFmt w:val="lowerLetter"/>
      <w:lvlText w:val="(%1)"/>
      <w:lvlJc w:val="left"/>
      <w:pPr>
        <w:ind w:left="720" w:hanging="360"/>
      </w:pPr>
      <w:rPr>
        <w:rFonts w:hint="default"/>
      </w:rPr>
    </w:lvl>
    <w:lvl w:ilvl="1" w:tplc="98C8AC6A">
      <w:start w:val="2"/>
      <w:numFmt w:val="lowerRoman"/>
      <w:lvlText w:val="(%2)"/>
      <w:lvlJc w:val="left"/>
      <w:pPr>
        <w:ind w:left="1440" w:hanging="360"/>
      </w:pPr>
      <w:rPr>
        <w:rFonts w:eastAsia="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411E11"/>
    <w:multiLevelType w:val="hybridMultilevel"/>
    <w:tmpl w:val="429835A6"/>
    <w:lvl w:ilvl="0" w:tplc="FFFFFFFF">
      <w:start w:val="1"/>
      <w:numFmt w:val="decimal"/>
      <w:lvlText w:val="%1."/>
      <w:lvlJc w:val="left"/>
      <w:pPr>
        <w:ind w:left="1353" w:hanging="360"/>
      </w:pPr>
      <w:rPr>
        <w:rFonts w:ascii="Arial" w:hAnsi="Arial" w:cs="Arial" w:hint="default"/>
        <w:sz w:val="22"/>
        <w:szCs w:val="22"/>
      </w:rPr>
    </w:lvl>
    <w:lvl w:ilvl="1" w:tplc="FFFFFFFF" w:tentative="1">
      <w:start w:val="1"/>
      <w:numFmt w:val="lowerLetter"/>
      <w:lvlText w:val="%2."/>
      <w:lvlJc w:val="left"/>
      <w:pPr>
        <w:ind w:left="2073" w:hanging="360"/>
      </w:pPr>
    </w:lvl>
    <w:lvl w:ilvl="2" w:tplc="FFFFFFFF" w:tentative="1">
      <w:start w:val="1"/>
      <w:numFmt w:val="lowerRoman"/>
      <w:lvlText w:val="%3."/>
      <w:lvlJc w:val="right"/>
      <w:pPr>
        <w:ind w:left="2793" w:hanging="180"/>
      </w:pPr>
    </w:lvl>
    <w:lvl w:ilvl="3" w:tplc="FFFFFFFF" w:tentative="1">
      <w:start w:val="1"/>
      <w:numFmt w:val="decimal"/>
      <w:lvlText w:val="%4."/>
      <w:lvlJc w:val="left"/>
      <w:pPr>
        <w:ind w:left="3513" w:hanging="360"/>
      </w:pPr>
    </w:lvl>
    <w:lvl w:ilvl="4" w:tplc="FFFFFFFF" w:tentative="1">
      <w:start w:val="1"/>
      <w:numFmt w:val="lowerLetter"/>
      <w:lvlText w:val="%5."/>
      <w:lvlJc w:val="left"/>
      <w:pPr>
        <w:ind w:left="4233" w:hanging="360"/>
      </w:pPr>
    </w:lvl>
    <w:lvl w:ilvl="5" w:tplc="FFFFFFFF" w:tentative="1">
      <w:start w:val="1"/>
      <w:numFmt w:val="lowerRoman"/>
      <w:lvlText w:val="%6."/>
      <w:lvlJc w:val="right"/>
      <w:pPr>
        <w:ind w:left="4953" w:hanging="180"/>
      </w:pPr>
    </w:lvl>
    <w:lvl w:ilvl="6" w:tplc="FFFFFFFF" w:tentative="1">
      <w:start w:val="1"/>
      <w:numFmt w:val="decimal"/>
      <w:lvlText w:val="%7."/>
      <w:lvlJc w:val="left"/>
      <w:pPr>
        <w:ind w:left="5673" w:hanging="360"/>
      </w:pPr>
    </w:lvl>
    <w:lvl w:ilvl="7" w:tplc="FFFFFFFF" w:tentative="1">
      <w:start w:val="1"/>
      <w:numFmt w:val="lowerLetter"/>
      <w:lvlText w:val="%8."/>
      <w:lvlJc w:val="left"/>
      <w:pPr>
        <w:ind w:left="6393" w:hanging="360"/>
      </w:pPr>
    </w:lvl>
    <w:lvl w:ilvl="8" w:tplc="FFFFFFFF" w:tentative="1">
      <w:start w:val="1"/>
      <w:numFmt w:val="lowerRoman"/>
      <w:lvlText w:val="%9."/>
      <w:lvlJc w:val="right"/>
      <w:pPr>
        <w:ind w:left="7113" w:hanging="180"/>
      </w:pPr>
    </w:lvl>
  </w:abstractNum>
  <w:abstractNum w:abstractNumId="25" w15:restartNumberingAfterBreak="0">
    <w:nsid w:val="64833242"/>
    <w:multiLevelType w:val="hybridMultilevel"/>
    <w:tmpl w:val="291A2D54"/>
    <w:lvl w:ilvl="0" w:tplc="FFFFFFFF">
      <w:start w:val="1"/>
      <w:numFmt w:val="lowerLetter"/>
      <w:lvlText w:val="(%1)"/>
      <w:lvlJc w:val="left"/>
      <w:pPr>
        <w:ind w:left="720" w:hanging="360"/>
      </w:pPr>
      <w:rPr>
        <w:rFonts w:asciiTheme="minorBidi" w:eastAsia="Yu Mincho" w:hAnsiTheme="minorBidi" w:cs="Aria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15E6638"/>
    <w:multiLevelType w:val="hybridMultilevel"/>
    <w:tmpl w:val="B298E760"/>
    <w:lvl w:ilvl="0" w:tplc="D0E46A06">
      <w:start w:val="1"/>
      <w:numFmt w:val="lowerLetter"/>
      <w:lvlText w:val="(%1)"/>
      <w:lvlJc w:val="left"/>
      <w:pPr>
        <w:ind w:left="720" w:hanging="360"/>
      </w:pPr>
      <w:rPr>
        <w:rFonts w:hint="default"/>
      </w:rPr>
    </w:lvl>
    <w:lvl w:ilvl="1" w:tplc="98C8AC6A">
      <w:start w:val="2"/>
      <w:numFmt w:val="lowerRoman"/>
      <w:lvlText w:val="(%2)"/>
      <w:lvlJc w:val="left"/>
      <w:pPr>
        <w:ind w:left="1440" w:hanging="360"/>
      </w:pPr>
      <w:rPr>
        <w:rFonts w:eastAsia="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655861"/>
    <w:multiLevelType w:val="hybridMultilevel"/>
    <w:tmpl w:val="4740CCB6"/>
    <w:lvl w:ilvl="0" w:tplc="1EB0BCA6">
      <w:start w:val="1"/>
      <w:numFmt w:val="lowerRoman"/>
      <w:pStyle w:val="i"/>
      <w:lvlText w:val="%1."/>
      <w:lvlJc w:val="left"/>
      <w:pPr>
        <w:ind w:left="1147" w:hanging="360"/>
      </w:pPr>
      <w:rPr>
        <w:rFonts w:cs="Times New Roman" w:hint="default"/>
      </w:rPr>
    </w:lvl>
    <w:lvl w:ilvl="1" w:tplc="040C0019" w:tentative="1">
      <w:start w:val="1"/>
      <w:numFmt w:val="lowerLetter"/>
      <w:lvlText w:val="%2."/>
      <w:lvlJc w:val="left"/>
      <w:pPr>
        <w:ind w:left="1867" w:hanging="360"/>
      </w:pPr>
      <w:rPr>
        <w:rFonts w:cs="Times New Roman"/>
      </w:rPr>
    </w:lvl>
    <w:lvl w:ilvl="2" w:tplc="040C001B" w:tentative="1">
      <w:start w:val="1"/>
      <w:numFmt w:val="lowerRoman"/>
      <w:lvlText w:val="%3."/>
      <w:lvlJc w:val="right"/>
      <w:pPr>
        <w:ind w:left="2587" w:hanging="180"/>
      </w:pPr>
      <w:rPr>
        <w:rFonts w:cs="Times New Roman"/>
      </w:rPr>
    </w:lvl>
    <w:lvl w:ilvl="3" w:tplc="040C000F" w:tentative="1">
      <w:start w:val="1"/>
      <w:numFmt w:val="decimal"/>
      <w:lvlText w:val="%4."/>
      <w:lvlJc w:val="left"/>
      <w:pPr>
        <w:ind w:left="3307" w:hanging="360"/>
      </w:pPr>
      <w:rPr>
        <w:rFonts w:cs="Times New Roman"/>
      </w:rPr>
    </w:lvl>
    <w:lvl w:ilvl="4" w:tplc="040C0019" w:tentative="1">
      <w:start w:val="1"/>
      <w:numFmt w:val="lowerLetter"/>
      <w:lvlText w:val="%5."/>
      <w:lvlJc w:val="left"/>
      <w:pPr>
        <w:ind w:left="4027" w:hanging="360"/>
      </w:pPr>
      <w:rPr>
        <w:rFonts w:cs="Times New Roman"/>
      </w:rPr>
    </w:lvl>
    <w:lvl w:ilvl="5" w:tplc="040C001B" w:tentative="1">
      <w:start w:val="1"/>
      <w:numFmt w:val="lowerRoman"/>
      <w:lvlText w:val="%6."/>
      <w:lvlJc w:val="right"/>
      <w:pPr>
        <w:ind w:left="4747" w:hanging="180"/>
      </w:pPr>
      <w:rPr>
        <w:rFonts w:cs="Times New Roman"/>
      </w:rPr>
    </w:lvl>
    <w:lvl w:ilvl="6" w:tplc="040C000F" w:tentative="1">
      <w:start w:val="1"/>
      <w:numFmt w:val="decimal"/>
      <w:lvlText w:val="%7."/>
      <w:lvlJc w:val="left"/>
      <w:pPr>
        <w:ind w:left="5467" w:hanging="360"/>
      </w:pPr>
      <w:rPr>
        <w:rFonts w:cs="Times New Roman"/>
      </w:rPr>
    </w:lvl>
    <w:lvl w:ilvl="7" w:tplc="040C0019" w:tentative="1">
      <w:start w:val="1"/>
      <w:numFmt w:val="lowerLetter"/>
      <w:lvlText w:val="%8."/>
      <w:lvlJc w:val="left"/>
      <w:pPr>
        <w:ind w:left="6187" w:hanging="360"/>
      </w:pPr>
      <w:rPr>
        <w:rFonts w:cs="Times New Roman"/>
      </w:rPr>
    </w:lvl>
    <w:lvl w:ilvl="8" w:tplc="040C001B" w:tentative="1">
      <w:start w:val="1"/>
      <w:numFmt w:val="lowerRoman"/>
      <w:lvlText w:val="%9."/>
      <w:lvlJc w:val="right"/>
      <w:pPr>
        <w:ind w:left="6907" w:hanging="180"/>
      </w:pPr>
      <w:rPr>
        <w:rFonts w:cs="Times New Roman"/>
      </w:rPr>
    </w:lvl>
  </w:abstractNum>
  <w:abstractNum w:abstractNumId="28" w15:restartNumberingAfterBreak="0">
    <w:nsid w:val="77A12D45"/>
    <w:multiLevelType w:val="hybridMultilevel"/>
    <w:tmpl w:val="429835A6"/>
    <w:lvl w:ilvl="0" w:tplc="FFFFFFFF">
      <w:start w:val="1"/>
      <w:numFmt w:val="decimal"/>
      <w:lvlText w:val="%1."/>
      <w:lvlJc w:val="left"/>
      <w:pPr>
        <w:ind w:left="1353" w:hanging="360"/>
      </w:pPr>
      <w:rPr>
        <w:rFonts w:ascii="Arial" w:hAnsi="Arial" w:cs="Arial" w:hint="default"/>
        <w:sz w:val="22"/>
        <w:szCs w:val="22"/>
      </w:rPr>
    </w:lvl>
    <w:lvl w:ilvl="1" w:tplc="FFFFFFFF" w:tentative="1">
      <w:start w:val="1"/>
      <w:numFmt w:val="lowerLetter"/>
      <w:lvlText w:val="%2."/>
      <w:lvlJc w:val="left"/>
      <w:pPr>
        <w:ind w:left="2073" w:hanging="360"/>
      </w:pPr>
    </w:lvl>
    <w:lvl w:ilvl="2" w:tplc="FFFFFFFF" w:tentative="1">
      <w:start w:val="1"/>
      <w:numFmt w:val="lowerRoman"/>
      <w:lvlText w:val="%3."/>
      <w:lvlJc w:val="right"/>
      <w:pPr>
        <w:ind w:left="2793" w:hanging="180"/>
      </w:pPr>
    </w:lvl>
    <w:lvl w:ilvl="3" w:tplc="FFFFFFFF" w:tentative="1">
      <w:start w:val="1"/>
      <w:numFmt w:val="decimal"/>
      <w:lvlText w:val="%4."/>
      <w:lvlJc w:val="left"/>
      <w:pPr>
        <w:ind w:left="3513" w:hanging="360"/>
      </w:pPr>
    </w:lvl>
    <w:lvl w:ilvl="4" w:tplc="FFFFFFFF" w:tentative="1">
      <w:start w:val="1"/>
      <w:numFmt w:val="lowerLetter"/>
      <w:lvlText w:val="%5."/>
      <w:lvlJc w:val="left"/>
      <w:pPr>
        <w:ind w:left="4233" w:hanging="360"/>
      </w:pPr>
    </w:lvl>
    <w:lvl w:ilvl="5" w:tplc="FFFFFFFF" w:tentative="1">
      <w:start w:val="1"/>
      <w:numFmt w:val="lowerRoman"/>
      <w:lvlText w:val="%6."/>
      <w:lvlJc w:val="right"/>
      <w:pPr>
        <w:ind w:left="4953" w:hanging="180"/>
      </w:pPr>
    </w:lvl>
    <w:lvl w:ilvl="6" w:tplc="FFFFFFFF" w:tentative="1">
      <w:start w:val="1"/>
      <w:numFmt w:val="decimal"/>
      <w:lvlText w:val="%7."/>
      <w:lvlJc w:val="left"/>
      <w:pPr>
        <w:ind w:left="5673" w:hanging="360"/>
      </w:pPr>
    </w:lvl>
    <w:lvl w:ilvl="7" w:tplc="FFFFFFFF" w:tentative="1">
      <w:start w:val="1"/>
      <w:numFmt w:val="lowerLetter"/>
      <w:lvlText w:val="%8."/>
      <w:lvlJc w:val="left"/>
      <w:pPr>
        <w:ind w:left="6393" w:hanging="360"/>
      </w:pPr>
    </w:lvl>
    <w:lvl w:ilvl="8" w:tplc="FFFFFFFF" w:tentative="1">
      <w:start w:val="1"/>
      <w:numFmt w:val="lowerRoman"/>
      <w:lvlText w:val="%9."/>
      <w:lvlJc w:val="right"/>
      <w:pPr>
        <w:ind w:left="7113" w:hanging="180"/>
      </w:pPr>
    </w:lvl>
  </w:abstractNum>
  <w:abstractNum w:abstractNumId="29" w15:restartNumberingAfterBreak="0">
    <w:nsid w:val="784C5809"/>
    <w:multiLevelType w:val="hybridMultilevel"/>
    <w:tmpl w:val="189442BA"/>
    <w:lvl w:ilvl="0" w:tplc="040C0001">
      <w:start w:val="1"/>
      <w:numFmt w:val="bullet"/>
      <w:lvlText w:val=""/>
      <w:lvlJc w:val="left"/>
      <w:pPr>
        <w:ind w:left="1069" w:hanging="360"/>
      </w:pPr>
      <w:rPr>
        <w:rFonts w:ascii="Symbol" w:hAnsi="Symbo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num w:numId="1" w16cid:durableId="981738130">
    <w:abstractNumId w:val="2"/>
  </w:num>
  <w:num w:numId="2" w16cid:durableId="2058621764">
    <w:abstractNumId w:val="9"/>
  </w:num>
  <w:num w:numId="3" w16cid:durableId="1338576425">
    <w:abstractNumId w:val="11"/>
  </w:num>
  <w:num w:numId="4" w16cid:durableId="433981803">
    <w:abstractNumId w:val="12"/>
  </w:num>
  <w:num w:numId="5" w16cid:durableId="1298418401">
    <w:abstractNumId w:val="27"/>
  </w:num>
  <w:num w:numId="6" w16cid:durableId="1165776439">
    <w:abstractNumId w:val="11"/>
    <w:lvlOverride w:ilvl="0">
      <w:startOverride w:val="1"/>
    </w:lvlOverride>
  </w:num>
  <w:num w:numId="7" w16cid:durableId="1859272613">
    <w:abstractNumId w:val="11"/>
    <w:lvlOverride w:ilvl="0">
      <w:startOverride w:val="1"/>
    </w:lvlOverride>
  </w:num>
  <w:num w:numId="8" w16cid:durableId="14579801">
    <w:abstractNumId w:val="11"/>
    <w:lvlOverride w:ilvl="0">
      <w:startOverride w:val="1"/>
    </w:lvlOverride>
  </w:num>
  <w:num w:numId="9" w16cid:durableId="1896119351">
    <w:abstractNumId w:val="10"/>
  </w:num>
  <w:num w:numId="10" w16cid:durableId="901600976">
    <w:abstractNumId w:val="17"/>
  </w:num>
  <w:num w:numId="11" w16cid:durableId="1556314718">
    <w:abstractNumId w:val="3"/>
  </w:num>
  <w:num w:numId="12" w16cid:durableId="1560551685">
    <w:abstractNumId w:val="4"/>
  </w:num>
  <w:num w:numId="13" w16cid:durableId="1690108411">
    <w:abstractNumId w:val="14"/>
  </w:num>
  <w:num w:numId="14" w16cid:durableId="2005084121">
    <w:abstractNumId w:val="15"/>
  </w:num>
  <w:num w:numId="15" w16cid:durableId="655039064">
    <w:abstractNumId w:val="7"/>
  </w:num>
  <w:num w:numId="16" w16cid:durableId="137114090">
    <w:abstractNumId w:val="8"/>
  </w:num>
  <w:num w:numId="17" w16cid:durableId="90708927">
    <w:abstractNumId w:val="26"/>
  </w:num>
  <w:num w:numId="18" w16cid:durableId="599146075">
    <w:abstractNumId w:val="13"/>
  </w:num>
  <w:num w:numId="19" w16cid:durableId="1298947638">
    <w:abstractNumId w:val="23"/>
  </w:num>
  <w:num w:numId="20" w16cid:durableId="1380783571">
    <w:abstractNumId w:val="5"/>
  </w:num>
  <w:num w:numId="21" w16cid:durableId="1499689272">
    <w:abstractNumId w:val="19"/>
  </w:num>
  <w:num w:numId="22" w16cid:durableId="2105420363">
    <w:abstractNumId w:val="11"/>
    <w:lvlOverride w:ilvl="0">
      <w:startOverride w:val="1"/>
    </w:lvlOverride>
  </w:num>
  <w:num w:numId="23" w16cid:durableId="816609833">
    <w:abstractNumId w:val="11"/>
    <w:lvlOverride w:ilvl="0">
      <w:startOverride w:val="1"/>
    </w:lvlOverride>
  </w:num>
  <w:num w:numId="24" w16cid:durableId="1287128165">
    <w:abstractNumId w:val="11"/>
    <w:lvlOverride w:ilvl="0">
      <w:startOverride w:val="1"/>
    </w:lvlOverride>
  </w:num>
  <w:num w:numId="25" w16cid:durableId="1868369317">
    <w:abstractNumId w:val="11"/>
    <w:lvlOverride w:ilvl="0">
      <w:startOverride w:val="1"/>
    </w:lvlOverride>
  </w:num>
  <w:num w:numId="26" w16cid:durableId="1465469326">
    <w:abstractNumId w:val="11"/>
    <w:lvlOverride w:ilvl="0">
      <w:startOverride w:val="1"/>
    </w:lvlOverride>
  </w:num>
  <w:num w:numId="27" w16cid:durableId="1216508359">
    <w:abstractNumId w:val="29"/>
  </w:num>
  <w:num w:numId="28" w16cid:durableId="1691756114">
    <w:abstractNumId w:val="22"/>
  </w:num>
  <w:num w:numId="29" w16cid:durableId="622927981">
    <w:abstractNumId w:val="11"/>
    <w:lvlOverride w:ilvl="0">
      <w:startOverride w:val="1"/>
    </w:lvlOverride>
  </w:num>
  <w:num w:numId="30" w16cid:durableId="2146893981">
    <w:abstractNumId w:val="11"/>
    <w:lvlOverride w:ilvl="0">
      <w:startOverride w:val="1"/>
    </w:lvlOverride>
  </w:num>
  <w:num w:numId="31" w16cid:durableId="759330329">
    <w:abstractNumId w:val="16"/>
  </w:num>
  <w:num w:numId="32" w16cid:durableId="1465272515">
    <w:abstractNumId w:val="11"/>
    <w:lvlOverride w:ilvl="0">
      <w:startOverride w:val="1"/>
    </w:lvlOverride>
  </w:num>
  <w:num w:numId="33" w16cid:durableId="1606496020">
    <w:abstractNumId w:val="11"/>
    <w:lvlOverride w:ilvl="0">
      <w:startOverride w:val="1"/>
    </w:lvlOverride>
  </w:num>
  <w:num w:numId="34" w16cid:durableId="2141457937">
    <w:abstractNumId w:val="21"/>
  </w:num>
  <w:num w:numId="35" w16cid:durableId="2073574473">
    <w:abstractNumId w:val="6"/>
  </w:num>
  <w:num w:numId="36" w16cid:durableId="1019117349">
    <w:abstractNumId w:val="25"/>
  </w:num>
  <w:num w:numId="37" w16cid:durableId="661467157">
    <w:abstractNumId w:val="24"/>
  </w:num>
  <w:num w:numId="38" w16cid:durableId="654915304">
    <w:abstractNumId w:val="1"/>
  </w:num>
  <w:num w:numId="39" w16cid:durableId="2107731504">
    <w:abstractNumId w:val="28"/>
  </w:num>
  <w:num w:numId="40" w16cid:durableId="1709069108">
    <w:abstractNumId w:val="18"/>
  </w:num>
  <w:num w:numId="41" w16cid:durableId="1720128034">
    <w:abstractNumId w:val="0"/>
  </w:num>
  <w:num w:numId="42" w16cid:durableId="1269004881">
    <w:abstractNumId w:val="2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1495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866"/>
    <w:rsid w:val="000048ED"/>
    <w:rsid w:val="00005DD9"/>
    <w:rsid w:val="00015EE8"/>
    <w:rsid w:val="000178CB"/>
    <w:rsid w:val="00024F0E"/>
    <w:rsid w:val="000328A8"/>
    <w:rsid w:val="00041A66"/>
    <w:rsid w:val="00045E93"/>
    <w:rsid w:val="00047AE2"/>
    <w:rsid w:val="0005176E"/>
    <w:rsid w:val="00054254"/>
    <w:rsid w:val="00055C79"/>
    <w:rsid w:val="000703B5"/>
    <w:rsid w:val="000711A1"/>
    <w:rsid w:val="00071429"/>
    <w:rsid w:val="00074E7C"/>
    <w:rsid w:val="000765F7"/>
    <w:rsid w:val="00077AB7"/>
    <w:rsid w:val="00081CD8"/>
    <w:rsid w:val="000A0780"/>
    <w:rsid w:val="000A0C5D"/>
    <w:rsid w:val="000A1E20"/>
    <w:rsid w:val="000A7F0E"/>
    <w:rsid w:val="000B17EE"/>
    <w:rsid w:val="000B731C"/>
    <w:rsid w:val="000C0D61"/>
    <w:rsid w:val="000D6FAD"/>
    <w:rsid w:val="000E1C55"/>
    <w:rsid w:val="000E29C9"/>
    <w:rsid w:val="000F3A3F"/>
    <w:rsid w:val="000F70AF"/>
    <w:rsid w:val="0010138F"/>
    <w:rsid w:val="00102557"/>
    <w:rsid w:val="0013022E"/>
    <w:rsid w:val="00134B86"/>
    <w:rsid w:val="00141005"/>
    <w:rsid w:val="00146250"/>
    <w:rsid w:val="00146A38"/>
    <w:rsid w:val="00150A6D"/>
    <w:rsid w:val="0015601E"/>
    <w:rsid w:val="0016075C"/>
    <w:rsid w:val="00164D56"/>
    <w:rsid w:val="00167B10"/>
    <w:rsid w:val="0017402F"/>
    <w:rsid w:val="00176720"/>
    <w:rsid w:val="001925D8"/>
    <w:rsid w:val="001930AD"/>
    <w:rsid w:val="001952ED"/>
    <w:rsid w:val="00196C1B"/>
    <w:rsid w:val="001B0F73"/>
    <w:rsid w:val="001B3AC9"/>
    <w:rsid w:val="001B7D04"/>
    <w:rsid w:val="001B7FC6"/>
    <w:rsid w:val="001C1811"/>
    <w:rsid w:val="001C3F32"/>
    <w:rsid w:val="001C5CA9"/>
    <w:rsid w:val="001C5F3E"/>
    <w:rsid w:val="001D5C04"/>
    <w:rsid w:val="001E365A"/>
    <w:rsid w:val="001E3A9D"/>
    <w:rsid w:val="00203C40"/>
    <w:rsid w:val="00203D91"/>
    <w:rsid w:val="00216546"/>
    <w:rsid w:val="00217A08"/>
    <w:rsid w:val="00222A2D"/>
    <w:rsid w:val="00223029"/>
    <w:rsid w:val="0023115D"/>
    <w:rsid w:val="00233F7B"/>
    <w:rsid w:val="00234745"/>
    <w:rsid w:val="0023791D"/>
    <w:rsid w:val="002407AF"/>
    <w:rsid w:val="00246C33"/>
    <w:rsid w:val="002748B9"/>
    <w:rsid w:val="00277458"/>
    <w:rsid w:val="00280B5F"/>
    <w:rsid w:val="00295421"/>
    <w:rsid w:val="002A3FFB"/>
    <w:rsid w:val="002A75F9"/>
    <w:rsid w:val="002B086B"/>
    <w:rsid w:val="002B28E0"/>
    <w:rsid w:val="002B504E"/>
    <w:rsid w:val="002C09E3"/>
    <w:rsid w:val="002C1FBD"/>
    <w:rsid w:val="002D035A"/>
    <w:rsid w:val="002D10BB"/>
    <w:rsid w:val="002F0057"/>
    <w:rsid w:val="002F0671"/>
    <w:rsid w:val="002F312A"/>
    <w:rsid w:val="002F424F"/>
    <w:rsid w:val="00316D73"/>
    <w:rsid w:val="00317617"/>
    <w:rsid w:val="00325CAD"/>
    <w:rsid w:val="00327EFF"/>
    <w:rsid w:val="003313C0"/>
    <w:rsid w:val="00341C77"/>
    <w:rsid w:val="00345C50"/>
    <w:rsid w:val="00345CB4"/>
    <w:rsid w:val="00345FB9"/>
    <w:rsid w:val="00346241"/>
    <w:rsid w:val="003549B8"/>
    <w:rsid w:val="00356D7F"/>
    <w:rsid w:val="003611CB"/>
    <w:rsid w:val="003667E2"/>
    <w:rsid w:val="00380822"/>
    <w:rsid w:val="00380BB1"/>
    <w:rsid w:val="00382061"/>
    <w:rsid w:val="003A7F31"/>
    <w:rsid w:val="003C3775"/>
    <w:rsid w:val="003D069C"/>
    <w:rsid w:val="003D1C83"/>
    <w:rsid w:val="003D4D07"/>
    <w:rsid w:val="003D6324"/>
    <w:rsid w:val="003D6FCE"/>
    <w:rsid w:val="003D7646"/>
    <w:rsid w:val="003E0C17"/>
    <w:rsid w:val="003F113A"/>
    <w:rsid w:val="003F1808"/>
    <w:rsid w:val="003F2BAA"/>
    <w:rsid w:val="003F3CFF"/>
    <w:rsid w:val="003F45CA"/>
    <w:rsid w:val="00400D8C"/>
    <w:rsid w:val="004016D5"/>
    <w:rsid w:val="004024DB"/>
    <w:rsid w:val="004133FC"/>
    <w:rsid w:val="00414643"/>
    <w:rsid w:val="00415E72"/>
    <w:rsid w:val="00427F74"/>
    <w:rsid w:val="004421E5"/>
    <w:rsid w:val="004460E5"/>
    <w:rsid w:val="00452284"/>
    <w:rsid w:val="00460B7B"/>
    <w:rsid w:val="0046114A"/>
    <w:rsid w:val="00465C6C"/>
    <w:rsid w:val="0047295A"/>
    <w:rsid w:val="00476AC2"/>
    <w:rsid w:val="00476DED"/>
    <w:rsid w:val="004856CA"/>
    <w:rsid w:val="004867DB"/>
    <w:rsid w:val="00492114"/>
    <w:rsid w:val="00492FB9"/>
    <w:rsid w:val="004935FF"/>
    <w:rsid w:val="00496121"/>
    <w:rsid w:val="0049705E"/>
    <w:rsid w:val="004A34A0"/>
    <w:rsid w:val="004A3579"/>
    <w:rsid w:val="004B3817"/>
    <w:rsid w:val="004C0B36"/>
    <w:rsid w:val="004C0CE1"/>
    <w:rsid w:val="004C1B01"/>
    <w:rsid w:val="004D1983"/>
    <w:rsid w:val="004D1AB0"/>
    <w:rsid w:val="004D22F9"/>
    <w:rsid w:val="004D2974"/>
    <w:rsid w:val="004E2910"/>
    <w:rsid w:val="00521AD5"/>
    <w:rsid w:val="00521F6F"/>
    <w:rsid w:val="00526B7B"/>
    <w:rsid w:val="005308CE"/>
    <w:rsid w:val="00540A8E"/>
    <w:rsid w:val="00554FA7"/>
    <w:rsid w:val="00556F28"/>
    <w:rsid w:val="00562DDD"/>
    <w:rsid w:val="0057439C"/>
    <w:rsid w:val="00574F0E"/>
    <w:rsid w:val="00583C2D"/>
    <w:rsid w:val="005856E2"/>
    <w:rsid w:val="005908CE"/>
    <w:rsid w:val="005A7471"/>
    <w:rsid w:val="005B0127"/>
    <w:rsid w:val="005B338A"/>
    <w:rsid w:val="005B7A35"/>
    <w:rsid w:val="005C2FE3"/>
    <w:rsid w:val="005C4B73"/>
    <w:rsid w:val="005D4B3A"/>
    <w:rsid w:val="005D7248"/>
    <w:rsid w:val="005E19E5"/>
    <w:rsid w:val="005E1D2B"/>
    <w:rsid w:val="005F13FE"/>
    <w:rsid w:val="005F25DB"/>
    <w:rsid w:val="005F6F69"/>
    <w:rsid w:val="00600009"/>
    <w:rsid w:val="00600587"/>
    <w:rsid w:val="00600745"/>
    <w:rsid w:val="00600D93"/>
    <w:rsid w:val="0060367E"/>
    <w:rsid w:val="00605D0F"/>
    <w:rsid w:val="00617229"/>
    <w:rsid w:val="00622067"/>
    <w:rsid w:val="0062283E"/>
    <w:rsid w:val="0063065A"/>
    <w:rsid w:val="00632565"/>
    <w:rsid w:val="0063300C"/>
    <w:rsid w:val="006359DF"/>
    <w:rsid w:val="00643090"/>
    <w:rsid w:val="0064646B"/>
    <w:rsid w:val="00655736"/>
    <w:rsid w:val="00663B8D"/>
    <w:rsid w:val="00665F59"/>
    <w:rsid w:val="0068469E"/>
    <w:rsid w:val="00687EAD"/>
    <w:rsid w:val="0069541A"/>
    <w:rsid w:val="00696220"/>
    <w:rsid w:val="00696C8D"/>
    <w:rsid w:val="006A2AC2"/>
    <w:rsid w:val="006A3617"/>
    <w:rsid w:val="006A7A56"/>
    <w:rsid w:val="006B0437"/>
    <w:rsid w:val="006B09B9"/>
    <w:rsid w:val="006B5E02"/>
    <w:rsid w:val="006B723A"/>
    <w:rsid w:val="006C3B8C"/>
    <w:rsid w:val="006C5C1C"/>
    <w:rsid w:val="006C7B36"/>
    <w:rsid w:val="006D2321"/>
    <w:rsid w:val="006E0A45"/>
    <w:rsid w:val="006E46E4"/>
    <w:rsid w:val="006E5316"/>
    <w:rsid w:val="006F6FF4"/>
    <w:rsid w:val="007035FF"/>
    <w:rsid w:val="007147E7"/>
    <w:rsid w:val="00715E86"/>
    <w:rsid w:val="00717DA5"/>
    <w:rsid w:val="00730268"/>
    <w:rsid w:val="00730BBD"/>
    <w:rsid w:val="00737B55"/>
    <w:rsid w:val="00744484"/>
    <w:rsid w:val="00747438"/>
    <w:rsid w:val="0075084F"/>
    <w:rsid w:val="00752F2B"/>
    <w:rsid w:val="00755520"/>
    <w:rsid w:val="00763A0D"/>
    <w:rsid w:val="00773188"/>
    <w:rsid w:val="00773EDA"/>
    <w:rsid w:val="00774834"/>
    <w:rsid w:val="00776659"/>
    <w:rsid w:val="007774A5"/>
    <w:rsid w:val="00783782"/>
    <w:rsid w:val="00783D90"/>
    <w:rsid w:val="00784B8C"/>
    <w:rsid w:val="007931FE"/>
    <w:rsid w:val="00793BED"/>
    <w:rsid w:val="00793E2E"/>
    <w:rsid w:val="007A6236"/>
    <w:rsid w:val="007B5887"/>
    <w:rsid w:val="007C0D2D"/>
    <w:rsid w:val="007D1891"/>
    <w:rsid w:val="007E1035"/>
    <w:rsid w:val="007E2BD8"/>
    <w:rsid w:val="007E54D9"/>
    <w:rsid w:val="007F13B2"/>
    <w:rsid w:val="008065E7"/>
    <w:rsid w:val="00807D5B"/>
    <w:rsid w:val="00810A5E"/>
    <w:rsid w:val="00823A11"/>
    <w:rsid w:val="00826DFC"/>
    <w:rsid w:val="0083254A"/>
    <w:rsid w:val="00835382"/>
    <w:rsid w:val="00835C89"/>
    <w:rsid w:val="00843D7F"/>
    <w:rsid w:val="008441EA"/>
    <w:rsid w:val="00852866"/>
    <w:rsid w:val="0085414A"/>
    <w:rsid w:val="00862592"/>
    <w:rsid w:val="0086269D"/>
    <w:rsid w:val="00864884"/>
    <w:rsid w:val="0086543A"/>
    <w:rsid w:val="008667CA"/>
    <w:rsid w:val="008724E5"/>
    <w:rsid w:val="008810CF"/>
    <w:rsid w:val="00882E97"/>
    <w:rsid w:val="00884A9D"/>
    <w:rsid w:val="0088512B"/>
    <w:rsid w:val="0089230F"/>
    <w:rsid w:val="008A2B2D"/>
    <w:rsid w:val="008A4E1E"/>
    <w:rsid w:val="008A5594"/>
    <w:rsid w:val="008B7340"/>
    <w:rsid w:val="008C1917"/>
    <w:rsid w:val="008C296C"/>
    <w:rsid w:val="008D0C04"/>
    <w:rsid w:val="008D4191"/>
    <w:rsid w:val="008D4305"/>
    <w:rsid w:val="008E1887"/>
    <w:rsid w:val="008F0288"/>
    <w:rsid w:val="008F039E"/>
    <w:rsid w:val="008F690A"/>
    <w:rsid w:val="008F7166"/>
    <w:rsid w:val="008F7882"/>
    <w:rsid w:val="009004E5"/>
    <w:rsid w:val="00901C5E"/>
    <w:rsid w:val="0091182F"/>
    <w:rsid w:val="0091465D"/>
    <w:rsid w:val="009163A7"/>
    <w:rsid w:val="00916ED8"/>
    <w:rsid w:val="009219B1"/>
    <w:rsid w:val="00931F9E"/>
    <w:rsid w:val="00940108"/>
    <w:rsid w:val="009434D5"/>
    <w:rsid w:val="00945FE9"/>
    <w:rsid w:val="00946D0B"/>
    <w:rsid w:val="00950ECA"/>
    <w:rsid w:val="00955A60"/>
    <w:rsid w:val="00960A7C"/>
    <w:rsid w:val="0097030A"/>
    <w:rsid w:val="00970AA9"/>
    <w:rsid w:val="009760B8"/>
    <w:rsid w:val="00985ACB"/>
    <w:rsid w:val="009A18CD"/>
    <w:rsid w:val="009A6BC5"/>
    <w:rsid w:val="009B792E"/>
    <w:rsid w:val="009C0307"/>
    <w:rsid w:val="009C0757"/>
    <w:rsid w:val="009C239B"/>
    <w:rsid w:val="009D1761"/>
    <w:rsid w:val="00A12558"/>
    <w:rsid w:val="00A13903"/>
    <w:rsid w:val="00A13AE9"/>
    <w:rsid w:val="00A14914"/>
    <w:rsid w:val="00A1719E"/>
    <w:rsid w:val="00A17EF2"/>
    <w:rsid w:val="00A219C3"/>
    <w:rsid w:val="00A34ED5"/>
    <w:rsid w:val="00A36B14"/>
    <w:rsid w:val="00A45DBF"/>
    <w:rsid w:val="00A52A2E"/>
    <w:rsid w:val="00A52F22"/>
    <w:rsid w:val="00A53407"/>
    <w:rsid w:val="00A645DF"/>
    <w:rsid w:val="00A707EC"/>
    <w:rsid w:val="00A73D1A"/>
    <w:rsid w:val="00A74714"/>
    <w:rsid w:val="00A755A2"/>
    <w:rsid w:val="00A84790"/>
    <w:rsid w:val="00A86770"/>
    <w:rsid w:val="00A90C2B"/>
    <w:rsid w:val="00A91486"/>
    <w:rsid w:val="00A921DC"/>
    <w:rsid w:val="00A92469"/>
    <w:rsid w:val="00A936FB"/>
    <w:rsid w:val="00A974BD"/>
    <w:rsid w:val="00AA45A4"/>
    <w:rsid w:val="00AA47C0"/>
    <w:rsid w:val="00AA6660"/>
    <w:rsid w:val="00AA7720"/>
    <w:rsid w:val="00AB2C36"/>
    <w:rsid w:val="00AB6F04"/>
    <w:rsid w:val="00AB70B6"/>
    <w:rsid w:val="00AB7E1F"/>
    <w:rsid w:val="00AD0D97"/>
    <w:rsid w:val="00AD111A"/>
    <w:rsid w:val="00AD1A86"/>
    <w:rsid w:val="00AD1B19"/>
    <w:rsid w:val="00AE103E"/>
    <w:rsid w:val="00AF0A07"/>
    <w:rsid w:val="00AF4AEC"/>
    <w:rsid w:val="00AF625E"/>
    <w:rsid w:val="00B05A51"/>
    <w:rsid w:val="00B06467"/>
    <w:rsid w:val="00B209EB"/>
    <w:rsid w:val="00B218BB"/>
    <w:rsid w:val="00B26B9A"/>
    <w:rsid w:val="00B335C7"/>
    <w:rsid w:val="00B3497A"/>
    <w:rsid w:val="00B35D86"/>
    <w:rsid w:val="00B43C6F"/>
    <w:rsid w:val="00B45139"/>
    <w:rsid w:val="00B50004"/>
    <w:rsid w:val="00B51DDB"/>
    <w:rsid w:val="00B5665A"/>
    <w:rsid w:val="00B568F6"/>
    <w:rsid w:val="00B62CB1"/>
    <w:rsid w:val="00B6539A"/>
    <w:rsid w:val="00B709C3"/>
    <w:rsid w:val="00B83C29"/>
    <w:rsid w:val="00B84559"/>
    <w:rsid w:val="00B964DC"/>
    <w:rsid w:val="00B96B09"/>
    <w:rsid w:val="00B97CE3"/>
    <w:rsid w:val="00BB04AF"/>
    <w:rsid w:val="00BB414C"/>
    <w:rsid w:val="00BB6BEB"/>
    <w:rsid w:val="00BC1E90"/>
    <w:rsid w:val="00BD4276"/>
    <w:rsid w:val="00BD52C9"/>
    <w:rsid w:val="00BE6354"/>
    <w:rsid w:val="00BF6C2F"/>
    <w:rsid w:val="00BF7904"/>
    <w:rsid w:val="00C03EF6"/>
    <w:rsid w:val="00C0778A"/>
    <w:rsid w:val="00C1567B"/>
    <w:rsid w:val="00C157A0"/>
    <w:rsid w:val="00C23046"/>
    <w:rsid w:val="00C23A97"/>
    <w:rsid w:val="00C26388"/>
    <w:rsid w:val="00C3000C"/>
    <w:rsid w:val="00C351B5"/>
    <w:rsid w:val="00C41BAF"/>
    <w:rsid w:val="00C44206"/>
    <w:rsid w:val="00C46C61"/>
    <w:rsid w:val="00C50DDB"/>
    <w:rsid w:val="00C53CE0"/>
    <w:rsid w:val="00C605F1"/>
    <w:rsid w:val="00C6574E"/>
    <w:rsid w:val="00C70EA7"/>
    <w:rsid w:val="00C7516E"/>
    <w:rsid w:val="00C75770"/>
    <w:rsid w:val="00C979CC"/>
    <w:rsid w:val="00CA1A55"/>
    <w:rsid w:val="00CA49EB"/>
    <w:rsid w:val="00CA67D4"/>
    <w:rsid w:val="00CB0D71"/>
    <w:rsid w:val="00CB223B"/>
    <w:rsid w:val="00CD1380"/>
    <w:rsid w:val="00CF2CFD"/>
    <w:rsid w:val="00CF2D18"/>
    <w:rsid w:val="00CF79BA"/>
    <w:rsid w:val="00D00B2B"/>
    <w:rsid w:val="00D0757A"/>
    <w:rsid w:val="00D1245E"/>
    <w:rsid w:val="00D15C68"/>
    <w:rsid w:val="00D24877"/>
    <w:rsid w:val="00D36339"/>
    <w:rsid w:val="00D40870"/>
    <w:rsid w:val="00D509C6"/>
    <w:rsid w:val="00D50BE9"/>
    <w:rsid w:val="00D577BE"/>
    <w:rsid w:val="00D62693"/>
    <w:rsid w:val="00D63147"/>
    <w:rsid w:val="00D6683B"/>
    <w:rsid w:val="00D813DA"/>
    <w:rsid w:val="00D82A00"/>
    <w:rsid w:val="00D8711B"/>
    <w:rsid w:val="00D876F7"/>
    <w:rsid w:val="00D90F9F"/>
    <w:rsid w:val="00D92D05"/>
    <w:rsid w:val="00D95C4C"/>
    <w:rsid w:val="00D96263"/>
    <w:rsid w:val="00D96DA1"/>
    <w:rsid w:val="00D97EE2"/>
    <w:rsid w:val="00DA2729"/>
    <w:rsid w:val="00DA3044"/>
    <w:rsid w:val="00DA36ED"/>
    <w:rsid w:val="00DA404A"/>
    <w:rsid w:val="00DA4672"/>
    <w:rsid w:val="00DB027F"/>
    <w:rsid w:val="00DB07BB"/>
    <w:rsid w:val="00DB0C1A"/>
    <w:rsid w:val="00DB5736"/>
    <w:rsid w:val="00DD0438"/>
    <w:rsid w:val="00DD2014"/>
    <w:rsid w:val="00DD2731"/>
    <w:rsid w:val="00DD6AAC"/>
    <w:rsid w:val="00DD7BA1"/>
    <w:rsid w:val="00DE34F1"/>
    <w:rsid w:val="00DE4ECF"/>
    <w:rsid w:val="00DF04E2"/>
    <w:rsid w:val="00DF0967"/>
    <w:rsid w:val="00DF0C76"/>
    <w:rsid w:val="00DF27C8"/>
    <w:rsid w:val="00DF397B"/>
    <w:rsid w:val="00DF4671"/>
    <w:rsid w:val="00DF4942"/>
    <w:rsid w:val="00E06B65"/>
    <w:rsid w:val="00E070F4"/>
    <w:rsid w:val="00E15725"/>
    <w:rsid w:val="00E206E4"/>
    <w:rsid w:val="00E31EB4"/>
    <w:rsid w:val="00E32FA6"/>
    <w:rsid w:val="00E3408C"/>
    <w:rsid w:val="00E357DC"/>
    <w:rsid w:val="00E35EDA"/>
    <w:rsid w:val="00E42C85"/>
    <w:rsid w:val="00E52485"/>
    <w:rsid w:val="00E572C6"/>
    <w:rsid w:val="00E627B1"/>
    <w:rsid w:val="00E654FB"/>
    <w:rsid w:val="00E70AAD"/>
    <w:rsid w:val="00E9376C"/>
    <w:rsid w:val="00EA115B"/>
    <w:rsid w:val="00EA1476"/>
    <w:rsid w:val="00EA335E"/>
    <w:rsid w:val="00EA528C"/>
    <w:rsid w:val="00EB0E66"/>
    <w:rsid w:val="00EB233E"/>
    <w:rsid w:val="00EB322A"/>
    <w:rsid w:val="00EB687F"/>
    <w:rsid w:val="00EB6E34"/>
    <w:rsid w:val="00EC1261"/>
    <w:rsid w:val="00EE2AAE"/>
    <w:rsid w:val="00EE4653"/>
    <w:rsid w:val="00EE4C26"/>
    <w:rsid w:val="00EF34E2"/>
    <w:rsid w:val="00EF4F1F"/>
    <w:rsid w:val="00EF6E63"/>
    <w:rsid w:val="00F0628D"/>
    <w:rsid w:val="00F15A4B"/>
    <w:rsid w:val="00F24669"/>
    <w:rsid w:val="00F2533F"/>
    <w:rsid w:val="00F279AD"/>
    <w:rsid w:val="00F3039A"/>
    <w:rsid w:val="00F336EC"/>
    <w:rsid w:val="00F33C47"/>
    <w:rsid w:val="00F408D4"/>
    <w:rsid w:val="00F43D52"/>
    <w:rsid w:val="00F477F0"/>
    <w:rsid w:val="00F537F4"/>
    <w:rsid w:val="00F53DE9"/>
    <w:rsid w:val="00F576CB"/>
    <w:rsid w:val="00F71A02"/>
    <w:rsid w:val="00F77D87"/>
    <w:rsid w:val="00F85083"/>
    <w:rsid w:val="00FA20D2"/>
    <w:rsid w:val="00FA29A7"/>
    <w:rsid w:val="00FA59E3"/>
    <w:rsid w:val="00FA7166"/>
    <w:rsid w:val="00FB6630"/>
    <w:rsid w:val="00FC017A"/>
    <w:rsid w:val="00FC033F"/>
    <w:rsid w:val="00FC076B"/>
    <w:rsid w:val="00FD07EB"/>
    <w:rsid w:val="00FD1226"/>
    <w:rsid w:val="00FD3ED2"/>
    <w:rsid w:val="00FE0F49"/>
    <w:rsid w:val="00FE5202"/>
    <w:rsid w:val="00FE523F"/>
    <w:rsid w:val="00FF45EA"/>
    <w:rsid w:val="00FF4830"/>
    <w:rsid w:val="00FF5FAC"/>
    <w:rsid w:val="00FF66B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9505"/>
    <o:shapelayout v:ext="edit">
      <o:idmap v:ext="edit" data="1"/>
    </o:shapelayout>
  </w:shapeDefaults>
  <w:decimalSymbol w:val=","/>
  <w:listSeparator w:val=";"/>
  <w14:docId w14:val="6EB66AF4"/>
  <w15:docId w15:val="{4E64178C-3778-41F6-A258-D02079643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SimSun" w:hAnsi="Calibri"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qFormat="1"/>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45CB4"/>
    <w:rPr>
      <w:rFonts w:ascii="Times New Roman" w:eastAsia="Times New Roman" w:hAnsi="Times New Roman"/>
      <w:sz w:val="24"/>
      <w:szCs w:val="24"/>
      <w:lang w:val="fr-FR" w:eastAsia="fr-FR"/>
    </w:rPr>
  </w:style>
  <w:style w:type="paragraph" w:styleId="Titre1">
    <w:name w:val="heading 1"/>
    <w:basedOn w:val="Normal"/>
    <w:next w:val="Normal"/>
    <w:link w:val="Titre1Car"/>
    <w:uiPriority w:val="9"/>
    <w:rsid w:val="001B3AC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qFormat/>
    <w:rsid w:val="00564DDB"/>
    <w:pPr>
      <w:keepNext/>
      <w:spacing w:before="240" w:after="60"/>
      <w:outlineLvl w:val="1"/>
    </w:pPr>
    <w:rPr>
      <w:rFonts w:ascii="Cambria" w:hAnsi="Cambria"/>
      <w:b/>
      <w:bCs/>
      <w:i/>
      <w:iCs/>
      <w:sz w:val="28"/>
      <w:szCs w:val="28"/>
    </w:rPr>
  </w:style>
  <w:style w:type="paragraph" w:styleId="Titre4">
    <w:name w:val="heading 4"/>
    <w:aliases w:val="GA Heading"/>
    <w:basedOn w:val="Normal"/>
    <w:next w:val="Normal"/>
    <w:link w:val="Titre4Car"/>
    <w:qFormat/>
    <w:rsid w:val="00F71A02"/>
    <w:pPr>
      <w:keepNext/>
      <w:keepLines/>
      <w:numPr>
        <w:numId w:val="4"/>
      </w:numPr>
      <w:tabs>
        <w:tab w:val="left" w:pos="567"/>
      </w:tabs>
      <w:snapToGrid w:val="0"/>
      <w:spacing w:after="240"/>
      <w:ind w:left="567" w:hanging="567"/>
      <w:outlineLvl w:val="3"/>
    </w:pPr>
    <w:rPr>
      <w:rFonts w:ascii="Arial" w:hAnsi="Arial"/>
      <w:b/>
      <w:bCs/>
      <w:snapToGrid w:val="0"/>
      <w:sz w:val="22"/>
      <w:lang w:val="en-GB" w:eastAsia="en-US"/>
    </w:rPr>
  </w:style>
  <w:style w:type="paragraph" w:styleId="Titre7">
    <w:name w:val="heading 7"/>
    <w:basedOn w:val="Normal"/>
    <w:next w:val="Normal"/>
    <w:link w:val="Titre7Car"/>
    <w:uiPriority w:val="9"/>
    <w:semiHidden/>
    <w:unhideWhenUsed/>
    <w:qFormat/>
    <w:rsid w:val="00521F6F"/>
    <w:pPr>
      <w:keepNext/>
      <w:keepLines/>
      <w:spacing w:before="40"/>
      <w:outlineLvl w:val="6"/>
    </w:pPr>
    <w:rPr>
      <w:rFonts w:asciiTheme="majorHAnsi" w:eastAsiaTheme="majorEastAsia" w:hAnsiTheme="majorHAnsi" w:cstheme="majorBidi"/>
      <w:i/>
      <w:iCs/>
      <w:color w:val="1F4D78" w:themeColor="accent1" w:themeShade="7F"/>
    </w:rPr>
  </w:style>
  <w:style w:type="paragraph" w:styleId="Titre9">
    <w:name w:val="heading 9"/>
    <w:basedOn w:val="Normal"/>
    <w:next w:val="Normal"/>
    <w:link w:val="Titre9Car"/>
    <w:uiPriority w:val="9"/>
    <w:semiHidden/>
    <w:unhideWhenUsed/>
    <w:qFormat/>
    <w:rsid w:val="00521F6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8724E5"/>
    <w:pPr>
      <w:tabs>
        <w:tab w:val="center" w:pos="4536"/>
        <w:tab w:val="right" w:pos="9072"/>
      </w:tabs>
    </w:pPr>
  </w:style>
  <w:style w:type="character" w:customStyle="1" w:styleId="En-tteCar">
    <w:name w:val="En-tête Car"/>
    <w:link w:val="En-tte"/>
    <w:rsid w:val="008724E5"/>
    <w:rPr>
      <w:lang w:val="en-GB"/>
    </w:rPr>
  </w:style>
  <w:style w:type="paragraph" w:styleId="Pieddepage">
    <w:name w:val="footer"/>
    <w:basedOn w:val="Normal"/>
    <w:link w:val="PieddepageCar"/>
    <w:uiPriority w:val="99"/>
    <w:unhideWhenUsed/>
    <w:rsid w:val="008724E5"/>
    <w:pPr>
      <w:tabs>
        <w:tab w:val="center" w:pos="4536"/>
        <w:tab w:val="right" w:pos="9072"/>
      </w:tabs>
    </w:pPr>
  </w:style>
  <w:style w:type="character" w:customStyle="1" w:styleId="PieddepageCar">
    <w:name w:val="Pied de page Car"/>
    <w:link w:val="Pieddepage"/>
    <w:uiPriority w:val="99"/>
    <w:rsid w:val="008724E5"/>
    <w:rPr>
      <w:lang w:val="en-GB"/>
    </w:rPr>
  </w:style>
  <w:style w:type="paragraph" w:styleId="Textedebulles">
    <w:name w:val="Balloon Text"/>
    <w:basedOn w:val="Normal"/>
    <w:link w:val="TextedebullesCar"/>
    <w:uiPriority w:val="99"/>
    <w:semiHidden/>
    <w:unhideWhenUsed/>
    <w:rsid w:val="008724E5"/>
    <w:rPr>
      <w:rFonts w:ascii="Tahoma" w:hAnsi="Tahoma" w:cs="Tahoma"/>
      <w:sz w:val="16"/>
      <w:szCs w:val="16"/>
    </w:rPr>
  </w:style>
  <w:style w:type="character" w:customStyle="1" w:styleId="TextedebullesCar">
    <w:name w:val="Texte de bulles Car"/>
    <w:link w:val="Textedebulles"/>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lang w:val="fr-FR" w:eastAsia="fr-FR"/>
    </w:rPr>
  </w:style>
  <w:style w:type="table" w:styleId="Grilledutableau">
    <w:name w:val="Table Grid"/>
    <w:basedOn w:val="Tableau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rodepage">
    <w:name w:val="page number"/>
    <w:basedOn w:val="Policepardfaut"/>
    <w:semiHidden/>
    <w:rsid w:val="00EF563B"/>
  </w:style>
  <w:style w:type="character" w:customStyle="1" w:styleId="Titre4Car">
    <w:name w:val="Titre 4 Car"/>
    <w:aliases w:val="GA Heading Car"/>
    <w:link w:val="Titre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qFormat/>
    <w:rsid w:val="00F66657"/>
    <w:pPr>
      <w:ind w:left="720"/>
      <w:contextualSpacing/>
    </w:pPr>
  </w:style>
  <w:style w:type="character" w:customStyle="1" w:styleId="Titre2Car">
    <w:name w:val="Titre 2 Car"/>
    <w:link w:val="Titre2"/>
    <w:uiPriority w:val="9"/>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1"/>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Policepardfaut"/>
    <w:rsid w:val="00564DDB"/>
  </w:style>
  <w:style w:type="character" w:customStyle="1" w:styleId="apple-converted-space">
    <w:name w:val="apple-converted-space"/>
    <w:basedOn w:val="Policepardfaut"/>
    <w:rsid w:val="00564DDB"/>
  </w:style>
  <w:style w:type="paragraph" w:customStyle="1" w:styleId="Sansinterligne1">
    <w:name w:val="Sans interligne1"/>
    <w:uiPriority w:val="1"/>
    <w:qFormat/>
    <w:rsid w:val="0057439C"/>
    <w:rPr>
      <w:rFonts w:ascii="Times New Roman" w:eastAsia="Times New Roman" w:hAnsi="Times New Roman"/>
      <w:sz w:val="24"/>
      <w:szCs w:val="24"/>
      <w:lang w:val="fr-FR" w:eastAsia="fr-FR"/>
    </w:rPr>
  </w:style>
  <w:style w:type="paragraph" w:customStyle="1" w:styleId="GAPara">
    <w:name w:val="GA Para"/>
    <w:qFormat/>
    <w:rsid w:val="00345CB4"/>
    <w:pPr>
      <w:numPr>
        <w:numId w:val="2"/>
      </w:numPr>
      <w:spacing w:after="120"/>
      <w:ind w:left="567" w:hanging="567"/>
    </w:pPr>
    <w:rPr>
      <w:rFonts w:ascii="Arial" w:eastAsia="Times New Roman" w:hAnsi="Arial" w:cs="Arial"/>
      <w:snapToGrid w:val="0"/>
      <w:sz w:val="22"/>
      <w:szCs w:val="22"/>
      <w:lang w:eastAsia="en-US"/>
    </w:rPr>
  </w:style>
  <w:style w:type="paragraph" w:customStyle="1" w:styleId="GATitleResolution">
    <w:name w:val="GA Title Resolution"/>
    <w:basedOn w:val="Normal"/>
    <w:qFormat/>
    <w:rsid w:val="00024F0E"/>
    <w:pPr>
      <w:keepNext/>
      <w:spacing w:before="360" w:after="120"/>
      <w:jc w:val="both"/>
    </w:pPr>
    <w:rPr>
      <w:rFonts w:ascii="Arial" w:hAnsi="Arial" w:cs="Arial"/>
      <w:b/>
      <w:sz w:val="22"/>
      <w:szCs w:val="22"/>
      <w:lang w:val="en-GB"/>
    </w:rPr>
  </w:style>
  <w:style w:type="paragraph" w:customStyle="1" w:styleId="GAPreambulaResolution">
    <w:name w:val="GA Preambula Resolution"/>
    <w:basedOn w:val="Normal"/>
    <w:qFormat/>
    <w:rsid w:val="00041A66"/>
    <w:pPr>
      <w:keepNext/>
      <w:spacing w:after="120"/>
      <w:ind w:left="567"/>
      <w:jc w:val="both"/>
    </w:pPr>
    <w:rPr>
      <w:rFonts w:ascii="Arial" w:hAnsi="Arial" w:cs="Arial"/>
      <w:sz w:val="22"/>
      <w:szCs w:val="22"/>
      <w:lang w:val="en-GB"/>
    </w:rPr>
  </w:style>
  <w:style w:type="paragraph" w:customStyle="1" w:styleId="GAParaResolution">
    <w:name w:val="GA Para Resolution"/>
    <w:basedOn w:val="Normal"/>
    <w:qFormat/>
    <w:rsid w:val="00345CB4"/>
    <w:pPr>
      <w:autoSpaceDE w:val="0"/>
      <w:autoSpaceDN w:val="0"/>
      <w:adjustRightInd w:val="0"/>
      <w:spacing w:after="120"/>
      <w:jc w:val="both"/>
    </w:pPr>
    <w:rPr>
      <w:rFonts w:ascii="Arial" w:eastAsia="SimSun" w:hAnsi="Arial" w:cs="Arial"/>
      <w:sz w:val="22"/>
      <w:szCs w:val="22"/>
      <w:u w:val="single"/>
      <w:lang w:val="en-GB"/>
    </w:rPr>
  </w:style>
  <w:style w:type="paragraph" w:styleId="Paragraphedeliste">
    <w:name w:val="List Paragraph"/>
    <w:aliases w:val="Table of contents numbered,Normal bullet 2,Bullet list,List Paragraph1,Numbered List,1st level - Bullet List Paragraph,Lettre d'introduction,lp1,Farbige Liste - Akzent 11,List Paragraph compact,Paragraphe de liste 2,Reference list"/>
    <w:basedOn w:val="Normal"/>
    <w:link w:val="ParagraphedelisteCar"/>
    <w:uiPriority w:val="34"/>
    <w:qFormat/>
    <w:rsid w:val="002F312A"/>
    <w:pPr>
      <w:ind w:left="720"/>
      <w:contextualSpacing/>
    </w:pPr>
  </w:style>
  <w:style w:type="paragraph" w:customStyle="1" w:styleId="5GAParaResolution">
    <w:name w:val="5GA Para Resolution"/>
    <w:basedOn w:val="Normal"/>
    <w:qFormat/>
    <w:rsid w:val="00F85083"/>
    <w:pPr>
      <w:autoSpaceDE w:val="0"/>
      <w:autoSpaceDN w:val="0"/>
      <w:adjustRightInd w:val="0"/>
      <w:spacing w:after="120"/>
      <w:ind w:left="1134" w:hanging="567"/>
      <w:jc w:val="both"/>
    </w:pPr>
    <w:rPr>
      <w:rFonts w:ascii="Arial" w:eastAsia="SimSun" w:hAnsi="Arial" w:cs="Arial"/>
      <w:sz w:val="22"/>
      <w:szCs w:val="22"/>
      <w:lang w:val="en-GB"/>
    </w:rPr>
  </w:style>
  <w:style w:type="paragraph" w:customStyle="1" w:styleId="COMPara">
    <w:name w:val="COM Para"/>
    <w:qFormat/>
    <w:rsid w:val="006C3B8C"/>
    <w:pPr>
      <w:spacing w:after="120"/>
      <w:ind w:left="720" w:hanging="360"/>
    </w:pPr>
    <w:rPr>
      <w:rFonts w:ascii="Arial" w:eastAsia="Times New Roman" w:hAnsi="Arial" w:cs="Arial"/>
      <w:snapToGrid w:val="0"/>
      <w:sz w:val="22"/>
      <w:szCs w:val="22"/>
      <w:lang w:eastAsia="en-US"/>
    </w:rPr>
  </w:style>
  <w:style w:type="paragraph" w:customStyle="1" w:styleId="I1">
    <w:name w:val="I.1"/>
    <w:basedOn w:val="Normal"/>
    <w:qFormat/>
    <w:rsid w:val="00CF79BA"/>
    <w:pPr>
      <w:keepNext/>
      <w:widowControl w:val="0"/>
      <w:tabs>
        <w:tab w:val="left" w:pos="567"/>
      </w:tabs>
      <w:autoSpaceDE w:val="0"/>
      <w:autoSpaceDN w:val="0"/>
      <w:adjustRightInd w:val="0"/>
      <w:spacing w:before="240" w:after="120"/>
      <w:ind w:left="567" w:hanging="567"/>
    </w:pPr>
    <w:rPr>
      <w:rFonts w:ascii="Arial" w:hAnsi="Arial" w:cs="Arial"/>
      <w:spacing w:val="-12"/>
      <w:sz w:val="22"/>
      <w:szCs w:val="22"/>
      <w:lang w:val="en-US"/>
    </w:rPr>
  </w:style>
  <w:style w:type="paragraph" w:customStyle="1" w:styleId="U1">
    <w:name w:val="U.1"/>
    <w:basedOn w:val="Normal"/>
    <w:qFormat/>
    <w:rsid w:val="00CF79BA"/>
    <w:pPr>
      <w:widowControl w:val="0"/>
      <w:tabs>
        <w:tab w:val="left" w:pos="1701"/>
      </w:tabs>
      <w:autoSpaceDE w:val="0"/>
      <w:autoSpaceDN w:val="0"/>
      <w:adjustRightInd w:val="0"/>
      <w:spacing w:after="120"/>
      <w:ind w:left="1701" w:hanging="567"/>
    </w:pPr>
    <w:rPr>
      <w:rFonts w:ascii="Arial" w:hAnsi="Arial" w:cs="Arial"/>
      <w:sz w:val="22"/>
      <w:szCs w:val="22"/>
      <w:lang w:val="en-US"/>
    </w:rPr>
  </w:style>
  <w:style w:type="paragraph" w:customStyle="1" w:styleId="1">
    <w:name w:val="1."/>
    <w:basedOn w:val="Normal"/>
    <w:qFormat/>
    <w:rsid w:val="00CF79BA"/>
    <w:pPr>
      <w:widowControl w:val="0"/>
      <w:tabs>
        <w:tab w:val="left" w:pos="1134"/>
      </w:tabs>
      <w:autoSpaceDE w:val="0"/>
      <w:autoSpaceDN w:val="0"/>
      <w:adjustRightInd w:val="0"/>
      <w:spacing w:after="120"/>
      <w:ind w:left="1134" w:hanging="567"/>
    </w:pPr>
    <w:rPr>
      <w:rFonts w:ascii="Arial" w:hAnsi="Arial" w:cs="Arial"/>
      <w:w w:val="96"/>
      <w:sz w:val="22"/>
      <w:szCs w:val="22"/>
      <w:lang w:val="en-US"/>
    </w:rPr>
  </w:style>
  <w:style w:type="paragraph" w:customStyle="1" w:styleId="ChapitreI1">
    <w:name w:val="Chapitre I.1"/>
    <w:basedOn w:val="Normal"/>
    <w:rsid w:val="00CF79BA"/>
    <w:pPr>
      <w:keepNext/>
      <w:keepLines/>
      <w:spacing w:before="240"/>
    </w:pPr>
    <w:rPr>
      <w:rFonts w:ascii="Arial" w:eastAsia="SimSun" w:hAnsi="Arial"/>
      <w:b/>
      <w:sz w:val="22"/>
      <w:lang w:eastAsia="zh-CN"/>
    </w:rPr>
  </w:style>
  <w:style w:type="paragraph" w:customStyle="1" w:styleId="dates">
    <w:name w:val="dates"/>
    <w:basedOn w:val="Normal"/>
    <w:qFormat/>
    <w:rsid w:val="00415E72"/>
    <w:pPr>
      <w:widowControl w:val="0"/>
      <w:tabs>
        <w:tab w:val="left" w:pos="2268"/>
      </w:tabs>
      <w:autoSpaceDE w:val="0"/>
      <w:autoSpaceDN w:val="0"/>
      <w:adjustRightInd w:val="0"/>
      <w:spacing w:after="120"/>
      <w:ind w:left="2268" w:hanging="1134"/>
    </w:pPr>
    <w:rPr>
      <w:rFonts w:ascii="Arial" w:eastAsia="SimSun" w:hAnsi="Arial" w:cs="Arial"/>
      <w:w w:val="90"/>
      <w:sz w:val="22"/>
      <w:szCs w:val="22"/>
      <w:lang w:val="en-US"/>
    </w:rPr>
  </w:style>
  <w:style w:type="character" w:customStyle="1" w:styleId="st1">
    <w:name w:val="st1"/>
    <w:rsid w:val="002B28E0"/>
  </w:style>
  <w:style w:type="character" w:styleId="Lienhypertexte">
    <w:name w:val="Hyperlink"/>
    <w:aliases w:val=" Car Car3 Char, Car Car3 Char Char Char Char"/>
    <w:link w:val="CarCar3"/>
    <w:uiPriority w:val="99"/>
    <w:unhideWhenUsed/>
    <w:rsid w:val="008F039E"/>
    <w:rPr>
      <w:color w:val="0000FF"/>
      <w:u w:val="single"/>
    </w:rPr>
  </w:style>
  <w:style w:type="paragraph" w:customStyle="1" w:styleId="i">
    <w:name w:val="(i)"/>
    <w:basedOn w:val="Normal"/>
    <w:link w:val="iChar"/>
    <w:autoRedefine/>
    <w:qFormat/>
    <w:rsid w:val="008F039E"/>
    <w:pPr>
      <w:numPr>
        <w:numId w:val="5"/>
      </w:numPr>
      <w:autoSpaceDE w:val="0"/>
      <w:autoSpaceDN w:val="0"/>
      <w:adjustRightInd w:val="0"/>
      <w:spacing w:before="120" w:after="120"/>
      <w:ind w:right="284"/>
      <w:jc w:val="both"/>
    </w:pPr>
    <w:rPr>
      <w:rFonts w:ascii="Arial" w:eastAsia="SimSun" w:hAnsi="Arial" w:cs="Arial"/>
      <w:w w:val="90"/>
      <w:sz w:val="22"/>
      <w:szCs w:val="22"/>
      <w:lang w:val="en-US"/>
    </w:rPr>
  </w:style>
  <w:style w:type="character" w:customStyle="1" w:styleId="iChar">
    <w:name w:val="(i) Char"/>
    <w:link w:val="i"/>
    <w:locked/>
    <w:rsid w:val="008F039E"/>
    <w:rPr>
      <w:rFonts w:ascii="Arial" w:hAnsi="Arial" w:cs="Arial"/>
      <w:w w:val="90"/>
      <w:sz w:val="22"/>
      <w:szCs w:val="22"/>
      <w:lang w:val="en-US" w:eastAsia="fr-FR"/>
    </w:rPr>
  </w:style>
  <w:style w:type="table" w:customStyle="1" w:styleId="TableGrid1">
    <w:name w:val="Table Grid1"/>
    <w:basedOn w:val="TableauNormal"/>
    <w:next w:val="Grilledutableau"/>
    <w:uiPriority w:val="59"/>
    <w:rsid w:val="00C157A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MParaDecision">
    <w:name w:val="COM Para Decision"/>
    <w:basedOn w:val="Normal"/>
    <w:qFormat/>
    <w:rsid w:val="00C157A0"/>
    <w:pPr>
      <w:autoSpaceDE w:val="0"/>
      <w:autoSpaceDN w:val="0"/>
      <w:adjustRightInd w:val="0"/>
      <w:spacing w:after="120"/>
      <w:ind w:left="1134" w:hanging="567"/>
      <w:jc w:val="both"/>
    </w:pPr>
    <w:rPr>
      <w:rFonts w:ascii="Arial" w:eastAsia="SimSun" w:hAnsi="Arial" w:cs="Arial"/>
      <w:sz w:val="22"/>
      <w:szCs w:val="22"/>
      <w:u w:val="single"/>
      <w:lang w:val="en-GB"/>
    </w:rPr>
  </w:style>
  <w:style w:type="paragraph" w:customStyle="1" w:styleId="5GAparabodytext">
    <w:name w:val="5GA para body text"/>
    <w:qFormat/>
    <w:rsid w:val="00FF45EA"/>
    <w:pPr>
      <w:keepNext/>
      <w:spacing w:after="120" w:line="360" w:lineRule="auto"/>
      <w:ind w:left="720" w:hanging="360"/>
    </w:pPr>
    <w:rPr>
      <w:rFonts w:ascii="Arial" w:eastAsia="Times New Roman" w:hAnsi="Arial" w:cs="Arial"/>
      <w:snapToGrid w:val="0"/>
      <w:sz w:val="22"/>
      <w:szCs w:val="22"/>
      <w:lang w:eastAsia="en-US"/>
    </w:rPr>
  </w:style>
  <w:style w:type="paragraph" w:customStyle="1" w:styleId="5GATitleResolution">
    <w:name w:val="5GA Title Resolution"/>
    <w:basedOn w:val="Normal"/>
    <w:qFormat/>
    <w:rsid w:val="00FF45EA"/>
    <w:pPr>
      <w:keepNext/>
      <w:spacing w:before="240" w:after="120"/>
      <w:ind w:left="567"/>
      <w:jc w:val="both"/>
    </w:pPr>
    <w:rPr>
      <w:rFonts w:ascii="Arial" w:hAnsi="Arial" w:cs="Arial"/>
      <w:b/>
      <w:sz w:val="22"/>
      <w:szCs w:val="22"/>
      <w:lang w:val="en-GB"/>
    </w:rPr>
  </w:style>
  <w:style w:type="paragraph" w:customStyle="1" w:styleId="5GAPreambulaResolution">
    <w:name w:val="5GA Preambula Resolution"/>
    <w:basedOn w:val="Normal"/>
    <w:qFormat/>
    <w:rsid w:val="00FF45EA"/>
    <w:pPr>
      <w:keepNext/>
      <w:spacing w:after="120"/>
      <w:ind w:left="567"/>
      <w:jc w:val="both"/>
    </w:pPr>
    <w:rPr>
      <w:rFonts w:ascii="Arial" w:hAnsi="Arial" w:cs="Arial"/>
      <w:sz w:val="22"/>
      <w:szCs w:val="22"/>
      <w:lang w:val="en-GB"/>
    </w:rPr>
  </w:style>
  <w:style w:type="paragraph" w:styleId="Notedebasdepage">
    <w:name w:val="footnote text"/>
    <w:basedOn w:val="Normal"/>
    <w:link w:val="NotedebasdepageCar"/>
    <w:uiPriority w:val="99"/>
    <w:unhideWhenUsed/>
    <w:rsid w:val="00FF45EA"/>
    <w:rPr>
      <w:sz w:val="20"/>
      <w:szCs w:val="20"/>
      <w:lang w:val="x-none"/>
    </w:rPr>
  </w:style>
  <w:style w:type="character" w:customStyle="1" w:styleId="NotedebasdepageCar">
    <w:name w:val="Note de bas de page Car"/>
    <w:basedOn w:val="Policepardfaut"/>
    <w:link w:val="Notedebasdepage"/>
    <w:uiPriority w:val="99"/>
    <w:rsid w:val="00FF45EA"/>
    <w:rPr>
      <w:rFonts w:ascii="Times New Roman" w:eastAsia="Times New Roman" w:hAnsi="Times New Roman"/>
      <w:lang w:val="x-none" w:eastAsia="fr-FR"/>
    </w:rPr>
  </w:style>
  <w:style w:type="character" w:styleId="Appelnotedebasdep">
    <w:name w:val="footnote reference"/>
    <w:uiPriority w:val="99"/>
    <w:unhideWhenUsed/>
    <w:rsid w:val="00FF45EA"/>
    <w:rPr>
      <w:vertAlign w:val="superscript"/>
    </w:rPr>
  </w:style>
  <w:style w:type="paragraph" w:customStyle="1" w:styleId="alina">
    <w:name w:val="alinéa"/>
    <w:basedOn w:val="Normal"/>
    <w:rsid w:val="00FF45EA"/>
    <w:pPr>
      <w:spacing w:after="240"/>
      <w:ind w:left="567"/>
      <w:jc w:val="both"/>
    </w:pPr>
    <w:rPr>
      <w:rFonts w:ascii="Arial" w:hAnsi="Arial"/>
      <w:snapToGrid w:val="0"/>
      <w:lang w:val="en-US"/>
    </w:rPr>
  </w:style>
  <w:style w:type="paragraph" w:customStyle="1" w:styleId="c">
    <w:name w:val="(c)"/>
    <w:basedOn w:val="Normal"/>
    <w:rsid w:val="00FF45EA"/>
    <w:pPr>
      <w:tabs>
        <w:tab w:val="left" w:pos="1701"/>
      </w:tabs>
      <w:spacing w:after="240"/>
      <w:ind w:left="1701" w:hanging="567"/>
      <w:jc w:val="both"/>
    </w:pPr>
    <w:rPr>
      <w:rFonts w:ascii="Arial" w:hAnsi="Arial"/>
      <w:lang w:val="en-US"/>
    </w:rPr>
  </w:style>
  <w:style w:type="paragraph" w:customStyle="1" w:styleId="COMTitleDecision">
    <w:name w:val="COM Title Decision"/>
    <w:basedOn w:val="Normal"/>
    <w:qFormat/>
    <w:rsid w:val="00A9148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A91486"/>
    <w:pPr>
      <w:keepNext/>
      <w:spacing w:after="120"/>
      <w:ind w:left="567"/>
      <w:jc w:val="both"/>
    </w:pPr>
    <w:rPr>
      <w:rFonts w:ascii="Arial" w:hAnsi="Arial" w:cs="Arial"/>
      <w:sz w:val="22"/>
      <w:szCs w:val="22"/>
      <w:lang w:val="en-GB"/>
    </w:rPr>
  </w:style>
  <w:style w:type="paragraph" w:customStyle="1" w:styleId="Annex">
    <w:name w:val="Annex"/>
    <w:basedOn w:val="Normal"/>
    <w:next w:val="Normal"/>
    <w:rsid w:val="00622067"/>
    <w:pPr>
      <w:pageBreakBefore/>
      <w:autoSpaceDE w:val="0"/>
      <w:autoSpaceDN w:val="0"/>
      <w:adjustRightInd w:val="0"/>
      <w:spacing w:before="360" w:after="240"/>
      <w:jc w:val="center"/>
      <w:outlineLvl w:val="0"/>
    </w:pPr>
    <w:rPr>
      <w:rFonts w:ascii="Arial" w:eastAsia="SimSun" w:hAnsi="Arial" w:cs="Arial"/>
      <w:b/>
      <w:bCs/>
      <w:sz w:val="22"/>
      <w:szCs w:val="22"/>
      <w:lang w:val="en-GB" w:eastAsia="zh-CN"/>
    </w:rPr>
  </w:style>
  <w:style w:type="paragraph" w:styleId="Sansinterligne">
    <w:name w:val="No Spacing"/>
    <w:uiPriority w:val="1"/>
    <w:qFormat/>
    <w:rsid w:val="00622067"/>
    <w:rPr>
      <w:rFonts w:asciiTheme="minorHAnsi" w:eastAsiaTheme="minorHAnsi" w:hAnsiTheme="minorHAnsi" w:cstheme="minorBidi"/>
      <w:sz w:val="22"/>
      <w:szCs w:val="22"/>
      <w:lang w:val="fr-FR" w:eastAsia="en-US"/>
    </w:rPr>
  </w:style>
  <w:style w:type="character" w:customStyle="1" w:styleId="ParagraphedelisteCar">
    <w:name w:val="Paragraphe de liste Car"/>
    <w:aliases w:val="Table of contents numbered Car,Normal bullet 2 Car,Bullet list Car,List Paragraph1 Car,Numbered List Car,1st level - Bullet List Paragraph Car,Lettre d'introduction Car,lp1 Car,Farbige Liste - Akzent 11 Car,Reference list Car"/>
    <w:link w:val="Paragraphedeliste"/>
    <w:uiPriority w:val="34"/>
    <w:qFormat/>
    <w:locked/>
    <w:rsid w:val="00622067"/>
    <w:rPr>
      <w:rFonts w:ascii="Times New Roman" w:eastAsia="Times New Roman" w:hAnsi="Times New Roman"/>
      <w:sz w:val="24"/>
      <w:szCs w:val="24"/>
      <w:lang w:val="fr-FR" w:eastAsia="fr-FR"/>
    </w:rPr>
  </w:style>
  <w:style w:type="paragraph" w:styleId="NormalWeb">
    <w:name w:val="Normal (Web)"/>
    <w:basedOn w:val="Normal"/>
    <w:uiPriority w:val="99"/>
    <w:unhideWhenUsed/>
    <w:rsid w:val="007E54D9"/>
    <w:pPr>
      <w:spacing w:before="100" w:beforeAutospacing="1" w:after="100" w:afterAutospacing="1"/>
    </w:pPr>
    <w:rPr>
      <w:lang w:val="en-AU" w:eastAsia="en-GB"/>
    </w:rPr>
  </w:style>
  <w:style w:type="paragraph" w:customStyle="1" w:styleId="CarCar3">
    <w:name w:val="Car Car3"/>
    <w:aliases w:val=" Car Car3 Char Char"/>
    <w:basedOn w:val="Normal"/>
    <w:link w:val="Lienhypertexte"/>
    <w:uiPriority w:val="99"/>
    <w:rsid w:val="007E54D9"/>
    <w:pPr>
      <w:tabs>
        <w:tab w:val="left" w:pos="510"/>
        <w:tab w:val="right" w:pos="9639"/>
      </w:tabs>
      <w:autoSpaceDE w:val="0"/>
      <w:autoSpaceDN w:val="0"/>
      <w:adjustRightInd w:val="0"/>
      <w:spacing w:after="80" w:line="220" w:lineRule="exact"/>
      <w:ind w:left="1020" w:hanging="510"/>
      <w:jc w:val="both"/>
    </w:pPr>
    <w:rPr>
      <w:rFonts w:ascii="Calibri" w:eastAsia="SimSun" w:hAnsi="Calibri"/>
      <w:color w:val="0000FF"/>
      <w:sz w:val="20"/>
      <w:szCs w:val="20"/>
      <w:u w:val="single"/>
      <w:lang w:val="en-GB" w:eastAsia="en-GB"/>
    </w:rPr>
  </w:style>
  <w:style w:type="paragraph" w:styleId="Rvision">
    <w:name w:val="Revision"/>
    <w:hidden/>
    <w:semiHidden/>
    <w:rsid w:val="00E206E4"/>
    <w:rPr>
      <w:rFonts w:ascii="Times New Roman" w:eastAsia="Times New Roman" w:hAnsi="Times New Roman"/>
      <w:sz w:val="24"/>
      <w:szCs w:val="24"/>
      <w:lang w:val="fr-FR" w:eastAsia="fr-FR"/>
    </w:rPr>
  </w:style>
  <w:style w:type="paragraph" w:customStyle="1" w:styleId="BODYTEXT">
    <w:name w:val="¬BODY TEXT"/>
    <w:basedOn w:val="Normal"/>
    <w:link w:val="BODYTEXTChar"/>
    <w:qFormat/>
    <w:rsid w:val="00AB7E1F"/>
    <w:pPr>
      <w:tabs>
        <w:tab w:val="left" w:pos="709"/>
        <w:tab w:val="left" w:pos="1418"/>
        <w:tab w:val="left" w:pos="2126"/>
        <w:tab w:val="left" w:pos="2835"/>
      </w:tabs>
      <w:snapToGrid w:val="0"/>
      <w:spacing w:before="240" w:after="120"/>
      <w:jc w:val="both"/>
    </w:pPr>
    <w:rPr>
      <w:rFonts w:ascii="Arial" w:eastAsia="Calibri" w:hAnsi="Arial" w:cs="Arial"/>
      <w:color w:val="000000"/>
      <w:sz w:val="22"/>
      <w:szCs w:val="22"/>
      <w:lang w:val="en-GB"/>
    </w:rPr>
  </w:style>
  <w:style w:type="character" w:customStyle="1" w:styleId="BODYTEXTChar">
    <w:name w:val="¬BODY TEXT Char"/>
    <w:link w:val="BODYTEXT"/>
    <w:rsid w:val="00AB7E1F"/>
    <w:rPr>
      <w:rFonts w:ascii="Arial" w:eastAsia="Calibri" w:hAnsi="Arial" w:cs="Arial"/>
      <w:color w:val="000000"/>
      <w:sz w:val="22"/>
      <w:szCs w:val="22"/>
      <w:lang w:eastAsia="fr-FR"/>
    </w:rPr>
  </w:style>
  <w:style w:type="character" w:styleId="Mentionnonrsolue">
    <w:name w:val="Unresolved Mention"/>
    <w:basedOn w:val="Policepardfaut"/>
    <w:uiPriority w:val="99"/>
    <w:semiHidden/>
    <w:unhideWhenUsed/>
    <w:rsid w:val="0015601E"/>
    <w:rPr>
      <w:color w:val="605E5C"/>
      <w:shd w:val="clear" w:color="auto" w:fill="E1DFDD"/>
    </w:rPr>
  </w:style>
  <w:style w:type="character" w:styleId="Lienhypertextesuivivisit">
    <w:name w:val="FollowedHyperlink"/>
    <w:basedOn w:val="Policepardfaut"/>
    <w:semiHidden/>
    <w:unhideWhenUsed/>
    <w:rsid w:val="008C1917"/>
    <w:rPr>
      <w:color w:val="954F72" w:themeColor="followedHyperlink"/>
      <w:u w:val="single"/>
    </w:rPr>
  </w:style>
  <w:style w:type="character" w:styleId="Marquedecommentaire">
    <w:name w:val="annotation reference"/>
    <w:basedOn w:val="Policepardfaut"/>
    <w:unhideWhenUsed/>
    <w:rsid w:val="008F7166"/>
    <w:rPr>
      <w:sz w:val="16"/>
      <w:szCs w:val="16"/>
    </w:rPr>
  </w:style>
  <w:style w:type="paragraph" w:styleId="Commentaire">
    <w:name w:val="annotation text"/>
    <w:basedOn w:val="Normal"/>
    <w:link w:val="CommentaireCar"/>
    <w:unhideWhenUsed/>
    <w:rsid w:val="008F7166"/>
    <w:rPr>
      <w:sz w:val="20"/>
      <w:szCs w:val="20"/>
    </w:rPr>
  </w:style>
  <w:style w:type="character" w:customStyle="1" w:styleId="CommentaireCar">
    <w:name w:val="Commentaire Car"/>
    <w:basedOn w:val="Policepardfaut"/>
    <w:link w:val="Commentaire"/>
    <w:rsid w:val="008F7166"/>
    <w:rPr>
      <w:rFonts w:ascii="Times New Roman" w:eastAsia="Times New Roman" w:hAnsi="Times New Roman"/>
      <w:lang w:val="fr-FR" w:eastAsia="fr-FR"/>
    </w:rPr>
  </w:style>
  <w:style w:type="paragraph" w:styleId="Objetducommentaire">
    <w:name w:val="annotation subject"/>
    <w:basedOn w:val="Commentaire"/>
    <w:next w:val="Commentaire"/>
    <w:link w:val="ObjetducommentaireCar"/>
    <w:unhideWhenUsed/>
    <w:rsid w:val="008F7166"/>
    <w:rPr>
      <w:b/>
      <w:bCs/>
    </w:rPr>
  </w:style>
  <w:style w:type="character" w:customStyle="1" w:styleId="ObjetducommentaireCar">
    <w:name w:val="Objet du commentaire Car"/>
    <w:basedOn w:val="CommentaireCar"/>
    <w:link w:val="Objetducommentaire"/>
    <w:rsid w:val="008F7166"/>
    <w:rPr>
      <w:rFonts w:ascii="Times New Roman" w:eastAsia="Times New Roman" w:hAnsi="Times New Roman"/>
      <w:b/>
      <w:bCs/>
      <w:lang w:val="fr-FR" w:eastAsia="fr-FR"/>
    </w:rPr>
  </w:style>
  <w:style w:type="table" w:styleId="TableauGrille4-Accentuation1">
    <w:name w:val="Grid Table 4 Accent 1"/>
    <w:basedOn w:val="TableauNormal"/>
    <w:uiPriority w:val="49"/>
    <w:rsid w:val="00600587"/>
    <w:rPr>
      <w:lang w:val="fr-FR" w:eastAsia="fr-FR"/>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lledutableau2">
    <w:name w:val="Grille du tableau2"/>
    <w:basedOn w:val="TableauNormal"/>
    <w:next w:val="Grilledutableau"/>
    <w:uiPriority w:val="39"/>
    <w:rsid w:val="00B335C7"/>
    <w:rPr>
      <w:rFonts w:eastAsia="Yu Mincho" w:cs="Arial"/>
      <w:sz w:val="22"/>
      <w:szCs w:val="22"/>
      <w:lang w:val="fr-FR"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1B3AC9"/>
    <w:rPr>
      <w:rFonts w:asciiTheme="majorHAnsi" w:eastAsiaTheme="majorEastAsia" w:hAnsiTheme="majorHAnsi" w:cstheme="majorBidi"/>
      <w:color w:val="2E74B5" w:themeColor="accent1" w:themeShade="BF"/>
      <w:sz w:val="32"/>
      <w:szCs w:val="32"/>
      <w:lang w:val="fr-FR" w:eastAsia="fr-FR"/>
    </w:rPr>
  </w:style>
  <w:style w:type="paragraph" w:customStyle="1" w:styleId="Remarks">
    <w:name w:val="Remarks"/>
    <w:basedOn w:val="En-tte"/>
    <w:link w:val="RemarksChar"/>
    <w:qFormat/>
    <w:rsid w:val="001B3AC9"/>
    <w:pPr>
      <w:tabs>
        <w:tab w:val="clear" w:pos="4536"/>
        <w:tab w:val="clear" w:pos="9072"/>
      </w:tabs>
      <w:spacing w:before="240" w:after="240" w:line="360" w:lineRule="auto"/>
      <w:jc w:val="both"/>
    </w:pPr>
    <w:rPr>
      <w:rFonts w:ascii="Arial" w:eastAsia="Times" w:hAnsi="Arial" w:cs="Arial"/>
      <w:bCs/>
      <w:sz w:val="28"/>
      <w:szCs w:val="28"/>
      <w:lang w:val="en-GB" w:eastAsia="en-US"/>
    </w:rPr>
  </w:style>
  <w:style w:type="character" w:customStyle="1" w:styleId="RemarksChar">
    <w:name w:val="Remarks Char"/>
    <w:link w:val="Remarks"/>
    <w:rsid w:val="001B3AC9"/>
    <w:rPr>
      <w:rFonts w:ascii="Arial" w:eastAsia="Times" w:hAnsi="Arial" w:cs="Arial"/>
      <w:bCs/>
      <w:sz w:val="28"/>
      <w:szCs w:val="28"/>
      <w:lang w:eastAsia="en-US"/>
    </w:rPr>
  </w:style>
  <w:style w:type="paragraph" w:customStyle="1" w:styleId="1GAPara">
    <w:name w:val="1. GA Para"/>
    <w:qFormat/>
    <w:rsid w:val="001B3AC9"/>
    <w:pPr>
      <w:spacing w:after="120"/>
      <w:ind w:left="567" w:hanging="567"/>
    </w:pPr>
    <w:rPr>
      <w:rFonts w:ascii="Arial" w:eastAsia="Times New Roman" w:hAnsi="Arial" w:cs="Arial"/>
      <w:snapToGrid w:val="0"/>
      <w:sz w:val="22"/>
      <w:szCs w:val="22"/>
      <w:lang w:eastAsia="en-US"/>
    </w:rPr>
  </w:style>
  <w:style w:type="character" w:styleId="lev">
    <w:name w:val="Strong"/>
    <w:uiPriority w:val="22"/>
    <w:qFormat/>
    <w:rsid w:val="001B3AC9"/>
    <w:rPr>
      <w:b/>
      <w:bCs/>
    </w:rPr>
  </w:style>
  <w:style w:type="paragraph" w:customStyle="1" w:styleId="1GAParabodytext">
    <w:name w:val="1.GA Para body text"/>
    <w:basedOn w:val="Marge"/>
    <w:qFormat/>
    <w:rsid w:val="001B3AC9"/>
    <w:pPr>
      <w:spacing w:after="120"/>
      <w:ind w:left="567" w:hanging="567"/>
    </w:pPr>
    <w:rPr>
      <w:rFonts w:cs="Arial"/>
      <w:szCs w:val="22"/>
    </w:rPr>
  </w:style>
  <w:style w:type="character" w:customStyle="1" w:styleId="Aucun">
    <w:name w:val="Aucun"/>
    <w:rsid w:val="007A6236"/>
    <w:rPr>
      <w:lang w:val="en-GB"/>
    </w:rPr>
  </w:style>
  <w:style w:type="character" w:customStyle="1" w:styleId="Titre7Car">
    <w:name w:val="Titre 7 Car"/>
    <w:basedOn w:val="Policepardfaut"/>
    <w:link w:val="Titre7"/>
    <w:uiPriority w:val="9"/>
    <w:semiHidden/>
    <w:rsid w:val="00521F6F"/>
    <w:rPr>
      <w:rFonts w:asciiTheme="majorHAnsi" w:eastAsiaTheme="majorEastAsia" w:hAnsiTheme="majorHAnsi" w:cstheme="majorBidi"/>
      <w:i/>
      <w:iCs/>
      <w:color w:val="1F4D78" w:themeColor="accent1" w:themeShade="7F"/>
      <w:sz w:val="24"/>
      <w:szCs w:val="24"/>
      <w:lang w:val="fr-FR" w:eastAsia="fr-FR"/>
    </w:rPr>
  </w:style>
  <w:style w:type="character" w:customStyle="1" w:styleId="Titre9Car">
    <w:name w:val="Titre 9 Car"/>
    <w:basedOn w:val="Policepardfaut"/>
    <w:link w:val="Titre9"/>
    <w:uiPriority w:val="9"/>
    <w:semiHidden/>
    <w:rsid w:val="00521F6F"/>
    <w:rPr>
      <w:rFonts w:asciiTheme="majorHAnsi" w:eastAsiaTheme="majorEastAsia" w:hAnsiTheme="majorHAnsi" w:cstheme="majorBidi"/>
      <w:i/>
      <w:iCs/>
      <w:color w:val="272727" w:themeColor="text1" w:themeTint="D8"/>
      <w:sz w:val="21"/>
      <w:szCs w:val="21"/>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74695303">
      <w:bodyDiv w:val="1"/>
      <w:marLeft w:val="0"/>
      <w:marRight w:val="0"/>
      <w:marTop w:val="0"/>
      <w:marBottom w:val="0"/>
      <w:divBdr>
        <w:top w:val="none" w:sz="0" w:space="0" w:color="auto"/>
        <w:left w:val="none" w:sz="0" w:space="0" w:color="auto"/>
        <w:bottom w:val="none" w:sz="0" w:space="0" w:color="auto"/>
        <w:right w:val="none" w:sz="0" w:space="0" w:color="auto"/>
      </w:divBdr>
    </w:div>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313757574">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ich.unesco.org/en/Decisions/6.GA/5" TargetMode="External"/><Relationship Id="rId18" Type="http://schemas.openxmlformats.org/officeDocument/2006/relationships/hyperlink" Target="https://ich.unesco.org/en/decisions/18.COM/7.C" TargetMode="External"/><Relationship Id="rId26" Type="http://schemas.openxmlformats.org/officeDocument/2006/relationships/hyperlink" Target="https://ich.unesco.org/en/decisions/18.COM/11" TargetMode="External"/><Relationship Id="rId39" Type="http://schemas.openxmlformats.org/officeDocument/2006/relationships/hyperlink" Target="https://ich.unesco.org/en/decisions/18.COM/15" TargetMode="External"/><Relationship Id="rId3" Type="http://schemas.openxmlformats.org/officeDocument/2006/relationships/styles" Target="styles.xml"/><Relationship Id="rId21" Type="http://schemas.openxmlformats.org/officeDocument/2006/relationships/hyperlink" Target="https://ich.unesco.org/doc/src/LHE-24-10.GA-7_EN.docx" TargetMode="External"/><Relationship Id="rId34" Type="http://schemas.openxmlformats.org/officeDocument/2006/relationships/hyperlink" Target="https://ich.unesco.org/en/decisions/8.GA/12" TargetMode="External"/><Relationship Id="rId42" Type="http://schemas.openxmlformats.org/officeDocument/2006/relationships/hyperlink" Target="https://ich.unesco.org/en/decisions/18.COM/6" TargetMode="External"/><Relationship Id="rId47"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ich.unesco.org/doc/src/LHE-24-10.GA-5_EN.docx" TargetMode="External"/><Relationship Id="rId17" Type="http://schemas.openxmlformats.org/officeDocument/2006/relationships/hyperlink" Target="https://ich.unesco.org/en/decisions/17.COM/15" TargetMode="External"/><Relationship Id="rId25" Type="http://schemas.openxmlformats.org/officeDocument/2006/relationships/hyperlink" Target="https://ich.unesco.org/en/decisions/18.COM/10" TargetMode="External"/><Relationship Id="rId33" Type="http://schemas.openxmlformats.org/officeDocument/2006/relationships/hyperlink" Target="https://ich.unesco.org/doc/src/LHE-24-10.GA-9+Add_EN.docx" TargetMode="External"/><Relationship Id="rId38" Type="http://schemas.openxmlformats.org/officeDocument/2006/relationships/hyperlink" Target="https://ich.unesco.org/en/Decisions/14.COM/15" TargetMode="External"/><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ich.unesco.org/en/decisions/9.GA/6" TargetMode="External"/><Relationship Id="rId20" Type="http://schemas.openxmlformats.org/officeDocument/2006/relationships/hyperlink" Target="https://unesdoc.unesco.org/ark:/48223/pf0000389517" TargetMode="External"/><Relationship Id="rId29" Type="http://schemas.openxmlformats.org/officeDocument/2006/relationships/hyperlink" Target="https://unesdoc.unesco.org/ark:/48223/pf0000388394" TargetMode="External"/><Relationship Id="rId41" Type="http://schemas.openxmlformats.org/officeDocument/2006/relationships/hyperlink" Target="https://ich.unesco.org/en/Decisions/9.GA/1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en/resolutions/3.GA/12" TargetMode="External"/><Relationship Id="rId24" Type="http://schemas.openxmlformats.org/officeDocument/2006/relationships/hyperlink" Target="https://ich.unesco.org/en/Decisions/17.COM/7" TargetMode="External"/><Relationship Id="rId32" Type="http://schemas.openxmlformats.org/officeDocument/2006/relationships/hyperlink" Target="https://ich.unesco.org/en/decisions/18.COM/16" TargetMode="External"/><Relationship Id="rId37" Type="http://schemas.openxmlformats.org/officeDocument/2006/relationships/hyperlink" Target="https://ich.unesco.org/en/d%C3%A9cisions/12.COM/17?dec=decisions&amp;ref_decision=12.COM" TargetMode="External"/><Relationship Id="rId40" Type="http://schemas.openxmlformats.org/officeDocument/2006/relationships/hyperlink" Target="https://ich.unesco.org/doc/src/LHE-24-10.GA-10_EN.docx"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ich.unesco.org/doc/src/LHE-24-10.GA-6_EN.docx" TargetMode="External"/><Relationship Id="rId23" Type="http://schemas.openxmlformats.org/officeDocument/2006/relationships/hyperlink" Target="https://ich.unesco.org/en/decisions/16.COM/14" TargetMode="External"/><Relationship Id="rId28" Type="http://schemas.openxmlformats.org/officeDocument/2006/relationships/hyperlink" Target="https://ich.unesco.org/doc/src/LHE-24-10.GA-INF.8_EN.docx" TargetMode="External"/><Relationship Id="rId36" Type="http://schemas.openxmlformats.org/officeDocument/2006/relationships/hyperlink" Target="https://ich.unesco.org/en/Decisions/12.COM/13" TargetMode="External"/><Relationship Id="rId49" Type="http://schemas.openxmlformats.org/officeDocument/2006/relationships/theme" Target="theme/theme1.xml"/><Relationship Id="rId10" Type="http://schemas.openxmlformats.org/officeDocument/2006/relationships/hyperlink" Target="https://ich.unesco.org/doc/src/LHE-24-10.GA-4_EN.docx" TargetMode="External"/><Relationship Id="rId19" Type="http://schemas.openxmlformats.org/officeDocument/2006/relationships/hyperlink" Target="https://unesdoc.unesco.org/ark:/48223/pf0000388394" TargetMode="External"/><Relationship Id="rId31" Type="http://schemas.openxmlformats.org/officeDocument/2006/relationships/hyperlink" Target="https://ich.unesco.org/doc/src/LHE-24-10.GA-9+Add_EN.docx" TargetMode="External"/><Relationship Id="rId44" Type="http://schemas.openxmlformats.org/officeDocument/2006/relationships/hyperlink" Target="https://ich.unesco.org/doc/src/LHE-24-10.GA-11_EN.docx" TargetMode="External"/><Relationship Id="rId4" Type="http://schemas.openxmlformats.org/officeDocument/2006/relationships/settings" Target="settings.xml"/><Relationship Id="rId9" Type="http://schemas.openxmlformats.org/officeDocument/2006/relationships/hyperlink" Target="https://ich.unesco.org/doc/src/LHE-24-10.GA-3_Rev_EN.docx" TargetMode="External"/><Relationship Id="rId14" Type="http://schemas.openxmlformats.org/officeDocument/2006/relationships/hyperlink" Target="https://ich.unesco.org/en/decisions/18.COM/7.C" TargetMode="External"/><Relationship Id="rId22" Type="http://schemas.openxmlformats.org/officeDocument/2006/relationships/hyperlink" Target="https://ich.unesco.org/en/Decisions/9.GA/9" TargetMode="External"/><Relationship Id="rId27" Type="http://schemas.openxmlformats.org/officeDocument/2006/relationships/hyperlink" Target="https://ich.unesco.org/doc/src/LHE-24-10.GA-8_EN.docx" TargetMode="External"/><Relationship Id="rId30" Type="http://schemas.openxmlformats.org/officeDocument/2006/relationships/hyperlink" Target="https://ich.unesco.org/en/decisions/10.COM/8" TargetMode="External"/><Relationship Id="rId35" Type="http://schemas.openxmlformats.org/officeDocument/2006/relationships/hyperlink" Target="https://ich.unesco.org/en/decisions/9.GA/7" TargetMode="External"/><Relationship Id="rId43" Type="http://schemas.openxmlformats.org/officeDocument/2006/relationships/hyperlink" Target="https://unesdoc.unesco.org/ark:/48223/pf0000388394/PDF/388394eng.pdf.multi" TargetMode="External"/><Relationship Id="rId48" Type="http://schemas.openxmlformats.org/officeDocument/2006/relationships/fontTable" Target="fontTable.xml"/><Relationship Id="rId8" Type="http://schemas.openxmlformats.org/officeDocument/2006/relationships/hyperlink" Target="https://ich.unesco.org/doc/src/LHE-24-10.GA-2_EN.doc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4_STATUTORY%20MEETINGS\2014-06_5GA_PARIS\Documents%205.GA\00_Templates\GA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462C0-4EBE-41A3-BA57-313A2582A923}">
  <ds:schemaRefs>
    <ds:schemaRef ds:uri="http://schemas.openxmlformats.org/officeDocument/2006/bibliography"/>
  </ds:schemaRefs>
</ds:datastoreItem>
</file>

<file path=docMetadata/LabelInfo.xml><?xml version="1.0" encoding="utf-8"?>
<clbl:labelList xmlns:clbl="http://schemas.microsoft.com/office/2020/mipLabelMetadata">
  <clbl:label id="{f8e024d6-51f2-471b-ac2c-b1117d65062e}" enabled="1" method="Standard" siteId="{1d4fae52-39b3-4bfa-b0b3-022956b11194}" contentBits="0" removed="0"/>
</clbl:labelList>
</file>

<file path=docProps/app.xml><?xml version="1.0" encoding="utf-8"?>
<Properties xmlns="http://schemas.openxmlformats.org/officeDocument/2006/extended-properties" xmlns:vt="http://schemas.openxmlformats.org/officeDocument/2006/docPropsVTypes">
  <Template>GA_Working document_EN</Template>
  <TotalTime>45</TotalTime>
  <Pages>13</Pages>
  <Words>5284</Words>
  <Characters>29066</Characters>
  <Application>Microsoft Office Word</Application>
  <DocSecurity>0</DocSecurity>
  <Lines>242</Lines>
  <Paragraphs>68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UNESCO</Company>
  <LinksUpToDate>false</LinksUpToDate>
  <CharactersWithSpaces>34282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Delsol, Christine</dc:creator>
  <cp:lastModifiedBy>Nakata Glenat, Keiichi Julien</cp:lastModifiedBy>
  <cp:revision>20</cp:revision>
  <cp:lastPrinted>2024-06-12T17:41:00Z</cp:lastPrinted>
  <dcterms:created xsi:type="dcterms:W3CDTF">2024-06-24T14:06:00Z</dcterms:created>
  <dcterms:modified xsi:type="dcterms:W3CDTF">2024-06-28T15:29:00Z</dcterms:modified>
</cp:coreProperties>
</file>