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6783DDF5" w:rsidR="00655736" w:rsidRPr="003E4F59" w:rsidRDefault="00655736" w:rsidP="00655736">
      <w:pPr>
        <w:spacing w:before="1440"/>
        <w:jc w:val="center"/>
        <w:rPr>
          <w:b/>
          <w:sz w:val="22"/>
          <w:szCs w:val="22"/>
        </w:rPr>
      </w:pPr>
      <w:r w:rsidRPr="003E4F59">
        <w:rPr>
          <w:b/>
          <w:sz w:val="22"/>
        </w:rPr>
        <w:t>《保护非物质文化遗产公约》</w:t>
      </w:r>
      <w:bookmarkStart w:id="0" w:name="_Hlk105184981"/>
      <w:r w:rsidRPr="003E4F59">
        <w:rPr>
          <w:b/>
          <w:sz w:val="22"/>
        </w:rPr>
        <w:br/>
      </w:r>
      <w:bookmarkEnd w:id="0"/>
    </w:p>
    <w:p w14:paraId="2CDB5643" w14:textId="77777777" w:rsidR="00655736" w:rsidRPr="003E4F59" w:rsidRDefault="00D95C4C" w:rsidP="00655736">
      <w:pPr>
        <w:spacing w:before="1200"/>
        <w:jc w:val="center"/>
        <w:rPr>
          <w:b/>
          <w:sz w:val="22"/>
          <w:szCs w:val="22"/>
        </w:rPr>
      </w:pPr>
      <w:r w:rsidRPr="003E4F59">
        <w:rPr>
          <w:b/>
          <w:sz w:val="22"/>
        </w:rPr>
        <w:t>缔约国大会</w:t>
      </w:r>
    </w:p>
    <w:p w14:paraId="75891C68" w14:textId="2AEF6235" w:rsidR="00D95C4C" w:rsidRPr="003E4F59" w:rsidRDefault="00CA01BD" w:rsidP="00D95C4C">
      <w:pPr>
        <w:spacing w:before="840"/>
        <w:jc w:val="center"/>
        <w:rPr>
          <w:b/>
          <w:sz w:val="22"/>
          <w:szCs w:val="22"/>
        </w:rPr>
      </w:pPr>
      <w:r w:rsidRPr="003E4F59">
        <w:rPr>
          <w:b/>
          <w:sz w:val="22"/>
        </w:rPr>
        <w:t>第十届会议</w:t>
      </w:r>
    </w:p>
    <w:p w14:paraId="2813BA58" w14:textId="77777777" w:rsidR="00D95C4C" w:rsidRPr="003E4F59" w:rsidRDefault="00D95C4C" w:rsidP="00D95C4C">
      <w:pPr>
        <w:jc w:val="center"/>
        <w:rPr>
          <w:b/>
          <w:sz w:val="22"/>
          <w:szCs w:val="22"/>
        </w:rPr>
      </w:pPr>
      <w:r w:rsidRPr="003E4F59">
        <w:rPr>
          <w:b/>
          <w:sz w:val="22"/>
        </w:rPr>
        <w:t>联合国教科文组织总部，一号会议厅</w:t>
      </w:r>
    </w:p>
    <w:p w14:paraId="17E07F7D" w14:textId="4BBCA49D" w:rsidR="00655736" w:rsidRPr="00D72600" w:rsidRDefault="004D2992" w:rsidP="00D95C4C">
      <w:pPr>
        <w:jc w:val="center"/>
        <w:rPr>
          <w:rFonts w:asciiTheme="minorEastAsia" w:eastAsiaTheme="minorEastAsia" w:hAnsiTheme="minorEastAsia"/>
          <w:b/>
          <w:sz w:val="22"/>
          <w:szCs w:val="22"/>
        </w:rPr>
      </w:pPr>
      <w:r w:rsidRPr="00D72600">
        <w:rPr>
          <w:rFonts w:asciiTheme="minorEastAsia" w:eastAsiaTheme="minorEastAsia" w:hAnsiTheme="minorEastAsia"/>
          <w:b/>
          <w:sz w:val="22"/>
        </w:rPr>
        <w:t>2024</w:t>
      </w:r>
      <w:r w:rsidRPr="00D72600">
        <w:rPr>
          <w:rFonts w:asciiTheme="minorEastAsia" w:eastAsiaTheme="minorEastAsia" w:hAnsiTheme="minorEastAsia" w:hint="eastAsia"/>
          <w:b/>
          <w:sz w:val="22"/>
        </w:rPr>
        <w:t>年</w:t>
      </w:r>
      <w:r w:rsidRPr="00D72600">
        <w:rPr>
          <w:rFonts w:asciiTheme="minorEastAsia" w:eastAsiaTheme="minorEastAsia" w:hAnsiTheme="minorEastAsia"/>
          <w:b/>
          <w:sz w:val="22"/>
        </w:rPr>
        <w:t>6</w:t>
      </w:r>
      <w:r w:rsidRPr="00D72600">
        <w:rPr>
          <w:rFonts w:asciiTheme="minorEastAsia" w:eastAsiaTheme="minorEastAsia" w:hAnsiTheme="minorEastAsia" w:hint="eastAsia"/>
          <w:b/>
          <w:sz w:val="22"/>
        </w:rPr>
        <w:t>月</w:t>
      </w:r>
      <w:r w:rsidRPr="00D72600">
        <w:rPr>
          <w:rFonts w:asciiTheme="minorEastAsia" w:eastAsiaTheme="minorEastAsia" w:hAnsiTheme="minorEastAsia"/>
          <w:b/>
          <w:sz w:val="22"/>
        </w:rPr>
        <w:t>11</w:t>
      </w:r>
      <w:r w:rsidRPr="00D72600">
        <w:rPr>
          <w:rFonts w:asciiTheme="minorEastAsia" w:eastAsiaTheme="minorEastAsia" w:hAnsiTheme="minorEastAsia" w:hint="eastAsia"/>
          <w:b/>
          <w:sz w:val="22"/>
        </w:rPr>
        <w:t>日至</w:t>
      </w:r>
      <w:r w:rsidR="00DE45D8" w:rsidRPr="00D72600">
        <w:rPr>
          <w:rFonts w:asciiTheme="minorEastAsia" w:eastAsiaTheme="minorEastAsia" w:hAnsiTheme="minorEastAsia"/>
          <w:b/>
          <w:sz w:val="22"/>
        </w:rPr>
        <w:t>12</w:t>
      </w:r>
      <w:r w:rsidRPr="00D72600">
        <w:rPr>
          <w:rFonts w:asciiTheme="minorEastAsia" w:eastAsiaTheme="minorEastAsia" w:hAnsiTheme="minorEastAsia" w:hint="eastAsia"/>
          <w:b/>
          <w:sz w:val="22"/>
        </w:rPr>
        <w:t>日</w:t>
      </w:r>
    </w:p>
    <w:p w14:paraId="1A8796C2" w14:textId="31C0F2EE" w:rsidR="00655736" w:rsidRPr="003E4F59" w:rsidRDefault="00655736" w:rsidP="00655736">
      <w:pPr>
        <w:pStyle w:val="Sansinterligne2"/>
        <w:spacing w:before="1200"/>
        <w:jc w:val="center"/>
        <w:rPr>
          <w:b/>
          <w:sz w:val="22"/>
          <w:szCs w:val="22"/>
        </w:rPr>
      </w:pPr>
      <w:r w:rsidRPr="003E4F59">
        <w:rPr>
          <w:b/>
          <w:sz w:val="22"/>
          <w:u w:val="single"/>
        </w:rPr>
        <w:t>临时议程项目</w:t>
      </w:r>
      <w:r w:rsidRPr="00D72600">
        <w:rPr>
          <w:rFonts w:asciiTheme="majorEastAsia" w:eastAsiaTheme="majorEastAsia" w:hAnsiTheme="majorEastAsia"/>
          <w:b/>
          <w:sz w:val="22"/>
          <w:u w:val="single"/>
        </w:rPr>
        <w:t>9</w:t>
      </w:r>
      <w:r w:rsidRPr="003E4F59">
        <w:rPr>
          <w:b/>
          <w:sz w:val="22"/>
        </w:rPr>
        <w:t>：</w:t>
      </w:r>
    </w:p>
    <w:p w14:paraId="36C6ECF8" w14:textId="77777777" w:rsidR="00DE45D8" w:rsidRPr="00D453C3" w:rsidRDefault="00DE45D8" w:rsidP="00DE45D8">
      <w:pPr>
        <w:pStyle w:val="Sansinterligne2"/>
        <w:spacing w:after="960"/>
        <w:jc w:val="center"/>
        <w:rPr>
          <w:rFonts w:asciiTheme="majorEastAsia" w:eastAsiaTheme="majorEastAsia" w:hAnsiTheme="majorEastAsia" w:cs="Arial"/>
          <w:b/>
          <w:sz w:val="22"/>
          <w:szCs w:val="22"/>
        </w:rPr>
      </w:pPr>
      <w:r w:rsidRPr="00D453C3">
        <w:rPr>
          <w:rFonts w:asciiTheme="majorEastAsia" w:eastAsiaTheme="majorEastAsia" w:hAnsiTheme="majorEastAsia" w:hint="eastAsia"/>
          <w:b/>
          <w:sz w:val="22"/>
          <w:szCs w:val="22"/>
        </w:rPr>
        <w:t>认证具有向委员会提供咨询意见地位的非政府组织</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3E4F59" w14:paraId="796B6D01" w14:textId="77777777" w:rsidTr="007A6B7A">
        <w:trPr>
          <w:jc w:val="center"/>
        </w:trPr>
        <w:tc>
          <w:tcPr>
            <w:tcW w:w="5669" w:type="dxa"/>
            <w:vAlign w:val="center"/>
          </w:tcPr>
          <w:p w14:paraId="5452505D" w14:textId="35281FC5" w:rsidR="00972FCE" w:rsidRPr="003E4F59" w:rsidRDefault="00972FCE" w:rsidP="00132C8D">
            <w:pPr>
              <w:pStyle w:val="Sansinterligne1"/>
              <w:spacing w:before="120" w:after="120"/>
              <w:jc w:val="center"/>
              <w:rPr>
                <w:b/>
                <w:sz w:val="22"/>
                <w:szCs w:val="22"/>
              </w:rPr>
            </w:pPr>
            <w:r w:rsidRPr="003E4F59">
              <w:rPr>
                <w:b/>
                <w:sz w:val="22"/>
              </w:rPr>
              <w:t>摘要</w:t>
            </w:r>
          </w:p>
          <w:p w14:paraId="3C4D0EBE" w14:textId="2B292CBD" w:rsidR="00132C8D" w:rsidRPr="003E4F59" w:rsidRDefault="00132C8D" w:rsidP="00132C8D">
            <w:pPr>
              <w:pStyle w:val="pf0"/>
              <w:spacing w:before="120" w:beforeAutospacing="0" w:after="120" w:afterAutospacing="0"/>
              <w:jc w:val="both"/>
              <w:rPr>
                <w:bCs/>
                <w:sz w:val="22"/>
                <w:szCs w:val="22"/>
              </w:rPr>
            </w:pPr>
            <w:r w:rsidRPr="003E4F59">
              <w:rPr>
                <w:sz w:val="22"/>
              </w:rPr>
              <w:t>本文件介绍了</w:t>
            </w:r>
            <w:r w:rsidR="00DE45D8" w:rsidRPr="003E4F59">
              <w:rPr>
                <w:sz w:val="22"/>
              </w:rPr>
              <w:t>根据委员会第十八届</w:t>
            </w:r>
            <w:r w:rsidR="00DE45D8">
              <w:rPr>
                <w:rFonts w:hint="eastAsia"/>
                <w:sz w:val="22"/>
              </w:rPr>
              <w:t>常会</w:t>
            </w:r>
            <w:r w:rsidR="00DE45D8" w:rsidRPr="003E4F59">
              <w:rPr>
                <w:sz w:val="22"/>
              </w:rPr>
              <w:t>建议</w:t>
            </w:r>
            <w:r w:rsidR="00DE45D8">
              <w:rPr>
                <w:sz w:val="22"/>
              </w:rPr>
              <w:t xml:space="preserve">, </w:t>
            </w:r>
            <w:r w:rsidR="00DE45D8">
              <w:rPr>
                <w:rFonts w:hint="eastAsia"/>
                <w:sz w:val="22"/>
              </w:rPr>
              <w:t>本届大会拟认证五十八个</w:t>
            </w:r>
            <w:r w:rsidRPr="003E4F59">
              <w:rPr>
                <w:sz w:val="22"/>
              </w:rPr>
              <w:t>新的非政府组织（</w:t>
            </w:r>
            <w:r w:rsidRPr="003E4F59">
              <w:rPr>
                <w:sz w:val="22"/>
              </w:rPr>
              <w:t>NGO</w:t>
            </w:r>
            <w:r w:rsidRPr="003E4F59">
              <w:rPr>
                <w:sz w:val="22"/>
              </w:rPr>
              <w:t>）</w:t>
            </w:r>
            <w:r w:rsidR="00DE45D8">
              <w:rPr>
                <w:rFonts w:hint="eastAsia"/>
                <w:sz w:val="22"/>
              </w:rPr>
              <w:t>，以向委员会提供咨询意见。</w:t>
            </w:r>
          </w:p>
          <w:p w14:paraId="7D45CA36" w14:textId="4228433F" w:rsidR="00655736" w:rsidRPr="003E4F59" w:rsidRDefault="00FB6630" w:rsidP="00132C8D">
            <w:pPr>
              <w:spacing w:before="120" w:after="120"/>
              <w:jc w:val="both"/>
              <w:rPr>
                <w:b/>
                <w:sz w:val="22"/>
                <w:szCs w:val="22"/>
              </w:rPr>
            </w:pPr>
            <w:r w:rsidRPr="003E4F59">
              <w:rPr>
                <w:b/>
                <w:sz w:val="22"/>
              </w:rPr>
              <w:t>需要做出的决定：</w:t>
            </w:r>
            <w:r w:rsidRPr="00D72600">
              <w:rPr>
                <w:rFonts w:asciiTheme="majorEastAsia" w:eastAsiaTheme="majorEastAsia" w:hAnsiTheme="majorEastAsia" w:hint="eastAsia"/>
                <w:sz w:val="22"/>
              </w:rPr>
              <w:t>第</w:t>
            </w:r>
            <w:r w:rsidRPr="00D72600">
              <w:rPr>
                <w:rFonts w:asciiTheme="majorEastAsia" w:eastAsiaTheme="majorEastAsia" w:hAnsiTheme="majorEastAsia"/>
                <w:sz w:val="22"/>
              </w:rPr>
              <w:t>6</w:t>
            </w:r>
            <w:r w:rsidRPr="003E4F59">
              <w:rPr>
                <w:sz w:val="22"/>
              </w:rPr>
              <w:t>段</w:t>
            </w:r>
          </w:p>
        </w:tc>
      </w:tr>
    </w:tbl>
    <w:p w14:paraId="4DF53EDE" w14:textId="4146CC9E" w:rsidR="00391AC6" w:rsidRPr="008A25C8" w:rsidRDefault="00972FCE" w:rsidP="00E35D26">
      <w:pPr>
        <w:rPr>
          <w:b/>
          <w:bCs/>
          <w:sz w:val="22"/>
          <w:szCs w:val="22"/>
        </w:rPr>
      </w:pPr>
      <w:r w:rsidRPr="003E4F59">
        <w:br w:type="page"/>
      </w:r>
      <w:r w:rsidRPr="008A25C8">
        <w:rPr>
          <w:b/>
          <w:sz w:val="22"/>
          <w:szCs w:val="22"/>
        </w:rPr>
        <w:lastRenderedPageBreak/>
        <w:t>导言</w:t>
      </w:r>
    </w:p>
    <w:p w14:paraId="6CE498AF" w14:textId="4060114D" w:rsidR="00D51826" w:rsidRPr="008A25C8" w:rsidRDefault="00B8078F" w:rsidP="006B05B0">
      <w:pPr>
        <w:pStyle w:val="COMTitleDecision"/>
        <w:keepNext w:val="0"/>
        <w:widowControl w:val="0"/>
        <w:numPr>
          <w:ilvl w:val="0"/>
          <w:numId w:val="20"/>
        </w:numPr>
        <w:spacing w:before="120"/>
        <w:rPr>
          <w:rFonts w:asciiTheme="majorEastAsia" w:eastAsiaTheme="majorEastAsia" w:hAnsiTheme="majorEastAsia" w:cs="Times New Roman"/>
          <w:b w:val="0"/>
        </w:rPr>
      </w:pPr>
      <w:r w:rsidRPr="008A25C8">
        <w:rPr>
          <w:rFonts w:asciiTheme="majorEastAsia" w:eastAsiaTheme="majorEastAsia" w:hAnsiTheme="majorEastAsia" w:cs="Times New Roman" w:hint="eastAsia"/>
          <w:b w:val="0"/>
        </w:rPr>
        <w:t>《公约》第九条第</w:t>
      </w:r>
      <w:r w:rsidRPr="008A25C8">
        <w:rPr>
          <w:rFonts w:asciiTheme="majorEastAsia" w:eastAsiaTheme="majorEastAsia" w:hAnsiTheme="majorEastAsia" w:cs="Times New Roman"/>
          <w:b w:val="0"/>
        </w:rPr>
        <w:t>1</w:t>
      </w:r>
      <w:r w:rsidRPr="008A25C8">
        <w:rPr>
          <w:rFonts w:asciiTheme="majorEastAsia" w:eastAsiaTheme="majorEastAsia" w:hAnsiTheme="majorEastAsia" w:cs="Times New Roman" w:hint="eastAsia"/>
          <w:b w:val="0"/>
        </w:rPr>
        <w:t>款要求委员会向大会建议，认证在非物质文化遗产领域确有专长的非政府组织（</w:t>
      </w:r>
      <w:r w:rsidRPr="008A25C8">
        <w:rPr>
          <w:rFonts w:asciiTheme="majorEastAsia" w:eastAsiaTheme="majorEastAsia" w:hAnsiTheme="majorEastAsia" w:cs="Times New Roman"/>
          <w:b w:val="0"/>
        </w:rPr>
        <w:t>NGO</w:t>
      </w:r>
      <w:r w:rsidRPr="008A25C8">
        <w:rPr>
          <w:rFonts w:asciiTheme="majorEastAsia" w:eastAsiaTheme="majorEastAsia" w:hAnsiTheme="majorEastAsia" w:cs="Times New Roman" w:hint="eastAsia"/>
          <w:b w:val="0"/>
        </w:rPr>
        <w:t>）</w:t>
      </w:r>
      <w:r w:rsidR="00631684" w:rsidRPr="008A25C8">
        <w:rPr>
          <w:rFonts w:asciiTheme="majorEastAsia" w:eastAsiaTheme="majorEastAsia" w:hAnsiTheme="majorEastAsia" w:cs="Times New Roman" w:hint="eastAsia"/>
          <w:b w:val="0"/>
        </w:rPr>
        <w:t>，以</w:t>
      </w:r>
      <w:r w:rsidRPr="008A25C8">
        <w:rPr>
          <w:rFonts w:asciiTheme="majorEastAsia" w:eastAsiaTheme="majorEastAsia" w:hAnsiTheme="majorEastAsia" w:cs="Times New Roman" w:hint="eastAsia"/>
          <w:b w:val="0"/>
        </w:rPr>
        <w:t>向委员会提供咨询意见。这种认证的标准和方式载于《业务指南》第</w:t>
      </w:r>
      <w:r w:rsidRPr="008A25C8">
        <w:rPr>
          <w:rFonts w:asciiTheme="majorEastAsia" w:eastAsiaTheme="majorEastAsia" w:hAnsiTheme="majorEastAsia" w:cs="Times New Roman"/>
          <w:b w:val="0"/>
        </w:rPr>
        <w:t>III.2.2</w:t>
      </w:r>
      <w:r w:rsidRPr="008A25C8">
        <w:rPr>
          <w:rFonts w:asciiTheme="majorEastAsia" w:eastAsiaTheme="majorEastAsia" w:hAnsiTheme="majorEastAsia" w:cs="Times New Roman" w:hint="eastAsia"/>
          <w:b w:val="0"/>
        </w:rPr>
        <w:t>章（第</w:t>
      </w:r>
      <w:r w:rsidRPr="008A25C8">
        <w:rPr>
          <w:rFonts w:asciiTheme="majorEastAsia" w:eastAsiaTheme="majorEastAsia" w:hAnsiTheme="majorEastAsia" w:cs="Times New Roman"/>
          <w:b w:val="0"/>
        </w:rPr>
        <w:t>91-99</w:t>
      </w:r>
      <w:r w:rsidRPr="008A25C8">
        <w:rPr>
          <w:rFonts w:asciiTheme="majorEastAsia" w:eastAsiaTheme="majorEastAsia" w:hAnsiTheme="majorEastAsia" w:cs="Times New Roman" w:hint="eastAsia"/>
          <w:b w:val="0"/>
        </w:rPr>
        <w:t>段）。迄今为止，大会已认证了</w:t>
      </w:r>
      <w:r w:rsidRPr="008A25C8">
        <w:rPr>
          <w:rFonts w:asciiTheme="majorEastAsia" w:eastAsiaTheme="majorEastAsia" w:hAnsiTheme="majorEastAsia" w:cs="Times New Roman"/>
          <w:b w:val="0"/>
        </w:rPr>
        <w:t>300</w:t>
      </w:r>
      <w:r w:rsidRPr="008A25C8">
        <w:rPr>
          <w:rFonts w:asciiTheme="majorEastAsia" w:eastAsiaTheme="majorEastAsia" w:hAnsiTheme="majorEastAsia" w:cs="Times New Roman" w:hint="eastAsia"/>
          <w:b w:val="0"/>
        </w:rPr>
        <w:t>个组织</w:t>
      </w:r>
      <w:r w:rsidR="0011074D" w:rsidRPr="008A25C8">
        <w:rPr>
          <w:rStyle w:val="Appelnotedebasdep"/>
          <w:rFonts w:asciiTheme="majorEastAsia" w:eastAsiaTheme="majorEastAsia" w:hAnsiTheme="majorEastAsia" w:cs="Times New Roman"/>
          <w:b w:val="0"/>
        </w:rPr>
        <w:footnoteReference w:id="1"/>
      </w:r>
      <w:r w:rsidRPr="008A25C8">
        <w:rPr>
          <w:rFonts w:asciiTheme="majorEastAsia" w:eastAsiaTheme="majorEastAsia" w:hAnsiTheme="majorEastAsia" w:cs="Times New Roman" w:hint="eastAsia"/>
          <w:b w:val="0"/>
        </w:rPr>
        <w:t>。</w:t>
      </w:r>
    </w:p>
    <w:p w14:paraId="4EDFF711" w14:textId="3D4729BB" w:rsidR="00B715A7" w:rsidRPr="008A25C8" w:rsidRDefault="00361D79" w:rsidP="007050D1">
      <w:pPr>
        <w:pStyle w:val="COMTitleDecision"/>
        <w:keepNext w:val="0"/>
        <w:widowControl w:val="0"/>
        <w:numPr>
          <w:ilvl w:val="0"/>
          <w:numId w:val="20"/>
        </w:numPr>
        <w:spacing w:before="120"/>
        <w:ind w:left="567" w:hanging="567"/>
        <w:rPr>
          <w:rFonts w:asciiTheme="majorEastAsia" w:eastAsiaTheme="majorEastAsia" w:hAnsiTheme="majorEastAsia" w:cs="Times New Roman"/>
          <w:b w:val="0"/>
        </w:rPr>
      </w:pPr>
      <w:r w:rsidRPr="008A25C8">
        <w:rPr>
          <w:rFonts w:asciiTheme="majorEastAsia" w:eastAsiaTheme="majorEastAsia" w:hAnsiTheme="majorEastAsia" w:cs="Times New Roman" w:hint="eastAsia"/>
          <w:b w:val="0"/>
        </w:rPr>
        <w:t>委员会根据《业务指南》第</w:t>
      </w:r>
      <w:r w:rsidRPr="008A25C8">
        <w:rPr>
          <w:rFonts w:asciiTheme="majorEastAsia" w:eastAsiaTheme="majorEastAsia" w:hAnsiTheme="majorEastAsia" w:cs="Times New Roman"/>
          <w:b w:val="0"/>
        </w:rPr>
        <w:t>III.2.2</w:t>
      </w:r>
      <w:r w:rsidRPr="008A25C8">
        <w:rPr>
          <w:rFonts w:asciiTheme="majorEastAsia" w:eastAsiaTheme="majorEastAsia" w:hAnsiTheme="majorEastAsia" w:cs="Times New Roman" w:hint="eastAsia"/>
          <w:b w:val="0"/>
        </w:rPr>
        <w:t>章（第</w:t>
      </w:r>
      <w:r w:rsidRPr="008A25C8">
        <w:rPr>
          <w:rFonts w:asciiTheme="majorEastAsia" w:eastAsiaTheme="majorEastAsia" w:hAnsiTheme="majorEastAsia" w:cs="Times New Roman"/>
          <w:b w:val="0"/>
        </w:rPr>
        <w:t>92-95</w:t>
      </w:r>
      <w:r w:rsidRPr="008A25C8">
        <w:rPr>
          <w:rFonts w:asciiTheme="majorEastAsia" w:eastAsiaTheme="majorEastAsia" w:hAnsiTheme="majorEastAsia" w:cs="Times New Roman" w:hint="eastAsia"/>
          <w:b w:val="0"/>
        </w:rPr>
        <w:t>段）确定的模式和程序，在认证后每四年审核一次经认证的非政府组织的贡献和承诺。委员会可根据审核结果，决定维持或终止与有关非政府组织的关系。根据委员会在以往周期中就此作出的决定</w:t>
      </w:r>
      <w:r w:rsidR="0011074D" w:rsidRPr="008A25C8">
        <w:rPr>
          <w:rStyle w:val="Appelnotedebasdep"/>
          <w:rFonts w:asciiTheme="majorEastAsia" w:eastAsiaTheme="majorEastAsia" w:hAnsiTheme="majorEastAsia" w:cs="Times New Roman"/>
          <w:b w:val="0"/>
        </w:rPr>
        <w:footnoteReference w:id="2"/>
      </w:r>
      <w:r w:rsidRPr="008A25C8">
        <w:rPr>
          <w:rFonts w:asciiTheme="majorEastAsia" w:eastAsiaTheme="majorEastAsia" w:hAnsiTheme="majorEastAsia" w:cs="Times New Roman" w:hint="eastAsia"/>
          <w:b w:val="0"/>
        </w:rPr>
        <w:t>，目前有</w:t>
      </w:r>
      <w:r w:rsidRPr="008A25C8">
        <w:rPr>
          <w:rFonts w:asciiTheme="majorEastAsia" w:eastAsiaTheme="majorEastAsia" w:hAnsiTheme="majorEastAsia" w:cs="Times New Roman"/>
          <w:b w:val="0"/>
          <w:snapToGrid w:val="0"/>
        </w:rPr>
        <w:t>206</w:t>
      </w:r>
      <w:r w:rsidRPr="008A25C8">
        <w:rPr>
          <w:rFonts w:asciiTheme="majorEastAsia" w:eastAsiaTheme="majorEastAsia" w:hAnsiTheme="majorEastAsia" w:cs="Times New Roman" w:hint="eastAsia"/>
          <w:b w:val="0"/>
          <w:snapToGrid w:val="0"/>
        </w:rPr>
        <w:t>个非政府组织获得认证，可为委员会履行咨询职能。这些组织</w:t>
      </w:r>
      <w:r w:rsidRPr="008A25C8">
        <w:rPr>
          <w:rFonts w:asciiTheme="majorEastAsia" w:eastAsiaTheme="majorEastAsia" w:hAnsiTheme="majorEastAsia" w:cs="Times New Roman" w:hint="eastAsia"/>
          <w:b w:val="0"/>
        </w:rPr>
        <w:t>的地理</w:t>
      </w:r>
      <w:r w:rsidRPr="008A25C8">
        <w:rPr>
          <w:rFonts w:asciiTheme="majorEastAsia" w:eastAsiaTheme="majorEastAsia" w:hAnsiTheme="majorEastAsia" w:cs="Times New Roman" w:hint="eastAsia"/>
          <w:b w:val="0"/>
          <w:snapToGrid w:val="0"/>
        </w:rPr>
        <w:t>分布如下：第</w:t>
      </w:r>
      <w:r w:rsidRPr="008A25C8">
        <w:rPr>
          <w:rFonts w:asciiTheme="majorEastAsia" w:eastAsiaTheme="majorEastAsia" w:hAnsiTheme="majorEastAsia" w:cs="Times New Roman"/>
          <w:b w:val="0"/>
          <w:snapToGrid w:val="0"/>
        </w:rPr>
        <w:t>I</w:t>
      </w:r>
      <w:r w:rsidRPr="008A25C8">
        <w:rPr>
          <w:rFonts w:asciiTheme="majorEastAsia" w:eastAsiaTheme="majorEastAsia" w:hAnsiTheme="majorEastAsia" w:cs="Times New Roman" w:hint="eastAsia"/>
          <w:b w:val="0"/>
          <w:snapToGrid w:val="0"/>
        </w:rPr>
        <w:t>选举组：</w:t>
      </w:r>
      <w:r w:rsidRPr="008A25C8">
        <w:rPr>
          <w:rFonts w:asciiTheme="majorEastAsia" w:eastAsiaTheme="majorEastAsia" w:hAnsiTheme="majorEastAsia" w:cs="Times New Roman"/>
          <w:b w:val="0"/>
          <w:snapToGrid w:val="0"/>
        </w:rPr>
        <w:t>108</w:t>
      </w:r>
      <w:r w:rsidRPr="008A25C8">
        <w:rPr>
          <w:rFonts w:asciiTheme="majorEastAsia" w:eastAsiaTheme="majorEastAsia" w:hAnsiTheme="majorEastAsia" w:cs="Times New Roman" w:hint="eastAsia"/>
          <w:b w:val="0"/>
          <w:snapToGrid w:val="0"/>
        </w:rPr>
        <w:t>个；第</w:t>
      </w:r>
      <w:r w:rsidRPr="008A25C8">
        <w:rPr>
          <w:rFonts w:asciiTheme="majorEastAsia" w:eastAsiaTheme="majorEastAsia" w:hAnsiTheme="majorEastAsia" w:cs="Times New Roman"/>
          <w:b w:val="0"/>
          <w:snapToGrid w:val="0"/>
        </w:rPr>
        <w:t>II</w:t>
      </w:r>
      <w:r w:rsidRPr="008A25C8">
        <w:rPr>
          <w:rFonts w:asciiTheme="majorEastAsia" w:eastAsiaTheme="majorEastAsia" w:hAnsiTheme="majorEastAsia" w:cs="Times New Roman" w:hint="eastAsia"/>
          <w:b w:val="0"/>
          <w:snapToGrid w:val="0"/>
        </w:rPr>
        <w:t>选举组：</w:t>
      </w:r>
      <w:r w:rsidRPr="008A25C8">
        <w:rPr>
          <w:rFonts w:asciiTheme="majorEastAsia" w:eastAsiaTheme="majorEastAsia" w:hAnsiTheme="majorEastAsia" w:cs="Times New Roman"/>
          <w:b w:val="0"/>
          <w:snapToGrid w:val="0"/>
        </w:rPr>
        <w:t>21</w:t>
      </w:r>
      <w:r w:rsidRPr="008A25C8">
        <w:rPr>
          <w:rFonts w:asciiTheme="majorEastAsia" w:eastAsiaTheme="majorEastAsia" w:hAnsiTheme="majorEastAsia" w:cs="Times New Roman" w:hint="eastAsia"/>
          <w:b w:val="0"/>
          <w:snapToGrid w:val="0"/>
        </w:rPr>
        <w:t>个；第</w:t>
      </w:r>
      <w:r w:rsidRPr="008A25C8">
        <w:rPr>
          <w:rFonts w:asciiTheme="majorEastAsia" w:eastAsiaTheme="majorEastAsia" w:hAnsiTheme="majorEastAsia" w:cs="Times New Roman"/>
          <w:b w:val="0"/>
          <w:snapToGrid w:val="0"/>
        </w:rPr>
        <w:t>III</w:t>
      </w:r>
      <w:r w:rsidRPr="008A25C8">
        <w:rPr>
          <w:rFonts w:asciiTheme="majorEastAsia" w:eastAsiaTheme="majorEastAsia" w:hAnsiTheme="majorEastAsia" w:cs="Times New Roman" w:hint="eastAsia"/>
          <w:b w:val="0"/>
          <w:snapToGrid w:val="0"/>
        </w:rPr>
        <w:t>选举组：</w:t>
      </w:r>
      <w:r w:rsidRPr="008A25C8">
        <w:rPr>
          <w:rFonts w:asciiTheme="majorEastAsia" w:eastAsiaTheme="majorEastAsia" w:hAnsiTheme="majorEastAsia" w:cs="Times New Roman"/>
          <w:b w:val="0"/>
          <w:snapToGrid w:val="0"/>
        </w:rPr>
        <w:t>14</w:t>
      </w:r>
      <w:r w:rsidRPr="008A25C8">
        <w:rPr>
          <w:rFonts w:asciiTheme="majorEastAsia" w:eastAsiaTheme="majorEastAsia" w:hAnsiTheme="majorEastAsia" w:cs="Times New Roman" w:hint="eastAsia"/>
          <w:b w:val="0"/>
          <w:snapToGrid w:val="0"/>
        </w:rPr>
        <w:t>个；第</w:t>
      </w:r>
      <w:r w:rsidRPr="008A25C8">
        <w:rPr>
          <w:rFonts w:asciiTheme="majorEastAsia" w:eastAsiaTheme="majorEastAsia" w:hAnsiTheme="majorEastAsia" w:cs="Times New Roman"/>
          <w:b w:val="0"/>
          <w:snapToGrid w:val="0"/>
        </w:rPr>
        <w:t>IV</w:t>
      </w:r>
      <w:r w:rsidRPr="008A25C8">
        <w:rPr>
          <w:rFonts w:asciiTheme="majorEastAsia" w:eastAsiaTheme="majorEastAsia" w:hAnsiTheme="majorEastAsia" w:cs="Times New Roman" w:hint="eastAsia"/>
          <w:b w:val="0"/>
          <w:snapToGrid w:val="0"/>
        </w:rPr>
        <w:t>选举组：</w:t>
      </w:r>
      <w:r w:rsidRPr="008A25C8">
        <w:rPr>
          <w:rFonts w:asciiTheme="majorEastAsia" w:eastAsiaTheme="majorEastAsia" w:hAnsiTheme="majorEastAsia" w:cs="Times New Roman"/>
          <w:b w:val="0"/>
          <w:snapToGrid w:val="0"/>
        </w:rPr>
        <w:t>28</w:t>
      </w:r>
      <w:r w:rsidRPr="008A25C8">
        <w:rPr>
          <w:rFonts w:asciiTheme="majorEastAsia" w:eastAsiaTheme="majorEastAsia" w:hAnsiTheme="majorEastAsia" w:cs="Times New Roman" w:hint="eastAsia"/>
          <w:b w:val="0"/>
          <w:snapToGrid w:val="0"/>
        </w:rPr>
        <w:t>个；第</w:t>
      </w:r>
      <w:r w:rsidRPr="008A25C8">
        <w:rPr>
          <w:rFonts w:asciiTheme="majorEastAsia" w:eastAsiaTheme="majorEastAsia" w:hAnsiTheme="majorEastAsia" w:cs="Times New Roman"/>
          <w:b w:val="0"/>
          <w:snapToGrid w:val="0"/>
        </w:rPr>
        <w:t>V(a)</w:t>
      </w:r>
      <w:r w:rsidRPr="008A25C8">
        <w:rPr>
          <w:rFonts w:asciiTheme="majorEastAsia" w:eastAsiaTheme="majorEastAsia" w:hAnsiTheme="majorEastAsia" w:cs="Times New Roman" w:hint="eastAsia"/>
          <w:b w:val="0"/>
          <w:snapToGrid w:val="0"/>
        </w:rPr>
        <w:t>选举组：</w:t>
      </w:r>
      <w:r w:rsidRPr="008A25C8">
        <w:rPr>
          <w:rFonts w:asciiTheme="majorEastAsia" w:eastAsiaTheme="majorEastAsia" w:hAnsiTheme="majorEastAsia" w:cs="Times New Roman"/>
          <w:b w:val="0"/>
          <w:snapToGrid w:val="0"/>
        </w:rPr>
        <w:t>25</w:t>
      </w:r>
      <w:r w:rsidRPr="008A25C8">
        <w:rPr>
          <w:rFonts w:asciiTheme="majorEastAsia" w:eastAsiaTheme="majorEastAsia" w:hAnsiTheme="majorEastAsia" w:cs="Times New Roman" w:hint="eastAsia"/>
          <w:b w:val="0"/>
          <w:snapToGrid w:val="0"/>
        </w:rPr>
        <w:t>个；第</w:t>
      </w:r>
      <w:r w:rsidRPr="008A25C8">
        <w:rPr>
          <w:rFonts w:asciiTheme="majorEastAsia" w:eastAsiaTheme="majorEastAsia" w:hAnsiTheme="majorEastAsia" w:cs="Times New Roman"/>
          <w:b w:val="0"/>
          <w:snapToGrid w:val="0"/>
        </w:rPr>
        <w:t>V(b)</w:t>
      </w:r>
      <w:r w:rsidRPr="008A25C8">
        <w:rPr>
          <w:rFonts w:asciiTheme="majorEastAsia" w:eastAsiaTheme="majorEastAsia" w:hAnsiTheme="majorEastAsia" w:cs="Times New Roman" w:hint="eastAsia"/>
          <w:b w:val="0"/>
          <w:snapToGrid w:val="0"/>
        </w:rPr>
        <w:t>选举组：</w:t>
      </w:r>
      <w:r w:rsidRPr="008A25C8">
        <w:rPr>
          <w:rFonts w:asciiTheme="majorEastAsia" w:eastAsiaTheme="majorEastAsia" w:hAnsiTheme="majorEastAsia" w:cs="Times New Roman"/>
          <w:b w:val="0"/>
          <w:snapToGrid w:val="0"/>
        </w:rPr>
        <w:t>10</w:t>
      </w:r>
      <w:r w:rsidRPr="008A25C8">
        <w:rPr>
          <w:rFonts w:asciiTheme="majorEastAsia" w:eastAsiaTheme="majorEastAsia" w:hAnsiTheme="majorEastAsia" w:cs="Times New Roman" w:hint="eastAsia"/>
          <w:b w:val="0"/>
          <w:snapToGrid w:val="0"/>
        </w:rPr>
        <w:t>个。</w:t>
      </w:r>
      <w:r w:rsidRPr="008A25C8">
        <w:rPr>
          <w:rFonts w:asciiTheme="majorEastAsia" w:eastAsiaTheme="majorEastAsia" w:hAnsiTheme="majorEastAsia" w:cs="Times New Roman"/>
          <w:b w:val="0"/>
          <w:snapToGrid w:val="0"/>
        </w:rPr>
        <w:t xml:space="preserve"> </w:t>
      </w:r>
    </w:p>
    <w:p w14:paraId="6FCAB484" w14:textId="0E134B52" w:rsidR="00F70FBF" w:rsidRPr="008A25C8" w:rsidRDefault="00F70FBF" w:rsidP="00F70FBF">
      <w:pPr>
        <w:pStyle w:val="COMTitleDecision"/>
        <w:keepNext w:val="0"/>
        <w:widowControl w:val="0"/>
        <w:spacing w:before="120"/>
        <w:jc w:val="center"/>
        <w:rPr>
          <w:rFonts w:ascii="Times New Roman" w:hAnsi="Times New Roman" w:cs="Times New Roman"/>
          <w:b w:val="0"/>
        </w:rPr>
      </w:pPr>
      <w:r w:rsidRPr="008A25C8">
        <w:rPr>
          <w:rFonts w:ascii="Times New Roman" w:hAnsi="Times New Roman" w:cs="Times New Roman"/>
          <w:b w:val="0"/>
          <w:noProof/>
          <w:lang w:val="en-US"/>
        </w:rPr>
        <w:drawing>
          <wp:inline distT="0" distB="0" distL="0" distR="0" wp14:anchorId="153D43C3" wp14:editId="7131FC7D">
            <wp:extent cx="5274978" cy="2161790"/>
            <wp:effectExtent l="0" t="0" r="1905" b="1016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4A786B" w14:textId="77777777" w:rsidR="00C51389" w:rsidRPr="008A25C8" w:rsidRDefault="00C51389" w:rsidP="00C51389">
      <w:pPr>
        <w:pStyle w:val="COMTitleDecision"/>
        <w:keepNext w:val="0"/>
        <w:widowControl w:val="0"/>
        <w:spacing w:before="120"/>
        <w:jc w:val="center"/>
        <w:rPr>
          <w:rFonts w:ascii="Times New Roman" w:hAnsi="Times New Roman" w:cs="Times New Roman"/>
          <w:b w:val="0"/>
          <w:lang w:val="en-GB"/>
        </w:rPr>
      </w:pPr>
    </w:p>
    <w:p w14:paraId="20E3D5C7" w14:textId="58611BCF" w:rsidR="009320D9" w:rsidRPr="008A25C8" w:rsidRDefault="00CD3FDF" w:rsidP="00600CE2">
      <w:pPr>
        <w:spacing w:before="120" w:after="120"/>
        <w:rPr>
          <w:rFonts w:asciiTheme="majorEastAsia" w:eastAsiaTheme="majorEastAsia" w:hAnsiTheme="majorEastAsia"/>
          <w:bCs/>
          <w:sz w:val="22"/>
          <w:szCs w:val="22"/>
        </w:rPr>
      </w:pPr>
      <w:r w:rsidRPr="008A25C8">
        <w:rPr>
          <w:b/>
          <w:sz w:val="22"/>
          <w:szCs w:val="22"/>
        </w:rPr>
        <w:t>委员会</w:t>
      </w:r>
      <w:r w:rsidRPr="008A25C8">
        <w:rPr>
          <w:rFonts w:asciiTheme="majorEastAsia" w:eastAsiaTheme="majorEastAsia" w:hAnsiTheme="majorEastAsia" w:hint="eastAsia"/>
          <w:b/>
          <w:sz w:val="22"/>
          <w:szCs w:val="22"/>
        </w:rPr>
        <w:t>第十八届</w:t>
      </w:r>
      <w:r w:rsidR="00A07F56" w:rsidRPr="008A25C8">
        <w:rPr>
          <w:rFonts w:asciiTheme="majorEastAsia" w:eastAsiaTheme="majorEastAsia" w:hAnsiTheme="majorEastAsia" w:hint="eastAsia"/>
          <w:b/>
          <w:sz w:val="22"/>
          <w:szCs w:val="22"/>
        </w:rPr>
        <w:t>常</w:t>
      </w:r>
      <w:r w:rsidRPr="008A25C8">
        <w:rPr>
          <w:rFonts w:asciiTheme="majorEastAsia" w:eastAsiaTheme="majorEastAsia" w:hAnsiTheme="majorEastAsia" w:hint="eastAsia"/>
          <w:b/>
          <w:sz w:val="22"/>
          <w:szCs w:val="22"/>
        </w:rPr>
        <w:t>会建议的非政府组织的认证</w:t>
      </w:r>
      <w:r w:rsidR="00A07F56" w:rsidRPr="008A25C8">
        <w:rPr>
          <w:rFonts w:asciiTheme="majorEastAsia" w:eastAsiaTheme="majorEastAsia" w:hAnsiTheme="majorEastAsia" w:hint="eastAsia"/>
          <w:b/>
          <w:sz w:val="22"/>
          <w:szCs w:val="22"/>
        </w:rPr>
        <w:t>情况</w:t>
      </w:r>
    </w:p>
    <w:p w14:paraId="24520F21" w14:textId="7331A460" w:rsidR="007C36FB" w:rsidRPr="00D72600" w:rsidRDefault="00D51E08" w:rsidP="007C36FB">
      <w:pPr>
        <w:pStyle w:val="COMTitleDecision"/>
        <w:keepNext w:val="0"/>
        <w:widowControl w:val="0"/>
        <w:numPr>
          <w:ilvl w:val="0"/>
          <w:numId w:val="20"/>
        </w:numPr>
        <w:spacing w:before="120"/>
        <w:ind w:left="567" w:hanging="567"/>
        <w:rPr>
          <w:rFonts w:asciiTheme="majorEastAsia" w:eastAsiaTheme="majorEastAsia" w:hAnsiTheme="majorEastAsia" w:cs="Times New Roman"/>
          <w:b w:val="0"/>
        </w:rPr>
      </w:pPr>
      <w:r w:rsidRPr="008A25C8">
        <w:rPr>
          <w:rFonts w:asciiTheme="majorEastAsia" w:eastAsiaTheme="majorEastAsia" w:hAnsiTheme="majorEastAsia" w:cs="Times New Roman" w:hint="eastAsia"/>
          <w:b w:val="0"/>
        </w:rPr>
        <w:t>在</w:t>
      </w:r>
      <w:r w:rsidRPr="008A25C8">
        <w:rPr>
          <w:rFonts w:asciiTheme="majorEastAsia" w:eastAsiaTheme="majorEastAsia" w:hAnsiTheme="majorEastAsia" w:cs="Times New Roman"/>
          <w:b w:val="0"/>
        </w:rPr>
        <w:t>2023</w:t>
      </w:r>
      <w:r w:rsidRPr="008A25C8">
        <w:rPr>
          <w:rFonts w:asciiTheme="majorEastAsia" w:eastAsiaTheme="majorEastAsia" w:hAnsiTheme="majorEastAsia" w:cs="Times New Roman" w:hint="eastAsia"/>
          <w:b w:val="0"/>
        </w:rPr>
        <w:t>年第十八届</w:t>
      </w:r>
      <w:r w:rsidR="00A07F56" w:rsidRPr="008A25C8">
        <w:rPr>
          <w:rFonts w:asciiTheme="majorEastAsia" w:eastAsiaTheme="majorEastAsia" w:hAnsiTheme="majorEastAsia" w:cs="Times New Roman" w:hint="eastAsia"/>
          <w:b w:val="0"/>
        </w:rPr>
        <w:t>常</w:t>
      </w:r>
      <w:r w:rsidRPr="008A25C8">
        <w:rPr>
          <w:rFonts w:asciiTheme="majorEastAsia" w:eastAsiaTheme="majorEastAsia" w:hAnsiTheme="majorEastAsia" w:cs="Times New Roman" w:hint="eastAsia"/>
          <w:b w:val="0"/>
        </w:rPr>
        <w:t>会上，委员会审查了</w:t>
      </w:r>
      <w:r w:rsidRPr="008A25C8">
        <w:rPr>
          <w:rFonts w:asciiTheme="majorEastAsia" w:eastAsiaTheme="majorEastAsia" w:hAnsiTheme="majorEastAsia" w:cs="Times New Roman"/>
          <w:b w:val="0"/>
        </w:rPr>
        <w:t>73</w:t>
      </w:r>
      <w:r w:rsidRPr="008A25C8">
        <w:rPr>
          <w:rFonts w:asciiTheme="majorEastAsia" w:eastAsiaTheme="majorEastAsia" w:hAnsiTheme="majorEastAsia" w:cs="Times New Roman" w:hint="eastAsia"/>
          <w:b w:val="0"/>
        </w:rPr>
        <w:t>个非政府组织的新的认证申请，并建议大会对其中</w:t>
      </w:r>
      <w:r w:rsidRPr="008A25C8">
        <w:rPr>
          <w:rFonts w:asciiTheme="majorEastAsia" w:eastAsiaTheme="majorEastAsia" w:hAnsiTheme="majorEastAsia" w:cs="Times New Roman"/>
          <w:b w:val="0"/>
        </w:rPr>
        <w:t>58</w:t>
      </w:r>
      <w:r w:rsidRPr="008A25C8">
        <w:rPr>
          <w:rFonts w:asciiTheme="majorEastAsia" w:eastAsiaTheme="majorEastAsia" w:hAnsiTheme="majorEastAsia" w:cs="Times New Roman" w:hint="eastAsia"/>
          <w:b w:val="0"/>
        </w:rPr>
        <w:t>个非政府组织进行认证</w:t>
      </w:r>
      <w:r w:rsidRPr="00D72600">
        <w:rPr>
          <w:rFonts w:asciiTheme="majorEastAsia" w:eastAsiaTheme="majorEastAsia" w:hAnsiTheme="majorEastAsia" w:cs="Times New Roman" w:hint="eastAsia"/>
          <w:b w:val="0"/>
        </w:rPr>
        <w:t>（第</w:t>
      </w:r>
      <w:hyperlink r:id="rId9" w:history="1">
        <w:r w:rsidRPr="00D72600">
          <w:rPr>
            <w:rStyle w:val="Lienhypertexte"/>
            <w:rFonts w:asciiTheme="majorEastAsia" w:eastAsiaTheme="majorEastAsia" w:hAnsiTheme="majorEastAsia" w:cs="Times New Roman"/>
            <w:b w:val="0"/>
          </w:rPr>
          <w:t>18.COM 16</w:t>
        </w:r>
      </w:hyperlink>
      <w:r w:rsidRPr="00D72600">
        <w:rPr>
          <w:rFonts w:asciiTheme="majorEastAsia" w:eastAsiaTheme="majorEastAsia" w:hAnsiTheme="majorEastAsia" w:cs="Times New Roman" w:hint="eastAsia"/>
          <w:b w:val="0"/>
        </w:rPr>
        <w:t>号决定）。这些组织载列于附件。</w:t>
      </w:r>
      <w:r w:rsidR="00834190">
        <w:fldChar w:fldCharType="begin"/>
      </w:r>
      <w:r w:rsidR="00834190">
        <w:instrText>HYPERLINK "https://ich.unesco.org/en/accreditation-of-ngos-01352"</w:instrText>
      </w:r>
      <w:r w:rsidR="00834190">
        <w:fldChar w:fldCharType="separate"/>
      </w:r>
      <w:r w:rsidRPr="00D72600">
        <w:rPr>
          <w:rStyle w:val="Lienhypertexte"/>
          <w:rFonts w:asciiTheme="majorEastAsia" w:eastAsiaTheme="majorEastAsia" w:hAnsiTheme="majorEastAsia" w:cs="Times New Roman" w:hint="eastAsia"/>
          <w:b w:val="0"/>
        </w:rPr>
        <w:t>《公约》的网页</w:t>
      </w:r>
      <w:r w:rsidR="00834190">
        <w:rPr>
          <w:rStyle w:val="Lienhypertexte"/>
          <w:rFonts w:asciiTheme="majorEastAsia" w:eastAsiaTheme="majorEastAsia" w:hAnsiTheme="majorEastAsia" w:cs="Times New Roman"/>
          <w:b w:val="0"/>
        </w:rPr>
        <w:fldChar w:fldCharType="end"/>
      </w:r>
      <w:r w:rsidRPr="00D72600">
        <w:rPr>
          <w:rFonts w:asciiTheme="majorEastAsia" w:eastAsiaTheme="majorEastAsia" w:hAnsiTheme="majorEastAsia" w:cs="Times New Roman" w:hint="eastAsia"/>
          <w:b w:val="0"/>
        </w:rPr>
        <w:t>公布了及时完成的所有申请，供委员会第十八届</w:t>
      </w:r>
      <w:r w:rsidR="00A07F56">
        <w:rPr>
          <w:rFonts w:asciiTheme="majorEastAsia" w:eastAsiaTheme="majorEastAsia" w:hAnsiTheme="majorEastAsia" w:cs="Times New Roman" w:hint="eastAsia"/>
          <w:b w:val="0"/>
        </w:rPr>
        <w:t>常</w:t>
      </w:r>
      <w:r w:rsidRPr="00D72600">
        <w:rPr>
          <w:rFonts w:asciiTheme="majorEastAsia" w:eastAsiaTheme="majorEastAsia" w:hAnsiTheme="majorEastAsia" w:cs="Times New Roman" w:hint="eastAsia"/>
          <w:b w:val="0"/>
        </w:rPr>
        <w:t>会以提交申请的语言进行审查，即每个组织填写的表格</w:t>
      </w:r>
      <w:hyperlink r:id="rId10" w:history="1">
        <w:r w:rsidRPr="00D72600">
          <w:rPr>
            <w:rStyle w:val="Lienhypertexte"/>
            <w:rFonts w:asciiTheme="majorEastAsia" w:eastAsiaTheme="majorEastAsia" w:hAnsiTheme="majorEastAsia" w:cs="Times New Roman"/>
            <w:b w:val="0"/>
          </w:rPr>
          <w:t>ICH-09</w:t>
        </w:r>
      </w:hyperlink>
      <w:r w:rsidRPr="00D72600">
        <w:rPr>
          <w:rFonts w:asciiTheme="majorEastAsia" w:eastAsiaTheme="majorEastAsia" w:hAnsiTheme="majorEastAsia" w:cs="Times New Roman" w:hint="eastAsia"/>
          <w:b w:val="0"/>
        </w:rPr>
        <w:t>，以及关于该表格项目</w:t>
      </w:r>
      <w:r w:rsidRPr="00D72600">
        <w:rPr>
          <w:rFonts w:asciiTheme="majorEastAsia" w:eastAsiaTheme="majorEastAsia" w:hAnsiTheme="majorEastAsia" w:cs="Times New Roman"/>
          <w:b w:val="0"/>
        </w:rPr>
        <w:t>8.a</w:t>
      </w:r>
      <w:r w:rsidRPr="00D72600">
        <w:rPr>
          <w:rFonts w:asciiTheme="majorEastAsia" w:eastAsiaTheme="majorEastAsia" w:hAnsiTheme="majorEastAsia" w:cs="Times New Roman" w:hint="eastAsia"/>
          <w:b w:val="0"/>
        </w:rPr>
        <w:t>、</w:t>
      </w:r>
      <w:r w:rsidRPr="00D72600">
        <w:rPr>
          <w:rFonts w:asciiTheme="majorEastAsia" w:eastAsiaTheme="majorEastAsia" w:hAnsiTheme="majorEastAsia" w:cs="Times New Roman"/>
          <w:b w:val="0"/>
        </w:rPr>
        <w:t>8.b</w:t>
      </w:r>
      <w:r w:rsidRPr="00D72600">
        <w:rPr>
          <w:rFonts w:asciiTheme="majorEastAsia" w:eastAsiaTheme="majorEastAsia" w:hAnsiTheme="majorEastAsia" w:cs="Times New Roman" w:hint="eastAsia"/>
          <w:b w:val="0"/>
        </w:rPr>
        <w:t>和</w:t>
      </w:r>
      <w:r w:rsidRPr="00D72600">
        <w:rPr>
          <w:rFonts w:asciiTheme="majorEastAsia" w:eastAsiaTheme="majorEastAsia" w:hAnsiTheme="majorEastAsia" w:cs="Times New Roman"/>
          <w:b w:val="0"/>
        </w:rPr>
        <w:t>8.c</w:t>
      </w:r>
      <w:r w:rsidRPr="00D72600">
        <w:rPr>
          <w:rFonts w:asciiTheme="majorEastAsia" w:eastAsiaTheme="majorEastAsia" w:hAnsiTheme="majorEastAsia" w:cs="Times New Roman" w:hint="eastAsia"/>
          <w:b w:val="0"/>
        </w:rPr>
        <w:t>的补充文件。</w:t>
      </w:r>
      <w:r w:rsidRPr="00D72600">
        <w:rPr>
          <w:rFonts w:asciiTheme="majorEastAsia" w:eastAsiaTheme="majorEastAsia" w:hAnsiTheme="majorEastAsia" w:cs="Times New Roman" w:hint="eastAsia"/>
          <w:b w:val="0"/>
          <w:snapToGrid w:val="0"/>
        </w:rPr>
        <w:t>提议进行认证的</w:t>
      </w:r>
      <w:r w:rsidRPr="00D72600">
        <w:rPr>
          <w:rFonts w:asciiTheme="majorEastAsia" w:eastAsiaTheme="majorEastAsia" w:hAnsiTheme="majorEastAsia" w:cs="Times New Roman"/>
          <w:b w:val="0"/>
          <w:snapToGrid w:val="0"/>
        </w:rPr>
        <w:t>58</w:t>
      </w:r>
      <w:r w:rsidRPr="00D72600">
        <w:rPr>
          <w:rFonts w:asciiTheme="majorEastAsia" w:eastAsiaTheme="majorEastAsia" w:hAnsiTheme="majorEastAsia" w:cs="Times New Roman" w:hint="eastAsia"/>
          <w:b w:val="0"/>
          <w:snapToGrid w:val="0"/>
        </w:rPr>
        <w:t>个非政府组织的地域分布如下：</w:t>
      </w:r>
      <w:r w:rsidRPr="00D72600">
        <w:rPr>
          <w:rFonts w:asciiTheme="majorEastAsia" w:eastAsiaTheme="majorEastAsia" w:hAnsiTheme="majorEastAsia" w:cs="Times New Roman"/>
          <w:b w:val="0"/>
          <w:snapToGrid w:val="0"/>
        </w:rPr>
        <w:t xml:space="preserve"> </w:t>
      </w:r>
      <w:r w:rsidRPr="00D72600">
        <w:rPr>
          <w:rFonts w:asciiTheme="majorEastAsia" w:eastAsiaTheme="majorEastAsia" w:hAnsiTheme="majorEastAsia" w:cs="Times New Roman" w:hint="eastAsia"/>
          <w:b w:val="0"/>
          <w:snapToGrid w:val="0"/>
        </w:rPr>
        <w:t>第</w:t>
      </w:r>
      <w:r w:rsidRPr="00D72600">
        <w:rPr>
          <w:rFonts w:asciiTheme="majorEastAsia" w:eastAsiaTheme="majorEastAsia" w:hAnsiTheme="majorEastAsia" w:cs="Times New Roman"/>
          <w:b w:val="0"/>
          <w:snapToGrid w:val="0"/>
        </w:rPr>
        <w:t>I</w:t>
      </w:r>
      <w:r w:rsidRPr="00D72600">
        <w:rPr>
          <w:rFonts w:asciiTheme="majorEastAsia" w:eastAsiaTheme="majorEastAsia" w:hAnsiTheme="majorEastAsia" w:cs="Times New Roman" w:hint="eastAsia"/>
          <w:b w:val="0"/>
          <w:snapToGrid w:val="0"/>
        </w:rPr>
        <w:t>选举组：</w:t>
      </w:r>
      <w:r w:rsidRPr="00D72600">
        <w:rPr>
          <w:rFonts w:asciiTheme="majorEastAsia" w:eastAsiaTheme="majorEastAsia" w:hAnsiTheme="majorEastAsia" w:cs="Times New Roman"/>
          <w:b w:val="0"/>
          <w:snapToGrid w:val="0"/>
        </w:rPr>
        <w:t>22</w:t>
      </w:r>
      <w:r w:rsidRPr="00D72600">
        <w:rPr>
          <w:rFonts w:asciiTheme="majorEastAsia" w:eastAsiaTheme="majorEastAsia" w:hAnsiTheme="majorEastAsia" w:cs="Times New Roman" w:hint="eastAsia"/>
          <w:b w:val="0"/>
          <w:snapToGrid w:val="0"/>
        </w:rPr>
        <w:t>个；第</w:t>
      </w:r>
      <w:r w:rsidRPr="00D72600">
        <w:rPr>
          <w:rFonts w:asciiTheme="majorEastAsia" w:eastAsiaTheme="majorEastAsia" w:hAnsiTheme="majorEastAsia" w:cs="Times New Roman"/>
          <w:b w:val="0"/>
          <w:snapToGrid w:val="0"/>
        </w:rPr>
        <w:t>II</w:t>
      </w:r>
      <w:r w:rsidRPr="00D72600">
        <w:rPr>
          <w:rFonts w:asciiTheme="majorEastAsia" w:eastAsiaTheme="majorEastAsia" w:hAnsiTheme="majorEastAsia" w:cs="Times New Roman" w:hint="eastAsia"/>
          <w:b w:val="0"/>
          <w:snapToGrid w:val="0"/>
        </w:rPr>
        <w:t>选举组：</w:t>
      </w:r>
      <w:r w:rsidRPr="00D72600">
        <w:rPr>
          <w:rFonts w:asciiTheme="majorEastAsia" w:eastAsiaTheme="majorEastAsia" w:hAnsiTheme="majorEastAsia" w:cs="Times New Roman"/>
          <w:b w:val="0"/>
          <w:snapToGrid w:val="0"/>
        </w:rPr>
        <w:t>7</w:t>
      </w:r>
      <w:r w:rsidRPr="00D72600">
        <w:rPr>
          <w:rFonts w:asciiTheme="majorEastAsia" w:eastAsiaTheme="majorEastAsia" w:hAnsiTheme="majorEastAsia" w:cs="Times New Roman" w:hint="eastAsia"/>
          <w:b w:val="0"/>
          <w:snapToGrid w:val="0"/>
        </w:rPr>
        <w:t>个；第</w:t>
      </w:r>
      <w:r w:rsidRPr="00D72600">
        <w:rPr>
          <w:rFonts w:asciiTheme="majorEastAsia" w:eastAsiaTheme="majorEastAsia" w:hAnsiTheme="majorEastAsia" w:cs="Times New Roman"/>
          <w:b w:val="0"/>
          <w:snapToGrid w:val="0"/>
        </w:rPr>
        <w:t>III</w:t>
      </w:r>
      <w:r w:rsidRPr="00D72600">
        <w:rPr>
          <w:rFonts w:asciiTheme="majorEastAsia" w:eastAsiaTheme="majorEastAsia" w:hAnsiTheme="majorEastAsia" w:cs="Times New Roman" w:hint="eastAsia"/>
          <w:b w:val="0"/>
          <w:snapToGrid w:val="0"/>
        </w:rPr>
        <w:t>选举组：</w:t>
      </w:r>
      <w:r w:rsidRPr="00D72600">
        <w:rPr>
          <w:rFonts w:asciiTheme="majorEastAsia" w:eastAsiaTheme="majorEastAsia" w:hAnsiTheme="majorEastAsia" w:cs="Times New Roman"/>
          <w:b w:val="0"/>
          <w:snapToGrid w:val="0"/>
        </w:rPr>
        <w:t>13</w:t>
      </w:r>
      <w:r w:rsidRPr="00D72600">
        <w:rPr>
          <w:rFonts w:asciiTheme="majorEastAsia" w:eastAsiaTheme="majorEastAsia" w:hAnsiTheme="majorEastAsia" w:cs="Times New Roman" w:hint="eastAsia"/>
          <w:b w:val="0"/>
          <w:snapToGrid w:val="0"/>
        </w:rPr>
        <w:t>个；第</w:t>
      </w:r>
      <w:r w:rsidRPr="00D72600">
        <w:rPr>
          <w:rFonts w:asciiTheme="majorEastAsia" w:eastAsiaTheme="majorEastAsia" w:hAnsiTheme="majorEastAsia" w:cs="Times New Roman"/>
          <w:b w:val="0"/>
          <w:snapToGrid w:val="0"/>
        </w:rPr>
        <w:t>IV</w:t>
      </w:r>
      <w:r w:rsidRPr="00D72600">
        <w:rPr>
          <w:rFonts w:asciiTheme="majorEastAsia" w:eastAsiaTheme="majorEastAsia" w:hAnsiTheme="majorEastAsia" w:cs="Times New Roman" w:hint="eastAsia"/>
          <w:b w:val="0"/>
          <w:snapToGrid w:val="0"/>
        </w:rPr>
        <w:t>选举组：</w:t>
      </w:r>
      <w:r w:rsidRPr="00D72600">
        <w:rPr>
          <w:rFonts w:asciiTheme="majorEastAsia" w:eastAsiaTheme="majorEastAsia" w:hAnsiTheme="majorEastAsia" w:cs="Times New Roman"/>
          <w:b w:val="0"/>
          <w:snapToGrid w:val="0"/>
        </w:rPr>
        <w:t>8</w:t>
      </w:r>
      <w:r w:rsidRPr="00D72600">
        <w:rPr>
          <w:rFonts w:asciiTheme="majorEastAsia" w:eastAsiaTheme="majorEastAsia" w:hAnsiTheme="majorEastAsia" w:cs="Times New Roman" w:hint="eastAsia"/>
          <w:b w:val="0"/>
          <w:snapToGrid w:val="0"/>
        </w:rPr>
        <w:t>个；第</w:t>
      </w:r>
      <w:r w:rsidRPr="00D72600">
        <w:rPr>
          <w:rFonts w:asciiTheme="majorEastAsia" w:eastAsiaTheme="majorEastAsia" w:hAnsiTheme="majorEastAsia" w:cs="Times New Roman"/>
          <w:b w:val="0"/>
          <w:snapToGrid w:val="0"/>
        </w:rPr>
        <w:t>V(a)</w:t>
      </w:r>
      <w:r w:rsidRPr="00D72600">
        <w:rPr>
          <w:rFonts w:asciiTheme="majorEastAsia" w:eastAsiaTheme="majorEastAsia" w:hAnsiTheme="majorEastAsia" w:cs="Times New Roman" w:hint="eastAsia"/>
          <w:b w:val="0"/>
          <w:snapToGrid w:val="0"/>
        </w:rPr>
        <w:t>选举组：</w:t>
      </w:r>
      <w:r w:rsidRPr="00D72600">
        <w:rPr>
          <w:rFonts w:asciiTheme="majorEastAsia" w:eastAsiaTheme="majorEastAsia" w:hAnsiTheme="majorEastAsia" w:cs="Times New Roman"/>
          <w:b w:val="0"/>
          <w:snapToGrid w:val="0"/>
        </w:rPr>
        <w:t>2</w:t>
      </w:r>
      <w:r w:rsidRPr="00D72600">
        <w:rPr>
          <w:rFonts w:asciiTheme="majorEastAsia" w:eastAsiaTheme="majorEastAsia" w:hAnsiTheme="majorEastAsia" w:cs="Times New Roman" w:hint="eastAsia"/>
          <w:b w:val="0"/>
          <w:snapToGrid w:val="0"/>
        </w:rPr>
        <w:t>个；第</w:t>
      </w:r>
      <w:r w:rsidRPr="00D72600">
        <w:rPr>
          <w:rFonts w:asciiTheme="majorEastAsia" w:eastAsiaTheme="majorEastAsia" w:hAnsiTheme="majorEastAsia" w:cs="Times New Roman"/>
          <w:b w:val="0"/>
          <w:snapToGrid w:val="0"/>
        </w:rPr>
        <w:t>V(b)</w:t>
      </w:r>
      <w:r w:rsidRPr="00D72600">
        <w:rPr>
          <w:rFonts w:asciiTheme="majorEastAsia" w:eastAsiaTheme="majorEastAsia" w:hAnsiTheme="majorEastAsia" w:cs="Times New Roman" w:hint="eastAsia"/>
          <w:b w:val="0"/>
          <w:snapToGrid w:val="0"/>
        </w:rPr>
        <w:t>选举组：</w:t>
      </w:r>
      <w:r w:rsidRPr="00D72600">
        <w:rPr>
          <w:rFonts w:asciiTheme="majorEastAsia" w:eastAsiaTheme="majorEastAsia" w:hAnsiTheme="majorEastAsia" w:cs="Times New Roman"/>
          <w:b w:val="0"/>
          <w:snapToGrid w:val="0"/>
        </w:rPr>
        <w:t>6</w:t>
      </w:r>
      <w:r w:rsidRPr="00D72600">
        <w:rPr>
          <w:rFonts w:asciiTheme="majorEastAsia" w:eastAsiaTheme="majorEastAsia" w:hAnsiTheme="majorEastAsia" w:cs="Times New Roman" w:hint="eastAsia"/>
          <w:b w:val="0"/>
          <w:snapToGrid w:val="0"/>
        </w:rPr>
        <w:t>个。</w:t>
      </w:r>
    </w:p>
    <w:p w14:paraId="17C55DC2" w14:textId="000DB952" w:rsidR="00BB3222" w:rsidRPr="003E4F59" w:rsidRDefault="00BB3222" w:rsidP="00435CED">
      <w:pPr>
        <w:jc w:val="center"/>
        <w:rPr>
          <w:lang w:val="en-GB"/>
        </w:rPr>
      </w:pPr>
    </w:p>
    <w:p w14:paraId="5A3E1471" w14:textId="49AF7185" w:rsidR="009E4416" w:rsidRPr="003E4F59" w:rsidRDefault="008A25C8" w:rsidP="007C36FB">
      <w:pPr>
        <w:pStyle w:val="COMTitleDecision"/>
        <w:spacing w:before="120"/>
        <w:rPr>
          <w:rFonts w:ascii="Times New Roman" w:hAnsi="Times New Roman" w:cs="Times New Roman"/>
          <w:bCs/>
          <w:snapToGrid w:val="0"/>
        </w:rPr>
      </w:pPr>
      <w:r w:rsidRPr="003E4F59">
        <w:rPr>
          <w:rFonts w:ascii="Times New Roman" w:hAnsi="Times New Roman" w:cs="Times New Roman"/>
          <w:b w:val="0"/>
          <w:noProof/>
          <w:lang w:val="en-US"/>
        </w:rPr>
        <w:lastRenderedPageBreak/>
        <w:drawing>
          <wp:anchor distT="0" distB="0" distL="114300" distR="114300" simplePos="0" relativeHeight="251658752" behindDoc="0" locked="0" layoutInCell="1" allowOverlap="1" wp14:anchorId="7711CF28" wp14:editId="2096E44D">
            <wp:simplePos x="0" y="0"/>
            <wp:positionH relativeFrom="margin">
              <wp:posOffset>595223</wp:posOffset>
            </wp:positionH>
            <wp:positionV relativeFrom="paragraph">
              <wp:posOffset>184761</wp:posOffset>
            </wp:positionV>
            <wp:extent cx="5074285" cy="2355215"/>
            <wp:effectExtent l="0" t="0" r="12065" b="6985"/>
            <wp:wrapTopAndBottom/>
            <wp:docPr id="8877243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35CED" w:rsidRPr="003E4F59">
        <w:rPr>
          <w:rFonts w:ascii="Times New Roman" w:hAnsi="Times New Roman" w:cs="Times New Roman"/>
        </w:rPr>
        <w:br w:type="textWrapping" w:clear="all"/>
      </w:r>
    </w:p>
    <w:p w14:paraId="1B2EA10E" w14:textId="77777777" w:rsidR="00CB3AEA" w:rsidRPr="00D72600" w:rsidRDefault="00CB3AEA" w:rsidP="00CB3AEA">
      <w:pPr>
        <w:pStyle w:val="COMTitleDecision"/>
        <w:keepNext w:val="0"/>
        <w:keepLines/>
        <w:widowControl w:val="0"/>
        <w:numPr>
          <w:ilvl w:val="0"/>
          <w:numId w:val="20"/>
        </w:numPr>
        <w:spacing w:before="120"/>
        <w:ind w:left="567" w:hanging="567"/>
        <w:rPr>
          <w:rFonts w:asciiTheme="majorEastAsia" w:eastAsiaTheme="majorEastAsia" w:hAnsiTheme="majorEastAsia" w:cs="Times New Roman"/>
          <w:b w:val="0"/>
          <w:bCs/>
          <w:snapToGrid w:val="0"/>
        </w:rPr>
      </w:pPr>
      <w:r w:rsidRPr="00D72600">
        <w:rPr>
          <w:rFonts w:asciiTheme="majorEastAsia" w:eastAsiaTheme="majorEastAsia" w:hAnsiTheme="majorEastAsia" w:cs="Times New Roman"/>
          <w:b w:val="0"/>
          <w:snapToGrid w:val="0"/>
        </w:rPr>
        <w:t>2003</w:t>
      </w:r>
      <w:r w:rsidRPr="00D72600">
        <w:rPr>
          <w:rFonts w:asciiTheme="majorEastAsia" w:eastAsiaTheme="majorEastAsia" w:hAnsiTheme="majorEastAsia" w:cs="Times New Roman" w:hint="eastAsia"/>
          <w:b w:val="0"/>
          <w:snapToGrid w:val="0"/>
        </w:rPr>
        <w:t>年《公约》秘书处根据《业务指南》中规定的标准审核了新的认证和续期申请。秘书处根据《业务指南》第</w:t>
      </w:r>
      <w:r w:rsidRPr="00D72600">
        <w:rPr>
          <w:rFonts w:asciiTheme="majorEastAsia" w:eastAsiaTheme="majorEastAsia" w:hAnsiTheme="majorEastAsia" w:cs="Times New Roman"/>
          <w:b w:val="0"/>
          <w:snapToGrid w:val="0"/>
        </w:rPr>
        <w:t>99</w:t>
      </w:r>
      <w:r w:rsidRPr="00D72600">
        <w:rPr>
          <w:rFonts w:asciiTheme="majorEastAsia" w:eastAsiaTheme="majorEastAsia" w:hAnsiTheme="majorEastAsia" w:cs="Times New Roman" w:hint="eastAsia"/>
          <w:b w:val="0"/>
          <w:snapToGrid w:val="0"/>
        </w:rPr>
        <w:t>段的规定登记各项提案，必要时帮助各组织提供缺少的任何信息，并按《业务指南》第</w:t>
      </w:r>
      <w:r w:rsidRPr="00D72600">
        <w:rPr>
          <w:rFonts w:asciiTheme="majorEastAsia" w:eastAsiaTheme="majorEastAsia" w:hAnsiTheme="majorEastAsia" w:cs="Times New Roman"/>
          <w:b w:val="0"/>
          <w:snapToGrid w:val="0"/>
        </w:rPr>
        <w:t>92</w:t>
      </w:r>
      <w:r w:rsidRPr="00D72600">
        <w:rPr>
          <w:rFonts w:asciiTheme="majorEastAsia" w:eastAsiaTheme="majorEastAsia" w:hAnsiTheme="majorEastAsia" w:cs="Times New Roman" w:hint="eastAsia"/>
          <w:b w:val="0"/>
          <w:snapToGrid w:val="0"/>
        </w:rPr>
        <w:t>段的要求向委员会提出建议。相关表格和相应的工作文件最迟在委员会和大会相关会议开幕前四周通过《公约》的网页公布。</w:t>
      </w:r>
    </w:p>
    <w:p w14:paraId="281D7F8E" w14:textId="333AC0CD" w:rsidR="00A76CD9" w:rsidRPr="00D72600" w:rsidRDefault="003832A4" w:rsidP="00B167AB">
      <w:pPr>
        <w:pStyle w:val="COMTitleDecision"/>
        <w:numPr>
          <w:ilvl w:val="0"/>
          <w:numId w:val="20"/>
        </w:numPr>
        <w:spacing w:before="0"/>
        <w:ind w:left="567" w:hanging="567"/>
        <w:rPr>
          <w:rFonts w:asciiTheme="majorEastAsia" w:eastAsiaTheme="majorEastAsia" w:hAnsiTheme="majorEastAsia" w:cs="Times New Roman"/>
          <w:b w:val="0"/>
          <w:bCs/>
          <w:snapToGrid w:val="0"/>
        </w:rPr>
      </w:pPr>
      <w:r w:rsidRPr="00D72600">
        <w:rPr>
          <w:rFonts w:asciiTheme="majorEastAsia" w:eastAsiaTheme="majorEastAsia" w:hAnsiTheme="majorEastAsia" w:cs="Times New Roman" w:hint="eastAsia"/>
          <w:b w:val="0"/>
          <w:snapToGrid w:val="0"/>
        </w:rPr>
        <w:t>根据</w:t>
      </w:r>
      <w:r w:rsidRPr="00D72600">
        <w:rPr>
          <w:rFonts w:asciiTheme="majorEastAsia" w:eastAsiaTheme="majorEastAsia" w:hAnsiTheme="majorEastAsia" w:cs="Times New Roman"/>
          <w:b w:val="0"/>
          <w:snapToGrid w:val="0"/>
        </w:rPr>
        <w:t>2022</w:t>
      </w:r>
      <w:r w:rsidRPr="00D72600">
        <w:rPr>
          <w:rFonts w:asciiTheme="majorEastAsia" w:eastAsiaTheme="majorEastAsia" w:hAnsiTheme="majorEastAsia" w:cs="Times New Roman" w:hint="eastAsia"/>
          <w:b w:val="0"/>
          <w:snapToGrid w:val="0"/>
        </w:rPr>
        <w:t>年大会第九届会议通过的</w:t>
      </w:r>
      <w:r w:rsidRPr="00D72600">
        <w:rPr>
          <w:rFonts w:asciiTheme="majorEastAsia" w:eastAsiaTheme="majorEastAsia" w:hAnsiTheme="majorEastAsia" w:cs="Times New Roman" w:hint="eastAsia"/>
          <w:b w:val="0"/>
        </w:rPr>
        <w:t>第</w:t>
      </w:r>
      <w:hyperlink r:id="rId12" w:history="1">
        <w:r w:rsidRPr="00D72600">
          <w:rPr>
            <w:rStyle w:val="Lienhypertexte"/>
            <w:rFonts w:asciiTheme="majorEastAsia" w:eastAsiaTheme="majorEastAsia" w:hAnsiTheme="majorEastAsia" w:cs="Times New Roman"/>
            <w:b w:val="0"/>
          </w:rPr>
          <w:t>9.GA 7</w:t>
        </w:r>
      </w:hyperlink>
      <w:r w:rsidRPr="00D72600">
        <w:rPr>
          <w:rFonts w:asciiTheme="majorEastAsia" w:eastAsiaTheme="majorEastAsia" w:hAnsiTheme="majorEastAsia" w:cs="Times New Roman" w:hint="eastAsia"/>
          <w:b w:val="0"/>
        </w:rPr>
        <w:t>号决议，秘书处在审核新提交的认证申请时</w:t>
      </w:r>
      <w:r w:rsidR="00A07F56">
        <w:rPr>
          <w:rFonts w:asciiTheme="majorEastAsia" w:eastAsiaTheme="majorEastAsia" w:hAnsiTheme="majorEastAsia" w:cs="Times New Roman" w:hint="eastAsia"/>
          <w:b w:val="0"/>
        </w:rPr>
        <w:t>需</w:t>
      </w:r>
      <w:r w:rsidRPr="00D72600">
        <w:rPr>
          <w:rFonts w:asciiTheme="majorEastAsia" w:eastAsiaTheme="majorEastAsia" w:hAnsiTheme="majorEastAsia" w:cs="Times New Roman" w:hint="eastAsia"/>
          <w:b w:val="0"/>
        </w:rPr>
        <w:t>寻求教科文组织地</w:t>
      </w:r>
      <w:r w:rsidR="00A07F56">
        <w:rPr>
          <w:rFonts w:asciiTheme="majorEastAsia" w:eastAsiaTheme="majorEastAsia" w:hAnsiTheme="majorEastAsia" w:cs="Times New Roman" w:hint="eastAsia"/>
          <w:b w:val="0"/>
        </w:rPr>
        <w:t>方</w:t>
      </w:r>
      <w:r w:rsidRPr="00D72600">
        <w:rPr>
          <w:rFonts w:asciiTheme="majorEastAsia" w:eastAsiaTheme="majorEastAsia" w:hAnsiTheme="majorEastAsia" w:cs="Times New Roman" w:hint="eastAsia"/>
          <w:b w:val="0"/>
        </w:rPr>
        <w:t>办事处的合作。非政府组织认证清单已提供给各地</w:t>
      </w:r>
      <w:r w:rsidR="00A07F56">
        <w:rPr>
          <w:rFonts w:asciiTheme="majorEastAsia" w:eastAsiaTheme="majorEastAsia" w:hAnsiTheme="majorEastAsia" w:cs="Times New Roman" w:hint="eastAsia"/>
          <w:b w:val="0"/>
        </w:rPr>
        <w:t>方</w:t>
      </w:r>
      <w:r w:rsidRPr="00D72600">
        <w:rPr>
          <w:rFonts w:asciiTheme="majorEastAsia" w:eastAsiaTheme="majorEastAsia" w:hAnsiTheme="majorEastAsia" w:cs="Times New Roman" w:hint="eastAsia"/>
          <w:b w:val="0"/>
        </w:rPr>
        <w:t>办事处，并编制了一份表格以收集相关信息。</w:t>
      </w:r>
      <w:r w:rsidRPr="00D72600">
        <w:rPr>
          <w:rFonts w:asciiTheme="majorEastAsia" w:eastAsiaTheme="majorEastAsia" w:hAnsiTheme="majorEastAsia" w:cs="Times New Roman" w:hint="eastAsia"/>
          <w:b w:val="0"/>
          <w:snapToGrid w:val="0"/>
        </w:rPr>
        <w:t>教科文组织的六个地</w:t>
      </w:r>
      <w:r w:rsidR="00A07F56">
        <w:rPr>
          <w:rFonts w:asciiTheme="majorEastAsia" w:eastAsiaTheme="majorEastAsia" w:hAnsiTheme="majorEastAsia" w:cs="Times New Roman" w:hint="eastAsia"/>
          <w:b w:val="0"/>
          <w:snapToGrid w:val="0"/>
        </w:rPr>
        <w:t>方</w:t>
      </w:r>
      <w:r w:rsidRPr="00D72600">
        <w:rPr>
          <w:rFonts w:asciiTheme="majorEastAsia" w:eastAsiaTheme="majorEastAsia" w:hAnsiTheme="majorEastAsia" w:cs="Times New Roman" w:hint="eastAsia"/>
          <w:b w:val="0"/>
          <w:snapToGrid w:val="0"/>
        </w:rPr>
        <w:t>办事处支持这一进程，为与之互动的非政府组织提出的新认证申请提供了补充信息。</w:t>
      </w:r>
    </w:p>
    <w:p w14:paraId="1DBA486E" w14:textId="26097BDD" w:rsidR="00391AC6" w:rsidRPr="003E4F59" w:rsidRDefault="00391AC6" w:rsidP="00132C8D">
      <w:pPr>
        <w:pStyle w:val="COMTitleDecision"/>
        <w:keepNext w:val="0"/>
        <w:widowControl w:val="0"/>
        <w:numPr>
          <w:ilvl w:val="0"/>
          <w:numId w:val="20"/>
        </w:numPr>
        <w:spacing w:before="0"/>
        <w:ind w:left="547" w:hanging="576"/>
        <w:rPr>
          <w:rFonts w:ascii="Times New Roman" w:hAnsi="Times New Roman" w:cs="Times New Roman"/>
          <w:b w:val="0"/>
        </w:rPr>
      </w:pPr>
      <w:proofErr w:type="gramStart"/>
      <w:r w:rsidRPr="003E4F59">
        <w:rPr>
          <w:rFonts w:ascii="Times New Roman" w:hAnsi="Times New Roman" w:cs="Times New Roman"/>
          <w:b w:val="0"/>
        </w:rPr>
        <w:t>谨建议</w:t>
      </w:r>
      <w:proofErr w:type="gramEnd"/>
      <w:r w:rsidRPr="003E4F59">
        <w:rPr>
          <w:rFonts w:ascii="Times New Roman" w:hAnsi="Times New Roman" w:cs="Times New Roman"/>
          <w:b w:val="0"/>
        </w:rPr>
        <w:t>大会通过如下决议：</w:t>
      </w:r>
    </w:p>
    <w:p w14:paraId="2A46BAC4" w14:textId="199081F4" w:rsidR="008A1ED4" w:rsidRPr="00D72600" w:rsidRDefault="00F010E0" w:rsidP="004C7156">
      <w:pPr>
        <w:pStyle w:val="GATitleResolution"/>
        <w:spacing w:before="360"/>
        <w:rPr>
          <w:rFonts w:asciiTheme="majorEastAsia" w:eastAsiaTheme="majorEastAsia" w:hAnsiTheme="majorEastAsia" w:cs="Times New Roman"/>
        </w:rPr>
      </w:pPr>
      <w:r w:rsidRPr="00D72600">
        <w:rPr>
          <w:rFonts w:asciiTheme="majorEastAsia" w:eastAsiaTheme="majorEastAsia" w:hAnsiTheme="majorEastAsia" w:cs="Times New Roman" w:hint="eastAsia"/>
        </w:rPr>
        <w:t>第</w:t>
      </w:r>
      <w:r w:rsidRPr="00D72600">
        <w:rPr>
          <w:rFonts w:asciiTheme="majorEastAsia" w:eastAsiaTheme="majorEastAsia" w:hAnsiTheme="majorEastAsia" w:cs="Times New Roman"/>
        </w:rPr>
        <w:t>10.GA 9</w:t>
      </w:r>
      <w:r w:rsidRPr="00D72600">
        <w:rPr>
          <w:rFonts w:asciiTheme="majorEastAsia" w:eastAsiaTheme="majorEastAsia" w:hAnsiTheme="majorEastAsia" w:cs="Times New Roman" w:hint="eastAsia"/>
        </w:rPr>
        <w:t>号决议草案</w:t>
      </w:r>
    </w:p>
    <w:p w14:paraId="7677B217" w14:textId="3F5A8CFA" w:rsidR="008A1ED4" w:rsidRPr="00D72600" w:rsidRDefault="008A1ED4" w:rsidP="008A1ED4">
      <w:pPr>
        <w:pStyle w:val="GAPreambulaResolution"/>
        <w:rPr>
          <w:rFonts w:asciiTheme="majorEastAsia" w:eastAsiaTheme="majorEastAsia" w:hAnsiTheme="majorEastAsia" w:cs="Times New Roman"/>
        </w:rPr>
      </w:pPr>
      <w:r w:rsidRPr="00D72600">
        <w:rPr>
          <w:rFonts w:asciiTheme="majorEastAsia" w:eastAsiaTheme="majorEastAsia" w:hAnsiTheme="majorEastAsia" w:cs="Times New Roman" w:hint="eastAsia"/>
        </w:rPr>
        <w:t>大会，</w:t>
      </w:r>
    </w:p>
    <w:p w14:paraId="07630149" w14:textId="6D801293" w:rsidR="005823AB" w:rsidRPr="00D72600" w:rsidRDefault="005823AB" w:rsidP="005823AB">
      <w:pPr>
        <w:pStyle w:val="COMParaDecision"/>
        <w:numPr>
          <w:ilvl w:val="0"/>
          <w:numId w:val="10"/>
        </w:numPr>
        <w:ind w:left="1134" w:hanging="567"/>
        <w:jc w:val="left"/>
        <w:rPr>
          <w:rFonts w:asciiTheme="majorEastAsia" w:eastAsiaTheme="majorEastAsia" w:hAnsiTheme="majorEastAsia" w:cs="Times New Roman"/>
        </w:rPr>
      </w:pPr>
      <w:r w:rsidRPr="00D72600">
        <w:rPr>
          <w:rFonts w:asciiTheme="majorEastAsia" w:eastAsiaTheme="majorEastAsia" w:hAnsiTheme="majorEastAsia" w:cs="Times New Roman" w:hint="eastAsia"/>
        </w:rPr>
        <w:t>审查了</w:t>
      </w:r>
      <w:r w:rsidRPr="00D72600">
        <w:rPr>
          <w:rFonts w:asciiTheme="majorEastAsia" w:eastAsiaTheme="majorEastAsia" w:hAnsiTheme="majorEastAsia" w:cs="Times New Roman"/>
          <w:u w:val="none"/>
        </w:rPr>
        <w:t>LHE/24/10.GA/9</w:t>
      </w:r>
      <w:r w:rsidRPr="00D72600">
        <w:rPr>
          <w:rFonts w:asciiTheme="majorEastAsia" w:eastAsiaTheme="majorEastAsia" w:hAnsiTheme="majorEastAsia" w:cs="Times New Roman" w:hint="eastAsia"/>
          <w:u w:val="none"/>
        </w:rPr>
        <w:t>号文件及其附件，</w:t>
      </w:r>
    </w:p>
    <w:p w14:paraId="7C34FFCB" w14:textId="4CD26436" w:rsidR="005823AB" w:rsidRPr="00D72600" w:rsidRDefault="005823AB" w:rsidP="005823AB">
      <w:pPr>
        <w:pStyle w:val="COMParaDecision"/>
        <w:numPr>
          <w:ilvl w:val="0"/>
          <w:numId w:val="10"/>
        </w:numPr>
        <w:ind w:left="1134" w:hanging="567"/>
        <w:rPr>
          <w:rFonts w:asciiTheme="majorEastAsia" w:eastAsiaTheme="majorEastAsia" w:hAnsiTheme="majorEastAsia" w:cs="Times New Roman"/>
        </w:rPr>
      </w:pPr>
      <w:r w:rsidRPr="00D72600">
        <w:rPr>
          <w:rFonts w:asciiTheme="majorEastAsia" w:eastAsiaTheme="majorEastAsia" w:hAnsiTheme="majorEastAsia" w:cs="Times New Roman" w:hint="eastAsia"/>
        </w:rPr>
        <w:t>忆及</w:t>
      </w:r>
      <w:r w:rsidRPr="00D72600">
        <w:rPr>
          <w:rFonts w:asciiTheme="majorEastAsia" w:eastAsiaTheme="majorEastAsia" w:hAnsiTheme="majorEastAsia" w:cs="Times New Roman" w:hint="eastAsia"/>
          <w:u w:val="none"/>
        </w:rPr>
        <w:t>《公约》第九条以及《业务指南》第</w:t>
      </w:r>
      <w:r w:rsidRPr="00D72600">
        <w:rPr>
          <w:rFonts w:asciiTheme="majorEastAsia" w:eastAsiaTheme="majorEastAsia" w:hAnsiTheme="majorEastAsia" w:cs="Times New Roman"/>
          <w:u w:val="none"/>
        </w:rPr>
        <w:t>91-99</w:t>
      </w:r>
      <w:r w:rsidRPr="00D72600">
        <w:rPr>
          <w:rFonts w:asciiTheme="majorEastAsia" w:eastAsiaTheme="majorEastAsia" w:hAnsiTheme="majorEastAsia" w:cs="Times New Roman" w:hint="eastAsia"/>
          <w:u w:val="none"/>
        </w:rPr>
        <w:t>段，</w:t>
      </w:r>
    </w:p>
    <w:p w14:paraId="18460A61" w14:textId="1CF490C9" w:rsidR="005823AB" w:rsidRPr="00D72600" w:rsidRDefault="005823AB" w:rsidP="005823AB">
      <w:pPr>
        <w:pStyle w:val="COMParaDecision"/>
        <w:numPr>
          <w:ilvl w:val="0"/>
          <w:numId w:val="10"/>
        </w:numPr>
        <w:ind w:left="1134" w:hanging="567"/>
        <w:rPr>
          <w:rFonts w:asciiTheme="majorEastAsia" w:eastAsiaTheme="majorEastAsia" w:hAnsiTheme="majorEastAsia" w:cs="Times New Roman"/>
        </w:rPr>
      </w:pPr>
      <w:r w:rsidRPr="00D72600">
        <w:rPr>
          <w:rFonts w:asciiTheme="majorEastAsia" w:eastAsiaTheme="majorEastAsia" w:hAnsiTheme="majorEastAsia" w:cs="Times New Roman" w:hint="eastAsia"/>
        </w:rPr>
        <w:t>还</w:t>
      </w:r>
      <w:proofErr w:type="gramStart"/>
      <w:r w:rsidRPr="00D72600">
        <w:rPr>
          <w:rFonts w:asciiTheme="majorEastAsia" w:eastAsiaTheme="majorEastAsia" w:hAnsiTheme="majorEastAsia" w:cs="Times New Roman" w:hint="eastAsia"/>
        </w:rPr>
        <w:t>忆及</w:t>
      </w:r>
      <w:r w:rsidRPr="00D72600">
        <w:rPr>
          <w:rFonts w:asciiTheme="majorEastAsia" w:eastAsiaTheme="majorEastAsia" w:hAnsiTheme="majorEastAsia" w:cs="Times New Roman" w:hint="eastAsia"/>
          <w:u w:val="none"/>
        </w:rPr>
        <w:t>第</w:t>
      </w:r>
      <w:proofErr w:type="gramEnd"/>
      <w:r w:rsidR="00516A9F">
        <w:fldChar w:fldCharType="begin"/>
      </w:r>
      <w:r w:rsidR="00516A9F">
        <w:instrText>HYPERLINK "https://ich.unesco.org/en/decisions/18.COM/16"</w:instrText>
      </w:r>
      <w:r w:rsidR="00516A9F">
        <w:fldChar w:fldCharType="separate"/>
      </w:r>
      <w:r w:rsidRPr="00D72600">
        <w:rPr>
          <w:rStyle w:val="Lienhypertexte"/>
          <w:rFonts w:asciiTheme="majorEastAsia" w:eastAsiaTheme="majorEastAsia" w:hAnsiTheme="majorEastAsia" w:cs="Times New Roman"/>
        </w:rPr>
        <w:t>18.COM 16</w:t>
      </w:r>
      <w:r w:rsidR="00516A9F">
        <w:rPr>
          <w:rStyle w:val="Lienhypertexte"/>
          <w:rFonts w:asciiTheme="majorEastAsia" w:eastAsiaTheme="majorEastAsia" w:hAnsiTheme="majorEastAsia" w:cs="Times New Roman"/>
        </w:rPr>
        <w:fldChar w:fldCharType="end"/>
      </w:r>
      <w:r w:rsidRPr="00D72600">
        <w:rPr>
          <w:rFonts w:asciiTheme="majorEastAsia" w:eastAsiaTheme="majorEastAsia" w:hAnsiTheme="majorEastAsia" w:cs="Times New Roman" w:hint="eastAsia"/>
          <w:u w:val="none"/>
        </w:rPr>
        <w:t>号决定</w:t>
      </w:r>
      <w:r w:rsidRPr="00D72600">
        <w:rPr>
          <w:rStyle w:val="Lienhypertexte"/>
          <w:rFonts w:asciiTheme="majorEastAsia" w:eastAsiaTheme="majorEastAsia" w:hAnsiTheme="majorEastAsia" w:cs="Times New Roman" w:hint="eastAsia"/>
          <w:color w:val="auto"/>
          <w:u w:val="none"/>
        </w:rPr>
        <w:t>，</w:t>
      </w:r>
    </w:p>
    <w:p w14:paraId="5208F9FD" w14:textId="499C42B1" w:rsidR="005823AB" w:rsidRPr="00D72600" w:rsidRDefault="005823AB" w:rsidP="005823AB">
      <w:pPr>
        <w:pStyle w:val="COMParaDecision"/>
        <w:numPr>
          <w:ilvl w:val="0"/>
          <w:numId w:val="10"/>
        </w:numPr>
        <w:ind w:left="1134" w:hanging="567"/>
        <w:rPr>
          <w:rFonts w:asciiTheme="majorEastAsia" w:eastAsiaTheme="majorEastAsia" w:hAnsiTheme="majorEastAsia" w:cs="Times New Roman"/>
        </w:rPr>
      </w:pPr>
      <w:r w:rsidRPr="00D72600">
        <w:rPr>
          <w:rFonts w:asciiTheme="majorEastAsia" w:eastAsiaTheme="majorEastAsia" w:hAnsiTheme="majorEastAsia" w:cs="Times New Roman" w:hint="eastAsia"/>
        </w:rPr>
        <w:t>认</w:t>
      </w:r>
      <w:r w:rsidR="00FA2623">
        <w:rPr>
          <w:rFonts w:asciiTheme="majorEastAsia" w:eastAsiaTheme="majorEastAsia" w:hAnsiTheme="majorEastAsia" w:cs="Times New Roman" w:hint="eastAsia"/>
        </w:rPr>
        <w:t>证</w:t>
      </w:r>
      <w:r w:rsidRPr="00D72600">
        <w:rPr>
          <w:rFonts w:asciiTheme="majorEastAsia" w:eastAsiaTheme="majorEastAsia" w:hAnsiTheme="majorEastAsia" w:cs="Times New Roman" w:hint="eastAsia"/>
          <w:u w:val="none"/>
        </w:rPr>
        <w:t>本决议附件所列的五十八个非政府组织</w:t>
      </w:r>
      <w:r w:rsidR="00FA2623">
        <w:rPr>
          <w:rFonts w:asciiTheme="majorEastAsia" w:eastAsiaTheme="majorEastAsia" w:hAnsiTheme="majorEastAsia" w:cs="Times New Roman" w:hint="eastAsia"/>
          <w:u w:val="none"/>
        </w:rPr>
        <w:t>，</w:t>
      </w:r>
      <w:r w:rsidR="00FA2623" w:rsidRPr="0006146A">
        <w:rPr>
          <w:rFonts w:hint="eastAsia"/>
          <w:u w:val="none"/>
        </w:rPr>
        <w:t>具有向委员会提供咨询意见的地位</w:t>
      </w:r>
      <w:r w:rsidRPr="00D72600">
        <w:rPr>
          <w:rFonts w:asciiTheme="majorEastAsia" w:eastAsiaTheme="majorEastAsia" w:hAnsiTheme="majorEastAsia" w:cs="Times New Roman" w:hint="eastAsia"/>
          <w:u w:val="none"/>
        </w:rPr>
        <w:t>；</w:t>
      </w:r>
    </w:p>
    <w:p w14:paraId="3D6B3514" w14:textId="0AB7642F" w:rsidR="005823AB" w:rsidRPr="00D72600" w:rsidRDefault="005823AB" w:rsidP="00C003BB">
      <w:pPr>
        <w:pStyle w:val="COMParaDecision"/>
        <w:numPr>
          <w:ilvl w:val="0"/>
          <w:numId w:val="10"/>
        </w:numPr>
        <w:ind w:left="1134" w:hanging="567"/>
        <w:rPr>
          <w:rFonts w:asciiTheme="majorEastAsia" w:eastAsiaTheme="majorEastAsia" w:hAnsiTheme="majorEastAsia" w:cs="Times New Roman"/>
        </w:rPr>
      </w:pPr>
      <w:r w:rsidRPr="00D72600">
        <w:rPr>
          <w:rFonts w:asciiTheme="majorEastAsia" w:eastAsiaTheme="majorEastAsia" w:hAnsiTheme="majorEastAsia" w:cs="Times New Roman" w:hint="eastAsia"/>
        </w:rPr>
        <w:t>鼓励</w:t>
      </w:r>
      <w:r w:rsidRPr="00D72600">
        <w:rPr>
          <w:rFonts w:asciiTheme="majorEastAsia" w:eastAsiaTheme="majorEastAsia" w:hAnsiTheme="majorEastAsia" w:cs="Times New Roman" w:hint="eastAsia"/>
          <w:u w:val="none"/>
        </w:rPr>
        <w:t>未得到充分代表的、符合认证标准的选举组的非政府组织尽早提交认证申请，以改善经认证的非政府组织的地域分布</w:t>
      </w:r>
      <w:bookmarkStart w:id="1" w:name="_Hlk47615881"/>
      <w:r w:rsidR="00FA2623">
        <w:rPr>
          <w:rFonts w:asciiTheme="majorEastAsia" w:eastAsiaTheme="majorEastAsia" w:hAnsiTheme="majorEastAsia" w:cs="Times New Roman" w:hint="eastAsia"/>
          <w:u w:val="none"/>
        </w:rPr>
        <w:t>情况</w:t>
      </w:r>
      <w:r w:rsidRPr="00D72600">
        <w:rPr>
          <w:rFonts w:asciiTheme="majorEastAsia" w:eastAsiaTheme="majorEastAsia" w:hAnsiTheme="majorEastAsia" w:cs="Times New Roman" w:hint="eastAsia"/>
          <w:u w:val="none"/>
        </w:rPr>
        <w:t>，并</w:t>
      </w:r>
      <w:r w:rsidRPr="00D72600">
        <w:rPr>
          <w:rFonts w:asciiTheme="majorEastAsia" w:eastAsiaTheme="majorEastAsia" w:hAnsiTheme="majorEastAsia" w:cs="Times New Roman" w:hint="eastAsia"/>
        </w:rPr>
        <w:t>邀请</w:t>
      </w:r>
      <w:r w:rsidRPr="00D72600">
        <w:rPr>
          <w:rFonts w:asciiTheme="majorEastAsia" w:eastAsiaTheme="majorEastAsia" w:hAnsiTheme="majorEastAsia" w:cs="Times New Roman" w:hint="eastAsia"/>
          <w:u w:val="none"/>
        </w:rPr>
        <w:t>这些选举组的缔约国向在其境内的非政府组织广泛宣传这一呼吁；</w:t>
      </w:r>
    </w:p>
    <w:bookmarkEnd w:id="1"/>
    <w:p w14:paraId="2087B078" w14:textId="78DC5F5A" w:rsidR="004B1D86" w:rsidRPr="003A224A" w:rsidRDefault="00965081" w:rsidP="00D72600">
      <w:pPr>
        <w:pStyle w:val="COMParaDecision"/>
        <w:numPr>
          <w:ilvl w:val="0"/>
          <w:numId w:val="10"/>
        </w:numPr>
        <w:ind w:left="1134" w:hanging="567"/>
        <w:rPr>
          <w:rFonts w:asciiTheme="majorEastAsia" w:eastAsiaTheme="majorEastAsia" w:hAnsiTheme="majorEastAsia" w:cs="Times New Roman"/>
        </w:rPr>
      </w:pPr>
      <w:r w:rsidRPr="00D72600">
        <w:rPr>
          <w:rFonts w:asciiTheme="majorEastAsia" w:eastAsiaTheme="majorEastAsia" w:hAnsiTheme="majorEastAsia" w:hint="eastAsia"/>
        </w:rPr>
        <w:t>提醒</w:t>
      </w:r>
      <w:r w:rsidRPr="00E24630">
        <w:rPr>
          <w:rFonts w:asciiTheme="majorEastAsia" w:eastAsiaTheme="majorEastAsia" w:hAnsiTheme="majorEastAsia" w:hint="eastAsia"/>
          <w:u w:val="none"/>
        </w:rPr>
        <w:t>在</w:t>
      </w:r>
      <w:r w:rsidRPr="00E24630">
        <w:rPr>
          <w:rFonts w:asciiTheme="majorEastAsia" w:eastAsiaTheme="majorEastAsia" w:hAnsiTheme="majorEastAsia"/>
          <w:u w:val="none"/>
        </w:rPr>
        <w:t>2012</w:t>
      </w:r>
      <w:r w:rsidRPr="00E24630">
        <w:rPr>
          <w:rFonts w:asciiTheme="majorEastAsia" w:eastAsiaTheme="majorEastAsia" w:hAnsiTheme="majorEastAsia" w:hint="eastAsia"/>
          <w:u w:val="none"/>
        </w:rPr>
        <w:t>、</w:t>
      </w:r>
      <w:r w:rsidRPr="00E24630">
        <w:rPr>
          <w:rFonts w:asciiTheme="majorEastAsia" w:eastAsiaTheme="majorEastAsia" w:hAnsiTheme="majorEastAsia"/>
          <w:u w:val="none"/>
        </w:rPr>
        <w:t>2016</w:t>
      </w:r>
      <w:r w:rsidRPr="00E24630">
        <w:rPr>
          <w:rFonts w:asciiTheme="majorEastAsia" w:eastAsiaTheme="majorEastAsia" w:hAnsiTheme="majorEastAsia" w:hint="eastAsia"/>
          <w:u w:val="none"/>
        </w:rPr>
        <w:t>、</w:t>
      </w:r>
      <w:r w:rsidRPr="00E24630">
        <w:rPr>
          <w:rFonts w:asciiTheme="majorEastAsia" w:eastAsiaTheme="majorEastAsia" w:hAnsiTheme="majorEastAsia"/>
          <w:u w:val="none"/>
        </w:rPr>
        <w:t>2020</w:t>
      </w:r>
      <w:r w:rsidRPr="00E24630">
        <w:rPr>
          <w:rFonts w:asciiTheme="majorEastAsia" w:eastAsiaTheme="majorEastAsia" w:hAnsiTheme="majorEastAsia" w:hint="eastAsia"/>
          <w:u w:val="none"/>
        </w:rPr>
        <w:t>年获得认证的非政府组织，应于截止日期</w:t>
      </w:r>
      <w:r w:rsidRPr="00E24630">
        <w:rPr>
          <w:rFonts w:asciiTheme="majorEastAsia" w:eastAsiaTheme="majorEastAsia" w:hAnsiTheme="majorEastAsia"/>
          <w:u w:val="none"/>
        </w:rPr>
        <w:t>2025</w:t>
      </w:r>
      <w:r w:rsidRPr="00E24630">
        <w:rPr>
          <w:rFonts w:asciiTheme="majorEastAsia" w:eastAsiaTheme="majorEastAsia" w:hAnsiTheme="majorEastAsia" w:hint="eastAsia"/>
          <w:u w:val="none"/>
        </w:rPr>
        <w:t>年</w:t>
      </w:r>
      <w:r w:rsidRPr="00E24630">
        <w:rPr>
          <w:rFonts w:asciiTheme="majorEastAsia" w:eastAsiaTheme="majorEastAsia" w:hAnsiTheme="majorEastAsia"/>
          <w:u w:val="none"/>
        </w:rPr>
        <w:t>2</w:t>
      </w:r>
      <w:r w:rsidRPr="00E24630">
        <w:rPr>
          <w:rFonts w:asciiTheme="majorEastAsia" w:eastAsiaTheme="majorEastAsia" w:hAnsiTheme="majorEastAsia" w:hint="eastAsia"/>
          <w:u w:val="none"/>
        </w:rPr>
        <w:t>月</w:t>
      </w:r>
      <w:r w:rsidRPr="00E24630">
        <w:rPr>
          <w:rFonts w:asciiTheme="majorEastAsia" w:eastAsiaTheme="majorEastAsia" w:hAnsiTheme="majorEastAsia"/>
          <w:u w:val="none"/>
        </w:rPr>
        <w:t>15</w:t>
      </w:r>
      <w:r w:rsidRPr="00E24630">
        <w:rPr>
          <w:rFonts w:asciiTheme="majorEastAsia" w:eastAsiaTheme="majorEastAsia" w:hAnsiTheme="majorEastAsia" w:hint="eastAsia"/>
          <w:u w:val="none"/>
        </w:rPr>
        <w:t>日前向秘书处提交四年期报告，以便委员会在</w:t>
      </w:r>
      <w:r w:rsidR="00AC7B16" w:rsidRPr="00E24630">
        <w:rPr>
          <w:rFonts w:asciiTheme="majorEastAsia" w:eastAsiaTheme="majorEastAsia" w:hAnsiTheme="majorEastAsia" w:hint="eastAsia"/>
          <w:u w:val="none"/>
        </w:rPr>
        <w:t>第</w:t>
      </w:r>
      <w:r w:rsidR="008365A4" w:rsidRPr="00E24630">
        <w:rPr>
          <w:rFonts w:asciiTheme="majorEastAsia" w:eastAsiaTheme="majorEastAsia" w:hAnsiTheme="majorEastAsia" w:cs="Times New Roman" w:hint="eastAsia"/>
          <w:u w:val="none"/>
        </w:rPr>
        <w:t>二十</w:t>
      </w:r>
      <w:r w:rsidRPr="00E24630">
        <w:rPr>
          <w:rFonts w:asciiTheme="majorEastAsia" w:eastAsiaTheme="majorEastAsia" w:hAnsiTheme="majorEastAsia" w:hint="eastAsia"/>
          <w:u w:val="none"/>
        </w:rPr>
        <w:t>届会议上对各咨询组织的贡献和承诺予以审议。</w:t>
      </w:r>
    </w:p>
    <w:p w14:paraId="787B609F" w14:textId="1431691F" w:rsidR="005823AB" w:rsidRPr="003E4F59" w:rsidRDefault="00FC4620" w:rsidP="00D72600">
      <w:pPr>
        <w:pStyle w:val="COMParaDecision"/>
        <w:spacing w:before="240" w:after="240"/>
        <w:ind w:left="0" w:firstLine="0"/>
        <w:rPr>
          <w:rFonts w:ascii="Times New Roman" w:hAnsi="Times New Roman" w:cs="Times New Roman"/>
          <w:b/>
          <w:bCs/>
          <w:snapToGrid w:val="0"/>
          <w:u w:val="none"/>
        </w:rPr>
      </w:pPr>
      <w:r w:rsidRPr="00D72600">
        <w:br w:type="page"/>
      </w:r>
      <w:r w:rsidRPr="003E4F59">
        <w:rPr>
          <w:rFonts w:ascii="Times New Roman" w:hAnsi="Times New Roman" w:cs="Times New Roman"/>
          <w:b/>
          <w:snapToGrid w:val="0"/>
          <w:u w:val="none"/>
        </w:rPr>
        <w:lastRenderedPageBreak/>
        <w:t>附件：委员会第十八届</w:t>
      </w:r>
      <w:r w:rsidR="00FA2623">
        <w:rPr>
          <w:rFonts w:ascii="Times New Roman" w:hAnsi="Times New Roman" w:cs="Times New Roman" w:hint="eastAsia"/>
          <w:b/>
          <w:snapToGrid w:val="0"/>
          <w:u w:val="none"/>
        </w:rPr>
        <w:t>常</w:t>
      </w:r>
      <w:r w:rsidRPr="003E4F59">
        <w:rPr>
          <w:rFonts w:ascii="Times New Roman" w:hAnsi="Times New Roman" w:cs="Times New Roman"/>
          <w:b/>
          <w:snapToGrid w:val="0"/>
          <w:u w:val="none"/>
        </w:rPr>
        <w:t>会</w:t>
      </w:r>
      <w:r w:rsidR="00FA2623" w:rsidRPr="003E4F59">
        <w:rPr>
          <w:rFonts w:ascii="Times New Roman" w:hAnsi="Times New Roman" w:cs="Times New Roman"/>
          <w:b/>
          <w:snapToGrid w:val="0"/>
          <w:u w:val="none"/>
        </w:rPr>
        <w:t>建议</w:t>
      </w:r>
      <w:r w:rsidRPr="003E4F59">
        <w:rPr>
          <w:rFonts w:ascii="Times New Roman" w:hAnsi="Times New Roman" w:cs="Times New Roman"/>
          <w:b/>
          <w:snapToGrid w:val="0"/>
          <w:u w:val="none"/>
        </w:rPr>
        <w:t>认证的五十八个非政府组织。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991"/>
        <w:gridCol w:w="1659"/>
      </w:tblGrid>
      <w:tr w:rsidR="00EA2C1A" w:rsidRPr="003E4F59" w14:paraId="53B8AB31" w14:textId="77777777" w:rsidTr="00E24630">
        <w:trPr>
          <w:cantSplit/>
          <w:trHeight w:val="576"/>
        </w:trPr>
        <w:tc>
          <w:tcPr>
            <w:tcW w:w="3148" w:type="pct"/>
            <w:shd w:val="clear" w:color="auto" w:fill="5B9BD5" w:themeFill="accent1"/>
            <w:vAlign w:val="center"/>
            <w:hideMark/>
          </w:tcPr>
          <w:p w14:paraId="4AEFE826" w14:textId="77777777" w:rsidR="00EA2C1A" w:rsidRPr="003E4F59" w:rsidRDefault="00EA2C1A" w:rsidP="006D5FD6">
            <w:pPr>
              <w:contextualSpacing/>
              <w:jc w:val="center"/>
              <w:rPr>
                <w:b/>
                <w:bCs/>
                <w:sz w:val="20"/>
                <w:szCs w:val="20"/>
              </w:rPr>
            </w:pPr>
            <w:r w:rsidRPr="003E4F59">
              <w:rPr>
                <w:b/>
                <w:sz w:val="20"/>
              </w:rPr>
              <w:t>组织名称</w:t>
            </w:r>
          </w:p>
        </w:tc>
        <w:tc>
          <w:tcPr>
            <w:tcW w:w="1010" w:type="pct"/>
            <w:shd w:val="clear" w:color="auto" w:fill="5B9BD5" w:themeFill="accent1"/>
            <w:vAlign w:val="center"/>
            <w:hideMark/>
          </w:tcPr>
          <w:p w14:paraId="70A9C841" w14:textId="77777777" w:rsidR="00EA2C1A" w:rsidRPr="003E4F59" w:rsidRDefault="00EA2C1A" w:rsidP="00EA2C1A">
            <w:pPr>
              <w:contextualSpacing/>
              <w:jc w:val="center"/>
              <w:rPr>
                <w:b/>
                <w:bCs/>
                <w:sz w:val="20"/>
                <w:szCs w:val="20"/>
              </w:rPr>
            </w:pPr>
            <w:r w:rsidRPr="003E4F59">
              <w:rPr>
                <w:b/>
                <w:sz w:val="20"/>
              </w:rPr>
              <w:t>注册办事处所在国家</w:t>
            </w:r>
          </w:p>
        </w:tc>
        <w:tc>
          <w:tcPr>
            <w:tcW w:w="842" w:type="pct"/>
            <w:shd w:val="clear" w:color="auto" w:fill="5B9BD5" w:themeFill="accent1"/>
            <w:vAlign w:val="center"/>
            <w:hideMark/>
          </w:tcPr>
          <w:p w14:paraId="3C744645" w14:textId="77777777" w:rsidR="00EA2C1A" w:rsidRPr="003E4F59" w:rsidRDefault="00EA2C1A" w:rsidP="00EA2C1A">
            <w:pPr>
              <w:contextualSpacing/>
              <w:jc w:val="center"/>
              <w:rPr>
                <w:b/>
                <w:bCs/>
                <w:sz w:val="20"/>
                <w:szCs w:val="20"/>
              </w:rPr>
            </w:pPr>
            <w:r w:rsidRPr="003E4F59">
              <w:rPr>
                <w:b/>
                <w:sz w:val="20"/>
              </w:rPr>
              <w:t>申请编号</w:t>
            </w:r>
          </w:p>
        </w:tc>
      </w:tr>
      <w:tr w:rsidR="00E1151D" w:rsidRPr="003E4F59" w14:paraId="120A3A7E" w14:textId="77777777" w:rsidTr="00E24630">
        <w:trPr>
          <w:cantSplit/>
          <w:trHeight w:val="576"/>
        </w:trPr>
        <w:tc>
          <w:tcPr>
            <w:tcW w:w="3148" w:type="pct"/>
            <w:vAlign w:val="center"/>
          </w:tcPr>
          <w:p w14:paraId="6E8C66BE" w14:textId="5E73E8F3"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 xml:space="preserve">4 Grada </w:t>
            </w:r>
            <w:proofErr w:type="spellStart"/>
            <w:r w:rsidRPr="001166AB">
              <w:rPr>
                <w:rFonts w:ascii="Arial" w:hAnsi="Arial" w:cs="Arial"/>
                <w:b/>
                <w:bCs/>
                <w:sz w:val="22"/>
                <w:szCs w:val="22"/>
                <w:lang w:val="en-GB"/>
              </w:rPr>
              <w:t>Dragodid</w:t>
            </w:r>
            <w:proofErr w:type="spellEnd"/>
          </w:p>
        </w:tc>
        <w:tc>
          <w:tcPr>
            <w:tcW w:w="1010" w:type="pct"/>
            <w:vAlign w:val="center"/>
          </w:tcPr>
          <w:p w14:paraId="1B4E6F1A" w14:textId="77777777" w:rsidR="00E1151D" w:rsidRPr="003E4F59" w:rsidRDefault="00E1151D" w:rsidP="00E1151D">
            <w:pPr>
              <w:contextualSpacing/>
              <w:jc w:val="center"/>
              <w:rPr>
                <w:sz w:val="20"/>
                <w:szCs w:val="20"/>
              </w:rPr>
            </w:pPr>
            <w:r w:rsidRPr="003E4F59">
              <w:rPr>
                <w:sz w:val="20"/>
              </w:rPr>
              <w:t>克罗地亚</w:t>
            </w:r>
          </w:p>
        </w:tc>
        <w:tc>
          <w:tcPr>
            <w:tcW w:w="842" w:type="pct"/>
            <w:vAlign w:val="center"/>
          </w:tcPr>
          <w:p w14:paraId="2B08F776" w14:textId="77777777" w:rsidR="00E1151D" w:rsidRPr="001166AB" w:rsidRDefault="00E1151D" w:rsidP="00E1151D">
            <w:pPr>
              <w:pStyle w:val="Titre7"/>
              <w:jc w:val="center"/>
              <w:rPr>
                <w:rFonts w:ascii="Arial" w:hAnsi="Arial" w:cs="Arial"/>
                <w:i w:val="0"/>
                <w:iCs w:val="0"/>
                <w:color w:val="auto"/>
                <w:sz w:val="22"/>
                <w:szCs w:val="22"/>
              </w:rPr>
            </w:pPr>
            <w:r w:rsidRPr="001166AB">
              <w:rPr>
                <w:rFonts w:ascii="Arial" w:hAnsi="Arial" w:cs="Arial"/>
                <w:i w:val="0"/>
                <w:color w:val="auto"/>
                <w:sz w:val="22"/>
                <w:szCs w:val="22"/>
              </w:rPr>
              <w:t>NGO-90566</w:t>
            </w:r>
          </w:p>
        </w:tc>
      </w:tr>
      <w:tr w:rsidR="00E1151D" w:rsidRPr="003E4F59" w14:paraId="15CBEE15" w14:textId="77777777" w:rsidTr="00E24630">
        <w:trPr>
          <w:cantSplit/>
          <w:trHeight w:val="576"/>
        </w:trPr>
        <w:tc>
          <w:tcPr>
            <w:tcW w:w="3148" w:type="pct"/>
            <w:shd w:val="clear" w:color="auto" w:fill="DEEAF6" w:themeFill="accent1" w:themeFillTint="33"/>
            <w:vAlign w:val="center"/>
          </w:tcPr>
          <w:p w14:paraId="2D72B856" w14:textId="22632986" w:rsidR="00E1151D" w:rsidRPr="001166AB" w:rsidRDefault="00E1151D" w:rsidP="00E1151D">
            <w:pPr>
              <w:contextualSpacing/>
              <w:rPr>
                <w:rFonts w:ascii="Arial" w:hAnsi="Arial" w:cs="Arial"/>
                <w:b/>
                <w:bCs/>
                <w:sz w:val="22"/>
                <w:szCs w:val="22"/>
                <w:lang w:val="es-ES"/>
              </w:rPr>
            </w:pPr>
            <w:r w:rsidRPr="001166AB">
              <w:rPr>
                <w:rFonts w:ascii="Arial" w:hAnsi="Arial" w:cs="Arial"/>
                <w:b/>
                <w:bCs/>
                <w:sz w:val="22"/>
                <w:szCs w:val="22"/>
                <w:lang w:val="es-ES"/>
              </w:rPr>
              <w:t xml:space="preserve">Acción Cultural </w:t>
            </w:r>
            <w:proofErr w:type="spellStart"/>
            <w:r w:rsidRPr="001166AB">
              <w:rPr>
                <w:rFonts w:ascii="Arial" w:hAnsi="Arial" w:cs="Arial"/>
                <w:b/>
                <w:bCs/>
                <w:sz w:val="22"/>
                <w:szCs w:val="22"/>
                <w:lang w:val="es-ES"/>
              </w:rPr>
              <w:t>Ngobe</w:t>
            </w:r>
            <w:proofErr w:type="spellEnd"/>
            <w:r w:rsidRPr="001166AB">
              <w:rPr>
                <w:rFonts w:ascii="Arial" w:hAnsi="Arial" w:cs="Arial"/>
                <w:sz w:val="22"/>
                <w:szCs w:val="22"/>
                <w:lang w:val="es-ES"/>
              </w:rPr>
              <w:br/>
              <w:t xml:space="preserve">Ngäbe Cultural </w:t>
            </w:r>
            <w:proofErr w:type="spellStart"/>
            <w:r w:rsidRPr="001166AB">
              <w:rPr>
                <w:rFonts w:ascii="Arial" w:hAnsi="Arial" w:cs="Arial"/>
                <w:sz w:val="22"/>
                <w:szCs w:val="22"/>
                <w:lang w:val="es-ES"/>
              </w:rPr>
              <w:t>Action</w:t>
            </w:r>
            <w:proofErr w:type="spellEnd"/>
          </w:p>
        </w:tc>
        <w:tc>
          <w:tcPr>
            <w:tcW w:w="1010" w:type="pct"/>
            <w:shd w:val="clear" w:color="auto" w:fill="DEEAF6" w:themeFill="accent1" w:themeFillTint="33"/>
            <w:vAlign w:val="center"/>
          </w:tcPr>
          <w:p w14:paraId="25167670" w14:textId="77777777" w:rsidR="00E1151D" w:rsidRPr="003E4F59" w:rsidRDefault="00E1151D" w:rsidP="00E1151D">
            <w:pPr>
              <w:contextualSpacing/>
              <w:jc w:val="center"/>
              <w:rPr>
                <w:sz w:val="20"/>
                <w:szCs w:val="20"/>
              </w:rPr>
            </w:pPr>
            <w:r w:rsidRPr="003E4F59">
              <w:rPr>
                <w:sz w:val="20"/>
              </w:rPr>
              <w:t>巴拿马</w:t>
            </w:r>
          </w:p>
        </w:tc>
        <w:tc>
          <w:tcPr>
            <w:tcW w:w="842" w:type="pct"/>
            <w:shd w:val="clear" w:color="auto" w:fill="DEEAF6" w:themeFill="accent1" w:themeFillTint="33"/>
            <w:vAlign w:val="center"/>
          </w:tcPr>
          <w:p w14:paraId="69CA6D31"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NGO-90583</w:t>
            </w:r>
          </w:p>
        </w:tc>
      </w:tr>
      <w:tr w:rsidR="00E1151D" w:rsidRPr="003E4F59" w14:paraId="2FEAA820" w14:textId="77777777" w:rsidTr="00E24630">
        <w:trPr>
          <w:cantSplit/>
          <w:trHeight w:val="576"/>
        </w:trPr>
        <w:tc>
          <w:tcPr>
            <w:tcW w:w="3148" w:type="pct"/>
            <w:vAlign w:val="center"/>
          </w:tcPr>
          <w:p w14:paraId="4B796A14" w14:textId="24D64F23"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American Folklore Society</w:t>
            </w:r>
          </w:p>
        </w:tc>
        <w:tc>
          <w:tcPr>
            <w:tcW w:w="1010" w:type="pct"/>
            <w:vAlign w:val="center"/>
          </w:tcPr>
          <w:p w14:paraId="0BE761ED" w14:textId="77777777" w:rsidR="00E1151D" w:rsidRPr="003E4F59" w:rsidRDefault="00E1151D" w:rsidP="00E1151D">
            <w:pPr>
              <w:contextualSpacing/>
              <w:jc w:val="center"/>
              <w:rPr>
                <w:sz w:val="20"/>
                <w:szCs w:val="20"/>
              </w:rPr>
            </w:pPr>
            <w:r w:rsidRPr="003E4F59">
              <w:rPr>
                <w:sz w:val="20"/>
              </w:rPr>
              <w:t>美国</w:t>
            </w:r>
          </w:p>
        </w:tc>
        <w:tc>
          <w:tcPr>
            <w:tcW w:w="842" w:type="pct"/>
            <w:vAlign w:val="center"/>
          </w:tcPr>
          <w:p w14:paraId="46A480B6"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NGO-90563</w:t>
            </w:r>
          </w:p>
        </w:tc>
      </w:tr>
      <w:tr w:rsidR="00E1151D" w:rsidRPr="003E4F59" w14:paraId="68D82BF0" w14:textId="77777777" w:rsidTr="00E24630">
        <w:trPr>
          <w:cantSplit/>
          <w:trHeight w:val="576"/>
        </w:trPr>
        <w:tc>
          <w:tcPr>
            <w:tcW w:w="3148" w:type="pct"/>
            <w:shd w:val="clear" w:color="auto" w:fill="DEEAF6" w:themeFill="accent1" w:themeFillTint="33"/>
            <w:vAlign w:val="center"/>
          </w:tcPr>
          <w:p w14:paraId="58409D94" w14:textId="3474886D"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 xml:space="preserve">ART - </w:t>
            </w:r>
            <w:proofErr w:type="spellStart"/>
            <w:r w:rsidRPr="001166AB">
              <w:rPr>
                <w:rFonts w:ascii="Arial" w:hAnsi="Arial" w:cs="Arial"/>
                <w:b/>
                <w:bCs/>
                <w:sz w:val="22"/>
                <w:szCs w:val="22"/>
                <w:lang w:val="en-GB"/>
              </w:rPr>
              <w:t>Meșteșugurile</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Prutului</w:t>
            </w:r>
            <w:proofErr w:type="spellEnd"/>
            <w:r w:rsidRPr="001166AB">
              <w:rPr>
                <w:rFonts w:ascii="Arial" w:hAnsi="Arial" w:cs="Arial"/>
                <w:sz w:val="22"/>
                <w:szCs w:val="22"/>
                <w:lang w:val="en-GB"/>
              </w:rPr>
              <w:br/>
              <w:t>ART - Prut Crafts Association</w:t>
            </w:r>
          </w:p>
        </w:tc>
        <w:tc>
          <w:tcPr>
            <w:tcW w:w="1010" w:type="pct"/>
            <w:shd w:val="clear" w:color="auto" w:fill="DEEAF6" w:themeFill="accent1" w:themeFillTint="33"/>
            <w:vAlign w:val="center"/>
          </w:tcPr>
          <w:p w14:paraId="41EA1B52" w14:textId="77777777" w:rsidR="00E1151D" w:rsidRPr="003E4F59" w:rsidRDefault="00E1151D" w:rsidP="00E1151D">
            <w:pPr>
              <w:contextualSpacing/>
              <w:jc w:val="center"/>
              <w:rPr>
                <w:sz w:val="20"/>
                <w:szCs w:val="20"/>
              </w:rPr>
            </w:pPr>
            <w:r w:rsidRPr="003E4F59">
              <w:rPr>
                <w:sz w:val="20"/>
              </w:rPr>
              <w:t>罗马尼亚</w:t>
            </w:r>
          </w:p>
        </w:tc>
        <w:tc>
          <w:tcPr>
            <w:tcW w:w="842" w:type="pct"/>
            <w:shd w:val="clear" w:color="auto" w:fill="DEEAF6" w:themeFill="accent1" w:themeFillTint="33"/>
            <w:vAlign w:val="center"/>
          </w:tcPr>
          <w:p w14:paraId="4D26E97D"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NGO-90577</w:t>
            </w:r>
          </w:p>
        </w:tc>
      </w:tr>
      <w:tr w:rsidR="00E1151D" w:rsidRPr="003E4F59" w14:paraId="2E4AED79" w14:textId="77777777" w:rsidTr="00E24630">
        <w:trPr>
          <w:cantSplit/>
          <w:trHeight w:val="576"/>
        </w:trPr>
        <w:tc>
          <w:tcPr>
            <w:tcW w:w="3148" w:type="pct"/>
            <w:vAlign w:val="center"/>
          </w:tcPr>
          <w:p w14:paraId="481A739F" w14:textId="763CFC06" w:rsidR="00E1151D" w:rsidRPr="001166AB" w:rsidRDefault="00E1151D" w:rsidP="00E1151D">
            <w:pPr>
              <w:contextualSpacing/>
              <w:rPr>
                <w:rFonts w:ascii="Arial" w:hAnsi="Arial" w:cs="Arial"/>
                <w:sz w:val="22"/>
                <w:szCs w:val="22"/>
                <w:lang w:val="pt-PT"/>
              </w:rPr>
            </w:pPr>
            <w:r w:rsidRPr="001166AB">
              <w:rPr>
                <w:rFonts w:ascii="Arial" w:hAnsi="Arial" w:cs="Arial"/>
                <w:b/>
                <w:bCs/>
                <w:sz w:val="22"/>
                <w:szCs w:val="22"/>
                <w:lang w:val="pt-BR"/>
              </w:rPr>
              <w:t>Associação Camará Capoeira</w:t>
            </w:r>
            <w:r w:rsidRPr="001166AB">
              <w:rPr>
                <w:rFonts w:ascii="Arial" w:hAnsi="Arial" w:cs="Arial"/>
                <w:sz w:val="22"/>
                <w:szCs w:val="22"/>
                <w:lang w:val="pt-BR"/>
              </w:rPr>
              <w:br/>
              <w:t>Camará Capoeira Association</w:t>
            </w:r>
          </w:p>
        </w:tc>
        <w:tc>
          <w:tcPr>
            <w:tcW w:w="1010" w:type="pct"/>
            <w:vAlign w:val="center"/>
          </w:tcPr>
          <w:p w14:paraId="39D28802" w14:textId="77777777" w:rsidR="00E1151D" w:rsidRPr="003E4F59" w:rsidRDefault="00E1151D" w:rsidP="00E1151D">
            <w:pPr>
              <w:contextualSpacing/>
              <w:jc w:val="center"/>
              <w:rPr>
                <w:sz w:val="20"/>
                <w:szCs w:val="20"/>
              </w:rPr>
            </w:pPr>
            <w:r w:rsidRPr="003E4F59">
              <w:rPr>
                <w:sz w:val="20"/>
              </w:rPr>
              <w:t>巴西</w:t>
            </w:r>
          </w:p>
        </w:tc>
        <w:tc>
          <w:tcPr>
            <w:tcW w:w="842" w:type="pct"/>
            <w:vAlign w:val="center"/>
          </w:tcPr>
          <w:p w14:paraId="5CB8881F"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NGO-90543</w:t>
            </w:r>
          </w:p>
        </w:tc>
      </w:tr>
      <w:tr w:rsidR="00E1151D" w:rsidRPr="003E4F59" w14:paraId="221DF34B" w14:textId="77777777" w:rsidTr="00E24630">
        <w:trPr>
          <w:cantSplit/>
          <w:trHeight w:val="576"/>
        </w:trPr>
        <w:tc>
          <w:tcPr>
            <w:tcW w:w="3148" w:type="pct"/>
            <w:shd w:val="clear" w:color="auto" w:fill="DEEAF6" w:themeFill="accent1" w:themeFillTint="33"/>
            <w:vAlign w:val="center"/>
          </w:tcPr>
          <w:p w14:paraId="0B84F721" w14:textId="5FDAE41B" w:rsidR="00E1151D" w:rsidRPr="001166AB" w:rsidRDefault="00E1151D" w:rsidP="00E1151D">
            <w:pPr>
              <w:contextualSpacing/>
              <w:rPr>
                <w:rFonts w:ascii="Arial" w:hAnsi="Arial" w:cs="Arial"/>
                <w:b/>
                <w:bCs/>
                <w:sz w:val="22"/>
                <w:szCs w:val="22"/>
                <w:lang w:val="pt-PT"/>
              </w:rPr>
            </w:pPr>
            <w:r w:rsidRPr="001166AB">
              <w:rPr>
                <w:rFonts w:ascii="Arial" w:hAnsi="Arial" w:cs="Arial"/>
                <w:b/>
                <w:bCs/>
                <w:sz w:val="22"/>
                <w:szCs w:val="22"/>
                <w:lang w:val="pt-BR"/>
              </w:rPr>
              <w:t xml:space="preserve">Associação Nacional das Baianas de Acarajé, Mingau, Receptivo, </w:t>
            </w:r>
            <w:proofErr w:type="gramStart"/>
            <w:r w:rsidRPr="001166AB">
              <w:rPr>
                <w:rFonts w:ascii="Arial" w:hAnsi="Arial" w:cs="Arial"/>
                <w:b/>
                <w:bCs/>
                <w:sz w:val="22"/>
                <w:szCs w:val="22"/>
                <w:lang w:val="pt-BR"/>
              </w:rPr>
              <w:t>e Similares</w:t>
            </w:r>
            <w:proofErr w:type="gramEnd"/>
            <w:r w:rsidRPr="001166AB">
              <w:rPr>
                <w:rFonts w:ascii="Arial" w:hAnsi="Arial" w:cs="Arial"/>
                <w:sz w:val="22"/>
                <w:szCs w:val="22"/>
                <w:lang w:val="pt-BR"/>
              </w:rPr>
              <w:br/>
              <w:t xml:space="preserve">National Association of Baianas of Acarajé, Mingau, </w:t>
            </w:r>
            <w:proofErr w:type="spellStart"/>
            <w:r w:rsidRPr="001166AB">
              <w:rPr>
                <w:rFonts w:ascii="Arial" w:hAnsi="Arial" w:cs="Arial"/>
                <w:sz w:val="22"/>
                <w:szCs w:val="22"/>
                <w:lang w:val="pt-BR"/>
              </w:rPr>
              <w:t>Receptive</w:t>
            </w:r>
            <w:proofErr w:type="spellEnd"/>
            <w:r w:rsidRPr="001166AB">
              <w:rPr>
                <w:rFonts w:ascii="Arial" w:hAnsi="Arial" w:cs="Arial"/>
                <w:sz w:val="22"/>
                <w:szCs w:val="22"/>
                <w:lang w:val="pt-BR"/>
              </w:rPr>
              <w:t xml:space="preserve">, and </w:t>
            </w:r>
            <w:proofErr w:type="spellStart"/>
            <w:r w:rsidRPr="001166AB">
              <w:rPr>
                <w:rFonts w:ascii="Arial" w:hAnsi="Arial" w:cs="Arial"/>
                <w:sz w:val="22"/>
                <w:szCs w:val="22"/>
                <w:lang w:val="pt-BR"/>
              </w:rPr>
              <w:t>Similarities</w:t>
            </w:r>
            <w:proofErr w:type="spellEnd"/>
          </w:p>
        </w:tc>
        <w:tc>
          <w:tcPr>
            <w:tcW w:w="1010" w:type="pct"/>
            <w:shd w:val="clear" w:color="auto" w:fill="DEEAF6" w:themeFill="accent1" w:themeFillTint="33"/>
            <w:vAlign w:val="center"/>
          </w:tcPr>
          <w:p w14:paraId="07095B00" w14:textId="77777777" w:rsidR="00E1151D" w:rsidRPr="003E4F59" w:rsidRDefault="00E1151D" w:rsidP="00E1151D">
            <w:pPr>
              <w:contextualSpacing/>
              <w:jc w:val="center"/>
              <w:rPr>
                <w:sz w:val="20"/>
                <w:szCs w:val="20"/>
              </w:rPr>
            </w:pPr>
            <w:r w:rsidRPr="003E4F59">
              <w:rPr>
                <w:sz w:val="20"/>
              </w:rPr>
              <w:t>巴西</w:t>
            </w:r>
          </w:p>
        </w:tc>
        <w:tc>
          <w:tcPr>
            <w:tcW w:w="842" w:type="pct"/>
            <w:shd w:val="clear" w:color="auto" w:fill="DEEAF6" w:themeFill="accent1" w:themeFillTint="33"/>
            <w:vAlign w:val="center"/>
          </w:tcPr>
          <w:p w14:paraId="0CF4B059"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NGO-90580</w:t>
            </w:r>
          </w:p>
        </w:tc>
      </w:tr>
      <w:tr w:rsidR="00E1151D" w:rsidRPr="003E4F59" w14:paraId="530C1855" w14:textId="77777777" w:rsidTr="00E24630">
        <w:trPr>
          <w:cantSplit/>
          <w:trHeight w:val="576"/>
        </w:trPr>
        <w:tc>
          <w:tcPr>
            <w:tcW w:w="3148" w:type="pct"/>
            <w:vAlign w:val="center"/>
          </w:tcPr>
          <w:p w14:paraId="720B371F" w14:textId="6C5AFCC2"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rPr>
              <w:t xml:space="preserve">Association Al </w:t>
            </w:r>
            <w:proofErr w:type="spellStart"/>
            <w:r w:rsidRPr="001166AB">
              <w:rPr>
                <w:rFonts w:ascii="Arial" w:hAnsi="Arial" w:cs="Arial"/>
                <w:b/>
                <w:bCs/>
                <w:sz w:val="22"/>
                <w:szCs w:val="22"/>
              </w:rPr>
              <w:t>Muniya</w:t>
            </w:r>
            <w:proofErr w:type="spellEnd"/>
            <w:r w:rsidRPr="001166AB">
              <w:rPr>
                <w:rFonts w:ascii="Arial" w:hAnsi="Arial" w:cs="Arial"/>
                <w:b/>
                <w:bCs/>
                <w:sz w:val="22"/>
                <w:szCs w:val="22"/>
              </w:rPr>
              <w:t xml:space="preserve"> de Marrakech pour la revivification et la préservation du patrimoine du Royaume du Maroc</w:t>
            </w:r>
          </w:p>
        </w:tc>
        <w:tc>
          <w:tcPr>
            <w:tcW w:w="1010" w:type="pct"/>
            <w:vAlign w:val="center"/>
          </w:tcPr>
          <w:p w14:paraId="334E86EA" w14:textId="77777777" w:rsidR="00E1151D" w:rsidRPr="003E4F59" w:rsidRDefault="00E1151D" w:rsidP="00E1151D">
            <w:pPr>
              <w:contextualSpacing/>
              <w:jc w:val="center"/>
              <w:rPr>
                <w:sz w:val="20"/>
                <w:szCs w:val="20"/>
              </w:rPr>
            </w:pPr>
            <w:r w:rsidRPr="003E4F59">
              <w:rPr>
                <w:sz w:val="20"/>
              </w:rPr>
              <w:t>摩洛哥</w:t>
            </w:r>
          </w:p>
        </w:tc>
        <w:tc>
          <w:tcPr>
            <w:tcW w:w="842" w:type="pct"/>
            <w:vAlign w:val="center"/>
          </w:tcPr>
          <w:p w14:paraId="669A9326"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NGO-90528</w:t>
            </w:r>
          </w:p>
        </w:tc>
      </w:tr>
      <w:tr w:rsidR="00E1151D" w:rsidRPr="003E4F59" w14:paraId="60DCF502" w14:textId="77777777" w:rsidTr="00E24630">
        <w:trPr>
          <w:cantSplit/>
          <w:trHeight w:val="576"/>
        </w:trPr>
        <w:tc>
          <w:tcPr>
            <w:tcW w:w="3148" w:type="pct"/>
            <w:shd w:val="clear" w:color="auto" w:fill="DEEAF6" w:themeFill="accent1" w:themeFillTint="33"/>
            <w:vAlign w:val="center"/>
          </w:tcPr>
          <w:p w14:paraId="120E5491" w14:textId="78BD2BCE"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rPr>
              <w:t>Association Culture, Paix et Développement (CPD)</w:t>
            </w:r>
          </w:p>
        </w:tc>
        <w:tc>
          <w:tcPr>
            <w:tcW w:w="1010" w:type="pct"/>
            <w:shd w:val="clear" w:color="auto" w:fill="DEEAF6" w:themeFill="accent1" w:themeFillTint="33"/>
            <w:vAlign w:val="center"/>
          </w:tcPr>
          <w:p w14:paraId="4ACEF06E" w14:textId="77777777" w:rsidR="00E1151D" w:rsidRPr="003E4F59" w:rsidRDefault="00E1151D" w:rsidP="00E1151D">
            <w:pPr>
              <w:contextualSpacing/>
              <w:jc w:val="center"/>
              <w:rPr>
                <w:sz w:val="20"/>
                <w:szCs w:val="20"/>
              </w:rPr>
            </w:pPr>
            <w:r w:rsidRPr="003E4F59">
              <w:rPr>
                <w:sz w:val="20"/>
              </w:rPr>
              <w:t>多哥</w:t>
            </w:r>
          </w:p>
        </w:tc>
        <w:tc>
          <w:tcPr>
            <w:tcW w:w="842" w:type="pct"/>
            <w:shd w:val="clear" w:color="auto" w:fill="DEEAF6" w:themeFill="accent1" w:themeFillTint="33"/>
            <w:vAlign w:val="center"/>
          </w:tcPr>
          <w:p w14:paraId="7FEA76D0"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NGO-90564</w:t>
            </w:r>
          </w:p>
        </w:tc>
      </w:tr>
      <w:tr w:rsidR="00E1151D" w:rsidRPr="003E4F59" w14:paraId="78C6BAE7" w14:textId="77777777" w:rsidTr="00E24630">
        <w:trPr>
          <w:cantSplit/>
          <w:trHeight w:val="576"/>
        </w:trPr>
        <w:tc>
          <w:tcPr>
            <w:tcW w:w="3148" w:type="pct"/>
            <w:vAlign w:val="center"/>
          </w:tcPr>
          <w:p w14:paraId="17B039DA" w14:textId="043EFB56"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rPr>
              <w:t>Association tunisienne de sauvegarde et de valorisation du Patrimoine Culturel Immatériel tunisien</w:t>
            </w:r>
          </w:p>
        </w:tc>
        <w:tc>
          <w:tcPr>
            <w:tcW w:w="1010" w:type="pct"/>
            <w:vAlign w:val="center"/>
          </w:tcPr>
          <w:p w14:paraId="5EA817CA" w14:textId="77777777" w:rsidR="00E1151D" w:rsidRPr="003E4F59" w:rsidRDefault="00E1151D" w:rsidP="00E1151D">
            <w:pPr>
              <w:contextualSpacing/>
              <w:jc w:val="center"/>
              <w:rPr>
                <w:sz w:val="20"/>
                <w:szCs w:val="20"/>
              </w:rPr>
            </w:pPr>
            <w:r w:rsidRPr="003E4F59">
              <w:rPr>
                <w:sz w:val="20"/>
              </w:rPr>
              <w:t>突尼斯</w:t>
            </w:r>
          </w:p>
        </w:tc>
        <w:tc>
          <w:tcPr>
            <w:tcW w:w="842" w:type="pct"/>
            <w:vAlign w:val="center"/>
          </w:tcPr>
          <w:p w14:paraId="71A5980A"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NGO-90525</w:t>
            </w:r>
          </w:p>
        </w:tc>
      </w:tr>
      <w:tr w:rsidR="00E1151D" w:rsidRPr="003E4F59" w14:paraId="2253464D" w14:textId="77777777" w:rsidTr="00E24630">
        <w:trPr>
          <w:cantSplit/>
          <w:trHeight w:val="576"/>
        </w:trPr>
        <w:tc>
          <w:tcPr>
            <w:tcW w:w="3148" w:type="pct"/>
            <w:shd w:val="clear" w:color="auto" w:fill="DEEAF6" w:themeFill="accent1" w:themeFillTint="33"/>
            <w:vAlign w:val="center"/>
          </w:tcPr>
          <w:p w14:paraId="7AFD391C" w14:textId="59AAD351" w:rsidR="00E1151D" w:rsidRPr="001166AB" w:rsidRDefault="00E1151D" w:rsidP="00E1151D">
            <w:pPr>
              <w:contextualSpacing/>
              <w:rPr>
                <w:rFonts w:ascii="Arial" w:hAnsi="Arial" w:cs="Arial"/>
                <w:b/>
                <w:bCs/>
                <w:sz w:val="22"/>
                <w:szCs w:val="22"/>
                <w:lang w:val="it-IT"/>
              </w:rPr>
            </w:pPr>
            <w:r w:rsidRPr="001166AB">
              <w:rPr>
                <w:rFonts w:ascii="Arial" w:hAnsi="Arial" w:cs="Arial"/>
                <w:b/>
                <w:bCs/>
                <w:sz w:val="22"/>
                <w:szCs w:val="22"/>
                <w:lang w:val="it-IT"/>
              </w:rPr>
              <w:t>Associazione Cultura Italiae</w:t>
            </w:r>
            <w:r w:rsidRPr="001166AB">
              <w:rPr>
                <w:rFonts w:ascii="Arial" w:hAnsi="Arial" w:cs="Arial"/>
                <w:sz w:val="22"/>
                <w:szCs w:val="22"/>
                <w:lang w:val="it-IT"/>
              </w:rPr>
              <w:br/>
              <w:t>Association Culture of Italy</w:t>
            </w:r>
          </w:p>
        </w:tc>
        <w:tc>
          <w:tcPr>
            <w:tcW w:w="1010" w:type="pct"/>
            <w:shd w:val="clear" w:color="auto" w:fill="DEEAF6" w:themeFill="accent1" w:themeFillTint="33"/>
            <w:vAlign w:val="center"/>
          </w:tcPr>
          <w:p w14:paraId="5F84D77D" w14:textId="77777777" w:rsidR="00E1151D" w:rsidRPr="003E4F59" w:rsidRDefault="00E1151D" w:rsidP="00E1151D">
            <w:pPr>
              <w:contextualSpacing/>
              <w:jc w:val="center"/>
              <w:rPr>
                <w:sz w:val="20"/>
                <w:szCs w:val="20"/>
              </w:rPr>
            </w:pPr>
            <w:r w:rsidRPr="003E4F59">
              <w:rPr>
                <w:sz w:val="20"/>
              </w:rPr>
              <w:t>意大利</w:t>
            </w:r>
          </w:p>
        </w:tc>
        <w:tc>
          <w:tcPr>
            <w:tcW w:w="842" w:type="pct"/>
            <w:shd w:val="clear" w:color="auto" w:fill="DEEAF6" w:themeFill="accent1" w:themeFillTint="33"/>
            <w:vAlign w:val="center"/>
          </w:tcPr>
          <w:p w14:paraId="064BBB0B"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NGO-90589</w:t>
            </w:r>
          </w:p>
        </w:tc>
      </w:tr>
      <w:tr w:rsidR="00E1151D" w:rsidRPr="003E4F59" w14:paraId="0BE2C2C9" w14:textId="77777777" w:rsidTr="00E24630">
        <w:trPr>
          <w:cantSplit/>
          <w:trHeight w:val="576"/>
        </w:trPr>
        <w:tc>
          <w:tcPr>
            <w:tcW w:w="3148" w:type="pct"/>
            <w:vAlign w:val="center"/>
          </w:tcPr>
          <w:p w14:paraId="6FBCBF60" w14:textId="1B910B84"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pt-BR"/>
              </w:rPr>
              <w:t>Associazione</w:t>
            </w:r>
            <w:proofErr w:type="spellEnd"/>
            <w:r w:rsidRPr="001166AB">
              <w:rPr>
                <w:rFonts w:ascii="Arial" w:hAnsi="Arial" w:cs="Arial"/>
                <w:b/>
                <w:bCs/>
                <w:sz w:val="22"/>
                <w:szCs w:val="22"/>
                <w:lang w:val="pt-BR"/>
              </w:rPr>
              <w:t xml:space="preserve"> </w:t>
            </w:r>
            <w:proofErr w:type="spellStart"/>
            <w:r w:rsidRPr="001166AB">
              <w:rPr>
                <w:rFonts w:ascii="Arial" w:hAnsi="Arial" w:cs="Arial"/>
                <w:b/>
                <w:bCs/>
                <w:sz w:val="22"/>
                <w:szCs w:val="22"/>
                <w:lang w:val="pt-BR"/>
              </w:rPr>
              <w:t>Ecomuseo</w:t>
            </w:r>
            <w:proofErr w:type="spellEnd"/>
            <w:r w:rsidRPr="001166AB">
              <w:rPr>
                <w:rFonts w:ascii="Arial" w:hAnsi="Arial" w:cs="Arial"/>
                <w:b/>
                <w:bCs/>
                <w:sz w:val="22"/>
                <w:szCs w:val="22"/>
                <w:lang w:val="pt-BR"/>
              </w:rPr>
              <w:t xml:space="preserve"> </w:t>
            </w:r>
            <w:proofErr w:type="spellStart"/>
            <w:r w:rsidRPr="001166AB">
              <w:rPr>
                <w:rFonts w:ascii="Arial" w:hAnsi="Arial" w:cs="Arial"/>
                <w:b/>
                <w:bCs/>
                <w:sz w:val="22"/>
                <w:szCs w:val="22"/>
                <w:lang w:val="pt-BR"/>
              </w:rPr>
              <w:t>Casilino</w:t>
            </w:r>
            <w:proofErr w:type="spellEnd"/>
            <w:r w:rsidRPr="001166AB">
              <w:rPr>
                <w:rFonts w:ascii="Arial" w:hAnsi="Arial" w:cs="Arial"/>
                <w:b/>
                <w:bCs/>
                <w:sz w:val="22"/>
                <w:szCs w:val="22"/>
                <w:lang w:val="pt-BR"/>
              </w:rPr>
              <w:t xml:space="preserve"> ad Duas </w:t>
            </w:r>
            <w:proofErr w:type="spellStart"/>
            <w:r w:rsidRPr="001166AB">
              <w:rPr>
                <w:rFonts w:ascii="Arial" w:hAnsi="Arial" w:cs="Arial"/>
                <w:b/>
                <w:bCs/>
                <w:sz w:val="22"/>
                <w:szCs w:val="22"/>
                <w:lang w:val="pt-BR"/>
              </w:rPr>
              <w:t>Lauros</w:t>
            </w:r>
            <w:proofErr w:type="spellEnd"/>
            <w:r w:rsidRPr="001166AB">
              <w:rPr>
                <w:rFonts w:ascii="Arial" w:hAnsi="Arial" w:cs="Arial"/>
                <w:sz w:val="22"/>
                <w:szCs w:val="22"/>
                <w:lang w:val="pt-BR"/>
              </w:rPr>
              <w:br/>
            </w:r>
            <w:proofErr w:type="spellStart"/>
            <w:r w:rsidRPr="001166AB">
              <w:rPr>
                <w:rFonts w:ascii="Arial" w:hAnsi="Arial" w:cs="Arial"/>
                <w:sz w:val="22"/>
                <w:szCs w:val="22"/>
                <w:lang w:val="pt-BR"/>
              </w:rPr>
              <w:t>Ecomuseum</w:t>
            </w:r>
            <w:proofErr w:type="spellEnd"/>
            <w:r w:rsidRPr="001166AB">
              <w:rPr>
                <w:rFonts w:ascii="Arial" w:hAnsi="Arial" w:cs="Arial"/>
                <w:sz w:val="22"/>
                <w:szCs w:val="22"/>
                <w:lang w:val="pt-BR"/>
              </w:rPr>
              <w:t xml:space="preserve"> </w:t>
            </w:r>
            <w:proofErr w:type="spellStart"/>
            <w:r w:rsidRPr="001166AB">
              <w:rPr>
                <w:rFonts w:ascii="Arial" w:hAnsi="Arial" w:cs="Arial"/>
                <w:sz w:val="22"/>
                <w:szCs w:val="22"/>
                <w:lang w:val="pt-BR"/>
              </w:rPr>
              <w:t>Casilino</w:t>
            </w:r>
            <w:proofErr w:type="spellEnd"/>
            <w:r w:rsidRPr="001166AB">
              <w:rPr>
                <w:rFonts w:ascii="Arial" w:hAnsi="Arial" w:cs="Arial"/>
                <w:sz w:val="22"/>
                <w:szCs w:val="22"/>
                <w:lang w:val="pt-BR"/>
              </w:rPr>
              <w:t xml:space="preserve"> ad Duas </w:t>
            </w:r>
            <w:proofErr w:type="spellStart"/>
            <w:r w:rsidRPr="001166AB">
              <w:rPr>
                <w:rFonts w:ascii="Arial" w:hAnsi="Arial" w:cs="Arial"/>
                <w:sz w:val="22"/>
                <w:szCs w:val="22"/>
                <w:lang w:val="pt-BR"/>
              </w:rPr>
              <w:t>Lauros</w:t>
            </w:r>
            <w:proofErr w:type="spellEnd"/>
            <w:r w:rsidRPr="001166AB">
              <w:rPr>
                <w:rFonts w:ascii="Arial" w:hAnsi="Arial" w:cs="Arial"/>
                <w:sz w:val="22"/>
                <w:szCs w:val="22"/>
                <w:lang w:val="pt-BR"/>
              </w:rPr>
              <w:t xml:space="preserve"> Association</w:t>
            </w:r>
          </w:p>
        </w:tc>
        <w:tc>
          <w:tcPr>
            <w:tcW w:w="1010" w:type="pct"/>
            <w:vAlign w:val="center"/>
          </w:tcPr>
          <w:p w14:paraId="3706CA0D" w14:textId="77777777" w:rsidR="00E1151D" w:rsidRPr="003E4F59" w:rsidRDefault="00E1151D" w:rsidP="00E1151D">
            <w:pPr>
              <w:contextualSpacing/>
              <w:jc w:val="center"/>
              <w:rPr>
                <w:sz w:val="20"/>
                <w:szCs w:val="20"/>
              </w:rPr>
            </w:pPr>
            <w:r w:rsidRPr="003E4F59">
              <w:rPr>
                <w:sz w:val="20"/>
              </w:rPr>
              <w:t>意大利</w:t>
            </w:r>
          </w:p>
        </w:tc>
        <w:tc>
          <w:tcPr>
            <w:tcW w:w="842" w:type="pct"/>
            <w:vAlign w:val="center"/>
          </w:tcPr>
          <w:p w14:paraId="1A821816"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NGO-90582</w:t>
            </w:r>
          </w:p>
        </w:tc>
      </w:tr>
      <w:tr w:rsidR="00E1151D" w:rsidRPr="003E4F59" w14:paraId="601C6862" w14:textId="77777777" w:rsidTr="00E24630">
        <w:trPr>
          <w:cantSplit/>
          <w:trHeight w:val="576"/>
        </w:trPr>
        <w:tc>
          <w:tcPr>
            <w:tcW w:w="3148" w:type="pct"/>
            <w:shd w:val="clear" w:color="auto" w:fill="DEEAF6" w:themeFill="accent1" w:themeFillTint="33"/>
            <w:vAlign w:val="center"/>
          </w:tcPr>
          <w:p w14:paraId="155754BE" w14:textId="36F8E1F6"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Barbados Museum &amp; Historical Society</w:t>
            </w:r>
          </w:p>
        </w:tc>
        <w:tc>
          <w:tcPr>
            <w:tcW w:w="1010" w:type="pct"/>
            <w:shd w:val="clear" w:color="auto" w:fill="DEEAF6" w:themeFill="accent1" w:themeFillTint="33"/>
            <w:vAlign w:val="center"/>
          </w:tcPr>
          <w:p w14:paraId="525AA795" w14:textId="77777777" w:rsidR="00E1151D" w:rsidRPr="003E4F59" w:rsidRDefault="00E1151D" w:rsidP="00E1151D">
            <w:pPr>
              <w:contextualSpacing/>
              <w:jc w:val="center"/>
              <w:rPr>
                <w:sz w:val="20"/>
                <w:szCs w:val="20"/>
              </w:rPr>
            </w:pPr>
            <w:r w:rsidRPr="003E4F59">
              <w:rPr>
                <w:sz w:val="20"/>
              </w:rPr>
              <w:t>巴巴多斯</w:t>
            </w:r>
          </w:p>
        </w:tc>
        <w:tc>
          <w:tcPr>
            <w:tcW w:w="842" w:type="pct"/>
            <w:shd w:val="clear" w:color="auto" w:fill="DEEAF6" w:themeFill="accent1" w:themeFillTint="33"/>
            <w:vAlign w:val="center"/>
          </w:tcPr>
          <w:p w14:paraId="7ADBDF8F"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NGO-90554</w:t>
            </w:r>
          </w:p>
        </w:tc>
      </w:tr>
      <w:tr w:rsidR="00E1151D" w:rsidRPr="003E4F59" w14:paraId="688992C5" w14:textId="77777777" w:rsidTr="00E24630">
        <w:trPr>
          <w:cantSplit/>
          <w:trHeight w:val="576"/>
        </w:trPr>
        <w:tc>
          <w:tcPr>
            <w:tcW w:w="3148" w:type="pct"/>
            <w:vAlign w:val="center"/>
          </w:tcPr>
          <w:p w14:paraId="3CDD661F" w14:textId="2360EC1A"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rPr>
              <w:t>Biedrība</w:t>
            </w:r>
            <w:proofErr w:type="spellEnd"/>
            <w:r w:rsidRPr="001166AB">
              <w:rPr>
                <w:rFonts w:ascii="Arial" w:hAnsi="Arial" w:cs="Arial"/>
                <w:b/>
                <w:bCs/>
                <w:sz w:val="22"/>
                <w:szCs w:val="22"/>
              </w:rPr>
              <w:t xml:space="preserve"> « </w:t>
            </w:r>
            <w:proofErr w:type="spellStart"/>
            <w:r w:rsidRPr="001166AB">
              <w:rPr>
                <w:rFonts w:ascii="Arial" w:hAnsi="Arial" w:cs="Arial"/>
                <w:b/>
                <w:bCs/>
                <w:sz w:val="22"/>
                <w:szCs w:val="22"/>
              </w:rPr>
              <w:t>Suitu</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rPr>
              <w:t>kultūras</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rPr>
              <w:t>mantojums</w:t>
            </w:r>
            <w:proofErr w:type="spellEnd"/>
            <w:r w:rsidRPr="001166AB">
              <w:rPr>
                <w:rFonts w:ascii="Arial" w:hAnsi="Arial" w:cs="Arial"/>
                <w:b/>
                <w:bCs/>
                <w:sz w:val="22"/>
                <w:szCs w:val="22"/>
              </w:rPr>
              <w:t> »</w:t>
            </w:r>
            <w:r w:rsidRPr="001166AB">
              <w:rPr>
                <w:rFonts w:ascii="Arial" w:hAnsi="Arial" w:cs="Arial"/>
                <w:sz w:val="22"/>
                <w:szCs w:val="22"/>
              </w:rPr>
              <w:br/>
            </w:r>
            <w:proofErr w:type="spellStart"/>
            <w:r w:rsidRPr="001166AB">
              <w:rPr>
                <w:rFonts w:ascii="Arial" w:hAnsi="Arial" w:cs="Arial"/>
                <w:sz w:val="22"/>
                <w:szCs w:val="22"/>
              </w:rPr>
              <w:t>Suiti</w:t>
            </w:r>
            <w:proofErr w:type="spellEnd"/>
            <w:r w:rsidRPr="001166AB">
              <w:rPr>
                <w:rFonts w:ascii="Arial" w:hAnsi="Arial" w:cs="Arial"/>
                <w:sz w:val="22"/>
                <w:szCs w:val="22"/>
              </w:rPr>
              <w:t xml:space="preserve"> Cultural Heritage </w:t>
            </w:r>
            <w:proofErr w:type="spellStart"/>
            <w:r w:rsidRPr="001166AB">
              <w:rPr>
                <w:rFonts w:ascii="Arial" w:hAnsi="Arial" w:cs="Arial"/>
                <w:sz w:val="22"/>
                <w:szCs w:val="22"/>
              </w:rPr>
              <w:t>Foundation</w:t>
            </w:r>
            <w:proofErr w:type="spellEnd"/>
          </w:p>
        </w:tc>
        <w:tc>
          <w:tcPr>
            <w:tcW w:w="1010" w:type="pct"/>
            <w:vAlign w:val="center"/>
          </w:tcPr>
          <w:p w14:paraId="14A38A08" w14:textId="77777777" w:rsidR="00E1151D" w:rsidRPr="003E4F59" w:rsidRDefault="00E1151D" w:rsidP="00E1151D">
            <w:pPr>
              <w:contextualSpacing/>
              <w:jc w:val="center"/>
              <w:rPr>
                <w:sz w:val="20"/>
                <w:szCs w:val="20"/>
              </w:rPr>
            </w:pPr>
            <w:r w:rsidRPr="003E4F59">
              <w:rPr>
                <w:sz w:val="20"/>
              </w:rPr>
              <w:t>拉脱维亚</w:t>
            </w:r>
          </w:p>
        </w:tc>
        <w:tc>
          <w:tcPr>
            <w:tcW w:w="842" w:type="pct"/>
            <w:vAlign w:val="center"/>
          </w:tcPr>
          <w:p w14:paraId="60F3156B"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NGO-90570</w:t>
            </w:r>
          </w:p>
        </w:tc>
      </w:tr>
      <w:tr w:rsidR="00E1151D" w:rsidRPr="003E4F59" w14:paraId="62A034EA" w14:textId="77777777" w:rsidTr="00E24630">
        <w:trPr>
          <w:cantSplit/>
          <w:trHeight w:val="576"/>
        </w:trPr>
        <w:tc>
          <w:tcPr>
            <w:tcW w:w="3148" w:type="pct"/>
            <w:shd w:val="clear" w:color="auto" w:fill="DEEAF6" w:themeFill="accent1" w:themeFillTint="33"/>
            <w:vAlign w:val="center"/>
          </w:tcPr>
          <w:p w14:paraId="00D074CC" w14:textId="51C06086"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Blanchard House Institute</w:t>
            </w:r>
          </w:p>
        </w:tc>
        <w:tc>
          <w:tcPr>
            <w:tcW w:w="1010" w:type="pct"/>
            <w:shd w:val="clear" w:color="auto" w:fill="DEEAF6" w:themeFill="accent1" w:themeFillTint="33"/>
            <w:vAlign w:val="center"/>
          </w:tcPr>
          <w:p w14:paraId="581D78CB" w14:textId="77777777" w:rsidR="00E1151D" w:rsidRPr="003E4F59" w:rsidRDefault="00E1151D" w:rsidP="00E1151D">
            <w:pPr>
              <w:contextualSpacing/>
              <w:jc w:val="center"/>
              <w:rPr>
                <w:sz w:val="20"/>
                <w:szCs w:val="20"/>
              </w:rPr>
            </w:pPr>
            <w:r w:rsidRPr="003E4F59">
              <w:rPr>
                <w:sz w:val="20"/>
              </w:rPr>
              <w:t>美国</w:t>
            </w:r>
          </w:p>
        </w:tc>
        <w:tc>
          <w:tcPr>
            <w:tcW w:w="842" w:type="pct"/>
            <w:shd w:val="clear" w:color="auto" w:fill="DEEAF6" w:themeFill="accent1" w:themeFillTint="33"/>
            <w:vAlign w:val="center"/>
          </w:tcPr>
          <w:p w14:paraId="7DAFF6E9"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NGO-90597</w:t>
            </w:r>
          </w:p>
        </w:tc>
      </w:tr>
      <w:tr w:rsidR="00E1151D" w:rsidRPr="003E4F59" w14:paraId="224B9EE9" w14:textId="77777777" w:rsidTr="00E24630">
        <w:trPr>
          <w:cantSplit/>
          <w:trHeight w:val="576"/>
        </w:trPr>
        <w:tc>
          <w:tcPr>
            <w:tcW w:w="3148" w:type="pct"/>
            <w:vAlign w:val="center"/>
          </w:tcPr>
          <w:p w14:paraId="371AE0FB" w14:textId="321701D1" w:rsidR="00E1151D" w:rsidRPr="001166AB" w:rsidRDefault="00E1151D" w:rsidP="00E1151D">
            <w:pPr>
              <w:contextualSpacing/>
              <w:rPr>
                <w:rFonts w:ascii="Arial" w:hAnsi="Arial" w:cs="Arial"/>
                <w:b/>
                <w:bCs/>
                <w:sz w:val="22"/>
                <w:szCs w:val="22"/>
                <w:lang w:val="it-IT"/>
              </w:rPr>
            </w:pPr>
            <w:r w:rsidRPr="001166AB">
              <w:rPr>
                <w:rFonts w:ascii="Arial" w:hAnsi="Arial" w:cs="Arial"/>
                <w:b/>
                <w:bCs/>
                <w:sz w:val="22"/>
                <w:szCs w:val="22"/>
                <w:lang w:val="it-IT"/>
              </w:rPr>
              <w:t>Bursa UNESCO Derenği</w:t>
            </w:r>
            <w:r w:rsidRPr="001166AB">
              <w:rPr>
                <w:rFonts w:ascii="Arial" w:hAnsi="Arial" w:cs="Arial"/>
                <w:sz w:val="22"/>
                <w:szCs w:val="22"/>
                <w:lang w:val="it-IT"/>
              </w:rPr>
              <w:br/>
              <w:t>Bursa UNESCO Association</w:t>
            </w:r>
          </w:p>
        </w:tc>
        <w:tc>
          <w:tcPr>
            <w:tcW w:w="1010" w:type="pct"/>
            <w:vAlign w:val="center"/>
          </w:tcPr>
          <w:p w14:paraId="1D35CD36" w14:textId="77777777" w:rsidR="00E1151D" w:rsidRPr="003E4F59" w:rsidRDefault="00E1151D" w:rsidP="00E1151D">
            <w:pPr>
              <w:contextualSpacing/>
              <w:jc w:val="center"/>
              <w:rPr>
                <w:sz w:val="20"/>
                <w:szCs w:val="20"/>
              </w:rPr>
            </w:pPr>
            <w:r w:rsidRPr="003E4F59">
              <w:rPr>
                <w:sz w:val="20"/>
              </w:rPr>
              <w:t>土耳其</w:t>
            </w:r>
          </w:p>
        </w:tc>
        <w:tc>
          <w:tcPr>
            <w:tcW w:w="842" w:type="pct"/>
            <w:vAlign w:val="center"/>
          </w:tcPr>
          <w:p w14:paraId="340E43CB"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NGO-90545</w:t>
            </w:r>
          </w:p>
        </w:tc>
      </w:tr>
      <w:tr w:rsidR="00E1151D" w:rsidRPr="003E4F59" w14:paraId="47499399" w14:textId="77777777" w:rsidTr="00E24630">
        <w:trPr>
          <w:cantSplit/>
          <w:trHeight w:val="576"/>
        </w:trPr>
        <w:tc>
          <w:tcPr>
            <w:tcW w:w="3148" w:type="pct"/>
            <w:shd w:val="clear" w:color="auto" w:fill="DEEAF6" w:themeFill="accent1" w:themeFillTint="33"/>
            <w:vAlign w:val="center"/>
          </w:tcPr>
          <w:p w14:paraId="4A1C1428" w14:textId="12F80BD5" w:rsidR="00E1151D" w:rsidRPr="001166AB" w:rsidRDefault="00E1151D" w:rsidP="00E1151D">
            <w:pPr>
              <w:contextualSpacing/>
              <w:rPr>
                <w:rFonts w:ascii="Arial" w:hAnsi="Arial" w:cs="Arial"/>
                <w:sz w:val="22"/>
                <w:szCs w:val="22"/>
                <w:lang w:val="pt-PT"/>
              </w:rPr>
            </w:pPr>
            <w:r w:rsidRPr="001166AB">
              <w:rPr>
                <w:rFonts w:ascii="Arial" w:hAnsi="Arial" w:cs="Arial"/>
                <w:b/>
                <w:bCs/>
                <w:sz w:val="22"/>
                <w:szCs w:val="22"/>
                <w:lang w:val="pt-BR"/>
              </w:rPr>
              <w:t xml:space="preserve">Clube </w:t>
            </w:r>
            <w:proofErr w:type="spellStart"/>
            <w:r w:rsidRPr="001166AB">
              <w:rPr>
                <w:rFonts w:ascii="Arial" w:hAnsi="Arial" w:cs="Arial"/>
                <w:b/>
                <w:bCs/>
                <w:sz w:val="22"/>
                <w:szCs w:val="22"/>
                <w:lang w:val="pt-BR"/>
              </w:rPr>
              <w:t>Carbavalesco</w:t>
            </w:r>
            <w:proofErr w:type="spellEnd"/>
            <w:r w:rsidRPr="001166AB">
              <w:rPr>
                <w:rFonts w:ascii="Arial" w:hAnsi="Arial" w:cs="Arial"/>
                <w:b/>
                <w:bCs/>
                <w:sz w:val="22"/>
                <w:szCs w:val="22"/>
                <w:lang w:val="pt-BR"/>
              </w:rPr>
              <w:t xml:space="preserve"> </w:t>
            </w:r>
            <w:proofErr w:type="spellStart"/>
            <w:r w:rsidRPr="001166AB">
              <w:rPr>
                <w:rFonts w:ascii="Arial" w:hAnsi="Arial" w:cs="Arial"/>
                <w:b/>
                <w:bCs/>
                <w:sz w:val="22"/>
                <w:szCs w:val="22"/>
                <w:lang w:val="pt-BR"/>
              </w:rPr>
              <w:t>Mixto</w:t>
            </w:r>
            <w:proofErr w:type="spellEnd"/>
            <w:r w:rsidRPr="001166AB">
              <w:rPr>
                <w:rFonts w:ascii="Arial" w:hAnsi="Arial" w:cs="Arial"/>
                <w:b/>
                <w:bCs/>
                <w:sz w:val="22"/>
                <w:szCs w:val="22"/>
                <w:lang w:val="pt-BR"/>
              </w:rPr>
              <w:t xml:space="preserve"> Seu Malaquias</w:t>
            </w:r>
            <w:r w:rsidRPr="001166AB">
              <w:rPr>
                <w:rFonts w:ascii="Arial" w:hAnsi="Arial" w:cs="Arial"/>
                <w:sz w:val="22"/>
                <w:szCs w:val="22"/>
                <w:lang w:val="pt-BR"/>
              </w:rPr>
              <w:br/>
            </w:r>
            <w:proofErr w:type="spellStart"/>
            <w:r w:rsidRPr="001166AB">
              <w:rPr>
                <w:rFonts w:ascii="Arial" w:hAnsi="Arial" w:cs="Arial"/>
                <w:sz w:val="22"/>
                <w:szCs w:val="22"/>
                <w:lang w:val="pt-BR"/>
              </w:rPr>
              <w:t>Carnival</w:t>
            </w:r>
            <w:proofErr w:type="spellEnd"/>
            <w:r w:rsidRPr="001166AB">
              <w:rPr>
                <w:rFonts w:ascii="Arial" w:hAnsi="Arial" w:cs="Arial"/>
                <w:sz w:val="22"/>
                <w:szCs w:val="22"/>
                <w:lang w:val="pt-BR"/>
              </w:rPr>
              <w:t xml:space="preserve"> Club </w:t>
            </w:r>
            <w:proofErr w:type="spellStart"/>
            <w:r w:rsidRPr="001166AB">
              <w:rPr>
                <w:rFonts w:ascii="Arial" w:hAnsi="Arial" w:cs="Arial"/>
                <w:sz w:val="22"/>
                <w:szCs w:val="22"/>
                <w:lang w:val="pt-BR"/>
              </w:rPr>
              <w:t>Mixto</w:t>
            </w:r>
            <w:proofErr w:type="spellEnd"/>
            <w:r w:rsidRPr="001166AB">
              <w:rPr>
                <w:rFonts w:ascii="Arial" w:hAnsi="Arial" w:cs="Arial"/>
                <w:sz w:val="22"/>
                <w:szCs w:val="22"/>
                <w:lang w:val="pt-BR"/>
              </w:rPr>
              <w:t xml:space="preserve"> Seu Malaquias</w:t>
            </w:r>
          </w:p>
        </w:tc>
        <w:tc>
          <w:tcPr>
            <w:tcW w:w="1010" w:type="pct"/>
            <w:shd w:val="clear" w:color="auto" w:fill="DEEAF6" w:themeFill="accent1" w:themeFillTint="33"/>
            <w:vAlign w:val="center"/>
          </w:tcPr>
          <w:p w14:paraId="323E0F42" w14:textId="77777777" w:rsidR="00E1151D" w:rsidRPr="003E4F59" w:rsidRDefault="00E1151D" w:rsidP="00E1151D">
            <w:pPr>
              <w:contextualSpacing/>
              <w:jc w:val="center"/>
              <w:rPr>
                <w:sz w:val="20"/>
                <w:szCs w:val="20"/>
              </w:rPr>
            </w:pPr>
            <w:r w:rsidRPr="003E4F59">
              <w:rPr>
                <w:sz w:val="20"/>
              </w:rPr>
              <w:t>巴西</w:t>
            </w:r>
          </w:p>
        </w:tc>
        <w:tc>
          <w:tcPr>
            <w:tcW w:w="842" w:type="pct"/>
            <w:shd w:val="clear" w:color="auto" w:fill="DEEAF6" w:themeFill="accent1" w:themeFillTint="33"/>
            <w:vAlign w:val="center"/>
          </w:tcPr>
          <w:p w14:paraId="11DC30D2"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NGO-90540</w:t>
            </w:r>
          </w:p>
        </w:tc>
      </w:tr>
      <w:tr w:rsidR="00E1151D" w:rsidRPr="003E4F59" w14:paraId="591CA27E" w14:textId="77777777" w:rsidTr="00E24630">
        <w:trPr>
          <w:cantSplit/>
          <w:trHeight w:val="576"/>
        </w:trPr>
        <w:tc>
          <w:tcPr>
            <w:tcW w:w="3148" w:type="pct"/>
            <w:vAlign w:val="center"/>
          </w:tcPr>
          <w:p w14:paraId="6CB02DF8" w14:textId="5582978A"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rPr>
              <w:t>Conseil International de la Danse - CID</w:t>
            </w:r>
          </w:p>
        </w:tc>
        <w:tc>
          <w:tcPr>
            <w:tcW w:w="1010" w:type="pct"/>
            <w:vAlign w:val="center"/>
          </w:tcPr>
          <w:p w14:paraId="3DE077AF" w14:textId="77777777" w:rsidR="00E1151D" w:rsidRPr="003E4F59" w:rsidRDefault="00E1151D" w:rsidP="00E1151D">
            <w:pPr>
              <w:contextualSpacing/>
              <w:jc w:val="center"/>
              <w:rPr>
                <w:sz w:val="20"/>
                <w:szCs w:val="20"/>
              </w:rPr>
            </w:pPr>
            <w:r w:rsidRPr="003E4F59">
              <w:rPr>
                <w:sz w:val="20"/>
              </w:rPr>
              <w:t>法国</w:t>
            </w:r>
          </w:p>
        </w:tc>
        <w:tc>
          <w:tcPr>
            <w:tcW w:w="842" w:type="pct"/>
            <w:vAlign w:val="center"/>
          </w:tcPr>
          <w:p w14:paraId="675C4053"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NGO-90538</w:t>
            </w:r>
          </w:p>
        </w:tc>
      </w:tr>
      <w:tr w:rsidR="00E1151D" w:rsidRPr="003E4F59" w14:paraId="625942BA" w14:textId="77777777" w:rsidTr="00E24630">
        <w:trPr>
          <w:cantSplit/>
          <w:trHeight w:val="576"/>
        </w:trPr>
        <w:tc>
          <w:tcPr>
            <w:tcW w:w="3148" w:type="pct"/>
            <w:shd w:val="clear" w:color="auto" w:fill="DEEAF6" w:themeFill="accent1" w:themeFillTint="33"/>
            <w:vAlign w:val="center"/>
          </w:tcPr>
          <w:p w14:paraId="3A929CA8" w14:textId="25488952" w:rsidR="00E1151D" w:rsidRPr="001166AB" w:rsidRDefault="00E1151D" w:rsidP="00E1151D">
            <w:pPr>
              <w:contextualSpacing/>
              <w:rPr>
                <w:rFonts w:ascii="Arial" w:hAnsi="Arial" w:cs="Arial"/>
                <w:b/>
                <w:bCs/>
                <w:sz w:val="22"/>
                <w:szCs w:val="22"/>
                <w:lang w:val="es-ES"/>
              </w:rPr>
            </w:pPr>
            <w:proofErr w:type="spellStart"/>
            <w:r w:rsidRPr="001166AB">
              <w:rPr>
                <w:rFonts w:ascii="Arial" w:hAnsi="Arial" w:cs="Arial"/>
                <w:b/>
                <w:bCs/>
                <w:sz w:val="22"/>
                <w:szCs w:val="22"/>
                <w:lang w:val="es-ES"/>
              </w:rPr>
              <w:t>Corporacion</w:t>
            </w:r>
            <w:proofErr w:type="spellEnd"/>
            <w:r w:rsidRPr="001166AB">
              <w:rPr>
                <w:rFonts w:ascii="Arial" w:hAnsi="Arial" w:cs="Arial"/>
                <w:b/>
                <w:bCs/>
                <w:sz w:val="22"/>
                <w:szCs w:val="22"/>
                <w:lang w:val="es-ES"/>
              </w:rPr>
              <w:t xml:space="preserve"> Cinemateca Municipal de Valledupar Cinemateca Vallenata</w:t>
            </w:r>
            <w:r w:rsidRPr="001166AB">
              <w:rPr>
                <w:rFonts w:ascii="Arial" w:hAnsi="Arial" w:cs="Arial"/>
                <w:sz w:val="22"/>
                <w:szCs w:val="22"/>
                <w:lang w:val="es-ES"/>
              </w:rPr>
              <w:br/>
              <w:t xml:space="preserve">Valledupar Municipal </w:t>
            </w:r>
            <w:proofErr w:type="spellStart"/>
            <w:r w:rsidRPr="001166AB">
              <w:rPr>
                <w:rFonts w:ascii="Arial" w:hAnsi="Arial" w:cs="Arial"/>
                <w:sz w:val="22"/>
                <w:szCs w:val="22"/>
                <w:lang w:val="es-ES"/>
              </w:rPr>
              <w:t>Cinematheque</w:t>
            </w:r>
            <w:proofErr w:type="spellEnd"/>
            <w:r w:rsidRPr="001166AB">
              <w:rPr>
                <w:rFonts w:ascii="Arial" w:hAnsi="Arial" w:cs="Arial"/>
                <w:sz w:val="22"/>
                <w:szCs w:val="22"/>
                <w:lang w:val="es-ES"/>
              </w:rPr>
              <w:t xml:space="preserve"> </w:t>
            </w:r>
            <w:proofErr w:type="spellStart"/>
            <w:r w:rsidRPr="001166AB">
              <w:rPr>
                <w:rFonts w:ascii="Arial" w:hAnsi="Arial" w:cs="Arial"/>
                <w:sz w:val="22"/>
                <w:szCs w:val="22"/>
                <w:lang w:val="es-ES"/>
              </w:rPr>
              <w:t>Corporation</w:t>
            </w:r>
            <w:proofErr w:type="spellEnd"/>
            <w:r w:rsidRPr="001166AB">
              <w:rPr>
                <w:rFonts w:ascii="Arial" w:hAnsi="Arial" w:cs="Arial"/>
                <w:sz w:val="22"/>
                <w:szCs w:val="22"/>
                <w:lang w:val="es-ES"/>
              </w:rPr>
              <w:t xml:space="preserve"> Cinemateca Vallenata</w:t>
            </w:r>
          </w:p>
        </w:tc>
        <w:tc>
          <w:tcPr>
            <w:tcW w:w="1010" w:type="pct"/>
            <w:shd w:val="clear" w:color="auto" w:fill="DEEAF6" w:themeFill="accent1" w:themeFillTint="33"/>
            <w:vAlign w:val="center"/>
          </w:tcPr>
          <w:p w14:paraId="2590AD8D" w14:textId="77777777" w:rsidR="00E1151D" w:rsidRPr="003E4F59" w:rsidRDefault="00E1151D" w:rsidP="00E1151D">
            <w:pPr>
              <w:contextualSpacing/>
              <w:jc w:val="center"/>
              <w:rPr>
                <w:sz w:val="20"/>
                <w:szCs w:val="20"/>
              </w:rPr>
            </w:pPr>
            <w:r w:rsidRPr="003E4F59">
              <w:rPr>
                <w:sz w:val="20"/>
              </w:rPr>
              <w:t>哥伦比亚</w:t>
            </w:r>
          </w:p>
        </w:tc>
        <w:tc>
          <w:tcPr>
            <w:tcW w:w="842" w:type="pct"/>
            <w:shd w:val="clear" w:color="auto" w:fill="DEEAF6" w:themeFill="accent1" w:themeFillTint="33"/>
            <w:vAlign w:val="center"/>
          </w:tcPr>
          <w:p w14:paraId="3A5ECFDE"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NGO-90592</w:t>
            </w:r>
          </w:p>
        </w:tc>
      </w:tr>
      <w:tr w:rsidR="00E1151D" w:rsidRPr="003E4F59" w14:paraId="6763650E" w14:textId="77777777" w:rsidTr="00E24630">
        <w:trPr>
          <w:cantSplit/>
          <w:trHeight w:val="576"/>
        </w:trPr>
        <w:tc>
          <w:tcPr>
            <w:tcW w:w="3148" w:type="pct"/>
            <w:vAlign w:val="center"/>
          </w:tcPr>
          <w:p w14:paraId="1561B390" w14:textId="3840BDC8" w:rsidR="00E1151D" w:rsidRPr="001166AB" w:rsidRDefault="00E1151D" w:rsidP="00E1151D">
            <w:pPr>
              <w:contextualSpacing/>
              <w:rPr>
                <w:rFonts w:ascii="Arial" w:hAnsi="Arial" w:cs="Arial"/>
                <w:b/>
                <w:bCs/>
                <w:sz w:val="22"/>
                <w:szCs w:val="22"/>
                <w:lang w:val="es-ES"/>
              </w:rPr>
            </w:pPr>
            <w:proofErr w:type="spellStart"/>
            <w:r w:rsidRPr="001166AB">
              <w:rPr>
                <w:rFonts w:ascii="Arial" w:hAnsi="Arial" w:cs="Arial"/>
                <w:b/>
                <w:bCs/>
                <w:sz w:val="22"/>
                <w:szCs w:val="22"/>
                <w:lang w:val="en-GB"/>
              </w:rPr>
              <w:t>Corporación</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Huiltur</w:t>
            </w:r>
            <w:proofErr w:type="spellEnd"/>
            <w:r w:rsidRPr="001166AB">
              <w:rPr>
                <w:rFonts w:ascii="Arial" w:hAnsi="Arial" w:cs="Arial"/>
                <w:b/>
                <w:bCs/>
                <w:sz w:val="22"/>
                <w:szCs w:val="22"/>
                <w:lang w:val="en-GB"/>
              </w:rPr>
              <w:t xml:space="preserve"> - </w:t>
            </w:r>
            <w:proofErr w:type="spellStart"/>
            <w:r w:rsidRPr="001166AB">
              <w:rPr>
                <w:rFonts w:ascii="Arial" w:hAnsi="Arial" w:cs="Arial"/>
                <w:b/>
                <w:bCs/>
                <w:sz w:val="22"/>
                <w:szCs w:val="22"/>
                <w:lang w:val="en-GB"/>
              </w:rPr>
              <w:t>CorpoHuiltur</w:t>
            </w:r>
            <w:proofErr w:type="spellEnd"/>
            <w:r w:rsidRPr="001166AB">
              <w:rPr>
                <w:rFonts w:ascii="Arial" w:hAnsi="Arial" w:cs="Arial"/>
                <w:sz w:val="22"/>
                <w:szCs w:val="22"/>
                <w:lang w:val="en-GB"/>
              </w:rPr>
              <w:br/>
            </w:r>
            <w:proofErr w:type="spellStart"/>
            <w:r w:rsidRPr="001166AB">
              <w:rPr>
                <w:rFonts w:ascii="Arial" w:hAnsi="Arial" w:cs="Arial"/>
                <w:sz w:val="22"/>
                <w:szCs w:val="22"/>
                <w:lang w:val="en-GB"/>
              </w:rPr>
              <w:t>Huiltur</w:t>
            </w:r>
            <w:proofErr w:type="spellEnd"/>
            <w:r w:rsidRPr="001166AB">
              <w:rPr>
                <w:rFonts w:ascii="Arial" w:hAnsi="Arial" w:cs="Arial"/>
                <w:sz w:val="22"/>
                <w:szCs w:val="22"/>
                <w:lang w:val="en-GB"/>
              </w:rPr>
              <w:t xml:space="preserve"> Corporation</w:t>
            </w:r>
          </w:p>
        </w:tc>
        <w:tc>
          <w:tcPr>
            <w:tcW w:w="1010" w:type="pct"/>
            <w:vAlign w:val="center"/>
          </w:tcPr>
          <w:p w14:paraId="6032548E" w14:textId="77777777" w:rsidR="00E1151D" w:rsidRPr="003E4F59" w:rsidRDefault="00E1151D" w:rsidP="00E1151D">
            <w:pPr>
              <w:contextualSpacing/>
              <w:jc w:val="center"/>
              <w:rPr>
                <w:sz w:val="20"/>
                <w:szCs w:val="20"/>
              </w:rPr>
            </w:pPr>
            <w:r w:rsidRPr="003E4F59">
              <w:rPr>
                <w:sz w:val="20"/>
              </w:rPr>
              <w:t>哥伦比亚</w:t>
            </w:r>
          </w:p>
        </w:tc>
        <w:tc>
          <w:tcPr>
            <w:tcW w:w="842" w:type="pct"/>
            <w:vAlign w:val="center"/>
          </w:tcPr>
          <w:p w14:paraId="05E2C31A"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NGO-90576</w:t>
            </w:r>
          </w:p>
        </w:tc>
      </w:tr>
      <w:tr w:rsidR="00E1151D" w:rsidRPr="003E4F59" w14:paraId="5CF0A5DD" w14:textId="77777777" w:rsidTr="00E24630">
        <w:trPr>
          <w:cantSplit/>
          <w:trHeight w:val="576"/>
        </w:trPr>
        <w:tc>
          <w:tcPr>
            <w:tcW w:w="3148" w:type="pct"/>
            <w:shd w:val="clear" w:color="auto" w:fill="DEEAF6" w:themeFill="accent1" w:themeFillTint="33"/>
            <w:vAlign w:val="center"/>
          </w:tcPr>
          <w:p w14:paraId="6B28B528" w14:textId="4E3788CF"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Corporacion</w:t>
            </w:r>
            <w:proofErr w:type="spellEnd"/>
            <w:r w:rsidRPr="001166AB">
              <w:rPr>
                <w:rFonts w:ascii="Arial" w:hAnsi="Arial" w:cs="Arial"/>
                <w:b/>
                <w:bCs/>
                <w:sz w:val="22"/>
                <w:szCs w:val="22"/>
                <w:lang w:val="en-GB"/>
              </w:rPr>
              <w:t xml:space="preserve"> Memoria Austral</w:t>
            </w:r>
            <w:r w:rsidRPr="001166AB">
              <w:rPr>
                <w:rFonts w:ascii="Arial" w:hAnsi="Arial" w:cs="Arial"/>
                <w:sz w:val="22"/>
                <w:szCs w:val="22"/>
                <w:lang w:val="en-GB"/>
              </w:rPr>
              <w:br/>
              <w:t>Memoria Austral Association</w:t>
            </w:r>
          </w:p>
        </w:tc>
        <w:tc>
          <w:tcPr>
            <w:tcW w:w="1010" w:type="pct"/>
            <w:shd w:val="clear" w:color="auto" w:fill="DEEAF6" w:themeFill="accent1" w:themeFillTint="33"/>
            <w:vAlign w:val="center"/>
          </w:tcPr>
          <w:p w14:paraId="13BAAF07" w14:textId="77777777" w:rsidR="00E1151D" w:rsidRPr="003E4F59" w:rsidRDefault="00E1151D" w:rsidP="00E1151D">
            <w:pPr>
              <w:contextualSpacing/>
              <w:jc w:val="center"/>
              <w:rPr>
                <w:sz w:val="20"/>
                <w:szCs w:val="20"/>
              </w:rPr>
            </w:pPr>
            <w:r w:rsidRPr="003E4F59">
              <w:rPr>
                <w:sz w:val="20"/>
              </w:rPr>
              <w:t>智利</w:t>
            </w:r>
          </w:p>
        </w:tc>
        <w:tc>
          <w:tcPr>
            <w:tcW w:w="842" w:type="pct"/>
            <w:shd w:val="clear" w:color="auto" w:fill="DEEAF6" w:themeFill="accent1" w:themeFillTint="33"/>
            <w:vAlign w:val="center"/>
          </w:tcPr>
          <w:p w14:paraId="7BD95DCE"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NGO-90586</w:t>
            </w:r>
          </w:p>
        </w:tc>
      </w:tr>
      <w:tr w:rsidR="00E1151D" w:rsidRPr="003E4F59" w14:paraId="1109BF92" w14:textId="77777777" w:rsidTr="00E24630">
        <w:trPr>
          <w:cantSplit/>
          <w:trHeight w:val="416"/>
        </w:trPr>
        <w:tc>
          <w:tcPr>
            <w:tcW w:w="3148" w:type="pct"/>
            <w:vAlign w:val="center"/>
          </w:tcPr>
          <w:p w14:paraId="1717FD35" w14:textId="5E08DD14" w:rsidR="00E1151D" w:rsidRPr="001166AB" w:rsidRDefault="00E1151D" w:rsidP="00E1151D">
            <w:pPr>
              <w:contextualSpacing/>
              <w:rPr>
                <w:rFonts w:ascii="Arial" w:hAnsi="Arial" w:cs="Arial"/>
                <w:b/>
                <w:bCs/>
                <w:sz w:val="22"/>
                <w:szCs w:val="22"/>
                <w:lang w:val="it-IT"/>
              </w:rPr>
            </w:pPr>
            <w:r w:rsidRPr="001166AB">
              <w:rPr>
                <w:rFonts w:ascii="Arial" w:hAnsi="Arial" w:cs="Arial"/>
                <w:b/>
                <w:bCs/>
                <w:sz w:val="22"/>
                <w:szCs w:val="22"/>
                <w:lang w:val="it-IT"/>
              </w:rPr>
              <w:lastRenderedPageBreak/>
              <w:t>Fondazione Santagata per l’Economia della Cultura ETS (ente del terzo settore)</w:t>
            </w:r>
            <w:r w:rsidRPr="001166AB">
              <w:rPr>
                <w:rFonts w:ascii="Arial" w:hAnsi="Arial" w:cs="Arial"/>
                <w:sz w:val="22"/>
                <w:szCs w:val="22"/>
                <w:lang w:val="it-IT"/>
              </w:rPr>
              <w:br/>
              <w:t>Fondazione Santagata for the Economics of Culture ETS (third sector entity)</w:t>
            </w:r>
          </w:p>
        </w:tc>
        <w:tc>
          <w:tcPr>
            <w:tcW w:w="1010" w:type="pct"/>
            <w:vAlign w:val="center"/>
          </w:tcPr>
          <w:p w14:paraId="0E599FA4" w14:textId="77777777" w:rsidR="00E1151D" w:rsidRPr="003E4F59" w:rsidRDefault="00E1151D" w:rsidP="00E1151D">
            <w:pPr>
              <w:contextualSpacing/>
              <w:jc w:val="center"/>
              <w:rPr>
                <w:sz w:val="20"/>
                <w:szCs w:val="20"/>
              </w:rPr>
            </w:pPr>
            <w:r w:rsidRPr="003E4F59">
              <w:rPr>
                <w:sz w:val="20"/>
              </w:rPr>
              <w:t>意大利</w:t>
            </w:r>
          </w:p>
        </w:tc>
        <w:tc>
          <w:tcPr>
            <w:tcW w:w="842" w:type="pct"/>
            <w:vAlign w:val="center"/>
          </w:tcPr>
          <w:p w14:paraId="1F4E11B3"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NGO-90552</w:t>
            </w:r>
          </w:p>
        </w:tc>
      </w:tr>
      <w:tr w:rsidR="00E1151D" w:rsidRPr="003E4F59" w14:paraId="6440346C" w14:textId="77777777" w:rsidTr="00E24630">
        <w:trPr>
          <w:cantSplit/>
          <w:trHeight w:val="576"/>
        </w:trPr>
        <w:tc>
          <w:tcPr>
            <w:tcW w:w="3148" w:type="pct"/>
            <w:shd w:val="clear" w:color="auto" w:fill="DEEAF6" w:themeFill="accent1" w:themeFillTint="33"/>
            <w:vAlign w:val="center"/>
          </w:tcPr>
          <w:p w14:paraId="3E06F8B7" w14:textId="10CA8D95" w:rsidR="00E1151D" w:rsidRPr="001166AB" w:rsidRDefault="00E1151D" w:rsidP="00E1151D">
            <w:pPr>
              <w:contextualSpacing/>
              <w:rPr>
                <w:rFonts w:ascii="Arial" w:hAnsi="Arial" w:cs="Arial"/>
                <w:b/>
                <w:bCs/>
                <w:sz w:val="22"/>
                <w:szCs w:val="22"/>
                <w:lang w:val="en-US"/>
              </w:rPr>
            </w:pPr>
            <w:r w:rsidRPr="001166AB">
              <w:rPr>
                <w:rFonts w:ascii="Arial" w:hAnsi="Arial" w:cs="Arial"/>
                <w:b/>
                <w:bCs/>
                <w:sz w:val="22"/>
                <w:szCs w:val="22"/>
                <w:lang w:val="en-GB"/>
              </w:rPr>
              <w:t>Fundación Casa Taller</w:t>
            </w:r>
            <w:r w:rsidRPr="001166AB">
              <w:rPr>
                <w:rFonts w:ascii="Arial" w:hAnsi="Arial" w:cs="Arial"/>
                <w:sz w:val="22"/>
                <w:szCs w:val="22"/>
                <w:lang w:val="en-GB"/>
              </w:rPr>
              <w:br/>
              <w:t>Workshop Home Foundation</w:t>
            </w:r>
          </w:p>
        </w:tc>
        <w:tc>
          <w:tcPr>
            <w:tcW w:w="1010" w:type="pct"/>
            <w:shd w:val="clear" w:color="auto" w:fill="DEEAF6" w:themeFill="accent1" w:themeFillTint="33"/>
            <w:vAlign w:val="center"/>
          </w:tcPr>
          <w:p w14:paraId="2C80528F" w14:textId="77777777" w:rsidR="00E1151D" w:rsidRPr="003E4F59" w:rsidRDefault="00E1151D" w:rsidP="00E1151D">
            <w:pPr>
              <w:contextualSpacing/>
              <w:jc w:val="center"/>
              <w:rPr>
                <w:sz w:val="20"/>
                <w:szCs w:val="20"/>
              </w:rPr>
            </w:pPr>
            <w:r w:rsidRPr="003E4F59">
              <w:rPr>
                <w:sz w:val="20"/>
              </w:rPr>
              <w:t>巴拿马</w:t>
            </w:r>
          </w:p>
        </w:tc>
        <w:tc>
          <w:tcPr>
            <w:tcW w:w="842" w:type="pct"/>
            <w:shd w:val="clear" w:color="auto" w:fill="DEEAF6" w:themeFill="accent1" w:themeFillTint="33"/>
            <w:vAlign w:val="center"/>
          </w:tcPr>
          <w:p w14:paraId="51EBF5C4"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NGO-90579</w:t>
            </w:r>
          </w:p>
        </w:tc>
      </w:tr>
      <w:tr w:rsidR="00E1151D" w:rsidRPr="003E4F59" w14:paraId="2DDF0601" w14:textId="77777777" w:rsidTr="00E24630">
        <w:trPr>
          <w:cantSplit/>
          <w:trHeight w:val="576"/>
        </w:trPr>
        <w:tc>
          <w:tcPr>
            <w:tcW w:w="3148" w:type="pct"/>
            <w:vAlign w:val="center"/>
          </w:tcPr>
          <w:p w14:paraId="0E27F35F" w14:textId="17177FD4" w:rsidR="00E1151D" w:rsidRPr="001166AB" w:rsidRDefault="00E1151D" w:rsidP="00E1151D">
            <w:pPr>
              <w:contextualSpacing/>
              <w:rPr>
                <w:rFonts w:ascii="Arial" w:hAnsi="Arial" w:cs="Arial"/>
                <w:b/>
                <w:bCs/>
                <w:sz w:val="22"/>
                <w:szCs w:val="22"/>
                <w:lang w:val="es-ES"/>
              </w:rPr>
            </w:pPr>
            <w:r w:rsidRPr="001166AB">
              <w:rPr>
                <w:rFonts w:ascii="Arial" w:hAnsi="Arial" w:cs="Arial"/>
                <w:b/>
                <w:bCs/>
                <w:sz w:val="22"/>
                <w:szCs w:val="22"/>
                <w:lang w:val="es-ES"/>
              </w:rPr>
              <w:t>Fundación La Sacha</w:t>
            </w:r>
            <w:r w:rsidRPr="001166AB">
              <w:rPr>
                <w:rFonts w:ascii="Arial" w:hAnsi="Arial" w:cs="Arial"/>
                <w:sz w:val="22"/>
                <w:szCs w:val="22"/>
                <w:lang w:val="es-ES"/>
              </w:rPr>
              <w:br/>
            </w:r>
            <w:proofErr w:type="spellStart"/>
            <w:r w:rsidRPr="001166AB">
              <w:rPr>
                <w:rFonts w:ascii="Arial" w:hAnsi="Arial" w:cs="Arial"/>
                <w:sz w:val="22"/>
                <w:szCs w:val="22"/>
                <w:lang w:val="es-ES"/>
              </w:rPr>
              <w:t>Sacha</w:t>
            </w:r>
            <w:proofErr w:type="spellEnd"/>
            <w:r w:rsidRPr="001166AB">
              <w:rPr>
                <w:rFonts w:ascii="Arial" w:hAnsi="Arial" w:cs="Arial"/>
                <w:sz w:val="22"/>
                <w:szCs w:val="22"/>
                <w:lang w:val="es-ES"/>
              </w:rPr>
              <w:t xml:space="preserve"> </w:t>
            </w:r>
            <w:proofErr w:type="spellStart"/>
            <w:r w:rsidRPr="001166AB">
              <w:rPr>
                <w:rFonts w:ascii="Arial" w:hAnsi="Arial" w:cs="Arial"/>
                <w:sz w:val="22"/>
                <w:szCs w:val="22"/>
                <w:lang w:val="es-ES"/>
              </w:rPr>
              <w:t>Foundation</w:t>
            </w:r>
            <w:proofErr w:type="spellEnd"/>
          </w:p>
        </w:tc>
        <w:tc>
          <w:tcPr>
            <w:tcW w:w="1010" w:type="pct"/>
            <w:vAlign w:val="center"/>
          </w:tcPr>
          <w:p w14:paraId="2DB038B6" w14:textId="77777777" w:rsidR="00E1151D" w:rsidRPr="003E4F59" w:rsidRDefault="00E1151D" w:rsidP="00E1151D">
            <w:pPr>
              <w:contextualSpacing/>
              <w:jc w:val="center"/>
              <w:rPr>
                <w:sz w:val="20"/>
                <w:szCs w:val="20"/>
              </w:rPr>
            </w:pPr>
            <w:r w:rsidRPr="003E4F59">
              <w:rPr>
                <w:sz w:val="20"/>
              </w:rPr>
              <w:t>阿根廷</w:t>
            </w:r>
          </w:p>
        </w:tc>
        <w:tc>
          <w:tcPr>
            <w:tcW w:w="842" w:type="pct"/>
            <w:vAlign w:val="center"/>
          </w:tcPr>
          <w:p w14:paraId="5C7C769B"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NGO-90546</w:t>
            </w:r>
          </w:p>
        </w:tc>
      </w:tr>
      <w:tr w:rsidR="00E1151D" w:rsidRPr="003E4F59" w14:paraId="0B043A83" w14:textId="77777777" w:rsidTr="00E24630">
        <w:trPr>
          <w:cantSplit/>
          <w:trHeight w:val="576"/>
        </w:trPr>
        <w:tc>
          <w:tcPr>
            <w:tcW w:w="3148" w:type="pct"/>
            <w:shd w:val="clear" w:color="auto" w:fill="DEEAF6" w:themeFill="accent1" w:themeFillTint="33"/>
            <w:vAlign w:val="center"/>
          </w:tcPr>
          <w:p w14:paraId="5FF62B34" w14:textId="4EAC09B0"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Grenada National Trust</w:t>
            </w:r>
          </w:p>
        </w:tc>
        <w:tc>
          <w:tcPr>
            <w:tcW w:w="1010" w:type="pct"/>
            <w:shd w:val="clear" w:color="auto" w:fill="DEEAF6" w:themeFill="accent1" w:themeFillTint="33"/>
            <w:vAlign w:val="center"/>
          </w:tcPr>
          <w:p w14:paraId="01E457BD" w14:textId="77777777" w:rsidR="00E1151D" w:rsidRPr="003E4F59" w:rsidRDefault="00E1151D" w:rsidP="00E1151D">
            <w:pPr>
              <w:contextualSpacing/>
              <w:jc w:val="center"/>
              <w:rPr>
                <w:sz w:val="20"/>
                <w:szCs w:val="20"/>
              </w:rPr>
            </w:pPr>
            <w:r w:rsidRPr="003E4F59">
              <w:rPr>
                <w:sz w:val="20"/>
              </w:rPr>
              <w:t>格林纳达</w:t>
            </w:r>
          </w:p>
        </w:tc>
        <w:tc>
          <w:tcPr>
            <w:tcW w:w="842" w:type="pct"/>
            <w:shd w:val="clear" w:color="auto" w:fill="DEEAF6" w:themeFill="accent1" w:themeFillTint="33"/>
            <w:vAlign w:val="center"/>
          </w:tcPr>
          <w:p w14:paraId="3006AC14"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NGO-90555</w:t>
            </w:r>
          </w:p>
        </w:tc>
      </w:tr>
      <w:tr w:rsidR="00E1151D" w:rsidRPr="003E4F59" w14:paraId="59752CFF" w14:textId="77777777" w:rsidTr="00E24630">
        <w:trPr>
          <w:cantSplit/>
          <w:trHeight w:val="576"/>
        </w:trPr>
        <w:tc>
          <w:tcPr>
            <w:tcW w:w="3148" w:type="pct"/>
            <w:vAlign w:val="center"/>
          </w:tcPr>
          <w:p w14:paraId="3C456365" w14:textId="49A3E972"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rPr>
              <w:t>Heimilisiðnaðarfélag</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rPr>
              <w:t>Íslands</w:t>
            </w:r>
            <w:proofErr w:type="spellEnd"/>
            <w:r w:rsidRPr="001166AB">
              <w:rPr>
                <w:rFonts w:ascii="Arial" w:hAnsi="Arial" w:cs="Arial"/>
                <w:sz w:val="22"/>
                <w:szCs w:val="22"/>
              </w:rPr>
              <w:br/>
            </w:r>
            <w:proofErr w:type="spellStart"/>
            <w:r w:rsidRPr="001166AB">
              <w:rPr>
                <w:rFonts w:ascii="Arial" w:hAnsi="Arial" w:cs="Arial"/>
                <w:sz w:val="22"/>
                <w:szCs w:val="22"/>
              </w:rPr>
              <w:t>Icelandic</w:t>
            </w:r>
            <w:proofErr w:type="spellEnd"/>
            <w:r w:rsidRPr="001166AB">
              <w:rPr>
                <w:rFonts w:ascii="Arial" w:hAnsi="Arial" w:cs="Arial"/>
                <w:sz w:val="22"/>
                <w:szCs w:val="22"/>
              </w:rPr>
              <w:t xml:space="preserve"> </w:t>
            </w:r>
            <w:proofErr w:type="spellStart"/>
            <w:r w:rsidRPr="001166AB">
              <w:rPr>
                <w:rFonts w:ascii="Arial" w:hAnsi="Arial" w:cs="Arial"/>
                <w:sz w:val="22"/>
                <w:szCs w:val="22"/>
              </w:rPr>
              <w:t>Handicraft</w:t>
            </w:r>
            <w:proofErr w:type="spellEnd"/>
            <w:r w:rsidRPr="001166AB">
              <w:rPr>
                <w:rFonts w:ascii="Arial" w:hAnsi="Arial" w:cs="Arial"/>
                <w:sz w:val="22"/>
                <w:szCs w:val="22"/>
              </w:rPr>
              <w:t xml:space="preserve"> Association</w:t>
            </w:r>
          </w:p>
        </w:tc>
        <w:tc>
          <w:tcPr>
            <w:tcW w:w="1010" w:type="pct"/>
            <w:vAlign w:val="center"/>
          </w:tcPr>
          <w:p w14:paraId="4D02EF2F" w14:textId="77777777" w:rsidR="00E1151D" w:rsidRPr="003E4F59" w:rsidRDefault="00E1151D" w:rsidP="00E1151D">
            <w:pPr>
              <w:contextualSpacing/>
              <w:jc w:val="center"/>
              <w:rPr>
                <w:sz w:val="20"/>
                <w:szCs w:val="20"/>
              </w:rPr>
            </w:pPr>
            <w:r w:rsidRPr="003E4F59">
              <w:rPr>
                <w:sz w:val="20"/>
              </w:rPr>
              <w:t>冰岛</w:t>
            </w:r>
          </w:p>
        </w:tc>
        <w:tc>
          <w:tcPr>
            <w:tcW w:w="842" w:type="pct"/>
            <w:vAlign w:val="center"/>
          </w:tcPr>
          <w:p w14:paraId="049EC195"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NGO-90533</w:t>
            </w:r>
          </w:p>
        </w:tc>
      </w:tr>
      <w:tr w:rsidR="00E1151D" w:rsidRPr="003E4F59" w14:paraId="19F2A771" w14:textId="77777777" w:rsidTr="00E24630">
        <w:trPr>
          <w:cantSplit/>
          <w:trHeight w:val="576"/>
        </w:trPr>
        <w:tc>
          <w:tcPr>
            <w:tcW w:w="3148" w:type="pct"/>
            <w:shd w:val="clear" w:color="auto" w:fill="DEEAF6" w:themeFill="accent1" w:themeFillTint="33"/>
            <w:vAlign w:val="center"/>
          </w:tcPr>
          <w:p w14:paraId="7F4C117E" w14:textId="155D6E4D" w:rsidR="00E1151D" w:rsidRPr="001166AB" w:rsidRDefault="00E1151D" w:rsidP="00E1151D">
            <w:pPr>
              <w:contextualSpacing/>
              <w:rPr>
                <w:rFonts w:ascii="Arial" w:hAnsi="Arial" w:cs="Arial"/>
                <w:b/>
                <w:bCs/>
                <w:sz w:val="22"/>
                <w:szCs w:val="22"/>
                <w:lang w:val="pt-PT"/>
              </w:rPr>
            </w:pPr>
            <w:proofErr w:type="spellStart"/>
            <w:r w:rsidRPr="001166AB">
              <w:rPr>
                <w:rFonts w:ascii="Arial" w:hAnsi="Arial" w:cs="Arial"/>
                <w:b/>
                <w:bCs/>
                <w:sz w:val="22"/>
                <w:szCs w:val="22"/>
                <w:lang w:val="pt-BR"/>
              </w:rPr>
              <w:t>Iepé</w:t>
            </w:r>
            <w:proofErr w:type="spellEnd"/>
            <w:r w:rsidRPr="001166AB">
              <w:rPr>
                <w:rFonts w:ascii="Arial" w:hAnsi="Arial" w:cs="Arial"/>
                <w:b/>
                <w:bCs/>
                <w:sz w:val="22"/>
                <w:szCs w:val="22"/>
                <w:lang w:val="pt-BR"/>
              </w:rPr>
              <w:t xml:space="preserve"> - Instituto de Pesquisa e Formação Indígena</w:t>
            </w:r>
            <w:r w:rsidRPr="001166AB">
              <w:rPr>
                <w:rFonts w:ascii="Arial" w:hAnsi="Arial" w:cs="Arial"/>
                <w:sz w:val="22"/>
                <w:szCs w:val="22"/>
                <w:lang w:val="pt-BR"/>
              </w:rPr>
              <w:br/>
            </w:r>
            <w:proofErr w:type="spellStart"/>
            <w:r w:rsidRPr="001166AB">
              <w:rPr>
                <w:rFonts w:ascii="Arial" w:hAnsi="Arial" w:cs="Arial"/>
                <w:sz w:val="22"/>
                <w:szCs w:val="22"/>
                <w:lang w:val="pt-BR"/>
              </w:rPr>
              <w:t>Iepé</w:t>
            </w:r>
            <w:proofErr w:type="spellEnd"/>
            <w:r w:rsidRPr="001166AB">
              <w:rPr>
                <w:rFonts w:ascii="Arial" w:hAnsi="Arial" w:cs="Arial"/>
                <w:sz w:val="22"/>
                <w:szCs w:val="22"/>
                <w:lang w:val="pt-BR"/>
              </w:rPr>
              <w:t xml:space="preserve"> - </w:t>
            </w:r>
            <w:proofErr w:type="spellStart"/>
            <w:r w:rsidRPr="001166AB">
              <w:rPr>
                <w:rFonts w:ascii="Arial" w:hAnsi="Arial" w:cs="Arial"/>
                <w:sz w:val="22"/>
                <w:szCs w:val="22"/>
                <w:lang w:val="pt-BR"/>
              </w:rPr>
              <w:t>Indigenous</w:t>
            </w:r>
            <w:proofErr w:type="spellEnd"/>
            <w:r w:rsidRPr="001166AB">
              <w:rPr>
                <w:rFonts w:ascii="Arial" w:hAnsi="Arial" w:cs="Arial"/>
                <w:sz w:val="22"/>
                <w:szCs w:val="22"/>
                <w:lang w:val="pt-BR"/>
              </w:rPr>
              <w:t xml:space="preserve"> </w:t>
            </w:r>
            <w:proofErr w:type="spellStart"/>
            <w:r w:rsidRPr="001166AB">
              <w:rPr>
                <w:rFonts w:ascii="Arial" w:hAnsi="Arial" w:cs="Arial"/>
                <w:sz w:val="22"/>
                <w:szCs w:val="22"/>
                <w:lang w:val="pt-BR"/>
              </w:rPr>
              <w:t>Research</w:t>
            </w:r>
            <w:proofErr w:type="spellEnd"/>
            <w:r w:rsidRPr="001166AB">
              <w:rPr>
                <w:rFonts w:ascii="Arial" w:hAnsi="Arial" w:cs="Arial"/>
                <w:sz w:val="22"/>
                <w:szCs w:val="22"/>
                <w:lang w:val="pt-BR"/>
              </w:rPr>
              <w:t xml:space="preserve"> and Training </w:t>
            </w:r>
            <w:proofErr w:type="spellStart"/>
            <w:r w:rsidRPr="001166AB">
              <w:rPr>
                <w:rFonts w:ascii="Arial" w:hAnsi="Arial" w:cs="Arial"/>
                <w:sz w:val="22"/>
                <w:szCs w:val="22"/>
                <w:lang w:val="pt-BR"/>
              </w:rPr>
              <w:t>Institute</w:t>
            </w:r>
            <w:proofErr w:type="spellEnd"/>
          </w:p>
        </w:tc>
        <w:tc>
          <w:tcPr>
            <w:tcW w:w="1010" w:type="pct"/>
            <w:shd w:val="clear" w:color="auto" w:fill="DEEAF6" w:themeFill="accent1" w:themeFillTint="33"/>
            <w:vAlign w:val="center"/>
          </w:tcPr>
          <w:p w14:paraId="24480D54" w14:textId="77777777" w:rsidR="00E1151D" w:rsidRPr="003E4F59" w:rsidRDefault="00E1151D" w:rsidP="00E1151D">
            <w:pPr>
              <w:contextualSpacing/>
              <w:jc w:val="center"/>
              <w:rPr>
                <w:sz w:val="20"/>
                <w:szCs w:val="20"/>
              </w:rPr>
            </w:pPr>
            <w:r w:rsidRPr="003E4F59">
              <w:rPr>
                <w:sz w:val="20"/>
              </w:rPr>
              <w:t>巴西</w:t>
            </w:r>
          </w:p>
        </w:tc>
        <w:tc>
          <w:tcPr>
            <w:tcW w:w="842" w:type="pct"/>
            <w:shd w:val="clear" w:color="auto" w:fill="DEEAF6" w:themeFill="accent1" w:themeFillTint="33"/>
            <w:vAlign w:val="center"/>
          </w:tcPr>
          <w:p w14:paraId="7B342169"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NGO-90584</w:t>
            </w:r>
          </w:p>
        </w:tc>
      </w:tr>
      <w:tr w:rsidR="00E1151D" w:rsidRPr="003E4F59" w14:paraId="77875E3D" w14:textId="77777777" w:rsidTr="00E24630">
        <w:trPr>
          <w:cantSplit/>
          <w:trHeight w:val="576"/>
        </w:trPr>
        <w:tc>
          <w:tcPr>
            <w:tcW w:w="3148" w:type="pct"/>
            <w:vAlign w:val="center"/>
          </w:tcPr>
          <w:p w14:paraId="0D0E5BEB" w14:textId="601282DC" w:rsidR="00E1151D" w:rsidRPr="001166AB" w:rsidRDefault="00E1151D" w:rsidP="00E1151D">
            <w:pPr>
              <w:contextualSpacing/>
              <w:rPr>
                <w:rFonts w:ascii="Arial" w:hAnsi="Arial" w:cs="Arial"/>
                <w:b/>
                <w:bCs/>
                <w:sz w:val="22"/>
                <w:szCs w:val="22"/>
                <w:lang w:val="en-US"/>
              </w:rPr>
            </w:pPr>
            <w:proofErr w:type="spellStart"/>
            <w:r w:rsidRPr="001166AB">
              <w:rPr>
                <w:rFonts w:ascii="Arial" w:hAnsi="Arial" w:cs="Arial"/>
                <w:b/>
                <w:bCs/>
                <w:sz w:val="22"/>
                <w:szCs w:val="22"/>
                <w:lang w:val="en-GB"/>
              </w:rPr>
              <w:t>Kadın</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ve</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Demokrasi</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Vakfı</w:t>
            </w:r>
            <w:proofErr w:type="spellEnd"/>
            <w:r w:rsidRPr="001166AB">
              <w:rPr>
                <w:rFonts w:ascii="Arial" w:hAnsi="Arial" w:cs="Arial"/>
                <w:b/>
                <w:bCs/>
                <w:sz w:val="22"/>
                <w:szCs w:val="22"/>
                <w:lang w:val="en-GB"/>
              </w:rPr>
              <w:t xml:space="preserve"> (KADEM)</w:t>
            </w:r>
            <w:r w:rsidRPr="001166AB">
              <w:rPr>
                <w:rFonts w:ascii="Arial" w:hAnsi="Arial" w:cs="Arial"/>
                <w:sz w:val="22"/>
                <w:szCs w:val="22"/>
                <w:lang w:val="en-GB"/>
              </w:rPr>
              <w:br/>
              <w:t>Women and Democracy Foundation (KADEM)</w:t>
            </w:r>
          </w:p>
        </w:tc>
        <w:tc>
          <w:tcPr>
            <w:tcW w:w="1010" w:type="pct"/>
            <w:vAlign w:val="center"/>
          </w:tcPr>
          <w:p w14:paraId="7AE8ECE2" w14:textId="77777777" w:rsidR="00E1151D" w:rsidRPr="003E4F59" w:rsidRDefault="00E1151D" w:rsidP="00E1151D">
            <w:pPr>
              <w:contextualSpacing/>
              <w:jc w:val="center"/>
              <w:rPr>
                <w:sz w:val="20"/>
                <w:szCs w:val="20"/>
              </w:rPr>
            </w:pPr>
            <w:r w:rsidRPr="003E4F59">
              <w:rPr>
                <w:sz w:val="20"/>
              </w:rPr>
              <w:t>土耳其</w:t>
            </w:r>
          </w:p>
        </w:tc>
        <w:tc>
          <w:tcPr>
            <w:tcW w:w="842" w:type="pct"/>
            <w:vAlign w:val="center"/>
          </w:tcPr>
          <w:p w14:paraId="54D481E0"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NGO-90557</w:t>
            </w:r>
          </w:p>
        </w:tc>
      </w:tr>
      <w:tr w:rsidR="00E1151D" w:rsidRPr="003E4F59" w14:paraId="0AEBBB17" w14:textId="77777777" w:rsidTr="00E24630">
        <w:trPr>
          <w:cantSplit/>
          <w:trHeight w:val="576"/>
        </w:trPr>
        <w:tc>
          <w:tcPr>
            <w:tcW w:w="3148" w:type="pct"/>
            <w:shd w:val="clear" w:color="auto" w:fill="DEEAF6" w:themeFill="accent1" w:themeFillTint="33"/>
            <w:vAlign w:val="center"/>
          </w:tcPr>
          <w:p w14:paraId="1F3751A2" w14:textId="0DEB9C17"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Kulturno</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Umjetničko</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Društvo</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Puračić</w:t>
            </w:r>
            <w:proofErr w:type="spellEnd"/>
            <w:r w:rsidRPr="001166AB">
              <w:rPr>
                <w:rFonts w:ascii="Arial" w:hAnsi="Arial" w:cs="Arial"/>
                <w:b/>
                <w:bCs/>
                <w:sz w:val="22"/>
                <w:szCs w:val="22"/>
                <w:lang w:val="en-GB"/>
              </w:rPr>
              <w:t>’</w:t>
            </w:r>
            <w:r w:rsidRPr="001166AB">
              <w:rPr>
                <w:rFonts w:ascii="Arial" w:hAnsi="Arial" w:cs="Arial"/>
                <w:sz w:val="22"/>
                <w:szCs w:val="22"/>
                <w:lang w:val="en-GB"/>
              </w:rPr>
              <w:br/>
              <w:t>Cultural Artistic Association ‘</w:t>
            </w:r>
            <w:proofErr w:type="spellStart"/>
            <w:r w:rsidRPr="001166AB">
              <w:rPr>
                <w:rFonts w:ascii="Arial" w:hAnsi="Arial" w:cs="Arial"/>
                <w:sz w:val="22"/>
                <w:szCs w:val="22"/>
                <w:lang w:val="en-GB"/>
              </w:rPr>
              <w:t>Puračić</w:t>
            </w:r>
            <w:proofErr w:type="spellEnd"/>
            <w:r w:rsidR="0087467F">
              <w:rPr>
                <w:rFonts w:ascii="Arial" w:hAnsi="Arial" w:cs="Arial"/>
                <w:sz w:val="22"/>
                <w:szCs w:val="22"/>
                <w:lang w:val="en-GB"/>
              </w:rPr>
              <w:t>’</w:t>
            </w:r>
            <w:r w:rsidRPr="001166AB">
              <w:rPr>
                <w:rFonts w:ascii="Arial" w:hAnsi="Arial" w:cs="Arial"/>
                <w:sz w:val="22"/>
                <w:szCs w:val="22"/>
                <w:lang w:val="en-GB"/>
              </w:rPr>
              <w:t> </w:t>
            </w:r>
          </w:p>
        </w:tc>
        <w:tc>
          <w:tcPr>
            <w:tcW w:w="1010" w:type="pct"/>
            <w:shd w:val="clear" w:color="auto" w:fill="DEEAF6" w:themeFill="accent1" w:themeFillTint="33"/>
            <w:vAlign w:val="center"/>
          </w:tcPr>
          <w:p w14:paraId="284376EA" w14:textId="77777777" w:rsidR="00E1151D" w:rsidRPr="003E4F59" w:rsidRDefault="00E1151D" w:rsidP="00E1151D">
            <w:pPr>
              <w:contextualSpacing/>
              <w:jc w:val="center"/>
              <w:rPr>
                <w:sz w:val="20"/>
                <w:szCs w:val="20"/>
              </w:rPr>
            </w:pPr>
            <w:r w:rsidRPr="003E4F59">
              <w:rPr>
                <w:sz w:val="20"/>
              </w:rPr>
              <w:t>波斯尼亚和黑塞哥维那</w:t>
            </w:r>
          </w:p>
        </w:tc>
        <w:tc>
          <w:tcPr>
            <w:tcW w:w="842" w:type="pct"/>
            <w:shd w:val="clear" w:color="auto" w:fill="DEEAF6" w:themeFill="accent1" w:themeFillTint="33"/>
            <w:vAlign w:val="center"/>
          </w:tcPr>
          <w:p w14:paraId="3F35B84A"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NGO-90541</w:t>
            </w:r>
          </w:p>
        </w:tc>
      </w:tr>
      <w:tr w:rsidR="00E1151D" w:rsidRPr="003E4F59" w14:paraId="7DDC7FB9" w14:textId="77777777" w:rsidTr="00E24630">
        <w:trPr>
          <w:cantSplit/>
          <w:trHeight w:val="576"/>
        </w:trPr>
        <w:tc>
          <w:tcPr>
            <w:tcW w:w="3148" w:type="pct"/>
            <w:vAlign w:val="center"/>
          </w:tcPr>
          <w:p w14:paraId="10750A6B" w14:textId="52EA95BF"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L’Œuvre</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d’Orient</w:t>
            </w:r>
            <w:proofErr w:type="spellEnd"/>
          </w:p>
        </w:tc>
        <w:tc>
          <w:tcPr>
            <w:tcW w:w="1010" w:type="pct"/>
            <w:vAlign w:val="center"/>
          </w:tcPr>
          <w:p w14:paraId="751D7306" w14:textId="77777777" w:rsidR="00E1151D" w:rsidRPr="003E4F59" w:rsidRDefault="00E1151D" w:rsidP="00E1151D">
            <w:pPr>
              <w:contextualSpacing/>
              <w:jc w:val="center"/>
              <w:rPr>
                <w:sz w:val="20"/>
                <w:szCs w:val="20"/>
              </w:rPr>
            </w:pPr>
            <w:r w:rsidRPr="003E4F59">
              <w:rPr>
                <w:sz w:val="20"/>
              </w:rPr>
              <w:t>法国</w:t>
            </w:r>
          </w:p>
        </w:tc>
        <w:tc>
          <w:tcPr>
            <w:tcW w:w="842" w:type="pct"/>
            <w:vAlign w:val="center"/>
          </w:tcPr>
          <w:p w14:paraId="05D2AA50"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NGO-90548</w:t>
            </w:r>
          </w:p>
        </w:tc>
      </w:tr>
      <w:tr w:rsidR="00E1151D" w:rsidRPr="003E4F59" w14:paraId="04C43C17" w14:textId="77777777" w:rsidTr="00E24630">
        <w:trPr>
          <w:cantSplit/>
          <w:trHeight w:val="576"/>
        </w:trPr>
        <w:tc>
          <w:tcPr>
            <w:tcW w:w="3148" w:type="pct"/>
            <w:shd w:val="clear" w:color="auto" w:fill="DEEAF6" w:themeFill="accent1" w:themeFillTint="33"/>
            <w:vAlign w:val="center"/>
          </w:tcPr>
          <w:p w14:paraId="0F1CD30C" w14:textId="1549C062"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rPr>
              <w:t>Office pour le Patrimoine Immatériel - OPCI-</w:t>
            </w:r>
            <w:proofErr w:type="spellStart"/>
            <w:r w:rsidRPr="001166AB">
              <w:rPr>
                <w:rFonts w:ascii="Arial" w:hAnsi="Arial" w:cs="Arial"/>
                <w:b/>
                <w:bCs/>
                <w:sz w:val="22"/>
                <w:szCs w:val="22"/>
              </w:rPr>
              <w:t>Ethnodoc</w:t>
            </w:r>
            <w:proofErr w:type="spellEnd"/>
          </w:p>
        </w:tc>
        <w:tc>
          <w:tcPr>
            <w:tcW w:w="1010" w:type="pct"/>
            <w:shd w:val="clear" w:color="auto" w:fill="DEEAF6" w:themeFill="accent1" w:themeFillTint="33"/>
            <w:vAlign w:val="center"/>
          </w:tcPr>
          <w:p w14:paraId="5FD92A21" w14:textId="77777777" w:rsidR="00E1151D" w:rsidRPr="003E4F59" w:rsidRDefault="00E1151D" w:rsidP="00E1151D">
            <w:pPr>
              <w:contextualSpacing/>
              <w:jc w:val="center"/>
              <w:rPr>
                <w:sz w:val="20"/>
                <w:szCs w:val="20"/>
              </w:rPr>
            </w:pPr>
            <w:r w:rsidRPr="003E4F59">
              <w:rPr>
                <w:sz w:val="20"/>
              </w:rPr>
              <w:t>法国</w:t>
            </w:r>
          </w:p>
        </w:tc>
        <w:tc>
          <w:tcPr>
            <w:tcW w:w="842" w:type="pct"/>
            <w:shd w:val="clear" w:color="auto" w:fill="DEEAF6" w:themeFill="accent1" w:themeFillTint="33"/>
            <w:vAlign w:val="center"/>
          </w:tcPr>
          <w:p w14:paraId="29322BBA"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NGO-90536</w:t>
            </w:r>
          </w:p>
        </w:tc>
      </w:tr>
      <w:tr w:rsidR="00E1151D" w:rsidRPr="003E4F59" w14:paraId="545799CF" w14:textId="77777777" w:rsidTr="00E24630">
        <w:trPr>
          <w:cantSplit/>
          <w:trHeight w:val="576"/>
        </w:trPr>
        <w:tc>
          <w:tcPr>
            <w:tcW w:w="3148" w:type="pct"/>
            <w:vAlign w:val="center"/>
          </w:tcPr>
          <w:p w14:paraId="7741F6B3" w14:textId="72225C7B" w:rsidR="00E1151D" w:rsidRPr="001166AB" w:rsidRDefault="00E1151D" w:rsidP="00E1151D">
            <w:pPr>
              <w:contextualSpacing/>
              <w:rPr>
                <w:rFonts w:ascii="Arial" w:hAnsi="Arial" w:cs="Arial"/>
                <w:b/>
                <w:bCs/>
                <w:sz w:val="22"/>
                <w:szCs w:val="22"/>
                <w:lang w:val="pt-PT"/>
              </w:rPr>
            </w:pPr>
            <w:r w:rsidRPr="001166AB">
              <w:rPr>
                <w:rFonts w:ascii="Arial" w:hAnsi="Arial" w:cs="Arial"/>
                <w:b/>
                <w:bCs/>
                <w:sz w:val="22"/>
                <w:szCs w:val="22"/>
                <w:lang w:val="pt-BR"/>
              </w:rPr>
              <w:t>Operação Amazônia Nativa (OPAN)</w:t>
            </w:r>
            <w:r w:rsidRPr="001166AB">
              <w:rPr>
                <w:rFonts w:ascii="Arial" w:hAnsi="Arial" w:cs="Arial"/>
                <w:sz w:val="22"/>
                <w:szCs w:val="22"/>
                <w:lang w:val="pt-BR"/>
              </w:rPr>
              <w:br/>
            </w:r>
            <w:proofErr w:type="spellStart"/>
            <w:r w:rsidRPr="001166AB">
              <w:rPr>
                <w:rFonts w:ascii="Arial" w:hAnsi="Arial" w:cs="Arial"/>
                <w:sz w:val="22"/>
                <w:szCs w:val="22"/>
                <w:lang w:val="pt-BR"/>
              </w:rPr>
              <w:t>Operation</w:t>
            </w:r>
            <w:proofErr w:type="spellEnd"/>
            <w:r w:rsidRPr="001166AB">
              <w:rPr>
                <w:rFonts w:ascii="Arial" w:hAnsi="Arial" w:cs="Arial"/>
                <w:sz w:val="22"/>
                <w:szCs w:val="22"/>
                <w:lang w:val="pt-BR"/>
              </w:rPr>
              <w:t xml:space="preserve"> </w:t>
            </w:r>
            <w:proofErr w:type="spellStart"/>
            <w:r w:rsidRPr="001166AB">
              <w:rPr>
                <w:rFonts w:ascii="Arial" w:hAnsi="Arial" w:cs="Arial"/>
                <w:sz w:val="22"/>
                <w:szCs w:val="22"/>
                <w:lang w:val="pt-BR"/>
              </w:rPr>
              <w:t>Amazon</w:t>
            </w:r>
            <w:proofErr w:type="spellEnd"/>
            <w:r w:rsidRPr="001166AB">
              <w:rPr>
                <w:rFonts w:ascii="Arial" w:hAnsi="Arial" w:cs="Arial"/>
                <w:sz w:val="22"/>
                <w:szCs w:val="22"/>
                <w:lang w:val="pt-BR"/>
              </w:rPr>
              <w:t xml:space="preserve"> </w:t>
            </w:r>
            <w:proofErr w:type="spellStart"/>
            <w:r w:rsidRPr="001166AB">
              <w:rPr>
                <w:rFonts w:ascii="Arial" w:hAnsi="Arial" w:cs="Arial"/>
                <w:sz w:val="22"/>
                <w:szCs w:val="22"/>
                <w:lang w:val="pt-BR"/>
              </w:rPr>
              <w:t>Native</w:t>
            </w:r>
            <w:proofErr w:type="spellEnd"/>
            <w:r w:rsidRPr="001166AB">
              <w:rPr>
                <w:rFonts w:ascii="Arial" w:hAnsi="Arial" w:cs="Arial"/>
                <w:sz w:val="22"/>
                <w:szCs w:val="22"/>
                <w:lang w:val="pt-BR"/>
              </w:rPr>
              <w:t xml:space="preserve"> (OPAN)</w:t>
            </w:r>
          </w:p>
        </w:tc>
        <w:tc>
          <w:tcPr>
            <w:tcW w:w="1010" w:type="pct"/>
            <w:vAlign w:val="center"/>
          </w:tcPr>
          <w:p w14:paraId="38A221A5" w14:textId="77777777" w:rsidR="00E1151D" w:rsidRPr="003E4F59" w:rsidRDefault="00E1151D" w:rsidP="00E1151D">
            <w:pPr>
              <w:contextualSpacing/>
              <w:jc w:val="center"/>
              <w:rPr>
                <w:sz w:val="20"/>
                <w:szCs w:val="20"/>
              </w:rPr>
            </w:pPr>
            <w:r w:rsidRPr="003E4F59">
              <w:rPr>
                <w:sz w:val="20"/>
              </w:rPr>
              <w:t>巴西</w:t>
            </w:r>
          </w:p>
        </w:tc>
        <w:tc>
          <w:tcPr>
            <w:tcW w:w="842" w:type="pct"/>
            <w:vAlign w:val="center"/>
          </w:tcPr>
          <w:p w14:paraId="3EF19115"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NGO-90559</w:t>
            </w:r>
          </w:p>
        </w:tc>
      </w:tr>
      <w:tr w:rsidR="00E1151D" w:rsidRPr="003E4F59" w14:paraId="66E7C3C7" w14:textId="77777777" w:rsidTr="00E24630">
        <w:trPr>
          <w:cantSplit/>
          <w:trHeight w:val="615"/>
        </w:trPr>
        <w:tc>
          <w:tcPr>
            <w:tcW w:w="3148" w:type="pct"/>
            <w:shd w:val="clear" w:color="auto" w:fill="DEEAF6" w:themeFill="accent1" w:themeFillTint="33"/>
            <w:vAlign w:val="center"/>
          </w:tcPr>
          <w:p w14:paraId="3CC1A317" w14:textId="3E38CF32" w:rsidR="00E1151D" w:rsidRPr="001166AB" w:rsidRDefault="00E1151D" w:rsidP="00E1151D">
            <w:pPr>
              <w:contextualSpacing/>
              <w:rPr>
                <w:rFonts w:ascii="Arial" w:hAnsi="Arial" w:cs="Arial"/>
                <w:b/>
                <w:bCs/>
                <w:sz w:val="22"/>
                <w:szCs w:val="22"/>
                <w:lang w:val="en-US"/>
              </w:rPr>
            </w:pPr>
            <w:r w:rsidRPr="001166AB">
              <w:rPr>
                <w:rFonts w:ascii="Arial" w:hAnsi="Arial" w:cs="Arial"/>
                <w:b/>
                <w:bCs/>
                <w:sz w:val="22"/>
                <w:szCs w:val="22"/>
                <w:lang w:val="it-IT"/>
              </w:rPr>
              <w:t>O.R.S. Osservatorio Ricerca Sociale. Centro studi, politiche e ricerche sociali - APS</w:t>
            </w:r>
            <w:r w:rsidRPr="001166AB">
              <w:rPr>
                <w:rFonts w:ascii="Arial" w:hAnsi="Arial" w:cs="Arial"/>
                <w:b/>
                <w:bCs/>
                <w:sz w:val="22"/>
                <w:szCs w:val="22"/>
                <w:lang w:val="it-IT"/>
              </w:rPr>
              <w:br/>
            </w:r>
            <w:r w:rsidRPr="001166AB">
              <w:rPr>
                <w:rFonts w:ascii="Arial" w:hAnsi="Arial" w:cs="Arial"/>
                <w:sz w:val="22"/>
                <w:szCs w:val="22"/>
                <w:lang w:val="it-IT"/>
              </w:rPr>
              <w:t xml:space="preserve">O.R.S. Social Research Observatory. </w:t>
            </w:r>
            <w:r w:rsidRPr="001166AB">
              <w:rPr>
                <w:rFonts w:ascii="Arial" w:hAnsi="Arial" w:cs="Arial"/>
                <w:sz w:val="22"/>
                <w:szCs w:val="22"/>
                <w:lang w:val="en-GB"/>
              </w:rPr>
              <w:t xml:space="preserve">Centre studies, policies and social </w:t>
            </w:r>
            <w:proofErr w:type="gramStart"/>
            <w:r w:rsidRPr="001166AB">
              <w:rPr>
                <w:rFonts w:ascii="Arial" w:hAnsi="Arial" w:cs="Arial"/>
                <w:sz w:val="22"/>
                <w:szCs w:val="22"/>
                <w:lang w:val="en-GB"/>
              </w:rPr>
              <w:t>researches</w:t>
            </w:r>
            <w:proofErr w:type="gramEnd"/>
            <w:r w:rsidRPr="001166AB">
              <w:rPr>
                <w:rFonts w:ascii="Arial" w:hAnsi="Arial" w:cs="Arial"/>
                <w:sz w:val="22"/>
                <w:szCs w:val="22"/>
                <w:lang w:val="en-GB"/>
              </w:rPr>
              <w:t xml:space="preserve"> - APS</w:t>
            </w:r>
          </w:p>
        </w:tc>
        <w:tc>
          <w:tcPr>
            <w:tcW w:w="1010" w:type="pct"/>
            <w:shd w:val="clear" w:color="auto" w:fill="DEEAF6" w:themeFill="accent1" w:themeFillTint="33"/>
            <w:vAlign w:val="center"/>
          </w:tcPr>
          <w:p w14:paraId="6B9A7C00" w14:textId="7B57423B" w:rsidR="00E1151D" w:rsidRPr="003E4F59" w:rsidRDefault="00E1151D" w:rsidP="00E1151D">
            <w:pPr>
              <w:contextualSpacing/>
              <w:jc w:val="center"/>
              <w:rPr>
                <w:sz w:val="20"/>
                <w:szCs w:val="20"/>
              </w:rPr>
            </w:pPr>
            <w:r w:rsidRPr="003E4F59">
              <w:rPr>
                <w:sz w:val="20"/>
              </w:rPr>
              <w:t>意大利</w:t>
            </w:r>
          </w:p>
        </w:tc>
        <w:tc>
          <w:tcPr>
            <w:tcW w:w="842" w:type="pct"/>
            <w:shd w:val="clear" w:color="auto" w:fill="DEEAF6" w:themeFill="accent1" w:themeFillTint="33"/>
            <w:vAlign w:val="center"/>
          </w:tcPr>
          <w:p w14:paraId="2093F341" w14:textId="5D94BC34"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NGO-90539</w:t>
            </w:r>
          </w:p>
        </w:tc>
      </w:tr>
      <w:tr w:rsidR="00E1151D" w:rsidRPr="003E4F59" w14:paraId="5ADAE9C9" w14:textId="77777777" w:rsidTr="00E24630">
        <w:trPr>
          <w:cantSplit/>
          <w:trHeight w:val="615"/>
        </w:trPr>
        <w:tc>
          <w:tcPr>
            <w:tcW w:w="3148" w:type="pct"/>
            <w:shd w:val="clear" w:color="auto" w:fill="auto"/>
            <w:vAlign w:val="center"/>
          </w:tcPr>
          <w:p w14:paraId="3FB48978" w14:textId="32C358FA" w:rsidR="00E1151D" w:rsidRPr="001166AB" w:rsidRDefault="00E1151D" w:rsidP="00E1151D">
            <w:pPr>
              <w:contextualSpacing/>
              <w:rPr>
                <w:rFonts w:ascii="Arial" w:hAnsi="Arial" w:cs="Arial"/>
                <w:b/>
                <w:bCs/>
                <w:sz w:val="22"/>
                <w:szCs w:val="22"/>
                <w:lang w:val="en-US"/>
              </w:rPr>
            </w:pPr>
            <w:r w:rsidRPr="001166AB">
              <w:rPr>
                <w:rFonts w:ascii="Arial" w:hAnsi="Arial" w:cs="Arial"/>
                <w:b/>
                <w:bCs/>
                <w:sz w:val="22"/>
                <w:szCs w:val="22"/>
                <w:lang w:val="en-GB"/>
              </w:rPr>
              <w:t>International Bobbin and Needle Lace Organisation</w:t>
            </w:r>
          </w:p>
        </w:tc>
        <w:tc>
          <w:tcPr>
            <w:tcW w:w="1010" w:type="pct"/>
            <w:shd w:val="clear" w:color="auto" w:fill="auto"/>
            <w:vAlign w:val="center"/>
          </w:tcPr>
          <w:p w14:paraId="0C0A9052" w14:textId="77777777" w:rsidR="00E1151D" w:rsidRPr="003E4F59" w:rsidRDefault="00E1151D" w:rsidP="00E1151D">
            <w:pPr>
              <w:contextualSpacing/>
              <w:jc w:val="center"/>
              <w:rPr>
                <w:sz w:val="20"/>
                <w:szCs w:val="20"/>
              </w:rPr>
            </w:pPr>
            <w:r w:rsidRPr="003E4F59">
              <w:rPr>
                <w:sz w:val="20"/>
              </w:rPr>
              <w:t>法国</w:t>
            </w:r>
          </w:p>
        </w:tc>
        <w:tc>
          <w:tcPr>
            <w:tcW w:w="842" w:type="pct"/>
            <w:shd w:val="clear" w:color="auto" w:fill="auto"/>
            <w:vAlign w:val="center"/>
          </w:tcPr>
          <w:p w14:paraId="0C4F5775"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NGO-90585</w:t>
            </w:r>
          </w:p>
        </w:tc>
      </w:tr>
      <w:tr w:rsidR="00E1151D" w:rsidRPr="003E4F59" w14:paraId="3E0FF83C" w14:textId="77777777" w:rsidTr="00E24630">
        <w:trPr>
          <w:cantSplit/>
          <w:trHeight w:val="576"/>
        </w:trPr>
        <w:tc>
          <w:tcPr>
            <w:tcW w:w="3148" w:type="pct"/>
            <w:shd w:val="clear" w:color="auto" w:fill="DEEAF6" w:themeFill="accent1" w:themeFillTint="33"/>
            <w:vAlign w:val="center"/>
          </w:tcPr>
          <w:p w14:paraId="1B47AC66" w14:textId="2D580794"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Pearl Rhythm Foundation</w:t>
            </w:r>
          </w:p>
        </w:tc>
        <w:tc>
          <w:tcPr>
            <w:tcW w:w="1010" w:type="pct"/>
            <w:shd w:val="clear" w:color="auto" w:fill="DEEAF6" w:themeFill="accent1" w:themeFillTint="33"/>
            <w:vAlign w:val="center"/>
          </w:tcPr>
          <w:p w14:paraId="27AD7982" w14:textId="77777777" w:rsidR="00E1151D" w:rsidRPr="003E4F59" w:rsidRDefault="00E1151D" w:rsidP="00E1151D">
            <w:pPr>
              <w:contextualSpacing/>
              <w:jc w:val="center"/>
              <w:rPr>
                <w:sz w:val="20"/>
                <w:szCs w:val="20"/>
              </w:rPr>
            </w:pPr>
            <w:r w:rsidRPr="003E4F59">
              <w:rPr>
                <w:sz w:val="20"/>
              </w:rPr>
              <w:t>乌干达</w:t>
            </w:r>
          </w:p>
        </w:tc>
        <w:tc>
          <w:tcPr>
            <w:tcW w:w="842" w:type="pct"/>
            <w:shd w:val="clear" w:color="auto" w:fill="DEEAF6" w:themeFill="accent1" w:themeFillTint="33"/>
            <w:vAlign w:val="center"/>
          </w:tcPr>
          <w:p w14:paraId="451B2966"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NGO-90578</w:t>
            </w:r>
          </w:p>
        </w:tc>
      </w:tr>
      <w:tr w:rsidR="00E1151D" w:rsidRPr="003E4F59" w14:paraId="7F28D08F" w14:textId="77777777" w:rsidTr="00E24630">
        <w:trPr>
          <w:cantSplit/>
          <w:trHeight w:val="576"/>
        </w:trPr>
        <w:tc>
          <w:tcPr>
            <w:tcW w:w="3148" w:type="pct"/>
            <w:shd w:val="clear" w:color="auto" w:fill="auto"/>
            <w:vAlign w:val="center"/>
          </w:tcPr>
          <w:p w14:paraId="7A3E7555" w14:textId="77777777" w:rsidR="00E1151D" w:rsidRPr="001166AB" w:rsidRDefault="00E1151D" w:rsidP="00E1151D">
            <w:pPr>
              <w:contextualSpacing/>
              <w:rPr>
                <w:rFonts w:ascii="Arial" w:hAnsi="Arial" w:cs="Arial"/>
                <w:b/>
                <w:bCs/>
                <w:sz w:val="22"/>
                <w:szCs w:val="22"/>
                <w:lang w:val="es-ES"/>
              </w:rPr>
            </w:pPr>
            <w:proofErr w:type="spellStart"/>
            <w:r w:rsidRPr="001166AB">
              <w:rPr>
                <w:rFonts w:ascii="Arial" w:hAnsi="Arial" w:cs="Arial"/>
                <w:b/>
                <w:bCs/>
                <w:sz w:val="22"/>
                <w:szCs w:val="22"/>
                <w:lang w:val="es-ES"/>
              </w:rPr>
              <w:t>Persatuan</w:t>
            </w:r>
            <w:proofErr w:type="spellEnd"/>
            <w:r w:rsidRPr="001166AB">
              <w:rPr>
                <w:rFonts w:ascii="Arial" w:hAnsi="Arial" w:cs="Arial"/>
                <w:b/>
                <w:bCs/>
                <w:sz w:val="22"/>
                <w:szCs w:val="22"/>
                <w:lang w:val="es-ES"/>
              </w:rPr>
              <w:t xml:space="preserve"> </w:t>
            </w:r>
            <w:proofErr w:type="spellStart"/>
            <w:r w:rsidRPr="001166AB">
              <w:rPr>
                <w:rFonts w:ascii="Arial" w:hAnsi="Arial" w:cs="Arial"/>
                <w:b/>
                <w:bCs/>
                <w:sz w:val="22"/>
                <w:szCs w:val="22"/>
                <w:lang w:val="es-ES"/>
              </w:rPr>
              <w:t>Penulis</w:t>
            </w:r>
            <w:proofErr w:type="spellEnd"/>
            <w:r w:rsidRPr="001166AB">
              <w:rPr>
                <w:rFonts w:ascii="Arial" w:hAnsi="Arial" w:cs="Arial"/>
                <w:b/>
                <w:bCs/>
                <w:sz w:val="22"/>
                <w:szCs w:val="22"/>
                <w:lang w:val="es-ES"/>
              </w:rPr>
              <w:t xml:space="preserve"> </w:t>
            </w:r>
            <w:proofErr w:type="spellStart"/>
            <w:r w:rsidRPr="001166AB">
              <w:rPr>
                <w:rFonts w:ascii="Arial" w:hAnsi="Arial" w:cs="Arial"/>
                <w:b/>
                <w:bCs/>
                <w:sz w:val="22"/>
                <w:szCs w:val="22"/>
                <w:lang w:val="es-ES"/>
              </w:rPr>
              <w:t>Nasional</w:t>
            </w:r>
            <w:proofErr w:type="spellEnd"/>
            <w:r w:rsidRPr="001166AB">
              <w:rPr>
                <w:rFonts w:ascii="Arial" w:hAnsi="Arial" w:cs="Arial"/>
                <w:b/>
                <w:bCs/>
                <w:sz w:val="22"/>
                <w:szCs w:val="22"/>
                <w:lang w:val="es-ES"/>
              </w:rPr>
              <w:t xml:space="preserve"> Malaysia (PENA) </w:t>
            </w:r>
          </w:p>
          <w:p w14:paraId="3B9D5D87" w14:textId="49282907" w:rsidR="00E1151D" w:rsidRPr="001166AB" w:rsidRDefault="00E1151D" w:rsidP="00E1151D">
            <w:pPr>
              <w:contextualSpacing/>
              <w:rPr>
                <w:rFonts w:ascii="Arial" w:hAnsi="Arial" w:cs="Arial"/>
                <w:sz w:val="22"/>
                <w:szCs w:val="22"/>
              </w:rPr>
            </w:pPr>
            <w:r w:rsidRPr="001166AB">
              <w:rPr>
                <w:rFonts w:ascii="Arial" w:hAnsi="Arial" w:cs="Arial"/>
                <w:sz w:val="22"/>
                <w:szCs w:val="22"/>
                <w:lang w:val="en-GB"/>
              </w:rPr>
              <w:t>Malaysian National Writers Association (PENA)</w:t>
            </w:r>
          </w:p>
        </w:tc>
        <w:tc>
          <w:tcPr>
            <w:tcW w:w="1010" w:type="pct"/>
            <w:shd w:val="clear" w:color="auto" w:fill="auto"/>
            <w:vAlign w:val="center"/>
          </w:tcPr>
          <w:p w14:paraId="1F19D0B2" w14:textId="77777777" w:rsidR="00E1151D" w:rsidRPr="003E4F59" w:rsidRDefault="00E1151D" w:rsidP="00E1151D">
            <w:pPr>
              <w:contextualSpacing/>
              <w:jc w:val="center"/>
              <w:rPr>
                <w:sz w:val="20"/>
                <w:szCs w:val="20"/>
              </w:rPr>
            </w:pPr>
            <w:r w:rsidRPr="003E4F59">
              <w:rPr>
                <w:sz w:val="20"/>
              </w:rPr>
              <w:t>马来西亚</w:t>
            </w:r>
          </w:p>
        </w:tc>
        <w:tc>
          <w:tcPr>
            <w:tcW w:w="842" w:type="pct"/>
            <w:shd w:val="clear" w:color="auto" w:fill="auto"/>
            <w:vAlign w:val="center"/>
          </w:tcPr>
          <w:p w14:paraId="3C680F89" w14:textId="77777777" w:rsidR="00E1151D" w:rsidRPr="001166AB" w:rsidRDefault="00E1151D" w:rsidP="00E1151D">
            <w:pPr>
              <w:pStyle w:val="Titre9"/>
              <w:jc w:val="center"/>
              <w:rPr>
                <w:rFonts w:ascii="Arial" w:hAnsi="Arial" w:cs="Arial"/>
                <w:i w:val="0"/>
                <w:iCs w:val="0"/>
                <w:sz w:val="22"/>
                <w:szCs w:val="22"/>
              </w:rPr>
            </w:pPr>
            <w:r w:rsidRPr="001166AB">
              <w:rPr>
                <w:rFonts w:ascii="Arial" w:hAnsi="Arial" w:cs="Arial"/>
                <w:i w:val="0"/>
                <w:sz w:val="22"/>
                <w:szCs w:val="22"/>
              </w:rPr>
              <w:t>NGO-90587</w:t>
            </w:r>
          </w:p>
        </w:tc>
      </w:tr>
      <w:tr w:rsidR="00E1151D" w:rsidRPr="003E4F59" w14:paraId="79C73821" w14:textId="77777777" w:rsidTr="00E24630">
        <w:trPr>
          <w:cantSplit/>
          <w:trHeight w:val="576"/>
        </w:trPr>
        <w:tc>
          <w:tcPr>
            <w:tcW w:w="3148" w:type="pct"/>
            <w:shd w:val="clear" w:color="auto" w:fill="DEEAF6" w:themeFill="accent1" w:themeFillTint="33"/>
            <w:vAlign w:val="center"/>
          </w:tcPr>
          <w:p w14:paraId="5BD5FD53" w14:textId="2BA950D4" w:rsidR="00E1151D" w:rsidRPr="001166AB" w:rsidRDefault="00E1151D" w:rsidP="00E1151D">
            <w:pPr>
              <w:contextualSpacing/>
              <w:rPr>
                <w:rFonts w:ascii="Arial" w:hAnsi="Arial" w:cs="Arial"/>
                <w:sz w:val="22"/>
                <w:szCs w:val="22"/>
                <w:lang w:val="en-US"/>
              </w:rPr>
            </w:pPr>
            <w:proofErr w:type="spellStart"/>
            <w:r w:rsidRPr="001166AB">
              <w:rPr>
                <w:rFonts w:ascii="Arial" w:hAnsi="Arial" w:cs="Arial"/>
                <w:b/>
                <w:bCs/>
                <w:sz w:val="22"/>
                <w:szCs w:val="22"/>
                <w:lang w:val="en-US"/>
              </w:rPr>
              <w:t>Pertubuhan</w:t>
            </w:r>
            <w:proofErr w:type="spellEnd"/>
            <w:r w:rsidRPr="001166AB">
              <w:rPr>
                <w:rFonts w:ascii="Arial" w:hAnsi="Arial" w:cs="Arial"/>
                <w:b/>
                <w:bCs/>
                <w:sz w:val="22"/>
                <w:szCs w:val="22"/>
                <w:lang w:val="en-US"/>
              </w:rPr>
              <w:t xml:space="preserve"> Kraft Malaysia (</w:t>
            </w:r>
            <w:proofErr w:type="spellStart"/>
            <w:r w:rsidRPr="001166AB">
              <w:rPr>
                <w:rFonts w:ascii="Arial" w:hAnsi="Arial" w:cs="Arial"/>
                <w:b/>
                <w:bCs/>
                <w:sz w:val="22"/>
                <w:szCs w:val="22"/>
                <w:lang w:val="en-US"/>
              </w:rPr>
              <w:t>Dikenali</w:t>
            </w:r>
            <w:proofErr w:type="spellEnd"/>
            <w:r w:rsidRPr="001166AB">
              <w:rPr>
                <w:rFonts w:ascii="Arial" w:hAnsi="Arial" w:cs="Arial"/>
                <w:b/>
                <w:bCs/>
                <w:sz w:val="22"/>
                <w:szCs w:val="22"/>
                <w:lang w:val="en-US"/>
              </w:rPr>
              <w:t xml:space="preserve"> </w:t>
            </w:r>
            <w:proofErr w:type="spellStart"/>
            <w:r w:rsidRPr="001166AB">
              <w:rPr>
                <w:rFonts w:ascii="Arial" w:hAnsi="Arial" w:cs="Arial"/>
                <w:b/>
                <w:bCs/>
                <w:sz w:val="22"/>
                <w:szCs w:val="22"/>
                <w:lang w:val="en-US"/>
              </w:rPr>
              <w:t>Sebagai</w:t>
            </w:r>
            <w:proofErr w:type="spellEnd"/>
            <w:r w:rsidRPr="001166AB">
              <w:rPr>
                <w:rFonts w:ascii="Arial" w:hAnsi="Arial" w:cs="Arial"/>
                <w:b/>
                <w:bCs/>
                <w:sz w:val="22"/>
                <w:szCs w:val="22"/>
                <w:lang w:val="en-US"/>
              </w:rPr>
              <w:t xml:space="preserve"> Malaysian Craft Council)</w:t>
            </w:r>
            <w:r w:rsidRPr="001166AB">
              <w:rPr>
                <w:rFonts w:ascii="Arial" w:hAnsi="Arial" w:cs="Arial"/>
                <w:sz w:val="22"/>
                <w:szCs w:val="22"/>
                <w:lang w:val="en-US"/>
              </w:rPr>
              <w:br/>
              <w:t>Malaysian Craft Council</w:t>
            </w:r>
          </w:p>
        </w:tc>
        <w:tc>
          <w:tcPr>
            <w:tcW w:w="1010" w:type="pct"/>
            <w:shd w:val="clear" w:color="auto" w:fill="DEEAF6" w:themeFill="accent1" w:themeFillTint="33"/>
            <w:vAlign w:val="center"/>
          </w:tcPr>
          <w:p w14:paraId="3B645143" w14:textId="77777777" w:rsidR="00E1151D" w:rsidRPr="003E4F59" w:rsidRDefault="00E1151D" w:rsidP="00E1151D">
            <w:pPr>
              <w:contextualSpacing/>
              <w:jc w:val="center"/>
              <w:rPr>
                <w:sz w:val="20"/>
                <w:szCs w:val="20"/>
              </w:rPr>
            </w:pPr>
            <w:r w:rsidRPr="003E4F59">
              <w:rPr>
                <w:sz w:val="20"/>
              </w:rPr>
              <w:t>马来西亚</w:t>
            </w:r>
          </w:p>
        </w:tc>
        <w:tc>
          <w:tcPr>
            <w:tcW w:w="842" w:type="pct"/>
            <w:shd w:val="clear" w:color="auto" w:fill="DEEAF6" w:themeFill="accent1" w:themeFillTint="33"/>
            <w:vAlign w:val="center"/>
          </w:tcPr>
          <w:p w14:paraId="128E57B3"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NGO-90531</w:t>
            </w:r>
          </w:p>
        </w:tc>
      </w:tr>
      <w:tr w:rsidR="00E1151D" w:rsidRPr="003E4F59" w14:paraId="04BFA174" w14:textId="77777777" w:rsidTr="00E24630">
        <w:trPr>
          <w:cantSplit/>
          <w:trHeight w:val="576"/>
        </w:trPr>
        <w:tc>
          <w:tcPr>
            <w:tcW w:w="3148" w:type="pct"/>
            <w:shd w:val="clear" w:color="auto" w:fill="auto"/>
            <w:vAlign w:val="center"/>
          </w:tcPr>
          <w:p w14:paraId="6AC13C7A" w14:textId="1055AA90" w:rsidR="00E1151D" w:rsidRPr="001166AB" w:rsidRDefault="00E1151D" w:rsidP="00E1151D">
            <w:pPr>
              <w:contextualSpacing/>
              <w:rPr>
                <w:rFonts w:ascii="Arial" w:hAnsi="Arial" w:cs="Arial"/>
                <w:sz w:val="22"/>
                <w:szCs w:val="22"/>
                <w:lang w:val="en-US"/>
              </w:rPr>
            </w:pPr>
            <w:r w:rsidRPr="001166AB">
              <w:rPr>
                <w:rFonts w:ascii="Arial" w:hAnsi="Arial" w:cs="Arial"/>
                <w:b/>
                <w:bCs/>
                <w:sz w:val="22"/>
                <w:szCs w:val="22"/>
                <w:lang w:val="en-US"/>
              </w:rPr>
              <w:t xml:space="preserve">Pusat </w:t>
            </w:r>
            <w:proofErr w:type="spellStart"/>
            <w:r w:rsidRPr="001166AB">
              <w:rPr>
                <w:rFonts w:ascii="Arial" w:hAnsi="Arial" w:cs="Arial"/>
                <w:b/>
                <w:bCs/>
                <w:sz w:val="22"/>
                <w:szCs w:val="22"/>
                <w:lang w:val="en-US"/>
              </w:rPr>
              <w:t>Budaya</w:t>
            </w:r>
            <w:proofErr w:type="spellEnd"/>
            <w:r w:rsidRPr="001166AB">
              <w:rPr>
                <w:rFonts w:ascii="Arial" w:hAnsi="Arial" w:cs="Arial"/>
                <w:b/>
                <w:bCs/>
                <w:sz w:val="22"/>
                <w:szCs w:val="22"/>
                <w:lang w:val="en-US"/>
              </w:rPr>
              <w:t xml:space="preserve"> Pusaka SDN. BHD</w:t>
            </w:r>
            <w:r w:rsidRPr="001166AB">
              <w:rPr>
                <w:rFonts w:ascii="Arial" w:hAnsi="Arial" w:cs="Arial"/>
                <w:sz w:val="22"/>
                <w:szCs w:val="22"/>
                <w:lang w:val="en-US"/>
              </w:rPr>
              <w:br/>
              <w:t>PUSAKA</w:t>
            </w:r>
          </w:p>
        </w:tc>
        <w:tc>
          <w:tcPr>
            <w:tcW w:w="1010" w:type="pct"/>
            <w:shd w:val="clear" w:color="auto" w:fill="auto"/>
            <w:vAlign w:val="center"/>
          </w:tcPr>
          <w:p w14:paraId="123A0324" w14:textId="77777777" w:rsidR="00E1151D" w:rsidRPr="003E4F59" w:rsidRDefault="00E1151D" w:rsidP="00E1151D">
            <w:pPr>
              <w:contextualSpacing/>
              <w:jc w:val="center"/>
              <w:rPr>
                <w:sz w:val="20"/>
                <w:szCs w:val="20"/>
              </w:rPr>
            </w:pPr>
            <w:r w:rsidRPr="003E4F59">
              <w:rPr>
                <w:sz w:val="20"/>
              </w:rPr>
              <w:t>马来西亚</w:t>
            </w:r>
          </w:p>
        </w:tc>
        <w:tc>
          <w:tcPr>
            <w:tcW w:w="842" w:type="pct"/>
            <w:shd w:val="clear" w:color="auto" w:fill="auto"/>
            <w:vAlign w:val="center"/>
          </w:tcPr>
          <w:p w14:paraId="5697485B" w14:textId="77777777" w:rsidR="00E1151D" w:rsidRPr="001166AB" w:rsidRDefault="00E1151D" w:rsidP="00E1151D">
            <w:pPr>
              <w:pStyle w:val="Titre7"/>
              <w:jc w:val="center"/>
              <w:rPr>
                <w:rFonts w:ascii="Arial" w:hAnsi="Arial" w:cs="Arial"/>
                <w:i w:val="0"/>
                <w:iCs w:val="0"/>
                <w:color w:val="auto"/>
                <w:sz w:val="22"/>
                <w:szCs w:val="22"/>
              </w:rPr>
            </w:pPr>
            <w:r w:rsidRPr="001166AB">
              <w:rPr>
                <w:rFonts w:ascii="Arial" w:hAnsi="Arial" w:cs="Arial"/>
                <w:i w:val="0"/>
                <w:color w:val="auto"/>
                <w:sz w:val="22"/>
                <w:szCs w:val="22"/>
              </w:rPr>
              <w:t>NGO-90532</w:t>
            </w:r>
          </w:p>
        </w:tc>
      </w:tr>
      <w:tr w:rsidR="00E1151D" w:rsidRPr="003E4F59" w14:paraId="0AFBC580" w14:textId="77777777" w:rsidTr="00E24630">
        <w:trPr>
          <w:cantSplit/>
          <w:trHeight w:val="576"/>
        </w:trPr>
        <w:tc>
          <w:tcPr>
            <w:tcW w:w="3148" w:type="pct"/>
            <w:shd w:val="clear" w:color="auto" w:fill="DEEAF6" w:themeFill="accent1" w:themeFillTint="33"/>
            <w:vAlign w:val="center"/>
          </w:tcPr>
          <w:p w14:paraId="46A1A32D" w14:textId="7720C2B4" w:rsidR="00E1151D" w:rsidRPr="001166AB" w:rsidRDefault="00E1151D" w:rsidP="00E1151D">
            <w:pPr>
              <w:contextualSpacing/>
              <w:rPr>
                <w:rFonts w:ascii="Arial" w:hAnsi="Arial" w:cs="Arial"/>
                <w:b/>
                <w:bCs/>
                <w:sz w:val="22"/>
                <w:szCs w:val="22"/>
                <w:lang w:val="en-US"/>
              </w:rPr>
            </w:pPr>
            <w:r w:rsidRPr="001166AB">
              <w:rPr>
                <w:rFonts w:ascii="Arial" w:hAnsi="Arial" w:cs="Arial"/>
                <w:b/>
                <w:bCs/>
                <w:sz w:val="22"/>
                <w:szCs w:val="22"/>
                <w:lang w:val="en-GB"/>
              </w:rPr>
              <w:t>International Repertory of Music Literature</w:t>
            </w:r>
          </w:p>
        </w:tc>
        <w:tc>
          <w:tcPr>
            <w:tcW w:w="1010" w:type="pct"/>
            <w:shd w:val="clear" w:color="auto" w:fill="DEEAF6" w:themeFill="accent1" w:themeFillTint="33"/>
            <w:vAlign w:val="center"/>
          </w:tcPr>
          <w:p w14:paraId="41FDCC7D" w14:textId="77777777" w:rsidR="00E1151D" w:rsidRPr="003E4F59" w:rsidRDefault="00E1151D" w:rsidP="00E1151D">
            <w:pPr>
              <w:contextualSpacing/>
              <w:jc w:val="center"/>
              <w:rPr>
                <w:sz w:val="20"/>
                <w:szCs w:val="20"/>
              </w:rPr>
            </w:pPr>
            <w:r w:rsidRPr="003E4F59">
              <w:rPr>
                <w:sz w:val="20"/>
              </w:rPr>
              <w:t>美国</w:t>
            </w:r>
          </w:p>
        </w:tc>
        <w:tc>
          <w:tcPr>
            <w:tcW w:w="842" w:type="pct"/>
            <w:shd w:val="clear" w:color="auto" w:fill="DEEAF6" w:themeFill="accent1" w:themeFillTint="33"/>
            <w:vAlign w:val="center"/>
          </w:tcPr>
          <w:p w14:paraId="409ABAC4"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NGO-90527</w:t>
            </w:r>
          </w:p>
        </w:tc>
      </w:tr>
      <w:tr w:rsidR="00E1151D" w:rsidRPr="003E4F59" w14:paraId="6AFB1E3E" w14:textId="77777777" w:rsidTr="00E24630">
        <w:trPr>
          <w:cantSplit/>
          <w:trHeight w:val="480"/>
        </w:trPr>
        <w:tc>
          <w:tcPr>
            <w:tcW w:w="3148" w:type="pct"/>
            <w:shd w:val="clear" w:color="auto" w:fill="auto"/>
            <w:vAlign w:val="center"/>
          </w:tcPr>
          <w:p w14:paraId="77D4803C" w14:textId="5D2FA45C"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Society of Native Nations</w:t>
            </w:r>
          </w:p>
        </w:tc>
        <w:tc>
          <w:tcPr>
            <w:tcW w:w="1010" w:type="pct"/>
            <w:shd w:val="clear" w:color="auto" w:fill="auto"/>
            <w:vAlign w:val="center"/>
          </w:tcPr>
          <w:p w14:paraId="2E487B9A" w14:textId="77777777" w:rsidR="00E1151D" w:rsidRPr="003E4F59" w:rsidRDefault="00E1151D" w:rsidP="00E1151D">
            <w:pPr>
              <w:contextualSpacing/>
              <w:jc w:val="center"/>
              <w:rPr>
                <w:sz w:val="20"/>
                <w:szCs w:val="20"/>
              </w:rPr>
            </w:pPr>
            <w:r w:rsidRPr="003E4F59">
              <w:rPr>
                <w:sz w:val="20"/>
              </w:rPr>
              <w:t>美国</w:t>
            </w:r>
          </w:p>
        </w:tc>
        <w:tc>
          <w:tcPr>
            <w:tcW w:w="842" w:type="pct"/>
            <w:shd w:val="clear" w:color="auto" w:fill="auto"/>
            <w:vAlign w:val="center"/>
          </w:tcPr>
          <w:p w14:paraId="2DBA9BE3"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NGO-90596</w:t>
            </w:r>
          </w:p>
        </w:tc>
      </w:tr>
      <w:tr w:rsidR="00E1151D" w:rsidRPr="003E4F59" w14:paraId="615BFE19" w14:textId="77777777" w:rsidTr="00E24630">
        <w:trPr>
          <w:cantSplit/>
          <w:trHeight w:val="576"/>
        </w:trPr>
        <w:tc>
          <w:tcPr>
            <w:tcW w:w="3148" w:type="pct"/>
            <w:shd w:val="clear" w:color="auto" w:fill="DEEAF6" w:themeFill="accent1" w:themeFillTint="33"/>
            <w:vAlign w:val="center"/>
          </w:tcPr>
          <w:p w14:paraId="3EC41501" w14:textId="1F2C0091" w:rsidR="00E1151D" w:rsidRPr="001166AB" w:rsidRDefault="00E1151D" w:rsidP="00E1151D">
            <w:pPr>
              <w:contextualSpacing/>
              <w:rPr>
                <w:rFonts w:ascii="Arial" w:hAnsi="Arial" w:cs="Arial"/>
                <w:b/>
                <w:bCs/>
                <w:sz w:val="22"/>
                <w:szCs w:val="22"/>
                <w:lang w:val="es-ES"/>
              </w:rPr>
            </w:pPr>
            <w:r w:rsidRPr="001166AB">
              <w:rPr>
                <w:rFonts w:ascii="Arial" w:hAnsi="Arial" w:cs="Arial"/>
                <w:b/>
                <w:bCs/>
                <w:sz w:val="22"/>
                <w:szCs w:val="22"/>
                <w:lang w:val="es-ES"/>
              </w:rPr>
              <w:t xml:space="preserve">Sri </w:t>
            </w:r>
            <w:proofErr w:type="spellStart"/>
            <w:r w:rsidRPr="001166AB">
              <w:rPr>
                <w:rFonts w:ascii="Arial" w:hAnsi="Arial" w:cs="Arial"/>
                <w:b/>
                <w:bCs/>
                <w:sz w:val="22"/>
                <w:szCs w:val="22"/>
                <w:lang w:val="es-ES"/>
              </w:rPr>
              <w:t>Idagunji</w:t>
            </w:r>
            <w:proofErr w:type="spellEnd"/>
            <w:r w:rsidRPr="001166AB">
              <w:rPr>
                <w:rFonts w:ascii="Arial" w:hAnsi="Arial" w:cs="Arial"/>
                <w:b/>
                <w:bCs/>
                <w:sz w:val="22"/>
                <w:szCs w:val="22"/>
                <w:lang w:val="es-ES"/>
              </w:rPr>
              <w:t xml:space="preserve"> </w:t>
            </w:r>
            <w:proofErr w:type="spellStart"/>
            <w:r w:rsidRPr="001166AB">
              <w:rPr>
                <w:rFonts w:ascii="Arial" w:hAnsi="Arial" w:cs="Arial"/>
                <w:b/>
                <w:bCs/>
                <w:sz w:val="22"/>
                <w:szCs w:val="22"/>
                <w:lang w:val="es-ES"/>
              </w:rPr>
              <w:t>Mahaganapati</w:t>
            </w:r>
            <w:proofErr w:type="spellEnd"/>
            <w:r w:rsidRPr="001166AB">
              <w:rPr>
                <w:rFonts w:ascii="Arial" w:hAnsi="Arial" w:cs="Arial"/>
                <w:b/>
                <w:bCs/>
                <w:sz w:val="22"/>
                <w:szCs w:val="22"/>
                <w:lang w:val="es-ES"/>
              </w:rPr>
              <w:t xml:space="preserve"> </w:t>
            </w:r>
            <w:proofErr w:type="spellStart"/>
            <w:r w:rsidRPr="001166AB">
              <w:rPr>
                <w:rFonts w:ascii="Arial" w:hAnsi="Arial" w:cs="Arial"/>
                <w:b/>
                <w:bCs/>
                <w:sz w:val="22"/>
                <w:szCs w:val="22"/>
                <w:lang w:val="es-ES"/>
              </w:rPr>
              <w:t>Yakshagana</w:t>
            </w:r>
            <w:proofErr w:type="spellEnd"/>
            <w:r w:rsidRPr="001166AB">
              <w:rPr>
                <w:rFonts w:ascii="Arial" w:hAnsi="Arial" w:cs="Arial"/>
                <w:b/>
                <w:bCs/>
                <w:sz w:val="22"/>
                <w:szCs w:val="22"/>
                <w:lang w:val="es-ES"/>
              </w:rPr>
              <w:t xml:space="preserve"> </w:t>
            </w:r>
            <w:proofErr w:type="spellStart"/>
            <w:r w:rsidRPr="001166AB">
              <w:rPr>
                <w:rFonts w:ascii="Arial" w:hAnsi="Arial" w:cs="Arial"/>
                <w:b/>
                <w:bCs/>
                <w:sz w:val="22"/>
                <w:szCs w:val="22"/>
                <w:lang w:val="es-ES"/>
              </w:rPr>
              <w:t>Mandali</w:t>
            </w:r>
            <w:proofErr w:type="spellEnd"/>
            <w:r w:rsidRPr="001166AB">
              <w:rPr>
                <w:rFonts w:ascii="Arial" w:hAnsi="Arial" w:cs="Arial"/>
                <w:b/>
                <w:bCs/>
                <w:sz w:val="22"/>
                <w:szCs w:val="22"/>
                <w:lang w:val="es-ES"/>
              </w:rPr>
              <w:t xml:space="preserve">, </w:t>
            </w:r>
            <w:proofErr w:type="spellStart"/>
            <w:r w:rsidRPr="001166AB">
              <w:rPr>
                <w:rFonts w:ascii="Arial" w:hAnsi="Arial" w:cs="Arial"/>
                <w:b/>
                <w:bCs/>
                <w:sz w:val="22"/>
                <w:szCs w:val="22"/>
                <w:lang w:val="es-ES"/>
              </w:rPr>
              <w:t>Keremane</w:t>
            </w:r>
            <w:proofErr w:type="spellEnd"/>
            <w:r w:rsidRPr="001166AB">
              <w:rPr>
                <w:rFonts w:ascii="Arial" w:hAnsi="Arial" w:cs="Arial"/>
                <w:b/>
                <w:bCs/>
                <w:sz w:val="22"/>
                <w:szCs w:val="22"/>
                <w:lang w:val="es-ES"/>
              </w:rPr>
              <w:t xml:space="preserve"> ®</w:t>
            </w:r>
          </w:p>
        </w:tc>
        <w:tc>
          <w:tcPr>
            <w:tcW w:w="1010" w:type="pct"/>
            <w:shd w:val="clear" w:color="auto" w:fill="DEEAF6" w:themeFill="accent1" w:themeFillTint="33"/>
            <w:vAlign w:val="center"/>
          </w:tcPr>
          <w:p w14:paraId="0366912C" w14:textId="77777777" w:rsidR="00E1151D" w:rsidRPr="003E4F59" w:rsidRDefault="00E1151D" w:rsidP="00E1151D">
            <w:pPr>
              <w:contextualSpacing/>
              <w:jc w:val="center"/>
              <w:rPr>
                <w:sz w:val="20"/>
                <w:szCs w:val="20"/>
              </w:rPr>
            </w:pPr>
            <w:r w:rsidRPr="003E4F59">
              <w:rPr>
                <w:sz w:val="20"/>
              </w:rPr>
              <w:t>印度</w:t>
            </w:r>
          </w:p>
        </w:tc>
        <w:tc>
          <w:tcPr>
            <w:tcW w:w="842" w:type="pct"/>
            <w:shd w:val="clear" w:color="auto" w:fill="DEEAF6" w:themeFill="accent1" w:themeFillTint="33"/>
            <w:vAlign w:val="center"/>
          </w:tcPr>
          <w:p w14:paraId="10DBF53E"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NGO-90568</w:t>
            </w:r>
          </w:p>
        </w:tc>
      </w:tr>
      <w:tr w:rsidR="00E1151D" w:rsidRPr="003E4F59" w14:paraId="307E6545" w14:textId="77777777" w:rsidTr="00E24630">
        <w:trPr>
          <w:cantSplit/>
          <w:trHeight w:val="576"/>
        </w:trPr>
        <w:tc>
          <w:tcPr>
            <w:tcW w:w="3148" w:type="pct"/>
            <w:shd w:val="clear" w:color="auto" w:fill="auto"/>
            <w:vAlign w:val="center"/>
          </w:tcPr>
          <w:p w14:paraId="212FF63A" w14:textId="0CD88D47" w:rsidR="00E1151D" w:rsidRPr="001166AB" w:rsidRDefault="00E1151D" w:rsidP="00E1151D">
            <w:pPr>
              <w:contextualSpacing/>
              <w:rPr>
                <w:rFonts w:ascii="Arial" w:hAnsi="Arial" w:cs="Arial"/>
                <w:b/>
                <w:bCs/>
                <w:sz w:val="22"/>
                <w:szCs w:val="22"/>
                <w:lang w:val="en-US"/>
              </w:rPr>
            </w:pPr>
            <w:r w:rsidRPr="001166AB">
              <w:rPr>
                <w:rFonts w:ascii="Arial" w:hAnsi="Arial" w:cs="Arial"/>
                <w:b/>
                <w:bCs/>
                <w:sz w:val="22"/>
                <w:szCs w:val="22"/>
                <w:lang w:val="en-US"/>
              </w:rPr>
              <w:t xml:space="preserve">Svenska </w:t>
            </w:r>
            <w:proofErr w:type="spellStart"/>
            <w:r w:rsidRPr="001166AB">
              <w:rPr>
                <w:rFonts w:ascii="Arial" w:hAnsi="Arial" w:cs="Arial"/>
                <w:b/>
                <w:bCs/>
                <w:sz w:val="22"/>
                <w:szCs w:val="22"/>
                <w:lang w:val="en-US"/>
              </w:rPr>
              <w:t>Hemslöjdsöreningarnas</w:t>
            </w:r>
            <w:proofErr w:type="spellEnd"/>
            <w:r w:rsidRPr="001166AB">
              <w:rPr>
                <w:rFonts w:ascii="Arial" w:hAnsi="Arial" w:cs="Arial"/>
                <w:b/>
                <w:bCs/>
                <w:sz w:val="22"/>
                <w:szCs w:val="22"/>
                <w:lang w:val="en-US"/>
              </w:rPr>
              <w:t xml:space="preserve"> </w:t>
            </w:r>
            <w:proofErr w:type="spellStart"/>
            <w:r w:rsidRPr="001166AB">
              <w:rPr>
                <w:rFonts w:ascii="Arial" w:hAnsi="Arial" w:cs="Arial"/>
                <w:b/>
                <w:bCs/>
                <w:sz w:val="22"/>
                <w:szCs w:val="22"/>
                <w:lang w:val="en-US"/>
              </w:rPr>
              <w:t>Riksförbund</w:t>
            </w:r>
            <w:proofErr w:type="spellEnd"/>
            <w:r w:rsidRPr="001166AB">
              <w:rPr>
                <w:rFonts w:ascii="Arial" w:hAnsi="Arial" w:cs="Arial"/>
                <w:sz w:val="22"/>
                <w:szCs w:val="22"/>
                <w:lang w:val="en-US"/>
              </w:rPr>
              <w:br/>
              <w:t>National Association of Swedish Handicraft Societies</w:t>
            </w:r>
          </w:p>
        </w:tc>
        <w:tc>
          <w:tcPr>
            <w:tcW w:w="1010" w:type="pct"/>
            <w:shd w:val="clear" w:color="auto" w:fill="auto"/>
            <w:vAlign w:val="center"/>
          </w:tcPr>
          <w:p w14:paraId="4805CD30" w14:textId="77777777" w:rsidR="00E1151D" w:rsidRPr="003E4F59" w:rsidRDefault="00E1151D" w:rsidP="00E1151D">
            <w:pPr>
              <w:contextualSpacing/>
              <w:jc w:val="center"/>
              <w:rPr>
                <w:sz w:val="20"/>
                <w:szCs w:val="20"/>
              </w:rPr>
            </w:pPr>
            <w:r w:rsidRPr="003E4F59">
              <w:rPr>
                <w:sz w:val="20"/>
              </w:rPr>
              <w:t>瑞典</w:t>
            </w:r>
          </w:p>
        </w:tc>
        <w:tc>
          <w:tcPr>
            <w:tcW w:w="842" w:type="pct"/>
            <w:shd w:val="clear" w:color="auto" w:fill="auto"/>
            <w:vAlign w:val="center"/>
          </w:tcPr>
          <w:p w14:paraId="219D742B"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NGO-90544</w:t>
            </w:r>
          </w:p>
        </w:tc>
      </w:tr>
      <w:tr w:rsidR="00E1151D" w:rsidRPr="003E4F59" w14:paraId="4AB63DB8" w14:textId="77777777" w:rsidTr="00E24630">
        <w:trPr>
          <w:cantSplit/>
          <w:trHeight w:val="576"/>
        </w:trPr>
        <w:tc>
          <w:tcPr>
            <w:tcW w:w="3148" w:type="pct"/>
            <w:shd w:val="clear" w:color="auto" w:fill="DEEAF6" w:themeFill="accent1" w:themeFillTint="33"/>
            <w:vAlign w:val="center"/>
          </w:tcPr>
          <w:p w14:paraId="7BFFE520" w14:textId="128A3984"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lang w:val="en-GB"/>
              </w:rPr>
              <w:t>Dragon Dance</w:t>
            </w:r>
          </w:p>
        </w:tc>
        <w:tc>
          <w:tcPr>
            <w:tcW w:w="1010" w:type="pct"/>
            <w:shd w:val="clear" w:color="auto" w:fill="DEEAF6" w:themeFill="accent1" w:themeFillTint="33"/>
            <w:vAlign w:val="center"/>
          </w:tcPr>
          <w:p w14:paraId="2305ED65" w14:textId="77777777" w:rsidR="00E1151D" w:rsidRPr="003E4F59" w:rsidRDefault="00E1151D" w:rsidP="00E1151D">
            <w:pPr>
              <w:contextualSpacing/>
              <w:jc w:val="center"/>
              <w:rPr>
                <w:sz w:val="20"/>
                <w:szCs w:val="20"/>
              </w:rPr>
            </w:pPr>
            <w:r w:rsidRPr="003E4F59">
              <w:rPr>
                <w:sz w:val="20"/>
              </w:rPr>
              <w:t>加拿大</w:t>
            </w:r>
          </w:p>
        </w:tc>
        <w:tc>
          <w:tcPr>
            <w:tcW w:w="842" w:type="pct"/>
            <w:shd w:val="clear" w:color="auto" w:fill="DEEAF6" w:themeFill="accent1" w:themeFillTint="33"/>
            <w:vAlign w:val="center"/>
          </w:tcPr>
          <w:p w14:paraId="3570FD68"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NGO-90549</w:t>
            </w:r>
          </w:p>
        </w:tc>
      </w:tr>
      <w:tr w:rsidR="00E1151D" w:rsidRPr="003E4F59" w14:paraId="7CAC9C09" w14:textId="77777777" w:rsidTr="00E24630">
        <w:trPr>
          <w:cantSplit/>
          <w:trHeight w:val="576"/>
        </w:trPr>
        <w:tc>
          <w:tcPr>
            <w:tcW w:w="3148" w:type="pct"/>
            <w:shd w:val="clear" w:color="auto" w:fill="auto"/>
            <w:vAlign w:val="center"/>
          </w:tcPr>
          <w:p w14:paraId="4C6AABDC" w14:textId="6D6B13BB" w:rsidR="00E1151D" w:rsidRPr="001166AB" w:rsidRDefault="00E1151D" w:rsidP="00E1151D">
            <w:pPr>
              <w:contextualSpacing/>
              <w:rPr>
                <w:rFonts w:ascii="Arial" w:hAnsi="Arial" w:cs="Arial"/>
                <w:b/>
                <w:bCs/>
                <w:sz w:val="22"/>
                <w:szCs w:val="22"/>
                <w:lang w:val="en-US"/>
              </w:rPr>
            </w:pPr>
            <w:r w:rsidRPr="001166AB">
              <w:rPr>
                <w:rFonts w:ascii="Arial" w:hAnsi="Arial" w:cs="Arial"/>
                <w:b/>
                <w:bCs/>
                <w:sz w:val="22"/>
                <w:szCs w:val="22"/>
                <w:lang w:val="en-GB"/>
              </w:rPr>
              <w:lastRenderedPageBreak/>
              <w:t>Traditional Arts and Culture Scotland (TRACS)</w:t>
            </w:r>
          </w:p>
        </w:tc>
        <w:tc>
          <w:tcPr>
            <w:tcW w:w="1010" w:type="pct"/>
            <w:shd w:val="clear" w:color="auto" w:fill="auto"/>
            <w:vAlign w:val="center"/>
          </w:tcPr>
          <w:p w14:paraId="335005F7" w14:textId="77777777" w:rsidR="00E1151D" w:rsidRPr="003E4F59" w:rsidRDefault="00E1151D" w:rsidP="00E1151D">
            <w:pPr>
              <w:contextualSpacing/>
              <w:jc w:val="center"/>
              <w:rPr>
                <w:sz w:val="20"/>
                <w:szCs w:val="20"/>
              </w:rPr>
            </w:pPr>
            <w:r w:rsidRPr="003E4F59">
              <w:rPr>
                <w:sz w:val="20"/>
              </w:rPr>
              <w:t>大不列颠及北爱尔兰联合王国</w:t>
            </w:r>
          </w:p>
        </w:tc>
        <w:tc>
          <w:tcPr>
            <w:tcW w:w="842" w:type="pct"/>
            <w:shd w:val="clear" w:color="auto" w:fill="auto"/>
            <w:vAlign w:val="center"/>
          </w:tcPr>
          <w:p w14:paraId="2001B5EA"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NGO-90561</w:t>
            </w:r>
          </w:p>
        </w:tc>
      </w:tr>
      <w:tr w:rsidR="00E1151D" w:rsidRPr="003E4F59" w14:paraId="19C5D0E5" w14:textId="77777777" w:rsidTr="00E24630">
        <w:trPr>
          <w:cantSplit/>
          <w:trHeight w:val="576"/>
        </w:trPr>
        <w:tc>
          <w:tcPr>
            <w:tcW w:w="3148" w:type="pct"/>
            <w:shd w:val="clear" w:color="auto" w:fill="DEEAF6" w:themeFill="accent1" w:themeFillTint="33"/>
            <w:vAlign w:val="center"/>
          </w:tcPr>
          <w:p w14:paraId="04EAF0CC" w14:textId="2E449F85"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Türkischer</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Klassischer</w:t>
            </w:r>
            <w:proofErr w:type="spellEnd"/>
            <w:r w:rsidRPr="001166AB">
              <w:rPr>
                <w:rFonts w:ascii="Arial" w:hAnsi="Arial" w:cs="Arial"/>
                <w:b/>
                <w:bCs/>
                <w:sz w:val="22"/>
                <w:szCs w:val="22"/>
                <w:lang w:val="en-GB"/>
              </w:rPr>
              <w:t xml:space="preserve"> Choir Association</w:t>
            </w:r>
            <w:r w:rsidRPr="001166AB">
              <w:rPr>
                <w:rFonts w:ascii="Arial" w:hAnsi="Arial" w:cs="Arial"/>
                <w:b/>
                <w:bCs/>
                <w:sz w:val="22"/>
                <w:szCs w:val="22"/>
                <w:lang w:val="en-GB"/>
              </w:rPr>
              <w:br/>
            </w:r>
            <w:r w:rsidRPr="001166AB">
              <w:rPr>
                <w:rFonts w:ascii="Arial" w:hAnsi="Arial" w:cs="Arial"/>
                <w:sz w:val="22"/>
                <w:szCs w:val="22"/>
                <w:lang w:val="en-GB"/>
              </w:rPr>
              <w:t>Zurich Turkish Classical Choir Association</w:t>
            </w:r>
          </w:p>
        </w:tc>
        <w:tc>
          <w:tcPr>
            <w:tcW w:w="1010" w:type="pct"/>
            <w:shd w:val="clear" w:color="auto" w:fill="DEEAF6" w:themeFill="accent1" w:themeFillTint="33"/>
            <w:vAlign w:val="center"/>
          </w:tcPr>
          <w:p w14:paraId="44246866" w14:textId="77777777" w:rsidR="00E1151D" w:rsidRPr="003E4F59" w:rsidRDefault="00E1151D" w:rsidP="00E1151D">
            <w:pPr>
              <w:contextualSpacing/>
              <w:jc w:val="center"/>
              <w:rPr>
                <w:sz w:val="20"/>
                <w:szCs w:val="20"/>
              </w:rPr>
            </w:pPr>
            <w:r w:rsidRPr="003E4F59">
              <w:rPr>
                <w:sz w:val="20"/>
              </w:rPr>
              <w:t>瑞士</w:t>
            </w:r>
          </w:p>
        </w:tc>
        <w:tc>
          <w:tcPr>
            <w:tcW w:w="842" w:type="pct"/>
            <w:shd w:val="clear" w:color="auto" w:fill="DEEAF6" w:themeFill="accent1" w:themeFillTint="33"/>
            <w:vAlign w:val="center"/>
          </w:tcPr>
          <w:p w14:paraId="43C5E3ED"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NGO-90560</w:t>
            </w:r>
          </w:p>
        </w:tc>
      </w:tr>
      <w:tr w:rsidR="00E1151D" w:rsidRPr="003E4F59" w14:paraId="739648DB" w14:textId="77777777" w:rsidTr="00E24630">
        <w:trPr>
          <w:cantSplit/>
          <w:trHeight w:val="576"/>
        </w:trPr>
        <w:tc>
          <w:tcPr>
            <w:tcW w:w="3148" w:type="pct"/>
            <w:shd w:val="clear" w:color="auto" w:fill="auto"/>
            <w:vAlign w:val="center"/>
          </w:tcPr>
          <w:p w14:paraId="54EB93D8" w14:textId="7259AA6A"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rPr>
              <w:t>Uluslararasi</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rPr>
              <w:t>Mevlana</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rPr>
              <w:t>Vakfi</w:t>
            </w:r>
            <w:proofErr w:type="spellEnd"/>
            <w:r w:rsidRPr="001166AB">
              <w:rPr>
                <w:rFonts w:ascii="Arial" w:hAnsi="Arial" w:cs="Arial"/>
                <w:b/>
                <w:bCs/>
                <w:sz w:val="22"/>
                <w:szCs w:val="22"/>
              </w:rPr>
              <w:br/>
            </w:r>
            <w:r w:rsidRPr="001166AB">
              <w:rPr>
                <w:rFonts w:ascii="Arial" w:hAnsi="Arial" w:cs="Arial"/>
                <w:sz w:val="22"/>
                <w:szCs w:val="22"/>
              </w:rPr>
              <w:t xml:space="preserve">International </w:t>
            </w:r>
            <w:proofErr w:type="spellStart"/>
            <w:r w:rsidRPr="001166AB">
              <w:rPr>
                <w:rFonts w:ascii="Arial" w:hAnsi="Arial" w:cs="Arial"/>
                <w:sz w:val="22"/>
                <w:szCs w:val="22"/>
              </w:rPr>
              <w:t>Mevlana</w:t>
            </w:r>
            <w:proofErr w:type="spellEnd"/>
            <w:r w:rsidRPr="001166AB">
              <w:rPr>
                <w:rFonts w:ascii="Arial" w:hAnsi="Arial" w:cs="Arial"/>
                <w:sz w:val="22"/>
                <w:szCs w:val="22"/>
              </w:rPr>
              <w:t xml:space="preserve"> </w:t>
            </w:r>
            <w:proofErr w:type="spellStart"/>
            <w:r w:rsidRPr="001166AB">
              <w:rPr>
                <w:rFonts w:ascii="Arial" w:hAnsi="Arial" w:cs="Arial"/>
                <w:sz w:val="22"/>
                <w:szCs w:val="22"/>
              </w:rPr>
              <w:t>Foundation</w:t>
            </w:r>
            <w:proofErr w:type="spellEnd"/>
          </w:p>
        </w:tc>
        <w:tc>
          <w:tcPr>
            <w:tcW w:w="1010" w:type="pct"/>
            <w:shd w:val="clear" w:color="auto" w:fill="auto"/>
            <w:vAlign w:val="center"/>
          </w:tcPr>
          <w:p w14:paraId="6C939737" w14:textId="77777777" w:rsidR="00E1151D" w:rsidRPr="003E4F59" w:rsidRDefault="00E1151D" w:rsidP="00E1151D">
            <w:pPr>
              <w:contextualSpacing/>
              <w:jc w:val="center"/>
              <w:rPr>
                <w:sz w:val="20"/>
                <w:szCs w:val="20"/>
              </w:rPr>
            </w:pPr>
            <w:r w:rsidRPr="003E4F59">
              <w:rPr>
                <w:sz w:val="20"/>
              </w:rPr>
              <w:t>土耳其</w:t>
            </w:r>
          </w:p>
        </w:tc>
        <w:tc>
          <w:tcPr>
            <w:tcW w:w="842" w:type="pct"/>
            <w:shd w:val="clear" w:color="auto" w:fill="auto"/>
            <w:vAlign w:val="center"/>
          </w:tcPr>
          <w:p w14:paraId="751CF956"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NGO-90547</w:t>
            </w:r>
          </w:p>
        </w:tc>
      </w:tr>
      <w:tr w:rsidR="00E1151D" w:rsidRPr="003E4F59" w14:paraId="01CC1F1D" w14:textId="77777777" w:rsidTr="00E24630">
        <w:trPr>
          <w:cantSplit/>
          <w:trHeight w:val="576"/>
        </w:trPr>
        <w:tc>
          <w:tcPr>
            <w:tcW w:w="3148" w:type="pct"/>
            <w:shd w:val="clear" w:color="auto" w:fill="DEEAF6" w:themeFill="accent1" w:themeFillTint="33"/>
            <w:vAlign w:val="center"/>
          </w:tcPr>
          <w:p w14:paraId="6775FA0F" w14:textId="0F2ECB09" w:rsidR="00E1151D" w:rsidRPr="001166AB" w:rsidRDefault="00E1151D" w:rsidP="00E1151D">
            <w:pPr>
              <w:contextualSpacing/>
              <w:rPr>
                <w:rFonts w:ascii="Arial" w:hAnsi="Arial" w:cs="Arial"/>
                <w:b/>
                <w:bCs/>
                <w:sz w:val="22"/>
                <w:szCs w:val="22"/>
                <w:lang w:val="es-ES"/>
              </w:rPr>
            </w:pPr>
            <w:r w:rsidRPr="001166AB">
              <w:rPr>
                <w:rFonts w:ascii="Arial" w:hAnsi="Arial" w:cs="Arial"/>
                <w:b/>
                <w:bCs/>
                <w:sz w:val="22"/>
                <w:szCs w:val="22"/>
                <w:lang w:val="es-ES"/>
              </w:rPr>
              <w:t>UN ETXEA- Asociación del País Vasco para la UNESCO</w:t>
            </w:r>
            <w:r w:rsidRPr="001166AB">
              <w:rPr>
                <w:rFonts w:ascii="Arial" w:hAnsi="Arial" w:cs="Arial"/>
                <w:b/>
                <w:bCs/>
                <w:sz w:val="22"/>
                <w:szCs w:val="22"/>
                <w:lang w:val="es-ES"/>
              </w:rPr>
              <w:br/>
            </w:r>
            <w:r w:rsidRPr="001166AB">
              <w:rPr>
                <w:rFonts w:ascii="Arial" w:hAnsi="Arial" w:cs="Arial"/>
                <w:sz w:val="22"/>
                <w:szCs w:val="22"/>
                <w:lang w:val="es-ES"/>
              </w:rPr>
              <w:t xml:space="preserve">UN ETXEA- </w:t>
            </w:r>
            <w:proofErr w:type="spellStart"/>
            <w:r w:rsidRPr="001166AB">
              <w:rPr>
                <w:rFonts w:ascii="Arial" w:hAnsi="Arial" w:cs="Arial"/>
                <w:sz w:val="22"/>
                <w:szCs w:val="22"/>
                <w:lang w:val="es-ES"/>
              </w:rPr>
              <w:t>Basque</w:t>
            </w:r>
            <w:proofErr w:type="spellEnd"/>
            <w:r w:rsidRPr="001166AB">
              <w:rPr>
                <w:rFonts w:ascii="Arial" w:hAnsi="Arial" w:cs="Arial"/>
                <w:sz w:val="22"/>
                <w:szCs w:val="22"/>
                <w:lang w:val="es-ES"/>
              </w:rPr>
              <w:t xml:space="preserve"> Country Association for UNESCO</w:t>
            </w:r>
          </w:p>
        </w:tc>
        <w:tc>
          <w:tcPr>
            <w:tcW w:w="1010" w:type="pct"/>
            <w:shd w:val="clear" w:color="auto" w:fill="DEEAF6" w:themeFill="accent1" w:themeFillTint="33"/>
            <w:vAlign w:val="center"/>
          </w:tcPr>
          <w:p w14:paraId="3406FF12" w14:textId="77777777" w:rsidR="00E1151D" w:rsidRPr="003E4F59" w:rsidRDefault="00E1151D" w:rsidP="00E1151D">
            <w:pPr>
              <w:contextualSpacing/>
              <w:jc w:val="center"/>
              <w:rPr>
                <w:sz w:val="20"/>
                <w:szCs w:val="20"/>
              </w:rPr>
            </w:pPr>
            <w:r w:rsidRPr="003E4F59">
              <w:rPr>
                <w:sz w:val="20"/>
              </w:rPr>
              <w:t>西班牙</w:t>
            </w:r>
          </w:p>
        </w:tc>
        <w:tc>
          <w:tcPr>
            <w:tcW w:w="842" w:type="pct"/>
            <w:shd w:val="clear" w:color="auto" w:fill="DEEAF6" w:themeFill="accent1" w:themeFillTint="33"/>
            <w:vAlign w:val="center"/>
          </w:tcPr>
          <w:p w14:paraId="0B74256B"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NGO-90590</w:t>
            </w:r>
          </w:p>
        </w:tc>
      </w:tr>
      <w:tr w:rsidR="00E1151D" w:rsidRPr="003E4F59" w14:paraId="05F6C38D" w14:textId="77777777" w:rsidTr="00E24630">
        <w:trPr>
          <w:cantSplit/>
          <w:trHeight w:val="576"/>
        </w:trPr>
        <w:tc>
          <w:tcPr>
            <w:tcW w:w="3148" w:type="pct"/>
            <w:shd w:val="clear" w:color="auto" w:fill="auto"/>
            <w:vAlign w:val="center"/>
          </w:tcPr>
          <w:p w14:paraId="0ED25994" w14:textId="751D8839"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Vabnagar</w:t>
            </w:r>
            <w:proofErr w:type="spellEnd"/>
            <w:r w:rsidRPr="001166AB">
              <w:rPr>
                <w:rFonts w:ascii="Arial" w:hAnsi="Arial" w:cs="Arial"/>
                <w:b/>
                <w:bCs/>
                <w:sz w:val="22"/>
                <w:szCs w:val="22"/>
                <w:lang w:val="en-GB"/>
              </w:rPr>
              <w:t xml:space="preserve"> Foundation</w:t>
            </w:r>
          </w:p>
        </w:tc>
        <w:tc>
          <w:tcPr>
            <w:tcW w:w="1010" w:type="pct"/>
            <w:shd w:val="clear" w:color="auto" w:fill="auto"/>
            <w:vAlign w:val="center"/>
          </w:tcPr>
          <w:p w14:paraId="36C34588" w14:textId="77777777" w:rsidR="00E1151D" w:rsidRPr="003E4F59" w:rsidRDefault="00E1151D" w:rsidP="00E1151D">
            <w:pPr>
              <w:contextualSpacing/>
              <w:jc w:val="center"/>
              <w:rPr>
                <w:sz w:val="20"/>
                <w:szCs w:val="20"/>
              </w:rPr>
            </w:pPr>
            <w:r w:rsidRPr="003E4F59">
              <w:rPr>
                <w:sz w:val="20"/>
              </w:rPr>
              <w:t>孟加拉国</w:t>
            </w:r>
          </w:p>
        </w:tc>
        <w:tc>
          <w:tcPr>
            <w:tcW w:w="842" w:type="pct"/>
            <w:shd w:val="clear" w:color="auto" w:fill="auto"/>
            <w:vAlign w:val="center"/>
          </w:tcPr>
          <w:p w14:paraId="7C4F36D0"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NGO-90526</w:t>
            </w:r>
          </w:p>
        </w:tc>
      </w:tr>
      <w:tr w:rsidR="00E1151D" w:rsidRPr="003E4F59" w14:paraId="1E571017" w14:textId="77777777" w:rsidTr="00E24630">
        <w:trPr>
          <w:cantSplit/>
          <w:trHeight w:val="576"/>
        </w:trPr>
        <w:tc>
          <w:tcPr>
            <w:tcW w:w="3148" w:type="pct"/>
            <w:shd w:val="clear" w:color="auto" w:fill="DEEAF6" w:themeFill="accent1" w:themeFillTint="33"/>
            <w:vAlign w:val="center"/>
          </w:tcPr>
          <w:p w14:paraId="66B8A09B" w14:textId="5D86ECDB" w:rsidR="00E1151D" w:rsidRPr="001166AB" w:rsidRDefault="00E1151D" w:rsidP="00E1151D">
            <w:pPr>
              <w:contextualSpacing/>
              <w:rPr>
                <w:rFonts w:ascii="Arial" w:hAnsi="Arial" w:cs="Arial"/>
                <w:b/>
                <w:bCs/>
                <w:sz w:val="22"/>
                <w:szCs w:val="22"/>
                <w:lang w:val="en-US"/>
              </w:rPr>
            </w:pPr>
            <w:r w:rsidRPr="001166AB">
              <w:rPr>
                <w:rFonts w:ascii="Arial" w:hAnsi="Arial" w:cs="Arial"/>
                <w:b/>
                <w:bCs/>
                <w:sz w:val="22"/>
                <w:szCs w:val="22"/>
                <w:lang w:val="en-GB"/>
              </w:rPr>
              <w:t xml:space="preserve">World Music </w:t>
            </w:r>
            <w:proofErr w:type="spellStart"/>
            <w:r w:rsidRPr="001166AB">
              <w:rPr>
                <w:rFonts w:ascii="Arial" w:hAnsi="Arial" w:cs="Arial"/>
                <w:b/>
                <w:bCs/>
                <w:sz w:val="22"/>
                <w:szCs w:val="22"/>
                <w:lang w:val="en-GB"/>
              </w:rPr>
              <w:t>асоцијација</w:t>
            </w:r>
            <w:proofErr w:type="spellEnd"/>
            <w:r w:rsidRPr="001166AB">
              <w:rPr>
                <w:rFonts w:ascii="Arial" w:hAnsi="Arial" w:cs="Arial"/>
                <w:b/>
                <w:bCs/>
                <w:sz w:val="22"/>
                <w:szCs w:val="22"/>
                <w:lang w:val="en-GB"/>
              </w:rPr>
              <w:t xml:space="preserve"> </w:t>
            </w:r>
            <w:proofErr w:type="spellStart"/>
            <w:r w:rsidRPr="001166AB">
              <w:rPr>
                <w:rFonts w:ascii="Arial" w:hAnsi="Arial" w:cs="Arial"/>
                <w:b/>
                <w:bCs/>
                <w:sz w:val="22"/>
                <w:szCs w:val="22"/>
                <w:lang w:val="en-GB"/>
              </w:rPr>
              <w:t>Србије</w:t>
            </w:r>
            <w:proofErr w:type="spellEnd"/>
            <w:r w:rsidRPr="001166AB">
              <w:rPr>
                <w:rFonts w:ascii="Arial" w:hAnsi="Arial" w:cs="Arial"/>
                <w:b/>
                <w:bCs/>
                <w:sz w:val="22"/>
                <w:szCs w:val="22"/>
                <w:lang w:val="en-GB"/>
              </w:rPr>
              <w:br/>
            </w:r>
            <w:r w:rsidRPr="001166AB">
              <w:rPr>
                <w:rFonts w:ascii="Arial" w:hAnsi="Arial" w:cs="Arial"/>
                <w:sz w:val="22"/>
                <w:szCs w:val="22"/>
                <w:lang w:val="en-GB"/>
              </w:rPr>
              <w:t>World Music Association of Serbia</w:t>
            </w:r>
          </w:p>
        </w:tc>
        <w:tc>
          <w:tcPr>
            <w:tcW w:w="1010" w:type="pct"/>
            <w:shd w:val="clear" w:color="auto" w:fill="DEEAF6" w:themeFill="accent1" w:themeFillTint="33"/>
            <w:vAlign w:val="center"/>
          </w:tcPr>
          <w:p w14:paraId="53F656D7" w14:textId="77777777" w:rsidR="00E1151D" w:rsidRPr="003E4F59" w:rsidRDefault="00E1151D" w:rsidP="00E1151D">
            <w:pPr>
              <w:contextualSpacing/>
              <w:jc w:val="center"/>
              <w:rPr>
                <w:sz w:val="20"/>
                <w:szCs w:val="20"/>
              </w:rPr>
            </w:pPr>
            <w:r w:rsidRPr="003E4F59">
              <w:rPr>
                <w:sz w:val="20"/>
              </w:rPr>
              <w:t>塞尔维亚</w:t>
            </w:r>
          </w:p>
        </w:tc>
        <w:tc>
          <w:tcPr>
            <w:tcW w:w="842" w:type="pct"/>
            <w:shd w:val="clear" w:color="auto" w:fill="DEEAF6" w:themeFill="accent1" w:themeFillTint="33"/>
            <w:vAlign w:val="center"/>
          </w:tcPr>
          <w:p w14:paraId="2C6E4B9A"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NGO-90530</w:t>
            </w:r>
          </w:p>
        </w:tc>
      </w:tr>
      <w:tr w:rsidR="00E1151D" w:rsidRPr="003E4F59" w14:paraId="63828778" w14:textId="77777777" w:rsidTr="00E24630">
        <w:trPr>
          <w:cantSplit/>
          <w:trHeight w:val="576"/>
        </w:trPr>
        <w:tc>
          <w:tcPr>
            <w:tcW w:w="3148" w:type="pct"/>
            <w:shd w:val="clear" w:color="auto" w:fill="auto"/>
            <w:vAlign w:val="center"/>
          </w:tcPr>
          <w:p w14:paraId="0D10FE3A" w14:textId="645CC1E7" w:rsidR="00E1151D" w:rsidRPr="001166AB" w:rsidRDefault="00E1151D" w:rsidP="00E1151D">
            <w:pPr>
              <w:contextualSpacing/>
              <w:rPr>
                <w:rFonts w:ascii="Arial" w:hAnsi="Arial" w:cs="Arial"/>
                <w:b/>
                <w:bCs/>
                <w:sz w:val="22"/>
                <w:szCs w:val="22"/>
                <w:lang w:val="es-ES"/>
              </w:rPr>
            </w:pPr>
            <w:proofErr w:type="spellStart"/>
            <w:r w:rsidRPr="001166AB">
              <w:rPr>
                <w:rFonts w:ascii="Arial" w:hAnsi="Arial" w:cs="Arial"/>
                <w:b/>
                <w:bCs/>
                <w:sz w:val="22"/>
                <w:szCs w:val="22"/>
                <w:lang w:val="es-ES"/>
              </w:rPr>
              <w:t>Yayasan</w:t>
            </w:r>
            <w:proofErr w:type="spellEnd"/>
            <w:r w:rsidRPr="001166AB">
              <w:rPr>
                <w:rFonts w:ascii="Arial" w:hAnsi="Arial" w:cs="Arial"/>
                <w:b/>
                <w:bCs/>
                <w:sz w:val="22"/>
                <w:szCs w:val="22"/>
                <w:lang w:val="es-ES"/>
              </w:rPr>
              <w:t xml:space="preserve"> </w:t>
            </w:r>
            <w:proofErr w:type="spellStart"/>
            <w:r w:rsidRPr="001166AB">
              <w:rPr>
                <w:rFonts w:ascii="Arial" w:hAnsi="Arial" w:cs="Arial"/>
                <w:b/>
                <w:bCs/>
                <w:sz w:val="22"/>
                <w:szCs w:val="22"/>
                <w:lang w:val="es-ES"/>
              </w:rPr>
              <w:t>Toraja</w:t>
            </w:r>
            <w:proofErr w:type="spellEnd"/>
            <w:r w:rsidRPr="001166AB">
              <w:rPr>
                <w:rFonts w:ascii="Arial" w:hAnsi="Arial" w:cs="Arial"/>
                <w:b/>
                <w:bCs/>
                <w:sz w:val="22"/>
                <w:szCs w:val="22"/>
                <w:lang w:val="es-ES"/>
              </w:rPr>
              <w:t xml:space="preserve"> Melo</w:t>
            </w:r>
            <w:r w:rsidRPr="001166AB">
              <w:rPr>
                <w:rFonts w:ascii="Arial" w:hAnsi="Arial" w:cs="Arial"/>
                <w:b/>
                <w:bCs/>
                <w:sz w:val="22"/>
                <w:szCs w:val="22"/>
                <w:lang w:val="es-ES"/>
              </w:rPr>
              <w:br/>
            </w:r>
            <w:proofErr w:type="spellStart"/>
            <w:r w:rsidRPr="001166AB">
              <w:rPr>
                <w:rFonts w:ascii="Arial" w:hAnsi="Arial" w:cs="Arial"/>
                <w:sz w:val="22"/>
                <w:szCs w:val="22"/>
                <w:lang w:val="es-ES"/>
              </w:rPr>
              <w:t>Toraja</w:t>
            </w:r>
            <w:proofErr w:type="spellEnd"/>
            <w:r w:rsidRPr="001166AB">
              <w:rPr>
                <w:rFonts w:ascii="Arial" w:hAnsi="Arial" w:cs="Arial"/>
                <w:sz w:val="22"/>
                <w:szCs w:val="22"/>
                <w:lang w:val="es-ES"/>
              </w:rPr>
              <w:t xml:space="preserve"> Melo </w:t>
            </w:r>
            <w:proofErr w:type="spellStart"/>
            <w:r w:rsidRPr="001166AB">
              <w:rPr>
                <w:rFonts w:ascii="Arial" w:hAnsi="Arial" w:cs="Arial"/>
                <w:sz w:val="22"/>
                <w:szCs w:val="22"/>
                <w:lang w:val="es-ES"/>
              </w:rPr>
              <w:t>Foundation</w:t>
            </w:r>
            <w:proofErr w:type="spellEnd"/>
          </w:p>
        </w:tc>
        <w:tc>
          <w:tcPr>
            <w:tcW w:w="1010" w:type="pct"/>
            <w:shd w:val="clear" w:color="auto" w:fill="auto"/>
            <w:vAlign w:val="center"/>
          </w:tcPr>
          <w:p w14:paraId="5FF5AF91" w14:textId="77777777" w:rsidR="00E1151D" w:rsidRPr="003E4F59" w:rsidRDefault="00E1151D" w:rsidP="00E1151D">
            <w:pPr>
              <w:contextualSpacing/>
              <w:jc w:val="center"/>
              <w:rPr>
                <w:sz w:val="20"/>
                <w:szCs w:val="20"/>
              </w:rPr>
            </w:pPr>
            <w:r w:rsidRPr="003E4F59">
              <w:rPr>
                <w:sz w:val="20"/>
              </w:rPr>
              <w:t>印度尼西亚</w:t>
            </w:r>
          </w:p>
        </w:tc>
        <w:tc>
          <w:tcPr>
            <w:tcW w:w="842" w:type="pct"/>
            <w:shd w:val="clear" w:color="auto" w:fill="auto"/>
            <w:vAlign w:val="center"/>
          </w:tcPr>
          <w:p w14:paraId="6F5D25DD"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NGO-90575</w:t>
            </w:r>
          </w:p>
        </w:tc>
      </w:tr>
      <w:tr w:rsidR="00E1151D" w:rsidRPr="003E4F59" w14:paraId="068CBA45" w14:textId="77777777" w:rsidTr="00E24630">
        <w:trPr>
          <w:cantSplit/>
          <w:trHeight w:val="576"/>
        </w:trPr>
        <w:tc>
          <w:tcPr>
            <w:tcW w:w="3148" w:type="pct"/>
            <w:shd w:val="clear" w:color="auto" w:fill="DEEAF6" w:themeFill="accent1" w:themeFillTint="33"/>
            <w:vAlign w:val="center"/>
          </w:tcPr>
          <w:p w14:paraId="2193EDEC" w14:textId="4EB8B8C2"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Μεσογει</w:t>
            </w:r>
            <w:proofErr w:type="spellEnd"/>
            <w:r w:rsidRPr="001166AB">
              <w:rPr>
                <w:rFonts w:ascii="Arial" w:hAnsi="Arial" w:cs="Arial"/>
                <w:b/>
                <w:bCs/>
                <w:sz w:val="22"/>
                <w:szCs w:val="22"/>
                <w:lang w:val="en-GB"/>
              </w:rPr>
              <w:t>ακό</w:t>
            </w:r>
            <w:r w:rsidRPr="001166AB">
              <w:rPr>
                <w:rFonts w:ascii="Arial" w:hAnsi="Arial" w:cs="Arial"/>
                <w:b/>
                <w:bCs/>
                <w:sz w:val="22"/>
                <w:szCs w:val="22"/>
              </w:rPr>
              <w:t xml:space="preserve"> </w:t>
            </w:r>
            <w:proofErr w:type="spellStart"/>
            <w:r w:rsidRPr="001166AB">
              <w:rPr>
                <w:rFonts w:ascii="Arial" w:hAnsi="Arial" w:cs="Arial"/>
                <w:b/>
                <w:bCs/>
                <w:sz w:val="22"/>
                <w:szCs w:val="22"/>
                <w:lang w:val="en-GB"/>
              </w:rPr>
              <w:t>Ινστιτούτο</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lang w:val="en-GB"/>
              </w:rPr>
              <w:t>γι</w:t>
            </w:r>
            <w:proofErr w:type="spellEnd"/>
            <w:r w:rsidRPr="001166AB">
              <w:rPr>
                <w:rFonts w:ascii="Arial" w:hAnsi="Arial" w:cs="Arial"/>
                <w:b/>
                <w:bCs/>
                <w:sz w:val="22"/>
                <w:szCs w:val="22"/>
                <w:lang w:val="en-GB"/>
              </w:rPr>
              <w:t>α</w:t>
            </w:r>
            <w:r w:rsidRPr="001166AB">
              <w:rPr>
                <w:rFonts w:ascii="Arial" w:hAnsi="Arial" w:cs="Arial"/>
                <w:b/>
                <w:bCs/>
                <w:sz w:val="22"/>
                <w:szCs w:val="22"/>
              </w:rPr>
              <w:t xml:space="preserve"> </w:t>
            </w:r>
            <w:proofErr w:type="spellStart"/>
            <w:r w:rsidRPr="001166AB">
              <w:rPr>
                <w:rFonts w:ascii="Arial" w:hAnsi="Arial" w:cs="Arial"/>
                <w:b/>
                <w:bCs/>
                <w:sz w:val="22"/>
                <w:szCs w:val="22"/>
                <w:lang w:val="en-GB"/>
              </w:rPr>
              <w:t>τη</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lang w:val="en-GB"/>
              </w:rPr>
              <w:t>Φύση</w:t>
            </w:r>
            <w:proofErr w:type="spellEnd"/>
            <w:r w:rsidRPr="001166AB">
              <w:rPr>
                <w:rFonts w:ascii="Arial" w:hAnsi="Arial" w:cs="Arial"/>
                <w:b/>
                <w:bCs/>
                <w:sz w:val="22"/>
                <w:szCs w:val="22"/>
              </w:rPr>
              <w:t xml:space="preserve"> </w:t>
            </w:r>
            <w:r w:rsidRPr="001166AB">
              <w:rPr>
                <w:rFonts w:ascii="Arial" w:hAnsi="Arial" w:cs="Arial"/>
                <w:b/>
                <w:bCs/>
                <w:sz w:val="22"/>
                <w:szCs w:val="22"/>
                <w:lang w:val="en-GB"/>
              </w:rPr>
              <w:t>και</w:t>
            </w:r>
            <w:r w:rsidRPr="001166AB">
              <w:rPr>
                <w:rFonts w:ascii="Arial" w:hAnsi="Arial" w:cs="Arial"/>
                <w:b/>
                <w:bCs/>
                <w:sz w:val="22"/>
                <w:szCs w:val="22"/>
              </w:rPr>
              <w:t xml:space="preserve"> </w:t>
            </w:r>
            <w:proofErr w:type="spellStart"/>
            <w:r w:rsidRPr="001166AB">
              <w:rPr>
                <w:rFonts w:ascii="Arial" w:hAnsi="Arial" w:cs="Arial"/>
                <w:b/>
                <w:bCs/>
                <w:sz w:val="22"/>
                <w:szCs w:val="22"/>
                <w:lang w:val="en-GB"/>
              </w:rPr>
              <w:t>τον</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lang w:val="en-GB"/>
              </w:rPr>
              <w:t>Άνθρω</w:t>
            </w:r>
            <w:proofErr w:type="spellEnd"/>
            <w:r w:rsidRPr="001166AB">
              <w:rPr>
                <w:rFonts w:ascii="Arial" w:hAnsi="Arial" w:cs="Arial"/>
                <w:b/>
                <w:bCs/>
                <w:sz w:val="22"/>
                <w:szCs w:val="22"/>
                <w:lang w:val="en-GB"/>
              </w:rPr>
              <w:t>πο</w:t>
            </w:r>
            <w:r w:rsidRPr="001166AB">
              <w:rPr>
                <w:rFonts w:ascii="Arial" w:hAnsi="Arial" w:cs="Arial"/>
                <w:b/>
                <w:bCs/>
                <w:sz w:val="22"/>
                <w:szCs w:val="22"/>
              </w:rPr>
              <w:br/>
            </w:r>
            <w:proofErr w:type="spellStart"/>
            <w:r w:rsidRPr="001166AB">
              <w:rPr>
                <w:rFonts w:ascii="Arial" w:hAnsi="Arial" w:cs="Arial"/>
                <w:sz w:val="22"/>
                <w:szCs w:val="22"/>
              </w:rPr>
              <w:t>Mediterranean</w:t>
            </w:r>
            <w:proofErr w:type="spellEnd"/>
            <w:r w:rsidRPr="001166AB">
              <w:rPr>
                <w:rFonts w:ascii="Arial" w:hAnsi="Arial" w:cs="Arial"/>
                <w:sz w:val="22"/>
                <w:szCs w:val="22"/>
              </w:rPr>
              <w:t xml:space="preserve"> Institute for Nature and Anthropos</w:t>
            </w:r>
          </w:p>
        </w:tc>
        <w:tc>
          <w:tcPr>
            <w:tcW w:w="1010" w:type="pct"/>
            <w:shd w:val="clear" w:color="auto" w:fill="DEEAF6" w:themeFill="accent1" w:themeFillTint="33"/>
            <w:vAlign w:val="center"/>
          </w:tcPr>
          <w:p w14:paraId="431B3CB8" w14:textId="77777777" w:rsidR="00E1151D" w:rsidRPr="003E4F59" w:rsidRDefault="00E1151D" w:rsidP="00E1151D">
            <w:pPr>
              <w:contextualSpacing/>
              <w:jc w:val="center"/>
              <w:rPr>
                <w:sz w:val="20"/>
                <w:szCs w:val="20"/>
              </w:rPr>
            </w:pPr>
            <w:r w:rsidRPr="003E4F59">
              <w:rPr>
                <w:sz w:val="20"/>
              </w:rPr>
              <w:t>希腊</w:t>
            </w:r>
          </w:p>
        </w:tc>
        <w:tc>
          <w:tcPr>
            <w:tcW w:w="842" w:type="pct"/>
            <w:shd w:val="clear" w:color="auto" w:fill="DEEAF6" w:themeFill="accent1" w:themeFillTint="33"/>
            <w:vAlign w:val="center"/>
          </w:tcPr>
          <w:p w14:paraId="06F52B59"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NGO-90556</w:t>
            </w:r>
          </w:p>
        </w:tc>
      </w:tr>
      <w:tr w:rsidR="00E1151D" w:rsidRPr="003E4F59" w14:paraId="02D96DAD" w14:textId="77777777" w:rsidTr="00E24630">
        <w:trPr>
          <w:cantSplit/>
          <w:trHeight w:val="576"/>
        </w:trPr>
        <w:tc>
          <w:tcPr>
            <w:tcW w:w="3148" w:type="pct"/>
            <w:shd w:val="clear" w:color="auto" w:fill="auto"/>
            <w:vAlign w:val="center"/>
          </w:tcPr>
          <w:p w14:paraId="5FD2A0BD" w14:textId="2A69FB85"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Ґромадська</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lang w:val="en-GB"/>
              </w:rPr>
              <w:t>орґанізація</w:t>
            </w:r>
            <w:proofErr w:type="spellEnd"/>
            <w:r w:rsidRPr="001166AB">
              <w:rPr>
                <w:rFonts w:ascii="Arial" w:hAnsi="Arial" w:cs="Arial"/>
                <w:b/>
                <w:bCs/>
                <w:sz w:val="22"/>
                <w:szCs w:val="22"/>
              </w:rPr>
              <w:t xml:space="preserve"> </w:t>
            </w:r>
            <w:r w:rsidRPr="001166AB">
              <w:rPr>
                <w:rFonts w:ascii="Arial" w:hAnsi="Arial" w:cs="Arial"/>
                <w:b/>
                <w:bCs/>
                <w:sz w:val="22"/>
                <w:szCs w:val="22"/>
                <w:lang w:val="en-GB"/>
              </w:rPr>
              <w:t>ЖІНКИ</w:t>
            </w:r>
            <w:r w:rsidRPr="001166AB">
              <w:rPr>
                <w:rFonts w:ascii="Arial" w:hAnsi="Arial" w:cs="Arial"/>
                <w:b/>
                <w:bCs/>
                <w:sz w:val="22"/>
                <w:szCs w:val="22"/>
              </w:rPr>
              <w:t xml:space="preserve"> </w:t>
            </w:r>
            <w:proofErr w:type="spellStart"/>
            <w:r w:rsidRPr="001166AB">
              <w:rPr>
                <w:rFonts w:ascii="Arial" w:hAnsi="Arial" w:cs="Arial"/>
                <w:b/>
                <w:bCs/>
                <w:sz w:val="22"/>
                <w:szCs w:val="22"/>
                <w:lang w:val="en-GB"/>
              </w:rPr>
              <w:t>плюс</w:t>
            </w:r>
            <w:proofErr w:type="spellEnd"/>
            <w:r w:rsidRPr="001166AB">
              <w:rPr>
                <w:rFonts w:ascii="Arial" w:hAnsi="Arial" w:cs="Arial"/>
                <w:b/>
                <w:bCs/>
                <w:sz w:val="22"/>
                <w:szCs w:val="22"/>
              </w:rPr>
              <w:br/>
            </w:r>
            <w:r w:rsidRPr="001166AB">
              <w:rPr>
                <w:rFonts w:ascii="Arial" w:hAnsi="Arial" w:cs="Arial"/>
                <w:sz w:val="22"/>
                <w:szCs w:val="22"/>
              </w:rPr>
              <w:t>WOMEN plus</w:t>
            </w:r>
          </w:p>
        </w:tc>
        <w:tc>
          <w:tcPr>
            <w:tcW w:w="1010" w:type="pct"/>
            <w:shd w:val="clear" w:color="auto" w:fill="auto"/>
            <w:vAlign w:val="center"/>
          </w:tcPr>
          <w:p w14:paraId="2E6D4AED" w14:textId="77777777" w:rsidR="00E1151D" w:rsidRPr="003E4F59" w:rsidRDefault="00E1151D" w:rsidP="00E1151D">
            <w:pPr>
              <w:contextualSpacing/>
              <w:jc w:val="center"/>
              <w:rPr>
                <w:sz w:val="20"/>
                <w:szCs w:val="20"/>
              </w:rPr>
            </w:pPr>
            <w:r w:rsidRPr="003E4F59">
              <w:rPr>
                <w:sz w:val="20"/>
              </w:rPr>
              <w:t>乌克兰</w:t>
            </w:r>
          </w:p>
        </w:tc>
        <w:tc>
          <w:tcPr>
            <w:tcW w:w="842" w:type="pct"/>
            <w:shd w:val="clear" w:color="auto" w:fill="auto"/>
            <w:vAlign w:val="center"/>
          </w:tcPr>
          <w:p w14:paraId="31E03EE4"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NGO-90558</w:t>
            </w:r>
          </w:p>
        </w:tc>
      </w:tr>
      <w:tr w:rsidR="00E1151D" w:rsidRPr="003E4F59" w14:paraId="2BE635CD" w14:textId="77777777" w:rsidTr="00E24630">
        <w:trPr>
          <w:cantSplit/>
          <w:trHeight w:val="576"/>
        </w:trPr>
        <w:tc>
          <w:tcPr>
            <w:tcW w:w="3148" w:type="pct"/>
            <w:shd w:val="clear" w:color="auto" w:fill="DEEAF6" w:themeFill="accent1" w:themeFillTint="33"/>
            <w:vAlign w:val="center"/>
          </w:tcPr>
          <w:p w14:paraId="6A5125D7" w14:textId="22843E7A" w:rsidR="00E1151D" w:rsidRPr="001166AB" w:rsidRDefault="00E1151D" w:rsidP="00E1151D">
            <w:pPr>
              <w:contextualSpacing/>
              <w:rPr>
                <w:rFonts w:ascii="Arial" w:hAnsi="Arial" w:cs="Arial"/>
                <w:b/>
                <w:bCs/>
                <w:sz w:val="22"/>
                <w:szCs w:val="22"/>
              </w:rPr>
            </w:pPr>
            <w:proofErr w:type="spellStart"/>
            <w:r w:rsidRPr="001166AB">
              <w:rPr>
                <w:rFonts w:ascii="Arial" w:hAnsi="Arial" w:cs="Arial"/>
                <w:b/>
                <w:bCs/>
                <w:sz w:val="22"/>
                <w:szCs w:val="22"/>
                <w:lang w:val="en-GB"/>
              </w:rPr>
              <w:t>Фондация</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lang w:val="en-GB"/>
              </w:rPr>
              <w:t>Стойна</w:t>
            </w:r>
            <w:proofErr w:type="spellEnd"/>
            <w:r w:rsidRPr="001166AB">
              <w:rPr>
                <w:rFonts w:ascii="Arial" w:hAnsi="Arial" w:cs="Arial"/>
                <w:b/>
                <w:bCs/>
                <w:sz w:val="22"/>
                <w:szCs w:val="22"/>
              </w:rPr>
              <w:t xml:space="preserve"> </w:t>
            </w:r>
            <w:proofErr w:type="spellStart"/>
            <w:r w:rsidRPr="001166AB">
              <w:rPr>
                <w:rFonts w:ascii="Arial" w:hAnsi="Arial" w:cs="Arial"/>
                <w:b/>
                <w:bCs/>
                <w:sz w:val="22"/>
                <w:szCs w:val="22"/>
                <w:lang w:val="en-GB"/>
              </w:rPr>
              <w:t>Кръстанова</w:t>
            </w:r>
            <w:proofErr w:type="spellEnd"/>
            <w:r w:rsidRPr="001166AB">
              <w:rPr>
                <w:rFonts w:ascii="Arial" w:hAnsi="Arial" w:cs="Arial"/>
                <w:b/>
                <w:bCs/>
                <w:sz w:val="22"/>
                <w:szCs w:val="22"/>
              </w:rPr>
              <w:br/>
            </w:r>
            <w:proofErr w:type="spellStart"/>
            <w:r w:rsidRPr="001166AB">
              <w:rPr>
                <w:rFonts w:ascii="Arial" w:hAnsi="Arial" w:cs="Arial"/>
                <w:sz w:val="22"/>
                <w:szCs w:val="22"/>
              </w:rPr>
              <w:t>Stoyna</w:t>
            </w:r>
            <w:proofErr w:type="spellEnd"/>
            <w:r w:rsidRPr="001166AB">
              <w:rPr>
                <w:rFonts w:ascii="Arial" w:hAnsi="Arial" w:cs="Arial"/>
                <w:sz w:val="22"/>
                <w:szCs w:val="22"/>
              </w:rPr>
              <w:t xml:space="preserve"> </w:t>
            </w:r>
            <w:proofErr w:type="spellStart"/>
            <w:r w:rsidRPr="001166AB">
              <w:rPr>
                <w:rFonts w:ascii="Arial" w:hAnsi="Arial" w:cs="Arial"/>
                <w:sz w:val="22"/>
                <w:szCs w:val="22"/>
              </w:rPr>
              <w:t>Krastanova</w:t>
            </w:r>
            <w:proofErr w:type="spellEnd"/>
            <w:r w:rsidRPr="001166AB">
              <w:rPr>
                <w:rFonts w:ascii="Arial" w:hAnsi="Arial" w:cs="Arial"/>
                <w:sz w:val="22"/>
                <w:szCs w:val="22"/>
              </w:rPr>
              <w:t xml:space="preserve"> </w:t>
            </w:r>
            <w:proofErr w:type="spellStart"/>
            <w:r w:rsidRPr="001166AB">
              <w:rPr>
                <w:rFonts w:ascii="Arial" w:hAnsi="Arial" w:cs="Arial"/>
                <w:sz w:val="22"/>
                <w:szCs w:val="22"/>
              </w:rPr>
              <w:t>Foundation</w:t>
            </w:r>
            <w:proofErr w:type="spellEnd"/>
          </w:p>
        </w:tc>
        <w:tc>
          <w:tcPr>
            <w:tcW w:w="1010" w:type="pct"/>
            <w:shd w:val="clear" w:color="auto" w:fill="DEEAF6" w:themeFill="accent1" w:themeFillTint="33"/>
            <w:vAlign w:val="center"/>
          </w:tcPr>
          <w:p w14:paraId="46259874" w14:textId="77777777" w:rsidR="00E1151D" w:rsidRPr="003E4F59" w:rsidRDefault="00E1151D" w:rsidP="00E1151D">
            <w:pPr>
              <w:contextualSpacing/>
              <w:jc w:val="center"/>
              <w:rPr>
                <w:sz w:val="20"/>
                <w:szCs w:val="20"/>
              </w:rPr>
            </w:pPr>
            <w:r w:rsidRPr="003E4F59">
              <w:rPr>
                <w:sz w:val="20"/>
              </w:rPr>
              <w:t>保加利亚</w:t>
            </w:r>
          </w:p>
        </w:tc>
        <w:tc>
          <w:tcPr>
            <w:tcW w:w="842" w:type="pct"/>
            <w:shd w:val="clear" w:color="auto" w:fill="DEEAF6" w:themeFill="accent1" w:themeFillTint="33"/>
            <w:vAlign w:val="center"/>
          </w:tcPr>
          <w:p w14:paraId="2B566179"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NGO-90571</w:t>
            </w:r>
          </w:p>
        </w:tc>
      </w:tr>
      <w:tr w:rsidR="00E1151D" w:rsidRPr="003E4F59" w14:paraId="29E1E59C" w14:textId="77777777" w:rsidTr="00E24630">
        <w:trPr>
          <w:cantSplit/>
          <w:trHeight w:val="576"/>
        </w:trPr>
        <w:tc>
          <w:tcPr>
            <w:tcW w:w="3148" w:type="pct"/>
            <w:shd w:val="clear" w:color="auto" w:fill="auto"/>
            <w:vAlign w:val="center"/>
          </w:tcPr>
          <w:p w14:paraId="0C40A12C" w14:textId="77777777" w:rsidR="00E1151D" w:rsidRPr="001166AB" w:rsidRDefault="00E1151D" w:rsidP="00E1151D">
            <w:pPr>
              <w:widowControl w:val="0"/>
              <w:contextualSpacing/>
              <w:rPr>
                <w:rFonts w:ascii="Arial" w:hAnsi="Arial" w:cs="Arial"/>
                <w:b/>
                <w:bCs/>
                <w:sz w:val="22"/>
                <w:szCs w:val="22"/>
                <w:lang w:val="en-GB"/>
              </w:rPr>
            </w:pPr>
            <w:r w:rsidRPr="001166AB">
              <w:rPr>
                <w:rFonts w:ascii="Arial" w:hAnsi="Arial" w:cs="Arial"/>
                <w:b/>
                <w:bCs/>
                <w:sz w:val="22"/>
                <w:szCs w:val="22"/>
                <w:rtl/>
                <w:lang w:val="en-GB"/>
              </w:rPr>
              <w:t>جمعية حرفة التعاونية</w:t>
            </w:r>
          </w:p>
          <w:p w14:paraId="66B9356B" w14:textId="2673D460" w:rsidR="00E1151D" w:rsidRPr="001166AB" w:rsidRDefault="00E1151D" w:rsidP="00E1151D">
            <w:pPr>
              <w:contextualSpacing/>
              <w:rPr>
                <w:rFonts w:ascii="Arial" w:hAnsi="Arial" w:cs="Arial"/>
                <w:sz w:val="22"/>
                <w:szCs w:val="22"/>
              </w:rPr>
            </w:pPr>
            <w:proofErr w:type="spellStart"/>
            <w:r w:rsidRPr="001166AB">
              <w:rPr>
                <w:rFonts w:ascii="Arial" w:hAnsi="Arial" w:cs="Arial"/>
                <w:sz w:val="22"/>
                <w:szCs w:val="22"/>
                <w:lang w:val="en-GB"/>
              </w:rPr>
              <w:t>Herfah</w:t>
            </w:r>
            <w:proofErr w:type="spellEnd"/>
            <w:r w:rsidRPr="001166AB">
              <w:rPr>
                <w:rFonts w:ascii="Arial" w:hAnsi="Arial" w:cs="Arial"/>
                <w:sz w:val="22"/>
                <w:szCs w:val="22"/>
                <w:lang w:val="en-GB"/>
              </w:rPr>
              <w:t xml:space="preserve"> Cooperative Association</w:t>
            </w:r>
          </w:p>
        </w:tc>
        <w:tc>
          <w:tcPr>
            <w:tcW w:w="1010" w:type="pct"/>
            <w:shd w:val="clear" w:color="auto" w:fill="auto"/>
            <w:vAlign w:val="center"/>
          </w:tcPr>
          <w:p w14:paraId="6A432F79" w14:textId="77777777" w:rsidR="00E1151D" w:rsidRPr="003E4F59" w:rsidRDefault="00E1151D" w:rsidP="00E1151D">
            <w:pPr>
              <w:contextualSpacing/>
              <w:jc w:val="center"/>
              <w:rPr>
                <w:sz w:val="20"/>
                <w:szCs w:val="20"/>
              </w:rPr>
            </w:pPr>
            <w:r w:rsidRPr="003E4F59">
              <w:rPr>
                <w:sz w:val="20"/>
              </w:rPr>
              <w:t>沙特阿拉伯</w:t>
            </w:r>
          </w:p>
        </w:tc>
        <w:tc>
          <w:tcPr>
            <w:tcW w:w="842" w:type="pct"/>
            <w:shd w:val="clear" w:color="auto" w:fill="auto"/>
            <w:vAlign w:val="center"/>
          </w:tcPr>
          <w:p w14:paraId="2E811A7C"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NGO-90591</w:t>
            </w:r>
          </w:p>
        </w:tc>
      </w:tr>
      <w:tr w:rsidR="00E1151D" w:rsidRPr="003E4F59" w14:paraId="53145269" w14:textId="77777777" w:rsidTr="00E24630">
        <w:trPr>
          <w:cantSplit/>
          <w:trHeight w:val="576"/>
        </w:trPr>
        <w:tc>
          <w:tcPr>
            <w:tcW w:w="3148" w:type="pct"/>
            <w:shd w:val="clear" w:color="auto" w:fill="DEEAF6" w:themeFill="accent1" w:themeFillTint="33"/>
            <w:vAlign w:val="center"/>
          </w:tcPr>
          <w:p w14:paraId="5D81D423" w14:textId="77777777" w:rsidR="00E1151D" w:rsidRPr="001166AB" w:rsidRDefault="00E1151D" w:rsidP="00E1151D">
            <w:pPr>
              <w:contextualSpacing/>
              <w:rPr>
                <w:rFonts w:ascii="Arial" w:hAnsi="Arial" w:cs="Arial"/>
                <w:b/>
                <w:bCs/>
                <w:sz w:val="22"/>
                <w:szCs w:val="22"/>
                <w:lang w:val="en-GB"/>
              </w:rPr>
            </w:pPr>
            <w:bookmarkStart w:id="2" w:name="_Hlk150107361"/>
            <w:r w:rsidRPr="001166AB">
              <w:rPr>
                <w:rFonts w:ascii="Arial" w:hAnsi="Arial" w:cs="Arial"/>
                <w:b/>
                <w:bCs/>
                <w:sz w:val="22"/>
                <w:szCs w:val="22"/>
                <w:rtl/>
                <w:lang w:val="en-GB"/>
              </w:rPr>
              <w:t>جمعية الصعيد للتربية والتنمية</w:t>
            </w:r>
          </w:p>
          <w:p w14:paraId="56E6C537" w14:textId="58B42625" w:rsidR="00E1151D" w:rsidRPr="001166AB" w:rsidRDefault="00E1151D" w:rsidP="00E1151D">
            <w:pPr>
              <w:contextualSpacing/>
              <w:rPr>
                <w:rFonts w:ascii="Arial" w:hAnsi="Arial" w:cs="Arial"/>
                <w:sz w:val="22"/>
                <w:szCs w:val="22"/>
              </w:rPr>
            </w:pPr>
            <w:r w:rsidRPr="001166AB">
              <w:rPr>
                <w:rFonts w:ascii="Arial" w:hAnsi="Arial" w:cs="Arial"/>
                <w:sz w:val="22"/>
                <w:szCs w:val="22"/>
                <w:lang w:val="en-GB"/>
              </w:rPr>
              <w:t>Association of Upper Egypt for Education and Development</w:t>
            </w:r>
          </w:p>
        </w:tc>
        <w:tc>
          <w:tcPr>
            <w:tcW w:w="1010" w:type="pct"/>
            <w:shd w:val="clear" w:color="auto" w:fill="DEEAF6" w:themeFill="accent1" w:themeFillTint="33"/>
            <w:vAlign w:val="center"/>
          </w:tcPr>
          <w:p w14:paraId="6E28B4CE" w14:textId="77777777" w:rsidR="00E1151D" w:rsidRPr="003E4F59" w:rsidRDefault="00E1151D" w:rsidP="00E1151D">
            <w:pPr>
              <w:contextualSpacing/>
              <w:jc w:val="center"/>
              <w:rPr>
                <w:sz w:val="20"/>
                <w:szCs w:val="20"/>
              </w:rPr>
            </w:pPr>
            <w:r w:rsidRPr="003E4F59">
              <w:rPr>
                <w:sz w:val="20"/>
              </w:rPr>
              <w:t>埃及</w:t>
            </w:r>
          </w:p>
        </w:tc>
        <w:tc>
          <w:tcPr>
            <w:tcW w:w="842" w:type="pct"/>
            <w:shd w:val="clear" w:color="auto" w:fill="DEEAF6" w:themeFill="accent1" w:themeFillTint="33"/>
            <w:vAlign w:val="center"/>
          </w:tcPr>
          <w:p w14:paraId="2AAD3D45" w14:textId="77777777" w:rsidR="00E1151D" w:rsidRPr="001166AB" w:rsidRDefault="00E1151D" w:rsidP="00E1151D">
            <w:pPr>
              <w:pStyle w:val="Titre7"/>
              <w:jc w:val="center"/>
              <w:rPr>
                <w:rFonts w:ascii="Arial" w:hAnsi="Arial" w:cs="Arial"/>
                <w:i w:val="0"/>
                <w:iCs w:val="0"/>
                <w:color w:val="auto"/>
                <w:sz w:val="22"/>
                <w:szCs w:val="22"/>
              </w:rPr>
            </w:pPr>
            <w:r w:rsidRPr="001166AB">
              <w:rPr>
                <w:rFonts w:ascii="Arial" w:hAnsi="Arial" w:cs="Arial"/>
                <w:i w:val="0"/>
                <w:color w:val="auto"/>
                <w:sz w:val="22"/>
                <w:szCs w:val="22"/>
              </w:rPr>
              <w:t>NGO-90535</w:t>
            </w:r>
          </w:p>
        </w:tc>
      </w:tr>
      <w:tr w:rsidR="00E1151D" w:rsidRPr="003E4F59" w14:paraId="74F76E24" w14:textId="77777777" w:rsidTr="00E24630">
        <w:trPr>
          <w:cantSplit/>
          <w:trHeight w:val="576"/>
        </w:trPr>
        <w:tc>
          <w:tcPr>
            <w:tcW w:w="3148" w:type="pct"/>
            <w:shd w:val="clear" w:color="auto" w:fill="auto"/>
            <w:vAlign w:val="center"/>
          </w:tcPr>
          <w:p w14:paraId="2B7AC05F" w14:textId="77777777" w:rsidR="00E1151D" w:rsidRPr="001166AB" w:rsidRDefault="00E1151D" w:rsidP="00E1151D">
            <w:pPr>
              <w:contextualSpacing/>
              <w:rPr>
                <w:rFonts w:ascii="Arial" w:hAnsi="Arial" w:cs="Arial"/>
                <w:b/>
                <w:bCs/>
                <w:sz w:val="22"/>
                <w:szCs w:val="22"/>
              </w:rPr>
            </w:pPr>
            <w:r w:rsidRPr="001166AB">
              <w:rPr>
                <w:rFonts w:ascii="Arial" w:hAnsi="Arial" w:cs="Arial"/>
                <w:b/>
                <w:bCs/>
                <w:sz w:val="22"/>
                <w:szCs w:val="22"/>
                <w:rtl/>
                <w:lang w:val="en-GB"/>
              </w:rPr>
              <w:t>جمعيّة صيانة القصور والمحافظة على التّراث ببني خداش</w:t>
            </w:r>
          </w:p>
          <w:p w14:paraId="1FC60EF7" w14:textId="1F32D454" w:rsidR="00E1151D" w:rsidRPr="001166AB" w:rsidRDefault="00E1151D" w:rsidP="00E1151D">
            <w:pPr>
              <w:contextualSpacing/>
              <w:rPr>
                <w:rFonts w:ascii="Arial" w:hAnsi="Arial" w:cs="Arial"/>
                <w:sz w:val="22"/>
                <w:szCs w:val="22"/>
              </w:rPr>
            </w:pPr>
            <w:r w:rsidRPr="001166AB">
              <w:rPr>
                <w:rFonts w:ascii="Arial" w:hAnsi="Arial" w:cs="Arial"/>
                <w:sz w:val="22"/>
                <w:szCs w:val="22"/>
              </w:rPr>
              <w:t xml:space="preserve">Association de protection de ksour et sauvegarde du patrimoine à Béni </w:t>
            </w:r>
            <w:proofErr w:type="spellStart"/>
            <w:r w:rsidRPr="001166AB">
              <w:rPr>
                <w:rFonts w:ascii="Arial" w:hAnsi="Arial" w:cs="Arial"/>
                <w:sz w:val="22"/>
                <w:szCs w:val="22"/>
              </w:rPr>
              <w:t>Kheddache</w:t>
            </w:r>
            <w:proofErr w:type="spellEnd"/>
          </w:p>
        </w:tc>
        <w:tc>
          <w:tcPr>
            <w:tcW w:w="1010" w:type="pct"/>
            <w:shd w:val="clear" w:color="auto" w:fill="auto"/>
            <w:vAlign w:val="center"/>
          </w:tcPr>
          <w:p w14:paraId="0C38E8DC" w14:textId="77777777" w:rsidR="00E1151D" w:rsidRPr="003E4F59" w:rsidRDefault="00E1151D" w:rsidP="00E1151D">
            <w:pPr>
              <w:contextualSpacing/>
              <w:jc w:val="center"/>
              <w:rPr>
                <w:sz w:val="20"/>
                <w:szCs w:val="20"/>
              </w:rPr>
            </w:pPr>
            <w:r w:rsidRPr="003E4F59">
              <w:rPr>
                <w:sz w:val="20"/>
              </w:rPr>
              <w:t>突尼斯</w:t>
            </w:r>
          </w:p>
        </w:tc>
        <w:tc>
          <w:tcPr>
            <w:tcW w:w="842" w:type="pct"/>
            <w:shd w:val="clear" w:color="auto" w:fill="auto"/>
            <w:vAlign w:val="center"/>
          </w:tcPr>
          <w:p w14:paraId="7E49EC33"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NGO-90534</w:t>
            </w:r>
          </w:p>
        </w:tc>
      </w:tr>
      <w:tr w:rsidR="00E1151D" w:rsidRPr="003E4F59" w14:paraId="3B929D52" w14:textId="77777777" w:rsidTr="00E24630">
        <w:trPr>
          <w:cantSplit/>
          <w:trHeight w:val="576"/>
        </w:trPr>
        <w:tc>
          <w:tcPr>
            <w:tcW w:w="3148" w:type="pct"/>
            <w:shd w:val="clear" w:color="auto" w:fill="DEEAF6" w:themeFill="accent1" w:themeFillTint="33"/>
            <w:vAlign w:val="center"/>
          </w:tcPr>
          <w:p w14:paraId="6AB8207D" w14:textId="77777777" w:rsidR="00E1151D" w:rsidRPr="001166AB" w:rsidRDefault="00E1151D" w:rsidP="00E1151D">
            <w:pPr>
              <w:contextualSpacing/>
              <w:rPr>
                <w:rFonts w:ascii="Arial" w:hAnsi="Arial" w:cs="Arial"/>
                <w:b/>
                <w:bCs/>
                <w:sz w:val="22"/>
                <w:szCs w:val="22"/>
                <w:lang w:val="en-GB"/>
              </w:rPr>
            </w:pPr>
            <w:r w:rsidRPr="001166AB">
              <w:rPr>
                <w:rFonts w:ascii="Arial" w:hAnsi="Arial" w:cs="Arial"/>
                <w:b/>
                <w:bCs/>
                <w:sz w:val="22"/>
                <w:szCs w:val="22"/>
                <w:rtl/>
                <w:lang w:val="en-GB"/>
              </w:rPr>
              <w:t xml:space="preserve">مؤسسة </w:t>
            </w:r>
            <w:proofErr w:type="spellStart"/>
            <w:r w:rsidRPr="001166AB">
              <w:rPr>
                <w:rFonts w:ascii="Arial" w:hAnsi="Arial" w:cs="Arial"/>
                <w:b/>
                <w:bCs/>
                <w:sz w:val="22"/>
                <w:szCs w:val="22"/>
                <w:rtl/>
                <w:lang w:val="en-GB"/>
              </w:rPr>
              <w:t>راقودة</w:t>
            </w:r>
            <w:proofErr w:type="spellEnd"/>
            <w:r w:rsidRPr="001166AB">
              <w:rPr>
                <w:rFonts w:ascii="Arial" w:hAnsi="Arial" w:cs="Arial"/>
                <w:b/>
                <w:bCs/>
                <w:sz w:val="22"/>
                <w:szCs w:val="22"/>
                <w:rtl/>
                <w:lang w:val="en-GB"/>
              </w:rPr>
              <w:t xml:space="preserve"> للفن والتراث</w:t>
            </w:r>
          </w:p>
          <w:p w14:paraId="3C4058F2" w14:textId="34C34609" w:rsidR="00E1151D" w:rsidRPr="001166AB" w:rsidRDefault="00E1151D" w:rsidP="00E1151D">
            <w:pPr>
              <w:contextualSpacing/>
              <w:rPr>
                <w:rFonts w:ascii="Arial" w:hAnsi="Arial" w:cs="Arial"/>
                <w:sz w:val="22"/>
                <w:szCs w:val="22"/>
              </w:rPr>
            </w:pPr>
            <w:proofErr w:type="spellStart"/>
            <w:r w:rsidRPr="001166AB">
              <w:rPr>
                <w:rFonts w:ascii="Arial" w:hAnsi="Arial" w:cs="Arial"/>
                <w:sz w:val="22"/>
                <w:szCs w:val="22"/>
                <w:lang w:val="en-GB"/>
              </w:rPr>
              <w:t>Raquda</w:t>
            </w:r>
            <w:proofErr w:type="spellEnd"/>
            <w:r w:rsidRPr="001166AB">
              <w:rPr>
                <w:rFonts w:ascii="Arial" w:hAnsi="Arial" w:cs="Arial"/>
                <w:sz w:val="22"/>
                <w:szCs w:val="22"/>
                <w:lang w:val="en-GB"/>
              </w:rPr>
              <w:t xml:space="preserve"> Foundation for Art and Heritage</w:t>
            </w:r>
          </w:p>
        </w:tc>
        <w:tc>
          <w:tcPr>
            <w:tcW w:w="1010" w:type="pct"/>
            <w:shd w:val="clear" w:color="auto" w:fill="DEEAF6" w:themeFill="accent1" w:themeFillTint="33"/>
            <w:vAlign w:val="center"/>
          </w:tcPr>
          <w:p w14:paraId="0BA0FF34" w14:textId="77777777" w:rsidR="00E1151D" w:rsidRPr="003E4F59" w:rsidRDefault="00E1151D" w:rsidP="00E1151D">
            <w:pPr>
              <w:pStyle w:val="Titre7"/>
              <w:jc w:val="center"/>
              <w:rPr>
                <w:rFonts w:ascii="Times New Roman" w:hAnsi="Times New Roman" w:cs="Times New Roman"/>
                <w:i w:val="0"/>
                <w:iCs w:val="0"/>
                <w:color w:val="auto"/>
                <w:sz w:val="20"/>
                <w:szCs w:val="20"/>
              </w:rPr>
            </w:pPr>
            <w:r w:rsidRPr="003E4F59">
              <w:rPr>
                <w:rFonts w:ascii="Times New Roman" w:hAnsi="Times New Roman" w:cs="Times New Roman"/>
                <w:i w:val="0"/>
                <w:color w:val="auto"/>
                <w:sz w:val="20"/>
              </w:rPr>
              <w:t>埃及</w:t>
            </w:r>
          </w:p>
        </w:tc>
        <w:tc>
          <w:tcPr>
            <w:tcW w:w="842" w:type="pct"/>
            <w:shd w:val="clear" w:color="auto" w:fill="DEEAF6" w:themeFill="accent1" w:themeFillTint="33"/>
            <w:vAlign w:val="center"/>
          </w:tcPr>
          <w:p w14:paraId="3A6B25B6"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NGO-90581</w:t>
            </w:r>
          </w:p>
        </w:tc>
      </w:tr>
      <w:tr w:rsidR="00E1151D" w:rsidRPr="003E4F59" w14:paraId="0F61ABAF" w14:textId="77777777" w:rsidTr="00E24630">
        <w:trPr>
          <w:cantSplit/>
          <w:trHeight w:val="576"/>
        </w:trPr>
        <w:tc>
          <w:tcPr>
            <w:tcW w:w="3148" w:type="pct"/>
            <w:shd w:val="clear" w:color="auto" w:fill="auto"/>
            <w:vAlign w:val="center"/>
          </w:tcPr>
          <w:p w14:paraId="59C643A2" w14:textId="77777777" w:rsidR="00E1151D" w:rsidRPr="001166AB" w:rsidRDefault="00E1151D" w:rsidP="00E1151D">
            <w:pPr>
              <w:contextualSpacing/>
              <w:rPr>
                <w:rFonts w:ascii="Arial" w:hAnsi="Arial" w:cs="Arial"/>
                <w:sz w:val="22"/>
                <w:szCs w:val="22"/>
              </w:rPr>
            </w:pPr>
            <w:r w:rsidRPr="001166AB">
              <w:rPr>
                <w:rFonts w:ascii="Arial" w:hAnsi="Arial" w:cs="Arial"/>
                <w:b/>
                <w:bCs/>
                <w:sz w:val="22"/>
                <w:szCs w:val="22"/>
                <w:rtl/>
                <w:lang w:val="en-GB"/>
              </w:rPr>
              <w:t xml:space="preserve">مؤسسه </w:t>
            </w:r>
            <w:proofErr w:type="spellStart"/>
            <w:r w:rsidRPr="001166AB">
              <w:rPr>
                <w:rFonts w:ascii="Arial" w:hAnsi="Arial" w:cs="Arial"/>
                <w:b/>
                <w:bCs/>
                <w:sz w:val="22"/>
                <w:szCs w:val="22"/>
                <w:rtl/>
                <w:lang w:val="en-GB"/>
              </w:rPr>
              <w:t>فرهنگی</w:t>
            </w:r>
            <w:proofErr w:type="spellEnd"/>
            <w:r w:rsidRPr="001166AB">
              <w:rPr>
                <w:rFonts w:ascii="Arial" w:hAnsi="Arial" w:cs="Arial"/>
                <w:b/>
                <w:bCs/>
                <w:sz w:val="22"/>
                <w:szCs w:val="22"/>
                <w:rtl/>
                <w:lang w:val="en-GB"/>
              </w:rPr>
              <w:t xml:space="preserve"> </w:t>
            </w:r>
            <w:proofErr w:type="spellStart"/>
            <w:r w:rsidRPr="001166AB">
              <w:rPr>
                <w:rFonts w:ascii="Arial" w:hAnsi="Arial" w:cs="Arial"/>
                <w:b/>
                <w:bCs/>
                <w:sz w:val="22"/>
                <w:szCs w:val="22"/>
                <w:rtl/>
                <w:lang w:val="en-GB"/>
              </w:rPr>
              <w:t>هنری</w:t>
            </w:r>
            <w:proofErr w:type="spellEnd"/>
            <w:r w:rsidRPr="001166AB">
              <w:rPr>
                <w:rFonts w:ascii="Arial" w:hAnsi="Arial" w:cs="Arial"/>
                <w:b/>
                <w:bCs/>
                <w:sz w:val="22"/>
                <w:szCs w:val="22"/>
                <w:rtl/>
                <w:lang w:val="en-GB"/>
              </w:rPr>
              <w:t xml:space="preserve"> مانا نقش شهاب</w:t>
            </w:r>
          </w:p>
          <w:p w14:paraId="541A7E32" w14:textId="261D7346" w:rsidR="00E1151D" w:rsidRPr="001166AB" w:rsidRDefault="00E1151D" w:rsidP="00E1151D">
            <w:pPr>
              <w:contextualSpacing/>
              <w:rPr>
                <w:rFonts w:ascii="Arial" w:hAnsi="Arial" w:cs="Arial"/>
                <w:b/>
                <w:bCs/>
                <w:sz w:val="22"/>
                <w:szCs w:val="22"/>
                <w:lang w:val="en-US"/>
              </w:rPr>
            </w:pPr>
            <w:r w:rsidRPr="001166AB">
              <w:rPr>
                <w:rFonts w:ascii="Arial" w:hAnsi="Arial" w:cs="Arial"/>
                <w:sz w:val="22"/>
                <w:szCs w:val="22"/>
                <w:lang w:val="en-GB"/>
              </w:rPr>
              <w:t xml:space="preserve">Mana </w:t>
            </w:r>
            <w:proofErr w:type="spellStart"/>
            <w:r w:rsidRPr="001166AB">
              <w:rPr>
                <w:rFonts w:ascii="Arial" w:hAnsi="Arial" w:cs="Arial"/>
                <w:sz w:val="22"/>
                <w:szCs w:val="22"/>
                <w:lang w:val="en-GB"/>
              </w:rPr>
              <w:t>Naqsh</w:t>
            </w:r>
            <w:proofErr w:type="spellEnd"/>
            <w:r w:rsidRPr="001166AB">
              <w:rPr>
                <w:rFonts w:ascii="Arial" w:hAnsi="Arial" w:cs="Arial"/>
                <w:sz w:val="22"/>
                <w:szCs w:val="22"/>
                <w:lang w:val="en-GB"/>
              </w:rPr>
              <w:t xml:space="preserve"> Shahab Art &amp; Culture Institute</w:t>
            </w:r>
          </w:p>
        </w:tc>
        <w:tc>
          <w:tcPr>
            <w:tcW w:w="1010" w:type="pct"/>
            <w:shd w:val="clear" w:color="auto" w:fill="auto"/>
            <w:vAlign w:val="center"/>
          </w:tcPr>
          <w:p w14:paraId="176829D9" w14:textId="77777777" w:rsidR="00E1151D" w:rsidRPr="003E4F59" w:rsidRDefault="00E1151D" w:rsidP="00E1151D">
            <w:pPr>
              <w:contextualSpacing/>
              <w:jc w:val="center"/>
              <w:rPr>
                <w:sz w:val="20"/>
                <w:szCs w:val="20"/>
              </w:rPr>
            </w:pPr>
            <w:r w:rsidRPr="003E4F59">
              <w:rPr>
                <w:sz w:val="20"/>
              </w:rPr>
              <w:t>伊朗伊斯兰共和国</w:t>
            </w:r>
          </w:p>
        </w:tc>
        <w:tc>
          <w:tcPr>
            <w:tcW w:w="842" w:type="pct"/>
            <w:shd w:val="clear" w:color="auto" w:fill="auto"/>
            <w:vAlign w:val="center"/>
          </w:tcPr>
          <w:p w14:paraId="121A209C" w14:textId="77777777" w:rsidR="00E1151D" w:rsidRPr="001166AB" w:rsidRDefault="00E1151D" w:rsidP="00E1151D">
            <w:pPr>
              <w:pStyle w:val="Titre7"/>
              <w:jc w:val="center"/>
              <w:rPr>
                <w:rFonts w:ascii="Arial" w:hAnsi="Arial" w:cs="Arial"/>
                <w:i w:val="0"/>
                <w:iCs w:val="0"/>
                <w:color w:val="auto"/>
                <w:sz w:val="22"/>
                <w:szCs w:val="22"/>
              </w:rPr>
            </w:pPr>
            <w:r w:rsidRPr="001166AB">
              <w:rPr>
                <w:rFonts w:ascii="Arial" w:hAnsi="Arial" w:cs="Arial"/>
                <w:i w:val="0"/>
                <w:color w:val="auto"/>
                <w:sz w:val="22"/>
                <w:szCs w:val="22"/>
              </w:rPr>
              <w:t>NGO-90551</w:t>
            </w:r>
          </w:p>
        </w:tc>
      </w:tr>
      <w:tr w:rsidR="00E1151D" w:rsidRPr="003E4F59" w14:paraId="7DCC1BC1" w14:textId="77777777" w:rsidTr="00E24630">
        <w:trPr>
          <w:cantSplit/>
          <w:trHeight w:val="576"/>
        </w:trPr>
        <w:tc>
          <w:tcPr>
            <w:tcW w:w="3148" w:type="pct"/>
            <w:shd w:val="clear" w:color="auto" w:fill="DEEAF6" w:themeFill="accent1" w:themeFillTint="33"/>
            <w:vAlign w:val="center"/>
          </w:tcPr>
          <w:p w14:paraId="5C29CC4C" w14:textId="77777777" w:rsidR="00E1151D" w:rsidRPr="001166AB" w:rsidRDefault="00E1151D" w:rsidP="00E1151D">
            <w:pPr>
              <w:contextualSpacing/>
              <w:rPr>
                <w:rFonts w:ascii="Arial" w:hAnsi="Arial" w:cs="Arial"/>
                <w:b/>
                <w:bCs/>
                <w:sz w:val="22"/>
                <w:szCs w:val="22"/>
              </w:rPr>
            </w:pPr>
            <w:r w:rsidRPr="001166AB">
              <w:rPr>
                <w:rFonts w:ascii="Nirmala UI" w:hAnsi="Nirmala UI" w:cs="Nirmala UI" w:hint="cs"/>
                <w:b/>
                <w:bCs/>
                <w:sz w:val="22"/>
                <w:szCs w:val="22"/>
                <w:cs/>
                <w:lang w:val="en-GB" w:bidi="kn-IN"/>
              </w:rPr>
              <w:t>ಕರ್ನಾಟಕ</w:t>
            </w:r>
            <w:r w:rsidRPr="001166AB">
              <w:rPr>
                <w:rFonts w:ascii="Arial" w:hAnsi="Arial" w:cs="Arial"/>
                <w:b/>
                <w:bCs/>
                <w:sz w:val="22"/>
                <w:szCs w:val="22"/>
                <w:cs/>
                <w:lang w:val="en-GB" w:bidi="kn-IN"/>
              </w:rPr>
              <w:t xml:space="preserve"> </w:t>
            </w:r>
            <w:r w:rsidRPr="001166AB">
              <w:rPr>
                <w:rFonts w:ascii="Nirmala UI" w:hAnsi="Nirmala UI" w:cs="Nirmala UI" w:hint="cs"/>
                <w:b/>
                <w:bCs/>
                <w:sz w:val="22"/>
                <w:szCs w:val="22"/>
                <w:cs/>
                <w:lang w:val="en-GB" w:bidi="kn-IN"/>
              </w:rPr>
              <w:t>ಜಾನಪದ</w:t>
            </w:r>
            <w:r w:rsidRPr="001166AB">
              <w:rPr>
                <w:rFonts w:ascii="Arial" w:hAnsi="Arial" w:cs="Arial"/>
                <w:b/>
                <w:bCs/>
                <w:sz w:val="22"/>
                <w:szCs w:val="22"/>
                <w:cs/>
                <w:lang w:val="en-GB" w:bidi="kn-IN"/>
              </w:rPr>
              <w:t xml:space="preserve"> </w:t>
            </w:r>
            <w:r w:rsidRPr="001166AB">
              <w:rPr>
                <w:rFonts w:ascii="Nirmala UI" w:hAnsi="Nirmala UI" w:cs="Nirmala UI" w:hint="cs"/>
                <w:b/>
                <w:bCs/>
                <w:sz w:val="22"/>
                <w:szCs w:val="22"/>
                <w:cs/>
                <w:lang w:val="en-GB" w:bidi="kn-IN"/>
              </w:rPr>
              <w:t>ಪರಿಷತ್ತು</w:t>
            </w:r>
          </w:p>
          <w:p w14:paraId="04D04F12" w14:textId="4A8F5E18" w:rsidR="00E1151D" w:rsidRPr="001166AB" w:rsidRDefault="00E1151D" w:rsidP="00E1151D">
            <w:pPr>
              <w:contextualSpacing/>
              <w:rPr>
                <w:rFonts w:ascii="Arial" w:hAnsi="Arial" w:cs="Arial"/>
                <w:sz w:val="22"/>
                <w:szCs w:val="22"/>
              </w:rPr>
            </w:pPr>
            <w:r w:rsidRPr="001166AB">
              <w:rPr>
                <w:rFonts w:ascii="Arial" w:hAnsi="Arial" w:cs="Arial"/>
                <w:sz w:val="22"/>
                <w:szCs w:val="22"/>
              </w:rPr>
              <w:t xml:space="preserve">Karnataka </w:t>
            </w:r>
            <w:proofErr w:type="spellStart"/>
            <w:r w:rsidRPr="001166AB">
              <w:rPr>
                <w:rFonts w:ascii="Arial" w:hAnsi="Arial" w:cs="Arial"/>
                <w:sz w:val="22"/>
                <w:szCs w:val="22"/>
              </w:rPr>
              <w:t>Janapada</w:t>
            </w:r>
            <w:proofErr w:type="spellEnd"/>
            <w:r w:rsidRPr="001166AB">
              <w:rPr>
                <w:rFonts w:ascii="Arial" w:hAnsi="Arial" w:cs="Arial"/>
                <w:sz w:val="22"/>
                <w:szCs w:val="22"/>
              </w:rPr>
              <w:t xml:space="preserve"> </w:t>
            </w:r>
            <w:proofErr w:type="spellStart"/>
            <w:r w:rsidRPr="001166AB">
              <w:rPr>
                <w:rFonts w:ascii="Arial" w:hAnsi="Arial" w:cs="Arial"/>
                <w:sz w:val="22"/>
                <w:szCs w:val="22"/>
              </w:rPr>
              <w:t>Parishath</w:t>
            </w:r>
            <w:proofErr w:type="spellEnd"/>
          </w:p>
        </w:tc>
        <w:tc>
          <w:tcPr>
            <w:tcW w:w="1010" w:type="pct"/>
            <w:shd w:val="clear" w:color="auto" w:fill="DEEAF6" w:themeFill="accent1" w:themeFillTint="33"/>
            <w:vAlign w:val="center"/>
          </w:tcPr>
          <w:p w14:paraId="4676096E" w14:textId="77777777" w:rsidR="00E1151D" w:rsidRPr="003E4F59" w:rsidRDefault="00E1151D" w:rsidP="00E1151D">
            <w:pPr>
              <w:pStyle w:val="Titre7"/>
              <w:jc w:val="center"/>
              <w:rPr>
                <w:rFonts w:ascii="Times New Roman" w:hAnsi="Times New Roman" w:cs="Times New Roman"/>
                <w:i w:val="0"/>
                <w:iCs w:val="0"/>
                <w:color w:val="auto"/>
                <w:sz w:val="20"/>
                <w:szCs w:val="20"/>
              </w:rPr>
            </w:pPr>
            <w:r w:rsidRPr="003E4F59">
              <w:rPr>
                <w:rFonts w:ascii="Times New Roman" w:hAnsi="Times New Roman" w:cs="Times New Roman"/>
                <w:i w:val="0"/>
                <w:color w:val="auto"/>
                <w:sz w:val="20"/>
              </w:rPr>
              <w:t>印度</w:t>
            </w:r>
          </w:p>
        </w:tc>
        <w:tc>
          <w:tcPr>
            <w:tcW w:w="842" w:type="pct"/>
            <w:shd w:val="clear" w:color="auto" w:fill="DEEAF6" w:themeFill="accent1" w:themeFillTint="33"/>
            <w:vAlign w:val="center"/>
          </w:tcPr>
          <w:p w14:paraId="39549B07" w14:textId="77777777" w:rsidR="00E1151D" w:rsidRPr="001166AB" w:rsidRDefault="00E1151D" w:rsidP="00E1151D">
            <w:pPr>
              <w:contextualSpacing/>
              <w:jc w:val="center"/>
              <w:rPr>
                <w:rFonts w:ascii="Arial" w:hAnsi="Arial" w:cs="Arial"/>
                <w:sz w:val="22"/>
                <w:szCs w:val="22"/>
              </w:rPr>
            </w:pPr>
            <w:r w:rsidRPr="001166AB">
              <w:rPr>
                <w:rFonts w:ascii="Arial" w:hAnsi="Arial" w:cs="Arial"/>
                <w:sz w:val="22"/>
                <w:szCs w:val="22"/>
              </w:rPr>
              <w:t>NGO-90550</w:t>
            </w:r>
          </w:p>
        </w:tc>
      </w:tr>
      <w:bookmarkEnd w:id="2"/>
    </w:tbl>
    <w:p w14:paraId="2E01D4B7" w14:textId="77777777" w:rsidR="001B3FD8" w:rsidRDefault="001B3FD8" w:rsidP="00C0269C">
      <w:pPr>
        <w:rPr>
          <w:snapToGrid w:val="0"/>
          <w:u w:val="single"/>
          <w:lang w:val="en-GB" w:eastAsia="en-US"/>
        </w:rPr>
        <w:sectPr w:rsidR="001B3FD8" w:rsidSect="008A1337">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14:paraId="62C1D443" w14:textId="77777777" w:rsidR="00667C91" w:rsidRDefault="00667C91" w:rsidP="00667C91">
      <w:pPr>
        <w:jc w:val="center"/>
        <w:rPr>
          <w:rFonts w:ascii="Arial" w:hAnsi="Arial"/>
          <w:b/>
          <w:sz w:val="22"/>
          <w:lang w:val="es-ES"/>
        </w:rPr>
      </w:pPr>
    </w:p>
    <w:p w14:paraId="7E91A423" w14:textId="5894E27E" w:rsidR="001B3FD8" w:rsidRPr="00C84BA3" w:rsidRDefault="001B3FD8" w:rsidP="00EC6F8D">
      <w:pPr>
        <w:spacing w:before="1440"/>
        <w:jc w:val="center"/>
        <w:rPr>
          <w:rFonts w:ascii="Arial" w:hAnsi="Arial" w:cs="Arial"/>
          <w:b/>
          <w:sz w:val="22"/>
          <w:szCs w:val="22"/>
        </w:rPr>
      </w:pPr>
      <w:r>
        <w:rPr>
          <w:rFonts w:ascii="Arial" w:hAnsi="Arial" w:hint="eastAsia"/>
          <w:b/>
          <w:sz w:val="22"/>
        </w:rPr>
        <w:t>《保护非物质文化遗产公约》</w:t>
      </w:r>
    </w:p>
    <w:p w14:paraId="3452D863" w14:textId="77777777" w:rsidR="001B3FD8" w:rsidRPr="00C84BA3" w:rsidRDefault="001B3FD8" w:rsidP="00EC6F8D">
      <w:pPr>
        <w:spacing w:before="1200"/>
        <w:jc w:val="center"/>
        <w:rPr>
          <w:rFonts w:ascii="Arial" w:hAnsi="Arial" w:cs="Arial"/>
          <w:b/>
          <w:sz w:val="22"/>
          <w:szCs w:val="22"/>
        </w:rPr>
      </w:pPr>
      <w:r>
        <w:rPr>
          <w:rFonts w:ascii="Arial" w:hAnsi="Arial" w:hint="eastAsia"/>
          <w:b/>
          <w:sz w:val="22"/>
        </w:rPr>
        <w:t>缔约国大会</w:t>
      </w:r>
    </w:p>
    <w:p w14:paraId="6944299A" w14:textId="77777777" w:rsidR="001B3FD8" w:rsidRPr="00C84BA3" w:rsidRDefault="001B3FD8" w:rsidP="001D14FE">
      <w:pPr>
        <w:spacing w:before="840"/>
        <w:jc w:val="center"/>
        <w:rPr>
          <w:rFonts w:ascii="Arial" w:hAnsi="Arial" w:cs="Arial"/>
          <w:b/>
          <w:sz w:val="22"/>
          <w:szCs w:val="22"/>
        </w:rPr>
      </w:pPr>
      <w:r>
        <w:rPr>
          <w:rFonts w:ascii="Arial" w:hAnsi="Arial" w:hint="eastAsia"/>
          <w:b/>
          <w:sz w:val="22"/>
        </w:rPr>
        <w:t>第十届会议</w:t>
      </w:r>
    </w:p>
    <w:p w14:paraId="76FCD867" w14:textId="77777777" w:rsidR="001B3FD8" w:rsidRPr="00C84BA3" w:rsidRDefault="001B3FD8" w:rsidP="00B2172B">
      <w:pPr>
        <w:jc w:val="center"/>
        <w:rPr>
          <w:rFonts w:ascii="Arial" w:hAnsi="Arial" w:cs="Arial"/>
          <w:b/>
          <w:sz w:val="22"/>
          <w:szCs w:val="22"/>
        </w:rPr>
      </w:pPr>
      <w:r>
        <w:rPr>
          <w:rFonts w:ascii="Arial" w:hAnsi="Arial" w:hint="eastAsia"/>
          <w:b/>
          <w:sz w:val="22"/>
        </w:rPr>
        <w:t>联合国教科文组织总部，一号会议厅</w:t>
      </w:r>
    </w:p>
    <w:p w14:paraId="5D06D0FE" w14:textId="77777777" w:rsidR="001B3FD8" w:rsidRPr="00C84BA3" w:rsidRDefault="001B3FD8" w:rsidP="00B2172B">
      <w:pPr>
        <w:jc w:val="center"/>
        <w:rPr>
          <w:rFonts w:ascii="Arial" w:hAnsi="Arial" w:cs="Arial"/>
          <w:b/>
          <w:sz w:val="22"/>
          <w:szCs w:val="22"/>
        </w:rPr>
      </w:pPr>
      <w:r>
        <w:rPr>
          <w:rFonts w:ascii="Arial" w:hAnsi="Arial" w:hint="eastAsia"/>
          <w:b/>
          <w:sz w:val="22"/>
        </w:rPr>
        <w:t>2024</w:t>
      </w:r>
      <w:r>
        <w:rPr>
          <w:rFonts w:ascii="Arial" w:hAnsi="Arial" w:hint="eastAsia"/>
          <w:b/>
          <w:sz w:val="22"/>
        </w:rPr>
        <w:t>年</w:t>
      </w:r>
      <w:r>
        <w:rPr>
          <w:rFonts w:ascii="Arial" w:hAnsi="Arial" w:hint="eastAsia"/>
          <w:b/>
          <w:sz w:val="22"/>
        </w:rPr>
        <w:t>6</w:t>
      </w:r>
      <w:r>
        <w:rPr>
          <w:rFonts w:ascii="Arial" w:hAnsi="Arial" w:hint="eastAsia"/>
          <w:b/>
          <w:sz w:val="22"/>
        </w:rPr>
        <w:t>月</w:t>
      </w:r>
      <w:r>
        <w:rPr>
          <w:rFonts w:ascii="Arial" w:hAnsi="Arial" w:hint="eastAsia"/>
          <w:b/>
          <w:sz w:val="22"/>
        </w:rPr>
        <w:t>11</w:t>
      </w:r>
      <w:r>
        <w:rPr>
          <w:rFonts w:ascii="Arial" w:hAnsi="Arial" w:hint="eastAsia"/>
          <w:b/>
          <w:sz w:val="22"/>
        </w:rPr>
        <w:t>日至</w:t>
      </w:r>
      <w:r>
        <w:rPr>
          <w:rFonts w:ascii="Arial" w:hAnsi="Arial" w:hint="eastAsia"/>
          <w:b/>
          <w:sz w:val="22"/>
        </w:rPr>
        <w:t>12</w:t>
      </w:r>
      <w:r>
        <w:rPr>
          <w:rFonts w:ascii="Arial" w:hAnsi="Arial" w:hint="eastAsia"/>
          <w:b/>
          <w:sz w:val="22"/>
        </w:rPr>
        <w:t>日</w:t>
      </w:r>
    </w:p>
    <w:p w14:paraId="698C7790" w14:textId="77777777" w:rsidR="001B3FD8" w:rsidRPr="00C84BA3" w:rsidRDefault="001B3FD8" w:rsidP="00DB5C2E">
      <w:pPr>
        <w:pStyle w:val="Sansinterligne2"/>
        <w:spacing w:before="960"/>
        <w:jc w:val="center"/>
        <w:rPr>
          <w:rFonts w:ascii="Arial" w:hAnsi="Arial" w:cs="Arial"/>
          <w:b/>
          <w:sz w:val="22"/>
          <w:szCs w:val="22"/>
        </w:rPr>
      </w:pPr>
      <w:r>
        <w:rPr>
          <w:rFonts w:ascii="Arial" w:hAnsi="Arial" w:hint="eastAsia"/>
          <w:b/>
          <w:sz w:val="22"/>
          <w:u w:val="single"/>
        </w:rPr>
        <w:t>临时议程项目</w:t>
      </w:r>
      <w:r>
        <w:rPr>
          <w:rFonts w:ascii="Arial" w:hAnsi="Arial" w:hint="eastAsia"/>
          <w:b/>
          <w:sz w:val="22"/>
          <w:u w:val="single"/>
        </w:rPr>
        <w:t>9</w:t>
      </w:r>
      <w:r>
        <w:rPr>
          <w:rFonts w:ascii="Arial" w:hAnsi="Arial" w:hint="eastAsia"/>
          <w:b/>
          <w:sz w:val="22"/>
        </w:rPr>
        <w:t>：</w:t>
      </w:r>
    </w:p>
    <w:p w14:paraId="4CD3C09B" w14:textId="77777777" w:rsidR="001B3FD8" w:rsidRPr="00D453C3" w:rsidRDefault="001B3FD8" w:rsidP="00BB395F">
      <w:pPr>
        <w:pStyle w:val="Sansinterligne2"/>
        <w:spacing w:after="960"/>
        <w:jc w:val="center"/>
        <w:rPr>
          <w:rFonts w:asciiTheme="majorEastAsia" w:eastAsiaTheme="majorEastAsia" w:hAnsiTheme="majorEastAsia" w:cs="Arial"/>
          <w:b/>
          <w:sz w:val="22"/>
          <w:szCs w:val="22"/>
        </w:rPr>
      </w:pPr>
      <w:r w:rsidRPr="00D453C3">
        <w:rPr>
          <w:rFonts w:asciiTheme="majorEastAsia" w:eastAsiaTheme="majorEastAsia" w:hAnsiTheme="majorEastAsia" w:hint="eastAsia"/>
          <w:b/>
          <w:sz w:val="22"/>
          <w:szCs w:val="22"/>
        </w:rPr>
        <w:t>认证具有向委员会提供咨询意见地位的非政府组织</w:t>
      </w:r>
    </w:p>
    <w:p w14:paraId="7290C65C" w14:textId="77777777" w:rsidR="001B3FD8" w:rsidRPr="00C84BA3" w:rsidRDefault="001B3FD8" w:rsidP="00A8755A">
      <w:pPr>
        <w:pStyle w:val="Sansinterligne2"/>
        <w:spacing w:after="600"/>
        <w:jc w:val="center"/>
        <w:rPr>
          <w:rFonts w:ascii="Arial" w:hAnsi="Arial" w:cs="Arial"/>
          <w:b/>
          <w:sz w:val="22"/>
          <w:szCs w:val="22"/>
        </w:rPr>
      </w:pPr>
      <w:r>
        <w:rPr>
          <w:rFonts w:ascii="Arial" w:hAnsi="Arial" w:hint="eastAsia"/>
          <w:b/>
          <w:sz w:val="22"/>
        </w:rPr>
        <w:t>关于确保经认证的非政府组织之间地域平衡的提案</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B3FD8" w:rsidRPr="00C84BA3" w14:paraId="2E9ED3C2" w14:textId="77777777" w:rsidTr="00EC6F8D">
        <w:trPr>
          <w:jc w:val="center"/>
        </w:trPr>
        <w:tc>
          <w:tcPr>
            <w:tcW w:w="5670" w:type="dxa"/>
            <w:vAlign w:val="center"/>
          </w:tcPr>
          <w:p w14:paraId="37169F46" w14:textId="77777777" w:rsidR="001B3FD8" w:rsidRPr="00C84BA3" w:rsidRDefault="001B3FD8" w:rsidP="00CA56BB">
            <w:pPr>
              <w:pStyle w:val="Sansinterligne1"/>
              <w:spacing w:before="200" w:after="200"/>
              <w:jc w:val="center"/>
              <w:rPr>
                <w:rFonts w:ascii="Arial" w:hAnsi="Arial" w:cs="Arial"/>
                <w:b/>
                <w:sz w:val="22"/>
                <w:szCs w:val="22"/>
              </w:rPr>
            </w:pPr>
            <w:r>
              <w:rPr>
                <w:rFonts w:ascii="Arial" w:hAnsi="Arial" w:hint="eastAsia"/>
                <w:b/>
                <w:sz w:val="22"/>
              </w:rPr>
              <w:t>摘要</w:t>
            </w:r>
          </w:p>
          <w:p w14:paraId="79E910F9" w14:textId="77777777" w:rsidR="001B3FD8" w:rsidRPr="00C84BA3" w:rsidRDefault="001B3FD8" w:rsidP="00BB6EEC">
            <w:pPr>
              <w:pStyle w:val="Sansinterligne1"/>
              <w:jc w:val="both"/>
              <w:rPr>
                <w:rFonts w:ascii="Arial" w:hAnsi="Arial" w:cs="Arial"/>
                <w:bCs/>
                <w:sz w:val="22"/>
                <w:szCs w:val="22"/>
              </w:rPr>
            </w:pPr>
            <w:r>
              <w:rPr>
                <w:rFonts w:ascii="Arial" w:hAnsi="Arial" w:hint="eastAsia"/>
                <w:sz w:val="22"/>
              </w:rPr>
              <w:t>本增编应大会第九届会议的要求（第</w:t>
            </w:r>
            <w:hyperlink r:id="rId16" w:history="1">
              <w:r>
                <w:rPr>
                  <w:rStyle w:val="Lienhypertexte"/>
                  <w:rFonts w:ascii="Arial" w:hAnsi="Arial" w:hint="eastAsia"/>
                  <w:sz w:val="22"/>
                </w:rPr>
                <w:t>9.GA 7</w:t>
              </w:r>
            </w:hyperlink>
            <w:r>
              <w:rPr>
                <w:rFonts w:ascii="Arial" w:hAnsi="Arial" w:hint="eastAsia"/>
                <w:sz w:val="22"/>
              </w:rPr>
              <w:t>号决议），提出了一项确保</w:t>
            </w:r>
            <w:r>
              <w:rPr>
                <w:rFonts w:ascii="Arial" w:hAnsi="Arial" w:hint="eastAsia"/>
                <w:sz w:val="22"/>
              </w:rPr>
              <w:t>2003</w:t>
            </w:r>
            <w:r>
              <w:rPr>
                <w:rFonts w:ascii="Arial" w:hAnsi="Arial" w:hint="eastAsia"/>
                <w:sz w:val="22"/>
              </w:rPr>
              <w:t>年《公约》下经认证的非政府组织之间地域平衡的提案</w:t>
            </w:r>
            <w:r>
              <w:rPr>
                <w:rFonts w:hint="eastAsia"/>
              </w:rPr>
              <w:t>。</w:t>
            </w:r>
          </w:p>
          <w:p w14:paraId="7D3D2AC5" w14:textId="77777777" w:rsidR="001B3FD8" w:rsidRPr="00C84BA3" w:rsidRDefault="001B3FD8" w:rsidP="00CA56BB">
            <w:pPr>
              <w:pStyle w:val="Sansinterligne2"/>
              <w:spacing w:before="200" w:after="200"/>
              <w:jc w:val="both"/>
              <w:rPr>
                <w:rFonts w:ascii="Arial" w:hAnsi="Arial" w:cs="Arial"/>
                <w:b/>
                <w:sz w:val="22"/>
                <w:szCs w:val="22"/>
              </w:rPr>
            </w:pPr>
            <w:r>
              <w:rPr>
                <w:rFonts w:ascii="Arial" w:hAnsi="Arial" w:hint="eastAsia"/>
                <w:b/>
                <w:sz w:val="22"/>
              </w:rPr>
              <w:t>需要做出的决定：</w:t>
            </w:r>
            <w:r>
              <w:rPr>
                <w:rFonts w:ascii="Arial" w:hAnsi="Arial" w:hint="eastAsia"/>
                <w:sz w:val="22"/>
              </w:rPr>
              <w:t>第</w:t>
            </w:r>
            <w:r>
              <w:rPr>
                <w:rFonts w:ascii="Arial" w:hAnsi="Arial" w:hint="eastAsia"/>
                <w:sz w:val="22"/>
              </w:rPr>
              <w:t>15</w:t>
            </w:r>
            <w:r>
              <w:rPr>
                <w:rFonts w:ascii="Arial" w:hAnsi="Arial" w:hint="eastAsia"/>
                <w:sz w:val="22"/>
              </w:rPr>
              <w:t>段</w:t>
            </w:r>
          </w:p>
        </w:tc>
      </w:tr>
    </w:tbl>
    <w:p w14:paraId="1E2E8DA0" w14:textId="77777777" w:rsidR="001B3FD8" w:rsidRPr="002676BE" w:rsidRDefault="001B3FD8" w:rsidP="00D67A44">
      <w:pPr>
        <w:pStyle w:val="Paragraphedeliste"/>
        <w:keepLines/>
        <w:spacing w:before="240" w:after="240"/>
        <w:ind w:left="0"/>
        <w:contextualSpacing w:val="0"/>
        <w:jc w:val="both"/>
        <w:rPr>
          <w:rFonts w:ascii="Arial" w:hAnsi="Arial" w:cs="Arial"/>
          <w:b/>
          <w:bCs/>
        </w:rPr>
      </w:pPr>
      <w:r>
        <w:rPr>
          <w:rFonts w:hint="eastAsia"/>
        </w:rPr>
        <w:br w:type="page"/>
      </w:r>
      <w:bookmarkStart w:id="3" w:name="_Hlk124351255"/>
      <w:r>
        <w:rPr>
          <w:rFonts w:ascii="Arial" w:hAnsi="Arial" w:hint="eastAsia"/>
          <w:b/>
          <w:snapToGrid w:val="0"/>
          <w:sz w:val="22"/>
        </w:rPr>
        <w:lastRenderedPageBreak/>
        <w:t>背景</w:t>
      </w:r>
    </w:p>
    <w:bookmarkEnd w:id="3"/>
    <w:p w14:paraId="7AFBE5EC" w14:textId="77777777" w:rsidR="001B3FD8" w:rsidRPr="00C84BA3" w:rsidRDefault="001B3FD8" w:rsidP="001B3FD8">
      <w:pPr>
        <w:pStyle w:val="COMPara"/>
        <w:numPr>
          <w:ilvl w:val="0"/>
          <w:numId w:val="9"/>
        </w:numPr>
        <w:ind w:left="567" w:hanging="567"/>
        <w:jc w:val="both"/>
      </w:pPr>
      <w:r>
        <w:rPr>
          <w:rFonts w:hint="eastAsia"/>
        </w:rPr>
        <w:t>关于</w:t>
      </w:r>
      <w:r>
        <w:rPr>
          <w:rFonts w:hint="eastAsia"/>
        </w:rPr>
        <w:t>2003</w:t>
      </w:r>
      <w:r>
        <w:rPr>
          <w:rFonts w:hint="eastAsia"/>
        </w:rPr>
        <w:t>年《公约》第九条，《公约》理事机构对经认证向委员会提供咨询意见的非政府组织中各选举组间一直缺乏地域代表性平衡</w:t>
      </w:r>
      <w:r>
        <w:rPr>
          <w:rFonts w:hint="eastAsia"/>
          <w:lang w:val="en-US"/>
        </w:rPr>
        <w:t>的情况</w:t>
      </w:r>
      <w:r>
        <w:rPr>
          <w:rFonts w:hint="eastAsia"/>
        </w:rPr>
        <w:t>感到关切。尽管</w:t>
      </w:r>
      <w:proofErr w:type="gramStart"/>
      <w:r>
        <w:rPr>
          <w:rFonts w:hint="eastAsia"/>
        </w:rPr>
        <w:t>已鼓励</w:t>
      </w:r>
      <w:proofErr w:type="gramEnd"/>
      <w:r>
        <w:rPr>
          <w:rFonts w:hint="eastAsia"/>
        </w:rPr>
        <w:t>来自代表性不足地区的合格非政府组织提交认证申请，这种地理不平衡情况多年来仍保持不变。</w:t>
      </w:r>
    </w:p>
    <w:p w14:paraId="2CB094C8" w14:textId="77777777" w:rsidR="001B3FD8" w:rsidRPr="00C84BA3" w:rsidRDefault="001B3FD8" w:rsidP="000068BB">
      <w:pPr>
        <w:pStyle w:val="COMPara"/>
        <w:spacing w:before="240"/>
        <w:jc w:val="both"/>
        <w:rPr>
          <w:b/>
          <w:bCs/>
        </w:rPr>
      </w:pPr>
      <w:r>
        <w:rPr>
          <w:rFonts w:hint="eastAsia"/>
          <w:b/>
        </w:rPr>
        <w:t>早期的反思和调整</w:t>
      </w:r>
    </w:p>
    <w:p w14:paraId="0D4894DA" w14:textId="77777777" w:rsidR="001B3FD8" w:rsidRPr="00C84BA3" w:rsidRDefault="001B3FD8" w:rsidP="001B3FD8">
      <w:pPr>
        <w:pStyle w:val="COMPara"/>
        <w:numPr>
          <w:ilvl w:val="0"/>
          <w:numId w:val="9"/>
        </w:numPr>
        <w:ind w:left="567" w:hanging="567"/>
        <w:jc w:val="both"/>
      </w:pPr>
      <w:r>
        <w:rPr>
          <w:rFonts w:hint="eastAsia"/>
        </w:rPr>
        <w:t>2017</w:t>
      </w:r>
      <w:r>
        <w:rPr>
          <w:rFonts w:hint="eastAsia"/>
        </w:rPr>
        <w:t>年，委员会在第十二届会议上启动了对经认证的非政府组织咨询角色的反思进程（第</w:t>
      </w:r>
      <w:hyperlink r:id="rId17" w:history="1">
        <w:r>
          <w:rPr>
            <w:rStyle w:val="Lienhypertexte"/>
            <w:rFonts w:hint="eastAsia"/>
          </w:rPr>
          <w:t xml:space="preserve"> 12.COM 13</w:t>
        </w:r>
      </w:hyperlink>
      <w:r>
        <w:rPr>
          <w:rFonts w:hint="eastAsia"/>
        </w:rPr>
        <w:t>号决定和第</w:t>
      </w:r>
      <w:hyperlink r:id="rId18" w:history="1">
        <w:r>
          <w:rPr>
            <w:rStyle w:val="Lienhypertexte"/>
            <w:rFonts w:hint="eastAsia"/>
          </w:rPr>
          <w:t>12.COM 17</w:t>
        </w:r>
      </w:hyperlink>
      <w:r>
        <w:rPr>
          <w:rFonts w:hint="eastAsia"/>
        </w:rPr>
        <w:t>号决定），还提出了经认证的非政府组织地域分配不平衡的问题。总体而言，</w:t>
      </w:r>
      <w:r>
        <w:rPr>
          <w:rFonts w:hint="eastAsia"/>
        </w:rPr>
        <w:t>76</w:t>
      </w:r>
      <w:r>
        <w:rPr>
          <w:rFonts w:hint="eastAsia"/>
        </w:rPr>
        <w:t>个国家和</w:t>
      </w:r>
      <w:r>
        <w:rPr>
          <w:rFonts w:hint="eastAsia"/>
        </w:rPr>
        <w:t>99</w:t>
      </w:r>
      <w:r>
        <w:rPr>
          <w:rFonts w:hint="eastAsia"/>
        </w:rPr>
        <w:t>个经认证的非政府组织至少参与了反思进程的一个阶段，无论是电子咨询、磋商会议、不限成员名额非正式特设工作组，还是委员会</w:t>
      </w:r>
      <w:r>
        <w:rPr>
          <w:rFonts w:hint="eastAsia"/>
        </w:rPr>
        <w:t>2018</w:t>
      </w:r>
      <w:r>
        <w:rPr>
          <w:rFonts w:hint="eastAsia"/>
        </w:rPr>
        <w:t>年第十三届会议的辩论。</w:t>
      </w:r>
      <w:r>
        <w:rPr>
          <w:rFonts w:hint="eastAsia"/>
        </w:rPr>
        <w:t>2019</w:t>
      </w:r>
      <w:r>
        <w:rPr>
          <w:rFonts w:hint="eastAsia"/>
        </w:rPr>
        <w:t>年委员会第十四届会议讨论了反思的结果（第</w:t>
      </w:r>
      <w:hyperlink r:id="rId19" w:history="1">
        <w:r>
          <w:rPr>
            <w:rStyle w:val="Lienhypertexte"/>
            <w:rFonts w:hint="eastAsia"/>
          </w:rPr>
          <w:t>14.COM 15</w:t>
        </w:r>
      </w:hyperlink>
      <w:r>
        <w:rPr>
          <w:rFonts w:hint="eastAsia"/>
        </w:rPr>
        <w:t>号决定），包括以下要点：</w:t>
      </w:r>
    </w:p>
    <w:p w14:paraId="34831AA8" w14:textId="77777777" w:rsidR="001B3FD8" w:rsidRPr="00C84BA3" w:rsidRDefault="001B3FD8" w:rsidP="001B3FD8">
      <w:pPr>
        <w:pStyle w:val="COMPara"/>
        <w:numPr>
          <w:ilvl w:val="0"/>
          <w:numId w:val="58"/>
        </w:numPr>
        <w:jc w:val="both"/>
      </w:pPr>
      <w:r>
        <w:rPr>
          <w:rFonts w:hint="eastAsia"/>
          <w:shd w:val="clear" w:color="auto" w:fill="FFFFFF" w:themeFill="background1"/>
        </w:rPr>
        <w:t>反思进程的结论是，</w:t>
      </w:r>
      <w:r>
        <w:rPr>
          <w:rFonts w:hint="eastAsia"/>
        </w:rPr>
        <w:t>不欢迎设立以针对代表性过高地区的经认证的非政府组织的最高限额。相反，人们倾向于采取举措提高对认证制度的认识，培养代表性不足地区的非政府组织的能力。</w:t>
      </w:r>
    </w:p>
    <w:p w14:paraId="24A25FFF" w14:textId="77777777" w:rsidR="001B3FD8" w:rsidRPr="00C84BA3" w:rsidRDefault="001B3FD8" w:rsidP="001B3FD8">
      <w:pPr>
        <w:pStyle w:val="COMPara"/>
        <w:numPr>
          <w:ilvl w:val="0"/>
          <w:numId w:val="58"/>
        </w:numPr>
        <w:jc w:val="both"/>
      </w:pPr>
      <w:r>
        <w:rPr>
          <w:rFonts w:hint="eastAsia"/>
        </w:rPr>
        <w:t>此外，委员会还要求通过委员会与非物质文化遗产非政府组织论坛之间更有意义、更定期的互动来听取非政府组织的意见，因此决定在</w:t>
      </w:r>
      <w:r>
        <w:rPr>
          <w:rFonts w:hint="eastAsia"/>
        </w:rPr>
        <w:t>2020</w:t>
      </w:r>
      <w:r>
        <w:rPr>
          <w:rFonts w:hint="eastAsia"/>
        </w:rPr>
        <w:t>年第十五届常会上试验性地包含一个关于“非政府组织论坛报告”的具体议程。</w:t>
      </w:r>
      <w:r>
        <w:rPr>
          <w:rFonts w:hint="eastAsia"/>
        </w:rPr>
        <w:t xml:space="preserve"> </w:t>
      </w:r>
    </w:p>
    <w:p w14:paraId="04497FA0" w14:textId="77777777" w:rsidR="001B3FD8" w:rsidRPr="00C84BA3" w:rsidRDefault="001B3FD8" w:rsidP="001B3FD8">
      <w:pPr>
        <w:pStyle w:val="COMPara"/>
        <w:numPr>
          <w:ilvl w:val="0"/>
          <w:numId w:val="58"/>
        </w:numPr>
        <w:jc w:val="both"/>
      </w:pPr>
      <w:r>
        <w:rPr>
          <w:rFonts w:hint="eastAsia"/>
        </w:rPr>
        <w:t>委员会还决定，摸清经认证的非政府组织的网络对于促进它们参与执行《公约》和委员会的工作十分重要。为此，要求秘书处从经认证的非政府组织那里收集相关信息，以摸清其专业领域并记录其能力。</w:t>
      </w:r>
    </w:p>
    <w:p w14:paraId="12B1C344" w14:textId="77777777" w:rsidR="001B3FD8" w:rsidRPr="00C84BA3" w:rsidRDefault="001B3FD8" w:rsidP="001B3FD8">
      <w:pPr>
        <w:pStyle w:val="COMPara"/>
        <w:numPr>
          <w:ilvl w:val="0"/>
          <w:numId w:val="9"/>
        </w:numPr>
        <w:ind w:left="567" w:hanging="567"/>
        <w:jc w:val="both"/>
      </w:pPr>
      <w:r>
        <w:rPr>
          <w:rFonts w:hint="eastAsia"/>
        </w:rPr>
        <w:t>大会第八届会议注意到反思进程的结果，要求秘书处与非物质文化遗产非政府组织论坛协商合作，执行委员会的相关决定（第</w:t>
      </w:r>
      <w:hyperlink r:id="rId20" w:history="1">
        <w:r>
          <w:rPr>
            <w:rStyle w:val="Lienhypertexte"/>
            <w:rFonts w:hint="eastAsia"/>
          </w:rPr>
          <w:t>8.GA 12</w:t>
        </w:r>
      </w:hyperlink>
      <w:r>
        <w:rPr>
          <w:rFonts w:hint="eastAsia"/>
        </w:rPr>
        <w:t>号决议）。在这方面，委员会在第十六届会议（</w:t>
      </w:r>
      <w:r>
        <w:rPr>
          <w:rFonts w:hint="eastAsia"/>
        </w:rPr>
        <w:t>2021</w:t>
      </w:r>
      <w:r>
        <w:rPr>
          <w:rFonts w:hint="eastAsia"/>
        </w:rPr>
        <w:t>年）、第十七届会议（</w:t>
      </w:r>
      <w:r>
        <w:rPr>
          <w:rFonts w:hint="eastAsia"/>
        </w:rPr>
        <w:t>2022</w:t>
      </w:r>
      <w:r>
        <w:rPr>
          <w:rFonts w:hint="eastAsia"/>
        </w:rPr>
        <w:t>年）和第十八届会议（</w:t>
      </w:r>
      <w:r>
        <w:rPr>
          <w:rFonts w:hint="eastAsia"/>
        </w:rPr>
        <w:t>2023</w:t>
      </w:r>
      <w:r>
        <w:rPr>
          <w:rFonts w:hint="eastAsia"/>
        </w:rPr>
        <w:t>年）上包含了一个关于“非政府组织论坛报告”的独立议程。此外，</w:t>
      </w:r>
      <w:r>
        <w:rPr>
          <w:rFonts w:hint="eastAsia"/>
        </w:rPr>
        <w:t>2023</w:t>
      </w:r>
      <w:r>
        <w:rPr>
          <w:rFonts w:hint="eastAsia"/>
        </w:rPr>
        <w:t>年，与非物质文化遗产非政府组织论坛合作完成了第一轮摸底工作，摸清了</w:t>
      </w:r>
      <w:r>
        <w:rPr>
          <w:rFonts w:hint="eastAsia"/>
        </w:rPr>
        <w:t>65</w:t>
      </w:r>
      <w:r>
        <w:rPr>
          <w:rFonts w:hint="eastAsia"/>
        </w:rPr>
        <w:t>个经认证的非政府组织的专业领域，摸底结果已提交给委员会第十八届会议，可通过专门针对经认证非政府组织的《公约》</w:t>
      </w:r>
      <w:hyperlink r:id="rId21" w:history="1">
        <w:r>
          <w:rPr>
            <w:rStyle w:val="Lienhypertexte"/>
            <w:rFonts w:hint="eastAsia"/>
          </w:rPr>
          <w:t>网页</w:t>
        </w:r>
      </w:hyperlink>
      <w:r>
        <w:rPr>
          <w:rFonts w:hint="eastAsia"/>
        </w:rPr>
        <w:t>查阅。委员会鼓励秘书处继续与非物质文化遗产非政府组织论坛合作，确保摸底工作囊括所有其余经认证的非政府组织。</w:t>
      </w:r>
    </w:p>
    <w:p w14:paraId="489CCCA3" w14:textId="77777777" w:rsidR="001B3FD8" w:rsidRPr="00C84BA3" w:rsidRDefault="001B3FD8" w:rsidP="00DB2741">
      <w:pPr>
        <w:pStyle w:val="COMPara"/>
        <w:spacing w:before="240"/>
        <w:jc w:val="both"/>
        <w:rPr>
          <w:b/>
          <w:bCs/>
        </w:rPr>
      </w:pPr>
      <w:r>
        <w:rPr>
          <w:rFonts w:hint="eastAsia"/>
          <w:b/>
        </w:rPr>
        <w:t>新的行动呼吁</w:t>
      </w:r>
    </w:p>
    <w:p w14:paraId="42636740" w14:textId="77777777" w:rsidR="001B3FD8" w:rsidRPr="00C84BA3" w:rsidRDefault="001B3FD8" w:rsidP="001B3FD8">
      <w:pPr>
        <w:pStyle w:val="COMPara"/>
        <w:numPr>
          <w:ilvl w:val="0"/>
          <w:numId w:val="9"/>
        </w:numPr>
        <w:ind w:left="567" w:hanging="567"/>
        <w:jc w:val="both"/>
      </w:pPr>
      <w:r>
        <w:rPr>
          <w:rFonts w:hint="eastAsia"/>
        </w:rPr>
        <w:t>在完成对</w:t>
      </w:r>
      <w:r>
        <w:rPr>
          <w:rFonts w:hint="eastAsia"/>
        </w:rPr>
        <w:t>2003</w:t>
      </w:r>
      <w:r>
        <w:rPr>
          <w:rFonts w:hint="eastAsia"/>
        </w:rPr>
        <w:t>年《公约》列名机制的全球反思（</w:t>
      </w:r>
      <w:r>
        <w:rPr>
          <w:rFonts w:hint="eastAsia"/>
        </w:rPr>
        <w:t>2018-2022</w:t>
      </w:r>
      <w:r>
        <w:rPr>
          <w:rFonts w:hint="eastAsia"/>
        </w:rPr>
        <w:t>年）以及</w:t>
      </w:r>
      <w:r>
        <w:rPr>
          <w:rFonts w:hint="eastAsia"/>
        </w:rPr>
        <w:t>2023</w:t>
      </w:r>
      <w:r>
        <w:rPr>
          <w:rFonts w:hint="eastAsia"/>
        </w:rPr>
        <w:t>年《公约》二十周年筹备工作的背景下，</w:t>
      </w:r>
      <w:r>
        <w:rPr>
          <w:rFonts w:hint="eastAsia"/>
        </w:rPr>
        <w:t>2022</w:t>
      </w:r>
      <w:r>
        <w:rPr>
          <w:rFonts w:hint="eastAsia"/>
        </w:rPr>
        <w:t>年大会第九届会议再度考虑了经认证的非政府组织地域代表性不平衡的问题。在认证了</w:t>
      </w:r>
      <w:r>
        <w:rPr>
          <w:rFonts w:hint="eastAsia"/>
        </w:rPr>
        <w:t>33</w:t>
      </w:r>
      <w:r>
        <w:rPr>
          <w:rFonts w:hint="eastAsia"/>
        </w:rPr>
        <w:t>个新的非政府组织之后，当时经认证的非政府组织的区域分布如下：第</w:t>
      </w:r>
      <w:r>
        <w:rPr>
          <w:rFonts w:hint="eastAsia"/>
        </w:rPr>
        <w:t>I</w:t>
      </w:r>
      <w:r>
        <w:rPr>
          <w:rFonts w:hint="eastAsia"/>
        </w:rPr>
        <w:t>组：</w:t>
      </w:r>
      <w:r>
        <w:rPr>
          <w:rFonts w:hint="eastAsia"/>
        </w:rPr>
        <w:t>53%</w:t>
      </w:r>
      <w:r>
        <w:rPr>
          <w:rFonts w:hint="eastAsia"/>
        </w:rPr>
        <w:t>，第</w:t>
      </w:r>
      <w:r>
        <w:rPr>
          <w:rFonts w:hint="eastAsia"/>
        </w:rPr>
        <w:t>II</w:t>
      </w:r>
      <w:r>
        <w:rPr>
          <w:rFonts w:hint="eastAsia"/>
        </w:rPr>
        <w:t>组：</w:t>
      </w:r>
      <w:r>
        <w:rPr>
          <w:rFonts w:hint="eastAsia"/>
        </w:rPr>
        <w:t>10%</w:t>
      </w:r>
      <w:r>
        <w:rPr>
          <w:rFonts w:hint="eastAsia"/>
        </w:rPr>
        <w:t>，第</w:t>
      </w:r>
      <w:r>
        <w:rPr>
          <w:rFonts w:hint="eastAsia"/>
        </w:rPr>
        <w:t>III</w:t>
      </w:r>
      <w:r>
        <w:rPr>
          <w:rFonts w:hint="eastAsia"/>
        </w:rPr>
        <w:t>组：</w:t>
      </w:r>
      <w:r>
        <w:rPr>
          <w:rFonts w:hint="eastAsia"/>
        </w:rPr>
        <w:t>7%</w:t>
      </w:r>
      <w:r>
        <w:rPr>
          <w:rFonts w:hint="eastAsia"/>
        </w:rPr>
        <w:t>，第</w:t>
      </w:r>
      <w:r>
        <w:rPr>
          <w:rFonts w:hint="eastAsia"/>
        </w:rPr>
        <w:t>IV</w:t>
      </w:r>
      <w:r>
        <w:rPr>
          <w:rFonts w:hint="eastAsia"/>
        </w:rPr>
        <w:t>组：</w:t>
      </w:r>
      <w:r>
        <w:rPr>
          <w:rFonts w:hint="eastAsia"/>
        </w:rPr>
        <w:t>14%</w:t>
      </w:r>
      <w:r>
        <w:rPr>
          <w:rFonts w:hint="eastAsia"/>
        </w:rPr>
        <w:t>，第</w:t>
      </w:r>
      <w:r>
        <w:rPr>
          <w:rFonts w:hint="eastAsia"/>
        </w:rPr>
        <w:t>V</w:t>
      </w:r>
      <w:r>
        <w:rPr>
          <w:rFonts w:hint="eastAsia"/>
        </w:rPr>
        <w:t>（</w:t>
      </w:r>
      <w:r>
        <w:rPr>
          <w:rFonts w:hint="eastAsia"/>
        </w:rPr>
        <w:t>a</w:t>
      </w:r>
      <w:r>
        <w:rPr>
          <w:rFonts w:hint="eastAsia"/>
        </w:rPr>
        <w:t>）组：</w:t>
      </w:r>
      <w:r>
        <w:rPr>
          <w:rFonts w:hint="eastAsia"/>
        </w:rPr>
        <w:t>12%</w:t>
      </w:r>
      <w:r>
        <w:rPr>
          <w:rFonts w:hint="eastAsia"/>
        </w:rPr>
        <w:t>，第</w:t>
      </w:r>
      <w:r>
        <w:rPr>
          <w:rFonts w:hint="eastAsia"/>
        </w:rPr>
        <w:t>V</w:t>
      </w:r>
      <w:r>
        <w:rPr>
          <w:rFonts w:hint="eastAsia"/>
        </w:rPr>
        <w:t>（</w:t>
      </w:r>
      <w:r>
        <w:rPr>
          <w:rFonts w:hint="eastAsia"/>
        </w:rPr>
        <w:t>b</w:t>
      </w:r>
      <w:r>
        <w:rPr>
          <w:rFonts w:hint="eastAsia"/>
        </w:rPr>
        <w:t>）组：</w:t>
      </w:r>
      <w:r>
        <w:rPr>
          <w:rFonts w:hint="eastAsia"/>
        </w:rPr>
        <w:t>5%</w:t>
      </w:r>
      <w:r>
        <w:rPr>
          <w:rFonts w:hint="eastAsia"/>
        </w:rPr>
        <w:t>。鉴于各地区之间的持续不平衡，有必要采取更强有力的行动吸引来自代表性不足地区的非政府组织。</w:t>
      </w:r>
    </w:p>
    <w:p w14:paraId="7A7CDA83" w14:textId="77777777" w:rsidR="001B3FD8" w:rsidRPr="00C84BA3" w:rsidRDefault="001B3FD8" w:rsidP="001B3FD8">
      <w:pPr>
        <w:pStyle w:val="COMPara"/>
        <w:numPr>
          <w:ilvl w:val="0"/>
          <w:numId w:val="9"/>
        </w:numPr>
        <w:ind w:left="567" w:hanging="567"/>
        <w:jc w:val="both"/>
      </w:pPr>
      <w:r>
        <w:rPr>
          <w:rFonts w:hint="eastAsia"/>
        </w:rPr>
        <w:t>因此，</w:t>
      </w:r>
      <w:r>
        <w:rPr>
          <w:rFonts w:hint="eastAsia"/>
        </w:rPr>
        <w:t>2022</w:t>
      </w:r>
      <w:r>
        <w:rPr>
          <w:rFonts w:hint="eastAsia"/>
        </w:rPr>
        <w:t>年大会第九届会议要求秘书处与各缔约国、全国委员会和非物质文化遗产非政府组织论坛协商，向大会第十届会议提交“旨在确保经认证的非政府组织之间地域平衡的计划、战略和明确机制”（第</w:t>
      </w:r>
      <w:hyperlink r:id="rId22" w:history="1">
        <w:r>
          <w:rPr>
            <w:rStyle w:val="Lienhypertexte"/>
            <w:rFonts w:hint="eastAsia"/>
          </w:rPr>
          <w:t>9.GA 7</w:t>
        </w:r>
      </w:hyperlink>
      <w:r>
        <w:rPr>
          <w:rFonts w:hint="eastAsia"/>
        </w:rPr>
        <w:t>号决议）。</w:t>
      </w:r>
    </w:p>
    <w:p w14:paraId="22D7D2BF" w14:textId="77777777" w:rsidR="001B3FD8" w:rsidRPr="00C84BA3" w:rsidRDefault="001B3FD8" w:rsidP="008000B4">
      <w:pPr>
        <w:pStyle w:val="COMPara"/>
        <w:spacing w:before="240"/>
        <w:jc w:val="both"/>
        <w:rPr>
          <w:b/>
          <w:bCs/>
        </w:rPr>
      </w:pPr>
      <w:r>
        <w:rPr>
          <w:rFonts w:hint="eastAsia"/>
          <w:b/>
        </w:rPr>
        <w:t>朝着制定计划的方向迈进</w:t>
      </w:r>
    </w:p>
    <w:p w14:paraId="4CBCA64E" w14:textId="77777777" w:rsidR="001B3FD8" w:rsidRPr="00C84BA3" w:rsidRDefault="001B3FD8" w:rsidP="001B3FD8">
      <w:pPr>
        <w:pStyle w:val="COMPara"/>
        <w:numPr>
          <w:ilvl w:val="0"/>
          <w:numId w:val="9"/>
        </w:numPr>
        <w:ind w:left="567" w:hanging="567"/>
        <w:jc w:val="both"/>
      </w:pPr>
      <w:r>
        <w:rPr>
          <w:rFonts w:hint="eastAsia"/>
        </w:rPr>
        <w:t>以下行动为制定所要求的计划提供了必要的要素：</w:t>
      </w:r>
    </w:p>
    <w:p w14:paraId="7C44CBA9" w14:textId="77777777" w:rsidR="001B3FD8" w:rsidRPr="00C84BA3" w:rsidRDefault="001B3FD8" w:rsidP="00D74D86">
      <w:pPr>
        <w:pStyle w:val="COMPara"/>
        <w:keepNext/>
        <w:ind w:left="567"/>
        <w:jc w:val="both"/>
        <w:rPr>
          <w:u w:val="single"/>
        </w:rPr>
      </w:pPr>
      <w:r>
        <w:rPr>
          <w:rFonts w:hint="eastAsia"/>
          <w:u w:val="single"/>
        </w:rPr>
        <w:lastRenderedPageBreak/>
        <w:t>非物质文化遗产非政府组织论坛和第</w:t>
      </w:r>
      <w:r>
        <w:rPr>
          <w:rFonts w:hint="eastAsia"/>
          <w:u w:val="single"/>
        </w:rPr>
        <w:t>2</w:t>
      </w:r>
      <w:r>
        <w:rPr>
          <w:rFonts w:hint="eastAsia"/>
          <w:u w:val="single"/>
        </w:rPr>
        <w:t>类中心</w:t>
      </w:r>
    </w:p>
    <w:p w14:paraId="7645FD9D" w14:textId="77777777" w:rsidR="001B3FD8" w:rsidRPr="00C84BA3" w:rsidRDefault="001B3FD8" w:rsidP="001B3FD8">
      <w:pPr>
        <w:pStyle w:val="COMPara"/>
        <w:keepNext/>
        <w:numPr>
          <w:ilvl w:val="0"/>
          <w:numId w:val="9"/>
        </w:numPr>
        <w:ind w:left="567" w:hanging="567"/>
        <w:jc w:val="both"/>
      </w:pPr>
      <w:r>
        <w:rPr>
          <w:rFonts w:hint="eastAsia"/>
        </w:rPr>
        <w:t>如</w:t>
      </w:r>
      <w:r>
        <w:rPr>
          <w:rFonts w:hint="eastAsia"/>
        </w:rPr>
        <w:t>2023</w:t>
      </w:r>
      <w:r>
        <w:rPr>
          <w:rFonts w:hint="eastAsia"/>
        </w:rPr>
        <w:t>年委员会第十八届会议所赞赏，非物质文化遗产非政府组织论坛成立了一个专门的工作组在</w:t>
      </w:r>
      <w:r>
        <w:rPr>
          <w:rFonts w:hint="eastAsia"/>
        </w:rPr>
        <w:t>2022</w:t>
      </w:r>
      <w:r>
        <w:rPr>
          <w:rFonts w:hint="eastAsia"/>
        </w:rPr>
        <w:t>年开展活动，旨在增加位于代表性不足地区的非政府组织数量（第</w:t>
      </w:r>
      <w:hyperlink r:id="rId23" w:history="1">
        <w:r>
          <w:rPr>
            <w:rStyle w:val="Lienhypertexte"/>
            <w:rFonts w:hint="eastAsia"/>
          </w:rPr>
          <w:t>18.COM 15</w:t>
        </w:r>
      </w:hyperlink>
      <w:r>
        <w:rPr>
          <w:rFonts w:hint="eastAsia"/>
        </w:rPr>
        <w:t>号决定）。在列出的所有行动要点中，非物质文化遗产非政府组织论坛特别报告称：</w:t>
      </w:r>
    </w:p>
    <w:tbl>
      <w:tblPr>
        <w:tblStyle w:val="Grilledutableau"/>
        <w:tblW w:w="0" w:type="auto"/>
        <w:tblInd w:w="562" w:type="dxa"/>
        <w:tblLook w:val="04A0" w:firstRow="1" w:lastRow="0" w:firstColumn="1" w:lastColumn="0" w:noHBand="0" w:noVBand="1"/>
      </w:tblPr>
      <w:tblGrid>
        <w:gridCol w:w="9066"/>
      </w:tblGrid>
      <w:tr w:rsidR="001B3FD8" w:rsidRPr="00C84BA3" w14:paraId="36FFB1A7" w14:textId="77777777" w:rsidTr="009873C0">
        <w:tc>
          <w:tcPr>
            <w:tcW w:w="9066" w:type="dxa"/>
          </w:tcPr>
          <w:p w14:paraId="761F6D89" w14:textId="77777777" w:rsidR="001B3FD8" w:rsidRPr="00C84BA3" w:rsidRDefault="001B3FD8" w:rsidP="00563EB2">
            <w:pPr>
              <w:spacing w:before="120" w:after="120"/>
              <w:jc w:val="both"/>
              <w:textAlignment w:val="baseline"/>
              <w:rPr>
                <w:rFonts w:asciiTheme="minorBidi" w:eastAsiaTheme="minorEastAsia" w:hAnsiTheme="minorBidi" w:cstheme="minorBidi"/>
                <w:sz w:val="22"/>
                <w:szCs w:val="22"/>
              </w:rPr>
            </w:pPr>
            <w:r>
              <w:rPr>
                <w:rFonts w:ascii="Arial" w:hAnsi="Arial" w:hint="eastAsia"/>
                <w:snapToGrid w:val="0"/>
                <w:sz w:val="22"/>
              </w:rPr>
              <w:t>“在</w:t>
            </w:r>
            <w:r>
              <w:rPr>
                <w:rFonts w:ascii="Arial" w:hAnsi="Arial" w:hint="eastAsia"/>
                <w:snapToGrid w:val="0"/>
                <w:sz w:val="22"/>
              </w:rPr>
              <w:t>4</w:t>
            </w:r>
            <w:r>
              <w:rPr>
                <w:rFonts w:ascii="Arial" w:hAnsi="Arial" w:hint="eastAsia"/>
                <w:snapToGrid w:val="0"/>
                <w:sz w:val="22"/>
              </w:rPr>
              <w:t>月</w:t>
            </w:r>
            <w:r>
              <w:rPr>
                <w:rFonts w:ascii="Arial" w:hAnsi="Arial" w:hint="eastAsia"/>
                <w:snapToGrid w:val="0"/>
                <w:sz w:val="22"/>
              </w:rPr>
              <w:t>30</w:t>
            </w:r>
            <w:r>
              <w:rPr>
                <w:rFonts w:ascii="Arial" w:hAnsi="Arial" w:hint="eastAsia"/>
                <w:snapToGrid w:val="0"/>
                <w:sz w:val="22"/>
              </w:rPr>
              <w:t>日认证截止日期之前的四个月中，论坛在代表性不足的地区举办了在线</w:t>
            </w:r>
            <w:r>
              <w:rPr>
                <w:rFonts w:asciiTheme="minorBidi" w:eastAsiaTheme="minorEastAsia" w:hAnsiTheme="minorBidi" w:hint="eastAsia"/>
                <w:sz w:val="22"/>
              </w:rPr>
              <w:t>研讨会和情况介绍会，介绍了《公约》和论坛，概述了认证的益处，并就如何填写认证表格提供了分步指导</w:t>
            </w:r>
            <w:r>
              <w:rPr>
                <w:rFonts w:hint="eastAsia"/>
                <w:sz w:val="22"/>
              </w:rPr>
              <w:t>。</w:t>
            </w:r>
            <w:r>
              <w:rPr>
                <w:rFonts w:asciiTheme="minorBidi" w:eastAsiaTheme="minorEastAsia" w:hAnsiTheme="minorBidi" w:hint="eastAsia"/>
                <w:sz w:val="22"/>
              </w:rPr>
              <w:t>这些活动发生在</w:t>
            </w:r>
            <w:r>
              <w:rPr>
                <w:rFonts w:asciiTheme="minorBidi" w:eastAsiaTheme="minorEastAsia" w:hAnsiTheme="minorBidi" w:hint="eastAsia"/>
                <w:sz w:val="22"/>
              </w:rPr>
              <w:t xml:space="preserve"> EG III</w:t>
            </w:r>
            <w:r>
              <w:rPr>
                <w:rFonts w:asciiTheme="minorBidi" w:eastAsiaTheme="minorEastAsia" w:hAnsiTheme="minorBidi" w:hint="eastAsia"/>
                <w:sz w:val="22"/>
              </w:rPr>
              <w:t>（拉丁美洲和加勒比地区）、</w:t>
            </w:r>
            <w:r>
              <w:rPr>
                <w:rFonts w:asciiTheme="minorBidi" w:eastAsiaTheme="minorEastAsia" w:hAnsiTheme="minorBidi" w:hint="eastAsia"/>
                <w:sz w:val="22"/>
              </w:rPr>
              <w:t>EG IV</w:t>
            </w:r>
            <w:r>
              <w:rPr>
                <w:rFonts w:asciiTheme="minorBidi" w:eastAsiaTheme="minorEastAsia" w:hAnsiTheme="minorBidi" w:hint="eastAsia"/>
                <w:sz w:val="22"/>
              </w:rPr>
              <w:t>（亚太地区）、</w:t>
            </w:r>
            <w:r>
              <w:rPr>
                <w:rFonts w:asciiTheme="minorBidi" w:eastAsiaTheme="minorEastAsia" w:hAnsiTheme="minorBidi" w:hint="eastAsia"/>
                <w:sz w:val="22"/>
              </w:rPr>
              <w:t>EG Va</w:t>
            </w:r>
            <w:r>
              <w:rPr>
                <w:rFonts w:asciiTheme="minorBidi" w:eastAsiaTheme="minorEastAsia" w:hAnsiTheme="minorBidi" w:hint="eastAsia"/>
                <w:sz w:val="22"/>
              </w:rPr>
              <w:t>（非洲）和</w:t>
            </w:r>
            <w:r>
              <w:rPr>
                <w:rFonts w:asciiTheme="minorBidi" w:eastAsiaTheme="minorEastAsia" w:hAnsiTheme="minorBidi" w:hint="eastAsia"/>
                <w:sz w:val="22"/>
              </w:rPr>
              <w:t xml:space="preserve"> EG II</w:t>
            </w:r>
            <w:r>
              <w:rPr>
                <w:rFonts w:asciiTheme="minorBidi" w:eastAsiaTheme="minorEastAsia" w:hAnsiTheme="minorBidi" w:hint="eastAsia"/>
                <w:sz w:val="22"/>
              </w:rPr>
              <w:t>（东欧）。这些活动的出席率一直很高，有多达</w:t>
            </w:r>
            <w:r>
              <w:rPr>
                <w:rFonts w:asciiTheme="minorBidi" w:eastAsiaTheme="minorEastAsia" w:hAnsiTheme="minorBidi" w:hint="eastAsia"/>
                <w:sz w:val="22"/>
              </w:rPr>
              <w:t>31</w:t>
            </w:r>
            <w:r>
              <w:rPr>
                <w:rFonts w:asciiTheme="minorBidi" w:eastAsiaTheme="minorEastAsia" w:hAnsiTheme="minorBidi" w:hint="eastAsia"/>
                <w:sz w:val="22"/>
              </w:rPr>
              <w:t>个非政府组织参加。</w:t>
            </w:r>
            <w:r>
              <w:rPr>
                <w:rFonts w:asciiTheme="minorBidi" w:eastAsiaTheme="minorEastAsia" w:hAnsiTheme="minorBidi" w:hint="eastAsia"/>
                <w:sz w:val="22"/>
              </w:rPr>
              <w:t>EG II</w:t>
            </w:r>
            <w:r>
              <w:rPr>
                <w:rFonts w:asciiTheme="minorBidi" w:eastAsiaTheme="minorEastAsia" w:hAnsiTheme="minorBidi" w:hint="eastAsia"/>
                <w:sz w:val="22"/>
              </w:rPr>
              <w:t>和</w:t>
            </w:r>
            <w:r>
              <w:rPr>
                <w:rFonts w:asciiTheme="minorBidi" w:eastAsiaTheme="minorEastAsia" w:hAnsiTheme="minorBidi" w:hint="eastAsia"/>
                <w:sz w:val="22"/>
              </w:rPr>
              <w:t>III</w:t>
            </w:r>
            <w:r>
              <w:rPr>
                <w:rFonts w:asciiTheme="minorBidi" w:eastAsiaTheme="minorEastAsia" w:hAnsiTheme="minorBidi" w:hint="eastAsia"/>
                <w:sz w:val="22"/>
              </w:rPr>
              <w:t>的研讨会与第</w:t>
            </w:r>
            <w:r>
              <w:rPr>
                <w:rFonts w:asciiTheme="minorBidi" w:eastAsiaTheme="minorEastAsia" w:hAnsiTheme="minorBidi" w:hint="eastAsia"/>
                <w:sz w:val="22"/>
              </w:rPr>
              <w:t>2</w:t>
            </w:r>
            <w:r>
              <w:rPr>
                <w:rFonts w:asciiTheme="minorBidi" w:eastAsiaTheme="minorEastAsia" w:hAnsiTheme="minorBidi" w:hint="eastAsia"/>
                <w:sz w:val="22"/>
              </w:rPr>
              <w:t>类中心联合举办。”</w:t>
            </w:r>
          </w:p>
          <w:p w14:paraId="2EBA2A90" w14:textId="77777777" w:rsidR="001B3FD8" w:rsidRPr="00C84BA3" w:rsidRDefault="001B3FD8" w:rsidP="00563EB2">
            <w:pPr>
              <w:spacing w:before="120" w:after="120"/>
              <w:jc w:val="right"/>
              <w:textAlignment w:val="baseline"/>
              <w:rPr>
                <w:rFonts w:asciiTheme="minorBidi" w:eastAsiaTheme="minorEastAsia" w:hAnsiTheme="minorBidi" w:cstheme="minorBidi"/>
                <w:sz w:val="22"/>
                <w:szCs w:val="22"/>
              </w:rPr>
            </w:pPr>
            <w:r>
              <w:rPr>
                <w:rFonts w:asciiTheme="minorBidi" w:eastAsiaTheme="minorEastAsia" w:hAnsiTheme="minorBidi" w:hint="eastAsia"/>
                <w:sz w:val="22"/>
              </w:rPr>
              <w:t>18.COM 15</w:t>
            </w:r>
            <w:r>
              <w:rPr>
                <w:rFonts w:asciiTheme="minorBidi" w:eastAsiaTheme="minorEastAsia" w:hAnsiTheme="minorBidi" w:hint="eastAsia"/>
                <w:sz w:val="22"/>
              </w:rPr>
              <w:t>文件摘录</w:t>
            </w:r>
          </w:p>
        </w:tc>
      </w:tr>
    </w:tbl>
    <w:p w14:paraId="0A4F1742" w14:textId="77777777" w:rsidR="001B3FD8" w:rsidRPr="00C84BA3" w:rsidRDefault="001B3FD8" w:rsidP="001B3FD8">
      <w:pPr>
        <w:pStyle w:val="COMPara"/>
        <w:keepNext/>
        <w:numPr>
          <w:ilvl w:val="0"/>
          <w:numId w:val="9"/>
        </w:numPr>
        <w:spacing w:before="240"/>
        <w:ind w:left="567" w:hanging="567"/>
        <w:jc w:val="both"/>
      </w:pPr>
      <w:r>
        <w:rPr>
          <w:rFonts w:hint="eastAsia"/>
        </w:rPr>
        <w:t>非物质文化遗产非政府组织论坛还制定了一项行动计划，其中包括：</w:t>
      </w:r>
      <w:r>
        <w:rPr>
          <w:rFonts w:hint="eastAsia"/>
        </w:rPr>
        <w:t xml:space="preserve">(a) </w:t>
      </w:r>
      <w:r>
        <w:rPr>
          <w:rFonts w:hint="eastAsia"/>
        </w:rPr>
        <w:t>建立代表性不足地区未认证非政府组织的数据库；</w:t>
      </w:r>
      <w:r>
        <w:rPr>
          <w:rFonts w:hint="eastAsia"/>
        </w:rPr>
        <w:t xml:space="preserve">(b) </w:t>
      </w:r>
      <w:r>
        <w:rPr>
          <w:rFonts w:hint="eastAsia"/>
        </w:rPr>
        <w:t>开发一个包含旨在提升意识的短视频和传单的工具包；</w:t>
      </w:r>
      <w:r>
        <w:rPr>
          <w:rFonts w:hint="eastAsia"/>
        </w:rPr>
        <w:t xml:space="preserve">(c) </w:t>
      </w:r>
      <w:r>
        <w:rPr>
          <w:rFonts w:hint="eastAsia"/>
        </w:rPr>
        <w:t>与代表性不足地区的缔约国合作提出认证申请；</w:t>
      </w:r>
      <w:r>
        <w:rPr>
          <w:rFonts w:hint="eastAsia"/>
        </w:rPr>
        <w:t xml:space="preserve">(d) </w:t>
      </w:r>
      <w:r>
        <w:rPr>
          <w:rFonts w:hint="eastAsia"/>
        </w:rPr>
        <w:t>开展外联活动以鼓励大量参与但不专门从事活态遗产保护的非政府组织，例如图书馆、档案馆和文化组织。一些活跃在非物质文化遗产领域的第</w:t>
      </w:r>
      <w:r>
        <w:rPr>
          <w:rFonts w:hint="eastAsia"/>
        </w:rPr>
        <w:t>2</w:t>
      </w:r>
      <w:r>
        <w:rPr>
          <w:rFonts w:hint="eastAsia"/>
        </w:rPr>
        <w:t>类中心也积极参与了国家协调员的能力建设，这些协调员负责就非政府组织参与国家层面执行</w:t>
      </w:r>
      <w:r>
        <w:rPr>
          <w:rFonts w:hint="eastAsia"/>
        </w:rPr>
        <w:t>2003</w:t>
      </w:r>
      <w:r>
        <w:rPr>
          <w:rFonts w:hint="eastAsia"/>
        </w:rPr>
        <w:t>年《公约》的相关问题编写定期报告。</w:t>
      </w:r>
    </w:p>
    <w:p w14:paraId="173BEC50" w14:textId="77777777" w:rsidR="001B3FD8" w:rsidRPr="00C84BA3" w:rsidRDefault="001B3FD8" w:rsidP="00D74D86">
      <w:pPr>
        <w:pStyle w:val="COMPara"/>
        <w:keepNext/>
        <w:ind w:left="567"/>
        <w:jc w:val="both"/>
        <w:rPr>
          <w:u w:val="single"/>
        </w:rPr>
      </w:pPr>
      <w:r>
        <w:rPr>
          <w:rFonts w:hint="eastAsia"/>
          <w:u w:val="single"/>
        </w:rPr>
        <w:t>与缔约国磋商</w:t>
      </w:r>
    </w:p>
    <w:p w14:paraId="70E5686A" w14:textId="77777777" w:rsidR="001B3FD8" w:rsidRPr="00C84BA3" w:rsidRDefault="001B3FD8" w:rsidP="001B3FD8">
      <w:pPr>
        <w:pStyle w:val="COMPara"/>
        <w:keepNext/>
        <w:numPr>
          <w:ilvl w:val="0"/>
          <w:numId w:val="9"/>
        </w:numPr>
        <w:ind w:left="567" w:hanging="567"/>
        <w:jc w:val="both"/>
      </w:pPr>
      <w:r>
        <w:rPr>
          <w:rFonts w:hint="eastAsia"/>
        </w:rPr>
        <w:t>秘书处邀请《公约》所有缔约国（包括常驻代表团和全国委员会）就</w:t>
      </w:r>
      <w:r>
        <w:rPr>
          <w:rFonts w:hint="eastAsia"/>
        </w:rPr>
        <w:t>2024</w:t>
      </w:r>
      <w:r>
        <w:rPr>
          <w:rFonts w:hint="eastAsia"/>
        </w:rPr>
        <w:t>年</w:t>
      </w:r>
      <w:r>
        <w:rPr>
          <w:rFonts w:hint="eastAsia"/>
        </w:rPr>
        <w:t>4</w:t>
      </w:r>
      <w:r>
        <w:rPr>
          <w:rFonts w:hint="eastAsia"/>
        </w:rPr>
        <w:t>月</w:t>
      </w:r>
      <w:r>
        <w:rPr>
          <w:rFonts w:hint="eastAsia"/>
        </w:rPr>
        <w:t>26</w:t>
      </w:r>
      <w:r>
        <w:rPr>
          <w:rFonts w:hint="eastAsia"/>
        </w:rPr>
        <w:t>日至</w:t>
      </w:r>
      <w:r>
        <w:rPr>
          <w:rFonts w:hint="eastAsia"/>
        </w:rPr>
        <w:t>5</w:t>
      </w:r>
      <w:r>
        <w:rPr>
          <w:rFonts w:hint="eastAsia"/>
        </w:rPr>
        <w:t>月</w:t>
      </w:r>
      <w:r>
        <w:rPr>
          <w:rFonts w:hint="eastAsia"/>
        </w:rPr>
        <w:t>15</w:t>
      </w:r>
      <w:r>
        <w:rPr>
          <w:rFonts w:hint="eastAsia"/>
        </w:rPr>
        <w:t>日期间提供的在线调查发表意见。调查问题侧重</w:t>
      </w:r>
      <w:proofErr w:type="gramStart"/>
      <w:r>
        <w:rPr>
          <w:rFonts w:hint="eastAsia"/>
        </w:rPr>
        <w:t>于应当</w:t>
      </w:r>
      <w:proofErr w:type="gramEnd"/>
      <w:r>
        <w:rPr>
          <w:rFonts w:hint="eastAsia"/>
        </w:rPr>
        <w:t>优先考虑哪些措施来改善地域平衡。</w:t>
      </w:r>
      <w:r>
        <w:rPr>
          <w:rFonts w:hint="eastAsia"/>
        </w:rPr>
        <w:t>37</w:t>
      </w:r>
      <w:r>
        <w:rPr>
          <w:rFonts w:hint="eastAsia"/>
        </w:rPr>
        <w:t>个缔约国的回应可归纳如下：</w:t>
      </w:r>
    </w:p>
    <w:tbl>
      <w:tblPr>
        <w:tblStyle w:val="Grilledutableau"/>
        <w:tblW w:w="0" w:type="auto"/>
        <w:tblInd w:w="562" w:type="dxa"/>
        <w:tblLook w:val="04A0" w:firstRow="1" w:lastRow="0" w:firstColumn="1" w:lastColumn="0" w:noHBand="0" w:noVBand="1"/>
      </w:tblPr>
      <w:tblGrid>
        <w:gridCol w:w="7371"/>
        <w:gridCol w:w="1695"/>
      </w:tblGrid>
      <w:tr w:rsidR="001B3FD8" w:rsidRPr="00C84BA3" w14:paraId="7FCFCF03" w14:textId="77777777" w:rsidTr="00C322DB">
        <w:tc>
          <w:tcPr>
            <w:tcW w:w="7371" w:type="dxa"/>
            <w:shd w:val="clear" w:color="auto" w:fill="DEEAF6" w:themeFill="accent1" w:themeFillTint="33"/>
          </w:tcPr>
          <w:p w14:paraId="2BE3A2EB" w14:textId="77777777" w:rsidR="001B3FD8" w:rsidRPr="00C84BA3" w:rsidRDefault="001B3FD8" w:rsidP="00267CCC">
            <w:pPr>
              <w:rPr>
                <w:rFonts w:ascii="Arial" w:hAnsi="Arial" w:cs="Arial"/>
                <w:b/>
                <w:bCs/>
                <w:sz w:val="18"/>
                <w:szCs w:val="18"/>
              </w:rPr>
            </w:pPr>
            <w:r>
              <w:rPr>
                <w:rFonts w:ascii="Arial" w:hAnsi="Arial" w:hint="eastAsia"/>
                <w:b/>
                <w:sz w:val="18"/>
              </w:rPr>
              <w:t>可能的措施</w:t>
            </w:r>
          </w:p>
        </w:tc>
        <w:tc>
          <w:tcPr>
            <w:tcW w:w="1695" w:type="dxa"/>
            <w:shd w:val="clear" w:color="auto" w:fill="DEEAF6" w:themeFill="accent1" w:themeFillTint="33"/>
          </w:tcPr>
          <w:p w14:paraId="56EDE750" w14:textId="77777777" w:rsidR="001B3FD8" w:rsidRPr="00C84BA3" w:rsidRDefault="001B3FD8" w:rsidP="00267CCC">
            <w:pPr>
              <w:pStyle w:val="COMPara"/>
              <w:keepNext/>
              <w:spacing w:after="0"/>
              <w:jc w:val="both"/>
              <w:rPr>
                <w:b/>
                <w:bCs/>
                <w:sz w:val="18"/>
                <w:szCs w:val="18"/>
              </w:rPr>
            </w:pPr>
            <w:r>
              <w:rPr>
                <w:rFonts w:hint="eastAsia"/>
                <w:b/>
                <w:snapToGrid/>
                <w:sz w:val="18"/>
              </w:rPr>
              <w:t>回应</w:t>
            </w:r>
            <w:r w:rsidRPr="00C84BA3">
              <w:rPr>
                <w:rStyle w:val="Appelnotedebasdep"/>
                <w:b/>
                <w:bCs/>
                <w:snapToGrid/>
                <w:sz w:val="18"/>
                <w:szCs w:val="18"/>
                <w:lang w:eastAsia="fr-FR"/>
              </w:rPr>
              <w:footnoteReference w:id="3"/>
            </w:r>
            <w:r>
              <w:rPr>
                <w:rFonts w:hint="eastAsia"/>
                <w:b/>
                <w:snapToGrid/>
                <w:sz w:val="18"/>
              </w:rPr>
              <w:t xml:space="preserve"> </w:t>
            </w:r>
          </w:p>
        </w:tc>
      </w:tr>
      <w:tr w:rsidR="001B3FD8" w:rsidRPr="00C84BA3" w14:paraId="0B4B3078" w14:textId="77777777" w:rsidTr="00C322DB">
        <w:tc>
          <w:tcPr>
            <w:tcW w:w="7371" w:type="dxa"/>
          </w:tcPr>
          <w:p w14:paraId="624595F5" w14:textId="77777777" w:rsidR="001B3FD8" w:rsidRPr="00C84BA3" w:rsidRDefault="001B3FD8" w:rsidP="004E3587">
            <w:pPr>
              <w:rPr>
                <w:rFonts w:ascii="Arial" w:hAnsi="Arial" w:cs="Arial"/>
                <w:sz w:val="18"/>
                <w:szCs w:val="18"/>
              </w:rPr>
            </w:pPr>
            <w:r>
              <w:rPr>
                <w:rFonts w:ascii="Arial" w:hAnsi="Arial" w:hint="eastAsia"/>
                <w:sz w:val="18"/>
              </w:rPr>
              <w:t>为来自代表性不足地区的经认证和未经认证的非政府组织实施能力建设举措</w:t>
            </w:r>
          </w:p>
        </w:tc>
        <w:tc>
          <w:tcPr>
            <w:tcW w:w="1695" w:type="dxa"/>
          </w:tcPr>
          <w:p w14:paraId="2296B930" w14:textId="77777777" w:rsidR="001B3FD8" w:rsidRPr="00C84BA3" w:rsidRDefault="001B3FD8" w:rsidP="004E3587">
            <w:pPr>
              <w:pStyle w:val="COMPara"/>
              <w:keepNext/>
              <w:spacing w:after="0"/>
              <w:jc w:val="both"/>
              <w:rPr>
                <w:rFonts w:cstheme="minorHAnsi"/>
                <w:sz w:val="18"/>
                <w:szCs w:val="18"/>
              </w:rPr>
            </w:pPr>
            <w:r>
              <w:rPr>
                <w:rFonts w:hint="eastAsia"/>
                <w:sz w:val="18"/>
              </w:rPr>
              <w:t>23 (62%)</w:t>
            </w:r>
          </w:p>
        </w:tc>
      </w:tr>
      <w:tr w:rsidR="001B3FD8" w:rsidRPr="00C84BA3" w14:paraId="6F7BDA33" w14:textId="77777777" w:rsidTr="00C322DB">
        <w:tc>
          <w:tcPr>
            <w:tcW w:w="7371" w:type="dxa"/>
          </w:tcPr>
          <w:p w14:paraId="5E8F30C0" w14:textId="77777777" w:rsidR="001B3FD8" w:rsidRPr="00C84BA3" w:rsidRDefault="001B3FD8" w:rsidP="004E3587">
            <w:pPr>
              <w:rPr>
                <w:rFonts w:ascii="Arial" w:hAnsi="Arial" w:cs="Arial"/>
                <w:sz w:val="18"/>
                <w:szCs w:val="18"/>
              </w:rPr>
            </w:pPr>
            <w:r>
              <w:rPr>
                <w:rFonts w:ascii="Arial" w:hAnsi="Arial" w:hint="eastAsia"/>
                <w:sz w:val="18"/>
              </w:rPr>
              <w:t>在代表性不足的地区实施有关认证体系和认证益处的意识提升举措（例如在线情况介绍会、资料包）</w:t>
            </w:r>
          </w:p>
        </w:tc>
        <w:tc>
          <w:tcPr>
            <w:tcW w:w="1695" w:type="dxa"/>
          </w:tcPr>
          <w:p w14:paraId="364E28B1" w14:textId="77777777" w:rsidR="001B3FD8" w:rsidRPr="00C84BA3" w:rsidRDefault="001B3FD8" w:rsidP="004E3587">
            <w:pPr>
              <w:pStyle w:val="COMPara"/>
              <w:keepNext/>
              <w:spacing w:after="0"/>
              <w:jc w:val="both"/>
              <w:rPr>
                <w:sz w:val="18"/>
                <w:szCs w:val="18"/>
              </w:rPr>
            </w:pPr>
            <w:r>
              <w:rPr>
                <w:rFonts w:hint="eastAsia"/>
                <w:sz w:val="18"/>
              </w:rPr>
              <w:t>17 (46%)</w:t>
            </w:r>
          </w:p>
        </w:tc>
      </w:tr>
      <w:tr w:rsidR="001B3FD8" w:rsidRPr="00C84BA3" w14:paraId="712E9EA9" w14:textId="77777777" w:rsidTr="00C322DB">
        <w:tc>
          <w:tcPr>
            <w:tcW w:w="7371" w:type="dxa"/>
          </w:tcPr>
          <w:p w14:paraId="7D6ED6CD" w14:textId="77777777" w:rsidR="001B3FD8" w:rsidRPr="00C84BA3" w:rsidRDefault="001B3FD8" w:rsidP="004E3587">
            <w:pPr>
              <w:rPr>
                <w:rFonts w:ascii="Arial" w:hAnsi="Arial" w:cs="Arial"/>
                <w:sz w:val="18"/>
                <w:szCs w:val="18"/>
              </w:rPr>
            </w:pPr>
            <w:r>
              <w:rPr>
                <w:rFonts w:ascii="Arial" w:hAnsi="Arial" w:hint="eastAsia"/>
                <w:sz w:val="18"/>
              </w:rPr>
              <w:t>鼓励第</w:t>
            </w:r>
            <w:r>
              <w:rPr>
                <w:rFonts w:ascii="Arial" w:hAnsi="Arial" w:hint="eastAsia"/>
                <w:sz w:val="18"/>
              </w:rPr>
              <w:t>2</w:t>
            </w:r>
            <w:r>
              <w:rPr>
                <w:rFonts w:ascii="Arial" w:hAnsi="Arial" w:hint="eastAsia"/>
                <w:sz w:val="18"/>
              </w:rPr>
              <w:t>类中心、联合国教科文组织外地办事处和非物质文化遗产非政府组织论坛在《公约》方面扩大与代表性不足地区非政府组织的接触</w:t>
            </w:r>
          </w:p>
        </w:tc>
        <w:tc>
          <w:tcPr>
            <w:tcW w:w="1695" w:type="dxa"/>
          </w:tcPr>
          <w:p w14:paraId="2033757A" w14:textId="77777777" w:rsidR="001B3FD8" w:rsidRPr="00C84BA3" w:rsidRDefault="001B3FD8" w:rsidP="004E3587">
            <w:pPr>
              <w:pStyle w:val="COMPara"/>
              <w:keepNext/>
              <w:spacing w:after="0"/>
              <w:jc w:val="both"/>
              <w:rPr>
                <w:sz w:val="18"/>
                <w:szCs w:val="18"/>
              </w:rPr>
            </w:pPr>
            <w:r>
              <w:rPr>
                <w:rFonts w:hint="eastAsia"/>
                <w:sz w:val="18"/>
              </w:rPr>
              <w:t>17 (46%)</w:t>
            </w:r>
          </w:p>
        </w:tc>
      </w:tr>
      <w:tr w:rsidR="001B3FD8" w:rsidRPr="00C84BA3" w14:paraId="1C7C66FB" w14:textId="77777777" w:rsidTr="00C322DB">
        <w:tc>
          <w:tcPr>
            <w:tcW w:w="7371" w:type="dxa"/>
          </w:tcPr>
          <w:p w14:paraId="2489B554" w14:textId="77777777" w:rsidR="001B3FD8" w:rsidRPr="00C84BA3" w:rsidRDefault="001B3FD8" w:rsidP="004E3587">
            <w:pPr>
              <w:rPr>
                <w:rFonts w:ascii="Arial" w:hAnsi="Arial" w:cs="Arial"/>
                <w:sz w:val="18"/>
                <w:szCs w:val="18"/>
              </w:rPr>
            </w:pPr>
            <w:r>
              <w:rPr>
                <w:rFonts w:ascii="Arial" w:hAnsi="Arial" w:hint="eastAsia"/>
                <w:sz w:val="18"/>
              </w:rPr>
              <w:t>开展研究以更好地</w:t>
            </w:r>
            <w:proofErr w:type="gramStart"/>
            <w:r>
              <w:rPr>
                <w:rFonts w:ascii="Arial" w:hAnsi="Arial" w:hint="eastAsia"/>
                <w:sz w:val="18"/>
              </w:rPr>
              <w:t>了解非</w:t>
            </w:r>
            <w:proofErr w:type="gramEnd"/>
            <w:r>
              <w:rPr>
                <w:rFonts w:ascii="Arial" w:hAnsi="Arial" w:hint="eastAsia"/>
                <w:sz w:val="18"/>
              </w:rPr>
              <w:t>政府组织面临的各种挑战</w:t>
            </w:r>
          </w:p>
        </w:tc>
        <w:tc>
          <w:tcPr>
            <w:tcW w:w="1695" w:type="dxa"/>
          </w:tcPr>
          <w:p w14:paraId="51FE1BC6" w14:textId="77777777" w:rsidR="001B3FD8" w:rsidRPr="00C84BA3" w:rsidRDefault="001B3FD8" w:rsidP="004E3587">
            <w:pPr>
              <w:pStyle w:val="COMPara"/>
              <w:keepNext/>
              <w:spacing w:after="0"/>
              <w:jc w:val="both"/>
              <w:rPr>
                <w:sz w:val="18"/>
                <w:szCs w:val="18"/>
              </w:rPr>
            </w:pPr>
            <w:r>
              <w:rPr>
                <w:rFonts w:hint="eastAsia"/>
                <w:sz w:val="18"/>
              </w:rPr>
              <w:t>8 (22%)</w:t>
            </w:r>
          </w:p>
        </w:tc>
      </w:tr>
      <w:tr w:rsidR="001B3FD8" w:rsidRPr="00C84BA3" w14:paraId="42A3ECB8" w14:textId="77777777" w:rsidTr="00C322DB">
        <w:tc>
          <w:tcPr>
            <w:tcW w:w="7371" w:type="dxa"/>
          </w:tcPr>
          <w:p w14:paraId="6B875BCF" w14:textId="77777777" w:rsidR="001B3FD8" w:rsidRPr="00C84BA3" w:rsidRDefault="001B3FD8" w:rsidP="00854A9C">
            <w:pPr>
              <w:rPr>
                <w:rFonts w:ascii="Arial" w:hAnsi="Arial" w:cs="Arial"/>
                <w:sz w:val="18"/>
                <w:szCs w:val="18"/>
              </w:rPr>
            </w:pPr>
            <w:r>
              <w:rPr>
                <w:rFonts w:ascii="Arial" w:hAnsi="Arial" w:hint="eastAsia"/>
                <w:sz w:val="18"/>
              </w:rPr>
              <w:t>修订</w:t>
            </w:r>
            <w:r>
              <w:rPr>
                <w:rFonts w:ascii="Arial" w:hAnsi="Arial" w:hint="eastAsia"/>
                <w:sz w:val="18"/>
              </w:rPr>
              <w:t>ICH-09</w:t>
            </w:r>
            <w:r>
              <w:rPr>
                <w:rFonts w:ascii="Arial" w:hAnsi="Arial" w:hint="eastAsia"/>
                <w:sz w:val="18"/>
              </w:rPr>
              <w:t>认证表格，使申请流程更易于操作</w:t>
            </w:r>
          </w:p>
        </w:tc>
        <w:tc>
          <w:tcPr>
            <w:tcW w:w="1695" w:type="dxa"/>
          </w:tcPr>
          <w:p w14:paraId="42DA0FFB" w14:textId="77777777" w:rsidR="001B3FD8" w:rsidRPr="00C84BA3" w:rsidRDefault="001B3FD8" w:rsidP="004E3587">
            <w:pPr>
              <w:pStyle w:val="COMPara"/>
              <w:keepNext/>
              <w:spacing w:after="0"/>
              <w:jc w:val="both"/>
              <w:rPr>
                <w:sz w:val="18"/>
                <w:szCs w:val="18"/>
              </w:rPr>
            </w:pPr>
            <w:r>
              <w:rPr>
                <w:rFonts w:hint="eastAsia"/>
                <w:sz w:val="18"/>
              </w:rPr>
              <w:t>5 (14%)</w:t>
            </w:r>
          </w:p>
        </w:tc>
      </w:tr>
      <w:tr w:rsidR="001B3FD8" w:rsidRPr="00C84BA3" w14:paraId="53E2C504" w14:textId="77777777" w:rsidTr="00C322DB">
        <w:tc>
          <w:tcPr>
            <w:tcW w:w="7371" w:type="dxa"/>
          </w:tcPr>
          <w:p w14:paraId="25BD3533" w14:textId="77777777" w:rsidR="001B3FD8" w:rsidRPr="00C84BA3" w:rsidRDefault="001B3FD8" w:rsidP="004E3587">
            <w:pPr>
              <w:rPr>
                <w:rFonts w:ascii="Arial" w:hAnsi="Arial" w:cs="Arial"/>
                <w:sz w:val="18"/>
                <w:szCs w:val="18"/>
              </w:rPr>
            </w:pPr>
            <w:proofErr w:type="gramStart"/>
            <w:r>
              <w:rPr>
                <w:rFonts w:ascii="Arial" w:hAnsi="Arial" w:hint="eastAsia"/>
                <w:sz w:val="18"/>
              </w:rPr>
              <w:t>落实非</w:t>
            </w:r>
            <w:proofErr w:type="gramEnd"/>
            <w:r>
              <w:rPr>
                <w:rFonts w:ascii="Arial" w:hAnsi="Arial" w:hint="eastAsia"/>
                <w:sz w:val="18"/>
              </w:rPr>
              <w:t>政府组织认证的配额制度</w:t>
            </w:r>
          </w:p>
        </w:tc>
        <w:tc>
          <w:tcPr>
            <w:tcW w:w="1695" w:type="dxa"/>
          </w:tcPr>
          <w:p w14:paraId="66AE9DA6" w14:textId="77777777" w:rsidR="001B3FD8" w:rsidRPr="00C84BA3" w:rsidRDefault="001B3FD8" w:rsidP="004E3587">
            <w:pPr>
              <w:pStyle w:val="COMPara"/>
              <w:keepNext/>
              <w:spacing w:after="0"/>
              <w:jc w:val="both"/>
              <w:rPr>
                <w:sz w:val="18"/>
                <w:szCs w:val="18"/>
              </w:rPr>
            </w:pPr>
            <w:r>
              <w:rPr>
                <w:rFonts w:hint="eastAsia"/>
                <w:sz w:val="18"/>
              </w:rPr>
              <w:t>3 (8%)</w:t>
            </w:r>
          </w:p>
        </w:tc>
      </w:tr>
    </w:tbl>
    <w:p w14:paraId="3DAD10E1" w14:textId="77777777" w:rsidR="001B3FD8" w:rsidRDefault="001B3FD8" w:rsidP="00624427">
      <w:pPr>
        <w:pStyle w:val="COMPara"/>
        <w:ind w:left="567"/>
        <w:jc w:val="both"/>
        <w:rPr>
          <w:u w:val="single"/>
        </w:rPr>
      </w:pPr>
    </w:p>
    <w:p w14:paraId="336D6D31" w14:textId="77777777" w:rsidR="001B3FD8" w:rsidRPr="00C84BA3" w:rsidRDefault="001B3FD8" w:rsidP="00624427">
      <w:pPr>
        <w:pStyle w:val="COMPara"/>
        <w:ind w:left="567"/>
        <w:jc w:val="both"/>
        <w:rPr>
          <w:u w:val="single"/>
        </w:rPr>
      </w:pPr>
      <w:r>
        <w:rPr>
          <w:rFonts w:hint="eastAsia"/>
          <w:u w:val="single"/>
        </w:rPr>
        <w:t>优先主题领域</w:t>
      </w:r>
    </w:p>
    <w:p w14:paraId="0802C865" w14:textId="77777777" w:rsidR="001B3FD8" w:rsidRPr="00C84BA3" w:rsidRDefault="001B3FD8" w:rsidP="001B3FD8">
      <w:pPr>
        <w:pStyle w:val="COMPara"/>
        <w:numPr>
          <w:ilvl w:val="0"/>
          <w:numId w:val="9"/>
        </w:numPr>
        <w:ind w:left="567" w:hanging="567"/>
        <w:jc w:val="both"/>
      </w:pPr>
      <w:r>
        <w:rPr>
          <w:rFonts w:hint="eastAsia"/>
        </w:rPr>
        <w:t>正如在项目</w:t>
      </w:r>
      <w:r>
        <w:rPr>
          <w:rFonts w:hint="eastAsia"/>
        </w:rPr>
        <w:t>10</w:t>
      </w:r>
      <w:r>
        <w:rPr>
          <w:rFonts w:hint="eastAsia"/>
        </w:rPr>
        <w:t>下向大会本届会议报告的那样（</w:t>
      </w:r>
      <w:hyperlink r:id="rId24" w:history="1">
        <w:r>
          <w:rPr>
            <w:rStyle w:val="Lienhypertexte"/>
            <w:rFonts w:hint="eastAsia"/>
          </w:rPr>
          <w:t>LHE/24/10.GA/10</w:t>
        </w:r>
      </w:hyperlink>
      <w:r>
        <w:rPr>
          <w:rFonts w:hint="eastAsia"/>
        </w:rPr>
        <w:t>号文件），在</w:t>
      </w:r>
      <w:r>
        <w:rPr>
          <w:rFonts w:hint="eastAsia"/>
        </w:rPr>
        <w:t>2003</w:t>
      </w:r>
      <w:r>
        <w:rPr>
          <w:rFonts w:hint="eastAsia"/>
        </w:rPr>
        <w:t>年《公约》二十周年期间进行的反思理清了进一步发展</w:t>
      </w:r>
      <w:r>
        <w:rPr>
          <w:rFonts w:hint="eastAsia"/>
        </w:rPr>
        <w:t>2003</w:t>
      </w:r>
      <w:r>
        <w:rPr>
          <w:rFonts w:hint="eastAsia"/>
        </w:rPr>
        <w:t>年《公约》的优先领域，因此正是呼吁采取新行动的时机。这些优先领域包括活态遗产保护和生计、气候行动和城市背景、紧急情况下的活态遗产、将文化融入教育以及数字环境中的活态遗产。因此，有必要集中精力物色在这些具体领域具有专门知识的非政府组织。</w:t>
      </w:r>
    </w:p>
    <w:p w14:paraId="6DCE8B21" w14:textId="77777777" w:rsidR="001B3FD8" w:rsidRPr="00C84BA3" w:rsidRDefault="001B3FD8" w:rsidP="002F2D9D">
      <w:pPr>
        <w:pStyle w:val="COMPara"/>
        <w:spacing w:before="240"/>
        <w:ind w:left="567"/>
        <w:jc w:val="both"/>
        <w:rPr>
          <w:b/>
          <w:bCs/>
        </w:rPr>
      </w:pPr>
      <w:r>
        <w:rPr>
          <w:rFonts w:hint="eastAsia"/>
          <w:b/>
        </w:rPr>
        <w:t>拟议的计划</w:t>
      </w:r>
    </w:p>
    <w:p w14:paraId="27BC52EC" w14:textId="77777777" w:rsidR="001B3FD8" w:rsidRPr="00C84BA3" w:rsidRDefault="001B3FD8" w:rsidP="001B3FD8">
      <w:pPr>
        <w:pStyle w:val="COMPara"/>
        <w:numPr>
          <w:ilvl w:val="0"/>
          <w:numId w:val="9"/>
        </w:numPr>
        <w:ind w:left="567" w:hanging="567"/>
        <w:jc w:val="both"/>
      </w:pPr>
      <w:r>
        <w:rPr>
          <w:rFonts w:hint="eastAsia"/>
        </w:rPr>
        <w:t>根据非物质文化遗产非政府组织论坛和活跃在非物质文化遗产领域的第</w:t>
      </w:r>
      <w:r>
        <w:rPr>
          <w:rFonts w:hint="eastAsia"/>
        </w:rPr>
        <w:t>2</w:t>
      </w:r>
      <w:r>
        <w:rPr>
          <w:rFonts w:hint="eastAsia"/>
        </w:rPr>
        <w:t>类中心的经验，结合调查结果，建议围绕四个主要支柱采取以下行动：</w:t>
      </w:r>
    </w:p>
    <w:p w14:paraId="7EC5EACB" w14:textId="77777777" w:rsidR="001B3FD8" w:rsidRPr="00C84BA3" w:rsidRDefault="001B3FD8" w:rsidP="00294B56">
      <w:pPr>
        <w:pStyle w:val="COMPara"/>
        <w:ind w:left="567"/>
        <w:jc w:val="both"/>
        <w:rPr>
          <w:u w:val="single"/>
        </w:rPr>
      </w:pPr>
      <w:r>
        <w:rPr>
          <w:rFonts w:hint="eastAsia"/>
          <w:u w:val="single"/>
        </w:rPr>
        <w:t>A</w:t>
      </w:r>
      <w:r>
        <w:rPr>
          <w:rFonts w:hint="eastAsia"/>
          <w:u w:val="single"/>
        </w:rPr>
        <w:t>：宣传和分享有关认证程序及其益处的信息，特别是在认证申请截止日期之前的几个月</w:t>
      </w:r>
    </w:p>
    <w:p w14:paraId="09CD5D65" w14:textId="77777777" w:rsidR="001B3FD8" w:rsidRPr="00C84BA3" w:rsidRDefault="001B3FD8" w:rsidP="001B3FD8">
      <w:pPr>
        <w:pStyle w:val="COMPara"/>
        <w:numPr>
          <w:ilvl w:val="0"/>
          <w:numId w:val="59"/>
        </w:numPr>
        <w:jc w:val="both"/>
      </w:pPr>
      <w:r>
        <w:rPr>
          <w:rFonts w:hint="eastAsia"/>
        </w:rPr>
        <w:t>秘书处通过</w:t>
      </w:r>
      <w:r>
        <w:rPr>
          <w:rFonts w:hint="eastAsia"/>
        </w:rPr>
        <w:t>2003</w:t>
      </w:r>
      <w:r>
        <w:rPr>
          <w:rFonts w:hint="eastAsia"/>
        </w:rPr>
        <w:t>年《公约》的网页共享信息。</w:t>
      </w:r>
    </w:p>
    <w:p w14:paraId="268491AF" w14:textId="77777777" w:rsidR="001B3FD8" w:rsidRPr="00C84BA3" w:rsidRDefault="001B3FD8" w:rsidP="001B3FD8">
      <w:pPr>
        <w:pStyle w:val="COMPara"/>
        <w:numPr>
          <w:ilvl w:val="0"/>
          <w:numId w:val="59"/>
        </w:numPr>
        <w:jc w:val="both"/>
      </w:pPr>
      <w:r>
        <w:rPr>
          <w:rFonts w:hint="eastAsia"/>
        </w:rPr>
        <w:lastRenderedPageBreak/>
        <w:t>非物质文化遗产非政府组织论坛、第</w:t>
      </w:r>
      <w:r>
        <w:rPr>
          <w:rFonts w:hint="eastAsia"/>
        </w:rPr>
        <w:t>2</w:t>
      </w:r>
      <w:r>
        <w:rPr>
          <w:rFonts w:hint="eastAsia"/>
        </w:rPr>
        <w:t>类中心和其他合作伙伴为经认证和未经认证的非政府组织主办的区域、次区域和全国性在线情况介绍会。</w:t>
      </w:r>
      <w:r>
        <w:rPr>
          <w:rFonts w:hint="eastAsia"/>
        </w:rPr>
        <w:t xml:space="preserve"> </w:t>
      </w:r>
    </w:p>
    <w:p w14:paraId="46D59D92" w14:textId="77777777" w:rsidR="001B3FD8" w:rsidRPr="00C84BA3" w:rsidRDefault="001B3FD8" w:rsidP="001B3FD8">
      <w:pPr>
        <w:pStyle w:val="COMPara"/>
        <w:numPr>
          <w:ilvl w:val="0"/>
          <w:numId w:val="59"/>
        </w:numPr>
        <w:jc w:val="both"/>
      </w:pPr>
      <w:r>
        <w:rPr>
          <w:rFonts w:hint="eastAsia"/>
        </w:rPr>
        <w:t>开发有关经认证非政府组织的意识提升工具包（例如包含传单和视频二维码），由非物质文化遗产非政府组织论坛、第</w:t>
      </w:r>
      <w:r>
        <w:rPr>
          <w:rFonts w:hint="eastAsia"/>
        </w:rPr>
        <w:t>2</w:t>
      </w:r>
      <w:r>
        <w:rPr>
          <w:rFonts w:hint="eastAsia"/>
        </w:rPr>
        <w:t>类中心和其他合作伙伴编写。</w:t>
      </w:r>
      <w:r>
        <w:rPr>
          <w:rFonts w:hint="eastAsia"/>
        </w:rPr>
        <w:t xml:space="preserve"> </w:t>
      </w:r>
    </w:p>
    <w:p w14:paraId="0C0AD052" w14:textId="77777777" w:rsidR="001B3FD8" w:rsidRPr="00C84BA3" w:rsidRDefault="001B3FD8" w:rsidP="00294B56">
      <w:pPr>
        <w:pStyle w:val="COMPara"/>
        <w:ind w:left="567"/>
        <w:jc w:val="both"/>
        <w:rPr>
          <w:u w:val="single"/>
        </w:rPr>
      </w:pPr>
      <w:r>
        <w:rPr>
          <w:rFonts w:hint="eastAsia"/>
          <w:u w:val="single"/>
        </w:rPr>
        <w:t>B</w:t>
      </w:r>
      <w:r>
        <w:rPr>
          <w:rFonts w:hint="eastAsia"/>
          <w:u w:val="single"/>
        </w:rPr>
        <w:t>：通过能力建设讲习班动员有能力的非政府组织</w:t>
      </w:r>
    </w:p>
    <w:p w14:paraId="15E68AF2" w14:textId="77777777" w:rsidR="001B3FD8" w:rsidRPr="00C84BA3" w:rsidRDefault="001B3FD8" w:rsidP="001B3FD8">
      <w:pPr>
        <w:pStyle w:val="COMPara"/>
        <w:numPr>
          <w:ilvl w:val="0"/>
          <w:numId w:val="59"/>
        </w:numPr>
        <w:jc w:val="both"/>
      </w:pPr>
      <w:r>
        <w:rPr>
          <w:rFonts w:hint="eastAsia"/>
        </w:rPr>
        <w:t>系统性地将非政府组织代表纳入秘书处组织的能力建设活动。</w:t>
      </w:r>
    </w:p>
    <w:p w14:paraId="486D1F62" w14:textId="77777777" w:rsidR="001B3FD8" w:rsidRPr="00C84BA3" w:rsidRDefault="001B3FD8" w:rsidP="001B3FD8">
      <w:pPr>
        <w:pStyle w:val="COMPara"/>
        <w:numPr>
          <w:ilvl w:val="0"/>
          <w:numId w:val="59"/>
        </w:numPr>
        <w:jc w:val="both"/>
      </w:pPr>
      <w:r>
        <w:rPr>
          <w:rFonts w:hint="eastAsia"/>
        </w:rPr>
        <w:t>鼓励</w:t>
      </w:r>
      <w:r>
        <w:rPr>
          <w:rFonts w:hint="eastAsia"/>
        </w:rPr>
        <w:t>2003</w:t>
      </w:r>
      <w:r>
        <w:rPr>
          <w:rFonts w:hint="eastAsia"/>
        </w:rPr>
        <w:t>年《公约》之下的培训</w:t>
      </w:r>
      <w:proofErr w:type="gramStart"/>
      <w:r>
        <w:rPr>
          <w:rFonts w:hint="eastAsia"/>
        </w:rPr>
        <w:t>师网络</w:t>
      </w:r>
      <w:proofErr w:type="gramEnd"/>
      <w:r>
        <w:rPr>
          <w:rFonts w:hint="eastAsia"/>
        </w:rPr>
        <w:t>在所有能力建设活动中推广认证程序及其益处。</w:t>
      </w:r>
    </w:p>
    <w:p w14:paraId="1D59D8A8" w14:textId="77777777" w:rsidR="001B3FD8" w:rsidRPr="00C84BA3" w:rsidRDefault="001B3FD8" w:rsidP="00F2390A">
      <w:pPr>
        <w:pStyle w:val="COMPara"/>
        <w:ind w:left="567"/>
        <w:jc w:val="both"/>
        <w:rPr>
          <w:u w:val="single"/>
        </w:rPr>
      </w:pPr>
      <w:r>
        <w:rPr>
          <w:rFonts w:hint="eastAsia"/>
          <w:u w:val="single"/>
        </w:rPr>
        <w:t>C</w:t>
      </w:r>
      <w:r>
        <w:rPr>
          <w:rFonts w:hint="eastAsia"/>
          <w:u w:val="single"/>
        </w:rPr>
        <w:t>：加强与非物质文化遗产非政府组织论坛和第</w:t>
      </w:r>
      <w:r>
        <w:rPr>
          <w:rFonts w:hint="eastAsia"/>
          <w:u w:val="single"/>
        </w:rPr>
        <w:t>2</w:t>
      </w:r>
      <w:r>
        <w:rPr>
          <w:rFonts w:hint="eastAsia"/>
          <w:u w:val="single"/>
        </w:rPr>
        <w:t>类中心的合作</w:t>
      </w:r>
    </w:p>
    <w:p w14:paraId="1AD967A5" w14:textId="77777777" w:rsidR="001B3FD8" w:rsidRPr="00C84BA3" w:rsidRDefault="001B3FD8" w:rsidP="001B3FD8">
      <w:pPr>
        <w:pStyle w:val="COMPara"/>
        <w:numPr>
          <w:ilvl w:val="0"/>
          <w:numId w:val="59"/>
        </w:numPr>
        <w:jc w:val="both"/>
      </w:pPr>
      <w:r>
        <w:rPr>
          <w:rFonts w:hint="eastAsia"/>
        </w:rPr>
        <w:t>与非物质文化遗产非政府组织论坛合作，继续摸清</w:t>
      </w:r>
      <w:r>
        <w:rPr>
          <w:rFonts w:hint="eastAsia"/>
        </w:rPr>
        <w:t>2023</w:t>
      </w:r>
      <w:r>
        <w:rPr>
          <w:rFonts w:hint="eastAsia"/>
        </w:rPr>
        <w:t>年完成的第一轮工作未涵盖的其余经认证非政府组织的专业领域。</w:t>
      </w:r>
    </w:p>
    <w:p w14:paraId="2169EAC7" w14:textId="77777777" w:rsidR="001B3FD8" w:rsidRPr="00C84BA3" w:rsidRDefault="001B3FD8" w:rsidP="001B3FD8">
      <w:pPr>
        <w:pStyle w:val="COMPara"/>
        <w:numPr>
          <w:ilvl w:val="0"/>
          <w:numId w:val="59"/>
        </w:numPr>
        <w:jc w:val="both"/>
      </w:pPr>
      <w:r>
        <w:rPr>
          <w:rFonts w:hint="eastAsia"/>
        </w:rPr>
        <w:t>非物质文化遗产非政府组织论坛、第</w:t>
      </w:r>
      <w:r>
        <w:rPr>
          <w:rFonts w:hint="eastAsia"/>
        </w:rPr>
        <w:t>2</w:t>
      </w:r>
      <w:r>
        <w:rPr>
          <w:rFonts w:hint="eastAsia"/>
        </w:rPr>
        <w:t>类中心和秘书处定期就</w:t>
      </w:r>
      <w:r>
        <w:rPr>
          <w:rFonts w:hint="eastAsia"/>
        </w:rPr>
        <w:t>2003</w:t>
      </w:r>
      <w:r>
        <w:rPr>
          <w:rFonts w:hint="eastAsia"/>
        </w:rPr>
        <w:t>年《公约》下经认证非政府组织代表性不平衡的相关问题进行磋商。</w:t>
      </w:r>
    </w:p>
    <w:p w14:paraId="776092DB" w14:textId="77777777" w:rsidR="001B3FD8" w:rsidRPr="00C84BA3" w:rsidRDefault="001B3FD8" w:rsidP="00F95DE2">
      <w:pPr>
        <w:pStyle w:val="COMPara"/>
        <w:ind w:left="567"/>
        <w:jc w:val="both"/>
        <w:rPr>
          <w:u w:val="single"/>
        </w:rPr>
      </w:pPr>
      <w:r>
        <w:rPr>
          <w:rFonts w:hint="eastAsia"/>
          <w:u w:val="single"/>
        </w:rPr>
        <w:t>D</w:t>
      </w:r>
      <w:r>
        <w:rPr>
          <w:rFonts w:hint="eastAsia"/>
          <w:u w:val="single"/>
        </w:rPr>
        <w:t>：面向代表性不足地区的未认证非政府组织</w:t>
      </w:r>
    </w:p>
    <w:p w14:paraId="4EEECF19" w14:textId="77777777" w:rsidR="001B3FD8" w:rsidRPr="00C84BA3" w:rsidRDefault="001B3FD8" w:rsidP="001B3FD8">
      <w:pPr>
        <w:pStyle w:val="COMPara"/>
        <w:numPr>
          <w:ilvl w:val="0"/>
          <w:numId w:val="59"/>
        </w:numPr>
        <w:jc w:val="both"/>
        <w:rPr>
          <w:u w:val="single"/>
        </w:rPr>
      </w:pPr>
      <w:r>
        <w:rPr>
          <w:rFonts w:hint="eastAsia"/>
        </w:rPr>
        <w:t>建立经认证的非政府组织的国家和次区域网络，可以鼓励这些组织物色有可能在优先领域进一步发展《公约》方面向委员会提供咨询服务的未认证非政府组织。</w:t>
      </w:r>
    </w:p>
    <w:p w14:paraId="3A8BCF85" w14:textId="77777777" w:rsidR="001B3FD8" w:rsidRPr="00C84BA3" w:rsidRDefault="001B3FD8" w:rsidP="001B3FD8">
      <w:pPr>
        <w:pStyle w:val="COMPara"/>
        <w:numPr>
          <w:ilvl w:val="0"/>
          <w:numId w:val="59"/>
        </w:numPr>
        <w:jc w:val="both"/>
        <w:rPr>
          <w:u w:val="single"/>
        </w:rPr>
      </w:pPr>
      <w:r>
        <w:rPr>
          <w:rFonts w:hint="eastAsia"/>
        </w:rPr>
        <w:t>建立有可能提供咨询服务的未认证非政府组织的国家和次区域数据库，以邀请它们参加关于认证程序及其益处的能力建设研讨会和情况介绍会。</w:t>
      </w:r>
    </w:p>
    <w:p w14:paraId="20A4E833" w14:textId="77777777" w:rsidR="001B3FD8" w:rsidRPr="00C84BA3" w:rsidRDefault="001B3FD8" w:rsidP="001B3FD8">
      <w:pPr>
        <w:pStyle w:val="COMPara"/>
        <w:numPr>
          <w:ilvl w:val="0"/>
          <w:numId w:val="9"/>
        </w:numPr>
        <w:ind w:left="567" w:hanging="567"/>
        <w:jc w:val="both"/>
      </w:pPr>
      <w:r>
        <w:rPr>
          <w:rFonts w:hint="eastAsia"/>
        </w:rPr>
        <w:t>上述行动可首先侧重于经认证非政府组织比例较低的选举组，然后再扩展到其他选举组。在财政资源方面，一些行动已被纳入秘书处正在进行的活动，而另一些行动则可得到非物质文化遗产基金不同预算项目的支持，或者需要调动额外的支持：</w:t>
      </w:r>
    </w:p>
    <w:p w14:paraId="716CBFEB" w14:textId="77777777" w:rsidR="001B3FD8" w:rsidRPr="00C84BA3" w:rsidRDefault="001B3FD8" w:rsidP="001B3FD8">
      <w:pPr>
        <w:pStyle w:val="COMPara"/>
        <w:numPr>
          <w:ilvl w:val="0"/>
          <w:numId w:val="60"/>
        </w:numPr>
        <w:jc w:val="both"/>
      </w:pPr>
      <w:r>
        <w:rPr>
          <w:rFonts w:hint="eastAsia"/>
        </w:rPr>
        <w:t>支柱</w:t>
      </w:r>
      <w:r>
        <w:rPr>
          <w:rFonts w:hint="eastAsia"/>
        </w:rPr>
        <w:t>A</w:t>
      </w:r>
      <w:r>
        <w:rPr>
          <w:rFonts w:hint="eastAsia"/>
        </w:rPr>
        <w:t>：为基金的预算项目</w:t>
      </w:r>
      <w:r>
        <w:rPr>
          <w:rFonts w:hint="eastAsia"/>
        </w:rPr>
        <w:t>3</w:t>
      </w:r>
      <w:r>
        <w:rPr>
          <w:rFonts w:hint="eastAsia"/>
        </w:rPr>
        <w:t>“委员会的其他职能”所涵盖</w:t>
      </w:r>
    </w:p>
    <w:p w14:paraId="740BA0F0" w14:textId="77777777" w:rsidR="001B3FD8" w:rsidRPr="00C84BA3" w:rsidRDefault="001B3FD8" w:rsidP="001B3FD8">
      <w:pPr>
        <w:pStyle w:val="COMPara"/>
        <w:numPr>
          <w:ilvl w:val="0"/>
          <w:numId w:val="60"/>
        </w:numPr>
        <w:jc w:val="both"/>
      </w:pPr>
      <w:r>
        <w:rPr>
          <w:rFonts w:hint="eastAsia"/>
        </w:rPr>
        <w:t>支柱</w:t>
      </w:r>
      <w:r>
        <w:rPr>
          <w:rFonts w:hint="eastAsia"/>
        </w:rPr>
        <w:t>B</w:t>
      </w:r>
      <w:r>
        <w:rPr>
          <w:rFonts w:hint="eastAsia"/>
        </w:rPr>
        <w:t>：已经是正在进行的能力建设活动的一部分，得到了各种资金来源的支持，有待进一步系统化</w:t>
      </w:r>
    </w:p>
    <w:p w14:paraId="7D2A2014" w14:textId="77777777" w:rsidR="001B3FD8" w:rsidRPr="00C84BA3" w:rsidRDefault="001B3FD8" w:rsidP="001B3FD8">
      <w:pPr>
        <w:pStyle w:val="COMPara"/>
        <w:numPr>
          <w:ilvl w:val="0"/>
          <w:numId w:val="60"/>
        </w:numPr>
        <w:jc w:val="both"/>
      </w:pPr>
      <w:r>
        <w:rPr>
          <w:rFonts w:hint="eastAsia"/>
        </w:rPr>
        <w:t>支柱</w:t>
      </w:r>
      <w:r>
        <w:rPr>
          <w:rFonts w:hint="eastAsia"/>
        </w:rPr>
        <w:t>C</w:t>
      </w:r>
      <w:r>
        <w:rPr>
          <w:rFonts w:hint="eastAsia"/>
        </w:rPr>
        <w:t>：已经是正在进行的宣传活动的一部分，得到了各种资金来源的支持，有待进一步实施</w:t>
      </w:r>
    </w:p>
    <w:p w14:paraId="541D9A12" w14:textId="77777777" w:rsidR="001B3FD8" w:rsidRPr="00C84BA3" w:rsidRDefault="001B3FD8" w:rsidP="001B3FD8">
      <w:pPr>
        <w:pStyle w:val="COMPara"/>
        <w:numPr>
          <w:ilvl w:val="0"/>
          <w:numId w:val="60"/>
        </w:numPr>
        <w:jc w:val="both"/>
      </w:pPr>
      <w:r>
        <w:rPr>
          <w:rFonts w:hint="eastAsia"/>
        </w:rPr>
        <w:t>支柱</w:t>
      </w:r>
      <w:r>
        <w:rPr>
          <w:rFonts w:hint="eastAsia"/>
        </w:rPr>
        <w:t>D</w:t>
      </w:r>
      <w:r>
        <w:rPr>
          <w:rFonts w:hint="eastAsia"/>
        </w:rPr>
        <w:t>：为针对初步活动的基金预算项目</w:t>
      </w:r>
      <w:r>
        <w:rPr>
          <w:rFonts w:hint="eastAsia"/>
        </w:rPr>
        <w:t>7</w:t>
      </w:r>
      <w:r>
        <w:rPr>
          <w:rFonts w:hint="eastAsia"/>
        </w:rPr>
        <w:t>“向委员会提供咨询服务”所涵盖，有待通过额外的自愿纳款进一步加强</w:t>
      </w:r>
    </w:p>
    <w:p w14:paraId="0EAC99A8" w14:textId="77777777" w:rsidR="001B3FD8" w:rsidRPr="00C84BA3" w:rsidRDefault="001B3FD8" w:rsidP="001B3FD8">
      <w:pPr>
        <w:pStyle w:val="COMPara"/>
        <w:numPr>
          <w:ilvl w:val="0"/>
          <w:numId w:val="9"/>
        </w:numPr>
        <w:ind w:left="567" w:hanging="567"/>
        <w:jc w:val="both"/>
      </w:pPr>
      <w:r>
        <w:rPr>
          <w:rFonts w:hint="eastAsia"/>
        </w:rPr>
        <w:t>有关非物质文化遗产基金资源使用情况的更多信息，</w:t>
      </w:r>
      <w:proofErr w:type="gramStart"/>
      <w:r>
        <w:rPr>
          <w:rFonts w:hint="eastAsia"/>
        </w:rPr>
        <w:t>见项目</w:t>
      </w:r>
      <w:proofErr w:type="gramEnd"/>
      <w:r>
        <w:rPr>
          <w:rFonts w:hint="eastAsia"/>
        </w:rPr>
        <w:t>8</w:t>
      </w:r>
      <w:r>
        <w:rPr>
          <w:rFonts w:hint="eastAsia"/>
        </w:rPr>
        <w:t>（</w:t>
      </w:r>
      <w:hyperlink r:id="rId25" w:history="1">
        <w:r>
          <w:rPr>
            <w:rStyle w:val="Lienhypertexte"/>
            <w:rFonts w:hint="eastAsia"/>
          </w:rPr>
          <w:t>LHE/24/10.GA/8</w:t>
        </w:r>
      </w:hyperlink>
      <w:r>
        <w:rPr>
          <w:rFonts w:hint="eastAsia"/>
        </w:rPr>
        <w:t>号文件）。还可号召各缔约国通过其选择的方式为拟议的行动提供财政支持。还建议试验性地实施上述计划，并向</w:t>
      </w:r>
      <w:r>
        <w:rPr>
          <w:rFonts w:hint="eastAsia"/>
        </w:rPr>
        <w:t>2025</w:t>
      </w:r>
      <w:r>
        <w:rPr>
          <w:rFonts w:hint="eastAsia"/>
        </w:rPr>
        <w:t>年委员会第二十届会议和</w:t>
      </w:r>
      <w:r>
        <w:rPr>
          <w:rFonts w:hint="eastAsia"/>
        </w:rPr>
        <w:t>2026</w:t>
      </w:r>
      <w:r>
        <w:rPr>
          <w:rFonts w:hint="eastAsia"/>
        </w:rPr>
        <w:t>年大会第十一届会议汇报实施结果。</w:t>
      </w:r>
      <w:r>
        <w:rPr>
          <w:rFonts w:hint="eastAsia"/>
        </w:rPr>
        <w:t xml:space="preserve"> </w:t>
      </w:r>
    </w:p>
    <w:p w14:paraId="0E8F71D7" w14:textId="77777777" w:rsidR="001B3FD8" w:rsidRPr="00C84BA3" w:rsidRDefault="001B3FD8" w:rsidP="00D74D86">
      <w:pPr>
        <w:pStyle w:val="COMPara"/>
        <w:spacing w:before="240"/>
        <w:ind w:left="567"/>
        <w:jc w:val="both"/>
        <w:rPr>
          <w:b/>
          <w:bCs/>
        </w:rPr>
      </w:pPr>
      <w:r>
        <w:rPr>
          <w:rFonts w:hint="eastAsia"/>
          <w:b/>
        </w:rPr>
        <w:t>注意事项</w:t>
      </w:r>
    </w:p>
    <w:p w14:paraId="300EF43D" w14:textId="77777777" w:rsidR="001B3FD8" w:rsidRPr="00516A9F" w:rsidRDefault="001B3FD8" w:rsidP="001B3FD8">
      <w:pPr>
        <w:pStyle w:val="COMPara"/>
        <w:numPr>
          <w:ilvl w:val="0"/>
          <w:numId w:val="9"/>
        </w:numPr>
        <w:ind w:left="567" w:hanging="567"/>
        <w:jc w:val="both"/>
      </w:pPr>
      <w:r>
        <w:rPr>
          <w:rFonts w:hint="eastAsia"/>
        </w:rPr>
        <w:t>尽管经认证的非政府组织的地域分布不平衡仍是一个严重问题，但也必须指出，最近的趋势有所改善，这反映了《公约》利益攸关方在最近周期中为鼓励代表性不足的地区提出认证申请所做的努力。根据统计数据来看，如果向大会本届会议提出的</w:t>
      </w:r>
      <w:r>
        <w:rPr>
          <w:rFonts w:hint="eastAsia"/>
        </w:rPr>
        <w:t>58</w:t>
      </w:r>
      <w:r>
        <w:rPr>
          <w:rFonts w:hint="eastAsia"/>
        </w:rPr>
        <w:t>份认证申请全部获得批准，则自认证制度实施以来，来自第</w:t>
      </w:r>
      <w:r>
        <w:rPr>
          <w:rFonts w:hint="eastAsia"/>
        </w:rPr>
        <w:t>I</w:t>
      </w:r>
      <w:r>
        <w:rPr>
          <w:rFonts w:hint="eastAsia"/>
        </w:rPr>
        <w:t>选举组的经认证非政府组织的比例将首次降至占经认证非政府组织总数的</w:t>
      </w:r>
      <w:r>
        <w:rPr>
          <w:rFonts w:hint="eastAsia"/>
        </w:rPr>
        <w:t>50%</w:t>
      </w:r>
      <w:r>
        <w:rPr>
          <w:rFonts w:hint="eastAsia"/>
        </w:rPr>
        <w:t>以下。拟要采取的新行动将建立在这种积极形势的基础上。</w:t>
      </w:r>
    </w:p>
    <w:p w14:paraId="72F6F255" w14:textId="77777777" w:rsidR="00516A9F" w:rsidRDefault="00516A9F" w:rsidP="00516A9F">
      <w:pPr>
        <w:pStyle w:val="COMPara"/>
        <w:jc w:val="both"/>
        <w:rPr>
          <w:lang w:val="es-ES"/>
        </w:rPr>
      </w:pPr>
    </w:p>
    <w:p w14:paraId="5C9929A8" w14:textId="77777777" w:rsidR="00516A9F" w:rsidRDefault="00516A9F" w:rsidP="00516A9F">
      <w:pPr>
        <w:pStyle w:val="COMPara"/>
        <w:jc w:val="both"/>
        <w:rPr>
          <w:lang w:val="es-ES"/>
        </w:rPr>
      </w:pPr>
    </w:p>
    <w:p w14:paraId="7EC6F4E2" w14:textId="77777777" w:rsidR="00516A9F" w:rsidRDefault="00516A9F" w:rsidP="00516A9F">
      <w:pPr>
        <w:pStyle w:val="COMPara"/>
        <w:jc w:val="both"/>
        <w:rPr>
          <w:lang w:val="es-ES"/>
        </w:rPr>
      </w:pPr>
    </w:p>
    <w:p w14:paraId="6713CB9A" w14:textId="77777777" w:rsidR="00516A9F" w:rsidRPr="00C84BA3" w:rsidRDefault="00516A9F" w:rsidP="00516A9F">
      <w:pPr>
        <w:pStyle w:val="COMPara"/>
        <w:jc w:val="both"/>
      </w:pPr>
    </w:p>
    <w:p w14:paraId="48BC854D" w14:textId="77777777" w:rsidR="001B3FD8" w:rsidRPr="00C84BA3" w:rsidRDefault="001B3FD8" w:rsidP="001B3FD8">
      <w:pPr>
        <w:pStyle w:val="COMPara"/>
        <w:numPr>
          <w:ilvl w:val="0"/>
          <w:numId w:val="9"/>
        </w:numPr>
        <w:ind w:left="567" w:hanging="567"/>
      </w:pPr>
      <w:proofErr w:type="gramStart"/>
      <w:r>
        <w:rPr>
          <w:rFonts w:hint="eastAsia"/>
        </w:rPr>
        <w:lastRenderedPageBreak/>
        <w:t>谨建议</w:t>
      </w:r>
      <w:proofErr w:type="gramEnd"/>
      <w:r>
        <w:rPr>
          <w:rFonts w:hint="eastAsia"/>
        </w:rPr>
        <w:t>大会通过如下决议：</w:t>
      </w:r>
    </w:p>
    <w:p w14:paraId="0352BD35" w14:textId="77777777" w:rsidR="001B3FD8" w:rsidRPr="00C84BA3" w:rsidRDefault="001B3FD8" w:rsidP="001D14FE">
      <w:pPr>
        <w:pStyle w:val="COMTitleDecision"/>
      </w:pPr>
      <w:r>
        <w:rPr>
          <w:rFonts w:hint="eastAsia"/>
        </w:rPr>
        <w:t>第</w:t>
      </w:r>
      <w:r>
        <w:rPr>
          <w:rFonts w:hint="eastAsia"/>
        </w:rPr>
        <w:t>10.GA 9 Add.</w:t>
      </w:r>
      <w:r>
        <w:rPr>
          <w:rFonts w:hint="eastAsia"/>
        </w:rPr>
        <w:t>号决议草案</w:t>
      </w:r>
    </w:p>
    <w:p w14:paraId="183152C1" w14:textId="77777777" w:rsidR="001B3FD8" w:rsidRPr="00C84BA3" w:rsidRDefault="001B3FD8" w:rsidP="00285BB4">
      <w:pPr>
        <w:pStyle w:val="COMPreambulaDecisions"/>
      </w:pPr>
      <w:r>
        <w:rPr>
          <w:rFonts w:hint="eastAsia"/>
        </w:rPr>
        <w:t>大会，</w:t>
      </w:r>
    </w:p>
    <w:p w14:paraId="374067F2" w14:textId="281C4726" w:rsidR="001B3FD8" w:rsidRPr="00C84BA3" w:rsidRDefault="001B3FD8" w:rsidP="009D5416">
      <w:pPr>
        <w:pStyle w:val="GAPara"/>
        <w:numPr>
          <w:ilvl w:val="0"/>
          <w:numId w:val="61"/>
        </w:numPr>
        <w:ind w:left="1134" w:hanging="567"/>
        <w:jc w:val="both"/>
      </w:pPr>
      <w:r w:rsidRPr="009D5416">
        <w:rPr>
          <w:rFonts w:hint="eastAsia"/>
          <w:u w:val="single"/>
        </w:rPr>
        <w:t>审查了</w:t>
      </w:r>
      <w:r w:rsidRPr="00516A9F">
        <w:rPr>
          <w:rFonts w:hint="eastAsia"/>
        </w:rPr>
        <w:t>文件</w:t>
      </w:r>
      <w:r w:rsidRPr="00516A9F">
        <w:rPr>
          <w:rFonts w:hint="eastAsia"/>
        </w:rPr>
        <w:t>LHE/24/10.GA/9 Add</w:t>
      </w:r>
      <w:r w:rsidR="00516A9F" w:rsidRPr="00516A9F">
        <w:rPr>
          <w:lang w:val="es-ES"/>
        </w:rPr>
        <w:t>,</w:t>
      </w:r>
    </w:p>
    <w:p w14:paraId="3CE07160" w14:textId="37C76EB3" w:rsidR="001B3FD8" w:rsidRPr="00C84BA3" w:rsidRDefault="001B3FD8" w:rsidP="009D5416">
      <w:pPr>
        <w:pStyle w:val="GAPara"/>
        <w:numPr>
          <w:ilvl w:val="0"/>
          <w:numId w:val="61"/>
        </w:numPr>
        <w:ind w:left="1134" w:hanging="567"/>
        <w:jc w:val="both"/>
      </w:pPr>
      <w:proofErr w:type="gramStart"/>
      <w:r w:rsidRPr="009D5416">
        <w:rPr>
          <w:rFonts w:hint="eastAsia"/>
          <w:u w:val="single"/>
        </w:rPr>
        <w:t>忆及</w:t>
      </w:r>
      <w:r w:rsidRPr="00516A9F">
        <w:rPr>
          <w:rFonts w:hint="eastAsia"/>
        </w:rPr>
        <w:t>第</w:t>
      </w:r>
      <w:proofErr w:type="gramEnd"/>
      <w:hyperlink r:id="rId26" w:history="1">
        <w:r>
          <w:rPr>
            <w:rStyle w:val="Lienhypertexte"/>
            <w:rFonts w:hint="eastAsia"/>
          </w:rPr>
          <w:t>8.GA 12</w:t>
        </w:r>
      </w:hyperlink>
      <w:r w:rsidRPr="00516A9F">
        <w:rPr>
          <w:rStyle w:val="Lienhypertexte"/>
          <w:rFonts w:hint="eastAsia"/>
          <w:color w:val="auto"/>
          <w:u w:val="none"/>
        </w:rPr>
        <w:t>号决议和第</w:t>
      </w:r>
      <w:hyperlink r:id="rId27" w:history="1">
        <w:r>
          <w:rPr>
            <w:rStyle w:val="Lienhypertexte"/>
            <w:rFonts w:hint="eastAsia"/>
          </w:rPr>
          <w:t>9.GA 7</w:t>
        </w:r>
      </w:hyperlink>
      <w:r w:rsidRPr="00516A9F">
        <w:rPr>
          <w:rFonts w:hint="eastAsia"/>
        </w:rPr>
        <w:t>号决</w:t>
      </w:r>
      <w:r w:rsidRPr="00516A9F">
        <w:rPr>
          <w:rStyle w:val="Lienhypertexte"/>
          <w:rFonts w:hint="eastAsia"/>
          <w:color w:val="auto"/>
          <w:u w:val="none"/>
        </w:rPr>
        <w:t>议</w:t>
      </w:r>
      <w:r>
        <w:rPr>
          <w:rFonts w:hint="eastAsia"/>
        </w:rPr>
        <w:t>，以及第</w:t>
      </w:r>
      <w:hyperlink r:id="rId28" w:history="1">
        <w:r>
          <w:rPr>
            <w:rStyle w:val="Lienhypertexte"/>
            <w:rFonts w:hint="eastAsia"/>
          </w:rPr>
          <w:t>12.COM 13</w:t>
        </w:r>
      </w:hyperlink>
      <w:r w:rsidRPr="00516A9F">
        <w:rPr>
          <w:rFonts w:hint="eastAsia"/>
        </w:rPr>
        <w:t>号决定、第</w:t>
      </w:r>
      <w:r w:rsidRPr="00516A9F">
        <w:rPr>
          <w:rFonts w:hint="eastAsia"/>
        </w:rPr>
        <w:t xml:space="preserve"> </w:t>
      </w:r>
      <w:hyperlink r:id="rId29" w:history="1">
        <w:r>
          <w:rPr>
            <w:rStyle w:val="Lienhypertexte"/>
            <w:rFonts w:hint="eastAsia"/>
          </w:rPr>
          <w:t>12.COM 17</w:t>
        </w:r>
      </w:hyperlink>
      <w:r w:rsidRPr="00516A9F">
        <w:rPr>
          <w:rFonts w:hint="eastAsia"/>
        </w:rPr>
        <w:t>号决定、第</w:t>
      </w:r>
      <w:hyperlink r:id="rId30" w:history="1">
        <w:r>
          <w:rPr>
            <w:rStyle w:val="Lienhypertexte"/>
            <w:rFonts w:hint="eastAsia"/>
          </w:rPr>
          <w:t>14.COM 15</w:t>
        </w:r>
      </w:hyperlink>
      <w:r w:rsidRPr="00516A9F">
        <w:rPr>
          <w:rStyle w:val="Lienhypertexte"/>
          <w:rFonts w:hint="eastAsia"/>
          <w:color w:val="auto"/>
          <w:u w:val="none"/>
        </w:rPr>
        <w:t>号决定和第</w:t>
      </w:r>
      <w:hyperlink r:id="rId31" w:history="1">
        <w:r>
          <w:rPr>
            <w:rStyle w:val="Lienhypertexte"/>
            <w:rFonts w:hint="eastAsia"/>
          </w:rPr>
          <w:t>18.COM 15</w:t>
        </w:r>
      </w:hyperlink>
      <w:r w:rsidRPr="00516A9F">
        <w:rPr>
          <w:rStyle w:val="Lienhypertexte"/>
          <w:rFonts w:hint="eastAsia"/>
          <w:color w:val="auto"/>
          <w:u w:val="none"/>
        </w:rPr>
        <w:t>号决定</w:t>
      </w:r>
      <w:r w:rsidR="00516A9F" w:rsidRPr="00516A9F">
        <w:rPr>
          <w:rStyle w:val="Lienhypertexte"/>
          <w:color w:val="auto"/>
          <w:u w:val="none"/>
          <w:lang w:val="es-ES"/>
        </w:rPr>
        <w:t>,</w:t>
      </w:r>
    </w:p>
    <w:p w14:paraId="096A4E23" w14:textId="77777777" w:rsidR="001B3FD8" w:rsidRPr="00C84BA3" w:rsidRDefault="001B3FD8" w:rsidP="009D5416">
      <w:pPr>
        <w:pStyle w:val="GAPara"/>
        <w:ind w:left="1134" w:hanging="567"/>
        <w:jc w:val="both"/>
      </w:pPr>
      <w:r w:rsidRPr="009D5416">
        <w:rPr>
          <w:rFonts w:hint="eastAsia"/>
          <w:u w:val="single"/>
        </w:rPr>
        <w:t>注意到</w:t>
      </w:r>
      <w:r>
        <w:rPr>
          <w:rFonts w:hint="eastAsia"/>
        </w:rPr>
        <w:t>确保根据</w:t>
      </w:r>
      <w:r>
        <w:rPr>
          <w:rFonts w:hint="eastAsia"/>
        </w:rPr>
        <w:t>2003</w:t>
      </w:r>
      <w:r>
        <w:rPr>
          <w:rFonts w:hint="eastAsia"/>
        </w:rPr>
        <w:t>年《公约》经认证的非政府组织之间地域平衡的拟议计划，包括试验性确定的相关财政资源，并</w:t>
      </w:r>
      <w:r w:rsidRPr="009D5416">
        <w:rPr>
          <w:rFonts w:hint="eastAsia"/>
          <w:u w:val="single"/>
        </w:rPr>
        <w:t>感谢</w:t>
      </w:r>
      <w:r>
        <w:rPr>
          <w:rFonts w:hint="eastAsia"/>
        </w:rPr>
        <w:t>各缔约国、非物质文化遗产非政府组织论坛、第</w:t>
      </w:r>
      <w:r>
        <w:rPr>
          <w:rFonts w:hint="eastAsia"/>
        </w:rPr>
        <w:t>2</w:t>
      </w:r>
      <w:r>
        <w:rPr>
          <w:rFonts w:hint="eastAsia"/>
        </w:rPr>
        <w:t>类中心和其他利益攸关方通过磋商程序发表意见；</w:t>
      </w:r>
    </w:p>
    <w:p w14:paraId="4E445B86" w14:textId="77777777" w:rsidR="001B3FD8" w:rsidRPr="00C84BA3" w:rsidRDefault="001B3FD8" w:rsidP="009D5416">
      <w:pPr>
        <w:pStyle w:val="GAPara"/>
        <w:ind w:left="1134" w:hanging="567"/>
        <w:jc w:val="both"/>
      </w:pPr>
      <w:r w:rsidRPr="009D5416">
        <w:rPr>
          <w:rFonts w:hint="eastAsia"/>
          <w:u w:val="single"/>
        </w:rPr>
        <w:t>鼓励</w:t>
      </w:r>
      <w:r>
        <w:rPr>
          <w:rFonts w:hint="eastAsia"/>
        </w:rPr>
        <w:t>秘书处、非物质文化遗产非政府组织论坛、第</w:t>
      </w:r>
      <w:r>
        <w:rPr>
          <w:rFonts w:hint="eastAsia"/>
        </w:rPr>
        <w:t>2</w:t>
      </w:r>
      <w:r>
        <w:rPr>
          <w:rFonts w:hint="eastAsia"/>
        </w:rPr>
        <w:t>类中心和其他利益攸关方实施上述计划；</w:t>
      </w:r>
    </w:p>
    <w:p w14:paraId="2F77F01C" w14:textId="77777777" w:rsidR="001B3FD8" w:rsidRPr="00C84BA3" w:rsidRDefault="001B3FD8" w:rsidP="009D5416">
      <w:pPr>
        <w:pStyle w:val="GAPara"/>
        <w:ind w:left="1134" w:hanging="567"/>
        <w:jc w:val="both"/>
      </w:pPr>
      <w:r w:rsidRPr="009D5416">
        <w:rPr>
          <w:rFonts w:hint="eastAsia"/>
          <w:u w:val="single"/>
        </w:rPr>
        <w:t>要求</w:t>
      </w:r>
      <w:r>
        <w:rPr>
          <w:rFonts w:hint="eastAsia"/>
        </w:rPr>
        <w:t>秘书处汇报所采取行动的结果，供</w:t>
      </w:r>
      <w:r>
        <w:rPr>
          <w:rFonts w:hint="eastAsia"/>
        </w:rPr>
        <w:t>2025</w:t>
      </w:r>
      <w:r>
        <w:rPr>
          <w:rFonts w:hint="eastAsia"/>
        </w:rPr>
        <w:t>年委员会第二十届会议和</w:t>
      </w:r>
      <w:r>
        <w:rPr>
          <w:rFonts w:hint="eastAsia"/>
        </w:rPr>
        <w:t>2026</w:t>
      </w:r>
      <w:r>
        <w:rPr>
          <w:rFonts w:hint="eastAsia"/>
        </w:rPr>
        <w:t>年大会第十一届会议审查。</w:t>
      </w:r>
    </w:p>
    <w:p w14:paraId="69C50E47" w14:textId="77777777" w:rsidR="00C13F69" w:rsidRPr="003E4F59" w:rsidRDefault="00C13F69" w:rsidP="00C0269C">
      <w:pPr>
        <w:rPr>
          <w:snapToGrid w:val="0"/>
          <w:u w:val="single"/>
          <w:lang w:val="en-GB"/>
        </w:rPr>
      </w:pPr>
    </w:p>
    <w:sectPr w:rsidR="00C13F69" w:rsidRPr="003E4F59" w:rsidSect="001B3FD8">
      <w:headerReference w:type="even" r:id="rId32"/>
      <w:headerReference w:type="default" r:id="rId33"/>
      <w:headerReference w:type="first" r:id="rId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0671" w14:textId="77777777" w:rsidR="00DB0A55" w:rsidRDefault="00DB0A55" w:rsidP="00655736">
      <w:r>
        <w:separator/>
      </w:r>
    </w:p>
  </w:endnote>
  <w:endnote w:type="continuationSeparator" w:id="0">
    <w:p w14:paraId="0E3BF9F2" w14:textId="77777777" w:rsidR="00DB0A55" w:rsidRDefault="00DB0A5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A6B7" w14:textId="77777777" w:rsidR="00DB0A55" w:rsidRDefault="00DB0A55" w:rsidP="00655736">
      <w:r>
        <w:separator/>
      </w:r>
    </w:p>
  </w:footnote>
  <w:footnote w:type="continuationSeparator" w:id="0">
    <w:p w14:paraId="2362F946" w14:textId="77777777" w:rsidR="00DB0A55" w:rsidRDefault="00DB0A55" w:rsidP="00655736">
      <w:r>
        <w:continuationSeparator/>
      </w:r>
    </w:p>
  </w:footnote>
  <w:footnote w:id="1">
    <w:p w14:paraId="3CE2F3D4" w14:textId="77777777" w:rsidR="0011074D" w:rsidRPr="008F1F2D" w:rsidRDefault="0011074D" w:rsidP="0011074D">
      <w:pPr>
        <w:pStyle w:val="Notedebasdepage"/>
        <w:rPr>
          <w:rFonts w:asciiTheme="majorEastAsia" w:eastAsiaTheme="majorEastAsia" w:hAnsiTheme="majorEastAsia"/>
          <w:sz w:val="18"/>
          <w:szCs w:val="18"/>
        </w:rPr>
      </w:pPr>
      <w:r>
        <w:rPr>
          <w:rStyle w:val="Appelnotedebasdep"/>
        </w:rPr>
        <w:footnoteRef/>
      </w:r>
      <w:r>
        <w:t xml:space="preserve"> </w:t>
      </w:r>
      <w:r w:rsidRPr="008F1F2D">
        <w:rPr>
          <w:rFonts w:asciiTheme="majorEastAsia" w:eastAsiaTheme="majorEastAsia" w:hAnsiTheme="majorEastAsia" w:hint="eastAsia"/>
          <w:sz w:val="18"/>
          <w:szCs w:val="18"/>
        </w:rPr>
        <w:t>迄今为止，大会共认可了</w:t>
      </w:r>
      <w:r w:rsidRPr="008F1F2D">
        <w:rPr>
          <w:rFonts w:asciiTheme="majorEastAsia" w:eastAsiaTheme="majorEastAsia" w:hAnsiTheme="majorEastAsia"/>
          <w:sz w:val="18"/>
          <w:szCs w:val="18"/>
        </w:rPr>
        <w:t xml:space="preserve"> 300 </w:t>
      </w:r>
      <w:proofErr w:type="gramStart"/>
      <w:r w:rsidRPr="008F1F2D">
        <w:rPr>
          <w:rFonts w:asciiTheme="majorEastAsia" w:eastAsiaTheme="majorEastAsia" w:hAnsiTheme="majorEastAsia" w:hint="eastAsia"/>
          <w:sz w:val="18"/>
          <w:szCs w:val="18"/>
        </w:rPr>
        <w:t>个</w:t>
      </w:r>
      <w:proofErr w:type="gramEnd"/>
      <w:r w:rsidRPr="008F1F2D">
        <w:rPr>
          <w:rFonts w:asciiTheme="majorEastAsia" w:eastAsiaTheme="majorEastAsia" w:hAnsiTheme="majorEastAsia" w:hint="eastAsia"/>
          <w:sz w:val="18"/>
          <w:szCs w:val="18"/>
        </w:rPr>
        <w:t>组织（第</w:t>
      </w:r>
      <w:r w:rsidRPr="008F1F2D">
        <w:rPr>
          <w:rFonts w:asciiTheme="majorEastAsia" w:eastAsiaTheme="majorEastAsia" w:hAnsiTheme="majorEastAsia"/>
          <w:sz w:val="18"/>
          <w:szCs w:val="18"/>
        </w:rPr>
        <w:t xml:space="preserve"> </w:t>
      </w:r>
      <w:hyperlink r:id="rId1" w:history="1">
        <w:r w:rsidRPr="008F1F2D">
          <w:rPr>
            <w:rStyle w:val="Lienhypertexte"/>
            <w:rFonts w:asciiTheme="majorEastAsia" w:eastAsiaTheme="majorEastAsia" w:hAnsiTheme="majorEastAsia"/>
            <w:sz w:val="18"/>
            <w:szCs w:val="18"/>
          </w:rPr>
          <w:t xml:space="preserve">3.GA 7 </w:t>
        </w:r>
        <w:r w:rsidRPr="008F1F2D">
          <w:rPr>
            <w:rStyle w:val="Lienhypertexte"/>
            <w:rFonts w:asciiTheme="majorEastAsia" w:eastAsiaTheme="majorEastAsia" w:hAnsiTheme="majorEastAsia" w:hint="eastAsia"/>
            <w:sz w:val="18"/>
            <w:szCs w:val="18"/>
          </w:rPr>
          <w:t>号决议</w:t>
        </w:r>
      </w:hyperlink>
      <w:r w:rsidRPr="008F1F2D">
        <w:rPr>
          <w:rFonts w:asciiTheme="majorEastAsia" w:eastAsiaTheme="majorEastAsia" w:hAnsiTheme="majorEastAsia" w:hint="eastAsia"/>
          <w:sz w:val="18"/>
          <w:szCs w:val="18"/>
        </w:rPr>
        <w:t>认可了</w:t>
      </w:r>
      <w:r w:rsidRPr="008F1F2D">
        <w:rPr>
          <w:rFonts w:asciiTheme="majorEastAsia" w:eastAsiaTheme="majorEastAsia" w:hAnsiTheme="majorEastAsia"/>
          <w:sz w:val="18"/>
          <w:szCs w:val="18"/>
        </w:rPr>
        <w:t xml:space="preserve"> 97 </w:t>
      </w:r>
      <w:r w:rsidRPr="008F1F2D">
        <w:rPr>
          <w:rFonts w:asciiTheme="majorEastAsia" w:eastAsiaTheme="majorEastAsia" w:hAnsiTheme="majorEastAsia" w:hint="eastAsia"/>
          <w:sz w:val="18"/>
          <w:szCs w:val="18"/>
        </w:rPr>
        <w:t>个组织，第</w:t>
      </w:r>
      <w:r w:rsidRPr="008F1F2D">
        <w:rPr>
          <w:rFonts w:asciiTheme="majorEastAsia" w:eastAsiaTheme="majorEastAsia" w:hAnsiTheme="majorEastAsia"/>
          <w:sz w:val="18"/>
          <w:szCs w:val="18"/>
        </w:rPr>
        <w:t xml:space="preserve"> </w:t>
      </w:r>
      <w:hyperlink r:id="rId2" w:history="1">
        <w:r w:rsidRPr="008F1F2D">
          <w:rPr>
            <w:rStyle w:val="Lienhypertexte"/>
            <w:rFonts w:asciiTheme="majorEastAsia" w:eastAsiaTheme="majorEastAsia" w:hAnsiTheme="majorEastAsia"/>
            <w:sz w:val="18"/>
            <w:szCs w:val="18"/>
          </w:rPr>
          <w:t xml:space="preserve">4.GA 6 </w:t>
        </w:r>
        <w:r w:rsidRPr="008F1F2D">
          <w:rPr>
            <w:rStyle w:val="Lienhypertexte"/>
            <w:rFonts w:asciiTheme="majorEastAsia" w:eastAsiaTheme="majorEastAsia" w:hAnsiTheme="majorEastAsia" w:hint="eastAsia"/>
            <w:sz w:val="18"/>
            <w:szCs w:val="18"/>
          </w:rPr>
          <w:t>号决议</w:t>
        </w:r>
      </w:hyperlink>
      <w:r w:rsidRPr="008F1F2D">
        <w:rPr>
          <w:rFonts w:asciiTheme="majorEastAsia" w:eastAsiaTheme="majorEastAsia" w:hAnsiTheme="majorEastAsia" w:hint="eastAsia"/>
          <w:sz w:val="18"/>
          <w:szCs w:val="18"/>
        </w:rPr>
        <w:t>认可了</w:t>
      </w:r>
      <w:r w:rsidRPr="008F1F2D">
        <w:rPr>
          <w:rFonts w:asciiTheme="majorEastAsia" w:eastAsiaTheme="majorEastAsia" w:hAnsiTheme="majorEastAsia"/>
          <w:sz w:val="18"/>
          <w:szCs w:val="18"/>
        </w:rPr>
        <w:t xml:space="preserve"> 59 </w:t>
      </w:r>
      <w:r w:rsidRPr="008F1F2D">
        <w:rPr>
          <w:rFonts w:asciiTheme="majorEastAsia" w:eastAsiaTheme="majorEastAsia" w:hAnsiTheme="majorEastAsia" w:hint="eastAsia"/>
          <w:sz w:val="18"/>
          <w:szCs w:val="18"/>
        </w:rPr>
        <w:t>个组织，第</w:t>
      </w:r>
      <w:r w:rsidRPr="008F1F2D">
        <w:rPr>
          <w:rFonts w:asciiTheme="majorEastAsia" w:eastAsiaTheme="majorEastAsia" w:hAnsiTheme="majorEastAsia"/>
          <w:sz w:val="18"/>
          <w:szCs w:val="18"/>
        </w:rPr>
        <w:t xml:space="preserve"> </w:t>
      </w:r>
      <w:hyperlink r:id="rId3" w:history="1">
        <w:r w:rsidRPr="008F1F2D">
          <w:rPr>
            <w:rStyle w:val="Lienhypertexte"/>
            <w:rFonts w:asciiTheme="majorEastAsia" w:eastAsiaTheme="majorEastAsia" w:hAnsiTheme="majorEastAsia"/>
            <w:sz w:val="18"/>
            <w:szCs w:val="18"/>
          </w:rPr>
          <w:t xml:space="preserve">5.GA 6 </w:t>
        </w:r>
        <w:r w:rsidRPr="008F1F2D">
          <w:rPr>
            <w:rStyle w:val="Lienhypertexte"/>
            <w:rFonts w:asciiTheme="majorEastAsia" w:eastAsiaTheme="majorEastAsia" w:hAnsiTheme="majorEastAsia" w:hint="eastAsia"/>
            <w:sz w:val="18"/>
            <w:szCs w:val="18"/>
          </w:rPr>
          <w:t>号决议</w:t>
        </w:r>
      </w:hyperlink>
      <w:r w:rsidRPr="008F1F2D">
        <w:rPr>
          <w:rFonts w:asciiTheme="majorEastAsia" w:eastAsiaTheme="majorEastAsia" w:hAnsiTheme="majorEastAsia" w:hint="eastAsia"/>
          <w:sz w:val="18"/>
          <w:szCs w:val="18"/>
        </w:rPr>
        <w:t>认可了</w:t>
      </w:r>
      <w:r w:rsidRPr="008F1F2D">
        <w:rPr>
          <w:rFonts w:asciiTheme="majorEastAsia" w:eastAsiaTheme="majorEastAsia" w:hAnsiTheme="majorEastAsia"/>
          <w:sz w:val="18"/>
          <w:szCs w:val="18"/>
        </w:rPr>
        <w:t xml:space="preserve"> 22 </w:t>
      </w:r>
      <w:r w:rsidRPr="008F1F2D">
        <w:rPr>
          <w:rFonts w:asciiTheme="majorEastAsia" w:eastAsiaTheme="majorEastAsia" w:hAnsiTheme="majorEastAsia" w:hint="eastAsia"/>
          <w:sz w:val="18"/>
          <w:szCs w:val="18"/>
        </w:rPr>
        <w:t>个组织，第</w:t>
      </w:r>
      <w:r w:rsidRPr="008F1F2D">
        <w:rPr>
          <w:rFonts w:asciiTheme="majorEastAsia" w:eastAsiaTheme="majorEastAsia" w:hAnsiTheme="majorEastAsia"/>
          <w:sz w:val="18"/>
          <w:szCs w:val="18"/>
        </w:rPr>
        <w:t xml:space="preserve"> </w:t>
      </w:r>
      <w:hyperlink r:id="rId4" w:history="1">
        <w:r w:rsidRPr="008F1F2D">
          <w:rPr>
            <w:rStyle w:val="Lienhypertexte"/>
            <w:rFonts w:asciiTheme="majorEastAsia" w:eastAsiaTheme="majorEastAsia" w:hAnsiTheme="majorEastAsia"/>
            <w:sz w:val="18"/>
            <w:szCs w:val="18"/>
          </w:rPr>
          <w:t xml:space="preserve">6.GA 8 </w:t>
        </w:r>
        <w:r w:rsidRPr="008F1F2D">
          <w:rPr>
            <w:rStyle w:val="Lienhypertexte"/>
            <w:rFonts w:asciiTheme="majorEastAsia" w:eastAsiaTheme="majorEastAsia" w:hAnsiTheme="majorEastAsia" w:hint="eastAsia"/>
            <w:sz w:val="18"/>
            <w:szCs w:val="18"/>
          </w:rPr>
          <w:t>号决议</w:t>
        </w:r>
      </w:hyperlink>
      <w:r w:rsidRPr="008F1F2D">
        <w:rPr>
          <w:rFonts w:asciiTheme="majorEastAsia" w:eastAsiaTheme="majorEastAsia" w:hAnsiTheme="majorEastAsia" w:hint="eastAsia"/>
          <w:sz w:val="18"/>
          <w:szCs w:val="18"/>
        </w:rPr>
        <w:t>认可了</w:t>
      </w:r>
      <w:r w:rsidRPr="008F1F2D">
        <w:rPr>
          <w:rFonts w:asciiTheme="majorEastAsia" w:eastAsiaTheme="majorEastAsia" w:hAnsiTheme="majorEastAsia"/>
          <w:sz w:val="18"/>
          <w:szCs w:val="18"/>
        </w:rPr>
        <w:t xml:space="preserve"> 24 </w:t>
      </w:r>
      <w:r w:rsidRPr="008F1F2D">
        <w:rPr>
          <w:rFonts w:asciiTheme="majorEastAsia" w:eastAsiaTheme="majorEastAsia" w:hAnsiTheme="majorEastAsia" w:hint="eastAsia"/>
          <w:sz w:val="18"/>
          <w:szCs w:val="18"/>
        </w:rPr>
        <w:t>个组织，第</w:t>
      </w:r>
      <w:r w:rsidRPr="008F1F2D">
        <w:rPr>
          <w:rFonts w:asciiTheme="majorEastAsia" w:eastAsiaTheme="majorEastAsia" w:hAnsiTheme="majorEastAsia"/>
          <w:sz w:val="18"/>
          <w:szCs w:val="18"/>
        </w:rPr>
        <w:t xml:space="preserve"> </w:t>
      </w:r>
      <w:hyperlink r:id="rId5" w:history="1">
        <w:r w:rsidRPr="008F1F2D">
          <w:rPr>
            <w:rStyle w:val="Lienhypertexte"/>
            <w:rFonts w:asciiTheme="majorEastAsia" w:eastAsiaTheme="majorEastAsia" w:hAnsiTheme="majorEastAsia"/>
            <w:sz w:val="18"/>
            <w:szCs w:val="18"/>
          </w:rPr>
          <w:t xml:space="preserve">7.GA 11 </w:t>
        </w:r>
        <w:r w:rsidRPr="008F1F2D">
          <w:rPr>
            <w:rStyle w:val="Lienhypertexte"/>
            <w:rFonts w:asciiTheme="majorEastAsia" w:eastAsiaTheme="majorEastAsia" w:hAnsiTheme="majorEastAsia" w:hint="eastAsia"/>
            <w:sz w:val="18"/>
            <w:szCs w:val="18"/>
          </w:rPr>
          <w:t>号决议</w:t>
        </w:r>
      </w:hyperlink>
      <w:r w:rsidRPr="008F1F2D">
        <w:rPr>
          <w:rFonts w:asciiTheme="majorEastAsia" w:eastAsiaTheme="majorEastAsia" w:hAnsiTheme="majorEastAsia" w:hint="eastAsia"/>
          <w:sz w:val="18"/>
          <w:szCs w:val="18"/>
        </w:rPr>
        <w:t>认可了</w:t>
      </w:r>
      <w:r w:rsidRPr="008F1F2D">
        <w:rPr>
          <w:rFonts w:asciiTheme="majorEastAsia" w:eastAsiaTheme="majorEastAsia" w:hAnsiTheme="majorEastAsia"/>
          <w:sz w:val="18"/>
          <w:szCs w:val="18"/>
        </w:rPr>
        <w:t xml:space="preserve"> 29 </w:t>
      </w:r>
      <w:r w:rsidRPr="008F1F2D">
        <w:rPr>
          <w:rFonts w:asciiTheme="majorEastAsia" w:eastAsiaTheme="majorEastAsia" w:hAnsiTheme="majorEastAsia" w:hint="eastAsia"/>
          <w:sz w:val="18"/>
          <w:szCs w:val="18"/>
        </w:rPr>
        <w:t>个组织，第</w:t>
      </w:r>
      <w:hyperlink r:id="rId6" w:history="1">
        <w:r w:rsidRPr="008F1F2D">
          <w:rPr>
            <w:rStyle w:val="Lienhypertexte"/>
            <w:rFonts w:asciiTheme="majorEastAsia" w:eastAsiaTheme="majorEastAsia" w:hAnsiTheme="majorEastAsia"/>
            <w:sz w:val="18"/>
            <w:szCs w:val="18"/>
          </w:rPr>
          <w:t xml:space="preserve"> 8.GA 13 </w:t>
        </w:r>
        <w:r w:rsidRPr="008F1F2D">
          <w:rPr>
            <w:rStyle w:val="Lienhypertexte"/>
            <w:rFonts w:asciiTheme="majorEastAsia" w:eastAsiaTheme="majorEastAsia" w:hAnsiTheme="majorEastAsia" w:hint="eastAsia"/>
            <w:sz w:val="18"/>
            <w:szCs w:val="18"/>
          </w:rPr>
          <w:t>号决议</w:t>
        </w:r>
      </w:hyperlink>
      <w:r w:rsidRPr="008F1F2D">
        <w:rPr>
          <w:rFonts w:asciiTheme="majorEastAsia" w:eastAsiaTheme="majorEastAsia" w:hAnsiTheme="majorEastAsia" w:hint="eastAsia"/>
          <w:sz w:val="18"/>
          <w:szCs w:val="18"/>
        </w:rPr>
        <w:t>认可了</w:t>
      </w:r>
      <w:r w:rsidRPr="008F1F2D">
        <w:rPr>
          <w:rFonts w:asciiTheme="majorEastAsia" w:eastAsiaTheme="majorEastAsia" w:hAnsiTheme="majorEastAsia"/>
          <w:sz w:val="18"/>
          <w:szCs w:val="18"/>
        </w:rPr>
        <w:t xml:space="preserve"> 36 </w:t>
      </w:r>
      <w:r w:rsidRPr="008F1F2D">
        <w:rPr>
          <w:rFonts w:asciiTheme="majorEastAsia" w:eastAsiaTheme="majorEastAsia" w:hAnsiTheme="majorEastAsia" w:hint="eastAsia"/>
          <w:sz w:val="18"/>
          <w:szCs w:val="18"/>
        </w:rPr>
        <w:t>个组织，第</w:t>
      </w:r>
      <w:r w:rsidRPr="008F1F2D">
        <w:rPr>
          <w:rFonts w:asciiTheme="majorEastAsia" w:eastAsiaTheme="majorEastAsia" w:hAnsiTheme="majorEastAsia"/>
          <w:sz w:val="18"/>
          <w:szCs w:val="18"/>
        </w:rPr>
        <w:t xml:space="preserve"> </w:t>
      </w:r>
      <w:hyperlink r:id="rId7" w:history="1">
        <w:r w:rsidRPr="008F1F2D">
          <w:rPr>
            <w:rStyle w:val="Lienhypertexte"/>
            <w:rFonts w:asciiTheme="majorEastAsia" w:eastAsiaTheme="majorEastAsia" w:hAnsiTheme="majorEastAsia"/>
            <w:sz w:val="18"/>
            <w:szCs w:val="18"/>
          </w:rPr>
          <w:t xml:space="preserve">9.GA 7 </w:t>
        </w:r>
        <w:r w:rsidRPr="008F1F2D">
          <w:rPr>
            <w:rStyle w:val="Lienhypertexte"/>
            <w:rFonts w:asciiTheme="majorEastAsia" w:eastAsiaTheme="majorEastAsia" w:hAnsiTheme="majorEastAsia" w:hint="eastAsia"/>
            <w:sz w:val="18"/>
            <w:szCs w:val="18"/>
          </w:rPr>
          <w:t>号决议</w:t>
        </w:r>
      </w:hyperlink>
      <w:r w:rsidRPr="008F1F2D">
        <w:rPr>
          <w:rFonts w:asciiTheme="majorEastAsia" w:eastAsiaTheme="majorEastAsia" w:hAnsiTheme="majorEastAsia" w:hint="eastAsia"/>
          <w:sz w:val="18"/>
          <w:szCs w:val="18"/>
        </w:rPr>
        <w:t>认可了</w:t>
      </w:r>
      <w:r w:rsidRPr="008F1F2D">
        <w:rPr>
          <w:rFonts w:asciiTheme="majorEastAsia" w:eastAsiaTheme="majorEastAsia" w:hAnsiTheme="majorEastAsia"/>
          <w:sz w:val="18"/>
          <w:szCs w:val="18"/>
        </w:rPr>
        <w:t xml:space="preserve"> 33 </w:t>
      </w:r>
      <w:r w:rsidRPr="008F1F2D">
        <w:rPr>
          <w:rFonts w:asciiTheme="majorEastAsia" w:eastAsiaTheme="majorEastAsia" w:hAnsiTheme="majorEastAsia" w:hint="eastAsia"/>
          <w:sz w:val="18"/>
          <w:szCs w:val="18"/>
        </w:rPr>
        <w:t>个组织）。</w:t>
      </w:r>
    </w:p>
  </w:footnote>
  <w:footnote w:id="2">
    <w:p w14:paraId="6E18B7A8" w14:textId="77777777" w:rsidR="0011074D" w:rsidRPr="009B35FC" w:rsidRDefault="0011074D" w:rsidP="0011074D">
      <w:pPr>
        <w:pStyle w:val="Notedebasdepage"/>
        <w:rPr>
          <w:rFonts w:asciiTheme="majorEastAsia" w:eastAsiaTheme="majorEastAsia" w:hAnsiTheme="majorEastAsia"/>
          <w:sz w:val="18"/>
          <w:szCs w:val="18"/>
        </w:rPr>
      </w:pPr>
      <w:r w:rsidRPr="009B35FC">
        <w:rPr>
          <w:rStyle w:val="Appelnotedebasdep"/>
          <w:rFonts w:asciiTheme="majorEastAsia" w:eastAsiaTheme="majorEastAsia" w:hAnsiTheme="majorEastAsia"/>
          <w:sz w:val="18"/>
          <w:szCs w:val="18"/>
        </w:rPr>
        <w:footnoteRef/>
      </w:r>
      <w:r w:rsidRPr="009B35FC">
        <w:rPr>
          <w:rFonts w:asciiTheme="majorEastAsia" w:eastAsiaTheme="majorEastAsia" w:hAnsiTheme="majorEastAsia"/>
          <w:sz w:val="18"/>
          <w:szCs w:val="18"/>
        </w:rPr>
        <w:t xml:space="preserve"> </w:t>
      </w:r>
      <w:r w:rsidRPr="009B35FC">
        <w:rPr>
          <w:rFonts w:asciiTheme="majorEastAsia" w:eastAsiaTheme="majorEastAsia" w:hAnsiTheme="majorEastAsia" w:hint="eastAsia"/>
          <w:sz w:val="18"/>
          <w:szCs w:val="18"/>
        </w:rPr>
        <w:t>在</w:t>
      </w:r>
      <w:r w:rsidRPr="009B35FC">
        <w:rPr>
          <w:rFonts w:asciiTheme="majorEastAsia" w:eastAsiaTheme="majorEastAsia" w:hAnsiTheme="majorEastAsia"/>
          <w:sz w:val="18"/>
          <w:szCs w:val="18"/>
        </w:rPr>
        <w:t xml:space="preserve"> 2015 </w:t>
      </w:r>
      <w:r w:rsidRPr="009B35FC">
        <w:rPr>
          <w:rFonts w:asciiTheme="majorEastAsia" w:eastAsiaTheme="majorEastAsia" w:hAnsiTheme="majorEastAsia" w:hint="eastAsia"/>
          <w:sz w:val="18"/>
          <w:szCs w:val="18"/>
        </w:rPr>
        <w:t>年第十届会议上，委员会决定继续与</w:t>
      </w:r>
      <w:r w:rsidRPr="009B35FC">
        <w:rPr>
          <w:rFonts w:asciiTheme="majorEastAsia" w:eastAsiaTheme="majorEastAsia" w:hAnsiTheme="majorEastAsia"/>
          <w:sz w:val="18"/>
          <w:szCs w:val="18"/>
        </w:rPr>
        <w:t xml:space="preserve"> 59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非政府组织保持关系，并终止与</w:t>
      </w:r>
      <w:r w:rsidRPr="009B35FC">
        <w:rPr>
          <w:rFonts w:asciiTheme="majorEastAsia" w:eastAsiaTheme="majorEastAsia" w:hAnsiTheme="majorEastAsia"/>
          <w:sz w:val="18"/>
          <w:szCs w:val="18"/>
        </w:rPr>
        <w:t xml:space="preserve"> 38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非政府组织的关系（第</w:t>
      </w:r>
      <w:r w:rsidRPr="009B35FC">
        <w:rPr>
          <w:rFonts w:asciiTheme="majorEastAsia" w:eastAsiaTheme="majorEastAsia" w:hAnsiTheme="majorEastAsia"/>
          <w:sz w:val="18"/>
          <w:szCs w:val="18"/>
        </w:rPr>
        <w:t xml:space="preserve"> </w:t>
      </w:r>
      <w:hyperlink r:id="rId8" w:history="1">
        <w:r w:rsidRPr="009B35FC">
          <w:rPr>
            <w:rStyle w:val="Lienhypertexte"/>
            <w:rFonts w:asciiTheme="majorEastAsia" w:eastAsiaTheme="majorEastAsia" w:hAnsiTheme="majorEastAsia"/>
            <w:sz w:val="18"/>
            <w:szCs w:val="18"/>
          </w:rPr>
          <w:t xml:space="preserve">10.COM 16 </w:t>
        </w:r>
        <w:proofErr w:type="gramStart"/>
        <w:r w:rsidRPr="009B35FC">
          <w:rPr>
            <w:rStyle w:val="Lienhypertexte"/>
            <w:rFonts w:asciiTheme="majorEastAsia" w:eastAsiaTheme="majorEastAsia" w:hAnsiTheme="majorEastAsia" w:hint="eastAsia"/>
            <w:sz w:val="18"/>
            <w:szCs w:val="18"/>
          </w:rPr>
          <w:t>号决定</w:t>
        </w:r>
        <w:proofErr w:type="gramEnd"/>
      </w:hyperlink>
      <w:r w:rsidRPr="009B35FC">
        <w:rPr>
          <w:rFonts w:asciiTheme="majorEastAsia" w:eastAsiaTheme="majorEastAsia" w:hAnsiTheme="majorEastAsia" w:hint="eastAsia"/>
          <w:sz w:val="18"/>
          <w:szCs w:val="18"/>
        </w:rPr>
        <w:t>），这些非政府组织均于</w:t>
      </w:r>
      <w:r w:rsidRPr="009B35FC">
        <w:rPr>
          <w:rFonts w:asciiTheme="majorEastAsia" w:eastAsiaTheme="majorEastAsia" w:hAnsiTheme="majorEastAsia"/>
          <w:sz w:val="18"/>
          <w:szCs w:val="18"/>
        </w:rPr>
        <w:t xml:space="preserve"> 2010 </w:t>
      </w:r>
      <w:r w:rsidRPr="009B35FC">
        <w:rPr>
          <w:rFonts w:asciiTheme="majorEastAsia" w:eastAsiaTheme="majorEastAsia" w:hAnsiTheme="majorEastAsia" w:hint="eastAsia"/>
          <w:sz w:val="18"/>
          <w:szCs w:val="18"/>
        </w:rPr>
        <w:t>年获得大会第三届会议的认可；在</w:t>
      </w:r>
      <w:r w:rsidRPr="009B35FC">
        <w:rPr>
          <w:rFonts w:asciiTheme="majorEastAsia" w:eastAsiaTheme="majorEastAsia" w:hAnsiTheme="majorEastAsia"/>
          <w:sz w:val="18"/>
          <w:szCs w:val="18"/>
        </w:rPr>
        <w:t xml:space="preserve"> 2017 </w:t>
      </w:r>
      <w:r w:rsidRPr="009B35FC">
        <w:rPr>
          <w:rFonts w:asciiTheme="majorEastAsia" w:eastAsiaTheme="majorEastAsia" w:hAnsiTheme="majorEastAsia" w:hint="eastAsia"/>
          <w:sz w:val="18"/>
          <w:szCs w:val="18"/>
        </w:rPr>
        <w:t>年第十二届会议上，委员会决定继续与</w:t>
      </w:r>
      <w:r w:rsidRPr="009B35FC">
        <w:rPr>
          <w:rFonts w:asciiTheme="majorEastAsia" w:eastAsiaTheme="majorEastAsia" w:hAnsiTheme="majorEastAsia"/>
          <w:sz w:val="18"/>
          <w:szCs w:val="18"/>
        </w:rPr>
        <w:t xml:space="preserve"> 42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非政府组织保持关系，并终止与</w:t>
      </w:r>
      <w:r w:rsidRPr="009B35FC">
        <w:rPr>
          <w:rFonts w:asciiTheme="majorEastAsia" w:eastAsiaTheme="majorEastAsia" w:hAnsiTheme="majorEastAsia"/>
          <w:sz w:val="18"/>
          <w:szCs w:val="18"/>
        </w:rPr>
        <w:t xml:space="preserve"> 17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非政府组织的关系（第</w:t>
      </w:r>
      <w:r w:rsidRPr="009B35FC">
        <w:rPr>
          <w:rFonts w:asciiTheme="majorEastAsia" w:eastAsiaTheme="majorEastAsia" w:hAnsiTheme="majorEastAsia"/>
          <w:sz w:val="18"/>
          <w:szCs w:val="18"/>
        </w:rPr>
        <w:t xml:space="preserve"> </w:t>
      </w:r>
      <w:hyperlink r:id="rId9" w:history="1">
        <w:r w:rsidRPr="009B35FC">
          <w:rPr>
            <w:rStyle w:val="Lienhypertexte"/>
            <w:rFonts w:asciiTheme="majorEastAsia" w:eastAsiaTheme="majorEastAsia" w:hAnsiTheme="majorEastAsia"/>
            <w:sz w:val="18"/>
            <w:szCs w:val="18"/>
          </w:rPr>
          <w:t xml:space="preserve">12.COM 17 </w:t>
        </w:r>
        <w:proofErr w:type="gramStart"/>
        <w:r w:rsidRPr="009B35FC">
          <w:rPr>
            <w:rStyle w:val="Lienhypertexte"/>
            <w:rFonts w:asciiTheme="majorEastAsia" w:eastAsiaTheme="majorEastAsia" w:hAnsiTheme="majorEastAsia" w:hint="eastAsia"/>
            <w:sz w:val="18"/>
            <w:szCs w:val="18"/>
          </w:rPr>
          <w:t>号决定</w:t>
        </w:r>
        <w:proofErr w:type="gramEnd"/>
      </w:hyperlink>
      <w:r w:rsidRPr="009B35FC">
        <w:rPr>
          <w:rFonts w:asciiTheme="majorEastAsia" w:eastAsiaTheme="majorEastAsia" w:hAnsiTheme="majorEastAsia" w:hint="eastAsia"/>
          <w:sz w:val="18"/>
          <w:szCs w:val="18"/>
        </w:rPr>
        <w:t>），这些非政府组织均于</w:t>
      </w:r>
      <w:r w:rsidRPr="009B35FC">
        <w:rPr>
          <w:rFonts w:asciiTheme="majorEastAsia" w:eastAsiaTheme="majorEastAsia" w:hAnsiTheme="majorEastAsia"/>
          <w:sz w:val="18"/>
          <w:szCs w:val="18"/>
        </w:rPr>
        <w:t xml:space="preserve"> 2012 </w:t>
      </w:r>
      <w:r w:rsidRPr="009B35FC">
        <w:rPr>
          <w:rFonts w:asciiTheme="majorEastAsia" w:eastAsiaTheme="majorEastAsia" w:hAnsiTheme="majorEastAsia" w:hint="eastAsia"/>
          <w:sz w:val="18"/>
          <w:szCs w:val="18"/>
        </w:rPr>
        <w:t>年获得大会第四届会议的认可；在</w:t>
      </w:r>
      <w:r w:rsidRPr="009B35FC">
        <w:rPr>
          <w:rFonts w:asciiTheme="majorEastAsia" w:eastAsiaTheme="majorEastAsia" w:hAnsiTheme="majorEastAsia"/>
          <w:sz w:val="18"/>
          <w:szCs w:val="18"/>
        </w:rPr>
        <w:t xml:space="preserve"> 2019 </w:t>
      </w:r>
      <w:r w:rsidRPr="009B35FC">
        <w:rPr>
          <w:rFonts w:asciiTheme="majorEastAsia" w:eastAsiaTheme="majorEastAsia" w:hAnsiTheme="majorEastAsia" w:hint="eastAsia"/>
          <w:sz w:val="18"/>
          <w:szCs w:val="18"/>
        </w:rPr>
        <w:t>年第十四届会议上，委员会决定继续与</w:t>
      </w:r>
      <w:r w:rsidRPr="009B35FC">
        <w:rPr>
          <w:rFonts w:asciiTheme="majorEastAsia" w:eastAsiaTheme="majorEastAsia" w:hAnsiTheme="majorEastAsia"/>
          <w:sz w:val="18"/>
          <w:szCs w:val="18"/>
        </w:rPr>
        <w:t xml:space="preserve"> 62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获得认可的非政府组织保持关系，并终止与</w:t>
      </w:r>
      <w:r w:rsidRPr="009B35FC">
        <w:rPr>
          <w:rFonts w:asciiTheme="majorEastAsia" w:eastAsiaTheme="majorEastAsia" w:hAnsiTheme="majorEastAsia"/>
          <w:sz w:val="18"/>
          <w:szCs w:val="18"/>
        </w:rPr>
        <w:t xml:space="preserve"> 19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非政府组织的关系（第</w:t>
      </w:r>
      <w:r w:rsidRPr="009B35FC">
        <w:rPr>
          <w:rFonts w:asciiTheme="majorEastAsia" w:eastAsiaTheme="majorEastAsia" w:hAnsiTheme="majorEastAsia"/>
          <w:sz w:val="18"/>
          <w:szCs w:val="18"/>
        </w:rPr>
        <w:t xml:space="preserve"> </w:t>
      </w:r>
      <w:hyperlink r:id="rId10" w:history="1">
        <w:r w:rsidRPr="009B35FC">
          <w:rPr>
            <w:rStyle w:val="Lienhypertexte"/>
            <w:rFonts w:asciiTheme="majorEastAsia" w:eastAsiaTheme="majorEastAsia" w:hAnsiTheme="majorEastAsia"/>
            <w:sz w:val="18"/>
            <w:szCs w:val="18"/>
          </w:rPr>
          <w:t>1</w:t>
        </w:r>
        <w:r w:rsidRPr="00EC0398">
          <w:rPr>
            <w:rStyle w:val="Lienhypertexte"/>
            <w:rFonts w:asciiTheme="majorEastAsia" w:eastAsiaTheme="majorEastAsia" w:hAnsiTheme="majorEastAsia" w:hint="eastAsia"/>
            <w:sz w:val="18"/>
            <w:szCs w:val="18"/>
          </w:rPr>
          <w:t>4</w:t>
        </w:r>
        <w:r w:rsidRPr="009B35FC">
          <w:rPr>
            <w:rStyle w:val="Lienhypertexte"/>
            <w:rFonts w:asciiTheme="majorEastAsia" w:eastAsiaTheme="majorEastAsia" w:hAnsiTheme="majorEastAsia"/>
            <w:sz w:val="18"/>
            <w:szCs w:val="18"/>
          </w:rPr>
          <w:t xml:space="preserve">.COM 17 </w:t>
        </w:r>
        <w:proofErr w:type="gramStart"/>
        <w:r w:rsidRPr="009B35FC">
          <w:rPr>
            <w:rStyle w:val="Lienhypertexte"/>
            <w:rFonts w:asciiTheme="majorEastAsia" w:eastAsiaTheme="majorEastAsia" w:hAnsiTheme="majorEastAsia" w:hint="eastAsia"/>
            <w:sz w:val="18"/>
            <w:szCs w:val="18"/>
          </w:rPr>
          <w:t>号决定</w:t>
        </w:r>
        <w:proofErr w:type="gramEnd"/>
      </w:hyperlink>
      <w:r w:rsidRPr="009B35FC">
        <w:rPr>
          <w:rFonts w:asciiTheme="majorEastAsia" w:eastAsiaTheme="majorEastAsia" w:hAnsiTheme="majorEastAsia" w:hint="eastAsia"/>
          <w:sz w:val="18"/>
          <w:szCs w:val="18"/>
        </w:rPr>
        <w:t>）。</w:t>
      </w:r>
      <w:r w:rsidRPr="009B35FC">
        <w:rPr>
          <w:rFonts w:asciiTheme="majorEastAsia" w:eastAsiaTheme="majorEastAsia" w:hAnsiTheme="majorEastAsia"/>
          <w:sz w:val="18"/>
          <w:szCs w:val="18"/>
        </w:rPr>
        <w:t xml:space="preserve"> </w:t>
      </w:r>
      <w:r w:rsidRPr="009B35FC">
        <w:rPr>
          <w:rFonts w:asciiTheme="majorEastAsia" w:eastAsiaTheme="majorEastAsia" w:hAnsiTheme="majorEastAsia" w:hint="eastAsia"/>
          <w:sz w:val="18"/>
          <w:szCs w:val="18"/>
        </w:rPr>
        <w:t>在</w:t>
      </w:r>
      <w:r w:rsidRPr="009B35FC">
        <w:rPr>
          <w:rFonts w:asciiTheme="majorEastAsia" w:eastAsiaTheme="majorEastAsia" w:hAnsiTheme="majorEastAsia"/>
          <w:sz w:val="18"/>
          <w:szCs w:val="18"/>
        </w:rPr>
        <w:t xml:space="preserve"> 2021 </w:t>
      </w:r>
      <w:r w:rsidRPr="009B35FC">
        <w:rPr>
          <w:rFonts w:asciiTheme="majorEastAsia" w:eastAsiaTheme="majorEastAsia" w:hAnsiTheme="majorEastAsia" w:hint="eastAsia"/>
          <w:sz w:val="18"/>
          <w:szCs w:val="18"/>
        </w:rPr>
        <w:t>年的第十六届会议上，委员会决定继续与</w:t>
      </w:r>
      <w:r w:rsidRPr="009B35FC">
        <w:rPr>
          <w:rFonts w:asciiTheme="majorEastAsia" w:eastAsiaTheme="majorEastAsia" w:hAnsiTheme="majorEastAsia"/>
          <w:sz w:val="18"/>
          <w:szCs w:val="18"/>
        </w:rPr>
        <w:t xml:space="preserve"> 57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经认可的非政府组织保持关</w:t>
      </w:r>
      <w:r w:rsidRPr="009B35FC">
        <w:rPr>
          <w:rFonts w:asciiTheme="majorEastAsia" w:eastAsiaTheme="majorEastAsia" w:hAnsiTheme="majorEastAsia"/>
          <w:sz w:val="18"/>
          <w:szCs w:val="18"/>
        </w:rPr>
        <w:t xml:space="preserve"> </w:t>
      </w:r>
      <w:r w:rsidRPr="009B35FC">
        <w:rPr>
          <w:rFonts w:asciiTheme="majorEastAsia" w:eastAsiaTheme="majorEastAsia" w:hAnsiTheme="majorEastAsia" w:hint="eastAsia"/>
          <w:sz w:val="18"/>
          <w:szCs w:val="18"/>
        </w:rPr>
        <w:t>系，终止与</w:t>
      </w:r>
      <w:r w:rsidRPr="009B35FC">
        <w:rPr>
          <w:rFonts w:asciiTheme="majorEastAsia" w:eastAsiaTheme="majorEastAsia" w:hAnsiTheme="majorEastAsia"/>
          <w:sz w:val="18"/>
          <w:szCs w:val="18"/>
        </w:rPr>
        <w:t xml:space="preserve"> 9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非政府组织的关系（第</w:t>
      </w:r>
      <w:hyperlink r:id="rId11" w:history="1">
        <w:r w:rsidRPr="009B35FC">
          <w:rPr>
            <w:rStyle w:val="Lienhypertexte"/>
            <w:rFonts w:asciiTheme="majorEastAsia" w:eastAsiaTheme="majorEastAsia" w:hAnsiTheme="majorEastAsia"/>
            <w:sz w:val="18"/>
            <w:szCs w:val="18"/>
          </w:rPr>
          <w:t xml:space="preserve"> 16.COM 15 </w:t>
        </w:r>
        <w:proofErr w:type="gramStart"/>
        <w:r w:rsidRPr="009B35FC">
          <w:rPr>
            <w:rStyle w:val="Lienhypertexte"/>
            <w:rFonts w:asciiTheme="majorEastAsia" w:eastAsiaTheme="majorEastAsia" w:hAnsiTheme="majorEastAsia" w:hint="eastAsia"/>
            <w:sz w:val="18"/>
            <w:szCs w:val="18"/>
          </w:rPr>
          <w:t>号决定</w:t>
        </w:r>
        <w:proofErr w:type="gramEnd"/>
      </w:hyperlink>
      <w:r w:rsidRPr="009B35FC">
        <w:rPr>
          <w:rFonts w:asciiTheme="majorEastAsia" w:eastAsiaTheme="majorEastAsia" w:hAnsiTheme="majorEastAsia" w:hint="eastAsia"/>
          <w:sz w:val="18"/>
          <w:szCs w:val="18"/>
        </w:rPr>
        <w:t>），所有这些非政府组织都</w:t>
      </w:r>
      <w:r>
        <w:rPr>
          <w:rFonts w:asciiTheme="majorEastAsia" w:eastAsiaTheme="majorEastAsia" w:hAnsiTheme="majorEastAsia" w:hint="eastAsia"/>
          <w:sz w:val="18"/>
          <w:szCs w:val="18"/>
        </w:rPr>
        <w:t>获得</w:t>
      </w:r>
      <w:r w:rsidRPr="009B35FC">
        <w:rPr>
          <w:rFonts w:asciiTheme="majorEastAsia" w:eastAsiaTheme="majorEastAsia" w:hAnsiTheme="majorEastAsia" w:hint="eastAsia"/>
          <w:sz w:val="18"/>
          <w:szCs w:val="18"/>
        </w:rPr>
        <w:t>大会第六届会议认可。在</w:t>
      </w:r>
      <w:r w:rsidRPr="009B35FC">
        <w:rPr>
          <w:rFonts w:asciiTheme="majorEastAsia" w:eastAsiaTheme="majorEastAsia" w:hAnsiTheme="majorEastAsia"/>
          <w:sz w:val="18"/>
          <w:szCs w:val="18"/>
        </w:rPr>
        <w:t xml:space="preserve"> 2023 </w:t>
      </w:r>
      <w:r w:rsidRPr="009B35FC">
        <w:rPr>
          <w:rFonts w:asciiTheme="majorEastAsia" w:eastAsiaTheme="majorEastAsia" w:hAnsiTheme="majorEastAsia" w:hint="eastAsia"/>
          <w:sz w:val="18"/>
          <w:szCs w:val="18"/>
        </w:rPr>
        <w:t>年第十八届会议上，委员会决定继续与</w:t>
      </w:r>
      <w:r w:rsidRPr="009B35FC">
        <w:rPr>
          <w:rFonts w:asciiTheme="majorEastAsia" w:eastAsiaTheme="majorEastAsia" w:hAnsiTheme="majorEastAsia"/>
          <w:sz w:val="18"/>
          <w:szCs w:val="18"/>
        </w:rPr>
        <w:t xml:space="preserve"> 80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非政府组织保持关系，终止与</w:t>
      </w:r>
      <w:r w:rsidRPr="009B35FC">
        <w:rPr>
          <w:rFonts w:asciiTheme="majorEastAsia" w:eastAsiaTheme="majorEastAsia" w:hAnsiTheme="majorEastAsia"/>
          <w:sz w:val="18"/>
          <w:szCs w:val="18"/>
        </w:rPr>
        <w:t xml:space="preserve"> 11 </w:t>
      </w:r>
      <w:proofErr w:type="gramStart"/>
      <w:r w:rsidRPr="009B35FC">
        <w:rPr>
          <w:rFonts w:asciiTheme="majorEastAsia" w:eastAsiaTheme="majorEastAsia" w:hAnsiTheme="majorEastAsia" w:hint="eastAsia"/>
          <w:sz w:val="18"/>
          <w:szCs w:val="18"/>
        </w:rPr>
        <w:t>个</w:t>
      </w:r>
      <w:proofErr w:type="gramEnd"/>
      <w:r w:rsidRPr="009B35FC">
        <w:rPr>
          <w:rFonts w:asciiTheme="majorEastAsia" w:eastAsiaTheme="majorEastAsia" w:hAnsiTheme="majorEastAsia" w:hint="eastAsia"/>
          <w:sz w:val="18"/>
          <w:szCs w:val="18"/>
        </w:rPr>
        <w:t>非政府组织的关系（第</w:t>
      </w:r>
      <w:r w:rsidRPr="009B35FC">
        <w:rPr>
          <w:rFonts w:asciiTheme="majorEastAsia" w:eastAsiaTheme="majorEastAsia" w:hAnsiTheme="majorEastAsia"/>
          <w:sz w:val="18"/>
          <w:szCs w:val="18"/>
        </w:rPr>
        <w:t xml:space="preserve"> </w:t>
      </w:r>
      <w:hyperlink r:id="rId12" w:history="1">
        <w:r w:rsidRPr="009B35FC">
          <w:rPr>
            <w:rStyle w:val="Lienhypertexte"/>
            <w:rFonts w:asciiTheme="majorEastAsia" w:eastAsiaTheme="majorEastAsia" w:hAnsiTheme="majorEastAsia"/>
            <w:sz w:val="18"/>
            <w:szCs w:val="18"/>
          </w:rPr>
          <w:t xml:space="preserve">18.COM 16 </w:t>
        </w:r>
        <w:proofErr w:type="gramStart"/>
        <w:r w:rsidRPr="009B35FC">
          <w:rPr>
            <w:rStyle w:val="Lienhypertexte"/>
            <w:rFonts w:asciiTheme="majorEastAsia" w:eastAsiaTheme="majorEastAsia" w:hAnsiTheme="majorEastAsia" w:hint="eastAsia"/>
            <w:sz w:val="18"/>
            <w:szCs w:val="18"/>
          </w:rPr>
          <w:t>号决定</w:t>
        </w:r>
        <w:proofErr w:type="gramEnd"/>
      </w:hyperlink>
      <w:r w:rsidRPr="009B35FC">
        <w:rPr>
          <w:rFonts w:asciiTheme="majorEastAsia" w:eastAsiaTheme="majorEastAsia" w:hAnsiTheme="majorEastAsia" w:hint="eastAsia"/>
          <w:sz w:val="18"/>
          <w:szCs w:val="18"/>
        </w:rPr>
        <w:t>）。</w:t>
      </w:r>
    </w:p>
    <w:p w14:paraId="454AA83C" w14:textId="77777777" w:rsidR="0011074D" w:rsidRDefault="0011074D" w:rsidP="0011074D">
      <w:pPr>
        <w:pStyle w:val="Notedebasdepage"/>
      </w:pPr>
    </w:p>
  </w:footnote>
  <w:footnote w:id="3">
    <w:p w14:paraId="27432024" w14:textId="77777777" w:rsidR="001B3FD8" w:rsidRPr="007434A9" w:rsidRDefault="001B3FD8" w:rsidP="007434A9">
      <w:pPr>
        <w:pStyle w:val="Notedebasdepage"/>
        <w:jc w:val="both"/>
        <w:rPr>
          <w:rFonts w:asciiTheme="minorBidi" w:eastAsiaTheme="minorEastAsia" w:hAnsiTheme="minorBidi" w:cstheme="minorBidi"/>
          <w:sz w:val="18"/>
          <w:szCs w:val="18"/>
        </w:rPr>
      </w:pPr>
      <w:r>
        <w:rPr>
          <w:rStyle w:val="Appelnotedebasdep"/>
          <w:rFonts w:asciiTheme="minorBidi" w:hAnsiTheme="minorBidi" w:cstheme="minorBidi"/>
          <w:sz w:val="18"/>
          <w:szCs w:val="18"/>
        </w:rPr>
        <w:footnoteRef/>
      </w:r>
      <w:r>
        <w:rPr>
          <w:rFonts w:asciiTheme="minorBidi" w:eastAsiaTheme="minorEastAsia" w:hAnsiTheme="minorBidi" w:hint="eastAsia"/>
          <w:sz w:val="18"/>
        </w:rPr>
        <w:t>37</w:t>
      </w:r>
      <w:r>
        <w:rPr>
          <w:rFonts w:asciiTheme="minorBidi" w:eastAsiaTheme="minorEastAsia" w:hAnsiTheme="minorBidi" w:hint="eastAsia"/>
          <w:sz w:val="18"/>
        </w:rPr>
        <w:t>个参与缔约国中选择该措施的回应者数量（和百分比）。每个缔约国最多可以选择两种可能的措施。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1DCC31E1" w:rsidR="00D95C4C" w:rsidRPr="00C23A97" w:rsidRDefault="006F41B4">
    <w:pPr>
      <w:pStyle w:val="En-tte"/>
      <w:rPr>
        <w:rFonts w:ascii="Arial" w:hAnsi="Arial" w:cs="Arial"/>
      </w:rPr>
    </w:pPr>
    <w:r>
      <w:rPr>
        <w:rFonts w:ascii="Arial" w:hAnsi="Arial" w:hint="eastAsia"/>
        <w:sz w:val="20"/>
      </w:rPr>
      <w:t xml:space="preserve">LHE/24/10.GA/9 </w:t>
    </w:r>
    <w:r>
      <w:rPr>
        <w:rFonts w:ascii="Arial" w:hAnsi="Arial" w:hint="eastAsia"/>
        <w:sz w:val="20"/>
      </w:rPr>
      <w:t>–</w:t>
    </w:r>
    <w:r>
      <w:rPr>
        <w:rFonts w:ascii="Arial" w:hAnsi="Arial" w:hint="eastAsia"/>
        <w:sz w:val="20"/>
      </w:rPr>
      <w:t xml:space="preserve"> </w:t>
    </w:r>
    <w:r>
      <w:rPr>
        <w:rFonts w:ascii="Arial" w:hAnsi="Arial" w:hint="eastAsia"/>
        <w:sz w:val="20"/>
      </w:rPr>
      <w:t>第</w:t>
    </w:r>
    <w:r w:rsidR="00D95C4C" w:rsidRPr="00C23A97">
      <w:rPr>
        <w:rStyle w:val="Numrodepage"/>
        <w:rFonts w:ascii="Arial" w:hAnsi="Arial" w:cs="Arial" w:hint="eastAsia"/>
        <w:sz w:val="20"/>
        <w:szCs w:val="20"/>
      </w:rPr>
      <w:fldChar w:fldCharType="begin"/>
    </w:r>
    <w:r w:rsidR="00D95C4C" w:rsidRPr="00C23A97">
      <w:rPr>
        <w:rStyle w:val="Numrodepage"/>
        <w:rFonts w:ascii="Arial" w:hAnsi="Arial" w:cs="Arial" w:hint="eastAsia"/>
        <w:sz w:val="20"/>
        <w:szCs w:val="20"/>
      </w:rPr>
      <w:instrText xml:space="preserve"> PAGE </w:instrText>
    </w:r>
    <w:r w:rsidR="00D95C4C" w:rsidRPr="00C23A97">
      <w:rPr>
        <w:rStyle w:val="Numrodepage"/>
        <w:rFonts w:ascii="Arial" w:hAnsi="Arial" w:cs="Arial" w:hint="eastAsia"/>
        <w:sz w:val="20"/>
        <w:szCs w:val="20"/>
      </w:rPr>
      <w:fldChar w:fldCharType="separate"/>
    </w:r>
    <w:r w:rsidR="003E4F59">
      <w:rPr>
        <w:rStyle w:val="Numrodepage"/>
        <w:rFonts w:ascii="Arial" w:hAnsi="Arial" w:cs="Arial"/>
        <w:noProof/>
        <w:sz w:val="20"/>
        <w:szCs w:val="20"/>
      </w:rPr>
      <w:t>4</w:t>
    </w:r>
    <w:r w:rsidR="00D95C4C" w:rsidRPr="00C23A97">
      <w:rPr>
        <w:rStyle w:val="Numrodepage"/>
        <w:rFonts w:ascii="Arial" w:hAnsi="Arial" w:cs="Arial" w:hint="eastAsia"/>
        <w:sz w:val="20"/>
        <w:szCs w:val="20"/>
      </w:rPr>
      <w:fldChar w:fldCharType="end"/>
    </w:r>
    <w:r>
      <w:rPr>
        <w:rFonts w:hint="eastAsia"/>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3DFE092E" w:rsidR="00D95C4C" w:rsidRPr="0063300C" w:rsidRDefault="00502D44" w:rsidP="0063300C">
    <w:pPr>
      <w:pStyle w:val="En-tte"/>
      <w:jc w:val="right"/>
      <w:rPr>
        <w:rFonts w:ascii="Arial" w:hAnsi="Arial" w:cs="Arial"/>
      </w:rPr>
    </w:pPr>
    <w:r>
      <w:rPr>
        <w:rFonts w:ascii="Arial" w:hAnsi="Arial" w:hint="eastAsia"/>
        <w:sz w:val="20"/>
      </w:rPr>
      <w:t xml:space="preserve">LHE/24/10.GA/9 </w:t>
    </w:r>
    <w:r>
      <w:rPr>
        <w:rFonts w:ascii="Arial" w:hAnsi="Arial" w:hint="eastAsia"/>
        <w:sz w:val="20"/>
      </w:rPr>
      <w:t>–</w:t>
    </w:r>
    <w:r>
      <w:rPr>
        <w:rFonts w:ascii="Arial" w:hAnsi="Arial" w:hint="eastAsia"/>
        <w:sz w:val="20"/>
      </w:rPr>
      <w:t xml:space="preserve"> </w:t>
    </w:r>
    <w:r>
      <w:rPr>
        <w:rFonts w:ascii="Arial" w:hAnsi="Arial" w:hint="eastAsia"/>
        <w:sz w:val="20"/>
      </w:rPr>
      <w:t>第</w:t>
    </w:r>
    <w:r w:rsidR="004A34A0" w:rsidRPr="0063300C">
      <w:rPr>
        <w:rStyle w:val="Numrodepage"/>
        <w:rFonts w:ascii="Arial" w:hAnsi="Arial" w:cs="Arial" w:hint="eastAsia"/>
        <w:sz w:val="20"/>
        <w:szCs w:val="20"/>
      </w:rPr>
      <w:fldChar w:fldCharType="begin"/>
    </w:r>
    <w:r w:rsidR="004A34A0" w:rsidRPr="0063300C">
      <w:rPr>
        <w:rStyle w:val="Numrodepage"/>
        <w:rFonts w:ascii="Arial" w:hAnsi="Arial" w:cs="Arial" w:hint="eastAsia"/>
        <w:sz w:val="20"/>
        <w:szCs w:val="20"/>
      </w:rPr>
      <w:instrText xml:space="preserve"> PAGE </w:instrText>
    </w:r>
    <w:r w:rsidR="004A34A0" w:rsidRPr="0063300C">
      <w:rPr>
        <w:rStyle w:val="Numrodepage"/>
        <w:rFonts w:ascii="Arial" w:hAnsi="Arial" w:cs="Arial" w:hint="eastAsia"/>
        <w:sz w:val="20"/>
        <w:szCs w:val="20"/>
      </w:rPr>
      <w:fldChar w:fldCharType="separate"/>
    </w:r>
    <w:r w:rsidR="003E4F59">
      <w:rPr>
        <w:rStyle w:val="Numrodepage"/>
        <w:rFonts w:ascii="Arial" w:hAnsi="Arial" w:cs="Arial"/>
        <w:noProof/>
        <w:sz w:val="20"/>
        <w:szCs w:val="20"/>
      </w:rPr>
      <w:t>3</w:t>
    </w:r>
    <w:r w:rsidR="004A34A0" w:rsidRPr="0063300C">
      <w:rPr>
        <w:rStyle w:val="Numrodepage"/>
        <w:rFonts w:ascii="Arial" w:hAnsi="Arial" w:cs="Arial" w:hint="eastAsia"/>
        <w:sz w:val="20"/>
        <w:szCs w:val="20"/>
      </w:rPr>
      <w:fldChar w:fldCharType="end"/>
    </w:r>
    <w:r>
      <w:rPr>
        <w:rFonts w:hint="eastAsia"/>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FD18" w14:textId="77777777" w:rsidR="00667C91" w:rsidRPr="008724E5" w:rsidRDefault="00667C91" w:rsidP="00667C91">
    <w:pPr>
      <w:pStyle w:val="En-tte"/>
    </w:pPr>
    <w:r>
      <w:rPr>
        <w:noProof/>
      </w:rPr>
      <w:drawing>
        <wp:anchor distT="0" distB="0" distL="114300" distR="114300" simplePos="0" relativeHeight="251659264" behindDoc="0" locked="0" layoutInCell="1" allowOverlap="1" wp14:anchorId="1A2966D6" wp14:editId="415AEDBE">
          <wp:simplePos x="0" y="0"/>
          <wp:positionH relativeFrom="column">
            <wp:posOffset>0</wp:posOffset>
          </wp:positionH>
          <wp:positionV relativeFrom="paragraph">
            <wp:posOffset>76200</wp:posOffset>
          </wp:positionV>
          <wp:extent cx="1893600" cy="1440000"/>
          <wp:effectExtent l="0" t="0" r="0" b="8255"/>
          <wp:wrapSquare wrapText="bothSides"/>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35E7C" w14:textId="77777777" w:rsidR="00667C91" w:rsidRPr="00E1151D" w:rsidRDefault="00667C91" w:rsidP="00667C91">
    <w:pPr>
      <w:pStyle w:val="En-tte"/>
      <w:spacing w:after="520"/>
      <w:jc w:val="right"/>
      <w:rPr>
        <w:rFonts w:ascii="Arial" w:hAnsi="Arial" w:cs="Arial"/>
        <w:b/>
        <w:sz w:val="44"/>
        <w:szCs w:val="44"/>
        <w:lang w:val="nl-NL"/>
      </w:rPr>
    </w:pPr>
    <w:r w:rsidRPr="00E1151D">
      <w:rPr>
        <w:rFonts w:ascii="Arial" w:hAnsi="Arial" w:hint="eastAsia"/>
        <w:b/>
        <w:sz w:val="44"/>
        <w:lang w:val="nl-NL"/>
      </w:rPr>
      <w:t>10 GA</w:t>
    </w:r>
  </w:p>
  <w:p w14:paraId="4E2C6994" w14:textId="77777777" w:rsidR="00667C91" w:rsidRPr="00E1151D" w:rsidRDefault="00667C91" w:rsidP="00667C91">
    <w:pPr>
      <w:jc w:val="right"/>
      <w:rPr>
        <w:rFonts w:ascii="Arial" w:hAnsi="Arial" w:cs="Arial"/>
        <w:b/>
        <w:sz w:val="22"/>
        <w:szCs w:val="22"/>
        <w:lang w:val="nl-NL"/>
      </w:rPr>
    </w:pPr>
    <w:r w:rsidRPr="00E1151D">
      <w:rPr>
        <w:rFonts w:ascii="Arial" w:hAnsi="Arial" w:hint="eastAsia"/>
        <w:b/>
        <w:sz w:val="22"/>
        <w:lang w:val="nl-NL"/>
      </w:rPr>
      <w:t>LHE/24/10.</w:t>
    </w:r>
    <w:r w:rsidRPr="00D72600">
      <w:rPr>
        <w:rFonts w:ascii="Arial" w:hAnsi="Arial" w:hint="eastAsia"/>
        <w:b/>
        <w:sz w:val="22"/>
        <w:lang w:val="nl-NL"/>
      </w:rPr>
      <w:t>GA/9</w:t>
    </w:r>
  </w:p>
  <w:p w14:paraId="18DB24E4" w14:textId="77777777" w:rsidR="00667C91" w:rsidRPr="00E1151D" w:rsidRDefault="00667C91" w:rsidP="00667C91">
    <w:pPr>
      <w:jc w:val="right"/>
      <w:rPr>
        <w:rFonts w:ascii="Arial" w:hAnsi="Arial" w:cs="Arial"/>
        <w:b/>
        <w:sz w:val="22"/>
        <w:szCs w:val="22"/>
        <w:lang w:val="nl-NL"/>
      </w:rPr>
    </w:pPr>
    <w:r>
      <w:rPr>
        <w:rFonts w:ascii="Arial" w:hAnsi="Arial" w:hint="eastAsia"/>
        <w:b/>
        <w:sz w:val="22"/>
      </w:rPr>
      <w:t>巴黎</w:t>
    </w:r>
    <w:r w:rsidRPr="00E1151D">
      <w:rPr>
        <w:rFonts w:ascii="Arial" w:hAnsi="Arial" w:hint="eastAsia"/>
        <w:b/>
        <w:sz w:val="22"/>
        <w:lang w:val="nl-NL"/>
      </w:rPr>
      <w:t>，</w:t>
    </w:r>
    <w:r w:rsidRPr="00E1151D">
      <w:rPr>
        <w:rFonts w:ascii="Arial" w:hAnsi="Arial" w:hint="eastAsia"/>
        <w:b/>
        <w:sz w:val="22"/>
        <w:lang w:val="nl-NL"/>
      </w:rPr>
      <w:t>2024</w:t>
    </w:r>
    <w:r>
      <w:rPr>
        <w:rFonts w:ascii="Arial" w:hAnsi="Arial" w:hint="eastAsia"/>
        <w:b/>
        <w:sz w:val="22"/>
      </w:rPr>
      <w:t>年</w:t>
    </w:r>
    <w:r w:rsidRPr="00E1151D">
      <w:rPr>
        <w:rFonts w:ascii="Arial" w:hAnsi="Arial" w:hint="eastAsia"/>
        <w:b/>
        <w:sz w:val="22"/>
        <w:lang w:val="nl-NL"/>
      </w:rPr>
      <w:t>5</w:t>
    </w:r>
    <w:r>
      <w:rPr>
        <w:rFonts w:ascii="Arial" w:hAnsi="Arial" w:hint="eastAsia"/>
        <w:b/>
        <w:sz w:val="22"/>
      </w:rPr>
      <w:t>月</w:t>
    </w:r>
    <w:r w:rsidRPr="00E1151D">
      <w:rPr>
        <w:rFonts w:ascii="Arial" w:hAnsi="Arial" w:hint="eastAsia"/>
        <w:b/>
        <w:sz w:val="22"/>
        <w:lang w:val="nl-NL"/>
      </w:rPr>
      <w:t>13</w:t>
    </w:r>
    <w:r>
      <w:rPr>
        <w:rFonts w:ascii="Arial" w:hAnsi="Arial" w:hint="eastAsia"/>
        <w:b/>
        <w:sz w:val="22"/>
      </w:rPr>
      <w:t>日</w:t>
    </w:r>
  </w:p>
  <w:p w14:paraId="2A22F54D" w14:textId="77777777" w:rsidR="00667C91" w:rsidRDefault="00667C91" w:rsidP="00667C91">
    <w:pPr>
      <w:jc w:val="right"/>
      <w:rPr>
        <w:rFonts w:ascii="Arial" w:hAnsi="Arial" w:cs="Arial"/>
        <w:b/>
        <w:sz w:val="22"/>
        <w:szCs w:val="22"/>
      </w:rPr>
    </w:pPr>
    <w:r>
      <w:rPr>
        <w:rFonts w:ascii="Arial" w:hAnsi="Arial" w:hint="eastAsia"/>
        <w:b/>
        <w:sz w:val="22"/>
      </w:rPr>
      <w:t>原文：英文</w:t>
    </w:r>
  </w:p>
  <w:p w14:paraId="35AE225C" w14:textId="77777777" w:rsidR="00667C91" w:rsidRDefault="00667C9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C0DF" w14:textId="77777777" w:rsidR="00D95C4C" w:rsidRPr="00C23A97" w:rsidRDefault="00516A9F" w:rsidP="00C5776D">
    <w:pPr>
      <w:pStyle w:val="En-tte"/>
      <w:rPr>
        <w:rFonts w:ascii="Arial" w:hAnsi="Arial" w:cs="Arial"/>
      </w:rPr>
    </w:pPr>
    <w:r>
      <w:rPr>
        <w:rFonts w:ascii="Arial" w:hAnsi="Arial" w:hint="eastAsia"/>
        <w:sz w:val="20"/>
      </w:rPr>
      <w:t xml:space="preserve">LHE/24/10.GA/9 Add. </w:t>
    </w:r>
    <w:r>
      <w:rPr>
        <w:rFonts w:hint="eastAsia"/>
      </w:rPr>
      <w:t xml:space="preserve">- </w:t>
    </w:r>
    <w:r>
      <w:rPr>
        <w:rFonts w:hint="eastAsia"/>
      </w:rPr>
      <w:t>第</w:t>
    </w:r>
    <w:r>
      <w:rPr>
        <w:rFonts w:hint="eastAsia"/>
      </w:rPr>
      <w:t xml:space="preserve"> </w:t>
    </w:r>
    <w:r w:rsidR="00D95C4C" w:rsidRPr="00C23A97">
      <w:rPr>
        <w:rStyle w:val="Numrodepage"/>
        <w:rFonts w:ascii="Arial" w:hAnsi="Arial" w:cs="Arial" w:hint="eastAsia"/>
        <w:sz w:val="20"/>
      </w:rPr>
      <w:fldChar w:fldCharType="begin"/>
    </w:r>
    <w:r w:rsidR="00D95C4C" w:rsidRPr="00C23A97">
      <w:rPr>
        <w:rStyle w:val="Numrodepage"/>
        <w:rFonts w:ascii="Arial" w:hAnsi="Arial" w:cs="Arial" w:hint="eastAsia"/>
        <w:sz w:val="20"/>
      </w:rPr>
      <w:instrText xml:space="preserve"> PAGE </w:instrText>
    </w:r>
    <w:r w:rsidR="00D95C4C" w:rsidRPr="00C23A97">
      <w:rPr>
        <w:rStyle w:val="Numrodepage"/>
        <w:rFonts w:ascii="Arial" w:hAnsi="Arial" w:cs="Arial" w:hint="eastAsia"/>
        <w:sz w:val="20"/>
      </w:rPr>
      <w:fldChar w:fldCharType="separate"/>
    </w:r>
    <w:r>
      <w:rPr>
        <w:rStyle w:val="Numrodepage"/>
        <w:rFonts w:ascii="Arial" w:hAnsi="Arial" w:cs="Arial" w:hint="eastAsia"/>
        <w:sz w:val="20"/>
      </w:rPr>
      <w:t>2</w:t>
    </w:r>
    <w:r w:rsidR="00D95C4C" w:rsidRPr="00C23A97">
      <w:rPr>
        <w:rStyle w:val="Numrodepage"/>
        <w:rFonts w:ascii="Arial" w:hAnsi="Arial" w:cs="Arial" w:hint="eastAsia"/>
        <w:sz w:val="20"/>
      </w:rPr>
      <w:fldChar w:fldCharType="end"/>
    </w:r>
    <w:r>
      <w:rPr>
        <w:rFonts w:hint="eastAsia"/>
      </w:rPr>
      <w:t xml:space="preserve"> </w:t>
    </w:r>
    <w:r>
      <w:rPr>
        <w:rFonts w:hint="eastAsia"/>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343A" w14:textId="77777777" w:rsidR="00D95C4C" w:rsidRPr="0063300C" w:rsidRDefault="00516A9F" w:rsidP="00C5776D">
    <w:pPr>
      <w:pStyle w:val="En-tte"/>
      <w:jc w:val="right"/>
      <w:rPr>
        <w:rFonts w:ascii="Arial" w:hAnsi="Arial" w:cs="Arial"/>
      </w:rPr>
    </w:pPr>
    <w:r>
      <w:rPr>
        <w:rFonts w:ascii="Arial" w:hAnsi="Arial" w:hint="eastAsia"/>
        <w:sz w:val="20"/>
      </w:rPr>
      <w:t>LHE/24/10.GA/9 Add.</w:t>
    </w:r>
    <w:r>
      <w:rPr>
        <w:rFonts w:hint="eastAsia"/>
      </w:rPr>
      <w:t xml:space="preserve">- </w:t>
    </w:r>
    <w:r>
      <w:rPr>
        <w:rFonts w:hint="eastAsia"/>
      </w:rPr>
      <w:t>第</w:t>
    </w:r>
    <w:r>
      <w:rPr>
        <w:rFonts w:hint="eastAsia"/>
      </w:rPr>
      <w:t xml:space="preserve"> </w:t>
    </w:r>
    <w:r w:rsidR="004A34A0" w:rsidRPr="0063300C">
      <w:rPr>
        <w:rStyle w:val="Numrodepage"/>
        <w:rFonts w:ascii="Arial" w:hAnsi="Arial" w:cs="Arial" w:hint="eastAsia"/>
        <w:sz w:val="20"/>
      </w:rPr>
      <w:fldChar w:fldCharType="begin"/>
    </w:r>
    <w:r w:rsidR="004A34A0" w:rsidRPr="0063300C">
      <w:rPr>
        <w:rStyle w:val="Numrodepage"/>
        <w:rFonts w:ascii="Arial" w:hAnsi="Arial" w:cs="Arial" w:hint="eastAsia"/>
        <w:sz w:val="20"/>
      </w:rPr>
      <w:instrText xml:space="preserve"> PAGE </w:instrText>
    </w:r>
    <w:r w:rsidR="004A34A0" w:rsidRPr="0063300C">
      <w:rPr>
        <w:rStyle w:val="Numrodepage"/>
        <w:rFonts w:ascii="Arial" w:hAnsi="Arial" w:cs="Arial" w:hint="eastAsia"/>
        <w:sz w:val="20"/>
      </w:rPr>
      <w:fldChar w:fldCharType="separate"/>
    </w:r>
    <w:r>
      <w:rPr>
        <w:rStyle w:val="Numrodepage"/>
        <w:rFonts w:ascii="Arial" w:hAnsi="Arial" w:cs="Arial" w:hint="eastAsia"/>
        <w:sz w:val="20"/>
      </w:rPr>
      <w:t>3</w:t>
    </w:r>
    <w:r w:rsidR="004A34A0" w:rsidRPr="0063300C">
      <w:rPr>
        <w:rStyle w:val="Numrodepage"/>
        <w:rFonts w:ascii="Arial" w:hAnsi="Arial" w:cs="Arial" w:hint="eastAsia"/>
        <w:sz w:val="20"/>
      </w:rPr>
      <w:fldChar w:fldCharType="end"/>
    </w:r>
    <w:r>
      <w:rPr>
        <w:rFonts w:hint="eastAsia"/>
      </w:rPr>
      <w:t xml:space="preserve"> </w:t>
    </w:r>
    <w:r>
      <w:rPr>
        <w:rFonts w:hint="eastAsia"/>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7EA9" w14:textId="568BC7FF" w:rsidR="00D95C4C" w:rsidRPr="00E95AE2" w:rsidRDefault="00667C91">
    <w:pPr>
      <w:pStyle w:val="En-tte"/>
      <w:rPr>
        <w:sz w:val="22"/>
        <w:szCs w:val="22"/>
      </w:rPr>
    </w:pPr>
    <w:r>
      <w:rPr>
        <w:noProof/>
      </w:rPr>
      <w:drawing>
        <wp:anchor distT="0" distB="0" distL="114300" distR="114300" simplePos="0" relativeHeight="251661312" behindDoc="0" locked="0" layoutInCell="1" allowOverlap="1" wp14:anchorId="4B8473E7" wp14:editId="335F3ED5">
          <wp:simplePos x="0" y="0"/>
          <wp:positionH relativeFrom="column">
            <wp:posOffset>0</wp:posOffset>
          </wp:positionH>
          <wp:positionV relativeFrom="paragraph">
            <wp:posOffset>158750</wp:posOffset>
          </wp:positionV>
          <wp:extent cx="1893600" cy="1440000"/>
          <wp:effectExtent l="0" t="0" r="0" b="8255"/>
          <wp:wrapSquare wrapText="bothSides"/>
          <wp:docPr id="601751154"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0FAF3" w14:textId="77777777" w:rsidR="00D95C4C" w:rsidRPr="00D7105A" w:rsidRDefault="00516A9F" w:rsidP="00C5776D">
    <w:pPr>
      <w:pStyle w:val="En-tte"/>
      <w:spacing w:after="520"/>
      <w:jc w:val="right"/>
      <w:rPr>
        <w:rFonts w:ascii="Arial" w:hAnsi="Arial" w:cs="Arial"/>
        <w:b/>
        <w:sz w:val="44"/>
        <w:szCs w:val="44"/>
      </w:rPr>
    </w:pPr>
    <w:r>
      <w:rPr>
        <w:rFonts w:ascii="Arial" w:hAnsi="Arial" w:hint="eastAsia"/>
        <w:b/>
        <w:sz w:val="44"/>
      </w:rPr>
      <w:t>10 GA</w:t>
    </w:r>
  </w:p>
  <w:p w14:paraId="29F8294D" w14:textId="77777777" w:rsidR="00D95C4C" w:rsidRPr="00D7105A" w:rsidRDefault="00516A9F" w:rsidP="00C5776D">
    <w:pPr>
      <w:jc w:val="right"/>
      <w:rPr>
        <w:rFonts w:ascii="Arial" w:hAnsi="Arial" w:cs="Arial"/>
        <w:b/>
        <w:sz w:val="22"/>
        <w:szCs w:val="22"/>
      </w:rPr>
    </w:pPr>
    <w:r>
      <w:rPr>
        <w:rFonts w:ascii="Arial" w:hAnsi="Arial" w:hint="eastAsia"/>
        <w:b/>
        <w:sz w:val="22"/>
      </w:rPr>
      <w:t>LHE/24/10.GA/9 Add.</w:t>
    </w:r>
  </w:p>
  <w:p w14:paraId="30552D77" w14:textId="5A791644" w:rsidR="00D95C4C" w:rsidRPr="00D7105A" w:rsidRDefault="00D95C4C" w:rsidP="00655736">
    <w:pPr>
      <w:jc w:val="right"/>
      <w:rPr>
        <w:rFonts w:ascii="Arial" w:eastAsiaTheme="minorEastAsia" w:hAnsi="Arial" w:cs="Arial"/>
        <w:b/>
        <w:sz w:val="22"/>
        <w:szCs w:val="22"/>
      </w:rPr>
    </w:pPr>
    <w:r>
      <w:rPr>
        <w:rFonts w:ascii="Arial" w:hAnsi="Arial" w:hint="eastAsia"/>
        <w:b/>
        <w:sz w:val="22"/>
      </w:rPr>
      <w:t>巴黎，</w:t>
    </w:r>
    <w:r>
      <w:rPr>
        <w:rFonts w:ascii="Arial" w:hAnsi="Arial" w:hint="eastAsia"/>
        <w:b/>
        <w:sz w:val="22"/>
      </w:rPr>
      <w:t>2024</w:t>
    </w:r>
    <w:r w:rsidRPr="00D148E2">
      <w:rPr>
        <w:rFonts w:ascii="Arial" w:hAnsi="Arial" w:hint="eastAsia"/>
        <w:b/>
        <w:sz w:val="22"/>
      </w:rPr>
      <w:t>年</w:t>
    </w:r>
    <w:r w:rsidR="009D5416">
      <w:rPr>
        <w:rFonts w:ascii="Arial" w:hAnsi="Arial"/>
        <w:b/>
        <w:sz w:val="22"/>
      </w:rPr>
      <w:t>6</w:t>
    </w:r>
    <w:r w:rsidRPr="00D148E2">
      <w:rPr>
        <w:rFonts w:ascii="Arial" w:hAnsi="Arial" w:hint="eastAsia"/>
        <w:b/>
        <w:sz w:val="22"/>
      </w:rPr>
      <w:t>月</w:t>
    </w:r>
    <w:r w:rsidR="009D5416">
      <w:rPr>
        <w:rFonts w:ascii="Arial" w:hAnsi="Arial"/>
        <w:b/>
        <w:sz w:val="22"/>
      </w:rPr>
      <w:t>5</w:t>
    </w:r>
    <w:r>
      <w:rPr>
        <w:rFonts w:ascii="Arial" w:hAnsi="Arial" w:hint="eastAsia"/>
        <w:b/>
        <w:sz w:val="22"/>
      </w:rPr>
      <w:t>日</w:t>
    </w:r>
  </w:p>
  <w:p w14:paraId="4EBDF470" w14:textId="77777777" w:rsidR="00D95C4C" w:rsidRPr="009D5416" w:rsidRDefault="00D95C4C" w:rsidP="00962034">
    <w:pPr>
      <w:spacing w:after="120"/>
      <w:jc w:val="right"/>
      <w:rPr>
        <w:rFonts w:ascii="Arial" w:hAnsi="Arial" w:cs="Arial"/>
        <w:b/>
        <w:sz w:val="22"/>
        <w:szCs w:val="22"/>
      </w:rPr>
    </w:pPr>
    <w:r>
      <w:rPr>
        <w:rFonts w:ascii="Arial" w:hAnsi="Arial" w:hint="eastAsia"/>
        <w:b/>
        <w:sz w:val="22"/>
      </w:rPr>
      <w:t>原</w:t>
    </w:r>
    <w:r w:rsidR="00516A9F">
      <w:rPr>
        <w:rFonts w:ascii="Arial" w:hAnsi="Arial" w:hint="eastAsia"/>
        <w:b/>
        <w:sz w:val="22"/>
      </w:rPr>
      <w:t>文</w:t>
    </w:r>
    <w:r>
      <w:rPr>
        <w:rFonts w:ascii="Arial" w:hAnsi="Arial" w:hint="eastAsia"/>
        <w:b/>
        <w:sz w:val="22"/>
      </w:rPr>
      <w:t>：</w:t>
    </w:r>
    <w:r w:rsidR="00516A9F">
      <w:rPr>
        <w:rFonts w:ascii="Arial" w:hAnsi="Arial" w:hint="eastAsia"/>
        <w:b/>
        <w:sz w:val="22"/>
        <w:lang w:val="en-US"/>
      </w:rPr>
      <w:t>英文</w:t>
    </w:r>
  </w:p>
  <w:p w14:paraId="68574E18" w14:textId="77777777" w:rsidR="00D95C4C" w:rsidRPr="009D5416"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352"/>
    <w:multiLevelType w:val="hybridMultilevel"/>
    <w:tmpl w:val="0DC0C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FD10F4"/>
    <w:multiLevelType w:val="hybridMultilevel"/>
    <w:tmpl w:val="F17E1C94"/>
    <w:lvl w:ilvl="0" w:tplc="FFFFFFFF">
      <w:start w:val="3"/>
      <w:numFmt w:val="lowerLetter"/>
      <w:lvlText w:val="%1."/>
      <w:lvlJc w:val="left"/>
      <w:pPr>
        <w:ind w:left="1080" w:hanging="360"/>
      </w:pPr>
      <w:rPr>
        <w:rFonts w:eastAsia="Times New Roman" w:hint="default"/>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55376F"/>
    <w:multiLevelType w:val="hybridMultilevel"/>
    <w:tmpl w:val="695ED68C"/>
    <w:lvl w:ilvl="0" w:tplc="5582BC92">
      <w:start w:val="1"/>
      <w:numFmt w:val="decimal"/>
      <w:lvlText w:val="%1."/>
      <w:lvlJc w:val="left"/>
      <w:pPr>
        <w:ind w:left="570" w:hanging="570"/>
      </w:pPr>
      <w:rPr>
        <w:rFonts w:ascii="Arial" w:eastAsia="Times New Roman" w:hAnsi="Arial" w:cs="Arial"/>
        <w:b w:val="0"/>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270120F"/>
    <w:multiLevelType w:val="hybridMultilevel"/>
    <w:tmpl w:val="76AC364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2F02677"/>
    <w:multiLevelType w:val="hybridMultilevel"/>
    <w:tmpl w:val="DC1A8DDA"/>
    <w:lvl w:ilvl="0" w:tplc="FFFFFFFF">
      <w:start w:val="2"/>
      <w:numFmt w:val="upperLetter"/>
      <w:lvlText w:val="%1."/>
      <w:lvlJc w:val="left"/>
      <w:pPr>
        <w:ind w:left="360" w:hanging="360"/>
      </w:pPr>
      <w:rPr>
        <w:rFonts w:hint="default"/>
      </w:rPr>
    </w:lvl>
    <w:lvl w:ilvl="1" w:tplc="85E65BB8">
      <w:start w:val="1"/>
      <w:numFmt w:val="decimal"/>
      <w:lvlText w:val="%2."/>
      <w:lvlJc w:val="left"/>
      <w:pPr>
        <w:ind w:left="720" w:hanging="360"/>
      </w:pPr>
      <w:rPr>
        <w:rFonts w:hint="default"/>
        <w:b w:val="0"/>
        <w:bCs/>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535599"/>
    <w:multiLevelType w:val="hybridMultilevel"/>
    <w:tmpl w:val="BFD25066"/>
    <w:lvl w:ilvl="0" w:tplc="C5560598">
      <w:start w:val="1"/>
      <w:numFmt w:val="bullet"/>
      <w:lvlText w:val="-"/>
      <w:lvlJc w:val="left"/>
      <w:pPr>
        <w:ind w:left="990" w:hanging="360"/>
      </w:pPr>
      <w:rPr>
        <w:rFonts w:ascii="Arial" w:eastAsia="Times New Roman" w:hAnsi="Arial" w:cs="Arial" w:hint="default"/>
      </w:rPr>
    </w:lvl>
    <w:lvl w:ilvl="1" w:tplc="FFFFFFFF">
      <w:start w:val="1"/>
      <w:numFmt w:val="bullet"/>
      <w:lvlText w:val="-"/>
      <w:lvlJc w:val="left"/>
      <w:pPr>
        <w:ind w:left="1710" w:hanging="360"/>
      </w:pPr>
      <w:rPr>
        <w:rFonts w:ascii="Arial" w:eastAsia="Times New Roman" w:hAnsi="Arial" w:cs="Aria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8" w15:restartNumberingAfterBreak="0">
    <w:nsid w:val="18F06C69"/>
    <w:multiLevelType w:val="hybridMultilevel"/>
    <w:tmpl w:val="A09C1ED4"/>
    <w:lvl w:ilvl="0" w:tplc="040C0001">
      <w:start w:val="1"/>
      <w:numFmt w:val="bullet"/>
      <w:lvlText w:val=""/>
      <w:lvlJc w:val="left"/>
      <w:pPr>
        <w:ind w:left="1347" w:hanging="360"/>
      </w:pPr>
      <w:rPr>
        <w:rFonts w:ascii="Symbol" w:hAnsi="Symbol" w:hint="default"/>
      </w:rPr>
    </w:lvl>
    <w:lvl w:ilvl="1" w:tplc="040C0003" w:tentative="1">
      <w:start w:val="1"/>
      <w:numFmt w:val="bullet"/>
      <w:lvlText w:val="o"/>
      <w:lvlJc w:val="left"/>
      <w:pPr>
        <w:ind w:left="2067" w:hanging="360"/>
      </w:pPr>
      <w:rPr>
        <w:rFonts w:ascii="Courier New" w:hAnsi="Courier New" w:cs="Courier New" w:hint="default"/>
      </w:rPr>
    </w:lvl>
    <w:lvl w:ilvl="2" w:tplc="040C0005" w:tentative="1">
      <w:start w:val="1"/>
      <w:numFmt w:val="bullet"/>
      <w:lvlText w:val=""/>
      <w:lvlJc w:val="left"/>
      <w:pPr>
        <w:ind w:left="2787" w:hanging="360"/>
      </w:pPr>
      <w:rPr>
        <w:rFonts w:ascii="Wingdings" w:hAnsi="Wingdings" w:hint="default"/>
      </w:rPr>
    </w:lvl>
    <w:lvl w:ilvl="3" w:tplc="040C0001" w:tentative="1">
      <w:start w:val="1"/>
      <w:numFmt w:val="bullet"/>
      <w:lvlText w:val=""/>
      <w:lvlJc w:val="left"/>
      <w:pPr>
        <w:ind w:left="3507" w:hanging="360"/>
      </w:pPr>
      <w:rPr>
        <w:rFonts w:ascii="Symbol" w:hAnsi="Symbol" w:hint="default"/>
      </w:rPr>
    </w:lvl>
    <w:lvl w:ilvl="4" w:tplc="040C0003" w:tentative="1">
      <w:start w:val="1"/>
      <w:numFmt w:val="bullet"/>
      <w:lvlText w:val="o"/>
      <w:lvlJc w:val="left"/>
      <w:pPr>
        <w:ind w:left="4227" w:hanging="360"/>
      </w:pPr>
      <w:rPr>
        <w:rFonts w:ascii="Courier New" w:hAnsi="Courier New" w:cs="Courier New" w:hint="default"/>
      </w:rPr>
    </w:lvl>
    <w:lvl w:ilvl="5" w:tplc="040C0005" w:tentative="1">
      <w:start w:val="1"/>
      <w:numFmt w:val="bullet"/>
      <w:lvlText w:val=""/>
      <w:lvlJc w:val="left"/>
      <w:pPr>
        <w:ind w:left="4947" w:hanging="360"/>
      </w:pPr>
      <w:rPr>
        <w:rFonts w:ascii="Wingdings" w:hAnsi="Wingdings" w:hint="default"/>
      </w:rPr>
    </w:lvl>
    <w:lvl w:ilvl="6" w:tplc="040C0001" w:tentative="1">
      <w:start w:val="1"/>
      <w:numFmt w:val="bullet"/>
      <w:lvlText w:val=""/>
      <w:lvlJc w:val="left"/>
      <w:pPr>
        <w:ind w:left="5667" w:hanging="360"/>
      </w:pPr>
      <w:rPr>
        <w:rFonts w:ascii="Symbol" w:hAnsi="Symbol" w:hint="default"/>
      </w:rPr>
    </w:lvl>
    <w:lvl w:ilvl="7" w:tplc="040C0003" w:tentative="1">
      <w:start w:val="1"/>
      <w:numFmt w:val="bullet"/>
      <w:lvlText w:val="o"/>
      <w:lvlJc w:val="left"/>
      <w:pPr>
        <w:ind w:left="6387" w:hanging="360"/>
      </w:pPr>
      <w:rPr>
        <w:rFonts w:ascii="Courier New" w:hAnsi="Courier New" w:cs="Courier New" w:hint="default"/>
      </w:rPr>
    </w:lvl>
    <w:lvl w:ilvl="8" w:tplc="040C0005" w:tentative="1">
      <w:start w:val="1"/>
      <w:numFmt w:val="bullet"/>
      <w:lvlText w:val=""/>
      <w:lvlJc w:val="left"/>
      <w:pPr>
        <w:ind w:left="7107" w:hanging="360"/>
      </w:pPr>
      <w:rPr>
        <w:rFonts w:ascii="Wingdings" w:hAnsi="Wingdings" w:hint="default"/>
      </w:rPr>
    </w:lvl>
  </w:abstractNum>
  <w:abstractNum w:abstractNumId="9"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336682"/>
    <w:multiLevelType w:val="hybridMultilevel"/>
    <w:tmpl w:val="35EAA06E"/>
    <w:lvl w:ilvl="0" w:tplc="0409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8A62126"/>
    <w:multiLevelType w:val="hybridMultilevel"/>
    <w:tmpl w:val="7B7CB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BA3136"/>
    <w:multiLevelType w:val="hybridMultilevel"/>
    <w:tmpl w:val="AFA4C9CE"/>
    <w:lvl w:ilvl="0" w:tplc="C5560598">
      <w:start w:val="1"/>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DC6A51"/>
    <w:multiLevelType w:val="multilevel"/>
    <w:tmpl w:val="FD1C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D1E76"/>
    <w:multiLevelType w:val="multilevel"/>
    <w:tmpl w:val="8FE2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F07BFE"/>
    <w:multiLevelType w:val="hybridMultilevel"/>
    <w:tmpl w:val="E24AD55A"/>
    <w:lvl w:ilvl="0" w:tplc="76CAC304">
      <w:start w:val="1"/>
      <w:numFmt w:val="decimal"/>
      <w:pStyle w:val="GAPara"/>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64D6D09"/>
    <w:multiLevelType w:val="hybridMultilevel"/>
    <w:tmpl w:val="A2507ECA"/>
    <w:lvl w:ilvl="0" w:tplc="040C0017">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BA53EB"/>
    <w:multiLevelType w:val="hybridMultilevel"/>
    <w:tmpl w:val="C0368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02209"/>
    <w:multiLevelType w:val="hybridMultilevel"/>
    <w:tmpl w:val="C81EAF90"/>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960296"/>
    <w:multiLevelType w:val="hybridMultilevel"/>
    <w:tmpl w:val="C0700C88"/>
    <w:lvl w:ilvl="0" w:tplc="04090015">
      <w:start w:val="1"/>
      <w:numFmt w:val="upp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5" w15:restartNumberingAfterBreak="0">
    <w:nsid w:val="43F14662"/>
    <w:multiLevelType w:val="hybridMultilevel"/>
    <w:tmpl w:val="DB52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F771C"/>
    <w:multiLevelType w:val="multilevel"/>
    <w:tmpl w:val="A0CA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47ED05D8"/>
    <w:multiLevelType w:val="hybridMultilevel"/>
    <w:tmpl w:val="34A6208A"/>
    <w:lvl w:ilvl="0" w:tplc="04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C6B5B59"/>
    <w:multiLevelType w:val="multilevel"/>
    <w:tmpl w:val="3E32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736D2"/>
    <w:multiLevelType w:val="hybridMultilevel"/>
    <w:tmpl w:val="74F2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B3E4C"/>
    <w:multiLevelType w:val="hybridMultilevel"/>
    <w:tmpl w:val="C2826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58BC6DF9"/>
    <w:multiLevelType w:val="hybridMultilevel"/>
    <w:tmpl w:val="6C2E7F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6" w15:restartNumberingAfterBreak="0">
    <w:nsid w:val="5F5E6B0A"/>
    <w:multiLevelType w:val="hybridMultilevel"/>
    <w:tmpl w:val="76563B0C"/>
    <w:lvl w:ilvl="0" w:tplc="55EA7882">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100B56"/>
    <w:multiLevelType w:val="hybridMultilevel"/>
    <w:tmpl w:val="F17E1C94"/>
    <w:lvl w:ilvl="0" w:tplc="B91272E4">
      <w:start w:val="3"/>
      <w:numFmt w:val="lowerLetter"/>
      <w:lvlText w:val="%1."/>
      <w:lvlJc w:val="left"/>
      <w:pPr>
        <w:ind w:left="1080" w:hanging="360"/>
      </w:pPr>
      <w:rPr>
        <w:rFonts w:eastAsia="Times New Roman"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9C79A8"/>
    <w:multiLevelType w:val="hybridMultilevel"/>
    <w:tmpl w:val="DA56B99C"/>
    <w:lvl w:ilvl="0" w:tplc="C5560598">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42F3D3D"/>
    <w:multiLevelType w:val="hybridMultilevel"/>
    <w:tmpl w:val="A9280B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0"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2074D"/>
    <w:multiLevelType w:val="hybridMultilevel"/>
    <w:tmpl w:val="64B874A0"/>
    <w:lvl w:ilvl="0" w:tplc="C5560598">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6BD39AC"/>
    <w:multiLevelType w:val="hybridMultilevel"/>
    <w:tmpl w:val="98F2FA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6E94B26"/>
    <w:multiLevelType w:val="hybridMultilevel"/>
    <w:tmpl w:val="8CC037C8"/>
    <w:lvl w:ilvl="0" w:tplc="85E65BB8">
      <w:start w:val="1"/>
      <w:numFmt w:val="decimal"/>
      <w:lvlText w:val="%1."/>
      <w:lvlJc w:val="left"/>
      <w:pPr>
        <w:ind w:left="570" w:hanging="57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27090C"/>
    <w:multiLevelType w:val="hybridMultilevel"/>
    <w:tmpl w:val="8B223E38"/>
    <w:lvl w:ilvl="0" w:tplc="04090015">
      <w:start w:val="1"/>
      <w:numFmt w:val="upperLetter"/>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46" w15:restartNumberingAfterBreak="0">
    <w:nsid w:val="67D10C57"/>
    <w:multiLevelType w:val="multilevel"/>
    <w:tmpl w:val="357A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F44D18"/>
    <w:multiLevelType w:val="hybridMultilevel"/>
    <w:tmpl w:val="3B3617AC"/>
    <w:lvl w:ilvl="0" w:tplc="FFFFFFFF">
      <w:start w:val="2"/>
      <w:numFmt w:val="upperLetter"/>
      <w:lvlText w:val="%1."/>
      <w:lvlJc w:val="left"/>
      <w:pPr>
        <w:ind w:left="990" w:hanging="360"/>
      </w:pPr>
      <w:rPr>
        <w:rFonts w:hint="default"/>
      </w:rPr>
    </w:lvl>
    <w:lvl w:ilvl="1" w:tplc="C5560598">
      <w:start w:val="1"/>
      <w:numFmt w:val="bullet"/>
      <w:lvlText w:val="-"/>
      <w:lvlJc w:val="left"/>
      <w:pPr>
        <w:ind w:left="1710" w:hanging="360"/>
      </w:pPr>
      <w:rPr>
        <w:rFonts w:ascii="Arial" w:eastAsia="Times New Roman" w:hAnsi="Arial" w:cs="Aria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8" w15:restartNumberingAfterBreak="0">
    <w:nsid w:val="6D58222C"/>
    <w:multiLevelType w:val="hybridMultilevel"/>
    <w:tmpl w:val="B1E66D4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25C12BE"/>
    <w:multiLevelType w:val="hybridMultilevel"/>
    <w:tmpl w:val="560CA548"/>
    <w:lvl w:ilvl="0" w:tplc="5C7A2752">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2A455CE"/>
    <w:multiLevelType w:val="hybridMultilevel"/>
    <w:tmpl w:val="F8D0D3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15:restartNumberingAfterBreak="0">
    <w:nsid w:val="76335EA5"/>
    <w:multiLevelType w:val="hybridMultilevel"/>
    <w:tmpl w:val="6DFAB0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76FC0292"/>
    <w:multiLevelType w:val="hybridMultilevel"/>
    <w:tmpl w:val="C1F0D092"/>
    <w:lvl w:ilvl="0" w:tplc="EBA0D8D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38658255">
    <w:abstractNumId w:val="35"/>
  </w:num>
  <w:num w:numId="2" w16cid:durableId="1695300130">
    <w:abstractNumId w:val="18"/>
  </w:num>
  <w:num w:numId="3" w16cid:durableId="729040151">
    <w:abstractNumId w:val="9"/>
  </w:num>
  <w:num w:numId="4" w16cid:durableId="143204268">
    <w:abstractNumId w:val="54"/>
  </w:num>
  <w:num w:numId="5" w16cid:durableId="2012439945">
    <w:abstractNumId w:val="43"/>
  </w:num>
  <w:num w:numId="6" w16cid:durableId="730813208">
    <w:abstractNumId w:val="4"/>
  </w:num>
  <w:num w:numId="7" w16cid:durableId="417139861">
    <w:abstractNumId w:val="10"/>
  </w:num>
  <w:num w:numId="8" w16cid:durableId="112748889">
    <w:abstractNumId w:val="27"/>
  </w:num>
  <w:num w:numId="9" w16cid:durableId="1191607979">
    <w:abstractNumId w:val="16"/>
  </w:num>
  <w:num w:numId="10" w16cid:durableId="531191591">
    <w:abstractNumId w:val="19"/>
  </w:num>
  <w:num w:numId="11" w16cid:durableId="2002151814">
    <w:abstractNumId w:val="24"/>
  </w:num>
  <w:num w:numId="12" w16cid:durableId="619145232">
    <w:abstractNumId w:val="20"/>
  </w:num>
  <w:num w:numId="13" w16cid:durableId="962542665">
    <w:abstractNumId w:val="49"/>
  </w:num>
  <w:num w:numId="14" w16cid:durableId="94207699">
    <w:abstractNumId w:val="30"/>
  </w:num>
  <w:num w:numId="15" w16cid:durableId="340743814">
    <w:abstractNumId w:val="33"/>
  </w:num>
  <w:num w:numId="16" w16cid:durableId="1346130532">
    <w:abstractNumId w:val="19"/>
  </w:num>
  <w:num w:numId="17" w16cid:durableId="300692727">
    <w:abstractNumId w:val="19"/>
  </w:num>
  <w:num w:numId="18" w16cid:durableId="536352855">
    <w:abstractNumId w:val="19"/>
  </w:num>
  <w:num w:numId="19" w16cid:durableId="726614315">
    <w:abstractNumId w:val="0"/>
  </w:num>
  <w:num w:numId="20" w16cid:durableId="369838978">
    <w:abstractNumId w:val="3"/>
  </w:num>
  <w:num w:numId="21" w16cid:durableId="1375420907">
    <w:abstractNumId w:val="51"/>
  </w:num>
  <w:num w:numId="22" w16cid:durableId="1973946035">
    <w:abstractNumId w:val="36"/>
  </w:num>
  <w:num w:numId="23" w16cid:durableId="174542369">
    <w:abstractNumId w:val="46"/>
  </w:num>
  <w:num w:numId="24" w16cid:durableId="1191839678">
    <w:abstractNumId w:val="14"/>
  </w:num>
  <w:num w:numId="25" w16cid:durableId="1669863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2875">
    <w:abstractNumId w:val="32"/>
  </w:num>
  <w:num w:numId="27" w16cid:durableId="98067293">
    <w:abstractNumId w:val="39"/>
  </w:num>
  <w:num w:numId="28" w16cid:durableId="1582330072">
    <w:abstractNumId w:val="45"/>
  </w:num>
  <w:num w:numId="29" w16cid:durableId="1770158062">
    <w:abstractNumId w:val="26"/>
  </w:num>
  <w:num w:numId="30" w16cid:durableId="962882451">
    <w:abstractNumId w:val="21"/>
  </w:num>
  <w:num w:numId="31" w16cid:durableId="2017078355">
    <w:abstractNumId w:val="16"/>
  </w:num>
  <w:num w:numId="32" w16cid:durableId="86001578">
    <w:abstractNumId w:val="29"/>
  </w:num>
  <w:num w:numId="33" w16cid:durableId="2106535948">
    <w:abstractNumId w:val="50"/>
  </w:num>
  <w:num w:numId="34" w16cid:durableId="30083717">
    <w:abstractNumId w:val="17"/>
  </w:num>
  <w:num w:numId="35" w16cid:durableId="316306219">
    <w:abstractNumId w:val="42"/>
  </w:num>
  <w:num w:numId="36" w16cid:durableId="2072463745">
    <w:abstractNumId w:val="1"/>
  </w:num>
  <w:num w:numId="37" w16cid:durableId="1366642058">
    <w:abstractNumId w:val="53"/>
  </w:num>
  <w:num w:numId="38" w16cid:durableId="1126762">
    <w:abstractNumId w:val="12"/>
  </w:num>
  <w:num w:numId="39" w16cid:durableId="919100216">
    <w:abstractNumId w:val="48"/>
  </w:num>
  <w:num w:numId="40" w16cid:durableId="125271923">
    <w:abstractNumId w:val="40"/>
  </w:num>
  <w:num w:numId="41" w16cid:durableId="518736590">
    <w:abstractNumId w:val="15"/>
  </w:num>
  <w:num w:numId="42" w16cid:durableId="1293901092">
    <w:abstractNumId w:val="23"/>
  </w:num>
  <w:num w:numId="43" w16cid:durableId="184291269">
    <w:abstractNumId w:val="31"/>
  </w:num>
  <w:num w:numId="44" w16cid:durableId="414284739">
    <w:abstractNumId w:val="28"/>
  </w:num>
  <w:num w:numId="45" w16cid:durableId="177503094">
    <w:abstractNumId w:val="5"/>
  </w:num>
  <w:num w:numId="46" w16cid:durableId="2051882158">
    <w:abstractNumId w:val="22"/>
  </w:num>
  <w:num w:numId="47" w16cid:durableId="1403454745">
    <w:abstractNumId w:val="25"/>
  </w:num>
  <w:num w:numId="48" w16cid:durableId="1592396685">
    <w:abstractNumId w:val="44"/>
  </w:num>
  <w:num w:numId="49" w16cid:durableId="318197227">
    <w:abstractNumId w:val="13"/>
  </w:num>
  <w:num w:numId="50" w16cid:durableId="1961495561">
    <w:abstractNumId w:val="47"/>
  </w:num>
  <w:num w:numId="51" w16cid:durableId="978532251">
    <w:abstractNumId w:val="7"/>
  </w:num>
  <w:num w:numId="52" w16cid:durableId="1860922565">
    <w:abstractNumId w:val="37"/>
  </w:num>
  <w:num w:numId="53" w16cid:durableId="1542865502">
    <w:abstractNumId w:val="38"/>
  </w:num>
  <w:num w:numId="54" w16cid:durableId="1122578475">
    <w:abstractNumId w:val="6"/>
  </w:num>
  <w:num w:numId="55" w16cid:durableId="192616248">
    <w:abstractNumId w:val="41"/>
  </w:num>
  <w:num w:numId="56" w16cid:durableId="1484664597">
    <w:abstractNumId w:val="52"/>
  </w:num>
  <w:num w:numId="57" w16cid:durableId="985205164">
    <w:abstractNumId w:val="2"/>
  </w:num>
  <w:num w:numId="58" w16cid:durableId="1739160644">
    <w:abstractNumId w:val="11"/>
  </w:num>
  <w:num w:numId="59" w16cid:durableId="1489707188">
    <w:abstractNumId w:val="34"/>
  </w:num>
  <w:num w:numId="60" w16cid:durableId="1031959002">
    <w:abstractNumId w:val="8"/>
  </w:num>
  <w:num w:numId="61" w16cid:durableId="1465194573">
    <w:abstractNumId w:val="1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866"/>
    <w:rsid w:val="0000081D"/>
    <w:rsid w:val="00002B19"/>
    <w:rsid w:val="000036FB"/>
    <w:rsid w:val="000048ED"/>
    <w:rsid w:val="000055CD"/>
    <w:rsid w:val="00013677"/>
    <w:rsid w:val="000264DC"/>
    <w:rsid w:val="00026B8D"/>
    <w:rsid w:val="000328F5"/>
    <w:rsid w:val="00041A66"/>
    <w:rsid w:val="00046697"/>
    <w:rsid w:val="0005176E"/>
    <w:rsid w:val="00053C58"/>
    <w:rsid w:val="0006113B"/>
    <w:rsid w:val="000617A8"/>
    <w:rsid w:val="00062D83"/>
    <w:rsid w:val="00065B6F"/>
    <w:rsid w:val="000760BA"/>
    <w:rsid w:val="000761B7"/>
    <w:rsid w:val="000765F7"/>
    <w:rsid w:val="00077AB7"/>
    <w:rsid w:val="0008046B"/>
    <w:rsid w:val="000808E9"/>
    <w:rsid w:val="00081CD8"/>
    <w:rsid w:val="00082CFF"/>
    <w:rsid w:val="000857CC"/>
    <w:rsid w:val="00085888"/>
    <w:rsid w:val="000863F2"/>
    <w:rsid w:val="00091229"/>
    <w:rsid w:val="00092C9D"/>
    <w:rsid w:val="00092EA8"/>
    <w:rsid w:val="000A09EE"/>
    <w:rsid w:val="000A3C88"/>
    <w:rsid w:val="000A4426"/>
    <w:rsid w:val="000A69F9"/>
    <w:rsid w:val="000A7F0E"/>
    <w:rsid w:val="000B24C4"/>
    <w:rsid w:val="000B3D34"/>
    <w:rsid w:val="000B4426"/>
    <w:rsid w:val="000B5126"/>
    <w:rsid w:val="000B7111"/>
    <w:rsid w:val="000C0D61"/>
    <w:rsid w:val="000C1AC2"/>
    <w:rsid w:val="000C2FE8"/>
    <w:rsid w:val="000D2922"/>
    <w:rsid w:val="000D2BAE"/>
    <w:rsid w:val="000D358B"/>
    <w:rsid w:val="000D39DF"/>
    <w:rsid w:val="000D42FD"/>
    <w:rsid w:val="000D62FA"/>
    <w:rsid w:val="000E6941"/>
    <w:rsid w:val="000F04DF"/>
    <w:rsid w:val="000F1204"/>
    <w:rsid w:val="000F3A32"/>
    <w:rsid w:val="000F3A3F"/>
    <w:rsid w:val="000F40E4"/>
    <w:rsid w:val="000F5C48"/>
    <w:rsid w:val="000F701E"/>
    <w:rsid w:val="000F783D"/>
    <w:rsid w:val="00102557"/>
    <w:rsid w:val="00102F32"/>
    <w:rsid w:val="001035A0"/>
    <w:rsid w:val="00106920"/>
    <w:rsid w:val="0010779E"/>
    <w:rsid w:val="00110062"/>
    <w:rsid w:val="0011074D"/>
    <w:rsid w:val="00110D67"/>
    <w:rsid w:val="00115010"/>
    <w:rsid w:val="001166AB"/>
    <w:rsid w:val="00117AD9"/>
    <w:rsid w:val="00120ECA"/>
    <w:rsid w:val="001267A1"/>
    <w:rsid w:val="00132955"/>
    <w:rsid w:val="00132C8D"/>
    <w:rsid w:val="00133066"/>
    <w:rsid w:val="00134594"/>
    <w:rsid w:val="0013590D"/>
    <w:rsid w:val="00136FA1"/>
    <w:rsid w:val="00141104"/>
    <w:rsid w:val="0014571A"/>
    <w:rsid w:val="00151D1F"/>
    <w:rsid w:val="00152D3D"/>
    <w:rsid w:val="001541E1"/>
    <w:rsid w:val="0015684E"/>
    <w:rsid w:val="00162EE7"/>
    <w:rsid w:val="00164D56"/>
    <w:rsid w:val="00164D8F"/>
    <w:rsid w:val="00167B10"/>
    <w:rsid w:val="00172BC7"/>
    <w:rsid w:val="00173FBD"/>
    <w:rsid w:val="0017402F"/>
    <w:rsid w:val="00176720"/>
    <w:rsid w:val="001862DB"/>
    <w:rsid w:val="00191ADC"/>
    <w:rsid w:val="001937CA"/>
    <w:rsid w:val="00196C1B"/>
    <w:rsid w:val="001A03F4"/>
    <w:rsid w:val="001B0366"/>
    <w:rsid w:val="001B0F73"/>
    <w:rsid w:val="001B1BEB"/>
    <w:rsid w:val="001B1F09"/>
    <w:rsid w:val="001B3FD8"/>
    <w:rsid w:val="001B52CF"/>
    <w:rsid w:val="001B6EE7"/>
    <w:rsid w:val="001B7362"/>
    <w:rsid w:val="001B757C"/>
    <w:rsid w:val="001C629C"/>
    <w:rsid w:val="001C7EBC"/>
    <w:rsid w:val="001D09F2"/>
    <w:rsid w:val="001D2727"/>
    <w:rsid w:val="001D5C04"/>
    <w:rsid w:val="001D70CC"/>
    <w:rsid w:val="001D7CA1"/>
    <w:rsid w:val="001E05F4"/>
    <w:rsid w:val="001F03F4"/>
    <w:rsid w:val="001F1F33"/>
    <w:rsid w:val="001F3D05"/>
    <w:rsid w:val="001F4A0A"/>
    <w:rsid w:val="001F58CA"/>
    <w:rsid w:val="0020046B"/>
    <w:rsid w:val="0020400C"/>
    <w:rsid w:val="00206861"/>
    <w:rsid w:val="00211783"/>
    <w:rsid w:val="0022015F"/>
    <w:rsid w:val="00222A2D"/>
    <w:rsid w:val="00223029"/>
    <w:rsid w:val="002313B6"/>
    <w:rsid w:val="00231809"/>
    <w:rsid w:val="00234745"/>
    <w:rsid w:val="00236FF3"/>
    <w:rsid w:val="002407AF"/>
    <w:rsid w:val="00240EAD"/>
    <w:rsid w:val="00240F2F"/>
    <w:rsid w:val="00246400"/>
    <w:rsid w:val="0025271D"/>
    <w:rsid w:val="00253C5E"/>
    <w:rsid w:val="00263A0D"/>
    <w:rsid w:val="002641E7"/>
    <w:rsid w:val="00266F70"/>
    <w:rsid w:val="00270504"/>
    <w:rsid w:val="00275EC7"/>
    <w:rsid w:val="00281069"/>
    <w:rsid w:val="00294852"/>
    <w:rsid w:val="00295CE6"/>
    <w:rsid w:val="00296281"/>
    <w:rsid w:val="00296AC6"/>
    <w:rsid w:val="00296DFE"/>
    <w:rsid w:val="002A27F8"/>
    <w:rsid w:val="002B0B4D"/>
    <w:rsid w:val="002B14D0"/>
    <w:rsid w:val="002B424E"/>
    <w:rsid w:val="002B7CA2"/>
    <w:rsid w:val="002C09E3"/>
    <w:rsid w:val="002C2507"/>
    <w:rsid w:val="002C2A4E"/>
    <w:rsid w:val="002C3DF8"/>
    <w:rsid w:val="002C5D7A"/>
    <w:rsid w:val="002C5E64"/>
    <w:rsid w:val="002D3F3D"/>
    <w:rsid w:val="002E2EBD"/>
    <w:rsid w:val="002F0AC2"/>
    <w:rsid w:val="002F312A"/>
    <w:rsid w:val="003006D6"/>
    <w:rsid w:val="003024E6"/>
    <w:rsid w:val="003063E1"/>
    <w:rsid w:val="00314EE4"/>
    <w:rsid w:val="003265D0"/>
    <w:rsid w:val="0032756E"/>
    <w:rsid w:val="0033202F"/>
    <w:rsid w:val="00335B7F"/>
    <w:rsid w:val="00345CB4"/>
    <w:rsid w:val="003522C7"/>
    <w:rsid w:val="003527C2"/>
    <w:rsid w:val="00352BB3"/>
    <w:rsid w:val="00354757"/>
    <w:rsid w:val="003549B8"/>
    <w:rsid w:val="00361D79"/>
    <w:rsid w:val="003624DE"/>
    <w:rsid w:val="0036315C"/>
    <w:rsid w:val="00364AFD"/>
    <w:rsid w:val="00365C36"/>
    <w:rsid w:val="00373E68"/>
    <w:rsid w:val="003832A4"/>
    <w:rsid w:val="003835C8"/>
    <w:rsid w:val="003845D4"/>
    <w:rsid w:val="00384A1C"/>
    <w:rsid w:val="00384D3E"/>
    <w:rsid w:val="0039160A"/>
    <w:rsid w:val="003916AF"/>
    <w:rsid w:val="00391AC6"/>
    <w:rsid w:val="003920E4"/>
    <w:rsid w:val="00394197"/>
    <w:rsid w:val="00397329"/>
    <w:rsid w:val="003A224A"/>
    <w:rsid w:val="003A228F"/>
    <w:rsid w:val="003A708C"/>
    <w:rsid w:val="003B1DF8"/>
    <w:rsid w:val="003B25BD"/>
    <w:rsid w:val="003B4C9D"/>
    <w:rsid w:val="003B6D70"/>
    <w:rsid w:val="003B747C"/>
    <w:rsid w:val="003C196C"/>
    <w:rsid w:val="003C2FCA"/>
    <w:rsid w:val="003D069C"/>
    <w:rsid w:val="003D451A"/>
    <w:rsid w:val="003D7565"/>
    <w:rsid w:val="003D7646"/>
    <w:rsid w:val="003E4F59"/>
    <w:rsid w:val="003E6265"/>
    <w:rsid w:val="003F113A"/>
    <w:rsid w:val="003F24FB"/>
    <w:rsid w:val="00412CAE"/>
    <w:rsid w:val="00414643"/>
    <w:rsid w:val="0041493A"/>
    <w:rsid w:val="00415D57"/>
    <w:rsid w:val="00416E46"/>
    <w:rsid w:val="00422549"/>
    <w:rsid w:val="00426677"/>
    <w:rsid w:val="004269FE"/>
    <w:rsid w:val="00435CED"/>
    <w:rsid w:val="004368A3"/>
    <w:rsid w:val="0043757A"/>
    <w:rsid w:val="004421E5"/>
    <w:rsid w:val="00445891"/>
    <w:rsid w:val="00445FF7"/>
    <w:rsid w:val="004472C8"/>
    <w:rsid w:val="004501BD"/>
    <w:rsid w:val="00452284"/>
    <w:rsid w:val="0046080C"/>
    <w:rsid w:val="00472BCA"/>
    <w:rsid w:val="0047616F"/>
    <w:rsid w:val="00482AC9"/>
    <w:rsid w:val="004833E8"/>
    <w:rsid w:val="00484A4B"/>
    <w:rsid w:val="004855F6"/>
    <w:rsid w:val="004856CA"/>
    <w:rsid w:val="0049160E"/>
    <w:rsid w:val="00493776"/>
    <w:rsid w:val="00493CFB"/>
    <w:rsid w:val="00494676"/>
    <w:rsid w:val="00495158"/>
    <w:rsid w:val="00496EF6"/>
    <w:rsid w:val="0049705E"/>
    <w:rsid w:val="004A01B3"/>
    <w:rsid w:val="004A34A0"/>
    <w:rsid w:val="004A5D0E"/>
    <w:rsid w:val="004B1D86"/>
    <w:rsid w:val="004B1F07"/>
    <w:rsid w:val="004B2449"/>
    <w:rsid w:val="004C14FB"/>
    <w:rsid w:val="004C7156"/>
    <w:rsid w:val="004D1452"/>
    <w:rsid w:val="004D2992"/>
    <w:rsid w:val="004D32F1"/>
    <w:rsid w:val="004D73A6"/>
    <w:rsid w:val="004D77F9"/>
    <w:rsid w:val="004E7F4A"/>
    <w:rsid w:val="004F7592"/>
    <w:rsid w:val="00500BC7"/>
    <w:rsid w:val="00500D6F"/>
    <w:rsid w:val="00502D44"/>
    <w:rsid w:val="00503B1B"/>
    <w:rsid w:val="00504DA1"/>
    <w:rsid w:val="005163C2"/>
    <w:rsid w:val="00516A9F"/>
    <w:rsid w:val="00526B7B"/>
    <w:rsid w:val="005308CE"/>
    <w:rsid w:val="005329A6"/>
    <w:rsid w:val="00534C19"/>
    <w:rsid w:val="00540FE0"/>
    <w:rsid w:val="005410AA"/>
    <w:rsid w:val="005477B3"/>
    <w:rsid w:val="00547B09"/>
    <w:rsid w:val="00552A08"/>
    <w:rsid w:val="005618AD"/>
    <w:rsid w:val="005677D5"/>
    <w:rsid w:val="0057439C"/>
    <w:rsid w:val="005745C2"/>
    <w:rsid w:val="005823AB"/>
    <w:rsid w:val="0058510E"/>
    <w:rsid w:val="00586EFB"/>
    <w:rsid w:val="00593A49"/>
    <w:rsid w:val="00593D58"/>
    <w:rsid w:val="00595AF2"/>
    <w:rsid w:val="00597B9A"/>
    <w:rsid w:val="005A1A48"/>
    <w:rsid w:val="005B0127"/>
    <w:rsid w:val="005B1237"/>
    <w:rsid w:val="005B55E7"/>
    <w:rsid w:val="005B7A35"/>
    <w:rsid w:val="005C14A1"/>
    <w:rsid w:val="005C1ECB"/>
    <w:rsid w:val="005C1FE9"/>
    <w:rsid w:val="005C4B73"/>
    <w:rsid w:val="005C6835"/>
    <w:rsid w:val="005D0965"/>
    <w:rsid w:val="005D1039"/>
    <w:rsid w:val="005D1AEB"/>
    <w:rsid w:val="005D6E87"/>
    <w:rsid w:val="005E1D2B"/>
    <w:rsid w:val="005E588B"/>
    <w:rsid w:val="005F2280"/>
    <w:rsid w:val="0060053A"/>
    <w:rsid w:val="00600CE2"/>
    <w:rsid w:val="00600D93"/>
    <w:rsid w:val="00600E03"/>
    <w:rsid w:val="006150C2"/>
    <w:rsid w:val="00620406"/>
    <w:rsid w:val="006212A7"/>
    <w:rsid w:val="00626710"/>
    <w:rsid w:val="00630329"/>
    <w:rsid w:val="00631684"/>
    <w:rsid w:val="00632A6E"/>
    <w:rsid w:val="0063300C"/>
    <w:rsid w:val="006339F9"/>
    <w:rsid w:val="006342B6"/>
    <w:rsid w:val="00636D5B"/>
    <w:rsid w:val="0063701C"/>
    <w:rsid w:val="006418CF"/>
    <w:rsid w:val="00645D99"/>
    <w:rsid w:val="00647FD6"/>
    <w:rsid w:val="00651758"/>
    <w:rsid w:val="00655736"/>
    <w:rsid w:val="00656FCC"/>
    <w:rsid w:val="00663B8D"/>
    <w:rsid w:val="00667C91"/>
    <w:rsid w:val="006720C3"/>
    <w:rsid w:val="006750F6"/>
    <w:rsid w:val="00677640"/>
    <w:rsid w:val="0067775C"/>
    <w:rsid w:val="006836FB"/>
    <w:rsid w:val="0068412C"/>
    <w:rsid w:val="00685C11"/>
    <w:rsid w:val="0069182E"/>
    <w:rsid w:val="006951AE"/>
    <w:rsid w:val="006968E3"/>
    <w:rsid w:val="00696C8D"/>
    <w:rsid w:val="006A2AC2"/>
    <w:rsid w:val="006A3617"/>
    <w:rsid w:val="006A5FFC"/>
    <w:rsid w:val="006A64E9"/>
    <w:rsid w:val="006A6C87"/>
    <w:rsid w:val="006B05B0"/>
    <w:rsid w:val="006C5499"/>
    <w:rsid w:val="006D3F8F"/>
    <w:rsid w:val="006E46E4"/>
    <w:rsid w:val="006F084A"/>
    <w:rsid w:val="006F237F"/>
    <w:rsid w:val="006F41B4"/>
    <w:rsid w:val="0070187D"/>
    <w:rsid w:val="00703FBF"/>
    <w:rsid w:val="007050D1"/>
    <w:rsid w:val="00705374"/>
    <w:rsid w:val="007058DF"/>
    <w:rsid w:val="00706237"/>
    <w:rsid w:val="00710274"/>
    <w:rsid w:val="00710B44"/>
    <w:rsid w:val="00711517"/>
    <w:rsid w:val="0071435D"/>
    <w:rsid w:val="00717DA5"/>
    <w:rsid w:val="00723F97"/>
    <w:rsid w:val="00725087"/>
    <w:rsid w:val="0073028D"/>
    <w:rsid w:val="0073078B"/>
    <w:rsid w:val="00733307"/>
    <w:rsid w:val="00733376"/>
    <w:rsid w:val="00743083"/>
    <w:rsid w:val="007430BA"/>
    <w:rsid w:val="00744484"/>
    <w:rsid w:val="00744DAB"/>
    <w:rsid w:val="007465B8"/>
    <w:rsid w:val="00755238"/>
    <w:rsid w:val="00763A0D"/>
    <w:rsid w:val="00764A95"/>
    <w:rsid w:val="00765896"/>
    <w:rsid w:val="00767665"/>
    <w:rsid w:val="007709EF"/>
    <w:rsid w:val="00773188"/>
    <w:rsid w:val="00776515"/>
    <w:rsid w:val="00780F05"/>
    <w:rsid w:val="00783782"/>
    <w:rsid w:val="00784B8C"/>
    <w:rsid w:val="007A0A97"/>
    <w:rsid w:val="007A1C4F"/>
    <w:rsid w:val="007A21DF"/>
    <w:rsid w:val="007A4D40"/>
    <w:rsid w:val="007A6B7A"/>
    <w:rsid w:val="007B40D1"/>
    <w:rsid w:val="007B52EF"/>
    <w:rsid w:val="007B5E5D"/>
    <w:rsid w:val="007C36FB"/>
    <w:rsid w:val="007D019B"/>
    <w:rsid w:val="007D2FBC"/>
    <w:rsid w:val="007D5BAA"/>
    <w:rsid w:val="007E274B"/>
    <w:rsid w:val="007E3EBC"/>
    <w:rsid w:val="007E41FA"/>
    <w:rsid w:val="007F10C3"/>
    <w:rsid w:val="007F14F0"/>
    <w:rsid w:val="007F16A7"/>
    <w:rsid w:val="007F492B"/>
    <w:rsid w:val="007F5047"/>
    <w:rsid w:val="007F5754"/>
    <w:rsid w:val="008150BE"/>
    <w:rsid w:val="00823A11"/>
    <w:rsid w:val="00826461"/>
    <w:rsid w:val="00831A0F"/>
    <w:rsid w:val="00834190"/>
    <w:rsid w:val="00835209"/>
    <w:rsid w:val="008358A2"/>
    <w:rsid w:val="008365A4"/>
    <w:rsid w:val="00845AA8"/>
    <w:rsid w:val="00846310"/>
    <w:rsid w:val="008473EE"/>
    <w:rsid w:val="00850E1B"/>
    <w:rsid w:val="00852866"/>
    <w:rsid w:val="0085414A"/>
    <w:rsid w:val="008560F9"/>
    <w:rsid w:val="008566C5"/>
    <w:rsid w:val="0086269D"/>
    <w:rsid w:val="0086543A"/>
    <w:rsid w:val="00870246"/>
    <w:rsid w:val="008712A4"/>
    <w:rsid w:val="008724E5"/>
    <w:rsid w:val="00873515"/>
    <w:rsid w:val="0087467F"/>
    <w:rsid w:val="00884A9D"/>
    <w:rsid w:val="0088512B"/>
    <w:rsid w:val="00886F82"/>
    <w:rsid w:val="00892023"/>
    <w:rsid w:val="00894253"/>
    <w:rsid w:val="008948AA"/>
    <w:rsid w:val="00894AC8"/>
    <w:rsid w:val="008A056E"/>
    <w:rsid w:val="008A1337"/>
    <w:rsid w:val="008A1ED4"/>
    <w:rsid w:val="008A2026"/>
    <w:rsid w:val="008A253B"/>
    <w:rsid w:val="008A25C8"/>
    <w:rsid w:val="008A2B2D"/>
    <w:rsid w:val="008A4E1E"/>
    <w:rsid w:val="008B4707"/>
    <w:rsid w:val="008B5729"/>
    <w:rsid w:val="008B75EE"/>
    <w:rsid w:val="008C05DD"/>
    <w:rsid w:val="008C296C"/>
    <w:rsid w:val="008C3C39"/>
    <w:rsid w:val="008D3EA2"/>
    <w:rsid w:val="008D4305"/>
    <w:rsid w:val="008E014B"/>
    <w:rsid w:val="008E3CB1"/>
    <w:rsid w:val="008E50CE"/>
    <w:rsid w:val="008E6EB5"/>
    <w:rsid w:val="008F0A55"/>
    <w:rsid w:val="008F187F"/>
    <w:rsid w:val="008F38C8"/>
    <w:rsid w:val="008F6122"/>
    <w:rsid w:val="00901FD6"/>
    <w:rsid w:val="00902940"/>
    <w:rsid w:val="00902C87"/>
    <w:rsid w:val="00904C7C"/>
    <w:rsid w:val="00905D23"/>
    <w:rsid w:val="0090603F"/>
    <w:rsid w:val="00911342"/>
    <w:rsid w:val="009163A7"/>
    <w:rsid w:val="00917E29"/>
    <w:rsid w:val="00920C69"/>
    <w:rsid w:val="00921BC4"/>
    <w:rsid w:val="00921EDB"/>
    <w:rsid w:val="009238C5"/>
    <w:rsid w:val="009250E6"/>
    <w:rsid w:val="00925E52"/>
    <w:rsid w:val="009306DB"/>
    <w:rsid w:val="009320D9"/>
    <w:rsid w:val="009337D2"/>
    <w:rsid w:val="00934345"/>
    <w:rsid w:val="009405A0"/>
    <w:rsid w:val="0094171D"/>
    <w:rsid w:val="00942FC2"/>
    <w:rsid w:val="00946D0B"/>
    <w:rsid w:val="00954DB9"/>
    <w:rsid w:val="00961427"/>
    <w:rsid w:val="00962F1E"/>
    <w:rsid w:val="00965081"/>
    <w:rsid w:val="00970470"/>
    <w:rsid w:val="00972FCE"/>
    <w:rsid w:val="0098082E"/>
    <w:rsid w:val="0098641F"/>
    <w:rsid w:val="00987765"/>
    <w:rsid w:val="00993CCC"/>
    <w:rsid w:val="009947F9"/>
    <w:rsid w:val="009975B3"/>
    <w:rsid w:val="009A18CD"/>
    <w:rsid w:val="009A20FA"/>
    <w:rsid w:val="009A6C82"/>
    <w:rsid w:val="009D106F"/>
    <w:rsid w:val="009D5416"/>
    <w:rsid w:val="009E3422"/>
    <w:rsid w:val="009E4416"/>
    <w:rsid w:val="009E7053"/>
    <w:rsid w:val="009F6EBC"/>
    <w:rsid w:val="00A02EC0"/>
    <w:rsid w:val="00A07F56"/>
    <w:rsid w:val="00A1140F"/>
    <w:rsid w:val="00A12558"/>
    <w:rsid w:val="00A13903"/>
    <w:rsid w:val="00A22746"/>
    <w:rsid w:val="00A240A1"/>
    <w:rsid w:val="00A26708"/>
    <w:rsid w:val="00A301D4"/>
    <w:rsid w:val="00A34ED5"/>
    <w:rsid w:val="00A352E3"/>
    <w:rsid w:val="00A35394"/>
    <w:rsid w:val="00A36BFE"/>
    <w:rsid w:val="00A43A4F"/>
    <w:rsid w:val="00A45DBF"/>
    <w:rsid w:val="00A4780F"/>
    <w:rsid w:val="00A502CC"/>
    <w:rsid w:val="00A5128D"/>
    <w:rsid w:val="00A517CE"/>
    <w:rsid w:val="00A645DF"/>
    <w:rsid w:val="00A65C29"/>
    <w:rsid w:val="00A72380"/>
    <w:rsid w:val="00A72F43"/>
    <w:rsid w:val="00A755A2"/>
    <w:rsid w:val="00A761BC"/>
    <w:rsid w:val="00A76CD9"/>
    <w:rsid w:val="00A83CB2"/>
    <w:rsid w:val="00A83EEB"/>
    <w:rsid w:val="00A90980"/>
    <w:rsid w:val="00A96464"/>
    <w:rsid w:val="00AA352F"/>
    <w:rsid w:val="00AA37FC"/>
    <w:rsid w:val="00AA6660"/>
    <w:rsid w:val="00AA7461"/>
    <w:rsid w:val="00AA78C1"/>
    <w:rsid w:val="00AB15B0"/>
    <w:rsid w:val="00AB2C36"/>
    <w:rsid w:val="00AB4747"/>
    <w:rsid w:val="00AB4986"/>
    <w:rsid w:val="00AB5411"/>
    <w:rsid w:val="00AB70B6"/>
    <w:rsid w:val="00AC7B16"/>
    <w:rsid w:val="00AD1753"/>
    <w:rsid w:val="00AD19E8"/>
    <w:rsid w:val="00AD1A86"/>
    <w:rsid w:val="00AD5485"/>
    <w:rsid w:val="00AD79E5"/>
    <w:rsid w:val="00AE103E"/>
    <w:rsid w:val="00AE374B"/>
    <w:rsid w:val="00AE4379"/>
    <w:rsid w:val="00AE5AE9"/>
    <w:rsid w:val="00AF0A07"/>
    <w:rsid w:val="00AF4974"/>
    <w:rsid w:val="00AF4AEC"/>
    <w:rsid w:val="00AF4B69"/>
    <w:rsid w:val="00AF5C25"/>
    <w:rsid w:val="00AF625E"/>
    <w:rsid w:val="00AF6D6A"/>
    <w:rsid w:val="00AF6F09"/>
    <w:rsid w:val="00B02E09"/>
    <w:rsid w:val="00B032CC"/>
    <w:rsid w:val="00B03FDE"/>
    <w:rsid w:val="00B04A5B"/>
    <w:rsid w:val="00B063E3"/>
    <w:rsid w:val="00B12C03"/>
    <w:rsid w:val="00B152E6"/>
    <w:rsid w:val="00B167AB"/>
    <w:rsid w:val="00B1775B"/>
    <w:rsid w:val="00B24B9F"/>
    <w:rsid w:val="00B2666E"/>
    <w:rsid w:val="00B3294C"/>
    <w:rsid w:val="00B347F6"/>
    <w:rsid w:val="00B355BE"/>
    <w:rsid w:val="00B47804"/>
    <w:rsid w:val="00B50394"/>
    <w:rsid w:val="00B51C15"/>
    <w:rsid w:val="00B52DE6"/>
    <w:rsid w:val="00B5568A"/>
    <w:rsid w:val="00B715A7"/>
    <w:rsid w:val="00B75B46"/>
    <w:rsid w:val="00B770B1"/>
    <w:rsid w:val="00B8078F"/>
    <w:rsid w:val="00B81C10"/>
    <w:rsid w:val="00B83C31"/>
    <w:rsid w:val="00B87DCC"/>
    <w:rsid w:val="00B942BF"/>
    <w:rsid w:val="00B96B09"/>
    <w:rsid w:val="00BA27EB"/>
    <w:rsid w:val="00BA3627"/>
    <w:rsid w:val="00BA4A65"/>
    <w:rsid w:val="00BA62B3"/>
    <w:rsid w:val="00BA6346"/>
    <w:rsid w:val="00BA6F6A"/>
    <w:rsid w:val="00BB04AF"/>
    <w:rsid w:val="00BB22A2"/>
    <w:rsid w:val="00BB3222"/>
    <w:rsid w:val="00BB4DC1"/>
    <w:rsid w:val="00BD367B"/>
    <w:rsid w:val="00BD3D46"/>
    <w:rsid w:val="00BD52C9"/>
    <w:rsid w:val="00BD56EE"/>
    <w:rsid w:val="00BE11C5"/>
    <w:rsid w:val="00BE2354"/>
    <w:rsid w:val="00BE6354"/>
    <w:rsid w:val="00BF78F6"/>
    <w:rsid w:val="00C003BB"/>
    <w:rsid w:val="00C00655"/>
    <w:rsid w:val="00C00AB1"/>
    <w:rsid w:val="00C01618"/>
    <w:rsid w:val="00C0269C"/>
    <w:rsid w:val="00C11B67"/>
    <w:rsid w:val="00C12869"/>
    <w:rsid w:val="00C13F69"/>
    <w:rsid w:val="00C21191"/>
    <w:rsid w:val="00C22F22"/>
    <w:rsid w:val="00C23A97"/>
    <w:rsid w:val="00C25CBE"/>
    <w:rsid w:val="00C31CAF"/>
    <w:rsid w:val="00C35974"/>
    <w:rsid w:val="00C361A2"/>
    <w:rsid w:val="00C404B5"/>
    <w:rsid w:val="00C41364"/>
    <w:rsid w:val="00C4183D"/>
    <w:rsid w:val="00C42C66"/>
    <w:rsid w:val="00C43593"/>
    <w:rsid w:val="00C44C66"/>
    <w:rsid w:val="00C45C6E"/>
    <w:rsid w:val="00C46C0F"/>
    <w:rsid w:val="00C51389"/>
    <w:rsid w:val="00C514F4"/>
    <w:rsid w:val="00C52201"/>
    <w:rsid w:val="00C6326C"/>
    <w:rsid w:val="00C64FCA"/>
    <w:rsid w:val="00C70EA7"/>
    <w:rsid w:val="00C72006"/>
    <w:rsid w:val="00C7472F"/>
    <w:rsid w:val="00C7516E"/>
    <w:rsid w:val="00C7565E"/>
    <w:rsid w:val="00C75770"/>
    <w:rsid w:val="00C77AB1"/>
    <w:rsid w:val="00C841BB"/>
    <w:rsid w:val="00C929AF"/>
    <w:rsid w:val="00C93E3B"/>
    <w:rsid w:val="00C95F2F"/>
    <w:rsid w:val="00C96B7A"/>
    <w:rsid w:val="00C970C0"/>
    <w:rsid w:val="00C97EE2"/>
    <w:rsid w:val="00CA01BD"/>
    <w:rsid w:val="00CA0224"/>
    <w:rsid w:val="00CA5752"/>
    <w:rsid w:val="00CA75BB"/>
    <w:rsid w:val="00CB00D9"/>
    <w:rsid w:val="00CB3AEA"/>
    <w:rsid w:val="00CC0A98"/>
    <w:rsid w:val="00CC0BE1"/>
    <w:rsid w:val="00CC0DCC"/>
    <w:rsid w:val="00CC71DA"/>
    <w:rsid w:val="00CD3FDF"/>
    <w:rsid w:val="00CD73F8"/>
    <w:rsid w:val="00CD7430"/>
    <w:rsid w:val="00CE6611"/>
    <w:rsid w:val="00CF0FEA"/>
    <w:rsid w:val="00CF11C4"/>
    <w:rsid w:val="00CF1FFF"/>
    <w:rsid w:val="00CF47B0"/>
    <w:rsid w:val="00D00B2B"/>
    <w:rsid w:val="00D01E6E"/>
    <w:rsid w:val="00D02627"/>
    <w:rsid w:val="00D0496A"/>
    <w:rsid w:val="00D12513"/>
    <w:rsid w:val="00D12629"/>
    <w:rsid w:val="00D12B33"/>
    <w:rsid w:val="00D158D8"/>
    <w:rsid w:val="00D20879"/>
    <w:rsid w:val="00D20D12"/>
    <w:rsid w:val="00D23E17"/>
    <w:rsid w:val="00D24877"/>
    <w:rsid w:val="00D251F6"/>
    <w:rsid w:val="00D2568C"/>
    <w:rsid w:val="00D25762"/>
    <w:rsid w:val="00D318DB"/>
    <w:rsid w:val="00D35742"/>
    <w:rsid w:val="00D365B7"/>
    <w:rsid w:val="00D37FCE"/>
    <w:rsid w:val="00D406FB"/>
    <w:rsid w:val="00D475E0"/>
    <w:rsid w:val="00D47C64"/>
    <w:rsid w:val="00D502D2"/>
    <w:rsid w:val="00D51826"/>
    <w:rsid w:val="00D51E08"/>
    <w:rsid w:val="00D51EA8"/>
    <w:rsid w:val="00D525FC"/>
    <w:rsid w:val="00D53175"/>
    <w:rsid w:val="00D560A4"/>
    <w:rsid w:val="00D57EA7"/>
    <w:rsid w:val="00D70C69"/>
    <w:rsid w:val="00D72600"/>
    <w:rsid w:val="00D727BD"/>
    <w:rsid w:val="00D730AD"/>
    <w:rsid w:val="00D7505E"/>
    <w:rsid w:val="00D80C14"/>
    <w:rsid w:val="00D813F6"/>
    <w:rsid w:val="00D8267F"/>
    <w:rsid w:val="00D90ABA"/>
    <w:rsid w:val="00D9312B"/>
    <w:rsid w:val="00D95C4C"/>
    <w:rsid w:val="00DA082C"/>
    <w:rsid w:val="00DA2ACA"/>
    <w:rsid w:val="00DA36ED"/>
    <w:rsid w:val="00DA3996"/>
    <w:rsid w:val="00DA514B"/>
    <w:rsid w:val="00DA779C"/>
    <w:rsid w:val="00DB0A55"/>
    <w:rsid w:val="00DB0EC9"/>
    <w:rsid w:val="00DB5E63"/>
    <w:rsid w:val="00DC4878"/>
    <w:rsid w:val="00DC774F"/>
    <w:rsid w:val="00DD2639"/>
    <w:rsid w:val="00DD49B0"/>
    <w:rsid w:val="00DD5A33"/>
    <w:rsid w:val="00DD67CF"/>
    <w:rsid w:val="00DE34F1"/>
    <w:rsid w:val="00DE45D8"/>
    <w:rsid w:val="00DE6459"/>
    <w:rsid w:val="00DE7E2C"/>
    <w:rsid w:val="00DF1A11"/>
    <w:rsid w:val="00DF4942"/>
    <w:rsid w:val="00DF6E4B"/>
    <w:rsid w:val="00DF7A44"/>
    <w:rsid w:val="00E05ECB"/>
    <w:rsid w:val="00E1151D"/>
    <w:rsid w:val="00E1453B"/>
    <w:rsid w:val="00E15BF7"/>
    <w:rsid w:val="00E163D8"/>
    <w:rsid w:val="00E179AB"/>
    <w:rsid w:val="00E204DC"/>
    <w:rsid w:val="00E24630"/>
    <w:rsid w:val="00E34929"/>
    <w:rsid w:val="00E35769"/>
    <w:rsid w:val="00E35D26"/>
    <w:rsid w:val="00E37113"/>
    <w:rsid w:val="00E45366"/>
    <w:rsid w:val="00E477D8"/>
    <w:rsid w:val="00E6221F"/>
    <w:rsid w:val="00E626C8"/>
    <w:rsid w:val="00E627B1"/>
    <w:rsid w:val="00E66DB5"/>
    <w:rsid w:val="00E6705C"/>
    <w:rsid w:val="00E729A3"/>
    <w:rsid w:val="00E77694"/>
    <w:rsid w:val="00E84B47"/>
    <w:rsid w:val="00E851F2"/>
    <w:rsid w:val="00E86910"/>
    <w:rsid w:val="00E9376C"/>
    <w:rsid w:val="00EA2C1A"/>
    <w:rsid w:val="00EA335E"/>
    <w:rsid w:val="00EA528C"/>
    <w:rsid w:val="00EB1AB2"/>
    <w:rsid w:val="00EB4E46"/>
    <w:rsid w:val="00EB50C7"/>
    <w:rsid w:val="00EB6E60"/>
    <w:rsid w:val="00EC0398"/>
    <w:rsid w:val="00EC05EF"/>
    <w:rsid w:val="00EC0B37"/>
    <w:rsid w:val="00EC1195"/>
    <w:rsid w:val="00EC21C6"/>
    <w:rsid w:val="00EC5E0E"/>
    <w:rsid w:val="00EE0C1E"/>
    <w:rsid w:val="00EE1308"/>
    <w:rsid w:val="00EE1409"/>
    <w:rsid w:val="00EE1B09"/>
    <w:rsid w:val="00EE1EDF"/>
    <w:rsid w:val="00EE2A17"/>
    <w:rsid w:val="00EE4B25"/>
    <w:rsid w:val="00EE6AF6"/>
    <w:rsid w:val="00EE6B73"/>
    <w:rsid w:val="00EF19A6"/>
    <w:rsid w:val="00EF34E2"/>
    <w:rsid w:val="00EF4F1F"/>
    <w:rsid w:val="00EF69E3"/>
    <w:rsid w:val="00F010E0"/>
    <w:rsid w:val="00F01C9B"/>
    <w:rsid w:val="00F1304A"/>
    <w:rsid w:val="00F138D1"/>
    <w:rsid w:val="00F225E0"/>
    <w:rsid w:val="00F22F00"/>
    <w:rsid w:val="00F30396"/>
    <w:rsid w:val="00F440C9"/>
    <w:rsid w:val="00F46262"/>
    <w:rsid w:val="00F46D96"/>
    <w:rsid w:val="00F50A02"/>
    <w:rsid w:val="00F517FC"/>
    <w:rsid w:val="00F53DE9"/>
    <w:rsid w:val="00F56B8C"/>
    <w:rsid w:val="00F576CB"/>
    <w:rsid w:val="00F60AD9"/>
    <w:rsid w:val="00F622C7"/>
    <w:rsid w:val="00F63D7C"/>
    <w:rsid w:val="00F67C2E"/>
    <w:rsid w:val="00F70FBF"/>
    <w:rsid w:val="00F71A02"/>
    <w:rsid w:val="00F77780"/>
    <w:rsid w:val="00F802CF"/>
    <w:rsid w:val="00F80938"/>
    <w:rsid w:val="00F81F92"/>
    <w:rsid w:val="00F8210A"/>
    <w:rsid w:val="00F86D84"/>
    <w:rsid w:val="00FA0BC4"/>
    <w:rsid w:val="00FA2623"/>
    <w:rsid w:val="00FA62DA"/>
    <w:rsid w:val="00FB6051"/>
    <w:rsid w:val="00FB6630"/>
    <w:rsid w:val="00FC111B"/>
    <w:rsid w:val="00FC23DD"/>
    <w:rsid w:val="00FC3191"/>
    <w:rsid w:val="00FC4620"/>
    <w:rsid w:val="00FD0D29"/>
    <w:rsid w:val="00FD1226"/>
    <w:rsid w:val="00FD4B41"/>
    <w:rsid w:val="00FD67C3"/>
    <w:rsid w:val="00FE0DAC"/>
    <w:rsid w:val="00FE1FD2"/>
    <w:rsid w:val="00FE27F6"/>
    <w:rsid w:val="00FF03AE"/>
    <w:rsid w:val="00FF4830"/>
    <w:rsid w:val="00FF48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CAA34B"/>
  <w15:docId w15:val="{89B58EE9-1B41-4C54-A8E5-207D588C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lang w:val="fr-FR"/>
    </w:rPr>
  </w:style>
  <w:style w:type="paragraph" w:styleId="Titre1">
    <w:name w:val="heading 1"/>
    <w:basedOn w:val="Normal"/>
    <w:next w:val="Normal"/>
    <w:link w:val="Titre1Car"/>
    <w:uiPriority w:val="9"/>
    <w:rsid w:val="00B83C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paragraph" w:styleId="Titre7">
    <w:name w:val="heading 7"/>
    <w:basedOn w:val="Normal"/>
    <w:next w:val="Normal"/>
    <w:link w:val="Titre7Car"/>
    <w:uiPriority w:val="9"/>
    <w:semiHidden/>
    <w:unhideWhenUsed/>
    <w:qFormat/>
    <w:rsid w:val="00CF0FEA"/>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CF0F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auNormal"/>
    <w:uiPriority w:val="59"/>
    <w:rsid w:val="00191ADC"/>
    <w:rPr>
      <w:lang w:val="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391AC6"/>
    <w:pPr>
      <w:keepNext/>
      <w:spacing w:before="240" w:after="120"/>
      <w:ind w:left="567"/>
      <w:jc w:val="both"/>
    </w:pPr>
    <w:rPr>
      <w:rFonts w:ascii="Arial" w:hAnsi="Arial" w:cs="Arial"/>
      <w:b/>
      <w:sz w:val="22"/>
      <w:szCs w:val="22"/>
    </w:rPr>
  </w:style>
  <w:style w:type="character" w:styleId="Lienhypertexte">
    <w:name w:val="Hyperlink"/>
    <w:aliases w:val=" Car Car3 Char, Car Car3 Char Char Char Char"/>
    <w:basedOn w:val="Policepardfaut"/>
    <w:link w:val="CarCar3"/>
    <w:unhideWhenUsed/>
    <w:rsid w:val="00391AC6"/>
    <w:rPr>
      <w:color w:val="0563C1" w:themeColor="hyperlink"/>
      <w:u w:val="single"/>
    </w:rPr>
  </w:style>
  <w:style w:type="paragraph" w:styleId="Notedebasdepage">
    <w:name w:val="footnote text"/>
    <w:basedOn w:val="Normal"/>
    <w:link w:val="NotedebasdepageCar"/>
    <w:uiPriority w:val="99"/>
    <w:unhideWhenUsed/>
    <w:rsid w:val="00391AC6"/>
    <w:rPr>
      <w:sz w:val="20"/>
      <w:szCs w:val="20"/>
    </w:rPr>
  </w:style>
  <w:style w:type="character" w:customStyle="1" w:styleId="NotedebasdepageCar">
    <w:name w:val="Note de bas de page Car"/>
    <w:basedOn w:val="Policepardfaut"/>
    <w:link w:val="Notedebasdepage"/>
    <w:uiPriority w:val="99"/>
    <w:rsid w:val="00391AC6"/>
    <w:rPr>
      <w:rFonts w:ascii="Times New Roman" w:eastAsia="SimSun" w:hAnsi="Times New Roman"/>
      <w:lang w:val="fr-FR" w:eastAsia="zh-CN"/>
    </w:rPr>
  </w:style>
  <w:style w:type="character" w:styleId="Appelnotedebasdep">
    <w:name w:val="footnote reference"/>
    <w:basedOn w:val="Policepardfaut"/>
    <w:uiPriority w:val="99"/>
    <w:semiHidden/>
    <w:unhideWhenUsed/>
    <w:rsid w:val="00391AC6"/>
    <w:rPr>
      <w:vertAlign w:val="superscript"/>
    </w:rPr>
  </w:style>
  <w:style w:type="paragraph" w:styleId="Commentaire">
    <w:name w:val="annotation text"/>
    <w:basedOn w:val="Normal"/>
    <w:link w:val="CommentaireCar"/>
    <w:uiPriority w:val="99"/>
    <w:unhideWhenUsed/>
    <w:rsid w:val="005823AB"/>
    <w:pPr>
      <w:spacing w:after="160" w:line="259" w:lineRule="auto"/>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rsid w:val="005823AB"/>
    <w:rPr>
      <w:rFonts w:asciiTheme="minorHAnsi" w:eastAsiaTheme="minorEastAsia" w:hAnsiTheme="minorHAnsi" w:cstheme="minorBidi"/>
      <w:lang w:val="fr-FR" w:eastAsia="zh-CN"/>
    </w:rPr>
  </w:style>
  <w:style w:type="table" w:customStyle="1" w:styleId="GridTable4-Accent11">
    <w:name w:val="Grid Table 4 - Accent 11"/>
    <w:basedOn w:val="TableauNormal"/>
    <w:uiPriority w:val="49"/>
    <w:rsid w:val="005823AB"/>
    <w:rPr>
      <w:lang w:val="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GAPara">
    <w:name w:val="1. GA Para"/>
    <w:qFormat/>
    <w:rsid w:val="00595AF2"/>
    <w:pPr>
      <w:snapToGrid w:val="0"/>
      <w:spacing w:after="120"/>
      <w:ind w:left="720" w:hanging="360"/>
    </w:pPr>
    <w:rPr>
      <w:rFonts w:ascii="Arial" w:hAnsi="Arial" w:cs="Arial"/>
      <w:sz w:val="22"/>
      <w:szCs w:val="22"/>
    </w:rPr>
  </w:style>
  <w:style w:type="table" w:customStyle="1" w:styleId="TableGridLight1">
    <w:name w:val="Table Grid Light1"/>
    <w:basedOn w:val="TableauNormal"/>
    <w:uiPriority w:val="40"/>
    <w:rsid w:val="00595A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Policepardfaut"/>
    <w:uiPriority w:val="99"/>
    <w:semiHidden/>
    <w:unhideWhenUsed/>
    <w:rsid w:val="007F5754"/>
    <w:rPr>
      <w:color w:val="605E5C"/>
      <w:shd w:val="clear" w:color="auto" w:fill="E1DFDD"/>
    </w:rPr>
  </w:style>
  <w:style w:type="character" w:styleId="Lienhypertextesuivivisit">
    <w:name w:val="FollowedHyperlink"/>
    <w:basedOn w:val="Policepardfaut"/>
    <w:uiPriority w:val="99"/>
    <w:semiHidden/>
    <w:unhideWhenUsed/>
    <w:rsid w:val="00D9312B"/>
    <w:rPr>
      <w:color w:val="954F72" w:themeColor="followedHyperlink"/>
      <w:u w:val="single"/>
    </w:rPr>
  </w:style>
  <w:style w:type="character" w:styleId="Marquedecommentaire">
    <w:name w:val="annotation reference"/>
    <w:basedOn w:val="Policepardfaut"/>
    <w:uiPriority w:val="99"/>
    <w:semiHidden/>
    <w:unhideWhenUsed/>
    <w:rsid w:val="00BD367B"/>
    <w:rPr>
      <w:sz w:val="16"/>
      <w:szCs w:val="16"/>
    </w:rPr>
  </w:style>
  <w:style w:type="paragraph" w:styleId="Objetducommentaire">
    <w:name w:val="annotation subject"/>
    <w:basedOn w:val="Commentaire"/>
    <w:next w:val="Commentaire"/>
    <w:link w:val="ObjetducommentaireCar"/>
    <w:uiPriority w:val="99"/>
    <w:semiHidden/>
    <w:unhideWhenUsed/>
    <w:rsid w:val="00BD367B"/>
    <w:pPr>
      <w:spacing w:after="0" w:line="240" w:lineRule="auto"/>
    </w:pPr>
    <w:rPr>
      <w:rFonts w:ascii="Times New Roman" w:eastAsia="SimSun" w:hAnsi="Times New Roman" w:cs="Times New Roman"/>
      <w:b/>
      <w:bCs/>
    </w:rPr>
  </w:style>
  <w:style w:type="character" w:customStyle="1" w:styleId="ObjetducommentaireCar">
    <w:name w:val="Objet du commentaire Car"/>
    <w:basedOn w:val="CommentaireCar"/>
    <w:link w:val="Objetducommentaire"/>
    <w:uiPriority w:val="99"/>
    <w:semiHidden/>
    <w:rsid w:val="00BD367B"/>
    <w:rPr>
      <w:rFonts w:ascii="Times New Roman" w:eastAsia="SimSun" w:hAnsi="Times New Roman" w:cstheme="minorBidi"/>
      <w:b/>
      <w:bCs/>
      <w:lang w:val="fr-FR" w:eastAsia="zh-CN"/>
    </w:rPr>
  </w:style>
  <w:style w:type="paragraph" w:customStyle="1" w:styleId="COMPara">
    <w:name w:val="COM Para"/>
    <w:qFormat/>
    <w:rsid w:val="00A352E3"/>
    <w:pPr>
      <w:spacing w:after="120"/>
    </w:pPr>
    <w:rPr>
      <w:rFonts w:ascii="Arial" w:hAnsi="Arial" w:cs="Arial"/>
      <w:snapToGrid w:val="0"/>
      <w:sz w:val="22"/>
      <w:szCs w:val="22"/>
    </w:rPr>
  </w:style>
  <w:style w:type="paragraph" w:styleId="NormalWeb">
    <w:name w:val="Normal (Web)"/>
    <w:basedOn w:val="Normal"/>
    <w:uiPriority w:val="99"/>
    <w:semiHidden/>
    <w:unhideWhenUsed/>
    <w:rsid w:val="000857CC"/>
    <w:pPr>
      <w:spacing w:before="100" w:beforeAutospacing="1" w:after="100" w:afterAutospacing="1"/>
    </w:pPr>
  </w:style>
  <w:style w:type="character" w:customStyle="1" w:styleId="Titre1Car">
    <w:name w:val="Titre 1 Car"/>
    <w:basedOn w:val="Policepardfaut"/>
    <w:link w:val="Titre1"/>
    <w:uiPriority w:val="9"/>
    <w:rsid w:val="00B83C31"/>
    <w:rPr>
      <w:rFonts w:asciiTheme="majorHAnsi" w:eastAsiaTheme="majorEastAsia" w:hAnsiTheme="majorHAnsi" w:cstheme="majorBidi"/>
      <w:color w:val="2E74B5" w:themeColor="accent1" w:themeShade="BF"/>
      <w:sz w:val="32"/>
      <w:szCs w:val="32"/>
      <w:lang w:val="fr-FR" w:eastAsia="zh-CN"/>
    </w:rPr>
  </w:style>
  <w:style w:type="paragraph" w:styleId="Rvision">
    <w:name w:val="Revision"/>
    <w:hidden/>
    <w:uiPriority w:val="99"/>
    <w:semiHidden/>
    <w:rsid w:val="0063701C"/>
    <w:rPr>
      <w:rFonts w:ascii="Times New Roman" w:hAnsi="Times New Roman"/>
      <w:sz w:val="24"/>
      <w:szCs w:val="24"/>
      <w:lang w:val="fr-FR"/>
    </w:rPr>
  </w:style>
  <w:style w:type="paragraph" w:styleId="Sous-titre">
    <w:name w:val="Subtitle"/>
    <w:aliases w:val="Title of the meeting"/>
    <w:basedOn w:val="Normal"/>
    <w:next w:val="Normal"/>
    <w:link w:val="Sous-titreCar"/>
    <w:uiPriority w:val="11"/>
    <w:qFormat/>
    <w:rsid w:val="00E1453B"/>
    <w:pPr>
      <w:spacing w:before="120" w:after="360"/>
      <w:jc w:val="center"/>
    </w:pPr>
    <w:rPr>
      <w:rFonts w:ascii="Arial" w:eastAsiaTheme="minorHAnsi" w:hAnsi="Arial" w:cs="Arial"/>
      <w:b/>
      <w:szCs w:val="26"/>
      <w:lang w:val="en-GB"/>
    </w:rPr>
  </w:style>
  <w:style w:type="character" w:customStyle="1" w:styleId="Sous-titreCar">
    <w:name w:val="Sous-titre Car"/>
    <w:aliases w:val="Title of the meeting Car"/>
    <w:basedOn w:val="Policepardfaut"/>
    <w:link w:val="Sous-titre"/>
    <w:uiPriority w:val="11"/>
    <w:rsid w:val="00E1453B"/>
    <w:rPr>
      <w:rFonts w:ascii="Arial" w:eastAsiaTheme="minorHAnsi" w:hAnsi="Arial" w:cs="Arial"/>
      <w:b/>
      <w:sz w:val="24"/>
      <w:szCs w:val="26"/>
      <w:lang w:eastAsia="zh-CN"/>
    </w:rPr>
  </w:style>
  <w:style w:type="character" w:customStyle="1" w:styleId="Titre7Car">
    <w:name w:val="Titre 7 Car"/>
    <w:basedOn w:val="Policepardfaut"/>
    <w:link w:val="Titre7"/>
    <w:uiPriority w:val="9"/>
    <w:semiHidden/>
    <w:rsid w:val="00CF0FEA"/>
    <w:rPr>
      <w:rFonts w:asciiTheme="majorHAnsi" w:eastAsiaTheme="majorEastAsia" w:hAnsiTheme="majorHAnsi" w:cstheme="majorBidi"/>
      <w:i/>
      <w:iCs/>
      <w:color w:val="1F4D78" w:themeColor="accent1" w:themeShade="7F"/>
      <w:sz w:val="24"/>
      <w:szCs w:val="24"/>
      <w:lang w:val="fr-FR" w:eastAsia="zh-CN"/>
    </w:rPr>
  </w:style>
  <w:style w:type="character" w:customStyle="1" w:styleId="Titre9Car">
    <w:name w:val="Titre 9 Car"/>
    <w:basedOn w:val="Policepardfaut"/>
    <w:link w:val="Titre9"/>
    <w:uiPriority w:val="9"/>
    <w:semiHidden/>
    <w:rsid w:val="00CF0FEA"/>
    <w:rPr>
      <w:rFonts w:asciiTheme="majorHAnsi" w:eastAsiaTheme="majorEastAsia" w:hAnsiTheme="majorHAnsi" w:cstheme="majorBidi"/>
      <w:i/>
      <w:iCs/>
      <w:color w:val="272727" w:themeColor="text1" w:themeTint="D8"/>
      <w:sz w:val="21"/>
      <w:szCs w:val="21"/>
      <w:lang w:val="fr-FR" w:eastAsia="zh-CN"/>
    </w:rPr>
  </w:style>
  <w:style w:type="paragraph" w:styleId="Lgende">
    <w:name w:val="caption"/>
    <w:basedOn w:val="Normal"/>
    <w:next w:val="Normal"/>
    <w:uiPriority w:val="35"/>
    <w:unhideWhenUsed/>
    <w:qFormat/>
    <w:rsid w:val="004269FE"/>
    <w:pPr>
      <w:spacing w:after="200"/>
    </w:pPr>
    <w:rPr>
      <w:i/>
      <w:iCs/>
      <w:color w:val="44546A" w:themeColor="text2"/>
      <w:sz w:val="18"/>
      <w:szCs w:val="18"/>
    </w:rPr>
  </w:style>
  <w:style w:type="paragraph" w:customStyle="1" w:styleId="pf0">
    <w:name w:val="pf0"/>
    <w:basedOn w:val="Normal"/>
    <w:rsid w:val="00132C8D"/>
    <w:pPr>
      <w:spacing w:before="100" w:beforeAutospacing="1" w:after="100" w:afterAutospacing="1"/>
    </w:pPr>
    <w:rPr>
      <w:lang w:val="en-US"/>
    </w:rPr>
  </w:style>
  <w:style w:type="character" w:customStyle="1" w:styleId="cf01">
    <w:name w:val="cf01"/>
    <w:basedOn w:val="Policepardfaut"/>
    <w:rsid w:val="00132C8D"/>
    <w:rPr>
      <w:rFonts w:ascii="Segoe UI" w:eastAsia="SimSun" w:hAnsi="Segoe UI" w:cs="Segoe UI" w:hint="default"/>
      <w:sz w:val="18"/>
      <w:szCs w:val="18"/>
    </w:rPr>
  </w:style>
  <w:style w:type="character" w:customStyle="1" w:styleId="cf11">
    <w:name w:val="cf11"/>
    <w:basedOn w:val="Policepardfaut"/>
    <w:rsid w:val="00132C8D"/>
    <w:rPr>
      <w:rFonts w:ascii="Segoe UI" w:eastAsia="SimSun" w:hAnsi="Segoe UI" w:cs="Segoe UI" w:hint="default"/>
      <w:sz w:val="18"/>
      <w:szCs w:val="18"/>
    </w:rPr>
  </w:style>
  <w:style w:type="character" w:styleId="Mentionnonrsolue">
    <w:name w:val="Unresolved Mention"/>
    <w:basedOn w:val="Policepardfaut"/>
    <w:uiPriority w:val="99"/>
    <w:semiHidden/>
    <w:unhideWhenUsed/>
    <w:rsid w:val="004B1D86"/>
    <w:rPr>
      <w:color w:val="605E5C"/>
      <w:shd w:val="clear" w:color="auto" w:fill="E1DFDD"/>
    </w:rPr>
  </w:style>
  <w:style w:type="paragraph" w:customStyle="1" w:styleId="COMPreambulaDecisions">
    <w:name w:val="COM Preambula Decisions"/>
    <w:basedOn w:val="Normal"/>
    <w:qFormat/>
    <w:rsid w:val="001B3FD8"/>
    <w:pPr>
      <w:keepNext/>
      <w:spacing w:after="120"/>
      <w:ind w:left="567"/>
      <w:jc w:val="both"/>
    </w:pPr>
    <w:rPr>
      <w:rFonts w:ascii="Arial" w:hAnsi="Arial" w:cs="Arial"/>
      <w:sz w:val="22"/>
      <w:szCs w:val="22"/>
      <w:lang w:val="en-GB"/>
    </w:rPr>
  </w:style>
  <w:style w:type="paragraph" w:customStyle="1" w:styleId="CarCar3">
    <w:name w:val="Car Car3"/>
    <w:aliases w:val=" Car Car3 Char Char"/>
    <w:basedOn w:val="Normal"/>
    <w:link w:val="Lienhypertexte"/>
    <w:rsid w:val="001B3FD8"/>
    <w:pPr>
      <w:tabs>
        <w:tab w:val="left" w:pos="510"/>
        <w:tab w:val="right" w:pos="9639"/>
      </w:tabs>
      <w:autoSpaceDE w:val="0"/>
      <w:autoSpaceDN w:val="0"/>
      <w:adjustRightInd w:val="0"/>
      <w:spacing w:after="80" w:line="220" w:lineRule="exact"/>
      <w:ind w:left="1020" w:hanging="510"/>
      <w:jc w:val="both"/>
    </w:pPr>
    <w:rPr>
      <w:rFonts w:ascii="Calibri" w:hAnsi="Calibri"/>
      <w:color w:val="0563C1" w:themeColor="hyperlink"/>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760">
      <w:bodyDiv w:val="1"/>
      <w:marLeft w:val="0"/>
      <w:marRight w:val="0"/>
      <w:marTop w:val="0"/>
      <w:marBottom w:val="0"/>
      <w:divBdr>
        <w:top w:val="none" w:sz="0" w:space="0" w:color="auto"/>
        <w:left w:val="none" w:sz="0" w:space="0" w:color="auto"/>
        <w:bottom w:val="none" w:sz="0" w:space="0" w:color="auto"/>
        <w:right w:val="none" w:sz="0" w:space="0" w:color="auto"/>
      </w:divBdr>
    </w:div>
    <w:div w:id="78842101">
      <w:bodyDiv w:val="1"/>
      <w:marLeft w:val="0"/>
      <w:marRight w:val="0"/>
      <w:marTop w:val="0"/>
      <w:marBottom w:val="0"/>
      <w:divBdr>
        <w:top w:val="none" w:sz="0" w:space="0" w:color="auto"/>
        <w:left w:val="none" w:sz="0" w:space="0" w:color="auto"/>
        <w:bottom w:val="none" w:sz="0" w:space="0" w:color="auto"/>
        <w:right w:val="none" w:sz="0" w:space="0" w:color="auto"/>
      </w:divBdr>
    </w:div>
    <w:div w:id="148526330">
      <w:bodyDiv w:val="1"/>
      <w:marLeft w:val="0"/>
      <w:marRight w:val="0"/>
      <w:marTop w:val="0"/>
      <w:marBottom w:val="0"/>
      <w:divBdr>
        <w:top w:val="none" w:sz="0" w:space="0" w:color="auto"/>
        <w:left w:val="none" w:sz="0" w:space="0" w:color="auto"/>
        <w:bottom w:val="none" w:sz="0" w:space="0" w:color="auto"/>
        <w:right w:val="none" w:sz="0" w:space="0" w:color="auto"/>
      </w:divBdr>
    </w:div>
    <w:div w:id="175652273">
      <w:bodyDiv w:val="1"/>
      <w:marLeft w:val="0"/>
      <w:marRight w:val="0"/>
      <w:marTop w:val="0"/>
      <w:marBottom w:val="0"/>
      <w:divBdr>
        <w:top w:val="none" w:sz="0" w:space="0" w:color="auto"/>
        <w:left w:val="none" w:sz="0" w:space="0" w:color="auto"/>
        <w:bottom w:val="none" w:sz="0" w:space="0" w:color="auto"/>
        <w:right w:val="none" w:sz="0" w:space="0" w:color="auto"/>
      </w:divBdr>
    </w:div>
    <w:div w:id="265889532">
      <w:bodyDiv w:val="1"/>
      <w:marLeft w:val="0"/>
      <w:marRight w:val="0"/>
      <w:marTop w:val="0"/>
      <w:marBottom w:val="0"/>
      <w:divBdr>
        <w:top w:val="none" w:sz="0" w:space="0" w:color="auto"/>
        <w:left w:val="none" w:sz="0" w:space="0" w:color="auto"/>
        <w:bottom w:val="none" w:sz="0" w:space="0" w:color="auto"/>
        <w:right w:val="none" w:sz="0" w:space="0" w:color="auto"/>
      </w:divBdr>
    </w:div>
    <w:div w:id="622074602">
      <w:bodyDiv w:val="1"/>
      <w:marLeft w:val="0"/>
      <w:marRight w:val="0"/>
      <w:marTop w:val="0"/>
      <w:marBottom w:val="0"/>
      <w:divBdr>
        <w:top w:val="none" w:sz="0" w:space="0" w:color="auto"/>
        <w:left w:val="none" w:sz="0" w:space="0" w:color="auto"/>
        <w:bottom w:val="none" w:sz="0" w:space="0" w:color="auto"/>
        <w:right w:val="none" w:sz="0" w:space="0" w:color="auto"/>
      </w:divBdr>
    </w:div>
    <w:div w:id="664087980">
      <w:bodyDiv w:val="1"/>
      <w:marLeft w:val="0"/>
      <w:marRight w:val="0"/>
      <w:marTop w:val="0"/>
      <w:marBottom w:val="0"/>
      <w:divBdr>
        <w:top w:val="none" w:sz="0" w:space="0" w:color="auto"/>
        <w:left w:val="none" w:sz="0" w:space="0" w:color="auto"/>
        <w:bottom w:val="none" w:sz="0" w:space="0" w:color="auto"/>
        <w:right w:val="none" w:sz="0" w:space="0" w:color="auto"/>
      </w:divBdr>
    </w:div>
    <w:div w:id="77216986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907883725">
      <w:bodyDiv w:val="1"/>
      <w:marLeft w:val="0"/>
      <w:marRight w:val="0"/>
      <w:marTop w:val="0"/>
      <w:marBottom w:val="0"/>
      <w:divBdr>
        <w:top w:val="none" w:sz="0" w:space="0" w:color="auto"/>
        <w:left w:val="none" w:sz="0" w:space="0" w:color="auto"/>
        <w:bottom w:val="none" w:sz="0" w:space="0" w:color="auto"/>
        <w:right w:val="none" w:sz="0" w:space="0" w:color="auto"/>
      </w:divBdr>
    </w:div>
    <w:div w:id="1019745433">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08350669">
      <w:bodyDiv w:val="1"/>
      <w:marLeft w:val="0"/>
      <w:marRight w:val="0"/>
      <w:marTop w:val="0"/>
      <w:marBottom w:val="0"/>
      <w:divBdr>
        <w:top w:val="none" w:sz="0" w:space="0" w:color="auto"/>
        <w:left w:val="none" w:sz="0" w:space="0" w:color="auto"/>
        <w:bottom w:val="none" w:sz="0" w:space="0" w:color="auto"/>
        <w:right w:val="none" w:sz="0" w:space="0" w:color="auto"/>
      </w:divBdr>
    </w:div>
    <w:div w:id="1155414594">
      <w:bodyDiv w:val="1"/>
      <w:marLeft w:val="0"/>
      <w:marRight w:val="0"/>
      <w:marTop w:val="0"/>
      <w:marBottom w:val="0"/>
      <w:divBdr>
        <w:top w:val="none" w:sz="0" w:space="0" w:color="auto"/>
        <w:left w:val="none" w:sz="0" w:space="0" w:color="auto"/>
        <w:bottom w:val="none" w:sz="0" w:space="0" w:color="auto"/>
        <w:right w:val="none" w:sz="0" w:space="0" w:color="auto"/>
      </w:divBdr>
    </w:div>
    <w:div w:id="1302887581">
      <w:bodyDiv w:val="1"/>
      <w:marLeft w:val="0"/>
      <w:marRight w:val="0"/>
      <w:marTop w:val="0"/>
      <w:marBottom w:val="0"/>
      <w:divBdr>
        <w:top w:val="none" w:sz="0" w:space="0" w:color="auto"/>
        <w:left w:val="none" w:sz="0" w:space="0" w:color="auto"/>
        <w:bottom w:val="none" w:sz="0" w:space="0" w:color="auto"/>
        <w:right w:val="none" w:sz="0" w:space="0" w:color="auto"/>
      </w:divBdr>
    </w:div>
    <w:div w:id="1322739187">
      <w:bodyDiv w:val="1"/>
      <w:marLeft w:val="0"/>
      <w:marRight w:val="0"/>
      <w:marTop w:val="0"/>
      <w:marBottom w:val="0"/>
      <w:divBdr>
        <w:top w:val="none" w:sz="0" w:space="0" w:color="auto"/>
        <w:left w:val="none" w:sz="0" w:space="0" w:color="auto"/>
        <w:bottom w:val="none" w:sz="0" w:space="0" w:color="auto"/>
        <w:right w:val="none" w:sz="0" w:space="0" w:color="auto"/>
      </w:divBdr>
    </w:div>
    <w:div w:id="1340306554">
      <w:bodyDiv w:val="1"/>
      <w:marLeft w:val="0"/>
      <w:marRight w:val="0"/>
      <w:marTop w:val="0"/>
      <w:marBottom w:val="0"/>
      <w:divBdr>
        <w:top w:val="none" w:sz="0" w:space="0" w:color="auto"/>
        <w:left w:val="none" w:sz="0" w:space="0" w:color="auto"/>
        <w:bottom w:val="none" w:sz="0" w:space="0" w:color="auto"/>
        <w:right w:val="none" w:sz="0" w:space="0" w:color="auto"/>
      </w:divBdr>
    </w:div>
    <w:div w:id="1514149114">
      <w:bodyDiv w:val="1"/>
      <w:marLeft w:val="0"/>
      <w:marRight w:val="0"/>
      <w:marTop w:val="0"/>
      <w:marBottom w:val="0"/>
      <w:divBdr>
        <w:top w:val="none" w:sz="0" w:space="0" w:color="auto"/>
        <w:left w:val="none" w:sz="0" w:space="0" w:color="auto"/>
        <w:bottom w:val="none" w:sz="0" w:space="0" w:color="auto"/>
        <w:right w:val="none" w:sz="0" w:space="0" w:color="auto"/>
      </w:divBdr>
    </w:div>
    <w:div w:id="158514126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311152">
      <w:bodyDiv w:val="1"/>
      <w:marLeft w:val="0"/>
      <w:marRight w:val="0"/>
      <w:marTop w:val="0"/>
      <w:marBottom w:val="0"/>
      <w:divBdr>
        <w:top w:val="none" w:sz="0" w:space="0" w:color="auto"/>
        <w:left w:val="none" w:sz="0" w:space="0" w:color="auto"/>
        <w:bottom w:val="none" w:sz="0" w:space="0" w:color="auto"/>
        <w:right w:val="none" w:sz="0" w:space="0" w:color="auto"/>
      </w:divBdr>
    </w:div>
    <w:div w:id="16431195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4125924">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7658790">
      <w:bodyDiv w:val="1"/>
      <w:marLeft w:val="0"/>
      <w:marRight w:val="0"/>
      <w:marTop w:val="0"/>
      <w:marBottom w:val="0"/>
      <w:divBdr>
        <w:top w:val="none" w:sz="0" w:space="0" w:color="auto"/>
        <w:left w:val="none" w:sz="0" w:space="0" w:color="auto"/>
        <w:bottom w:val="none" w:sz="0" w:space="0" w:color="auto"/>
        <w:right w:val="none" w:sz="0" w:space="0" w:color="auto"/>
      </w:divBdr>
    </w:div>
    <w:div w:id="211015304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hyperlink" Target="https://ich.unesco.org/en/d%C3%A9cisions/12.COM/17?dec=decisions&amp;ref_decision=12.COM" TargetMode="External"/><Relationship Id="rId26" Type="http://schemas.openxmlformats.org/officeDocument/2006/relationships/hyperlink" Target="https://ich.unesco.org/doc/src/LHE-20-8.GA-Resolutions-ZH.docx" TargetMode="External"/><Relationship Id="rId3" Type="http://schemas.openxmlformats.org/officeDocument/2006/relationships/styles" Target="styles.xml"/><Relationship Id="rId21" Type="http://schemas.openxmlformats.org/officeDocument/2006/relationships/hyperlink" Target="https://ich.unesco.org/en/accredited-ngos-00331"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ich.unesco.org/doc/src/LHE-22-9.GA-Resolutions-ZH.docx" TargetMode="External"/><Relationship Id="rId17" Type="http://schemas.openxmlformats.org/officeDocument/2006/relationships/hyperlink" Target="https://ich.unesco.org/en/Decisions/12.COM/13" TargetMode="External"/><Relationship Id="rId25" Type="http://schemas.openxmlformats.org/officeDocument/2006/relationships/hyperlink" Target="https://ich.unesco.org/doc/src/LHE-24-10.GA-8_ZH.docx"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ich.unesco.org/doc/src/LHE-22-9.GA-Resolutions-ZH.docx" TargetMode="External"/><Relationship Id="rId20" Type="http://schemas.openxmlformats.org/officeDocument/2006/relationships/hyperlink" Target="https://ich.unesco.org/doc/src/LHE-20-8.GA-Resolutions-ZH.docx" TargetMode="External"/><Relationship Id="rId29" Type="http://schemas.openxmlformats.org/officeDocument/2006/relationships/hyperlink" Target="https://ich.unesco.org/en/d%C3%A9cisions/12.COM/17?dec=decisions&amp;ref_decision=12.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ich.unesco.org/doc/src/LHE-24-10.GA-10_ZH.docx"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ich.unesco.org/en/decisions/18.COM/15" TargetMode="External"/><Relationship Id="rId28" Type="http://schemas.openxmlformats.org/officeDocument/2006/relationships/hyperlink" Target="https://ich.unesco.org/en/Decisions/12.COM/13" TargetMode="External"/><Relationship Id="rId36" Type="http://schemas.openxmlformats.org/officeDocument/2006/relationships/theme" Target="theme/theme1.xml"/><Relationship Id="rId10" Type="http://schemas.openxmlformats.org/officeDocument/2006/relationships/hyperlink" Target="https://ich.unesco.org/doc/src/ICH-09-2024-EN.doc" TargetMode="External"/><Relationship Id="rId19" Type="http://schemas.openxmlformats.org/officeDocument/2006/relationships/hyperlink" Target="https://ich.unesco.org/en/Decisions/14.COM/15" TargetMode="External"/><Relationship Id="rId31" Type="http://schemas.openxmlformats.org/officeDocument/2006/relationships/hyperlink" Target="https://ich.unesco.org/en/decisions/18.COM/15" TargetMode="External"/><Relationship Id="rId4" Type="http://schemas.openxmlformats.org/officeDocument/2006/relationships/settings" Target="settings.xml"/><Relationship Id="rId9" Type="http://schemas.openxmlformats.org/officeDocument/2006/relationships/hyperlink" Target="https://ich.unesco.org/en/decisions/18.COM/16" TargetMode="External"/><Relationship Id="rId14" Type="http://schemas.openxmlformats.org/officeDocument/2006/relationships/header" Target="header2.xml"/><Relationship Id="rId22" Type="http://schemas.openxmlformats.org/officeDocument/2006/relationships/hyperlink" Target="https://ich.unesco.org/doc/src/LHE-22-9.GA-Resolutions-ZH.docx" TargetMode="External"/><Relationship Id="rId27" Type="http://schemas.openxmlformats.org/officeDocument/2006/relationships/hyperlink" Target="https://ich.unesco.org/doc/src/LHE-22-9.GA-Resolutions-ZH.docx" TargetMode="External"/><Relationship Id="rId30" Type="http://schemas.openxmlformats.org/officeDocument/2006/relationships/hyperlink" Target="https://ich.unesco.org/en/Decisions/14.COM/15"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0.COM/16" TargetMode="External"/><Relationship Id="rId3" Type="http://schemas.openxmlformats.org/officeDocument/2006/relationships/hyperlink" Target="https://ich.unesco.org/doc/src/ITH-14-5.GA-Resolutions-ZH__.doc" TargetMode="External"/><Relationship Id="rId7" Type="http://schemas.openxmlformats.org/officeDocument/2006/relationships/hyperlink" Target="https://ich.unesco.org/doc/src/LHE-22-9.GA-Resolutions-ZH.docx" TargetMode="External"/><Relationship Id="rId12" Type="http://schemas.openxmlformats.org/officeDocument/2006/relationships/hyperlink" Target="https://ich.unesco.org/en/decisions/18.COM/16" TargetMode="External"/><Relationship Id="rId2" Type="http://schemas.openxmlformats.org/officeDocument/2006/relationships/hyperlink" Target="https://ich.unesco.org/doc/src/ITH-12-4.GA-Resolutions-ZH.doc" TargetMode="External"/><Relationship Id="rId1" Type="http://schemas.openxmlformats.org/officeDocument/2006/relationships/hyperlink" Target="https://ich.unesco.org/doc/src/07003-ZH.doc" TargetMode="External"/><Relationship Id="rId6" Type="http://schemas.openxmlformats.org/officeDocument/2006/relationships/hyperlink" Target="https://ich.unesco.org/doc/src/LHE-20-8.GA-Resolutions-ZH.docx" TargetMode="External"/><Relationship Id="rId11" Type="http://schemas.openxmlformats.org/officeDocument/2006/relationships/hyperlink" Target="https://ich.unesco.org/en/Decisions/16.COM/15" TargetMode="External"/><Relationship Id="rId5" Type="http://schemas.openxmlformats.org/officeDocument/2006/relationships/hyperlink" Target="https://ich.unesco.org/doc/src/ITH-18-7.GA-Resolutions-ZH.docx" TargetMode="External"/><Relationship Id="rId10" Type="http://schemas.openxmlformats.org/officeDocument/2006/relationships/hyperlink" Target="https://ich.unesco.org/en/Decisions/14.COM/17" TargetMode="External"/><Relationship Id="rId4" Type="http://schemas.openxmlformats.org/officeDocument/2006/relationships/hyperlink" Target="https://ich.unesco.org/doc/src/ITH-16_6.GA-Resolutions_ZH.docx" TargetMode="External"/><Relationship Id="rId9" Type="http://schemas.openxmlformats.org/officeDocument/2006/relationships/hyperlink" Target="https://ich.unesco.org/en/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sz="1200"/>
              <a:t>图1：经认证的非政府组织的地域分布</a:t>
            </a:r>
          </a:p>
          <a:p>
            <a:pPr>
              <a:defRPr sz="1400" b="0" i="0" u="none" strike="noStrike" kern="1200" spc="0" baseline="0">
                <a:solidFill>
                  <a:schemeClr val="tx1">
                    <a:lumMod val="65000"/>
                    <a:lumOff val="35000"/>
                  </a:schemeClr>
                </a:solidFill>
                <a:latin typeface="+mn-lt"/>
                <a:ea typeface="+mn-ea"/>
                <a:cs typeface="+mn-cs"/>
              </a:defRPr>
            </a:pPr>
            <a:r>
              <a:rPr lang="zh-CN" sz="1200"/>
              <a:t>（</a:t>
            </a:r>
            <a:r>
              <a:rPr lang="zh-CN" sz="1200" b="0" i="0" u="none" strike="noStrike">
                <a:solidFill>
                  <a:sysClr val="windowText" lastClr="000000">
                    <a:lumMod val="65000"/>
                    <a:lumOff val="35000"/>
                  </a:sysClr>
                </a:solidFill>
              </a:rPr>
              <a:t>2023</a:t>
            </a:r>
            <a:r>
              <a:rPr lang="zh-CN" sz="1200"/>
              <a:t>年共206 个）</a:t>
            </a:r>
          </a:p>
        </c:rich>
      </c:tx>
      <c:layout>
        <c:manualLayout>
          <c:xMode val="edge"/>
          <c:yMode val="edge"/>
          <c:x val="0.24085255865227032"/>
          <c:y val="1.9342228226172081E-2"/>
        </c:manualLayout>
      </c:layout>
      <c:overlay val="0"/>
      <c:spPr>
        <a:noFill/>
        <a:ln>
          <a:noFill/>
        </a:ln>
        <a:effectLst/>
      </c:spPr>
    </c:title>
    <c:autoTitleDeleted val="0"/>
    <c:plotArea>
      <c:layout/>
      <c:pieChart>
        <c:varyColors val="1"/>
        <c:ser>
          <c:idx val="0"/>
          <c:order val="0"/>
          <c:tx>
            <c:strRef>
              <c:f>Sheet1!$B$1</c:f>
              <c:strCache>
                <c:ptCount val="1"/>
                <c:pt idx="0">
                  <c:v>经认证的非政府组织的地域分布</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E628-4754-ABFE-A23719613F9F}"/>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E628-4754-ABFE-A23719613F9F}"/>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E628-4754-ABFE-A23719613F9F}"/>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E628-4754-ABFE-A23719613F9F}"/>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E628-4754-ABFE-A23719613F9F}"/>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E628-4754-ABFE-A23719613F9F}"/>
              </c:ext>
            </c:extLst>
          </c:dPt>
          <c:dLbls>
            <c:dLbl>
              <c:idx val="0"/>
              <c:tx>
                <c:rich>
                  <a:bodyPr/>
                  <a:lstStyle/>
                  <a:p>
                    <a:r>
                      <a:rPr lang="zh-CN" altLang="fr-FR" baseline="0"/>
                      <a:t>第 </a:t>
                    </a:r>
                    <a:r>
                      <a:rPr lang="fr-FR" altLang="zh-CN" baseline="0"/>
                      <a:t>I </a:t>
                    </a:r>
                    <a:r>
                      <a:rPr lang="zh-CN" altLang="fr-FR" baseline="0"/>
                      <a:t>组
</a:t>
                    </a:r>
                    <a:fld id="{F86EAC3B-8442-4C8C-A5C5-2925C85D77D4}" type="PERCENTAGE">
                      <a:rPr lang="en-US" baseline="0"/>
                      <a:pPr/>
                      <a:t>[POURCENTAGE]</a:t>
                    </a:fld>
                    <a:endParaRPr lang="zh-CN" altLang="fr-FR"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628-4754-ABFE-A23719613F9F}"/>
                </c:ext>
              </c:extLst>
            </c:dLbl>
            <c:dLbl>
              <c:idx val="1"/>
              <c:layout>
                <c:manualLayout>
                  <c:x val="-1.6853256289875964E-2"/>
                  <c:y val="-2.9377203290246769E-2"/>
                </c:manualLayout>
              </c:layout>
              <c:tx>
                <c:rich>
                  <a:bodyPr/>
                  <a:lstStyle/>
                  <a:p>
                    <a:r>
                      <a:rPr lang="zh-CN" altLang="fr-FR"/>
                      <a:t>第</a:t>
                    </a:r>
                    <a:r>
                      <a:rPr lang="fr-FR" altLang="zh-CN"/>
                      <a:t>II</a:t>
                    </a:r>
                    <a:r>
                      <a:rPr lang="fr-FR" altLang="zh-CN" baseline="0"/>
                      <a:t> </a:t>
                    </a:r>
                    <a:r>
                      <a:rPr lang="zh-CN" altLang="fr-FR" baseline="0"/>
                      <a:t>组
</a:t>
                    </a:r>
                    <a:fld id="{CF65F3D9-017E-4CA9-AE2D-62026D895CF5}" type="PERCENTAGE">
                      <a:rPr lang="en-US" baseline="0"/>
                      <a:pPr/>
                      <a:t>[POURCENTAGE]</a:t>
                    </a:fld>
                    <a:endParaRPr lang="zh-CN" altLang="fr-FR"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628-4754-ABFE-A23719613F9F}"/>
                </c:ext>
              </c:extLst>
            </c:dLbl>
            <c:dLbl>
              <c:idx val="2"/>
              <c:layout>
                <c:manualLayout>
                  <c:x val="-9.1151092570633488E-2"/>
                  <c:y val="-1.4388352748503383E-2"/>
                </c:manualLayout>
              </c:layout>
              <c:tx>
                <c:rich>
                  <a:bodyPr/>
                  <a:lstStyle/>
                  <a:p>
                    <a:r>
                      <a:rPr lang="zh-CN" altLang="fr-FR"/>
                      <a:t>第</a:t>
                    </a:r>
                    <a:r>
                      <a:rPr lang="fr-FR" altLang="zh-CN"/>
                      <a:t>III</a:t>
                    </a:r>
                    <a:r>
                      <a:rPr lang="zh-CN" altLang="fr-FR"/>
                      <a:t>组</a:t>
                    </a:r>
                    <a:r>
                      <a:rPr lang="zh-CN" altLang="fr-FR" baseline="0"/>
                      <a:t>
</a:t>
                    </a:r>
                    <a:fld id="{3D8228E9-FBD0-42FB-8540-1637C1EDDFB8}" type="PERCENTAGE">
                      <a:rPr lang="en-US" baseline="0"/>
                      <a:pPr/>
                      <a:t>[POURCENTAGE]</a:t>
                    </a:fld>
                    <a:endParaRPr lang="zh-CN" altLang="fr-FR"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628-4754-ABFE-A23719613F9F}"/>
                </c:ext>
              </c:extLst>
            </c:dLbl>
            <c:dLbl>
              <c:idx val="3"/>
              <c:tx>
                <c:rich>
                  <a:bodyPr/>
                  <a:lstStyle/>
                  <a:p>
                    <a:r>
                      <a:rPr lang="zh-CN" altLang="fr-FR"/>
                      <a:t>第</a:t>
                    </a:r>
                    <a:r>
                      <a:rPr lang="fr-FR" altLang="zh-CN"/>
                      <a:t>IV </a:t>
                    </a:r>
                    <a:r>
                      <a:rPr lang="zh-CN" altLang="fr-FR"/>
                      <a:t>组</a:t>
                    </a:r>
                    <a:r>
                      <a:rPr lang="zh-CN" altLang="fr-FR" baseline="0"/>
                      <a:t>
</a:t>
                    </a:r>
                    <a:fld id="{2FE92C6E-7FE9-4BF6-B156-C59948FB7292}" type="PERCENTAGE">
                      <a:rPr lang="en-US" baseline="0"/>
                      <a:pPr/>
                      <a:t>[POURCENTAGE]</a:t>
                    </a:fld>
                    <a:endParaRPr lang="zh-CN" altLang="fr-FR"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628-4754-ABFE-A23719613F9F}"/>
                </c:ext>
              </c:extLst>
            </c:dLbl>
            <c:dLbl>
              <c:idx val="4"/>
              <c:tx>
                <c:rich>
                  <a:bodyPr/>
                  <a:lstStyle/>
                  <a:p>
                    <a:r>
                      <a:rPr lang="zh-CN" altLang="fr-FR"/>
                      <a:t>第</a:t>
                    </a:r>
                    <a:r>
                      <a:rPr lang="fr-FR" altLang="zh-CN"/>
                      <a:t>V(a) </a:t>
                    </a:r>
                    <a:r>
                      <a:rPr lang="zh-CN" altLang="fr-FR"/>
                      <a:t>组</a:t>
                    </a:r>
                    <a:r>
                      <a:rPr lang="zh-CN" altLang="fr-FR" baseline="0"/>
                      <a:t>
</a:t>
                    </a:r>
                    <a:fld id="{EF71FE53-E4B2-4CE5-809E-989E361A85ED}" type="PERCENTAGE">
                      <a:rPr lang="en-US" baseline="0"/>
                      <a:pPr/>
                      <a:t>[POURCENTAGE]</a:t>
                    </a:fld>
                    <a:endParaRPr lang="zh-CN" altLang="fr-FR"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628-4754-ABFE-A23719613F9F}"/>
                </c:ext>
              </c:extLst>
            </c:dLbl>
            <c:dLbl>
              <c:idx val="5"/>
              <c:layout>
                <c:manualLayout>
                  <c:x val="0.12718388532961006"/>
                  <c:y val="5.875440658049351E-2"/>
                </c:manualLayout>
              </c:layout>
              <c:tx>
                <c:rich>
                  <a:bodyPr/>
                  <a:lstStyle/>
                  <a:p>
                    <a:r>
                      <a:rPr lang="zh-CN" altLang="fr-FR"/>
                      <a:t>第</a:t>
                    </a:r>
                    <a:r>
                      <a:rPr lang="fr-FR" altLang="zh-CN"/>
                      <a:t>V</a:t>
                    </a:r>
                    <a:r>
                      <a:rPr lang="fr-FR" altLang="zh-CN" sz="800" b="0" i="0" u="none" strike="noStrike" kern="1200" baseline="0">
                        <a:solidFill>
                          <a:sysClr val="windowText" lastClr="000000">
                            <a:lumMod val="65000"/>
                            <a:lumOff val="35000"/>
                          </a:sysClr>
                        </a:solidFill>
                      </a:rPr>
                      <a:t>(b) </a:t>
                    </a:r>
                    <a:r>
                      <a:rPr lang="zh-CN" altLang="fr-FR" sz="800" b="0" i="0" u="none" strike="noStrike" kern="1200" baseline="0">
                        <a:solidFill>
                          <a:sysClr val="windowText" lastClr="000000">
                            <a:lumMod val="65000"/>
                            <a:lumOff val="35000"/>
                          </a:sysClr>
                        </a:solidFill>
                      </a:rPr>
                      <a:t>组</a:t>
                    </a:r>
                    <a:r>
                      <a:rPr lang="zh-CN" altLang="fr-FR" baseline="0"/>
                      <a:t>
</a:t>
                    </a:r>
                    <a:fld id="{A5B1BEE3-87DB-4944-B6BD-46F069BFA9A5}" type="PERCENTAGE">
                      <a:rPr lang="en-US" baseline="0"/>
                      <a:pPr/>
                      <a:t>[POURCENTAGE]</a:t>
                    </a:fld>
                    <a:endParaRPr lang="zh-CN" altLang="fr-FR"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628-4754-ABFE-A23719613F9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第I组</c:v>
                </c:pt>
                <c:pt idx="1">
                  <c:v>第II组</c:v>
                </c:pt>
                <c:pt idx="2">
                  <c:v>第III组</c:v>
                </c:pt>
                <c:pt idx="3">
                  <c:v>第IV组</c:v>
                </c:pt>
                <c:pt idx="4">
                  <c:v>第V(a)组</c:v>
                </c:pt>
                <c:pt idx="5">
                  <c:v>第V(b)组</c:v>
                </c:pt>
              </c:strCache>
            </c:strRef>
          </c:cat>
          <c:val>
            <c:numRef>
              <c:f>Sheet1!$B$2:$B$7</c:f>
              <c:numCache>
                <c:formatCode>General</c:formatCode>
                <c:ptCount val="6"/>
                <c:pt idx="0">
                  <c:v>108</c:v>
                </c:pt>
                <c:pt idx="1">
                  <c:v>21</c:v>
                </c:pt>
                <c:pt idx="2">
                  <c:v>14</c:v>
                </c:pt>
                <c:pt idx="3">
                  <c:v>28</c:v>
                </c:pt>
                <c:pt idx="4">
                  <c:v>25</c:v>
                </c:pt>
                <c:pt idx="5" formatCode="0">
                  <c:v>10</c:v>
                </c:pt>
              </c:numCache>
            </c:numRef>
          </c:val>
          <c:extLst>
            <c:ext xmlns:c16="http://schemas.microsoft.com/office/drawing/2014/chart" uri="{C3380CC4-5D6E-409C-BE32-E72D297353CC}">
              <c16:uniqueId val="{0000000C-E628-4754-ABFE-A23719613F9F}"/>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sz="1200" b="0" i="0" u="none" strike="noStrike">
                <a:solidFill>
                  <a:sysClr val="windowText" lastClr="000000">
                    <a:lumMod val="65000"/>
                    <a:lumOff val="35000"/>
                  </a:sysClr>
                </a:solidFill>
              </a:rPr>
              <a:t>图2：建议在2024年大会第10届会议认证的非政府组织的地域分布</a:t>
            </a:r>
          </a:p>
        </c:rich>
      </c:tx>
      <c:layout>
        <c:manualLayout>
          <c:xMode val="edge"/>
          <c:yMode val="edge"/>
          <c:x val="0.15715751086113611"/>
          <c:y val="2.1993745793908409E-3"/>
        </c:manualLayout>
      </c:layout>
      <c:overlay val="0"/>
      <c:spPr>
        <a:noFill/>
        <a:ln>
          <a:noFill/>
        </a:ln>
        <a:effectLst/>
      </c:spPr>
    </c:title>
    <c:autoTitleDeleted val="0"/>
    <c:plotArea>
      <c:layout/>
      <c:pieChart>
        <c:varyColors val="1"/>
        <c:ser>
          <c:idx val="0"/>
          <c:order val="0"/>
          <c:tx>
            <c:strRef>
              <c:f>Sheet1!$B$1</c:f>
              <c:strCache>
                <c:ptCount val="1"/>
                <c:pt idx="0">
                  <c:v>经认证的非政府组织的地域分布</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C310-40E4-96FA-237D55659B64}"/>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C310-40E4-96FA-237D55659B64}"/>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C310-40E4-96FA-237D55659B64}"/>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C310-40E4-96FA-237D55659B64}"/>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C310-40E4-96FA-237D55659B64}"/>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C310-40E4-96FA-237D55659B64}"/>
              </c:ext>
            </c:extLst>
          </c:dPt>
          <c:dLbls>
            <c:dLbl>
              <c:idx val="0"/>
              <c:tx>
                <c:rich>
                  <a:bodyPr/>
                  <a:lstStyle/>
                  <a:p>
                    <a:r>
                      <a:rPr lang="zh-CN" altLang="fr-FR" baseline="0"/>
                      <a:t>第</a:t>
                    </a:r>
                    <a:r>
                      <a:rPr lang="fr-FR" altLang="zh-CN" baseline="0"/>
                      <a:t>I</a:t>
                    </a:r>
                    <a:r>
                      <a:rPr lang="zh-CN" altLang="fr-FR" baseline="0"/>
                      <a:t>组
</a:t>
                    </a:r>
                    <a:fld id="{FF815F2D-A1ED-4510-9441-8EA2B765E57D}" type="PERCENTAGE">
                      <a:rPr lang="en-US" baseline="0"/>
                      <a:pPr/>
                      <a:t>[POURCENTAGE]</a:t>
                    </a:fld>
                    <a:endParaRPr lang="zh-CN" altLang="fr-FR"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310-40E4-96FA-237D55659B64}"/>
                </c:ext>
              </c:extLst>
            </c:dLbl>
            <c:dLbl>
              <c:idx val="1"/>
              <c:layout>
                <c:manualLayout>
                  <c:x val="4.2547866349643255E-2"/>
                  <c:y val="-5.9315179293610139E-2"/>
                </c:manualLayout>
              </c:layout>
              <c:tx>
                <c:rich>
                  <a:bodyPr/>
                  <a:lstStyle/>
                  <a:p>
                    <a:r>
                      <a:rPr lang="zh-CN" altLang="fr-FR" baseline="0"/>
                      <a:t>第</a:t>
                    </a:r>
                    <a:r>
                      <a:rPr lang="fr-FR" altLang="zh-CN" baseline="0"/>
                      <a:t>II</a:t>
                    </a:r>
                    <a:r>
                      <a:rPr lang="zh-CN" altLang="fr-FR" baseline="0"/>
                      <a:t>组
</a:t>
                    </a:r>
                    <a:fld id="{48190E25-8DEE-491C-8464-7BF741A05259}" type="PERCENTAGE">
                      <a:rPr lang="en-US" baseline="0"/>
                      <a:pPr/>
                      <a:t>[POURCENTAGE]</a:t>
                    </a:fld>
                    <a:endParaRPr lang="zh-CN" altLang="fr-FR"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310-40E4-96FA-237D55659B64}"/>
                </c:ext>
              </c:extLst>
            </c:dLbl>
            <c:dLbl>
              <c:idx val="2"/>
              <c:layout>
                <c:manualLayout>
                  <c:x val="-1.1700011700011743E-2"/>
                  <c:y val="-1.4388489208633094E-2"/>
                </c:manualLayout>
              </c:layout>
              <c:tx>
                <c:rich>
                  <a:bodyPr/>
                  <a:lstStyle/>
                  <a:p>
                    <a:r>
                      <a:rPr lang="zh-CN" altLang="fr-FR"/>
                      <a:t>第</a:t>
                    </a:r>
                    <a:r>
                      <a:rPr lang="fr-FR" altLang="zh-CN"/>
                      <a:t>III</a:t>
                    </a:r>
                    <a:r>
                      <a:rPr lang="zh-CN" altLang="fr-FR"/>
                      <a:t>组</a:t>
                    </a:r>
                    <a:r>
                      <a:rPr lang="zh-CN" altLang="fr-FR" baseline="0"/>
                      <a:t>
</a:t>
                    </a:r>
                    <a:fld id="{F8404B20-5EE4-47B7-B0D6-73C0E0C0C32B}" type="PERCENTAGE">
                      <a:rPr lang="en-US" baseline="0"/>
                      <a:pPr/>
                      <a:t>[POURCENTAGE]</a:t>
                    </a:fld>
                    <a:endParaRPr lang="zh-CN" altLang="fr-FR"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310-40E4-96FA-237D55659B64}"/>
                </c:ext>
              </c:extLst>
            </c:dLbl>
            <c:dLbl>
              <c:idx val="3"/>
              <c:tx>
                <c:rich>
                  <a:bodyPr/>
                  <a:lstStyle/>
                  <a:p>
                    <a:r>
                      <a:rPr lang="zh-CN" altLang="fr-FR"/>
                      <a:t>第</a:t>
                    </a:r>
                    <a:r>
                      <a:rPr lang="fr-FR" altLang="zh-CN"/>
                      <a:t>IV</a:t>
                    </a:r>
                    <a:r>
                      <a:rPr lang="zh-CN" altLang="fr-FR"/>
                      <a:t>组</a:t>
                    </a:r>
                    <a:r>
                      <a:rPr lang="zh-CN" altLang="fr-FR" baseline="0"/>
                      <a:t>
</a:t>
                    </a:r>
                    <a:fld id="{97410960-032C-4FF5-A786-7B1B1423721A}" type="PERCENTAGE">
                      <a:rPr lang="en-US" baseline="0"/>
                      <a:pPr/>
                      <a:t>[POURCENTAGE]</a:t>
                    </a:fld>
                    <a:endParaRPr lang="zh-CN" altLang="fr-FR"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310-40E4-96FA-237D55659B64}"/>
                </c:ext>
              </c:extLst>
            </c:dLbl>
            <c:dLbl>
              <c:idx val="4"/>
              <c:layout>
                <c:manualLayout>
                  <c:x val="-1.0011262670504317E-2"/>
                  <c:y val="4.6871338176704943E-3"/>
                </c:manualLayout>
              </c:layout>
              <c:tx>
                <c:rich>
                  <a:bodyPr/>
                  <a:lstStyle/>
                  <a:p>
                    <a:r>
                      <a:rPr lang="zh-CN" altLang="fr-FR"/>
                      <a:t>第</a:t>
                    </a:r>
                    <a:r>
                      <a:rPr lang="fr-FR" altLang="zh-CN"/>
                      <a:t>V</a:t>
                    </a:r>
                    <a:r>
                      <a:rPr lang="fr-FR" sz="800" b="0" i="0" u="none" strike="noStrike" kern="1200" baseline="0">
                        <a:solidFill>
                          <a:sysClr val="windowText" lastClr="000000">
                            <a:lumMod val="65000"/>
                            <a:lumOff val="35000"/>
                          </a:sysClr>
                        </a:solidFill>
                      </a:rPr>
                      <a:t>(</a:t>
                    </a:r>
                    <a:r>
                      <a:rPr lang="fr-FR" altLang="zh-CN" sz="800" b="0" i="0" u="none" strike="noStrike" kern="1200" baseline="0">
                        <a:solidFill>
                          <a:sysClr val="windowText" lastClr="000000">
                            <a:lumMod val="65000"/>
                            <a:lumOff val="35000"/>
                          </a:sysClr>
                        </a:solidFill>
                      </a:rPr>
                      <a:t>a</a:t>
                    </a:r>
                    <a:r>
                      <a:rPr lang="fr-FR" sz="800" b="0" i="0" u="none" strike="noStrike" kern="1200" baseline="0">
                        <a:solidFill>
                          <a:sysClr val="windowText" lastClr="000000">
                            <a:lumMod val="65000"/>
                            <a:lumOff val="35000"/>
                          </a:sysClr>
                        </a:solidFill>
                      </a:rPr>
                      <a:t>)</a:t>
                    </a:r>
                    <a:r>
                      <a:rPr lang="zh-CN" altLang="fr-FR" sz="800" b="0" i="0" u="none" strike="noStrike" kern="1200" baseline="0">
                        <a:solidFill>
                          <a:sysClr val="windowText" lastClr="000000">
                            <a:lumMod val="65000"/>
                            <a:lumOff val="35000"/>
                          </a:sysClr>
                        </a:solidFill>
                      </a:rPr>
                      <a:t>组</a:t>
                    </a:r>
                    <a:r>
                      <a:rPr lang="zh-CN" altLang="fr-FR" baseline="0"/>
                      <a:t>
</a:t>
                    </a:r>
                    <a:fld id="{0AC8193A-B9C5-4690-AD78-CB341530841D}" type="PERCENTAGE">
                      <a:rPr lang="en-US" baseline="0"/>
                      <a:pPr/>
                      <a:t>[POURCENTAGE]</a:t>
                    </a:fld>
                    <a:endParaRPr lang="zh-CN" altLang="fr-FR"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310-40E4-96FA-237D55659B64}"/>
                </c:ext>
              </c:extLst>
            </c:dLbl>
            <c:dLbl>
              <c:idx val="5"/>
              <c:layout>
                <c:manualLayout>
                  <c:x val="5.8410593807797555E-2"/>
                  <c:y val="4.6871338176704943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zh-CN" altLang="fr-FR"/>
                      <a:t>第 </a:t>
                    </a:r>
                    <a:r>
                      <a:rPr lang="fr-FR"/>
                      <a:t>V(b)</a:t>
                    </a:r>
                    <a:r>
                      <a:rPr lang="zh-CN" altLang="fr-FR"/>
                      <a:t>组</a:t>
                    </a:r>
                    <a:r>
                      <a:rPr lang="zh-CN" altLang="fr-FR" baseline="0"/>
                      <a:t>
</a:t>
                    </a:r>
                    <a:fld id="{A5B1BEE3-87DB-4944-B6BD-46F069BFA9A5}" type="PERCENTAGE">
                      <a:rPr lang="en-US" baseline="0"/>
                      <a:pPr>
                        <a:defRPr sz="900" b="0" i="0" u="none" strike="noStrike" kern="1200" baseline="0">
                          <a:solidFill>
                            <a:schemeClr val="dk1">
                              <a:lumMod val="65000"/>
                              <a:lumOff val="35000"/>
                            </a:schemeClr>
                          </a:solidFill>
                          <a:latin typeface="+mn-lt"/>
                          <a:ea typeface="+mn-ea"/>
                          <a:cs typeface="+mn-cs"/>
                        </a:defRPr>
                      </a:pPr>
                      <a:t>[POURCENTAGE]</a:t>
                    </a:fld>
                    <a:endParaRPr lang="zh-CN" altLang="fr-FR"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0485"/>
                        <a:gd name="adj2" fmla="val 65630"/>
                      </a:avLst>
                    </a:prstGeom>
                  </c15:spPr>
                  <c15:dlblFieldTable/>
                  <c15:showDataLabelsRange val="0"/>
                </c:ext>
                <c:ext xmlns:c16="http://schemas.microsoft.com/office/drawing/2014/chart" uri="{C3380CC4-5D6E-409C-BE32-E72D297353CC}">
                  <c16:uniqueId val="{0000000B-C310-40E4-96FA-237D55659B6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第I组</c:v>
                </c:pt>
                <c:pt idx="1">
                  <c:v>第II组</c:v>
                </c:pt>
                <c:pt idx="2">
                  <c:v>第III组</c:v>
                </c:pt>
                <c:pt idx="3">
                  <c:v>第IV组</c:v>
                </c:pt>
                <c:pt idx="4">
                  <c:v>第V(a)组</c:v>
                </c:pt>
                <c:pt idx="5">
                  <c:v>第V(b)组</c:v>
                </c:pt>
              </c:strCache>
            </c:strRef>
          </c:cat>
          <c:val>
            <c:numRef>
              <c:f>Sheet1!$B$2:$B$7</c:f>
              <c:numCache>
                <c:formatCode>General</c:formatCode>
                <c:ptCount val="6"/>
                <c:pt idx="0">
                  <c:v>22</c:v>
                </c:pt>
                <c:pt idx="1">
                  <c:v>7</c:v>
                </c:pt>
                <c:pt idx="2">
                  <c:v>13</c:v>
                </c:pt>
                <c:pt idx="3">
                  <c:v>8</c:v>
                </c:pt>
                <c:pt idx="4">
                  <c:v>2</c:v>
                </c:pt>
                <c:pt idx="5" formatCode="0">
                  <c:v>6</c:v>
                </c:pt>
              </c:numCache>
            </c:numRef>
          </c:val>
          <c:extLst>
            <c:ext xmlns:c16="http://schemas.microsoft.com/office/drawing/2014/chart" uri="{C3380CC4-5D6E-409C-BE32-E72D297353CC}">
              <c16:uniqueId val="{0000000C-C310-40E4-96FA-237D55659B64}"/>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FDC5-3F3B-4939-9993-8B8AF05422E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284</TotalTime>
  <Pages>11</Pages>
  <Words>1834</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53</cp:revision>
  <cp:lastPrinted>2024-04-29T17:09:00Z</cp:lastPrinted>
  <dcterms:created xsi:type="dcterms:W3CDTF">2024-04-18T15:13:00Z</dcterms:created>
  <dcterms:modified xsi:type="dcterms:W3CDTF">2024-06-05T17:55:00Z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9d6662073d0d83121d69ee39da3fc8231318cb79b1890d49e38be5a33a12968d</vt:lpwstr>
  </property>
</Properties>
</file>