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6783DDF5" w:rsidR="00655736" w:rsidRPr="00132C8D" w:rsidRDefault="00655736" w:rsidP="00655736">
      <w:pPr>
        <w:spacing w:before="1440"/>
        <w:jc w:val="center"/>
        <w:rPr>
          <w:rFonts w:asciiTheme="minorBidi" w:hAnsiTheme="minorBidi" w:cstheme="minorBidi"/>
          <w:b/>
          <w:sz w:val="22"/>
          <w:szCs w:val="22"/>
        </w:rPr>
      </w:pPr>
      <w:r>
        <w:rPr>
          <w:rFonts w:asciiTheme="minorBidi" w:hAnsiTheme="minorBidi"/>
          <w:b/>
          <w:sz w:val="22"/>
        </w:rPr>
        <w:t>CONVENCIÓN PARA LA SALVAGUARDIA DEL</w:t>
      </w:r>
      <w:bookmarkStart w:id="0" w:name="_Hlk105184981"/>
      <w:r>
        <w:rPr>
          <w:rFonts w:asciiTheme="minorBidi" w:hAnsiTheme="minorBidi"/>
          <w:b/>
          <w:sz w:val="22"/>
        </w:rPr>
        <w:br/>
      </w:r>
      <w:bookmarkEnd w:id="0"/>
      <w:r>
        <w:rPr>
          <w:rFonts w:asciiTheme="minorBidi" w:hAnsiTheme="minorBidi"/>
          <w:b/>
          <w:sz w:val="22"/>
        </w:rPr>
        <w:t>PATRIMONIO CULTURAL INMATERIAL</w:t>
      </w:r>
    </w:p>
    <w:p w14:paraId="2CDB5643" w14:textId="77777777" w:rsidR="00655736" w:rsidRPr="00132C8D" w:rsidRDefault="00D95C4C" w:rsidP="00655736">
      <w:pPr>
        <w:spacing w:before="1200"/>
        <w:jc w:val="center"/>
        <w:rPr>
          <w:rFonts w:asciiTheme="minorBidi" w:hAnsiTheme="minorBidi" w:cstheme="minorBidi"/>
          <w:b/>
          <w:sz w:val="22"/>
          <w:szCs w:val="22"/>
        </w:rPr>
      </w:pPr>
      <w:r>
        <w:rPr>
          <w:rFonts w:asciiTheme="minorBidi" w:hAnsiTheme="minorBidi"/>
          <w:b/>
          <w:sz w:val="22"/>
        </w:rPr>
        <w:t xml:space="preserve">ASAMBLEA GENERAL DE LOS </w:t>
      </w:r>
      <w:proofErr w:type="gramStart"/>
      <w:r>
        <w:rPr>
          <w:rFonts w:asciiTheme="minorBidi" w:hAnsiTheme="minorBidi"/>
          <w:b/>
          <w:sz w:val="22"/>
        </w:rPr>
        <w:t>ESTADOS PARTES</w:t>
      </w:r>
      <w:proofErr w:type="gramEnd"/>
      <w:r>
        <w:rPr>
          <w:rFonts w:asciiTheme="minorBidi" w:hAnsiTheme="minorBidi"/>
          <w:b/>
          <w:sz w:val="22"/>
        </w:rPr>
        <w:t xml:space="preserve"> EN LA CONVENCIÓN</w:t>
      </w:r>
    </w:p>
    <w:p w14:paraId="75891C68" w14:textId="2AEF6235" w:rsidR="00D95C4C" w:rsidRPr="00132C8D" w:rsidRDefault="00CA01BD" w:rsidP="00D95C4C">
      <w:pPr>
        <w:spacing w:before="840"/>
        <w:jc w:val="center"/>
        <w:rPr>
          <w:rFonts w:asciiTheme="minorBidi" w:hAnsiTheme="minorBidi" w:cstheme="minorBidi"/>
          <w:b/>
          <w:sz w:val="22"/>
          <w:szCs w:val="22"/>
        </w:rPr>
      </w:pPr>
      <w:r>
        <w:rPr>
          <w:rFonts w:asciiTheme="minorBidi" w:hAnsiTheme="minorBidi"/>
          <w:b/>
          <w:sz w:val="22"/>
        </w:rPr>
        <w:t>Décima reunión</w:t>
      </w:r>
    </w:p>
    <w:p w14:paraId="2813BA58" w14:textId="77777777" w:rsidR="00D95C4C" w:rsidRPr="00132C8D" w:rsidRDefault="00D95C4C" w:rsidP="00D95C4C">
      <w:pPr>
        <w:jc w:val="center"/>
        <w:rPr>
          <w:rFonts w:asciiTheme="minorBidi" w:hAnsiTheme="minorBidi" w:cstheme="minorBidi"/>
          <w:b/>
          <w:sz w:val="22"/>
          <w:szCs w:val="22"/>
        </w:rPr>
      </w:pPr>
      <w:r>
        <w:rPr>
          <w:rFonts w:asciiTheme="minorBidi" w:hAnsiTheme="minorBidi"/>
          <w:b/>
          <w:sz w:val="22"/>
        </w:rPr>
        <w:t>Sede de la UNESCO, Sala I</w:t>
      </w:r>
    </w:p>
    <w:p w14:paraId="17E07F7D" w14:textId="0F46B02B" w:rsidR="00655736" w:rsidRPr="00132C8D" w:rsidRDefault="004D2992" w:rsidP="00D95C4C">
      <w:pPr>
        <w:jc w:val="center"/>
        <w:rPr>
          <w:rFonts w:asciiTheme="minorBidi" w:hAnsiTheme="minorBidi" w:cstheme="minorBidi"/>
          <w:b/>
          <w:sz w:val="22"/>
          <w:szCs w:val="22"/>
        </w:rPr>
      </w:pPr>
      <w:r>
        <w:rPr>
          <w:rFonts w:asciiTheme="minorBidi" w:hAnsiTheme="minorBidi"/>
          <w:b/>
          <w:sz w:val="22"/>
        </w:rPr>
        <w:t>11 a</w:t>
      </w:r>
      <w:r w:rsidR="00533FC8">
        <w:rPr>
          <w:rFonts w:asciiTheme="minorBidi" w:hAnsiTheme="minorBidi"/>
          <w:b/>
          <w:sz w:val="22"/>
        </w:rPr>
        <w:t>l</w:t>
      </w:r>
      <w:r>
        <w:rPr>
          <w:rFonts w:asciiTheme="minorBidi" w:hAnsiTheme="minorBidi"/>
          <w:b/>
          <w:sz w:val="22"/>
        </w:rPr>
        <w:t xml:space="preserve"> </w:t>
      </w:r>
      <w:r w:rsidR="000A1BE1">
        <w:rPr>
          <w:rFonts w:asciiTheme="minorBidi" w:hAnsiTheme="minorBidi"/>
          <w:b/>
          <w:sz w:val="22"/>
        </w:rPr>
        <w:t xml:space="preserve">12 </w:t>
      </w:r>
      <w:r>
        <w:rPr>
          <w:rFonts w:asciiTheme="minorBidi" w:hAnsiTheme="minorBidi"/>
          <w:b/>
          <w:sz w:val="22"/>
        </w:rPr>
        <w:t>de junio de 2024</w:t>
      </w:r>
    </w:p>
    <w:p w14:paraId="1A8796C2" w14:textId="31C0F2EE" w:rsidR="00655736" w:rsidRPr="00132C8D" w:rsidRDefault="00655736" w:rsidP="00655736">
      <w:pPr>
        <w:pStyle w:val="Sansinterligne2"/>
        <w:spacing w:before="1200"/>
        <w:jc w:val="center"/>
        <w:rPr>
          <w:rFonts w:asciiTheme="minorBidi" w:hAnsiTheme="minorBidi" w:cstheme="minorBidi"/>
          <w:b/>
          <w:sz w:val="22"/>
          <w:szCs w:val="22"/>
        </w:rPr>
      </w:pPr>
      <w:r>
        <w:rPr>
          <w:rFonts w:asciiTheme="minorBidi" w:hAnsiTheme="minorBidi"/>
          <w:b/>
          <w:sz w:val="22"/>
          <w:u w:val="single"/>
        </w:rPr>
        <w:t>Punto 9 del orden del día provisional</w:t>
      </w:r>
      <w:r>
        <w:rPr>
          <w:rFonts w:asciiTheme="minorBidi" w:hAnsiTheme="minorBidi"/>
          <w:b/>
          <w:sz w:val="22"/>
        </w:rPr>
        <w:t>:</w:t>
      </w:r>
    </w:p>
    <w:p w14:paraId="5EAF5ABB" w14:textId="49F297B8" w:rsidR="002F312A" w:rsidRPr="00132C8D" w:rsidRDefault="00FB6051" w:rsidP="00141104">
      <w:pPr>
        <w:pStyle w:val="Sansinterligne2"/>
        <w:spacing w:after="1200"/>
        <w:jc w:val="center"/>
        <w:rPr>
          <w:rFonts w:asciiTheme="minorBidi" w:hAnsiTheme="minorBidi" w:cstheme="minorBidi"/>
          <w:b/>
          <w:sz w:val="22"/>
          <w:szCs w:val="22"/>
        </w:rPr>
      </w:pPr>
      <w:r>
        <w:rPr>
          <w:rFonts w:asciiTheme="minorBidi" w:hAnsiTheme="minorBidi"/>
          <w:b/>
          <w:sz w:val="22"/>
        </w:rPr>
        <w:t>Acreditación de las organizaciones no gubernamentales con fines de asistencia consultiva ante el Comité</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55736" w:rsidRPr="00132C8D" w14:paraId="796B6D01" w14:textId="77777777" w:rsidTr="007A6B7A">
        <w:trPr>
          <w:jc w:val="center"/>
        </w:trPr>
        <w:tc>
          <w:tcPr>
            <w:tcW w:w="5669" w:type="dxa"/>
            <w:vAlign w:val="center"/>
          </w:tcPr>
          <w:p w14:paraId="5452505D" w14:textId="35281FC5" w:rsidR="00972FCE" w:rsidRDefault="00972FCE" w:rsidP="00132C8D">
            <w:pPr>
              <w:pStyle w:val="Sansinterligne1"/>
              <w:spacing w:before="120" w:after="120"/>
              <w:jc w:val="center"/>
              <w:rPr>
                <w:rFonts w:asciiTheme="minorBidi" w:hAnsiTheme="minorBidi" w:cstheme="minorBidi"/>
                <w:b/>
                <w:sz w:val="22"/>
                <w:szCs w:val="22"/>
              </w:rPr>
            </w:pPr>
            <w:r>
              <w:rPr>
                <w:rFonts w:asciiTheme="minorBidi" w:hAnsiTheme="minorBidi"/>
                <w:b/>
                <w:sz w:val="22"/>
              </w:rPr>
              <w:t>Resumen</w:t>
            </w:r>
          </w:p>
          <w:p w14:paraId="3C4D0EBE" w14:textId="007834A6" w:rsidR="00132C8D" w:rsidRPr="00132C8D" w:rsidRDefault="00132C8D" w:rsidP="00132C8D">
            <w:pPr>
              <w:pStyle w:val="pf0"/>
              <w:spacing w:before="120" w:beforeAutospacing="0" w:after="120" w:afterAutospacing="0"/>
              <w:jc w:val="both"/>
              <w:rPr>
                <w:rFonts w:asciiTheme="minorBidi" w:hAnsiTheme="minorBidi" w:cstheme="minorBidi"/>
                <w:bCs/>
                <w:sz w:val="22"/>
                <w:szCs w:val="22"/>
              </w:rPr>
            </w:pPr>
            <w:r>
              <w:rPr>
                <w:rFonts w:asciiTheme="minorBidi" w:hAnsiTheme="minorBidi"/>
                <w:sz w:val="22"/>
              </w:rPr>
              <w:t>Este documento presenta las 58 solicitudes de nuevas organizaciones no gubernamentales (ONG) para obtener acreditación a fin de desempeñar funciones consultivas ante el Comité, tal y como recomendó su decimoctava reunión.</w:t>
            </w:r>
          </w:p>
          <w:p w14:paraId="7D45CA36" w14:textId="4228433F" w:rsidR="00655736" w:rsidRPr="00132C8D" w:rsidRDefault="00FB6630" w:rsidP="00132C8D">
            <w:pPr>
              <w:spacing w:before="120" w:after="120"/>
              <w:jc w:val="both"/>
              <w:rPr>
                <w:rFonts w:asciiTheme="minorBidi" w:hAnsiTheme="minorBidi" w:cstheme="minorBidi"/>
                <w:b/>
                <w:sz w:val="22"/>
                <w:szCs w:val="22"/>
              </w:rPr>
            </w:pPr>
            <w:r>
              <w:rPr>
                <w:rFonts w:asciiTheme="minorBidi" w:hAnsiTheme="minorBidi"/>
                <w:b/>
                <w:sz w:val="22"/>
              </w:rPr>
              <w:t xml:space="preserve">Decisión requerida: </w:t>
            </w:r>
            <w:r>
              <w:rPr>
                <w:rFonts w:asciiTheme="minorBidi" w:hAnsiTheme="minorBidi"/>
                <w:sz w:val="22"/>
              </w:rPr>
              <w:t>párrafo 6</w:t>
            </w:r>
          </w:p>
        </w:tc>
      </w:tr>
    </w:tbl>
    <w:p w14:paraId="4DF53EDE" w14:textId="4146CC9E" w:rsidR="00391AC6" w:rsidRPr="001E596D" w:rsidRDefault="00972FCE" w:rsidP="00E35D26">
      <w:pPr>
        <w:rPr>
          <w:rFonts w:asciiTheme="minorBidi" w:hAnsiTheme="minorBidi" w:cstheme="minorBidi"/>
          <w:b/>
          <w:bCs/>
          <w:sz w:val="22"/>
          <w:szCs w:val="22"/>
        </w:rPr>
      </w:pPr>
      <w:r>
        <w:br w:type="page"/>
      </w:r>
      <w:r w:rsidRPr="001E596D">
        <w:rPr>
          <w:rFonts w:asciiTheme="minorBidi" w:hAnsiTheme="minorBidi"/>
          <w:b/>
          <w:sz w:val="22"/>
          <w:szCs w:val="22"/>
        </w:rPr>
        <w:lastRenderedPageBreak/>
        <w:t>Introducción</w:t>
      </w:r>
    </w:p>
    <w:p w14:paraId="6CE498AF" w14:textId="6567F3CB" w:rsidR="00D51826" w:rsidRPr="00A16371" w:rsidRDefault="00B8078F" w:rsidP="006B05B0">
      <w:pPr>
        <w:pStyle w:val="COMTitleDecision"/>
        <w:keepNext w:val="0"/>
        <w:widowControl w:val="0"/>
        <w:numPr>
          <w:ilvl w:val="0"/>
          <w:numId w:val="20"/>
        </w:numPr>
        <w:spacing w:before="120"/>
        <w:rPr>
          <w:rFonts w:asciiTheme="minorBidi" w:hAnsiTheme="minorBidi" w:cstheme="minorBidi"/>
          <w:b w:val="0"/>
        </w:rPr>
      </w:pPr>
      <w:r w:rsidRPr="00A16371">
        <w:rPr>
          <w:rFonts w:asciiTheme="minorBidi" w:hAnsiTheme="minorBidi"/>
          <w:b w:val="0"/>
        </w:rPr>
        <w:t>En el Artículo 9.1 de la Convención, se estipula que el Comité propondrá a la Asamblea General la acreditación de organizaciones no gubernamentales (ONG) de probada competencia en el terreno del patrimonio cultural inmaterial con fines de asistencia consultiva ante el Comité. Los criterios y las modalidades de dicha acreditación figuran en el capítulo III.2.2 de las Directrices Operativas (párrafos 91 a 99). Hasta la fecha, la Asamblea General ha acreditado a 300 organizaciones</w:t>
      </w:r>
      <w:r w:rsidR="004368A3" w:rsidRPr="00A16371">
        <w:rPr>
          <w:rStyle w:val="Appelnotedebasdep"/>
          <w:rFonts w:asciiTheme="minorBidi" w:hAnsiTheme="minorBidi" w:cstheme="minorBidi"/>
          <w:b w:val="0"/>
          <w:snapToGrid w:val="0"/>
          <w:lang w:val="en-GB" w:eastAsia="en-US"/>
        </w:rPr>
        <w:footnoteReference w:id="1"/>
      </w:r>
      <w:r w:rsidRPr="00A16371">
        <w:rPr>
          <w:rFonts w:asciiTheme="minorBidi" w:hAnsiTheme="minorBidi"/>
          <w:b w:val="0"/>
        </w:rPr>
        <w:t>.</w:t>
      </w:r>
    </w:p>
    <w:p w14:paraId="4EDFF711" w14:textId="68AE0C9C" w:rsidR="00B715A7" w:rsidRPr="00A16371" w:rsidRDefault="00361D79" w:rsidP="007050D1">
      <w:pPr>
        <w:pStyle w:val="COMTitleDecision"/>
        <w:keepNext w:val="0"/>
        <w:widowControl w:val="0"/>
        <w:numPr>
          <w:ilvl w:val="0"/>
          <w:numId w:val="20"/>
        </w:numPr>
        <w:spacing w:before="120"/>
        <w:ind w:left="567" w:hanging="567"/>
        <w:rPr>
          <w:rFonts w:asciiTheme="minorBidi" w:hAnsiTheme="minorBidi" w:cstheme="minorBidi"/>
          <w:b w:val="0"/>
        </w:rPr>
      </w:pPr>
      <w:r w:rsidRPr="00A16371">
        <w:rPr>
          <w:rFonts w:asciiTheme="minorBidi" w:hAnsiTheme="minorBidi"/>
          <w:b w:val="0"/>
        </w:rPr>
        <w:t>La contribución y el compromiso de las ONG acreditadas están sujetos a un examen por el Comité cada cuatro años tras la acreditación, sobre la base de las modalidades y los procedimientos determinados en el capítulo III.2.2 de las Directrices Operativas (párrafos 92 a 95). Como resultado de dicho examen, el Comité podrá decidir mantener o poner fin a las relaciones con las ONG en cuestión. A raíz de las decisiones del Comité a este respecto en los últimos ciclos</w:t>
      </w:r>
      <w:r w:rsidR="00C01618" w:rsidRPr="00A16371">
        <w:rPr>
          <w:rStyle w:val="Appelnotedebasdep"/>
          <w:rFonts w:asciiTheme="minorBidi" w:hAnsiTheme="minorBidi" w:cstheme="minorBidi"/>
          <w:b w:val="0"/>
          <w:snapToGrid w:val="0"/>
          <w:lang w:val="en-GB" w:eastAsia="en-US"/>
        </w:rPr>
        <w:footnoteReference w:id="2"/>
      </w:r>
      <w:r w:rsidRPr="00A16371">
        <w:rPr>
          <w:rFonts w:asciiTheme="minorBidi" w:hAnsiTheme="minorBidi"/>
          <w:b w:val="0"/>
        </w:rPr>
        <w:t xml:space="preserve">, actualmente hay 206 </w:t>
      </w:r>
      <w:r w:rsidRPr="00A16371">
        <w:rPr>
          <w:rFonts w:asciiTheme="minorBidi" w:hAnsiTheme="minorBidi"/>
          <w:b w:val="0"/>
          <w:snapToGrid w:val="0"/>
        </w:rPr>
        <w:t xml:space="preserve">ONG acreditadas para ejercer funciones consultivas ante el Comité. Su </w:t>
      </w:r>
      <w:r w:rsidRPr="00A16371">
        <w:rPr>
          <w:rFonts w:asciiTheme="minorBidi" w:hAnsiTheme="minorBidi"/>
          <w:b w:val="0"/>
        </w:rPr>
        <w:t>distribución geográfica es la</w:t>
      </w:r>
      <w:r w:rsidRPr="00A16371">
        <w:rPr>
          <w:rFonts w:asciiTheme="minorBidi" w:hAnsiTheme="minorBidi"/>
          <w:b w:val="0"/>
          <w:snapToGrid w:val="0"/>
        </w:rPr>
        <w:t xml:space="preserve"> siguiente: Grupo Electoral I</w:t>
      </w:r>
      <w:r w:rsidR="00FF0A9C" w:rsidRPr="00A16371">
        <w:rPr>
          <w:rFonts w:asciiTheme="minorBidi" w:hAnsiTheme="minorBidi"/>
          <w:b w:val="0"/>
          <w:snapToGrid w:val="0"/>
        </w:rPr>
        <w:t xml:space="preserve"> - </w:t>
      </w:r>
      <w:r w:rsidRPr="00A16371">
        <w:rPr>
          <w:rFonts w:asciiTheme="minorBidi" w:hAnsiTheme="minorBidi"/>
          <w:b w:val="0"/>
          <w:snapToGrid w:val="0"/>
        </w:rPr>
        <w:t>108</w:t>
      </w:r>
      <w:r w:rsidR="00FF0A9C" w:rsidRPr="00A16371">
        <w:rPr>
          <w:rFonts w:asciiTheme="minorBidi" w:hAnsiTheme="minorBidi"/>
          <w:b w:val="0"/>
          <w:snapToGrid w:val="0"/>
        </w:rPr>
        <w:t xml:space="preserve">; </w:t>
      </w:r>
      <w:r w:rsidRPr="00A16371">
        <w:rPr>
          <w:rFonts w:asciiTheme="minorBidi" w:hAnsiTheme="minorBidi"/>
          <w:b w:val="0"/>
          <w:snapToGrid w:val="0"/>
        </w:rPr>
        <w:t>Grupo Electoral II</w:t>
      </w:r>
      <w:r w:rsidR="00FF0A9C" w:rsidRPr="00A16371">
        <w:rPr>
          <w:rFonts w:asciiTheme="minorBidi" w:hAnsiTheme="minorBidi"/>
          <w:b w:val="0"/>
          <w:snapToGrid w:val="0"/>
        </w:rPr>
        <w:t xml:space="preserve"> </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Pr="00A16371">
        <w:rPr>
          <w:rFonts w:asciiTheme="minorBidi" w:hAnsiTheme="minorBidi"/>
          <w:b w:val="0"/>
          <w:snapToGrid w:val="0"/>
        </w:rPr>
        <w:t>21; Grupo Electoral III</w:t>
      </w:r>
      <w:r w:rsidR="00FF0A9C" w:rsidRPr="00A16371">
        <w:rPr>
          <w:rFonts w:asciiTheme="minorBidi" w:hAnsiTheme="minorBidi"/>
          <w:b w:val="0"/>
          <w:snapToGrid w:val="0"/>
        </w:rPr>
        <w:t xml:space="preserve"> </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Pr="00A16371">
        <w:rPr>
          <w:rFonts w:asciiTheme="minorBidi" w:hAnsiTheme="minorBidi"/>
          <w:b w:val="0"/>
          <w:snapToGrid w:val="0"/>
        </w:rPr>
        <w:t>14; Grupo Electoral IV</w:t>
      </w:r>
      <w:r w:rsidR="00FF0A9C" w:rsidRPr="00A16371">
        <w:rPr>
          <w:rFonts w:asciiTheme="minorBidi" w:hAnsiTheme="minorBidi"/>
          <w:b w:val="0"/>
          <w:snapToGrid w:val="0"/>
        </w:rPr>
        <w:t xml:space="preserve"> </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Pr="00A16371">
        <w:rPr>
          <w:rFonts w:asciiTheme="minorBidi" w:hAnsiTheme="minorBidi"/>
          <w:b w:val="0"/>
          <w:snapToGrid w:val="0"/>
        </w:rPr>
        <w:t>28; Grupo Electoral V</w:t>
      </w:r>
      <w:r w:rsidR="00EB3132" w:rsidRPr="00A16371">
        <w:rPr>
          <w:rFonts w:asciiTheme="minorBidi" w:hAnsiTheme="minorBidi"/>
          <w:b w:val="0"/>
          <w:snapToGrid w:val="0"/>
        </w:rPr>
        <w:t>(</w:t>
      </w:r>
      <w:r w:rsidRPr="00A16371">
        <w:rPr>
          <w:rFonts w:asciiTheme="minorBidi" w:hAnsiTheme="minorBidi"/>
          <w:b w:val="0"/>
          <w:snapToGrid w:val="0"/>
        </w:rPr>
        <w:t>a</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Pr="00A16371">
        <w:rPr>
          <w:rFonts w:asciiTheme="minorBidi" w:hAnsiTheme="minorBidi"/>
          <w:b w:val="0"/>
          <w:snapToGrid w:val="0"/>
        </w:rPr>
        <w:t>25; y Grupo Electoral V</w:t>
      </w:r>
      <w:r w:rsidR="00EB3132" w:rsidRPr="00A16371">
        <w:rPr>
          <w:rFonts w:asciiTheme="minorBidi" w:hAnsiTheme="minorBidi"/>
          <w:b w:val="0"/>
          <w:snapToGrid w:val="0"/>
        </w:rPr>
        <w:t>(</w:t>
      </w:r>
      <w:r w:rsidRPr="00A16371">
        <w:rPr>
          <w:rFonts w:asciiTheme="minorBidi" w:hAnsiTheme="minorBidi"/>
          <w:b w:val="0"/>
          <w:snapToGrid w:val="0"/>
        </w:rPr>
        <w:t>b</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00EB3132" w:rsidRPr="00A16371">
        <w:rPr>
          <w:rFonts w:asciiTheme="minorBidi" w:hAnsiTheme="minorBidi"/>
          <w:b w:val="0"/>
          <w:snapToGrid w:val="0"/>
        </w:rPr>
        <w:t>-</w:t>
      </w:r>
      <w:r w:rsidR="00FF0A9C" w:rsidRPr="00A16371">
        <w:rPr>
          <w:rFonts w:asciiTheme="minorBidi" w:hAnsiTheme="minorBidi"/>
          <w:b w:val="0"/>
          <w:snapToGrid w:val="0"/>
        </w:rPr>
        <w:t xml:space="preserve"> </w:t>
      </w:r>
      <w:r w:rsidRPr="00A16371">
        <w:rPr>
          <w:rFonts w:asciiTheme="minorBidi" w:hAnsiTheme="minorBidi"/>
          <w:b w:val="0"/>
          <w:snapToGrid w:val="0"/>
        </w:rPr>
        <w:t xml:space="preserve">10. </w:t>
      </w:r>
    </w:p>
    <w:p w14:paraId="6FCAB484" w14:textId="0E134B52" w:rsidR="00F70FBF" w:rsidRPr="00A16371" w:rsidRDefault="00F70FBF" w:rsidP="00F70FBF">
      <w:pPr>
        <w:pStyle w:val="COMTitleDecision"/>
        <w:keepNext w:val="0"/>
        <w:widowControl w:val="0"/>
        <w:spacing w:before="120"/>
        <w:jc w:val="center"/>
        <w:rPr>
          <w:rFonts w:asciiTheme="minorBidi" w:hAnsiTheme="minorBidi" w:cstheme="minorBidi"/>
          <w:b w:val="0"/>
        </w:rPr>
      </w:pPr>
      <w:r w:rsidRPr="00A16371">
        <w:rPr>
          <w:rFonts w:asciiTheme="minorBidi" w:hAnsiTheme="minorBidi"/>
          <w:b w:val="0"/>
          <w:noProof/>
        </w:rPr>
        <w:drawing>
          <wp:inline distT="0" distB="0" distL="0" distR="0" wp14:anchorId="153D43C3" wp14:editId="3E670BDD">
            <wp:extent cx="5274945" cy="2238375"/>
            <wp:effectExtent l="0" t="0" r="1905" b="952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E3D5C7" w14:textId="1EA1CC90" w:rsidR="009320D9" w:rsidRPr="001E596D" w:rsidRDefault="00CD3FDF" w:rsidP="00600CE2">
      <w:pPr>
        <w:spacing w:before="120" w:after="120"/>
        <w:rPr>
          <w:rFonts w:asciiTheme="minorBidi" w:hAnsiTheme="minorBidi" w:cstheme="minorBidi"/>
          <w:bCs/>
          <w:sz w:val="22"/>
          <w:szCs w:val="22"/>
        </w:rPr>
      </w:pPr>
      <w:r w:rsidRPr="001E596D">
        <w:rPr>
          <w:rFonts w:asciiTheme="minorBidi" w:hAnsiTheme="minorBidi"/>
          <w:b/>
          <w:sz w:val="22"/>
          <w:szCs w:val="22"/>
        </w:rPr>
        <w:t>Acreditación de ONG recomendada por la decimoctava reunión del Comité</w:t>
      </w:r>
    </w:p>
    <w:p w14:paraId="24520F21" w14:textId="7040CCF7" w:rsidR="007C36FB" w:rsidRPr="00132C8D" w:rsidRDefault="00D51E08" w:rsidP="007C36FB">
      <w:pPr>
        <w:pStyle w:val="COMTitleDecision"/>
        <w:keepNext w:val="0"/>
        <w:widowControl w:val="0"/>
        <w:numPr>
          <w:ilvl w:val="0"/>
          <w:numId w:val="20"/>
        </w:numPr>
        <w:spacing w:before="120"/>
        <w:ind w:left="567" w:hanging="567"/>
        <w:rPr>
          <w:rFonts w:asciiTheme="minorBidi" w:hAnsiTheme="minorBidi" w:cstheme="minorBidi"/>
          <w:b w:val="0"/>
        </w:rPr>
      </w:pPr>
      <w:r w:rsidRPr="00A16371">
        <w:rPr>
          <w:rFonts w:asciiTheme="minorBidi" w:hAnsiTheme="minorBidi"/>
          <w:b w:val="0"/>
        </w:rPr>
        <w:t xml:space="preserve">En su decimoctava reunión de 2023, el Comité examinó las nuevas solicitudes de acreditación de 73 ONG y recomendó a la Asamblea General que acreditara a 58 de ellas (Decisión </w:t>
      </w:r>
      <w:hyperlink r:id="rId9" w:history="1">
        <w:r w:rsidRPr="00A16371">
          <w:rPr>
            <w:rStyle w:val="Lienhypertexte"/>
            <w:rFonts w:asciiTheme="minorBidi" w:hAnsiTheme="minorBidi"/>
            <w:b w:val="0"/>
          </w:rPr>
          <w:t>18.COM 16</w:t>
        </w:r>
      </w:hyperlink>
      <w:r w:rsidRPr="00A16371">
        <w:rPr>
          <w:rFonts w:asciiTheme="minorBidi" w:hAnsiTheme="minorBidi"/>
          <w:b w:val="0"/>
        </w:rPr>
        <w:t xml:space="preserve">). Estas organizaciones se enumeran en el anexo. En la </w:t>
      </w:r>
      <w:hyperlink r:id="rId10" w:history="1">
        <w:r w:rsidRPr="00A16371">
          <w:rPr>
            <w:rStyle w:val="Lienhypertexte"/>
            <w:rFonts w:asciiTheme="minorBidi" w:hAnsiTheme="minorBidi"/>
            <w:b w:val="0"/>
          </w:rPr>
          <w:t>página web de la Convención</w:t>
        </w:r>
      </w:hyperlink>
      <w:r w:rsidRPr="00A16371">
        <w:rPr>
          <w:rFonts w:asciiTheme="minorBidi" w:hAnsiTheme="minorBidi"/>
          <w:b w:val="0"/>
        </w:rPr>
        <w:t>, se publican todas las solicitudes que se</w:t>
      </w:r>
      <w:r>
        <w:rPr>
          <w:rFonts w:asciiTheme="minorBidi" w:hAnsiTheme="minorBidi"/>
          <w:b w:val="0"/>
        </w:rPr>
        <w:t xml:space="preserve"> completaron dentro del plazo para su examen en la decimoctava reunión del Comité en el idioma en que se presentaron, a saber, el formulario </w:t>
      </w:r>
      <w:hyperlink r:id="rId11" w:history="1">
        <w:r>
          <w:rPr>
            <w:rStyle w:val="Lienhypertexte"/>
            <w:rFonts w:asciiTheme="minorBidi" w:hAnsiTheme="minorBidi"/>
            <w:b w:val="0"/>
          </w:rPr>
          <w:t>ICH-09</w:t>
        </w:r>
      </w:hyperlink>
      <w:r>
        <w:rPr>
          <w:rStyle w:val="Lienhypertexte"/>
          <w:rFonts w:asciiTheme="minorBidi" w:hAnsiTheme="minorBidi"/>
          <w:b w:val="0"/>
        </w:rPr>
        <w:t xml:space="preserve"> </w:t>
      </w:r>
      <w:r>
        <w:rPr>
          <w:rFonts w:asciiTheme="minorBidi" w:hAnsiTheme="minorBidi"/>
          <w:b w:val="0"/>
        </w:rPr>
        <w:t xml:space="preserve">cumplimentado por cada organización, junto con los documentos complementarios relativos a los puntos 8.a, 8.b y 8.c de dicho formulario. </w:t>
      </w:r>
      <w:r>
        <w:rPr>
          <w:rFonts w:asciiTheme="minorBidi" w:hAnsiTheme="minorBidi"/>
          <w:b w:val="0"/>
          <w:snapToGrid w:val="0"/>
        </w:rPr>
        <w:t xml:space="preserve">La </w:t>
      </w:r>
      <w:r>
        <w:rPr>
          <w:rFonts w:asciiTheme="minorBidi" w:hAnsiTheme="minorBidi"/>
          <w:b w:val="0"/>
        </w:rPr>
        <w:t>distribución geográfica</w:t>
      </w:r>
      <w:r>
        <w:rPr>
          <w:rFonts w:asciiTheme="minorBidi" w:hAnsiTheme="minorBidi"/>
          <w:b w:val="0"/>
          <w:snapToGrid w:val="0"/>
        </w:rPr>
        <w:t xml:space="preserve"> de las 58 ONG propuestas para la acreditación es la siguiente: Grupo Electoral I</w:t>
      </w:r>
      <w:r w:rsidR="000928D9">
        <w:rPr>
          <w:rFonts w:asciiTheme="minorBidi" w:hAnsiTheme="minorBidi"/>
          <w:b w:val="0"/>
          <w:snapToGrid w:val="0"/>
        </w:rPr>
        <w:t xml:space="preserve"> </w:t>
      </w:r>
      <w:r w:rsidR="00EB3132">
        <w:rPr>
          <w:rFonts w:asciiTheme="minorBidi" w:hAnsiTheme="minorBidi"/>
          <w:b w:val="0"/>
          <w:snapToGrid w:val="0"/>
        </w:rPr>
        <w:t>-</w:t>
      </w:r>
      <w:r>
        <w:rPr>
          <w:rFonts w:asciiTheme="minorBidi" w:hAnsiTheme="minorBidi"/>
          <w:b w:val="0"/>
          <w:snapToGrid w:val="0"/>
        </w:rPr>
        <w:t>22; Grupo Electoral II</w:t>
      </w:r>
      <w:r w:rsidR="000928D9">
        <w:rPr>
          <w:rFonts w:asciiTheme="minorBidi" w:hAnsiTheme="minorBidi"/>
          <w:b w:val="0"/>
          <w:snapToGrid w:val="0"/>
        </w:rPr>
        <w:t xml:space="preserve"> </w:t>
      </w:r>
      <w:r w:rsidR="00EB3132">
        <w:rPr>
          <w:rFonts w:asciiTheme="minorBidi" w:hAnsiTheme="minorBidi"/>
          <w:b w:val="0"/>
          <w:snapToGrid w:val="0"/>
        </w:rPr>
        <w:t>-</w:t>
      </w:r>
      <w:r w:rsidR="000928D9">
        <w:rPr>
          <w:rFonts w:asciiTheme="minorBidi" w:hAnsiTheme="minorBidi"/>
          <w:b w:val="0"/>
          <w:snapToGrid w:val="0"/>
        </w:rPr>
        <w:t xml:space="preserve"> </w:t>
      </w:r>
      <w:r>
        <w:rPr>
          <w:rFonts w:asciiTheme="minorBidi" w:hAnsiTheme="minorBidi"/>
          <w:b w:val="0"/>
          <w:snapToGrid w:val="0"/>
        </w:rPr>
        <w:t>7; Grupo Electoral III</w:t>
      </w:r>
      <w:r w:rsidR="000928D9">
        <w:rPr>
          <w:rFonts w:asciiTheme="minorBidi" w:hAnsiTheme="minorBidi"/>
          <w:b w:val="0"/>
          <w:snapToGrid w:val="0"/>
        </w:rPr>
        <w:t xml:space="preserve"> </w:t>
      </w:r>
      <w:r w:rsidR="00EB3132">
        <w:rPr>
          <w:rFonts w:asciiTheme="minorBidi" w:hAnsiTheme="minorBidi"/>
          <w:b w:val="0"/>
          <w:snapToGrid w:val="0"/>
        </w:rPr>
        <w:t>-</w:t>
      </w:r>
      <w:r w:rsidR="000928D9">
        <w:rPr>
          <w:rFonts w:asciiTheme="minorBidi" w:hAnsiTheme="minorBidi"/>
          <w:b w:val="0"/>
          <w:snapToGrid w:val="0"/>
        </w:rPr>
        <w:t xml:space="preserve"> </w:t>
      </w:r>
      <w:r>
        <w:rPr>
          <w:rFonts w:asciiTheme="minorBidi" w:hAnsiTheme="minorBidi"/>
          <w:b w:val="0"/>
          <w:snapToGrid w:val="0"/>
        </w:rPr>
        <w:t>13; Grupo Electoral IV</w:t>
      </w:r>
      <w:r w:rsidR="000928D9">
        <w:rPr>
          <w:rFonts w:asciiTheme="minorBidi" w:hAnsiTheme="minorBidi"/>
          <w:b w:val="0"/>
          <w:snapToGrid w:val="0"/>
        </w:rPr>
        <w:t xml:space="preserve"> </w:t>
      </w:r>
      <w:r w:rsidR="00EB3132">
        <w:rPr>
          <w:rFonts w:asciiTheme="minorBidi" w:hAnsiTheme="minorBidi"/>
          <w:b w:val="0"/>
          <w:snapToGrid w:val="0"/>
        </w:rPr>
        <w:t>-</w:t>
      </w:r>
      <w:r w:rsidR="000928D9">
        <w:rPr>
          <w:rFonts w:asciiTheme="minorBidi" w:hAnsiTheme="minorBidi"/>
          <w:b w:val="0"/>
          <w:snapToGrid w:val="0"/>
        </w:rPr>
        <w:t xml:space="preserve"> </w:t>
      </w:r>
      <w:r>
        <w:rPr>
          <w:rFonts w:asciiTheme="minorBidi" w:hAnsiTheme="minorBidi"/>
          <w:b w:val="0"/>
          <w:snapToGrid w:val="0"/>
        </w:rPr>
        <w:t xml:space="preserve">8; Grupo Electoral </w:t>
      </w:r>
      <w:r w:rsidR="00EB3132">
        <w:rPr>
          <w:rFonts w:asciiTheme="minorBidi" w:hAnsiTheme="minorBidi"/>
          <w:b w:val="0"/>
          <w:snapToGrid w:val="0"/>
        </w:rPr>
        <w:t>V(</w:t>
      </w:r>
      <w:r>
        <w:rPr>
          <w:rFonts w:asciiTheme="minorBidi" w:hAnsiTheme="minorBidi"/>
          <w:b w:val="0"/>
          <w:snapToGrid w:val="0"/>
        </w:rPr>
        <w:t>a)</w:t>
      </w:r>
      <w:r w:rsidR="000928D9">
        <w:rPr>
          <w:rFonts w:asciiTheme="minorBidi" w:hAnsiTheme="minorBidi"/>
          <w:b w:val="0"/>
          <w:snapToGrid w:val="0"/>
        </w:rPr>
        <w:t xml:space="preserve"> -</w:t>
      </w:r>
      <w:r>
        <w:rPr>
          <w:rFonts w:asciiTheme="minorBidi" w:hAnsiTheme="minorBidi"/>
          <w:b w:val="0"/>
          <w:snapToGrid w:val="0"/>
        </w:rPr>
        <w:t xml:space="preserve"> 2; y Grupo Electoral </w:t>
      </w:r>
      <w:r w:rsidR="00EB3132">
        <w:rPr>
          <w:rFonts w:asciiTheme="minorBidi" w:hAnsiTheme="minorBidi"/>
          <w:b w:val="0"/>
          <w:snapToGrid w:val="0"/>
        </w:rPr>
        <w:t>V(</w:t>
      </w:r>
      <w:r>
        <w:rPr>
          <w:rFonts w:asciiTheme="minorBidi" w:hAnsiTheme="minorBidi"/>
          <w:b w:val="0"/>
          <w:snapToGrid w:val="0"/>
        </w:rPr>
        <w:t>b)</w:t>
      </w:r>
      <w:r w:rsidR="000928D9">
        <w:rPr>
          <w:rFonts w:asciiTheme="minorBidi" w:hAnsiTheme="minorBidi"/>
          <w:b w:val="0"/>
          <w:snapToGrid w:val="0"/>
        </w:rPr>
        <w:t xml:space="preserve"> -</w:t>
      </w:r>
      <w:r>
        <w:rPr>
          <w:rFonts w:asciiTheme="minorBidi" w:hAnsiTheme="minorBidi"/>
          <w:b w:val="0"/>
          <w:snapToGrid w:val="0"/>
        </w:rPr>
        <w:t xml:space="preserve"> 6.</w:t>
      </w:r>
    </w:p>
    <w:p w14:paraId="3EFE541A" w14:textId="4690D809" w:rsidR="003527C2" w:rsidRPr="00132C8D" w:rsidRDefault="00435CED" w:rsidP="00DA3996">
      <w:pPr>
        <w:pStyle w:val="COMTitleDecision"/>
        <w:spacing w:before="120"/>
        <w:ind w:left="0"/>
        <w:jc w:val="center"/>
        <w:rPr>
          <w:rFonts w:asciiTheme="minorBidi" w:hAnsiTheme="minorBidi" w:cstheme="minorBidi"/>
          <w:bCs/>
          <w:snapToGrid w:val="0"/>
        </w:rPr>
      </w:pPr>
      <w:r>
        <w:rPr>
          <w:rFonts w:asciiTheme="minorBidi" w:hAnsiTheme="minorBidi"/>
          <w:b w:val="0"/>
          <w:noProof/>
        </w:rPr>
        <w:lastRenderedPageBreak/>
        <w:drawing>
          <wp:anchor distT="0" distB="0" distL="114300" distR="114300" simplePos="0" relativeHeight="251657728" behindDoc="0" locked="0" layoutInCell="1" allowOverlap="1" wp14:anchorId="51151843" wp14:editId="12A72ECD">
            <wp:simplePos x="0" y="0"/>
            <wp:positionH relativeFrom="margin">
              <wp:posOffset>631687</wp:posOffset>
            </wp:positionH>
            <wp:positionV relativeFrom="paragraph">
              <wp:posOffset>109579</wp:posOffset>
            </wp:positionV>
            <wp:extent cx="5074285" cy="2709545"/>
            <wp:effectExtent l="0" t="0" r="12065" b="14605"/>
            <wp:wrapSquare wrapText="bothSides"/>
            <wp:docPr id="88772436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7C55DC2" w14:textId="000DB952" w:rsidR="00BB3222" w:rsidRPr="00165541" w:rsidRDefault="00BB3222" w:rsidP="00435CED">
      <w:pPr>
        <w:jc w:val="center"/>
        <w:rPr>
          <w:rFonts w:asciiTheme="minorBidi" w:hAnsiTheme="minorBidi" w:cstheme="minorBidi"/>
        </w:rPr>
      </w:pPr>
    </w:p>
    <w:p w14:paraId="5A3E1471" w14:textId="6EDA44DD" w:rsidR="009E4416" w:rsidRPr="00FF485B" w:rsidRDefault="00435CED" w:rsidP="007C36FB">
      <w:pPr>
        <w:pStyle w:val="COMTitleDecision"/>
        <w:spacing w:before="120"/>
        <w:rPr>
          <w:rFonts w:asciiTheme="minorBidi" w:hAnsiTheme="minorBidi" w:cstheme="minorBidi"/>
          <w:bCs/>
          <w:snapToGrid w:val="0"/>
        </w:rPr>
      </w:pPr>
      <w:r>
        <w:br w:type="textWrapping" w:clear="all"/>
      </w:r>
    </w:p>
    <w:p w14:paraId="1B2EA10E" w14:textId="77777777" w:rsidR="00CB3AEA" w:rsidRDefault="00CB3AEA" w:rsidP="00CB3AEA">
      <w:pPr>
        <w:pStyle w:val="COMTitleDecision"/>
        <w:keepNext w:val="0"/>
        <w:keepLines/>
        <w:widowControl w:val="0"/>
        <w:numPr>
          <w:ilvl w:val="0"/>
          <w:numId w:val="20"/>
        </w:numPr>
        <w:spacing w:before="120"/>
        <w:ind w:left="567" w:hanging="567"/>
        <w:rPr>
          <w:rFonts w:eastAsia="SimSun"/>
          <w:b w:val="0"/>
          <w:bCs/>
          <w:snapToGrid w:val="0"/>
        </w:rPr>
      </w:pPr>
      <w:r>
        <w:rPr>
          <w:b w:val="0"/>
          <w:snapToGrid w:val="0"/>
        </w:rPr>
        <w:t>La Secretaría de la Convención de 2003 examina las solicitudes de nuevas acreditaciones y renovaciones con arreglo a los criterios establecidos en las Directrices Operativas. La Secretaría registra las propuestas de conformidad con el párrafo 99 de las Directrices Operativas, ayuda a las organizaciones a proporcionar la información que falte, si es necesario, y prepara recomendaciones para el Comité, tal y como se solicita en el párrafo 92 de las Directrices Operativas. Los formularios pertinentes y los documentos de trabajo correspondientes se publican en la página web de la Convención a más tardar cuatro semanas antes de la apertura de las reuniones relevantes del Comité y de la Asamblea General.</w:t>
      </w:r>
    </w:p>
    <w:p w14:paraId="281D7F8E" w14:textId="6B90D604" w:rsidR="00A76CD9" w:rsidRDefault="003832A4" w:rsidP="00B167AB">
      <w:pPr>
        <w:pStyle w:val="COMTitleDecision"/>
        <w:numPr>
          <w:ilvl w:val="0"/>
          <w:numId w:val="20"/>
        </w:numPr>
        <w:spacing w:before="0"/>
        <w:ind w:left="567" w:hanging="567"/>
        <w:rPr>
          <w:rFonts w:asciiTheme="minorBidi" w:eastAsia="SimSun" w:hAnsiTheme="minorBidi" w:cstheme="minorBidi"/>
          <w:b w:val="0"/>
          <w:bCs/>
          <w:snapToGrid w:val="0"/>
        </w:rPr>
      </w:pPr>
      <w:r>
        <w:rPr>
          <w:rFonts w:asciiTheme="minorBidi" w:hAnsiTheme="minorBidi"/>
          <w:b w:val="0"/>
          <w:snapToGrid w:val="0"/>
        </w:rPr>
        <w:t>De</w:t>
      </w:r>
      <w:r>
        <w:rPr>
          <w:rFonts w:asciiTheme="minorBidi" w:hAnsiTheme="minorBidi"/>
          <w:b w:val="0"/>
        </w:rPr>
        <w:t xml:space="preserve"> conformidad con la Resolución </w:t>
      </w:r>
      <w:hyperlink r:id="rId13" w:history="1">
        <w:r>
          <w:rPr>
            <w:rStyle w:val="Lienhypertexte"/>
            <w:rFonts w:asciiTheme="minorBidi" w:hAnsiTheme="minorBidi"/>
            <w:b w:val="0"/>
          </w:rPr>
          <w:t>9.</w:t>
        </w:r>
      </w:hyperlink>
      <w:hyperlink r:id="rId14" w:history="1">
        <w:r w:rsidR="00EA22EA">
          <w:rPr>
            <w:rStyle w:val="Lienhypertexte"/>
            <w:rFonts w:asciiTheme="minorBidi" w:hAnsiTheme="minorBidi"/>
            <w:b w:val="0"/>
          </w:rPr>
          <w:t>GA</w:t>
        </w:r>
        <w:r>
          <w:rPr>
            <w:rStyle w:val="Lienhypertexte"/>
            <w:rFonts w:asciiTheme="minorBidi" w:hAnsiTheme="minorBidi"/>
            <w:b w:val="0"/>
          </w:rPr>
          <w:t xml:space="preserve"> 7</w:t>
        </w:r>
      </w:hyperlink>
      <w:r>
        <w:rPr>
          <w:rFonts w:asciiTheme="minorBidi" w:hAnsiTheme="minorBidi"/>
          <w:b w:val="0"/>
        </w:rPr>
        <w:t xml:space="preserve"> aprobada por la novena reunión de la Asamblea General en 2022, la Secretaría solicitó la cooperación de las oficinas fuera de la Sede de la UNESCO en el examen de las nuevas solicitudes de acreditación presentadas. La lista de acreditaciones de ONG se puso a disposición de las oficinas fuera de la Sede y se creó un formulario para recabar la información pertinente. </w:t>
      </w:r>
      <w:r>
        <w:rPr>
          <w:rFonts w:asciiTheme="minorBidi" w:hAnsiTheme="minorBidi"/>
          <w:b w:val="0"/>
          <w:snapToGrid w:val="0"/>
        </w:rPr>
        <w:t>Seis oficinas fuera de la Sede de la UNESCO apoyaron el proceso, proporcionando información complementaria a las solicitudes de nueva acreditación de las organizaciones no gubernamentales con las que interactuaban.</w:t>
      </w:r>
    </w:p>
    <w:p w14:paraId="1DBA486E" w14:textId="26097BDD" w:rsidR="00391AC6" w:rsidRPr="00132C8D" w:rsidRDefault="00391AC6" w:rsidP="00132C8D">
      <w:pPr>
        <w:pStyle w:val="COMTitleDecision"/>
        <w:keepNext w:val="0"/>
        <w:widowControl w:val="0"/>
        <w:numPr>
          <w:ilvl w:val="0"/>
          <w:numId w:val="20"/>
        </w:numPr>
        <w:spacing w:before="0"/>
        <w:ind w:left="547" w:hanging="576"/>
        <w:rPr>
          <w:rFonts w:asciiTheme="minorBidi" w:hAnsiTheme="minorBidi" w:cstheme="minorBidi"/>
          <w:b w:val="0"/>
        </w:rPr>
      </w:pPr>
      <w:r>
        <w:rPr>
          <w:rFonts w:asciiTheme="minorBidi" w:hAnsiTheme="minorBidi"/>
          <w:b w:val="0"/>
        </w:rPr>
        <w:t xml:space="preserve">La </w:t>
      </w:r>
      <w:r>
        <w:rPr>
          <w:rFonts w:asciiTheme="minorBidi" w:hAnsiTheme="minorBidi"/>
          <w:b w:val="0"/>
          <w:snapToGrid w:val="0"/>
        </w:rPr>
        <w:t>Asamblea</w:t>
      </w:r>
      <w:r>
        <w:rPr>
          <w:rFonts w:asciiTheme="minorBidi" w:hAnsiTheme="minorBidi"/>
          <w:b w:val="0"/>
        </w:rPr>
        <w:t xml:space="preserve"> </w:t>
      </w:r>
      <w:r>
        <w:rPr>
          <w:rFonts w:asciiTheme="minorBidi" w:hAnsiTheme="minorBidi"/>
          <w:b w:val="0"/>
          <w:snapToGrid w:val="0"/>
        </w:rPr>
        <w:t>General</w:t>
      </w:r>
      <w:r>
        <w:rPr>
          <w:rFonts w:asciiTheme="minorBidi" w:hAnsiTheme="minorBidi"/>
          <w:b w:val="0"/>
        </w:rPr>
        <w:t xml:space="preserve"> podría aprobar la siguiente resolución:</w:t>
      </w:r>
    </w:p>
    <w:p w14:paraId="2A46BAC4" w14:textId="32BB3C06" w:rsidR="008A1ED4" w:rsidRPr="00132C8D" w:rsidRDefault="00F010E0" w:rsidP="004C7156">
      <w:pPr>
        <w:pStyle w:val="GATitleResolution"/>
        <w:spacing w:before="360"/>
        <w:rPr>
          <w:rFonts w:asciiTheme="minorBidi" w:hAnsiTheme="minorBidi" w:cstheme="minorBidi"/>
        </w:rPr>
      </w:pPr>
      <w:r>
        <w:rPr>
          <w:rFonts w:asciiTheme="minorBidi" w:hAnsiTheme="minorBidi"/>
        </w:rPr>
        <w:t>PROYECTO DE RESOLUCIÓN 10.GA 9</w:t>
      </w:r>
    </w:p>
    <w:p w14:paraId="7677B217" w14:textId="3F5A8CFA" w:rsidR="008A1ED4" w:rsidRPr="00132C8D" w:rsidRDefault="008A1ED4" w:rsidP="008A1ED4">
      <w:pPr>
        <w:pStyle w:val="GAPreambulaResolution"/>
        <w:rPr>
          <w:rFonts w:asciiTheme="minorBidi" w:hAnsiTheme="minorBidi" w:cstheme="minorBidi"/>
        </w:rPr>
      </w:pPr>
      <w:r>
        <w:rPr>
          <w:rFonts w:asciiTheme="minorBidi" w:hAnsiTheme="minorBidi"/>
        </w:rPr>
        <w:t>La Asamblea General,</w:t>
      </w:r>
    </w:p>
    <w:p w14:paraId="07630149" w14:textId="6D801293" w:rsidR="005823AB" w:rsidRPr="00132C8D" w:rsidRDefault="005823AB" w:rsidP="005823AB">
      <w:pPr>
        <w:pStyle w:val="COMParaDecision"/>
        <w:numPr>
          <w:ilvl w:val="0"/>
          <w:numId w:val="10"/>
        </w:numPr>
        <w:ind w:left="1134" w:hanging="567"/>
        <w:jc w:val="left"/>
        <w:rPr>
          <w:rFonts w:asciiTheme="minorBidi" w:hAnsiTheme="minorBidi" w:cstheme="minorBidi"/>
        </w:rPr>
      </w:pPr>
      <w:r>
        <w:rPr>
          <w:rFonts w:asciiTheme="minorBidi" w:hAnsiTheme="minorBidi"/>
        </w:rPr>
        <w:t>Habiendo examinado</w:t>
      </w:r>
      <w:r>
        <w:rPr>
          <w:rFonts w:asciiTheme="minorBidi" w:hAnsiTheme="minorBidi"/>
          <w:u w:val="none"/>
        </w:rPr>
        <w:t xml:space="preserve"> el </w:t>
      </w:r>
      <w:r w:rsidRPr="002B01B8">
        <w:rPr>
          <w:rFonts w:asciiTheme="minorBidi" w:hAnsiTheme="minorBidi"/>
          <w:u w:val="none"/>
        </w:rPr>
        <w:t>documento LHE/24/10.GA/9 y</w:t>
      </w:r>
      <w:r>
        <w:rPr>
          <w:rFonts w:asciiTheme="minorBidi" w:hAnsiTheme="minorBidi"/>
          <w:u w:val="none"/>
        </w:rPr>
        <w:t xml:space="preserve"> su anexo,</w:t>
      </w:r>
    </w:p>
    <w:p w14:paraId="7C34FFCB" w14:textId="4CD26436" w:rsidR="005823AB" w:rsidRPr="00132C8D" w:rsidRDefault="005823AB" w:rsidP="005823AB">
      <w:pPr>
        <w:pStyle w:val="COMParaDecision"/>
        <w:numPr>
          <w:ilvl w:val="0"/>
          <w:numId w:val="10"/>
        </w:numPr>
        <w:ind w:left="1134" w:hanging="567"/>
        <w:rPr>
          <w:rFonts w:asciiTheme="minorBidi" w:hAnsiTheme="minorBidi" w:cstheme="minorBidi"/>
        </w:rPr>
      </w:pPr>
      <w:r>
        <w:rPr>
          <w:rFonts w:asciiTheme="minorBidi" w:hAnsiTheme="minorBidi"/>
        </w:rPr>
        <w:t>Recordando</w:t>
      </w:r>
      <w:r>
        <w:rPr>
          <w:rFonts w:asciiTheme="minorBidi" w:hAnsiTheme="minorBidi"/>
          <w:u w:val="none"/>
        </w:rPr>
        <w:t xml:space="preserve"> el Artículo 9 de la Convención y los párrafos 91 a 99 de las Directrices Operativas,</w:t>
      </w:r>
    </w:p>
    <w:p w14:paraId="18460A61" w14:textId="3B32627F" w:rsidR="005823AB" w:rsidRPr="00132C8D" w:rsidRDefault="005823AB" w:rsidP="005823AB">
      <w:pPr>
        <w:pStyle w:val="COMParaDecision"/>
        <w:numPr>
          <w:ilvl w:val="0"/>
          <w:numId w:val="10"/>
        </w:numPr>
        <w:ind w:left="1134" w:hanging="567"/>
        <w:rPr>
          <w:rFonts w:asciiTheme="minorBidi" w:hAnsiTheme="minorBidi" w:cstheme="minorBidi"/>
        </w:rPr>
      </w:pPr>
      <w:r>
        <w:rPr>
          <w:rFonts w:asciiTheme="minorBidi" w:hAnsiTheme="minorBidi"/>
        </w:rPr>
        <w:t>Recordando también</w:t>
      </w:r>
      <w:r>
        <w:rPr>
          <w:rFonts w:asciiTheme="minorBidi" w:hAnsiTheme="minorBidi"/>
          <w:u w:val="none"/>
        </w:rPr>
        <w:t xml:space="preserve"> la Decisión </w:t>
      </w:r>
      <w:hyperlink r:id="rId15" w:history="1">
        <w:r>
          <w:rPr>
            <w:rStyle w:val="Lienhypertexte"/>
            <w:rFonts w:asciiTheme="minorBidi" w:hAnsiTheme="minorBidi"/>
          </w:rPr>
          <w:t>18.COM 16</w:t>
        </w:r>
      </w:hyperlink>
      <w:r>
        <w:rPr>
          <w:rStyle w:val="Lienhypertexte"/>
          <w:rFonts w:asciiTheme="minorBidi" w:hAnsiTheme="minorBidi"/>
          <w:color w:val="auto"/>
          <w:u w:val="none"/>
        </w:rPr>
        <w:t>,</w:t>
      </w:r>
    </w:p>
    <w:p w14:paraId="5208F9FD" w14:textId="3E177415" w:rsidR="005823AB" w:rsidRPr="00132C8D" w:rsidRDefault="005823AB" w:rsidP="005823AB">
      <w:pPr>
        <w:pStyle w:val="COMParaDecision"/>
        <w:numPr>
          <w:ilvl w:val="0"/>
          <w:numId w:val="10"/>
        </w:numPr>
        <w:ind w:left="1134" w:hanging="567"/>
        <w:rPr>
          <w:rFonts w:asciiTheme="minorBidi" w:hAnsiTheme="minorBidi" w:cstheme="minorBidi"/>
        </w:rPr>
      </w:pPr>
      <w:r>
        <w:rPr>
          <w:rFonts w:asciiTheme="minorBidi" w:hAnsiTheme="minorBidi"/>
        </w:rPr>
        <w:t>Acredita</w:t>
      </w:r>
      <w:r>
        <w:rPr>
          <w:rFonts w:asciiTheme="minorBidi" w:hAnsiTheme="minorBidi"/>
          <w:u w:val="none"/>
        </w:rPr>
        <w:t xml:space="preserve"> a las 58 ONG enumeradas en el anexo de esta resolución con fines de asistencia consultiva ante el Comité;</w:t>
      </w:r>
    </w:p>
    <w:p w14:paraId="3D6B3514" w14:textId="72ECBD87" w:rsidR="005823AB" w:rsidRPr="00132C8D" w:rsidRDefault="005823AB" w:rsidP="00C003BB">
      <w:pPr>
        <w:pStyle w:val="COMParaDecision"/>
        <w:numPr>
          <w:ilvl w:val="0"/>
          <w:numId w:val="10"/>
        </w:numPr>
        <w:ind w:left="1134" w:hanging="567"/>
        <w:rPr>
          <w:rFonts w:asciiTheme="minorBidi" w:hAnsiTheme="minorBidi" w:cstheme="minorBidi"/>
        </w:rPr>
      </w:pPr>
      <w:r>
        <w:rPr>
          <w:rFonts w:asciiTheme="minorBidi" w:hAnsiTheme="minorBidi"/>
        </w:rPr>
        <w:t>Alienta</w:t>
      </w:r>
      <w:r>
        <w:rPr>
          <w:rFonts w:asciiTheme="minorBidi" w:hAnsiTheme="minorBidi"/>
          <w:u w:val="none"/>
        </w:rPr>
        <w:t xml:space="preserve"> a las ONG de los grupos electorales subrepresentados que cumplan con los criterios de acreditación a presentar sus solicitudes de acreditación lo antes posible a fin de mejorar la distribución geográfica de las ONG acreditadas </w:t>
      </w:r>
      <w:bookmarkStart w:id="2" w:name="_Hlk47615881"/>
      <w:r>
        <w:rPr>
          <w:rFonts w:asciiTheme="minorBidi" w:hAnsiTheme="minorBidi"/>
          <w:u w:val="none"/>
        </w:rPr>
        <w:t xml:space="preserve">e </w:t>
      </w:r>
      <w:r>
        <w:rPr>
          <w:rFonts w:asciiTheme="minorBidi" w:hAnsiTheme="minorBidi"/>
        </w:rPr>
        <w:t>invita</w:t>
      </w:r>
      <w:r>
        <w:rPr>
          <w:rFonts w:asciiTheme="minorBidi" w:hAnsiTheme="minorBidi"/>
          <w:u w:val="none"/>
        </w:rPr>
        <w:t xml:space="preserve"> a los </w:t>
      </w:r>
      <w:proofErr w:type="gramStart"/>
      <w:r>
        <w:rPr>
          <w:rFonts w:asciiTheme="minorBidi" w:hAnsiTheme="minorBidi"/>
          <w:u w:val="none"/>
        </w:rPr>
        <w:t>Estados Partes</w:t>
      </w:r>
      <w:proofErr w:type="gramEnd"/>
      <w:r>
        <w:rPr>
          <w:rFonts w:asciiTheme="minorBidi" w:hAnsiTheme="minorBidi"/>
          <w:u w:val="none"/>
        </w:rPr>
        <w:t xml:space="preserve"> de dichos grupos electorales a difundir ampliamente esta invitación a las ONG con sede en sus territorios;</w:t>
      </w:r>
    </w:p>
    <w:bookmarkEnd w:id="2"/>
    <w:p w14:paraId="54E015C2" w14:textId="494E511A" w:rsidR="005823AB" w:rsidRPr="00132C8D" w:rsidRDefault="00965081" w:rsidP="00EA22EA">
      <w:pPr>
        <w:pStyle w:val="COMParaDecision"/>
        <w:keepLines/>
        <w:numPr>
          <w:ilvl w:val="0"/>
          <w:numId w:val="10"/>
        </w:numPr>
        <w:ind w:left="1134" w:hanging="567"/>
        <w:rPr>
          <w:rFonts w:asciiTheme="minorBidi" w:hAnsiTheme="minorBidi" w:cstheme="minorBidi"/>
        </w:rPr>
      </w:pPr>
      <w:r>
        <w:rPr>
          <w:rFonts w:asciiTheme="minorBidi" w:hAnsiTheme="minorBidi"/>
        </w:rPr>
        <w:lastRenderedPageBreak/>
        <w:t>Recuerda</w:t>
      </w:r>
      <w:r>
        <w:rPr>
          <w:rFonts w:asciiTheme="minorBidi" w:hAnsiTheme="minorBidi"/>
          <w:u w:val="none"/>
        </w:rPr>
        <w:t xml:space="preserve"> a las ONG acreditadas en 2012, 2016 y 2020 que deben presentar su informe cuatrienal a la Secretaría antes de la fecha límite del 15 de febrero de 2025 para que la </w:t>
      </w:r>
      <w:r w:rsidR="007C3716">
        <w:rPr>
          <w:rFonts w:asciiTheme="minorBidi" w:hAnsiTheme="minorBidi"/>
          <w:u w:val="none"/>
        </w:rPr>
        <w:t>veintésima</w:t>
      </w:r>
      <w:r w:rsidR="00933FAE">
        <w:rPr>
          <w:rFonts w:asciiTheme="minorBidi" w:hAnsiTheme="minorBidi"/>
          <w:u w:val="none"/>
        </w:rPr>
        <w:t xml:space="preserve"> </w:t>
      </w:r>
      <w:r>
        <w:rPr>
          <w:rFonts w:asciiTheme="minorBidi" w:hAnsiTheme="minorBidi"/>
          <w:u w:val="none"/>
        </w:rPr>
        <w:t>reunión del Comité pueda examinar las contribuciones y el compromiso de cada organización consultiva.</w:t>
      </w:r>
    </w:p>
    <w:p w14:paraId="787B609F" w14:textId="69B493CF" w:rsidR="005823AB" w:rsidRPr="000D2922" w:rsidRDefault="00FC4620" w:rsidP="001E596D">
      <w:pPr>
        <w:pStyle w:val="COMParaDecision"/>
        <w:spacing w:before="240" w:after="240"/>
        <w:ind w:left="851" w:hanging="851"/>
        <w:rPr>
          <w:rFonts w:asciiTheme="minorBidi" w:hAnsiTheme="minorBidi" w:cstheme="minorBidi"/>
          <w:b/>
          <w:bCs/>
          <w:snapToGrid w:val="0"/>
          <w:u w:val="none"/>
        </w:rPr>
      </w:pPr>
      <w:r>
        <w:br w:type="page"/>
      </w:r>
      <w:r>
        <w:rPr>
          <w:rFonts w:asciiTheme="minorBidi" w:hAnsiTheme="minorBidi"/>
          <w:b/>
          <w:snapToGrid w:val="0"/>
          <w:u w:val="none"/>
        </w:rPr>
        <w:lastRenderedPageBreak/>
        <w:t>Anexo: Cincuenta y ocho organizaciones no gubernamentales recomendadas para su acreditación por la decimoctava reunión del Comité.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45"/>
        <w:gridCol w:w="1621"/>
      </w:tblGrid>
      <w:tr w:rsidR="00EA2C1A" w:rsidRPr="000D358B" w14:paraId="53B8AB31" w14:textId="77777777" w:rsidTr="006D5FD6">
        <w:trPr>
          <w:trHeight w:val="576"/>
        </w:trPr>
        <w:tc>
          <w:tcPr>
            <w:tcW w:w="3148" w:type="pct"/>
            <w:shd w:val="clear" w:color="auto" w:fill="5B9BD5" w:themeFill="accent1"/>
            <w:vAlign w:val="center"/>
            <w:hideMark/>
          </w:tcPr>
          <w:p w14:paraId="4AEFE826" w14:textId="77777777" w:rsidR="00EA2C1A" w:rsidRPr="000D2922" w:rsidRDefault="00EA2C1A" w:rsidP="006D5FD6">
            <w:pPr>
              <w:contextualSpacing/>
              <w:jc w:val="center"/>
              <w:rPr>
                <w:rFonts w:asciiTheme="minorBidi" w:hAnsiTheme="minorBidi" w:cstheme="minorBidi"/>
                <w:b/>
                <w:bCs/>
                <w:sz w:val="20"/>
                <w:szCs w:val="20"/>
              </w:rPr>
            </w:pPr>
            <w:r>
              <w:rPr>
                <w:rFonts w:asciiTheme="minorBidi" w:hAnsiTheme="minorBidi"/>
                <w:b/>
                <w:sz w:val="20"/>
              </w:rPr>
              <w:t>Nombre de la organización</w:t>
            </w:r>
          </w:p>
        </w:tc>
        <w:tc>
          <w:tcPr>
            <w:tcW w:w="1010" w:type="pct"/>
            <w:shd w:val="clear" w:color="auto" w:fill="5B9BD5" w:themeFill="accent1"/>
            <w:vAlign w:val="center"/>
            <w:hideMark/>
          </w:tcPr>
          <w:p w14:paraId="70A9C841" w14:textId="77777777" w:rsidR="00EA2C1A" w:rsidRPr="000D2922" w:rsidRDefault="00EA2C1A" w:rsidP="00EA2C1A">
            <w:pPr>
              <w:contextualSpacing/>
              <w:jc w:val="center"/>
              <w:rPr>
                <w:rFonts w:asciiTheme="minorBidi" w:hAnsiTheme="minorBidi" w:cstheme="minorBidi"/>
                <w:b/>
                <w:bCs/>
                <w:sz w:val="20"/>
                <w:szCs w:val="20"/>
              </w:rPr>
            </w:pPr>
            <w:r>
              <w:rPr>
                <w:rFonts w:asciiTheme="minorBidi" w:hAnsiTheme="minorBidi"/>
                <w:b/>
                <w:sz w:val="20"/>
              </w:rPr>
              <w:t>País del domicilio social</w:t>
            </w:r>
          </w:p>
        </w:tc>
        <w:tc>
          <w:tcPr>
            <w:tcW w:w="842" w:type="pct"/>
            <w:shd w:val="clear" w:color="auto" w:fill="5B9BD5" w:themeFill="accent1"/>
            <w:vAlign w:val="center"/>
            <w:hideMark/>
          </w:tcPr>
          <w:p w14:paraId="3C744645" w14:textId="77777777" w:rsidR="00EA2C1A" w:rsidRPr="000D2922" w:rsidRDefault="00EA2C1A" w:rsidP="00EA2C1A">
            <w:pPr>
              <w:contextualSpacing/>
              <w:jc w:val="center"/>
              <w:rPr>
                <w:rFonts w:asciiTheme="minorBidi" w:hAnsiTheme="minorBidi" w:cstheme="minorBidi"/>
                <w:b/>
                <w:bCs/>
                <w:sz w:val="20"/>
                <w:szCs w:val="20"/>
              </w:rPr>
            </w:pPr>
            <w:r>
              <w:rPr>
                <w:rFonts w:asciiTheme="minorBidi" w:hAnsiTheme="minorBidi"/>
                <w:b/>
                <w:sz w:val="20"/>
              </w:rPr>
              <w:t>Número de solicitud</w:t>
            </w:r>
          </w:p>
        </w:tc>
      </w:tr>
      <w:tr w:rsidR="00EA2C1A" w:rsidRPr="000D358B" w14:paraId="120A3A7E" w14:textId="77777777" w:rsidTr="006D5FD6">
        <w:trPr>
          <w:trHeight w:val="576"/>
        </w:trPr>
        <w:tc>
          <w:tcPr>
            <w:tcW w:w="3148" w:type="pct"/>
            <w:vAlign w:val="center"/>
          </w:tcPr>
          <w:p w14:paraId="6E8C66BE"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4 </w:t>
            </w:r>
            <w:proofErr w:type="gramStart"/>
            <w:r>
              <w:rPr>
                <w:rFonts w:asciiTheme="minorBidi" w:hAnsiTheme="minorBidi"/>
                <w:b/>
                <w:sz w:val="20"/>
              </w:rPr>
              <w:t>Grada</w:t>
            </w:r>
            <w:proofErr w:type="gramEnd"/>
            <w:r>
              <w:rPr>
                <w:rFonts w:asciiTheme="minorBidi" w:hAnsiTheme="minorBidi"/>
                <w:b/>
                <w:sz w:val="20"/>
              </w:rPr>
              <w:t xml:space="preserve"> </w:t>
            </w:r>
            <w:proofErr w:type="spellStart"/>
            <w:r>
              <w:rPr>
                <w:rFonts w:asciiTheme="minorBidi" w:hAnsiTheme="minorBidi"/>
                <w:b/>
                <w:sz w:val="20"/>
              </w:rPr>
              <w:t>Dragodid</w:t>
            </w:r>
            <w:proofErr w:type="spellEnd"/>
          </w:p>
        </w:tc>
        <w:tc>
          <w:tcPr>
            <w:tcW w:w="1010" w:type="pct"/>
            <w:vAlign w:val="center"/>
          </w:tcPr>
          <w:p w14:paraId="1B4E6F1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Croacia</w:t>
            </w:r>
          </w:p>
        </w:tc>
        <w:tc>
          <w:tcPr>
            <w:tcW w:w="842" w:type="pct"/>
            <w:vAlign w:val="center"/>
          </w:tcPr>
          <w:p w14:paraId="2B08F776" w14:textId="77777777" w:rsidR="00EA2C1A" w:rsidRPr="000D2922" w:rsidRDefault="00EA2C1A" w:rsidP="00EA2C1A">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NGO-90566</w:t>
            </w:r>
          </w:p>
        </w:tc>
      </w:tr>
      <w:tr w:rsidR="00EA2C1A" w:rsidRPr="000D358B" w14:paraId="15CBEE15" w14:textId="77777777" w:rsidTr="006D5FD6">
        <w:trPr>
          <w:trHeight w:val="576"/>
        </w:trPr>
        <w:tc>
          <w:tcPr>
            <w:tcW w:w="3148" w:type="pct"/>
            <w:shd w:val="clear" w:color="auto" w:fill="DEEAF6" w:themeFill="accent1" w:themeFillTint="33"/>
            <w:vAlign w:val="center"/>
          </w:tcPr>
          <w:p w14:paraId="2D72B856"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Acción Cultural </w:t>
            </w:r>
            <w:proofErr w:type="spellStart"/>
            <w:r>
              <w:rPr>
                <w:rFonts w:asciiTheme="minorBidi" w:hAnsiTheme="minorBidi"/>
                <w:b/>
                <w:sz w:val="20"/>
              </w:rPr>
              <w:t>Ngobe</w:t>
            </w:r>
            <w:proofErr w:type="spellEnd"/>
            <w:r>
              <w:rPr>
                <w:rFonts w:asciiTheme="minorBidi" w:hAnsiTheme="minorBidi"/>
                <w:sz w:val="20"/>
              </w:rPr>
              <w:br/>
              <w:t xml:space="preserve">Ngäbe Cultural </w:t>
            </w:r>
            <w:proofErr w:type="spellStart"/>
            <w:r>
              <w:rPr>
                <w:rFonts w:asciiTheme="minorBidi" w:hAnsiTheme="minorBidi"/>
                <w:sz w:val="20"/>
              </w:rPr>
              <w:t>Action</w:t>
            </w:r>
            <w:proofErr w:type="spellEnd"/>
          </w:p>
        </w:tc>
        <w:tc>
          <w:tcPr>
            <w:tcW w:w="1010" w:type="pct"/>
            <w:shd w:val="clear" w:color="auto" w:fill="DEEAF6" w:themeFill="accent1" w:themeFillTint="33"/>
            <w:vAlign w:val="center"/>
          </w:tcPr>
          <w:p w14:paraId="25167670"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Panamá</w:t>
            </w:r>
          </w:p>
        </w:tc>
        <w:tc>
          <w:tcPr>
            <w:tcW w:w="842" w:type="pct"/>
            <w:shd w:val="clear" w:color="auto" w:fill="DEEAF6" w:themeFill="accent1" w:themeFillTint="33"/>
            <w:vAlign w:val="center"/>
          </w:tcPr>
          <w:p w14:paraId="69CA6D31"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NGO-90583</w:t>
            </w:r>
          </w:p>
        </w:tc>
      </w:tr>
      <w:tr w:rsidR="00EA2C1A" w:rsidRPr="000D358B" w14:paraId="2FEAA820" w14:textId="77777777" w:rsidTr="006D5FD6">
        <w:trPr>
          <w:trHeight w:val="576"/>
        </w:trPr>
        <w:tc>
          <w:tcPr>
            <w:tcW w:w="3148" w:type="pct"/>
            <w:vAlign w:val="center"/>
          </w:tcPr>
          <w:p w14:paraId="4B796A14"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American Folklore </w:t>
            </w:r>
            <w:proofErr w:type="spellStart"/>
            <w:r>
              <w:rPr>
                <w:rFonts w:asciiTheme="minorBidi" w:hAnsiTheme="minorBidi"/>
                <w:b/>
                <w:sz w:val="20"/>
              </w:rPr>
              <w:t>Society</w:t>
            </w:r>
            <w:proofErr w:type="spellEnd"/>
          </w:p>
        </w:tc>
        <w:tc>
          <w:tcPr>
            <w:tcW w:w="1010" w:type="pct"/>
            <w:vAlign w:val="center"/>
          </w:tcPr>
          <w:p w14:paraId="0BE761E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Estados Unidos de América</w:t>
            </w:r>
          </w:p>
        </w:tc>
        <w:tc>
          <w:tcPr>
            <w:tcW w:w="842" w:type="pct"/>
            <w:vAlign w:val="center"/>
          </w:tcPr>
          <w:p w14:paraId="46A480B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NGO-90563</w:t>
            </w:r>
          </w:p>
        </w:tc>
      </w:tr>
      <w:tr w:rsidR="00EA2C1A" w:rsidRPr="000D358B" w14:paraId="68D82BF0" w14:textId="77777777" w:rsidTr="006D5FD6">
        <w:trPr>
          <w:trHeight w:val="576"/>
        </w:trPr>
        <w:tc>
          <w:tcPr>
            <w:tcW w:w="3148" w:type="pct"/>
            <w:shd w:val="clear" w:color="auto" w:fill="DEEAF6" w:themeFill="accent1" w:themeFillTint="33"/>
            <w:vAlign w:val="center"/>
          </w:tcPr>
          <w:p w14:paraId="58409D94"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ART - </w:t>
            </w:r>
            <w:proofErr w:type="spellStart"/>
            <w:r>
              <w:rPr>
                <w:rFonts w:asciiTheme="minorBidi" w:hAnsiTheme="minorBidi"/>
                <w:b/>
                <w:sz w:val="20"/>
              </w:rPr>
              <w:t>Meșteșugurile</w:t>
            </w:r>
            <w:proofErr w:type="spellEnd"/>
            <w:r>
              <w:rPr>
                <w:rFonts w:asciiTheme="minorBidi" w:hAnsiTheme="minorBidi"/>
                <w:b/>
                <w:sz w:val="20"/>
              </w:rPr>
              <w:t xml:space="preserve"> </w:t>
            </w:r>
            <w:proofErr w:type="spellStart"/>
            <w:r>
              <w:rPr>
                <w:rFonts w:asciiTheme="minorBidi" w:hAnsiTheme="minorBidi"/>
                <w:b/>
                <w:sz w:val="20"/>
              </w:rPr>
              <w:t>Prutului</w:t>
            </w:r>
            <w:proofErr w:type="spellEnd"/>
            <w:r>
              <w:rPr>
                <w:rFonts w:asciiTheme="minorBidi" w:hAnsiTheme="minorBidi"/>
                <w:sz w:val="20"/>
              </w:rPr>
              <w:br/>
              <w:t xml:space="preserve">ART - </w:t>
            </w:r>
            <w:proofErr w:type="spellStart"/>
            <w:r>
              <w:rPr>
                <w:rFonts w:asciiTheme="minorBidi" w:hAnsiTheme="minorBidi"/>
                <w:sz w:val="20"/>
              </w:rPr>
              <w:t>Prut</w:t>
            </w:r>
            <w:proofErr w:type="spellEnd"/>
            <w:r>
              <w:rPr>
                <w:rFonts w:asciiTheme="minorBidi" w:hAnsiTheme="minorBidi"/>
                <w:sz w:val="20"/>
              </w:rPr>
              <w:t xml:space="preserve"> </w:t>
            </w:r>
            <w:proofErr w:type="spellStart"/>
            <w:r>
              <w:rPr>
                <w:rFonts w:asciiTheme="minorBidi" w:hAnsiTheme="minorBidi"/>
                <w:sz w:val="20"/>
              </w:rPr>
              <w:t>Crafts</w:t>
            </w:r>
            <w:proofErr w:type="spellEnd"/>
            <w:r>
              <w:rPr>
                <w:rFonts w:asciiTheme="minorBidi" w:hAnsiTheme="minorBidi"/>
                <w:sz w:val="20"/>
              </w:rPr>
              <w:t xml:space="preserve"> Association</w:t>
            </w:r>
          </w:p>
        </w:tc>
        <w:tc>
          <w:tcPr>
            <w:tcW w:w="1010" w:type="pct"/>
            <w:shd w:val="clear" w:color="auto" w:fill="DEEAF6" w:themeFill="accent1" w:themeFillTint="33"/>
            <w:vAlign w:val="center"/>
          </w:tcPr>
          <w:p w14:paraId="41EA1B52"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Rumanía</w:t>
            </w:r>
          </w:p>
        </w:tc>
        <w:tc>
          <w:tcPr>
            <w:tcW w:w="842" w:type="pct"/>
            <w:shd w:val="clear" w:color="auto" w:fill="DEEAF6" w:themeFill="accent1" w:themeFillTint="33"/>
            <w:vAlign w:val="center"/>
          </w:tcPr>
          <w:p w14:paraId="4D26E97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NGO-90577</w:t>
            </w:r>
          </w:p>
        </w:tc>
      </w:tr>
      <w:tr w:rsidR="00EA2C1A" w:rsidRPr="000D358B" w14:paraId="2E4AED79" w14:textId="77777777" w:rsidTr="006D5FD6">
        <w:trPr>
          <w:trHeight w:val="576"/>
        </w:trPr>
        <w:tc>
          <w:tcPr>
            <w:tcW w:w="3148" w:type="pct"/>
            <w:vAlign w:val="center"/>
          </w:tcPr>
          <w:p w14:paraId="481A739F" w14:textId="77777777" w:rsidR="00EA2C1A" w:rsidRPr="00165541" w:rsidRDefault="00EA2C1A" w:rsidP="006D5FD6">
            <w:pPr>
              <w:contextualSpacing/>
              <w:rPr>
                <w:rFonts w:asciiTheme="minorBidi" w:hAnsiTheme="minorBidi" w:cstheme="minorBidi"/>
                <w:sz w:val="20"/>
                <w:szCs w:val="20"/>
                <w:lang w:val="pt-PT"/>
              </w:rPr>
            </w:pPr>
            <w:r w:rsidRPr="00165541">
              <w:rPr>
                <w:rFonts w:asciiTheme="minorBidi" w:hAnsiTheme="minorBidi"/>
                <w:b/>
                <w:sz w:val="20"/>
                <w:lang w:val="pt-PT"/>
              </w:rPr>
              <w:t>Associação Camará Capoeira</w:t>
            </w:r>
            <w:r w:rsidRPr="00165541">
              <w:rPr>
                <w:rFonts w:asciiTheme="minorBidi" w:hAnsiTheme="minorBidi"/>
                <w:sz w:val="20"/>
                <w:lang w:val="pt-PT"/>
              </w:rPr>
              <w:br/>
              <w:t>Camará Capoeira Association</w:t>
            </w:r>
          </w:p>
        </w:tc>
        <w:tc>
          <w:tcPr>
            <w:tcW w:w="1010" w:type="pct"/>
            <w:vAlign w:val="center"/>
          </w:tcPr>
          <w:p w14:paraId="39D28802"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Brasil</w:t>
            </w:r>
          </w:p>
        </w:tc>
        <w:tc>
          <w:tcPr>
            <w:tcW w:w="842" w:type="pct"/>
            <w:vAlign w:val="center"/>
          </w:tcPr>
          <w:p w14:paraId="5CB8881F"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NGO-90543</w:t>
            </w:r>
          </w:p>
        </w:tc>
      </w:tr>
      <w:tr w:rsidR="00EA2C1A" w:rsidRPr="000D358B" w14:paraId="221DF34B" w14:textId="77777777" w:rsidTr="006D5FD6">
        <w:trPr>
          <w:trHeight w:val="576"/>
        </w:trPr>
        <w:tc>
          <w:tcPr>
            <w:tcW w:w="3148" w:type="pct"/>
            <w:shd w:val="clear" w:color="auto" w:fill="DEEAF6" w:themeFill="accent1" w:themeFillTint="33"/>
            <w:vAlign w:val="center"/>
          </w:tcPr>
          <w:p w14:paraId="0B84F721" w14:textId="77777777" w:rsidR="00EA2C1A" w:rsidRPr="00165541" w:rsidRDefault="00EA2C1A" w:rsidP="006D5FD6">
            <w:pPr>
              <w:contextualSpacing/>
              <w:rPr>
                <w:rFonts w:asciiTheme="minorBidi" w:hAnsiTheme="minorBidi" w:cstheme="minorBidi"/>
                <w:b/>
                <w:bCs/>
                <w:sz w:val="20"/>
                <w:szCs w:val="20"/>
                <w:lang w:val="pt-PT"/>
              </w:rPr>
            </w:pPr>
            <w:r w:rsidRPr="00165541">
              <w:rPr>
                <w:rFonts w:asciiTheme="minorBidi" w:hAnsiTheme="minorBidi"/>
                <w:b/>
                <w:sz w:val="20"/>
                <w:lang w:val="pt-PT"/>
              </w:rPr>
              <w:t>Associação Nacional das Baianas de Acarajé, Mingau, Receptivo, e Similares</w:t>
            </w:r>
            <w:r w:rsidRPr="00165541">
              <w:rPr>
                <w:rFonts w:asciiTheme="minorBidi" w:hAnsiTheme="minorBidi"/>
                <w:sz w:val="20"/>
                <w:lang w:val="pt-PT"/>
              </w:rPr>
              <w:br/>
              <w:t>National Association of Baianas of Acarajé, Mingau, Receptive, and Similarities</w:t>
            </w:r>
          </w:p>
        </w:tc>
        <w:tc>
          <w:tcPr>
            <w:tcW w:w="1010" w:type="pct"/>
            <w:shd w:val="clear" w:color="auto" w:fill="DEEAF6" w:themeFill="accent1" w:themeFillTint="33"/>
            <w:vAlign w:val="center"/>
          </w:tcPr>
          <w:p w14:paraId="07095B00"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Brasil</w:t>
            </w:r>
          </w:p>
        </w:tc>
        <w:tc>
          <w:tcPr>
            <w:tcW w:w="842" w:type="pct"/>
            <w:shd w:val="clear" w:color="auto" w:fill="DEEAF6" w:themeFill="accent1" w:themeFillTint="33"/>
            <w:vAlign w:val="center"/>
          </w:tcPr>
          <w:p w14:paraId="0CF4B059"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NGO-90580</w:t>
            </w:r>
          </w:p>
        </w:tc>
      </w:tr>
      <w:tr w:rsidR="00EA2C1A" w:rsidRPr="000D358B" w14:paraId="530C1855" w14:textId="77777777" w:rsidTr="006D5FD6">
        <w:trPr>
          <w:trHeight w:val="576"/>
        </w:trPr>
        <w:tc>
          <w:tcPr>
            <w:tcW w:w="3148" w:type="pct"/>
            <w:vAlign w:val="center"/>
          </w:tcPr>
          <w:p w14:paraId="720B371F" w14:textId="77777777" w:rsidR="00EA2C1A" w:rsidRPr="00165541" w:rsidRDefault="00EA2C1A" w:rsidP="006D5FD6">
            <w:pPr>
              <w:contextualSpacing/>
              <w:rPr>
                <w:rFonts w:asciiTheme="minorBidi" w:hAnsiTheme="minorBidi" w:cstheme="minorBidi"/>
                <w:b/>
                <w:bCs/>
                <w:sz w:val="20"/>
                <w:szCs w:val="20"/>
                <w:lang w:val="fr-FR"/>
              </w:rPr>
            </w:pPr>
            <w:r w:rsidRPr="00165541">
              <w:rPr>
                <w:rFonts w:asciiTheme="minorBidi" w:hAnsiTheme="minorBidi"/>
                <w:b/>
                <w:sz w:val="20"/>
                <w:lang w:val="fr-FR"/>
              </w:rPr>
              <w:t xml:space="preserve">Association Al </w:t>
            </w:r>
            <w:proofErr w:type="spellStart"/>
            <w:r w:rsidRPr="00165541">
              <w:rPr>
                <w:rFonts w:asciiTheme="minorBidi" w:hAnsiTheme="minorBidi"/>
                <w:b/>
                <w:sz w:val="20"/>
                <w:lang w:val="fr-FR"/>
              </w:rPr>
              <w:t>Muniya</w:t>
            </w:r>
            <w:proofErr w:type="spellEnd"/>
            <w:r w:rsidRPr="00165541">
              <w:rPr>
                <w:rFonts w:asciiTheme="minorBidi" w:hAnsiTheme="minorBidi"/>
                <w:b/>
                <w:sz w:val="20"/>
                <w:lang w:val="fr-FR"/>
              </w:rPr>
              <w:t xml:space="preserve"> de Marrakech pour la revivification et la préservation du patrimoine du Royaume du Maroc</w:t>
            </w:r>
          </w:p>
        </w:tc>
        <w:tc>
          <w:tcPr>
            <w:tcW w:w="1010" w:type="pct"/>
            <w:vAlign w:val="center"/>
          </w:tcPr>
          <w:p w14:paraId="334E86E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Marruecos</w:t>
            </w:r>
          </w:p>
        </w:tc>
        <w:tc>
          <w:tcPr>
            <w:tcW w:w="842" w:type="pct"/>
            <w:vAlign w:val="center"/>
          </w:tcPr>
          <w:p w14:paraId="669A932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NGO-90528</w:t>
            </w:r>
          </w:p>
        </w:tc>
      </w:tr>
      <w:tr w:rsidR="00EA2C1A" w:rsidRPr="000D358B" w14:paraId="60DCF502" w14:textId="77777777" w:rsidTr="006D5FD6">
        <w:trPr>
          <w:trHeight w:val="576"/>
        </w:trPr>
        <w:tc>
          <w:tcPr>
            <w:tcW w:w="3148" w:type="pct"/>
            <w:shd w:val="clear" w:color="auto" w:fill="DEEAF6" w:themeFill="accent1" w:themeFillTint="33"/>
            <w:vAlign w:val="center"/>
          </w:tcPr>
          <w:p w14:paraId="120E5491" w14:textId="77777777" w:rsidR="00EA2C1A" w:rsidRPr="00165541" w:rsidRDefault="00EA2C1A" w:rsidP="006D5FD6">
            <w:pPr>
              <w:contextualSpacing/>
              <w:rPr>
                <w:rFonts w:asciiTheme="minorBidi" w:hAnsiTheme="minorBidi" w:cstheme="minorBidi"/>
                <w:b/>
                <w:bCs/>
                <w:sz w:val="20"/>
                <w:szCs w:val="20"/>
                <w:lang w:val="fr-FR"/>
              </w:rPr>
            </w:pPr>
            <w:r w:rsidRPr="00165541">
              <w:rPr>
                <w:rFonts w:asciiTheme="minorBidi" w:hAnsiTheme="minorBidi"/>
                <w:b/>
                <w:sz w:val="20"/>
                <w:lang w:val="fr-FR"/>
              </w:rPr>
              <w:t>Association Culture, Paix et Développement (CPD)</w:t>
            </w:r>
          </w:p>
        </w:tc>
        <w:tc>
          <w:tcPr>
            <w:tcW w:w="1010" w:type="pct"/>
            <w:shd w:val="clear" w:color="auto" w:fill="DEEAF6" w:themeFill="accent1" w:themeFillTint="33"/>
            <w:vAlign w:val="center"/>
          </w:tcPr>
          <w:p w14:paraId="4ACEF06E"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Togo</w:t>
            </w:r>
          </w:p>
        </w:tc>
        <w:tc>
          <w:tcPr>
            <w:tcW w:w="842" w:type="pct"/>
            <w:shd w:val="clear" w:color="auto" w:fill="DEEAF6" w:themeFill="accent1" w:themeFillTint="33"/>
            <w:vAlign w:val="center"/>
          </w:tcPr>
          <w:p w14:paraId="7FEA76D0"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NGO-90564</w:t>
            </w:r>
          </w:p>
        </w:tc>
      </w:tr>
      <w:tr w:rsidR="00EA2C1A" w:rsidRPr="000D358B" w14:paraId="78C6BAE7" w14:textId="77777777" w:rsidTr="006D5FD6">
        <w:trPr>
          <w:trHeight w:val="576"/>
        </w:trPr>
        <w:tc>
          <w:tcPr>
            <w:tcW w:w="3148" w:type="pct"/>
            <w:vAlign w:val="center"/>
          </w:tcPr>
          <w:p w14:paraId="17B039DA" w14:textId="77777777" w:rsidR="00EA2C1A" w:rsidRPr="00165541" w:rsidRDefault="00EA2C1A" w:rsidP="006D5FD6">
            <w:pPr>
              <w:contextualSpacing/>
              <w:rPr>
                <w:rFonts w:asciiTheme="minorBidi" w:hAnsiTheme="minorBidi" w:cstheme="minorBidi"/>
                <w:b/>
                <w:bCs/>
                <w:sz w:val="20"/>
                <w:szCs w:val="20"/>
                <w:lang w:val="fr-FR"/>
              </w:rPr>
            </w:pPr>
            <w:r w:rsidRPr="00165541">
              <w:rPr>
                <w:rFonts w:asciiTheme="minorBidi" w:hAnsiTheme="minorBidi"/>
                <w:b/>
                <w:sz w:val="20"/>
                <w:lang w:val="fr-FR"/>
              </w:rPr>
              <w:t>Association tunisienne de sauvegarde et de valorisation du Patrimoine Culturel Immatériel tunisien</w:t>
            </w:r>
          </w:p>
        </w:tc>
        <w:tc>
          <w:tcPr>
            <w:tcW w:w="1010" w:type="pct"/>
            <w:vAlign w:val="center"/>
          </w:tcPr>
          <w:p w14:paraId="5EA817C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Túnez</w:t>
            </w:r>
          </w:p>
        </w:tc>
        <w:tc>
          <w:tcPr>
            <w:tcW w:w="842" w:type="pct"/>
            <w:vAlign w:val="center"/>
          </w:tcPr>
          <w:p w14:paraId="71A5980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NGO-90525</w:t>
            </w:r>
          </w:p>
        </w:tc>
      </w:tr>
      <w:tr w:rsidR="00EA2C1A" w:rsidRPr="000D358B" w14:paraId="2253464D" w14:textId="77777777" w:rsidTr="006D5FD6">
        <w:trPr>
          <w:trHeight w:val="576"/>
        </w:trPr>
        <w:tc>
          <w:tcPr>
            <w:tcW w:w="3148" w:type="pct"/>
            <w:shd w:val="clear" w:color="auto" w:fill="DEEAF6" w:themeFill="accent1" w:themeFillTint="33"/>
            <w:vAlign w:val="center"/>
          </w:tcPr>
          <w:p w14:paraId="7AFD391C" w14:textId="77777777" w:rsidR="00EA2C1A" w:rsidRPr="00165541" w:rsidRDefault="00EA2C1A" w:rsidP="006D5FD6">
            <w:pPr>
              <w:contextualSpacing/>
              <w:rPr>
                <w:rFonts w:asciiTheme="minorBidi" w:hAnsiTheme="minorBidi" w:cstheme="minorBidi"/>
                <w:b/>
                <w:bCs/>
                <w:sz w:val="20"/>
                <w:szCs w:val="20"/>
                <w:lang w:val="it-IT"/>
              </w:rPr>
            </w:pPr>
            <w:r w:rsidRPr="00165541">
              <w:rPr>
                <w:rFonts w:asciiTheme="minorBidi" w:hAnsiTheme="minorBidi"/>
                <w:b/>
                <w:sz w:val="20"/>
                <w:lang w:val="it-IT"/>
              </w:rPr>
              <w:t>Associazione Cultura Italiae</w:t>
            </w:r>
            <w:r w:rsidRPr="00165541">
              <w:rPr>
                <w:rFonts w:asciiTheme="minorBidi" w:hAnsiTheme="minorBidi"/>
                <w:sz w:val="20"/>
                <w:lang w:val="it-IT"/>
              </w:rPr>
              <w:br/>
              <w:t>Association Culture of Italy</w:t>
            </w:r>
          </w:p>
        </w:tc>
        <w:tc>
          <w:tcPr>
            <w:tcW w:w="1010" w:type="pct"/>
            <w:shd w:val="clear" w:color="auto" w:fill="DEEAF6" w:themeFill="accent1" w:themeFillTint="33"/>
            <w:vAlign w:val="center"/>
          </w:tcPr>
          <w:p w14:paraId="5F84D77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Italia</w:t>
            </w:r>
          </w:p>
        </w:tc>
        <w:tc>
          <w:tcPr>
            <w:tcW w:w="842" w:type="pct"/>
            <w:shd w:val="clear" w:color="auto" w:fill="DEEAF6" w:themeFill="accent1" w:themeFillTint="33"/>
            <w:vAlign w:val="center"/>
          </w:tcPr>
          <w:p w14:paraId="064BBB0B"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NGO-90589</w:t>
            </w:r>
          </w:p>
        </w:tc>
      </w:tr>
      <w:tr w:rsidR="00EA2C1A" w:rsidRPr="000D358B" w14:paraId="0BE2C2C9" w14:textId="77777777" w:rsidTr="006D5FD6">
        <w:trPr>
          <w:trHeight w:val="576"/>
        </w:trPr>
        <w:tc>
          <w:tcPr>
            <w:tcW w:w="3148" w:type="pct"/>
            <w:vAlign w:val="center"/>
          </w:tcPr>
          <w:p w14:paraId="6FBCBF60"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Associazione</w:t>
            </w:r>
            <w:proofErr w:type="spellEnd"/>
            <w:r>
              <w:rPr>
                <w:rFonts w:asciiTheme="minorBidi" w:hAnsiTheme="minorBidi"/>
                <w:b/>
                <w:sz w:val="20"/>
              </w:rPr>
              <w:t xml:space="preserve"> </w:t>
            </w:r>
            <w:proofErr w:type="spellStart"/>
            <w:r>
              <w:rPr>
                <w:rFonts w:asciiTheme="minorBidi" w:hAnsiTheme="minorBidi"/>
                <w:b/>
                <w:sz w:val="20"/>
              </w:rPr>
              <w:t>Ecomuseo</w:t>
            </w:r>
            <w:proofErr w:type="spellEnd"/>
            <w:r>
              <w:rPr>
                <w:rFonts w:asciiTheme="minorBidi" w:hAnsiTheme="minorBidi"/>
                <w:b/>
                <w:sz w:val="20"/>
              </w:rPr>
              <w:t xml:space="preserve"> </w:t>
            </w:r>
            <w:proofErr w:type="spellStart"/>
            <w:r>
              <w:rPr>
                <w:rFonts w:asciiTheme="minorBidi" w:hAnsiTheme="minorBidi"/>
                <w:b/>
                <w:sz w:val="20"/>
              </w:rPr>
              <w:t>Casilino</w:t>
            </w:r>
            <w:proofErr w:type="spellEnd"/>
            <w:r>
              <w:rPr>
                <w:rFonts w:asciiTheme="minorBidi" w:hAnsiTheme="minorBidi"/>
                <w:b/>
                <w:sz w:val="20"/>
              </w:rPr>
              <w:t xml:space="preserve"> ad </w:t>
            </w:r>
            <w:proofErr w:type="spellStart"/>
            <w:r>
              <w:rPr>
                <w:rFonts w:asciiTheme="minorBidi" w:hAnsiTheme="minorBidi"/>
                <w:b/>
                <w:sz w:val="20"/>
              </w:rPr>
              <w:t>Duas</w:t>
            </w:r>
            <w:proofErr w:type="spellEnd"/>
            <w:r>
              <w:rPr>
                <w:rFonts w:asciiTheme="minorBidi" w:hAnsiTheme="minorBidi"/>
                <w:b/>
                <w:sz w:val="20"/>
              </w:rPr>
              <w:t xml:space="preserve"> Lauros</w:t>
            </w:r>
            <w:r>
              <w:rPr>
                <w:rFonts w:asciiTheme="minorBidi" w:hAnsiTheme="minorBidi"/>
                <w:sz w:val="20"/>
              </w:rPr>
              <w:br/>
            </w:r>
            <w:proofErr w:type="spellStart"/>
            <w:r>
              <w:rPr>
                <w:rFonts w:asciiTheme="minorBidi" w:hAnsiTheme="minorBidi"/>
                <w:sz w:val="20"/>
              </w:rPr>
              <w:t>Ecomuseum</w:t>
            </w:r>
            <w:proofErr w:type="spellEnd"/>
            <w:r>
              <w:rPr>
                <w:rFonts w:asciiTheme="minorBidi" w:hAnsiTheme="minorBidi"/>
                <w:sz w:val="20"/>
              </w:rPr>
              <w:t xml:space="preserve"> </w:t>
            </w:r>
            <w:proofErr w:type="spellStart"/>
            <w:r>
              <w:rPr>
                <w:rFonts w:asciiTheme="minorBidi" w:hAnsiTheme="minorBidi"/>
                <w:sz w:val="20"/>
              </w:rPr>
              <w:t>Casilino</w:t>
            </w:r>
            <w:proofErr w:type="spellEnd"/>
            <w:r>
              <w:rPr>
                <w:rFonts w:asciiTheme="minorBidi" w:hAnsiTheme="minorBidi"/>
                <w:sz w:val="20"/>
              </w:rPr>
              <w:t xml:space="preserve"> ad </w:t>
            </w:r>
            <w:proofErr w:type="spellStart"/>
            <w:r>
              <w:rPr>
                <w:rFonts w:asciiTheme="minorBidi" w:hAnsiTheme="minorBidi"/>
                <w:sz w:val="20"/>
              </w:rPr>
              <w:t>Duas</w:t>
            </w:r>
            <w:proofErr w:type="spellEnd"/>
            <w:r>
              <w:rPr>
                <w:rFonts w:asciiTheme="minorBidi" w:hAnsiTheme="minorBidi"/>
                <w:sz w:val="20"/>
              </w:rPr>
              <w:t xml:space="preserve"> Lauros Association</w:t>
            </w:r>
          </w:p>
        </w:tc>
        <w:tc>
          <w:tcPr>
            <w:tcW w:w="1010" w:type="pct"/>
            <w:vAlign w:val="center"/>
          </w:tcPr>
          <w:p w14:paraId="3706CA0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Italia</w:t>
            </w:r>
          </w:p>
        </w:tc>
        <w:tc>
          <w:tcPr>
            <w:tcW w:w="842" w:type="pct"/>
            <w:vAlign w:val="center"/>
          </w:tcPr>
          <w:p w14:paraId="1A82181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NGO-90582</w:t>
            </w:r>
          </w:p>
        </w:tc>
      </w:tr>
      <w:tr w:rsidR="00EA2C1A" w:rsidRPr="000D358B" w14:paraId="601C6862" w14:textId="77777777" w:rsidTr="006D5FD6">
        <w:trPr>
          <w:trHeight w:val="576"/>
        </w:trPr>
        <w:tc>
          <w:tcPr>
            <w:tcW w:w="3148" w:type="pct"/>
            <w:shd w:val="clear" w:color="auto" w:fill="DEEAF6" w:themeFill="accent1" w:themeFillTint="33"/>
            <w:vAlign w:val="center"/>
          </w:tcPr>
          <w:p w14:paraId="155754BE"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Barbados </w:t>
            </w:r>
            <w:proofErr w:type="spellStart"/>
            <w:r>
              <w:rPr>
                <w:rFonts w:asciiTheme="minorBidi" w:hAnsiTheme="minorBidi"/>
                <w:b/>
                <w:sz w:val="20"/>
              </w:rPr>
              <w:t>Museum</w:t>
            </w:r>
            <w:proofErr w:type="spellEnd"/>
            <w:r>
              <w:rPr>
                <w:rFonts w:asciiTheme="minorBidi" w:hAnsiTheme="minorBidi"/>
                <w:b/>
                <w:sz w:val="20"/>
              </w:rPr>
              <w:t xml:space="preserve"> &amp; </w:t>
            </w:r>
            <w:proofErr w:type="spellStart"/>
            <w:r>
              <w:rPr>
                <w:rFonts w:asciiTheme="minorBidi" w:hAnsiTheme="minorBidi"/>
                <w:b/>
                <w:sz w:val="20"/>
              </w:rPr>
              <w:t>Historical</w:t>
            </w:r>
            <w:proofErr w:type="spellEnd"/>
            <w:r>
              <w:rPr>
                <w:rFonts w:asciiTheme="minorBidi" w:hAnsiTheme="minorBidi"/>
                <w:b/>
                <w:sz w:val="20"/>
              </w:rPr>
              <w:t xml:space="preserve"> </w:t>
            </w:r>
            <w:proofErr w:type="spellStart"/>
            <w:r>
              <w:rPr>
                <w:rFonts w:asciiTheme="minorBidi" w:hAnsiTheme="minorBidi"/>
                <w:b/>
                <w:sz w:val="20"/>
              </w:rPr>
              <w:t>Society</w:t>
            </w:r>
            <w:proofErr w:type="spellEnd"/>
          </w:p>
        </w:tc>
        <w:tc>
          <w:tcPr>
            <w:tcW w:w="1010" w:type="pct"/>
            <w:shd w:val="clear" w:color="auto" w:fill="DEEAF6" w:themeFill="accent1" w:themeFillTint="33"/>
            <w:vAlign w:val="center"/>
          </w:tcPr>
          <w:p w14:paraId="525AA795"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Barbados</w:t>
            </w:r>
          </w:p>
        </w:tc>
        <w:tc>
          <w:tcPr>
            <w:tcW w:w="842" w:type="pct"/>
            <w:shd w:val="clear" w:color="auto" w:fill="DEEAF6" w:themeFill="accent1" w:themeFillTint="33"/>
            <w:vAlign w:val="center"/>
          </w:tcPr>
          <w:p w14:paraId="7ADBDF8F"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NGO-90554</w:t>
            </w:r>
          </w:p>
        </w:tc>
      </w:tr>
      <w:tr w:rsidR="00EA2C1A" w:rsidRPr="000D358B" w14:paraId="688992C5" w14:textId="77777777" w:rsidTr="006D5FD6">
        <w:trPr>
          <w:trHeight w:val="576"/>
        </w:trPr>
        <w:tc>
          <w:tcPr>
            <w:tcW w:w="3148" w:type="pct"/>
            <w:vAlign w:val="center"/>
          </w:tcPr>
          <w:p w14:paraId="3CDD661F"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Biedrība</w:t>
            </w:r>
            <w:proofErr w:type="spellEnd"/>
            <w:r>
              <w:rPr>
                <w:rFonts w:asciiTheme="minorBidi" w:hAnsiTheme="minorBidi"/>
                <w:b/>
                <w:sz w:val="20"/>
              </w:rPr>
              <w:t xml:space="preserve"> </w:t>
            </w:r>
            <w:proofErr w:type="gramStart"/>
            <w:r>
              <w:rPr>
                <w:rFonts w:asciiTheme="minorBidi" w:hAnsiTheme="minorBidi"/>
                <w:b/>
                <w:sz w:val="20"/>
              </w:rPr>
              <w:t xml:space="preserve">« </w:t>
            </w:r>
            <w:proofErr w:type="spellStart"/>
            <w:r>
              <w:rPr>
                <w:rFonts w:asciiTheme="minorBidi" w:hAnsiTheme="minorBidi"/>
                <w:b/>
                <w:sz w:val="20"/>
              </w:rPr>
              <w:t>Suitu</w:t>
            </w:r>
            <w:proofErr w:type="spellEnd"/>
            <w:proofErr w:type="gramEnd"/>
            <w:r>
              <w:rPr>
                <w:rFonts w:asciiTheme="minorBidi" w:hAnsiTheme="minorBidi"/>
                <w:b/>
                <w:sz w:val="20"/>
              </w:rPr>
              <w:t xml:space="preserve"> </w:t>
            </w:r>
            <w:proofErr w:type="spellStart"/>
            <w:r>
              <w:rPr>
                <w:rFonts w:asciiTheme="minorBidi" w:hAnsiTheme="minorBidi"/>
                <w:b/>
                <w:sz w:val="20"/>
              </w:rPr>
              <w:t>kultūras</w:t>
            </w:r>
            <w:proofErr w:type="spellEnd"/>
            <w:r>
              <w:rPr>
                <w:rFonts w:asciiTheme="minorBidi" w:hAnsiTheme="minorBidi"/>
                <w:b/>
                <w:sz w:val="20"/>
              </w:rPr>
              <w:t xml:space="preserve"> </w:t>
            </w:r>
            <w:proofErr w:type="spellStart"/>
            <w:r>
              <w:rPr>
                <w:rFonts w:asciiTheme="minorBidi" w:hAnsiTheme="minorBidi"/>
                <w:b/>
                <w:sz w:val="20"/>
              </w:rPr>
              <w:t>mantojums</w:t>
            </w:r>
            <w:proofErr w:type="spellEnd"/>
            <w:r>
              <w:rPr>
                <w:rFonts w:asciiTheme="minorBidi" w:hAnsiTheme="minorBidi"/>
                <w:b/>
                <w:sz w:val="20"/>
              </w:rPr>
              <w:t> »</w:t>
            </w:r>
            <w:r>
              <w:rPr>
                <w:rFonts w:asciiTheme="minorBidi" w:hAnsiTheme="minorBidi"/>
                <w:sz w:val="20"/>
              </w:rPr>
              <w:br/>
            </w:r>
            <w:proofErr w:type="spellStart"/>
            <w:r>
              <w:rPr>
                <w:rFonts w:asciiTheme="minorBidi" w:hAnsiTheme="minorBidi"/>
                <w:sz w:val="20"/>
              </w:rPr>
              <w:t>Suiti</w:t>
            </w:r>
            <w:proofErr w:type="spellEnd"/>
            <w:r>
              <w:rPr>
                <w:rFonts w:asciiTheme="minorBidi" w:hAnsiTheme="minorBidi"/>
                <w:sz w:val="20"/>
              </w:rPr>
              <w:t xml:space="preserve"> Cultural Heritage </w:t>
            </w:r>
            <w:proofErr w:type="spellStart"/>
            <w:r>
              <w:rPr>
                <w:rFonts w:asciiTheme="minorBidi" w:hAnsiTheme="minorBidi"/>
                <w:sz w:val="20"/>
              </w:rPr>
              <w:t>Foundation</w:t>
            </w:r>
            <w:proofErr w:type="spellEnd"/>
          </w:p>
        </w:tc>
        <w:tc>
          <w:tcPr>
            <w:tcW w:w="1010" w:type="pct"/>
            <w:vAlign w:val="center"/>
          </w:tcPr>
          <w:p w14:paraId="14A38A08"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Letonia</w:t>
            </w:r>
          </w:p>
        </w:tc>
        <w:tc>
          <w:tcPr>
            <w:tcW w:w="842" w:type="pct"/>
            <w:vAlign w:val="center"/>
          </w:tcPr>
          <w:p w14:paraId="60F3156B"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NGO-90570</w:t>
            </w:r>
          </w:p>
        </w:tc>
      </w:tr>
      <w:tr w:rsidR="00EA2C1A" w:rsidRPr="000D358B" w14:paraId="62A034EA" w14:textId="77777777" w:rsidTr="006D5FD6">
        <w:trPr>
          <w:trHeight w:val="576"/>
        </w:trPr>
        <w:tc>
          <w:tcPr>
            <w:tcW w:w="3148" w:type="pct"/>
            <w:shd w:val="clear" w:color="auto" w:fill="DEEAF6" w:themeFill="accent1" w:themeFillTint="33"/>
            <w:vAlign w:val="center"/>
          </w:tcPr>
          <w:p w14:paraId="00D074CC"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Blanchard House </w:t>
            </w:r>
            <w:proofErr w:type="spellStart"/>
            <w:r>
              <w:rPr>
                <w:rFonts w:asciiTheme="minorBidi" w:hAnsiTheme="minorBidi"/>
                <w:b/>
                <w:sz w:val="20"/>
              </w:rPr>
              <w:t>Institute</w:t>
            </w:r>
            <w:proofErr w:type="spellEnd"/>
          </w:p>
        </w:tc>
        <w:tc>
          <w:tcPr>
            <w:tcW w:w="1010" w:type="pct"/>
            <w:shd w:val="clear" w:color="auto" w:fill="DEEAF6" w:themeFill="accent1" w:themeFillTint="33"/>
            <w:vAlign w:val="center"/>
          </w:tcPr>
          <w:p w14:paraId="581D78CB"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Estados Unidos de América</w:t>
            </w:r>
          </w:p>
        </w:tc>
        <w:tc>
          <w:tcPr>
            <w:tcW w:w="842" w:type="pct"/>
            <w:shd w:val="clear" w:color="auto" w:fill="DEEAF6" w:themeFill="accent1" w:themeFillTint="33"/>
            <w:vAlign w:val="center"/>
          </w:tcPr>
          <w:p w14:paraId="7DAFF6E9"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NGO-90597</w:t>
            </w:r>
          </w:p>
        </w:tc>
      </w:tr>
      <w:tr w:rsidR="00EA2C1A" w:rsidRPr="000D358B" w14:paraId="224B9EE9" w14:textId="77777777" w:rsidTr="006D5FD6">
        <w:trPr>
          <w:trHeight w:val="576"/>
        </w:trPr>
        <w:tc>
          <w:tcPr>
            <w:tcW w:w="3148" w:type="pct"/>
            <w:vAlign w:val="center"/>
          </w:tcPr>
          <w:p w14:paraId="371AE0FB" w14:textId="77777777" w:rsidR="00EA2C1A" w:rsidRPr="00165541" w:rsidRDefault="00EA2C1A" w:rsidP="006D5FD6">
            <w:pPr>
              <w:contextualSpacing/>
              <w:rPr>
                <w:rFonts w:asciiTheme="minorBidi" w:hAnsiTheme="minorBidi" w:cstheme="minorBidi"/>
                <w:b/>
                <w:bCs/>
                <w:sz w:val="20"/>
                <w:szCs w:val="20"/>
                <w:lang w:val="it-IT"/>
              </w:rPr>
            </w:pPr>
            <w:r w:rsidRPr="00165541">
              <w:rPr>
                <w:rFonts w:asciiTheme="minorBidi" w:hAnsiTheme="minorBidi"/>
                <w:b/>
                <w:sz w:val="20"/>
                <w:lang w:val="it-IT"/>
              </w:rPr>
              <w:t>Bursa UNESCO Derenği</w:t>
            </w:r>
            <w:r w:rsidRPr="00165541">
              <w:rPr>
                <w:rFonts w:asciiTheme="minorBidi" w:hAnsiTheme="minorBidi"/>
                <w:sz w:val="20"/>
                <w:lang w:val="it-IT"/>
              </w:rPr>
              <w:br/>
              <w:t>Bursa UNESCO Association</w:t>
            </w:r>
          </w:p>
        </w:tc>
        <w:tc>
          <w:tcPr>
            <w:tcW w:w="1010" w:type="pct"/>
            <w:vAlign w:val="center"/>
          </w:tcPr>
          <w:p w14:paraId="1D35CD3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Türkiye</w:t>
            </w:r>
          </w:p>
        </w:tc>
        <w:tc>
          <w:tcPr>
            <w:tcW w:w="842" w:type="pct"/>
            <w:vAlign w:val="center"/>
          </w:tcPr>
          <w:p w14:paraId="340E43CB"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NGO-90545</w:t>
            </w:r>
          </w:p>
        </w:tc>
      </w:tr>
      <w:tr w:rsidR="00EA2C1A" w:rsidRPr="000D358B" w14:paraId="47499399" w14:textId="77777777" w:rsidTr="006D5FD6">
        <w:trPr>
          <w:trHeight w:val="576"/>
        </w:trPr>
        <w:tc>
          <w:tcPr>
            <w:tcW w:w="3148" w:type="pct"/>
            <w:shd w:val="clear" w:color="auto" w:fill="DEEAF6" w:themeFill="accent1" w:themeFillTint="33"/>
            <w:vAlign w:val="center"/>
          </w:tcPr>
          <w:p w14:paraId="4A1C1428" w14:textId="77777777" w:rsidR="00EA2C1A" w:rsidRPr="00165541" w:rsidRDefault="00EA2C1A" w:rsidP="006D5FD6">
            <w:pPr>
              <w:contextualSpacing/>
              <w:rPr>
                <w:rFonts w:asciiTheme="minorBidi" w:hAnsiTheme="minorBidi" w:cstheme="minorBidi"/>
                <w:sz w:val="20"/>
                <w:szCs w:val="20"/>
                <w:lang w:val="pt-PT"/>
              </w:rPr>
            </w:pPr>
            <w:r w:rsidRPr="00165541">
              <w:rPr>
                <w:rFonts w:asciiTheme="minorBidi" w:hAnsiTheme="minorBidi"/>
                <w:b/>
                <w:sz w:val="20"/>
                <w:lang w:val="pt-PT"/>
              </w:rPr>
              <w:t>Clube Carbavalesco Mixto Seu Malaquias</w:t>
            </w:r>
            <w:r w:rsidRPr="00165541">
              <w:rPr>
                <w:rFonts w:asciiTheme="minorBidi" w:hAnsiTheme="minorBidi"/>
                <w:sz w:val="20"/>
                <w:lang w:val="pt-PT"/>
              </w:rPr>
              <w:br/>
              <w:t>Carnival Club Mixto Seu Malaquias</w:t>
            </w:r>
          </w:p>
        </w:tc>
        <w:tc>
          <w:tcPr>
            <w:tcW w:w="1010" w:type="pct"/>
            <w:shd w:val="clear" w:color="auto" w:fill="DEEAF6" w:themeFill="accent1" w:themeFillTint="33"/>
            <w:vAlign w:val="center"/>
          </w:tcPr>
          <w:p w14:paraId="323E0F42"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Brasil</w:t>
            </w:r>
          </w:p>
        </w:tc>
        <w:tc>
          <w:tcPr>
            <w:tcW w:w="842" w:type="pct"/>
            <w:shd w:val="clear" w:color="auto" w:fill="DEEAF6" w:themeFill="accent1" w:themeFillTint="33"/>
            <w:vAlign w:val="center"/>
          </w:tcPr>
          <w:p w14:paraId="11DC30D2"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NGO-90540</w:t>
            </w:r>
          </w:p>
        </w:tc>
      </w:tr>
      <w:tr w:rsidR="00EA2C1A" w:rsidRPr="000D358B" w14:paraId="591CA27E" w14:textId="77777777" w:rsidTr="006D5FD6">
        <w:trPr>
          <w:trHeight w:val="576"/>
        </w:trPr>
        <w:tc>
          <w:tcPr>
            <w:tcW w:w="3148" w:type="pct"/>
            <w:vAlign w:val="center"/>
          </w:tcPr>
          <w:p w14:paraId="6CB02DF8" w14:textId="77777777" w:rsidR="00EA2C1A" w:rsidRPr="00165541" w:rsidRDefault="00EA2C1A" w:rsidP="006D5FD6">
            <w:pPr>
              <w:contextualSpacing/>
              <w:rPr>
                <w:rFonts w:asciiTheme="minorBidi" w:hAnsiTheme="minorBidi" w:cstheme="minorBidi"/>
                <w:b/>
                <w:bCs/>
                <w:sz w:val="20"/>
                <w:szCs w:val="20"/>
                <w:lang w:val="fr-FR"/>
              </w:rPr>
            </w:pPr>
            <w:r w:rsidRPr="00165541">
              <w:rPr>
                <w:rFonts w:asciiTheme="minorBidi" w:hAnsiTheme="minorBidi"/>
                <w:b/>
                <w:sz w:val="20"/>
                <w:lang w:val="fr-FR"/>
              </w:rPr>
              <w:t>Conseil International de la Danse - CID</w:t>
            </w:r>
          </w:p>
        </w:tc>
        <w:tc>
          <w:tcPr>
            <w:tcW w:w="1010" w:type="pct"/>
            <w:vAlign w:val="center"/>
          </w:tcPr>
          <w:p w14:paraId="3DE077AF"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Francia</w:t>
            </w:r>
          </w:p>
        </w:tc>
        <w:tc>
          <w:tcPr>
            <w:tcW w:w="842" w:type="pct"/>
            <w:vAlign w:val="center"/>
          </w:tcPr>
          <w:p w14:paraId="675C4053"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NGO-90538</w:t>
            </w:r>
          </w:p>
        </w:tc>
      </w:tr>
      <w:tr w:rsidR="00EA2C1A" w:rsidRPr="000D358B" w14:paraId="625942BA" w14:textId="77777777" w:rsidTr="006D5FD6">
        <w:trPr>
          <w:trHeight w:val="576"/>
        </w:trPr>
        <w:tc>
          <w:tcPr>
            <w:tcW w:w="3148" w:type="pct"/>
            <w:shd w:val="clear" w:color="auto" w:fill="DEEAF6" w:themeFill="accent1" w:themeFillTint="33"/>
            <w:vAlign w:val="center"/>
          </w:tcPr>
          <w:p w14:paraId="3A929CA8" w14:textId="77777777" w:rsidR="00EA2C1A" w:rsidRPr="003845D4"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Corporacion</w:t>
            </w:r>
            <w:proofErr w:type="spellEnd"/>
            <w:r>
              <w:rPr>
                <w:rFonts w:asciiTheme="minorBidi" w:hAnsiTheme="minorBidi"/>
                <w:b/>
                <w:sz w:val="20"/>
              </w:rPr>
              <w:t xml:space="preserve"> Cinemateca Municipal de Valledupar Cinemateca Vallenata</w:t>
            </w:r>
            <w:r>
              <w:rPr>
                <w:rFonts w:asciiTheme="minorBidi" w:hAnsiTheme="minorBidi"/>
                <w:sz w:val="20"/>
              </w:rPr>
              <w:br/>
              <w:t xml:space="preserve">Valledupar Municipal </w:t>
            </w:r>
            <w:proofErr w:type="spellStart"/>
            <w:r>
              <w:rPr>
                <w:rFonts w:asciiTheme="minorBidi" w:hAnsiTheme="minorBidi"/>
                <w:sz w:val="20"/>
              </w:rPr>
              <w:t>Cinematheque</w:t>
            </w:r>
            <w:proofErr w:type="spellEnd"/>
            <w:r>
              <w:rPr>
                <w:rFonts w:asciiTheme="minorBidi" w:hAnsiTheme="minorBidi"/>
                <w:sz w:val="20"/>
              </w:rPr>
              <w:t xml:space="preserve"> </w:t>
            </w:r>
            <w:proofErr w:type="spellStart"/>
            <w:r>
              <w:rPr>
                <w:rFonts w:asciiTheme="minorBidi" w:hAnsiTheme="minorBidi"/>
                <w:sz w:val="20"/>
              </w:rPr>
              <w:t>Corporation</w:t>
            </w:r>
            <w:proofErr w:type="spellEnd"/>
            <w:r>
              <w:rPr>
                <w:rFonts w:asciiTheme="minorBidi" w:hAnsiTheme="minorBidi"/>
                <w:sz w:val="20"/>
              </w:rPr>
              <w:t xml:space="preserve"> Cinemateca Vallenata</w:t>
            </w:r>
          </w:p>
        </w:tc>
        <w:tc>
          <w:tcPr>
            <w:tcW w:w="1010" w:type="pct"/>
            <w:shd w:val="clear" w:color="auto" w:fill="DEEAF6" w:themeFill="accent1" w:themeFillTint="33"/>
            <w:vAlign w:val="center"/>
          </w:tcPr>
          <w:p w14:paraId="2590AD8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Colombia</w:t>
            </w:r>
          </w:p>
        </w:tc>
        <w:tc>
          <w:tcPr>
            <w:tcW w:w="842" w:type="pct"/>
            <w:shd w:val="clear" w:color="auto" w:fill="DEEAF6" w:themeFill="accent1" w:themeFillTint="33"/>
            <w:vAlign w:val="center"/>
          </w:tcPr>
          <w:p w14:paraId="3A5ECFDE"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NGO-90592</w:t>
            </w:r>
          </w:p>
        </w:tc>
      </w:tr>
      <w:tr w:rsidR="00EA2C1A" w:rsidRPr="000D358B" w14:paraId="6763650E" w14:textId="77777777" w:rsidTr="006D5FD6">
        <w:trPr>
          <w:trHeight w:val="576"/>
        </w:trPr>
        <w:tc>
          <w:tcPr>
            <w:tcW w:w="3148" w:type="pct"/>
            <w:vAlign w:val="center"/>
          </w:tcPr>
          <w:p w14:paraId="1561B390"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 xml:space="preserve">Corporación </w:t>
            </w:r>
            <w:proofErr w:type="spellStart"/>
            <w:r>
              <w:rPr>
                <w:rFonts w:asciiTheme="minorBidi" w:hAnsiTheme="minorBidi"/>
                <w:b/>
                <w:sz w:val="20"/>
              </w:rPr>
              <w:t>Huiltur</w:t>
            </w:r>
            <w:proofErr w:type="spellEnd"/>
            <w:r>
              <w:rPr>
                <w:rFonts w:asciiTheme="minorBidi" w:hAnsiTheme="minorBidi"/>
                <w:b/>
                <w:sz w:val="20"/>
              </w:rPr>
              <w:t xml:space="preserve"> - </w:t>
            </w:r>
            <w:proofErr w:type="spellStart"/>
            <w:r>
              <w:rPr>
                <w:rFonts w:asciiTheme="minorBidi" w:hAnsiTheme="minorBidi"/>
                <w:b/>
                <w:sz w:val="20"/>
              </w:rPr>
              <w:t>CorpoHuiltur</w:t>
            </w:r>
            <w:proofErr w:type="spellEnd"/>
            <w:r>
              <w:rPr>
                <w:rFonts w:asciiTheme="minorBidi" w:hAnsiTheme="minorBidi"/>
                <w:sz w:val="20"/>
              </w:rPr>
              <w:br/>
            </w:r>
            <w:proofErr w:type="spellStart"/>
            <w:r>
              <w:rPr>
                <w:rFonts w:asciiTheme="minorBidi" w:hAnsiTheme="minorBidi"/>
                <w:sz w:val="20"/>
              </w:rPr>
              <w:t>Huiltur</w:t>
            </w:r>
            <w:proofErr w:type="spellEnd"/>
            <w:r>
              <w:rPr>
                <w:rFonts w:asciiTheme="minorBidi" w:hAnsiTheme="minorBidi"/>
                <w:sz w:val="20"/>
              </w:rPr>
              <w:t xml:space="preserve"> </w:t>
            </w:r>
            <w:proofErr w:type="spellStart"/>
            <w:r>
              <w:rPr>
                <w:rFonts w:asciiTheme="minorBidi" w:hAnsiTheme="minorBidi"/>
                <w:sz w:val="20"/>
              </w:rPr>
              <w:t>Corporation</w:t>
            </w:r>
            <w:proofErr w:type="spellEnd"/>
          </w:p>
        </w:tc>
        <w:tc>
          <w:tcPr>
            <w:tcW w:w="1010" w:type="pct"/>
            <w:vAlign w:val="center"/>
          </w:tcPr>
          <w:p w14:paraId="6032548E"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Colombia</w:t>
            </w:r>
          </w:p>
        </w:tc>
        <w:tc>
          <w:tcPr>
            <w:tcW w:w="842" w:type="pct"/>
            <w:vAlign w:val="center"/>
          </w:tcPr>
          <w:p w14:paraId="05E2C31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NGO-90576</w:t>
            </w:r>
          </w:p>
        </w:tc>
      </w:tr>
      <w:tr w:rsidR="00EA2C1A" w:rsidRPr="000D358B" w14:paraId="5CF0A5DD" w14:textId="77777777" w:rsidTr="006D5FD6">
        <w:trPr>
          <w:trHeight w:val="576"/>
        </w:trPr>
        <w:tc>
          <w:tcPr>
            <w:tcW w:w="3148" w:type="pct"/>
            <w:shd w:val="clear" w:color="auto" w:fill="DEEAF6" w:themeFill="accent1" w:themeFillTint="33"/>
            <w:vAlign w:val="center"/>
          </w:tcPr>
          <w:p w14:paraId="6B28B528"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Corporacion</w:t>
            </w:r>
            <w:proofErr w:type="spellEnd"/>
            <w:r>
              <w:rPr>
                <w:rFonts w:asciiTheme="minorBidi" w:hAnsiTheme="minorBidi"/>
                <w:b/>
                <w:sz w:val="20"/>
              </w:rPr>
              <w:t xml:space="preserve"> Memoria Austral</w:t>
            </w:r>
            <w:r>
              <w:rPr>
                <w:rFonts w:asciiTheme="minorBidi" w:hAnsiTheme="minorBidi"/>
                <w:sz w:val="20"/>
              </w:rPr>
              <w:br/>
              <w:t>Memoria Austral Association</w:t>
            </w:r>
          </w:p>
        </w:tc>
        <w:tc>
          <w:tcPr>
            <w:tcW w:w="1010" w:type="pct"/>
            <w:shd w:val="clear" w:color="auto" w:fill="DEEAF6" w:themeFill="accent1" w:themeFillTint="33"/>
            <w:vAlign w:val="center"/>
          </w:tcPr>
          <w:p w14:paraId="13BAAF07"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Chile</w:t>
            </w:r>
          </w:p>
        </w:tc>
        <w:tc>
          <w:tcPr>
            <w:tcW w:w="842" w:type="pct"/>
            <w:shd w:val="clear" w:color="auto" w:fill="DEEAF6" w:themeFill="accent1" w:themeFillTint="33"/>
            <w:vAlign w:val="center"/>
          </w:tcPr>
          <w:p w14:paraId="7BD95DCE"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NGO-90586</w:t>
            </w:r>
          </w:p>
        </w:tc>
      </w:tr>
      <w:tr w:rsidR="00EA2C1A" w:rsidRPr="000D358B" w14:paraId="1109BF92" w14:textId="77777777" w:rsidTr="006D5FD6">
        <w:trPr>
          <w:trHeight w:val="576"/>
        </w:trPr>
        <w:tc>
          <w:tcPr>
            <w:tcW w:w="3148" w:type="pct"/>
            <w:vAlign w:val="center"/>
          </w:tcPr>
          <w:p w14:paraId="1717FD35" w14:textId="77777777" w:rsidR="00EA2C1A" w:rsidRPr="00165541" w:rsidRDefault="00EA2C1A" w:rsidP="006D5FD6">
            <w:pPr>
              <w:contextualSpacing/>
              <w:rPr>
                <w:rFonts w:asciiTheme="minorBidi" w:hAnsiTheme="minorBidi" w:cstheme="minorBidi"/>
                <w:b/>
                <w:bCs/>
                <w:sz w:val="20"/>
                <w:szCs w:val="20"/>
                <w:lang w:val="it-IT"/>
              </w:rPr>
            </w:pPr>
            <w:r w:rsidRPr="00165541">
              <w:rPr>
                <w:rFonts w:asciiTheme="minorBidi" w:hAnsiTheme="minorBidi"/>
                <w:b/>
                <w:sz w:val="20"/>
                <w:lang w:val="it-IT"/>
              </w:rPr>
              <w:lastRenderedPageBreak/>
              <w:t>Fondazione Santagata per l’Economia della Cultura ETS (ente del terzo settore)</w:t>
            </w:r>
            <w:r w:rsidRPr="00165541">
              <w:rPr>
                <w:rFonts w:asciiTheme="minorBidi" w:hAnsiTheme="minorBidi"/>
                <w:sz w:val="20"/>
                <w:lang w:val="it-IT"/>
              </w:rPr>
              <w:br/>
              <w:t>Fondazione Santagata for the Economics of Culture ETS (third sector entity)</w:t>
            </w:r>
          </w:p>
        </w:tc>
        <w:tc>
          <w:tcPr>
            <w:tcW w:w="1010" w:type="pct"/>
            <w:vAlign w:val="center"/>
          </w:tcPr>
          <w:p w14:paraId="0E599FA4"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Italia</w:t>
            </w:r>
          </w:p>
        </w:tc>
        <w:tc>
          <w:tcPr>
            <w:tcW w:w="842" w:type="pct"/>
            <w:vAlign w:val="center"/>
          </w:tcPr>
          <w:p w14:paraId="1F4E11B3"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NGO-90552</w:t>
            </w:r>
          </w:p>
        </w:tc>
      </w:tr>
      <w:tr w:rsidR="00EA2C1A" w:rsidRPr="000D358B" w14:paraId="6440346C" w14:textId="77777777" w:rsidTr="006D5FD6">
        <w:trPr>
          <w:trHeight w:val="576"/>
        </w:trPr>
        <w:tc>
          <w:tcPr>
            <w:tcW w:w="3148" w:type="pct"/>
            <w:shd w:val="clear" w:color="auto" w:fill="DEEAF6" w:themeFill="accent1" w:themeFillTint="33"/>
            <w:vAlign w:val="center"/>
          </w:tcPr>
          <w:p w14:paraId="3E06F8B7" w14:textId="77777777" w:rsidR="00EA2C1A" w:rsidRPr="00165541" w:rsidRDefault="00EA2C1A" w:rsidP="006D5FD6">
            <w:pPr>
              <w:contextualSpacing/>
              <w:rPr>
                <w:rFonts w:asciiTheme="minorBidi" w:hAnsiTheme="minorBidi" w:cstheme="minorBidi"/>
                <w:b/>
                <w:bCs/>
                <w:sz w:val="20"/>
                <w:szCs w:val="20"/>
                <w:lang w:val="en-US"/>
              </w:rPr>
            </w:pPr>
            <w:r w:rsidRPr="00165541">
              <w:rPr>
                <w:rFonts w:asciiTheme="minorBidi" w:hAnsiTheme="minorBidi"/>
                <w:b/>
                <w:sz w:val="20"/>
                <w:lang w:val="en-US"/>
              </w:rPr>
              <w:t>Fundación Casa Taller</w:t>
            </w:r>
            <w:r w:rsidRPr="00165541">
              <w:rPr>
                <w:rFonts w:asciiTheme="minorBidi" w:hAnsiTheme="minorBidi"/>
                <w:sz w:val="20"/>
                <w:lang w:val="en-US"/>
              </w:rPr>
              <w:br/>
              <w:t>Workshop Home Foundation</w:t>
            </w:r>
          </w:p>
        </w:tc>
        <w:tc>
          <w:tcPr>
            <w:tcW w:w="1010" w:type="pct"/>
            <w:shd w:val="clear" w:color="auto" w:fill="DEEAF6" w:themeFill="accent1" w:themeFillTint="33"/>
            <w:vAlign w:val="center"/>
          </w:tcPr>
          <w:p w14:paraId="2C80528F"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Panamá</w:t>
            </w:r>
          </w:p>
        </w:tc>
        <w:tc>
          <w:tcPr>
            <w:tcW w:w="842" w:type="pct"/>
            <w:shd w:val="clear" w:color="auto" w:fill="DEEAF6" w:themeFill="accent1" w:themeFillTint="33"/>
            <w:vAlign w:val="center"/>
          </w:tcPr>
          <w:p w14:paraId="51EBF5C4"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NGO-90579</w:t>
            </w:r>
          </w:p>
        </w:tc>
      </w:tr>
      <w:tr w:rsidR="00EA2C1A" w:rsidRPr="000D358B" w14:paraId="2DDF0601" w14:textId="77777777" w:rsidTr="006D5FD6">
        <w:trPr>
          <w:trHeight w:val="576"/>
        </w:trPr>
        <w:tc>
          <w:tcPr>
            <w:tcW w:w="3148" w:type="pct"/>
            <w:vAlign w:val="center"/>
          </w:tcPr>
          <w:p w14:paraId="0E27F35F" w14:textId="77777777" w:rsidR="00EA2C1A" w:rsidRPr="000D2922" w:rsidRDefault="00EA2C1A" w:rsidP="006D5FD6">
            <w:pPr>
              <w:contextualSpacing/>
              <w:rPr>
                <w:rFonts w:asciiTheme="minorBidi" w:hAnsiTheme="minorBidi" w:cstheme="minorBidi"/>
                <w:b/>
                <w:bCs/>
                <w:sz w:val="20"/>
                <w:szCs w:val="20"/>
              </w:rPr>
            </w:pPr>
            <w:r>
              <w:rPr>
                <w:rFonts w:asciiTheme="minorBidi" w:hAnsiTheme="minorBidi"/>
                <w:b/>
                <w:sz w:val="20"/>
              </w:rPr>
              <w:t>Fundación La Sacha</w:t>
            </w:r>
            <w:r>
              <w:rPr>
                <w:rFonts w:asciiTheme="minorBidi" w:hAnsiTheme="minorBidi"/>
                <w:sz w:val="20"/>
              </w:rPr>
              <w:br/>
              <w:t xml:space="preserve">Sacha </w:t>
            </w:r>
            <w:proofErr w:type="spellStart"/>
            <w:r>
              <w:rPr>
                <w:rFonts w:asciiTheme="minorBidi" w:hAnsiTheme="minorBidi"/>
                <w:sz w:val="20"/>
              </w:rPr>
              <w:t>Foundation</w:t>
            </w:r>
            <w:proofErr w:type="spellEnd"/>
          </w:p>
        </w:tc>
        <w:tc>
          <w:tcPr>
            <w:tcW w:w="1010" w:type="pct"/>
            <w:vAlign w:val="center"/>
          </w:tcPr>
          <w:p w14:paraId="2DB038B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Argentina</w:t>
            </w:r>
          </w:p>
        </w:tc>
        <w:tc>
          <w:tcPr>
            <w:tcW w:w="842" w:type="pct"/>
            <w:vAlign w:val="center"/>
          </w:tcPr>
          <w:p w14:paraId="5C7C769B"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NGO-90546</w:t>
            </w:r>
          </w:p>
        </w:tc>
      </w:tr>
      <w:tr w:rsidR="00EA2C1A" w:rsidRPr="000D358B" w14:paraId="0B043A83" w14:textId="77777777" w:rsidTr="006D5FD6">
        <w:trPr>
          <w:trHeight w:val="576"/>
        </w:trPr>
        <w:tc>
          <w:tcPr>
            <w:tcW w:w="3148" w:type="pct"/>
            <w:shd w:val="clear" w:color="auto" w:fill="DEEAF6" w:themeFill="accent1" w:themeFillTint="33"/>
            <w:vAlign w:val="center"/>
          </w:tcPr>
          <w:p w14:paraId="5FF62B34"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Grenada</w:t>
            </w:r>
            <w:proofErr w:type="spellEnd"/>
            <w:r>
              <w:rPr>
                <w:rFonts w:asciiTheme="minorBidi" w:hAnsiTheme="minorBidi"/>
                <w:b/>
                <w:sz w:val="20"/>
              </w:rPr>
              <w:t xml:space="preserve"> National Trust</w:t>
            </w:r>
          </w:p>
        </w:tc>
        <w:tc>
          <w:tcPr>
            <w:tcW w:w="1010" w:type="pct"/>
            <w:shd w:val="clear" w:color="auto" w:fill="DEEAF6" w:themeFill="accent1" w:themeFillTint="33"/>
            <w:vAlign w:val="center"/>
          </w:tcPr>
          <w:p w14:paraId="01E457BD"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Granada</w:t>
            </w:r>
          </w:p>
        </w:tc>
        <w:tc>
          <w:tcPr>
            <w:tcW w:w="842" w:type="pct"/>
            <w:shd w:val="clear" w:color="auto" w:fill="DEEAF6" w:themeFill="accent1" w:themeFillTint="33"/>
            <w:vAlign w:val="center"/>
          </w:tcPr>
          <w:p w14:paraId="3006AC14"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NGO-90555</w:t>
            </w:r>
          </w:p>
        </w:tc>
      </w:tr>
      <w:tr w:rsidR="00EA2C1A" w:rsidRPr="000D358B" w14:paraId="59752CFF" w14:textId="77777777" w:rsidTr="006D5FD6">
        <w:trPr>
          <w:trHeight w:val="576"/>
        </w:trPr>
        <w:tc>
          <w:tcPr>
            <w:tcW w:w="3148" w:type="pct"/>
            <w:vAlign w:val="center"/>
          </w:tcPr>
          <w:p w14:paraId="3C456365"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Heimilisiðnaðarfélag</w:t>
            </w:r>
            <w:proofErr w:type="spellEnd"/>
            <w:r>
              <w:rPr>
                <w:rFonts w:asciiTheme="minorBidi" w:hAnsiTheme="minorBidi"/>
                <w:b/>
                <w:sz w:val="20"/>
              </w:rPr>
              <w:t xml:space="preserve"> </w:t>
            </w:r>
            <w:proofErr w:type="spellStart"/>
            <w:r>
              <w:rPr>
                <w:rFonts w:asciiTheme="minorBidi" w:hAnsiTheme="minorBidi"/>
                <w:b/>
                <w:sz w:val="20"/>
              </w:rPr>
              <w:t>Íslands</w:t>
            </w:r>
            <w:proofErr w:type="spellEnd"/>
            <w:r>
              <w:rPr>
                <w:rFonts w:asciiTheme="minorBidi" w:hAnsiTheme="minorBidi"/>
                <w:sz w:val="20"/>
              </w:rPr>
              <w:br/>
            </w:r>
            <w:proofErr w:type="spellStart"/>
            <w:r>
              <w:rPr>
                <w:rFonts w:asciiTheme="minorBidi" w:hAnsiTheme="minorBidi"/>
                <w:sz w:val="20"/>
              </w:rPr>
              <w:t>Icelandic</w:t>
            </w:r>
            <w:proofErr w:type="spellEnd"/>
            <w:r>
              <w:rPr>
                <w:rFonts w:asciiTheme="minorBidi" w:hAnsiTheme="minorBidi"/>
                <w:sz w:val="20"/>
              </w:rPr>
              <w:t xml:space="preserve"> </w:t>
            </w:r>
            <w:proofErr w:type="spellStart"/>
            <w:r>
              <w:rPr>
                <w:rFonts w:asciiTheme="minorBidi" w:hAnsiTheme="minorBidi"/>
                <w:sz w:val="20"/>
              </w:rPr>
              <w:t>Handicraft</w:t>
            </w:r>
            <w:proofErr w:type="spellEnd"/>
            <w:r>
              <w:rPr>
                <w:rFonts w:asciiTheme="minorBidi" w:hAnsiTheme="minorBidi"/>
                <w:sz w:val="20"/>
              </w:rPr>
              <w:t xml:space="preserve"> Association</w:t>
            </w:r>
          </w:p>
        </w:tc>
        <w:tc>
          <w:tcPr>
            <w:tcW w:w="1010" w:type="pct"/>
            <w:vAlign w:val="center"/>
          </w:tcPr>
          <w:p w14:paraId="4D02EF2F"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Islandia</w:t>
            </w:r>
          </w:p>
        </w:tc>
        <w:tc>
          <w:tcPr>
            <w:tcW w:w="842" w:type="pct"/>
            <w:vAlign w:val="center"/>
          </w:tcPr>
          <w:p w14:paraId="049EC195"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NGO-90533</w:t>
            </w:r>
          </w:p>
        </w:tc>
      </w:tr>
      <w:tr w:rsidR="00EA2C1A" w:rsidRPr="000D358B" w14:paraId="19F2A771" w14:textId="77777777" w:rsidTr="006D5FD6">
        <w:trPr>
          <w:trHeight w:val="576"/>
        </w:trPr>
        <w:tc>
          <w:tcPr>
            <w:tcW w:w="3148" w:type="pct"/>
            <w:shd w:val="clear" w:color="auto" w:fill="DEEAF6" w:themeFill="accent1" w:themeFillTint="33"/>
            <w:vAlign w:val="center"/>
          </w:tcPr>
          <w:p w14:paraId="7F4C117E" w14:textId="77777777" w:rsidR="00EA2C1A" w:rsidRPr="00165541" w:rsidRDefault="00EA2C1A" w:rsidP="006D5FD6">
            <w:pPr>
              <w:contextualSpacing/>
              <w:rPr>
                <w:rFonts w:asciiTheme="minorBidi" w:hAnsiTheme="minorBidi" w:cstheme="minorBidi"/>
                <w:b/>
                <w:bCs/>
                <w:sz w:val="20"/>
                <w:szCs w:val="20"/>
                <w:lang w:val="pt-PT"/>
              </w:rPr>
            </w:pPr>
            <w:r w:rsidRPr="00165541">
              <w:rPr>
                <w:rFonts w:asciiTheme="minorBidi" w:hAnsiTheme="minorBidi"/>
                <w:b/>
                <w:sz w:val="20"/>
                <w:lang w:val="pt-PT"/>
              </w:rPr>
              <w:t>Iepé - Instituto de Pesquisa e Formação Indígena</w:t>
            </w:r>
            <w:r w:rsidRPr="00165541">
              <w:rPr>
                <w:rFonts w:asciiTheme="minorBidi" w:hAnsiTheme="minorBidi"/>
                <w:sz w:val="20"/>
                <w:lang w:val="pt-PT"/>
              </w:rPr>
              <w:br/>
              <w:t>Iepé - Indigenous Research and Training Institute</w:t>
            </w:r>
          </w:p>
        </w:tc>
        <w:tc>
          <w:tcPr>
            <w:tcW w:w="1010" w:type="pct"/>
            <w:shd w:val="clear" w:color="auto" w:fill="DEEAF6" w:themeFill="accent1" w:themeFillTint="33"/>
            <w:vAlign w:val="center"/>
          </w:tcPr>
          <w:p w14:paraId="24480D54"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Brasil</w:t>
            </w:r>
          </w:p>
        </w:tc>
        <w:tc>
          <w:tcPr>
            <w:tcW w:w="842" w:type="pct"/>
            <w:shd w:val="clear" w:color="auto" w:fill="DEEAF6" w:themeFill="accent1" w:themeFillTint="33"/>
            <w:vAlign w:val="center"/>
          </w:tcPr>
          <w:p w14:paraId="7B342169"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NGO-90584</w:t>
            </w:r>
          </w:p>
        </w:tc>
      </w:tr>
      <w:tr w:rsidR="00EA2C1A" w:rsidRPr="000D358B" w14:paraId="77875E3D" w14:textId="77777777" w:rsidTr="006D5FD6">
        <w:trPr>
          <w:trHeight w:val="576"/>
        </w:trPr>
        <w:tc>
          <w:tcPr>
            <w:tcW w:w="3148" w:type="pct"/>
            <w:vAlign w:val="center"/>
          </w:tcPr>
          <w:p w14:paraId="0D0E5BEB" w14:textId="77777777" w:rsidR="00EA2C1A" w:rsidRPr="00165541" w:rsidRDefault="00EA2C1A" w:rsidP="006D5FD6">
            <w:pPr>
              <w:contextualSpacing/>
              <w:rPr>
                <w:rFonts w:asciiTheme="minorBidi" w:hAnsiTheme="minorBidi" w:cstheme="minorBidi"/>
                <w:b/>
                <w:bCs/>
                <w:sz w:val="20"/>
                <w:szCs w:val="20"/>
                <w:lang w:val="en-US"/>
              </w:rPr>
            </w:pPr>
            <w:proofErr w:type="spellStart"/>
            <w:r w:rsidRPr="00165541">
              <w:rPr>
                <w:rFonts w:asciiTheme="minorBidi" w:hAnsiTheme="minorBidi"/>
                <w:b/>
                <w:sz w:val="20"/>
                <w:lang w:val="en-US"/>
              </w:rPr>
              <w:t>Kadın</w:t>
            </w:r>
            <w:proofErr w:type="spellEnd"/>
            <w:r w:rsidRPr="00165541">
              <w:rPr>
                <w:rFonts w:asciiTheme="minorBidi" w:hAnsiTheme="minorBidi"/>
                <w:b/>
                <w:sz w:val="20"/>
                <w:lang w:val="en-US"/>
              </w:rPr>
              <w:t xml:space="preserve"> </w:t>
            </w:r>
            <w:proofErr w:type="spellStart"/>
            <w:r w:rsidRPr="00165541">
              <w:rPr>
                <w:rFonts w:asciiTheme="minorBidi" w:hAnsiTheme="minorBidi"/>
                <w:b/>
                <w:sz w:val="20"/>
                <w:lang w:val="en-US"/>
              </w:rPr>
              <w:t>ve</w:t>
            </w:r>
            <w:proofErr w:type="spellEnd"/>
            <w:r w:rsidRPr="00165541">
              <w:rPr>
                <w:rFonts w:asciiTheme="minorBidi" w:hAnsiTheme="minorBidi"/>
                <w:b/>
                <w:sz w:val="20"/>
                <w:lang w:val="en-US"/>
              </w:rPr>
              <w:t xml:space="preserve"> </w:t>
            </w:r>
            <w:proofErr w:type="spellStart"/>
            <w:r w:rsidRPr="00165541">
              <w:rPr>
                <w:rFonts w:asciiTheme="minorBidi" w:hAnsiTheme="minorBidi"/>
                <w:b/>
                <w:sz w:val="20"/>
                <w:lang w:val="en-US"/>
              </w:rPr>
              <w:t>Demokrasi</w:t>
            </w:r>
            <w:proofErr w:type="spellEnd"/>
            <w:r w:rsidRPr="00165541">
              <w:rPr>
                <w:rFonts w:asciiTheme="minorBidi" w:hAnsiTheme="minorBidi"/>
                <w:b/>
                <w:sz w:val="20"/>
                <w:lang w:val="en-US"/>
              </w:rPr>
              <w:t xml:space="preserve"> </w:t>
            </w:r>
            <w:proofErr w:type="spellStart"/>
            <w:r w:rsidRPr="00165541">
              <w:rPr>
                <w:rFonts w:asciiTheme="minorBidi" w:hAnsiTheme="minorBidi"/>
                <w:b/>
                <w:sz w:val="20"/>
                <w:lang w:val="en-US"/>
              </w:rPr>
              <w:t>Vakfı</w:t>
            </w:r>
            <w:proofErr w:type="spellEnd"/>
            <w:r w:rsidRPr="00165541">
              <w:rPr>
                <w:rFonts w:asciiTheme="minorBidi" w:hAnsiTheme="minorBidi"/>
                <w:b/>
                <w:sz w:val="20"/>
                <w:lang w:val="en-US"/>
              </w:rPr>
              <w:t xml:space="preserve"> (KADEM)</w:t>
            </w:r>
            <w:r w:rsidRPr="00165541">
              <w:rPr>
                <w:rFonts w:asciiTheme="minorBidi" w:hAnsiTheme="minorBidi"/>
                <w:sz w:val="20"/>
                <w:lang w:val="en-US"/>
              </w:rPr>
              <w:br/>
              <w:t>Women and Democracy Foundation (KADEM)</w:t>
            </w:r>
          </w:p>
        </w:tc>
        <w:tc>
          <w:tcPr>
            <w:tcW w:w="1010" w:type="pct"/>
            <w:vAlign w:val="center"/>
          </w:tcPr>
          <w:p w14:paraId="7AE8ECE2"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Türkiye</w:t>
            </w:r>
          </w:p>
        </w:tc>
        <w:tc>
          <w:tcPr>
            <w:tcW w:w="842" w:type="pct"/>
            <w:vAlign w:val="center"/>
          </w:tcPr>
          <w:p w14:paraId="54D481E0"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NGO-90557</w:t>
            </w:r>
          </w:p>
        </w:tc>
      </w:tr>
      <w:tr w:rsidR="00EA2C1A" w:rsidRPr="000D358B" w14:paraId="0AEBBB17" w14:textId="77777777" w:rsidTr="00886F82">
        <w:trPr>
          <w:trHeight w:val="576"/>
        </w:trPr>
        <w:tc>
          <w:tcPr>
            <w:tcW w:w="3148" w:type="pct"/>
            <w:shd w:val="clear" w:color="auto" w:fill="DEEAF6" w:themeFill="accent1" w:themeFillTint="33"/>
            <w:vAlign w:val="center"/>
          </w:tcPr>
          <w:p w14:paraId="1F3751A2" w14:textId="01A229F2"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Kulturno</w:t>
            </w:r>
            <w:proofErr w:type="spellEnd"/>
            <w:r>
              <w:rPr>
                <w:rFonts w:asciiTheme="minorBidi" w:hAnsiTheme="minorBidi"/>
                <w:b/>
                <w:sz w:val="20"/>
              </w:rPr>
              <w:t xml:space="preserve"> </w:t>
            </w:r>
            <w:proofErr w:type="spellStart"/>
            <w:r>
              <w:rPr>
                <w:rFonts w:asciiTheme="minorBidi" w:hAnsiTheme="minorBidi"/>
                <w:b/>
                <w:sz w:val="20"/>
              </w:rPr>
              <w:t>Umjetničko</w:t>
            </w:r>
            <w:proofErr w:type="spellEnd"/>
            <w:r>
              <w:rPr>
                <w:rFonts w:asciiTheme="minorBidi" w:hAnsiTheme="minorBidi"/>
                <w:b/>
                <w:sz w:val="20"/>
              </w:rPr>
              <w:t xml:space="preserve"> </w:t>
            </w:r>
            <w:proofErr w:type="spellStart"/>
            <w:r>
              <w:rPr>
                <w:rFonts w:asciiTheme="minorBidi" w:hAnsiTheme="minorBidi"/>
                <w:b/>
                <w:sz w:val="20"/>
              </w:rPr>
              <w:t>Društvo</w:t>
            </w:r>
            <w:proofErr w:type="spellEnd"/>
            <w:r>
              <w:rPr>
                <w:rFonts w:asciiTheme="minorBidi" w:hAnsiTheme="minorBidi"/>
                <w:b/>
                <w:sz w:val="20"/>
              </w:rPr>
              <w:t xml:space="preserve"> ‘</w:t>
            </w:r>
            <w:proofErr w:type="spellStart"/>
            <w:r>
              <w:rPr>
                <w:rFonts w:asciiTheme="minorBidi" w:hAnsiTheme="minorBidi"/>
                <w:b/>
                <w:sz w:val="20"/>
              </w:rPr>
              <w:t>Puračić</w:t>
            </w:r>
            <w:proofErr w:type="spellEnd"/>
            <w:r>
              <w:rPr>
                <w:rFonts w:asciiTheme="minorBidi" w:hAnsiTheme="minorBidi"/>
                <w:b/>
                <w:sz w:val="20"/>
              </w:rPr>
              <w:t>’</w:t>
            </w:r>
            <w:r>
              <w:rPr>
                <w:rFonts w:asciiTheme="minorBidi" w:hAnsiTheme="minorBidi"/>
                <w:sz w:val="20"/>
              </w:rPr>
              <w:br/>
              <w:t xml:space="preserve">Cultural </w:t>
            </w:r>
            <w:proofErr w:type="spellStart"/>
            <w:r>
              <w:rPr>
                <w:rFonts w:asciiTheme="minorBidi" w:hAnsiTheme="minorBidi"/>
                <w:sz w:val="20"/>
              </w:rPr>
              <w:t>Artistic</w:t>
            </w:r>
            <w:proofErr w:type="spellEnd"/>
            <w:r>
              <w:rPr>
                <w:rFonts w:asciiTheme="minorBidi" w:hAnsiTheme="minorBidi"/>
                <w:sz w:val="20"/>
              </w:rPr>
              <w:t xml:space="preserve"> Association ‘</w:t>
            </w:r>
            <w:proofErr w:type="spellStart"/>
            <w:r>
              <w:rPr>
                <w:rFonts w:asciiTheme="minorBidi" w:hAnsiTheme="minorBidi"/>
                <w:sz w:val="20"/>
              </w:rPr>
              <w:t>Puračić</w:t>
            </w:r>
            <w:proofErr w:type="spellEnd"/>
            <w:r w:rsidR="00B60DE2" w:rsidRPr="001E596D">
              <w:rPr>
                <w:rFonts w:asciiTheme="minorBidi" w:hAnsiTheme="minorBidi"/>
                <w:bCs/>
                <w:sz w:val="20"/>
              </w:rPr>
              <w:t>’</w:t>
            </w:r>
            <w:r>
              <w:rPr>
                <w:rFonts w:asciiTheme="minorBidi" w:hAnsiTheme="minorBidi"/>
                <w:sz w:val="20"/>
              </w:rPr>
              <w:t> </w:t>
            </w:r>
          </w:p>
        </w:tc>
        <w:tc>
          <w:tcPr>
            <w:tcW w:w="1010" w:type="pct"/>
            <w:shd w:val="clear" w:color="auto" w:fill="DEEAF6" w:themeFill="accent1" w:themeFillTint="33"/>
            <w:vAlign w:val="center"/>
          </w:tcPr>
          <w:p w14:paraId="284376E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Bosnia y Herzegovina</w:t>
            </w:r>
          </w:p>
        </w:tc>
        <w:tc>
          <w:tcPr>
            <w:tcW w:w="842" w:type="pct"/>
            <w:shd w:val="clear" w:color="auto" w:fill="DEEAF6" w:themeFill="accent1" w:themeFillTint="33"/>
            <w:vAlign w:val="center"/>
          </w:tcPr>
          <w:p w14:paraId="3F35B84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NGO-90541</w:t>
            </w:r>
          </w:p>
        </w:tc>
      </w:tr>
      <w:tr w:rsidR="00EA2C1A" w:rsidRPr="000D358B" w14:paraId="7DDC7FB9" w14:textId="77777777" w:rsidTr="00886F82">
        <w:trPr>
          <w:trHeight w:val="576"/>
        </w:trPr>
        <w:tc>
          <w:tcPr>
            <w:tcW w:w="3148" w:type="pct"/>
            <w:vAlign w:val="center"/>
          </w:tcPr>
          <w:p w14:paraId="10750A6B" w14:textId="77777777" w:rsidR="00EA2C1A" w:rsidRPr="000D2922" w:rsidRDefault="00EA2C1A" w:rsidP="006D5FD6">
            <w:pPr>
              <w:contextualSpacing/>
              <w:rPr>
                <w:rFonts w:asciiTheme="minorBidi" w:hAnsiTheme="minorBidi" w:cstheme="minorBidi"/>
                <w:b/>
                <w:bCs/>
                <w:sz w:val="20"/>
                <w:szCs w:val="20"/>
              </w:rPr>
            </w:pPr>
            <w:proofErr w:type="spellStart"/>
            <w:r>
              <w:rPr>
                <w:rFonts w:asciiTheme="minorBidi" w:hAnsiTheme="minorBidi"/>
                <w:b/>
                <w:sz w:val="20"/>
              </w:rPr>
              <w:t>L’Œuvre</w:t>
            </w:r>
            <w:proofErr w:type="spellEnd"/>
            <w:r>
              <w:rPr>
                <w:rFonts w:asciiTheme="minorBidi" w:hAnsiTheme="minorBidi"/>
                <w:b/>
                <w:sz w:val="20"/>
              </w:rPr>
              <w:t xml:space="preserve"> </w:t>
            </w:r>
            <w:proofErr w:type="spellStart"/>
            <w:r>
              <w:rPr>
                <w:rFonts w:asciiTheme="minorBidi" w:hAnsiTheme="minorBidi"/>
                <w:b/>
                <w:sz w:val="20"/>
              </w:rPr>
              <w:t>d’Orient</w:t>
            </w:r>
            <w:proofErr w:type="spellEnd"/>
          </w:p>
        </w:tc>
        <w:tc>
          <w:tcPr>
            <w:tcW w:w="1010" w:type="pct"/>
            <w:vAlign w:val="center"/>
          </w:tcPr>
          <w:p w14:paraId="751D7306"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Francia</w:t>
            </w:r>
          </w:p>
        </w:tc>
        <w:tc>
          <w:tcPr>
            <w:tcW w:w="842" w:type="pct"/>
            <w:vAlign w:val="center"/>
          </w:tcPr>
          <w:p w14:paraId="05D2AA50"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NGO-90548</w:t>
            </w:r>
          </w:p>
        </w:tc>
      </w:tr>
      <w:tr w:rsidR="00EA2C1A" w:rsidRPr="000D358B" w14:paraId="04C43C17" w14:textId="77777777" w:rsidTr="00886F82">
        <w:trPr>
          <w:trHeight w:val="576"/>
        </w:trPr>
        <w:tc>
          <w:tcPr>
            <w:tcW w:w="3148" w:type="pct"/>
            <w:shd w:val="clear" w:color="auto" w:fill="DEEAF6" w:themeFill="accent1" w:themeFillTint="33"/>
            <w:vAlign w:val="center"/>
          </w:tcPr>
          <w:p w14:paraId="0F1CD30C" w14:textId="77777777" w:rsidR="00EA2C1A" w:rsidRPr="00165541" w:rsidRDefault="00EA2C1A" w:rsidP="006D5FD6">
            <w:pPr>
              <w:contextualSpacing/>
              <w:rPr>
                <w:rFonts w:asciiTheme="minorBidi" w:hAnsiTheme="minorBidi" w:cstheme="minorBidi"/>
                <w:b/>
                <w:bCs/>
                <w:sz w:val="20"/>
                <w:szCs w:val="20"/>
                <w:lang w:val="fr-FR"/>
              </w:rPr>
            </w:pPr>
            <w:r w:rsidRPr="00165541">
              <w:rPr>
                <w:rFonts w:asciiTheme="minorBidi" w:hAnsiTheme="minorBidi"/>
                <w:b/>
                <w:sz w:val="20"/>
                <w:lang w:val="fr-FR"/>
              </w:rPr>
              <w:t>Office pour le Patrimoine Immatériel - OPCI-</w:t>
            </w:r>
            <w:proofErr w:type="spellStart"/>
            <w:r w:rsidRPr="00165541">
              <w:rPr>
                <w:rFonts w:asciiTheme="minorBidi" w:hAnsiTheme="minorBidi"/>
                <w:b/>
                <w:sz w:val="20"/>
                <w:lang w:val="fr-FR"/>
              </w:rPr>
              <w:t>Ethnodoc</w:t>
            </w:r>
            <w:proofErr w:type="spellEnd"/>
          </w:p>
        </w:tc>
        <w:tc>
          <w:tcPr>
            <w:tcW w:w="1010" w:type="pct"/>
            <w:shd w:val="clear" w:color="auto" w:fill="DEEAF6" w:themeFill="accent1" w:themeFillTint="33"/>
            <w:vAlign w:val="center"/>
          </w:tcPr>
          <w:p w14:paraId="5FD92A21"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Francia</w:t>
            </w:r>
          </w:p>
        </w:tc>
        <w:tc>
          <w:tcPr>
            <w:tcW w:w="842" w:type="pct"/>
            <w:shd w:val="clear" w:color="auto" w:fill="DEEAF6" w:themeFill="accent1" w:themeFillTint="33"/>
            <w:vAlign w:val="center"/>
          </w:tcPr>
          <w:p w14:paraId="29322BBA"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NGO-90536</w:t>
            </w:r>
          </w:p>
        </w:tc>
      </w:tr>
      <w:tr w:rsidR="00EA2C1A" w:rsidRPr="000D358B" w14:paraId="545799CF" w14:textId="77777777" w:rsidTr="00886F82">
        <w:trPr>
          <w:trHeight w:val="576"/>
        </w:trPr>
        <w:tc>
          <w:tcPr>
            <w:tcW w:w="3148" w:type="pct"/>
            <w:vAlign w:val="center"/>
          </w:tcPr>
          <w:p w14:paraId="7741F6B3" w14:textId="77777777" w:rsidR="00EA2C1A" w:rsidRPr="00165541" w:rsidRDefault="00EA2C1A" w:rsidP="006D5FD6">
            <w:pPr>
              <w:contextualSpacing/>
              <w:rPr>
                <w:rFonts w:asciiTheme="minorBidi" w:hAnsiTheme="minorBidi" w:cstheme="minorBidi"/>
                <w:b/>
                <w:bCs/>
                <w:sz w:val="20"/>
                <w:szCs w:val="20"/>
                <w:lang w:val="pt-PT"/>
              </w:rPr>
            </w:pPr>
            <w:r w:rsidRPr="00165541">
              <w:rPr>
                <w:rFonts w:asciiTheme="minorBidi" w:hAnsiTheme="minorBidi"/>
                <w:b/>
                <w:sz w:val="20"/>
                <w:lang w:val="pt-PT"/>
              </w:rPr>
              <w:t>Operação Amazônia Nativa (OPAN)</w:t>
            </w:r>
            <w:r w:rsidRPr="00165541">
              <w:rPr>
                <w:rFonts w:asciiTheme="minorBidi" w:hAnsiTheme="minorBidi"/>
                <w:sz w:val="20"/>
                <w:lang w:val="pt-PT"/>
              </w:rPr>
              <w:br/>
              <w:t>Operation Amazon Native (OPAN)</w:t>
            </w:r>
          </w:p>
        </w:tc>
        <w:tc>
          <w:tcPr>
            <w:tcW w:w="1010" w:type="pct"/>
            <w:vAlign w:val="center"/>
          </w:tcPr>
          <w:p w14:paraId="38A221A5"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Brasil</w:t>
            </w:r>
          </w:p>
        </w:tc>
        <w:tc>
          <w:tcPr>
            <w:tcW w:w="842" w:type="pct"/>
            <w:vAlign w:val="center"/>
          </w:tcPr>
          <w:p w14:paraId="3EF19115" w14:textId="77777777" w:rsidR="00EA2C1A" w:rsidRPr="000D2922" w:rsidRDefault="00EA2C1A" w:rsidP="00EA2C1A">
            <w:pPr>
              <w:contextualSpacing/>
              <w:jc w:val="center"/>
              <w:rPr>
                <w:rFonts w:asciiTheme="minorBidi" w:hAnsiTheme="minorBidi" w:cstheme="minorBidi"/>
                <w:sz w:val="20"/>
                <w:szCs w:val="20"/>
              </w:rPr>
            </w:pPr>
            <w:r>
              <w:rPr>
                <w:rFonts w:asciiTheme="minorBidi" w:hAnsiTheme="minorBidi"/>
                <w:sz w:val="20"/>
              </w:rPr>
              <w:t>NGO-90559</w:t>
            </w:r>
          </w:p>
        </w:tc>
      </w:tr>
      <w:tr w:rsidR="00886F82" w:rsidRPr="000D358B" w14:paraId="66E7C3C7" w14:textId="77777777" w:rsidTr="00886F82">
        <w:trPr>
          <w:trHeight w:val="615"/>
        </w:trPr>
        <w:tc>
          <w:tcPr>
            <w:tcW w:w="3148" w:type="pct"/>
            <w:shd w:val="clear" w:color="auto" w:fill="DEEAF6" w:themeFill="accent1" w:themeFillTint="33"/>
            <w:vAlign w:val="center"/>
          </w:tcPr>
          <w:p w14:paraId="3CC1A317" w14:textId="131A846F" w:rsidR="00886F82" w:rsidRPr="000518B3" w:rsidRDefault="00886F82" w:rsidP="00886F82">
            <w:pPr>
              <w:contextualSpacing/>
              <w:rPr>
                <w:rFonts w:asciiTheme="minorBidi" w:hAnsiTheme="minorBidi" w:cstheme="minorBidi"/>
                <w:b/>
                <w:bCs/>
                <w:sz w:val="20"/>
                <w:szCs w:val="20"/>
                <w:lang w:val="en-US"/>
              </w:rPr>
            </w:pPr>
            <w:r w:rsidRPr="00165541">
              <w:rPr>
                <w:rFonts w:asciiTheme="minorBidi" w:hAnsiTheme="minorBidi"/>
                <w:b/>
                <w:sz w:val="20"/>
                <w:lang w:val="it-IT"/>
              </w:rPr>
              <w:t>O.R.S. Osservatorio Ricerca Sociale. Centro studi, politiche e ricerche sociali - APS</w:t>
            </w:r>
            <w:r w:rsidRPr="00165541">
              <w:rPr>
                <w:rFonts w:asciiTheme="minorBidi" w:hAnsiTheme="minorBidi"/>
                <w:b/>
                <w:sz w:val="20"/>
                <w:lang w:val="it-IT"/>
              </w:rPr>
              <w:br/>
            </w:r>
            <w:r w:rsidRPr="00165541">
              <w:rPr>
                <w:rFonts w:asciiTheme="minorBidi" w:hAnsiTheme="minorBidi"/>
                <w:sz w:val="20"/>
                <w:lang w:val="it-IT"/>
              </w:rPr>
              <w:t xml:space="preserve">O.R.S. Social Research Observatory. </w:t>
            </w:r>
            <w:r w:rsidRPr="006B48C9">
              <w:rPr>
                <w:rFonts w:asciiTheme="minorBidi" w:hAnsiTheme="minorBidi"/>
                <w:sz w:val="20"/>
                <w:lang w:val="en-US"/>
              </w:rPr>
              <w:t xml:space="preserve">Centre studies, policies and social </w:t>
            </w:r>
            <w:proofErr w:type="gramStart"/>
            <w:r w:rsidRPr="006B48C9">
              <w:rPr>
                <w:rFonts w:asciiTheme="minorBidi" w:hAnsiTheme="minorBidi"/>
                <w:sz w:val="20"/>
                <w:lang w:val="en-US"/>
              </w:rPr>
              <w:t>researches</w:t>
            </w:r>
            <w:proofErr w:type="gramEnd"/>
            <w:r w:rsidRPr="006B48C9">
              <w:rPr>
                <w:rFonts w:asciiTheme="minorBidi" w:hAnsiTheme="minorBidi"/>
                <w:sz w:val="20"/>
                <w:lang w:val="en-US"/>
              </w:rPr>
              <w:t xml:space="preserve"> - APS</w:t>
            </w:r>
          </w:p>
        </w:tc>
        <w:tc>
          <w:tcPr>
            <w:tcW w:w="1010" w:type="pct"/>
            <w:shd w:val="clear" w:color="auto" w:fill="DEEAF6" w:themeFill="accent1" w:themeFillTint="33"/>
            <w:vAlign w:val="center"/>
          </w:tcPr>
          <w:p w14:paraId="6B9A7C00" w14:textId="7B57423B"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Italia</w:t>
            </w:r>
          </w:p>
        </w:tc>
        <w:tc>
          <w:tcPr>
            <w:tcW w:w="842" w:type="pct"/>
            <w:shd w:val="clear" w:color="auto" w:fill="DEEAF6" w:themeFill="accent1" w:themeFillTint="33"/>
            <w:vAlign w:val="center"/>
          </w:tcPr>
          <w:p w14:paraId="2093F341" w14:textId="5D94BC34"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NGO-90539</w:t>
            </w:r>
          </w:p>
        </w:tc>
      </w:tr>
      <w:tr w:rsidR="00886F82" w:rsidRPr="000D358B" w14:paraId="5ADAE9C9" w14:textId="77777777" w:rsidTr="00A502CC">
        <w:trPr>
          <w:trHeight w:val="615"/>
        </w:trPr>
        <w:tc>
          <w:tcPr>
            <w:tcW w:w="3148" w:type="pct"/>
            <w:shd w:val="clear" w:color="auto" w:fill="auto"/>
            <w:vAlign w:val="center"/>
          </w:tcPr>
          <w:p w14:paraId="3FB48978" w14:textId="77777777" w:rsidR="00886F82" w:rsidRPr="00165541" w:rsidRDefault="00886F82" w:rsidP="00886F82">
            <w:pPr>
              <w:contextualSpacing/>
              <w:rPr>
                <w:rFonts w:asciiTheme="minorBidi" w:hAnsiTheme="minorBidi" w:cstheme="minorBidi"/>
                <w:b/>
                <w:bCs/>
                <w:sz w:val="20"/>
                <w:szCs w:val="20"/>
                <w:lang w:val="en-US"/>
              </w:rPr>
            </w:pPr>
            <w:r w:rsidRPr="00165541">
              <w:rPr>
                <w:rFonts w:asciiTheme="minorBidi" w:hAnsiTheme="minorBidi"/>
                <w:b/>
                <w:sz w:val="20"/>
                <w:lang w:val="en-US"/>
              </w:rPr>
              <w:t>International Bobbin and Needle Lace Organisation</w:t>
            </w:r>
          </w:p>
        </w:tc>
        <w:tc>
          <w:tcPr>
            <w:tcW w:w="1010" w:type="pct"/>
            <w:shd w:val="clear" w:color="auto" w:fill="auto"/>
            <w:vAlign w:val="center"/>
          </w:tcPr>
          <w:p w14:paraId="0C0A9052"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Francia</w:t>
            </w:r>
          </w:p>
        </w:tc>
        <w:tc>
          <w:tcPr>
            <w:tcW w:w="842" w:type="pct"/>
            <w:shd w:val="clear" w:color="auto" w:fill="auto"/>
            <w:vAlign w:val="center"/>
          </w:tcPr>
          <w:p w14:paraId="0C4F5775"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NGO-90585</w:t>
            </w:r>
          </w:p>
        </w:tc>
      </w:tr>
      <w:tr w:rsidR="00886F82" w:rsidRPr="000D358B" w14:paraId="3E0FF83C" w14:textId="77777777" w:rsidTr="00A502CC">
        <w:trPr>
          <w:trHeight w:val="576"/>
        </w:trPr>
        <w:tc>
          <w:tcPr>
            <w:tcW w:w="3148" w:type="pct"/>
            <w:shd w:val="clear" w:color="auto" w:fill="DEEAF6" w:themeFill="accent1" w:themeFillTint="33"/>
            <w:vAlign w:val="center"/>
          </w:tcPr>
          <w:p w14:paraId="1B47AC66" w14:textId="77777777" w:rsidR="00886F82" w:rsidRPr="000D2922" w:rsidRDefault="00886F82" w:rsidP="00886F82">
            <w:pPr>
              <w:contextualSpacing/>
              <w:rPr>
                <w:rFonts w:asciiTheme="minorBidi" w:hAnsiTheme="minorBidi" w:cstheme="minorBidi"/>
                <w:b/>
                <w:bCs/>
                <w:sz w:val="20"/>
                <w:szCs w:val="20"/>
              </w:rPr>
            </w:pPr>
            <w:r>
              <w:rPr>
                <w:rFonts w:asciiTheme="minorBidi" w:hAnsiTheme="minorBidi"/>
                <w:b/>
                <w:sz w:val="20"/>
              </w:rPr>
              <w:t xml:space="preserve">Pearl </w:t>
            </w:r>
            <w:proofErr w:type="spellStart"/>
            <w:r>
              <w:rPr>
                <w:rFonts w:asciiTheme="minorBidi" w:hAnsiTheme="minorBidi"/>
                <w:b/>
                <w:sz w:val="20"/>
              </w:rPr>
              <w:t>Rhythm</w:t>
            </w:r>
            <w:proofErr w:type="spellEnd"/>
            <w:r>
              <w:rPr>
                <w:rFonts w:asciiTheme="minorBidi" w:hAnsiTheme="minorBidi"/>
                <w:b/>
                <w:sz w:val="20"/>
              </w:rPr>
              <w:t xml:space="preserve"> </w:t>
            </w:r>
            <w:proofErr w:type="spellStart"/>
            <w:r>
              <w:rPr>
                <w:rFonts w:asciiTheme="minorBidi" w:hAnsiTheme="minorBidi"/>
                <w:b/>
                <w:sz w:val="20"/>
              </w:rPr>
              <w:t>Foundation</w:t>
            </w:r>
            <w:proofErr w:type="spellEnd"/>
          </w:p>
        </w:tc>
        <w:tc>
          <w:tcPr>
            <w:tcW w:w="1010" w:type="pct"/>
            <w:shd w:val="clear" w:color="auto" w:fill="DEEAF6" w:themeFill="accent1" w:themeFillTint="33"/>
            <w:vAlign w:val="center"/>
          </w:tcPr>
          <w:p w14:paraId="27AD7982"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Uganda</w:t>
            </w:r>
          </w:p>
        </w:tc>
        <w:tc>
          <w:tcPr>
            <w:tcW w:w="842" w:type="pct"/>
            <w:shd w:val="clear" w:color="auto" w:fill="DEEAF6" w:themeFill="accent1" w:themeFillTint="33"/>
            <w:vAlign w:val="center"/>
          </w:tcPr>
          <w:p w14:paraId="451B2966"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NGO-90578</w:t>
            </w:r>
          </w:p>
        </w:tc>
      </w:tr>
      <w:tr w:rsidR="00886F82" w:rsidRPr="000D358B" w14:paraId="7F28D08F" w14:textId="77777777" w:rsidTr="00A502CC">
        <w:trPr>
          <w:trHeight w:val="576"/>
        </w:trPr>
        <w:tc>
          <w:tcPr>
            <w:tcW w:w="3148" w:type="pct"/>
            <w:shd w:val="clear" w:color="auto" w:fill="auto"/>
            <w:vAlign w:val="center"/>
          </w:tcPr>
          <w:p w14:paraId="05B2E8E5" w14:textId="77777777" w:rsidR="00886F82" w:rsidRPr="003845D4"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Persatuan</w:t>
            </w:r>
            <w:proofErr w:type="spellEnd"/>
            <w:r>
              <w:rPr>
                <w:rFonts w:asciiTheme="minorBidi" w:hAnsiTheme="minorBidi"/>
                <w:b/>
                <w:sz w:val="20"/>
              </w:rPr>
              <w:t xml:space="preserve"> </w:t>
            </w:r>
            <w:proofErr w:type="spellStart"/>
            <w:r>
              <w:rPr>
                <w:rFonts w:asciiTheme="minorBidi" w:hAnsiTheme="minorBidi"/>
                <w:b/>
                <w:sz w:val="20"/>
              </w:rPr>
              <w:t>Penulis</w:t>
            </w:r>
            <w:proofErr w:type="spellEnd"/>
            <w:r>
              <w:rPr>
                <w:rFonts w:asciiTheme="minorBidi" w:hAnsiTheme="minorBidi"/>
                <w:b/>
                <w:sz w:val="20"/>
              </w:rPr>
              <w:t xml:space="preserve"> </w:t>
            </w:r>
            <w:proofErr w:type="spellStart"/>
            <w:r>
              <w:rPr>
                <w:rFonts w:asciiTheme="minorBidi" w:hAnsiTheme="minorBidi"/>
                <w:b/>
                <w:sz w:val="20"/>
              </w:rPr>
              <w:t>Nasional</w:t>
            </w:r>
            <w:proofErr w:type="spellEnd"/>
            <w:r>
              <w:rPr>
                <w:rFonts w:asciiTheme="minorBidi" w:hAnsiTheme="minorBidi"/>
                <w:b/>
                <w:sz w:val="20"/>
              </w:rPr>
              <w:t xml:space="preserve"> Malaysia (PENA) </w:t>
            </w:r>
          </w:p>
          <w:p w14:paraId="3B9D5D87" w14:textId="77777777" w:rsidR="00886F82" w:rsidRPr="000D2922" w:rsidRDefault="00886F82" w:rsidP="00886F82">
            <w:pPr>
              <w:contextualSpacing/>
              <w:rPr>
                <w:rFonts w:asciiTheme="minorBidi" w:hAnsiTheme="minorBidi" w:cstheme="minorBidi"/>
                <w:sz w:val="20"/>
                <w:szCs w:val="20"/>
              </w:rPr>
            </w:pPr>
            <w:proofErr w:type="spellStart"/>
            <w:r>
              <w:rPr>
                <w:rFonts w:asciiTheme="minorBidi" w:hAnsiTheme="minorBidi"/>
                <w:sz w:val="20"/>
              </w:rPr>
              <w:t>Malaysian</w:t>
            </w:r>
            <w:proofErr w:type="spellEnd"/>
            <w:r>
              <w:rPr>
                <w:rFonts w:asciiTheme="minorBidi" w:hAnsiTheme="minorBidi"/>
                <w:sz w:val="20"/>
              </w:rPr>
              <w:t xml:space="preserve"> National </w:t>
            </w:r>
            <w:proofErr w:type="spellStart"/>
            <w:r>
              <w:rPr>
                <w:rFonts w:asciiTheme="minorBidi" w:hAnsiTheme="minorBidi"/>
                <w:sz w:val="20"/>
              </w:rPr>
              <w:t>Writers</w:t>
            </w:r>
            <w:proofErr w:type="spellEnd"/>
            <w:r>
              <w:rPr>
                <w:rFonts w:asciiTheme="minorBidi" w:hAnsiTheme="minorBidi"/>
                <w:sz w:val="20"/>
              </w:rPr>
              <w:t xml:space="preserve"> Association (PENA)</w:t>
            </w:r>
          </w:p>
        </w:tc>
        <w:tc>
          <w:tcPr>
            <w:tcW w:w="1010" w:type="pct"/>
            <w:shd w:val="clear" w:color="auto" w:fill="auto"/>
            <w:vAlign w:val="center"/>
          </w:tcPr>
          <w:p w14:paraId="1F19D0B2"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Malasia</w:t>
            </w:r>
          </w:p>
        </w:tc>
        <w:tc>
          <w:tcPr>
            <w:tcW w:w="842" w:type="pct"/>
            <w:shd w:val="clear" w:color="auto" w:fill="auto"/>
            <w:vAlign w:val="center"/>
          </w:tcPr>
          <w:p w14:paraId="3C680F89" w14:textId="77777777" w:rsidR="00886F82" w:rsidRPr="000D2922" w:rsidRDefault="00886F82" w:rsidP="00886F82">
            <w:pPr>
              <w:pStyle w:val="Titre9"/>
              <w:jc w:val="center"/>
              <w:rPr>
                <w:rFonts w:asciiTheme="minorBidi" w:hAnsiTheme="minorBidi" w:cstheme="minorBidi"/>
                <w:i w:val="0"/>
                <w:iCs w:val="0"/>
                <w:sz w:val="20"/>
                <w:szCs w:val="20"/>
              </w:rPr>
            </w:pPr>
            <w:r>
              <w:rPr>
                <w:rFonts w:asciiTheme="minorBidi" w:hAnsiTheme="minorBidi"/>
                <w:i w:val="0"/>
                <w:sz w:val="20"/>
              </w:rPr>
              <w:t>NGO-90587</w:t>
            </w:r>
          </w:p>
        </w:tc>
      </w:tr>
      <w:tr w:rsidR="00886F82" w:rsidRPr="000D358B" w14:paraId="79C73821" w14:textId="77777777" w:rsidTr="00A502CC">
        <w:trPr>
          <w:trHeight w:val="576"/>
        </w:trPr>
        <w:tc>
          <w:tcPr>
            <w:tcW w:w="3148" w:type="pct"/>
            <w:shd w:val="clear" w:color="auto" w:fill="DEEAF6" w:themeFill="accent1" w:themeFillTint="33"/>
            <w:vAlign w:val="center"/>
          </w:tcPr>
          <w:p w14:paraId="5BD5FD53" w14:textId="77777777" w:rsidR="00886F82" w:rsidRPr="00DA4FE3" w:rsidRDefault="00886F82" w:rsidP="00886F82">
            <w:pPr>
              <w:contextualSpacing/>
              <w:rPr>
                <w:rFonts w:asciiTheme="minorBidi" w:hAnsiTheme="minorBidi" w:cstheme="minorBidi"/>
                <w:sz w:val="20"/>
                <w:szCs w:val="20"/>
                <w:lang w:val="en-US"/>
              </w:rPr>
            </w:pPr>
            <w:proofErr w:type="spellStart"/>
            <w:r w:rsidRPr="00DA4FE3">
              <w:rPr>
                <w:rFonts w:asciiTheme="minorBidi" w:hAnsiTheme="minorBidi"/>
                <w:b/>
                <w:sz w:val="20"/>
                <w:lang w:val="en-US"/>
              </w:rPr>
              <w:t>Pertubuhan</w:t>
            </w:r>
            <w:proofErr w:type="spellEnd"/>
            <w:r w:rsidRPr="00DA4FE3">
              <w:rPr>
                <w:rFonts w:asciiTheme="minorBidi" w:hAnsiTheme="minorBidi"/>
                <w:b/>
                <w:sz w:val="20"/>
                <w:lang w:val="en-US"/>
              </w:rPr>
              <w:t xml:space="preserve"> Kraft Malaysia (</w:t>
            </w:r>
            <w:proofErr w:type="spellStart"/>
            <w:r w:rsidRPr="00DA4FE3">
              <w:rPr>
                <w:rFonts w:asciiTheme="minorBidi" w:hAnsiTheme="minorBidi"/>
                <w:b/>
                <w:sz w:val="20"/>
                <w:lang w:val="en-US"/>
              </w:rPr>
              <w:t>Dikenali</w:t>
            </w:r>
            <w:proofErr w:type="spellEnd"/>
            <w:r w:rsidRPr="00DA4FE3">
              <w:rPr>
                <w:rFonts w:asciiTheme="minorBidi" w:hAnsiTheme="minorBidi"/>
                <w:b/>
                <w:sz w:val="20"/>
                <w:lang w:val="en-US"/>
              </w:rPr>
              <w:t xml:space="preserve"> </w:t>
            </w:r>
            <w:proofErr w:type="spellStart"/>
            <w:r w:rsidRPr="00DA4FE3">
              <w:rPr>
                <w:rFonts w:asciiTheme="minorBidi" w:hAnsiTheme="minorBidi"/>
                <w:b/>
                <w:sz w:val="20"/>
                <w:lang w:val="en-US"/>
              </w:rPr>
              <w:t>Sebagai</w:t>
            </w:r>
            <w:proofErr w:type="spellEnd"/>
            <w:r w:rsidRPr="00DA4FE3">
              <w:rPr>
                <w:rFonts w:asciiTheme="minorBidi" w:hAnsiTheme="minorBidi"/>
                <w:b/>
                <w:sz w:val="20"/>
                <w:lang w:val="en-US"/>
              </w:rPr>
              <w:t xml:space="preserve"> Malaysian Craft Council)</w:t>
            </w:r>
            <w:r w:rsidRPr="00DA4FE3">
              <w:rPr>
                <w:rFonts w:asciiTheme="minorBidi" w:hAnsiTheme="minorBidi"/>
                <w:sz w:val="20"/>
                <w:lang w:val="en-US"/>
              </w:rPr>
              <w:br/>
              <w:t>Malaysian Craft Council</w:t>
            </w:r>
          </w:p>
        </w:tc>
        <w:tc>
          <w:tcPr>
            <w:tcW w:w="1010" w:type="pct"/>
            <w:shd w:val="clear" w:color="auto" w:fill="DEEAF6" w:themeFill="accent1" w:themeFillTint="33"/>
            <w:vAlign w:val="center"/>
          </w:tcPr>
          <w:p w14:paraId="3B645143"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Malasia</w:t>
            </w:r>
          </w:p>
        </w:tc>
        <w:tc>
          <w:tcPr>
            <w:tcW w:w="842" w:type="pct"/>
            <w:shd w:val="clear" w:color="auto" w:fill="DEEAF6" w:themeFill="accent1" w:themeFillTint="33"/>
            <w:vAlign w:val="center"/>
          </w:tcPr>
          <w:p w14:paraId="128E57B3"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NGO-90531</w:t>
            </w:r>
          </w:p>
        </w:tc>
      </w:tr>
      <w:tr w:rsidR="00886F82" w:rsidRPr="000D358B" w14:paraId="04BFA174" w14:textId="77777777" w:rsidTr="00A502CC">
        <w:trPr>
          <w:trHeight w:val="576"/>
        </w:trPr>
        <w:tc>
          <w:tcPr>
            <w:tcW w:w="3148" w:type="pct"/>
            <w:shd w:val="clear" w:color="auto" w:fill="auto"/>
            <w:vAlign w:val="center"/>
          </w:tcPr>
          <w:p w14:paraId="6AC13C7A" w14:textId="77777777" w:rsidR="00886F82" w:rsidRPr="00DA4FE3" w:rsidRDefault="00886F82" w:rsidP="00886F82">
            <w:pPr>
              <w:contextualSpacing/>
              <w:rPr>
                <w:rFonts w:asciiTheme="minorBidi" w:hAnsiTheme="minorBidi" w:cstheme="minorBidi"/>
                <w:sz w:val="20"/>
                <w:szCs w:val="20"/>
                <w:lang w:val="en-US"/>
              </w:rPr>
            </w:pPr>
            <w:r w:rsidRPr="00DA4FE3">
              <w:rPr>
                <w:rFonts w:asciiTheme="minorBidi" w:hAnsiTheme="minorBidi"/>
                <w:b/>
                <w:sz w:val="20"/>
                <w:lang w:val="en-US"/>
              </w:rPr>
              <w:t xml:space="preserve">Pusat </w:t>
            </w:r>
            <w:proofErr w:type="spellStart"/>
            <w:r w:rsidRPr="00DA4FE3">
              <w:rPr>
                <w:rFonts w:asciiTheme="minorBidi" w:hAnsiTheme="minorBidi"/>
                <w:b/>
                <w:sz w:val="20"/>
                <w:lang w:val="en-US"/>
              </w:rPr>
              <w:t>Budaya</w:t>
            </w:r>
            <w:proofErr w:type="spellEnd"/>
            <w:r w:rsidRPr="00DA4FE3">
              <w:rPr>
                <w:rFonts w:asciiTheme="minorBidi" w:hAnsiTheme="minorBidi"/>
                <w:b/>
                <w:sz w:val="20"/>
                <w:lang w:val="en-US"/>
              </w:rPr>
              <w:t xml:space="preserve"> Pusaka SDN. BHD</w:t>
            </w:r>
            <w:r w:rsidRPr="00DA4FE3">
              <w:rPr>
                <w:rFonts w:asciiTheme="minorBidi" w:hAnsiTheme="minorBidi"/>
                <w:sz w:val="20"/>
                <w:lang w:val="en-US"/>
              </w:rPr>
              <w:br/>
              <w:t>PUSAKA</w:t>
            </w:r>
          </w:p>
        </w:tc>
        <w:tc>
          <w:tcPr>
            <w:tcW w:w="1010" w:type="pct"/>
            <w:shd w:val="clear" w:color="auto" w:fill="auto"/>
            <w:vAlign w:val="center"/>
          </w:tcPr>
          <w:p w14:paraId="123A0324"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Malasia</w:t>
            </w:r>
          </w:p>
        </w:tc>
        <w:tc>
          <w:tcPr>
            <w:tcW w:w="842" w:type="pct"/>
            <w:shd w:val="clear" w:color="auto" w:fill="auto"/>
            <w:vAlign w:val="center"/>
          </w:tcPr>
          <w:p w14:paraId="5697485B" w14:textId="77777777" w:rsidR="00886F82" w:rsidRPr="000D2922" w:rsidRDefault="00886F82" w:rsidP="00886F82">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NGO-90532</w:t>
            </w:r>
          </w:p>
        </w:tc>
      </w:tr>
      <w:tr w:rsidR="00886F82" w:rsidRPr="000D358B" w14:paraId="0AFBC580" w14:textId="77777777" w:rsidTr="00A502CC">
        <w:trPr>
          <w:trHeight w:val="576"/>
        </w:trPr>
        <w:tc>
          <w:tcPr>
            <w:tcW w:w="3148" w:type="pct"/>
            <w:shd w:val="clear" w:color="auto" w:fill="DEEAF6" w:themeFill="accent1" w:themeFillTint="33"/>
            <w:vAlign w:val="center"/>
          </w:tcPr>
          <w:p w14:paraId="46A1A32D" w14:textId="77777777" w:rsidR="00886F82" w:rsidRPr="00165541" w:rsidRDefault="00886F82" w:rsidP="00886F82">
            <w:pPr>
              <w:contextualSpacing/>
              <w:rPr>
                <w:rFonts w:asciiTheme="minorBidi" w:hAnsiTheme="minorBidi" w:cstheme="minorBidi"/>
                <w:b/>
                <w:bCs/>
                <w:sz w:val="20"/>
                <w:szCs w:val="20"/>
                <w:lang w:val="en-US"/>
              </w:rPr>
            </w:pPr>
            <w:r w:rsidRPr="00165541">
              <w:rPr>
                <w:rFonts w:asciiTheme="minorBidi" w:hAnsiTheme="minorBidi"/>
                <w:b/>
                <w:sz w:val="20"/>
                <w:lang w:val="en-US"/>
              </w:rPr>
              <w:t>International Repertory of Music Literature</w:t>
            </w:r>
          </w:p>
        </w:tc>
        <w:tc>
          <w:tcPr>
            <w:tcW w:w="1010" w:type="pct"/>
            <w:shd w:val="clear" w:color="auto" w:fill="DEEAF6" w:themeFill="accent1" w:themeFillTint="33"/>
            <w:vAlign w:val="center"/>
          </w:tcPr>
          <w:p w14:paraId="41FDCC7D"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Estados Unidos de América</w:t>
            </w:r>
          </w:p>
        </w:tc>
        <w:tc>
          <w:tcPr>
            <w:tcW w:w="842" w:type="pct"/>
            <w:shd w:val="clear" w:color="auto" w:fill="DEEAF6" w:themeFill="accent1" w:themeFillTint="33"/>
            <w:vAlign w:val="center"/>
          </w:tcPr>
          <w:p w14:paraId="409ABAC4"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NGO-90527</w:t>
            </w:r>
          </w:p>
        </w:tc>
      </w:tr>
      <w:tr w:rsidR="00886F82" w:rsidRPr="000D358B" w14:paraId="6AFB1E3E" w14:textId="77777777" w:rsidTr="00A502CC">
        <w:trPr>
          <w:trHeight w:val="480"/>
        </w:trPr>
        <w:tc>
          <w:tcPr>
            <w:tcW w:w="3148" w:type="pct"/>
            <w:shd w:val="clear" w:color="auto" w:fill="auto"/>
            <w:vAlign w:val="center"/>
          </w:tcPr>
          <w:p w14:paraId="77D4803C"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Society</w:t>
            </w:r>
            <w:proofErr w:type="spellEnd"/>
            <w:r>
              <w:rPr>
                <w:rFonts w:asciiTheme="minorBidi" w:hAnsiTheme="minorBidi"/>
                <w:b/>
                <w:sz w:val="20"/>
              </w:rPr>
              <w:t xml:space="preserve"> of Native </w:t>
            </w:r>
            <w:proofErr w:type="spellStart"/>
            <w:r>
              <w:rPr>
                <w:rFonts w:asciiTheme="minorBidi" w:hAnsiTheme="minorBidi"/>
                <w:b/>
                <w:sz w:val="20"/>
              </w:rPr>
              <w:t>Nations</w:t>
            </w:r>
            <w:proofErr w:type="spellEnd"/>
          </w:p>
        </w:tc>
        <w:tc>
          <w:tcPr>
            <w:tcW w:w="1010" w:type="pct"/>
            <w:shd w:val="clear" w:color="auto" w:fill="auto"/>
            <w:vAlign w:val="center"/>
          </w:tcPr>
          <w:p w14:paraId="2E487B9A"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Estados Unidos de América</w:t>
            </w:r>
          </w:p>
        </w:tc>
        <w:tc>
          <w:tcPr>
            <w:tcW w:w="842" w:type="pct"/>
            <w:shd w:val="clear" w:color="auto" w:fill="auto"/>
            <w:vAlign w:val="center"/>
          </w:tcPr>
          <w:p w14:paraId="2DBA9BE3"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NGO-90596</w:t>
            </w:r>
          </w:p>
        </w:tc>
      </w:tr>
      <w:tr w:rsidR="00886F82" w:rsidRPr="000D358B" w14:paraId="615BFE19" w14:textId="77777777" w:rsidTr="00A502CC">
        <w:trPr>
          <w:trHeight w:val="576"/>
        </w:trPr>
        <w:tc>
          <w:tcPr>
            <w:tcW w:w="3148" w:type="pct"/>
            <w:shd w:val="clear" w:color="auto" w:fill="DEEAF6" w:themeFill="accent1" w:themeFillTint="33"/>
            <w:vAlign w:val="center"/>
          </w:tcPr>
          <w:p w14:paraId="3EC41501" w14:textId="77777777" w:rsidR="00886F82" w:rsidRPr="003845D4" w:rsidRDefault="00886F82" w:rsidP="00886F82">
            <w:pPr>
              <w:contextualSpacing/>
              <w:rPr>
                <w:rFonts w:asciiTheme="minorBidi" w:hAnsiTheme="minorBidi" w:cstheme="minorBidi"/>
                <w:b/>
                <w:bCs/>
                <w:sz w:val="20"/>
                <w:szCs w:val="20"/>
              </w:rPr>
            </w:pPr>
            <w:r>
              <w:rPr>
                <w:rFonts w:asciiTheme="minorBidi" w:hAnsiTheme="minorBidi"/>
                <w:b/>
                <w:sz w:val="20"/>
              </w:rPr>
              <w:t xml:space="preserve">Sri </w:t>
            </w:r>
            <w:proofErr w:type="spellStart"/>
            <w:r>
              <w:rPr>
                <w:rFonts w:asciiTheme="minorBidi" w:hAnsiTheme="minorBidi"/>
                <w:b/>
                <w:sz w:val="20"/>
              </w:rPr>
              <w:t>Idagunji</w:t>
            </w:r>
            <w:proofErr w:type="spellEnd"/>
            <w:r>
              <w:rPr>
                <w:rFonts w:asciiTheme="minorBidi" w:hAnsiTheme="minorBidi"/>
                <w:b/>
                <w:sz w:val="20"/>
              </w:rPr>
              <w:t xml:space="preserve"> </w:t>
            </w:r>
            <w:proofErr w:type="spellStart"/>
            <w:r>
              <w:rPr>
                <w:rFonts w:asciiTheme="minorBidi" w:hAnsiTheme="minorBidi"/>
                <w:b/>
                <w:sz w:val="20"/>
              </w:rPr>
              <w:t>Mahaganapati</w:t>
            </w:r>
            <w:proofErr w:type="spellEnd"/>
            <w:r>
              <w:rPr>
                <w:rFonts w:asciiTheme="minorBidi" w:hAnsiTheme="minorBidi"/>
                <w:b/>
                <w:sz w:val="20"/>
              </w:rPr>
              <w:t xml:space="preserve"> </w:t>
            </w:r>
            <w:proofErr w:type="spellStart"/>
            <w:r>
              <w:rPr>
                <w:rFonts w:asciiTheme="minorBidi" w:hAnsiTheme="minorBidi"/>
                <w:b/>
                <w:sz w:val="20"/>
              </w:rPr>
              <w:t>Yakshagana</w:t>
            </w:r>
            <w:proofErr w:type="spellEnd"/>
            <w:r>
              <w:rPr>
                <w:rFonts w:asciiTheme="minorBidi" w:hAnsiTheme="minorBidi"/>
                <w:b/>
                <w:sz w:val="20"/>
              </w:rPr>
              <w:t xml:space="preserve"> </w:t>
            </w:r>
            <w:proofErr w:type="spellStart"/>
            <w:r>
              <w:rPr>
                <w:rFonts w:asciiTheme="minorBidi" w:hAnsiTheme="minorBidi"/>
                <w:b/>
                <w:sz w:val="20"/>
              </w:rPr>
              <w:t>Mandali</w:t>
            </w:r>
            <w:proofErr w:type="spellEnd"/>
            <w:r>
              <w:rPr>
                <w:rFonts w:asciiTheme="minorBidi" w:hAnsiTheme="minorBidi"/>
                <w:b/>
                <w:sz w:val="20"/>
              </w:rPr>
              <w:t xml:space="preserve">, </w:t>
            </w:r>
            <w:proofErr w:type="spellStart"/>
            <w:r>
              <w:rPr>
                <w:rFonts w:asciiTheme="minorBidi" w:hAnsiTheme="minorBidi"/>
                <w:b/>
                <w:sz w:val="20"/>
              </w:rPr>
              <w:t>Keremane</w:t>
            </w:r>
            <w:proofErr w:type="spellEnd"/>
            <w:r>
              <w:rPr>
                <w:rFonts w:asciiTheme="minorBidi" w:hAnsiTheme="minorBidi"/>
                <w:b/>
                <w:sz w:val="20"/>
              </w:rPr>
              <w:t xml:space="preserve"> ®</w:t>
            </w:r>
          </w:p>
        </w:tc>
        <w:tc>
          <w:tcPr>
            <w:tcW w:w="1010" w:type="pct"/>
            <w:shd w:val="clear" w:color="auto" w:fill="DEEAF6" w:themeFill="accent1" w:themeFillTint="33"/>
            <w:vAlign w:val="center"/>
          </w:tcPr>
          <w:p w14:paraId="0366912C"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India</w:t>
            </w:r>
          </w:p>
        </w:tc>
        <w:tc>
          <w:tcPr>
            <w:tcW w:w="842" w:type="pct"/>
            <w:shd w:val="clear" w:color="auto" w:fill="DEEAF6" w:themeFill="accent1" w:themeFillTint="33"/>
            <w:vAlign w:val="center"/>
          </w:tcPr>
          <w:p w14:paraId="10DBF53E"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NGO-90568</w:t>
            </w:r>
          </w:p>
        </w:tc>
      </w:tr>
      <w:tr w:rsidR="00886F82" w:rsidRPr="000D358B" w14:paraId="307E6545" w14:textId="77777777" w:rsidTr="00A502CC">
        <w:trPr>
          <w:trHeight w:val="576"/>
        </w:trPr>
        <w:tc>
          <w:tcPr>
            <w:tcW w:w="3148" w:type="pct"/>
            <w:shd w:val="clear" w:color="auto" w:fill="auto"/>
            <w:vAlign w:val="center"/>
          </w:tcPr>
          <w:p w14:paraId="212FF63A" w14:textId="77777777" w:rsidR="00886F82" w:rsidRPr="00DA4FE3" w:rsidRDefault="00886F82" w:rsidP="00886F82">
            <w:pPr>
              <w:contextualSpacing/>
              <w:rPr>
                <w:rFonts w:asciiTheme="minorBidi" w:hAnsiTheme="minorBidi" w:cstheme="minorBidi"/>
                <w:b/>
                <w:bCs/>
                <w:sz w:val="20"/>
                <w:szCs w:val="20"/>
                <w:lang w:val="en-US"/>
              </w:rPr>
            </w:pPr>
            <w:r w:rsidRPr="00DA4FE3">
              <w:rPr>
                <w:rFonts w:asciiTheme="minorBidi" w:hAnsiTheme="minorBidi"/>
                <w:b/>
                <w:sz w:val="20"/>
                <w:lang w:val="en-US"/>
              </w:rPr>
              <w:t xml:space="preserve">Svenska </w:t>
            </w:r>
            <w:proofErr w:type="spellStart"/>
            <w:r w:rsidRPr="00DA4FE3">
              <w:rPr>
                <w:rFonts w:asciiTheme="minorBidi" w:hAnsiTheme="minorBidi"/>
                <w:b/>
                <w:sz w:val="20"/>
                <w:lang w:val="en-US"/>
              </w:rPr>
              <w:t>Hemslöjdsöreningarnas</w:t>
            </w:r>
            <w:proofErr w:type="spellEnd"/>
            <w:r w:rsidRPr="00DA4FE3">
              <w:rPr>
                <w:rFonts w:asciiTheme="minorBidi" w:hAnsiTheme="minorBidi"/>
                <w:b/>
                <w:sz w:val="20"/>
                <w:lang w:val="en-US"/>
              </w:rPr>
              <w:t xml:space="preserve"> </w:t>
            </w:r>
            <w:proofErr w:type="spellStart"/>
            <w:r w:rsidRPr="00DA4FE3">
              <w:rPr>
                <w:rFonts w:asciiTheme="minorBidi" w:hAnsiTheme="minorBidi"/>
                <w:b/>
                <w:sz w:val="20"/>
                <w:lang w:val="en-US"/>
              </w:rPr>
              <w:t>Riksförbund</w:t>
            </w:r>
            <w:proofErr w:type="spellEnd"/>
            <w:r w:rsidRPr="00DA4FE3">
              <w:rPr>
                <w:rFonts w:asciiTheme="minorBidi" w:hAnsiTheme="minorBidi"/>
                <w:sz w:val="20"/>
                <w:lang w:val="en-US"/>
              </w:rPr>
              <w:br/>
              <w:t>National Association of Swedish Handicraft Societies</w:t>
            </w:r>
          </w:p>
        </w:tc>
        <w:tc>
          <w:tcPr>
            <w:tcW w:w="1010" w:type="pct"/>
            <w:shd w:val="clear" w:color="auto" w:fill="auto"/>
            <w:vAlign w:val="center"/>
          </w:tcPr>
          <w:p w14:paraId="4805CD30"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Suecia</w:t>
            </w:r>
          </w:p>
        </w:tc>
        <w:tc>
          <w:tcPr>
            <w:tcW w:w="842" w:type="pct"/>
            <w:shd w:val="clear" w:color="auto" w:fill="auto"/>
            <w:vAlign w:val="center"/>
          </w:tcPr>
          <w:p w14:paraId="219D742B"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NGO-90544</w:t>
            </w:r>
          </w:p>
        </w:tc>
      </w:tr>
      <w:tr w:rsidR="00886F82" w:rsidRPr="000D358B" w14:paraId="4AB63DB8" w14:textId="77777777" w:rsidTr="00A502CC">
        <w:trPr>
          <w:trHeight w:val="576"/>
        </w:trPr>
        <w:tc>
          <w:tcPr>
            <w:tcW w:w="3148" w:type="pct"/>
            <w:shd w:val="clear" w:color="auto" w:fill="DEEAF6" w:themeFill="accent1" w:themeFillTint="33"/>
            <w:vAlign w:val="center"/>
          </w:tcPr>
          <w:p w14:paraId="7BFFE520" w14:textId="77777777" w:rsidR="00886F82" w:rsidRPr="000D2922" w:rsidRDefault="00886F82" w:rsidP="00886F82">
            <w:pPr>
              <w:contextualSpacing/>
              <w:rPr>
                <w:rFonts w:asciiTheme="minorBidi" w:hAnsiTheme="minorBidi" w:cstheme="minorBidi"/>
                <w:b/>
                <w:bCs/>
                <w:sz w:val="20"/>
                <w:szCs w:val="20"/>
              </w:rPr>
            </w:pPr>
            <w:r>
              <w:rPr>
                <w:rFonts w:asciiTheme="minorBidi" w:hAnsiTheme="minorBidi"/>
                <w:b/>
                <w:sz w:val="20"/>
              </w:rPr>
              <w:t>Dragon Dance</w:t>
            </w:r>
          </w:p>
        </w:tc>
        <w:tc>
          <w:tcPr>
            <w:tcW w:w="1010" w:type="pct"/>
            <w:shd w:val="clear" w:color="auto" w:fill="DEEAF6" w:themeFill="accent1" w:themeFillTint="33"/>
            <w:vAlign w:val="center"/>
          </w:tcPr>
          <w:p w14:paraId="2305ED65"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Canadá</w:t>
            </w:r>
          </w:p>
        </w:tc>
        <w:tc>
          <w:tcPr>
            <w:tcW w:w="842" w:type="pct"/>
            <w:shd w:val="clear" w:color="auto" w:fill="DEEAF6" w:themeFill="accent1" w:themeFillTint="33"/>
            <w:vAlign w:val="center"/>
          </w:tcPr>
          <w:p w14:paraId="3570FD68"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NGO-90549</w:t>
            </w:r>
          </w:p>
        </w:tc>
      </w:tr>
      <w:tr w:rsidR="00886F82" w:rsidRPr="000D358B" w14:paraId="7CAC9C09" w14:textId="77777777" w:rsidTr="00A502CC">
        <w:trPr>
          <w:trHeight w:val="576"/>
        </w:trPr>
        <w:tc>
          <w:tcPr>
            <w:tcW w:w="3148" w:type="pct"/>
            <w:shd w:val="clear" w:color="auto" w:fill="auto"/>
            <w:vAlign w:val="center"/>
          </w:tcPr>
          <w:p w14:paraId="4C6AABDC" w14:textId="77777777" w:rsidR="00886F82" w:rsidRPr="00165541" w:rsidRDefault="00886F82" w:rsidP="00886F82">
            <w:pPr>
              <w:contextualSpacing/>
              <w:rPr>
                <w:rFonts w:asciiTheme="minorBidi" w:hAnsiTheme="minorBidi" w:cstheme="minorBidi"/>
                <w:b/>
                <w:bCs/>
                <w:sz w:val="20"/>
                <w:szCs w:val="20"/>
                <w:lang w:val="en-US"/>
              </w:rPr>
            </w:pPr>
            <w:r w:rsidRPr="00165541">
              <w:rPr>
                <w:rFonts w:asciiTheme="minorBidi" w:hAnsiTheme="minorBidi"/>
                <w:b/>
                <w:sz w:val="20"/>
                <w:lang w:val="en-US"/>
              </w:rPr>
              <w:lastRenderedPageBreak/>
              <w:t>Traditional Arts and Culture Scotland (TRACS)</w:t>
            </w:r>
          </w:p>
        </w:tc>
        <w:tc>
          <w:tcPr>
            <w:tcW w:w="1010" w:type="pct"/>
            <w:shd w:val="clear" w:color="auto" w:fill="auto"/>
            <w:vAlign w:val="center"/>
          </w:tcPr>
          <w:p w14:paraId="335005F7"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Reino Unido de Gran Bretaña e Irlanda del Norte</w:t>
            </w:r>
          </w:p>
        </w:tc>
        <w:tc>
          <w:tcPr>
            <w:tcW w:w="842" w:type="pct"/>
            <w:shd w:val="clear" w:color="auto" w:fill="auto"/>
            <w:vAlign w:val="center"/>
          </w:tcPr>
          <w:p w14:paraId="2001B5EA"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NGO-90561</w:t>
            </w:r>
          </w:p>
        </w:tc>
      </w:tr>
      <w:tr w:rsidR="00886F82" w:rsidRPr="000D358B" w14:paraId="19C5D0E5" w14:textId="77777777" w:rsidTr="00A502CC">
        <w:trPr>
          <w:trHeight w:val="576"/>
        </w:trPr>
        <w:tc>
          <w:tcPr>
            <w:tcW w:w="3148" w:type="pct"/>
            <w:shd w:val="clear" w:color="auto" w:fill="DEEAF6" w:themeFill="accent1" w:themeFillTint="33"/>
            <w:vAlign w:val="center"/>
          </w:tcPr>
          <w:p w14:paraId="04EAF0CC"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Türkischer</w:t>
            </w:r>
            <w:proofErr w:type="spellEnd"/>
            <w:r>
              <w:rPr>
                <w:rFonts w:asciiTheme="minorBidi" w:hAnsiTheme="minorBidi"/>
                <w:b/>
                <w:sz w:val="20"/>
              </w:rPr>
              <w:t xml:space="preserve"> </w:t>
            </w:r>
            <w:proofErr w:type="spellStart"/>
            <w:r>
              <w:rPr>
                <w:rFonts w:asciiTheme="minorBidi" w:hAnsiTheme="minorBidi"/>
                <w:b/>
                <w:sz w:val="20"/>
              </w:rPr>
              <w:t>Klassischer</w:t>
            </w:r>
            <w:proofErr w:type="spellEnd"/>
            <w:r>
              <w:rPr>
                <w:rFonts w:asciiTheme="minorBidi" w:hAnsiTheme="minorBidi"/>
                <w:b/>
                <w:sz w:val="20"/>
              </w:rPr>
              <w:t xml:space="preserve"> </w:t>
            </w:r>
            <w:proofErr w:type="spellStart"/>
            <w:r>
              <w:rPr>
                <w:rFonts w:asciiTheme="minorBidi" w:hAnsiTheme="minorBidi"/>
                <w:b/>
                <w:sz w:val="20"/>
              </w:rPr>
              <w:t>Choir</w:t>
            </w:r>
            <w:proofErr w:type="spellEnd"/>
            <w:r>
              <w:rPr>
                <w:rFonts w:asciiTheme="minorBidi" w:hAnsiTheme="minorBidi"/>
                <w:b/>
                <w:sz w:val="20"/>
              </w:rPr>
              <w:t xml:space="preserve"> Association</w:t>
            </w:r>
            <w:r>
              <w:rPr>
                <w:rFonts w:asciiTheme="minorBidi" w:hAnsiTheme="minorBidi"/>
                <w:b/>
                <w:sz w:val="20"/>
              </w:rPr>
              <w:br/>
            </w:r>
            <w:proofErr w:type="spellStart"/>
            <w:r>
              <w:rPr>
                <w:rFonts w:asciiTheme="minorBidi" w:hAnsiTheme="minorBidi"/>
                <w:sz w:val="20"/>
              </w:rPr>
              <w:t>Zurich</w:t>
            </w:r>
            <w:proofErr w:type="spellEnd"/>
            <w:r>
              <w:rPr>
                <w:rFonts w:asciiTheme="minorBidi" w:hAnsiTheme="minorBidi"/>
                <w:sz w:val="20"/>
              </w:rPr>
              <w:t xml:space="preserve"> Turkish </w:t>
            </w:r>
            <w:proofErr w:type="spellStart"/>
            <w:r>
              <w:rPr>
                <w:rFonts w:asciiTheme="minorBidi" w:hAnsiTheme="minorBidi"/>
                <w:sz w:val="20"/>
              </w:rPr>
              <w:t>Classical</w:t>
            </w:r>
            <w:proofErr w:type="spellEnd"/>
            <w:r>
              <w:rPr>
                <w:rFonts w:asciiTheme="minorBidi" w:hAnsiTheme="minorBidi"/>
                <w:sz w:val="20"/>
              </w:rPr>
              <w:t xml:space="preserve"> </w:t>
            </w:r>
            <w:proofErr w:type="spellStart"/>
            <w:r>
              <w:rPr>
                <w:rFonts w:asciiTheme="minorBidi" w:hAnsiTheme="minorBidi"/>
                <w:sz w:val="20"/>
              </w:rPr>
              <w:t>Choir</w:t>
            </w:r>
            <w:proofErr w:type="spellEnd"/>
            <w:r>
              <w:rPr>
                <w:rFonts w:asciiTheme="minorBidi" w:hAnsiTheme="minorBidi"/>
                <w:sz w:val="20"/>
              </w:rPr>
              <w:t xml:space="preserve"> Association</w:t>
            </w:r>
          </w:p>
        </w:tc>
        <w:tc>
          <w:tcPr>
            <w:tcW w:w="1010" w:type="pct"/>
            <w:shd w:val="clear" w:color="auto" w:fill="DEEAF6" w:themeFill="accent1" w:themeFillTint="33"/>
            <w:vAlign w:val="center"/>
          </w:tcPr>
          <w:p w14:paraId="44246866"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Suiza</w:t>
            </w:r>
          </w:p>
        </w:tc>
        <w:tc>
          <w:tcPr>
            <w:tcW w:w="842" w:type="pct"/>
            <w:shd w:val="clear" w:color="auto" w:fill="DEEAF6" w:themeFill="accent1" w:themeFillTint="33"/>
            <w:vAlign w:val="center"/>
          </w:tcPr>
          <w:p w14:paraId="43C5E3ED"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NGO-90560</w:t>
            </w:r>
          </w:p>
        </w:tc>
      </w:tr>
      <w:tr w:rsidR="00886F82" w:rsidRPr="000D358B" w14:paraId="739648DB" w14:textId="77777777" w:rsidTr="00A502CC">
        <w:trPr>
          <w:trHeight w:val="576"/>
        </w:trPr>
        <w:tc>
          <w:tcPr>
            <w:tcW w:w="3148" w:type="pct"/>
            <w:shd w:val="clear" w:color="auto" w:fill="auto"/>
            <w:vAlign w:val="center"/>
          </w:tcPr>
          <w:p w14:paraId="54EB93D8"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Uluslararasi</w:t>
            </w:r>
            <w:proofErr w:type="spellEnd"/>
            <w:r>
              <w:rPr>
                <w:rFonts w:asciiTheme="minorBidi" w:hAnsiTheme="minorBidi"/>
                <w:b/>
                <w:sz w:val="20"/>
              </w:rPr>
              <w:t xml:space="preserve"> </w:t>
            </w:r>
            <w:proofErr w:type="spellStart"/>
            <w:r>
              <w:rPr>
                <w:rFonts w:asciiTheme="minorBidi" w:hAnsiTheme="minorBidi"/>
                <w:b/>
                <w:sz w:val="20"/>
              </w:rPr>
              <w:t>Mevlana</w:t>
            </w:r>
            <w:proofErr w:type="spellEnd"/>
            <w:r>
              <w:rPr>
                <w:rFonts w:asciiTheme="minorBidi" w:hAnsiTheme="minorBidi"/>
                <w:b/>
                <w:sz w:val="20"/>
              </w:rPr>
              <w:t xml:space="preserve"> </w:t>
            </w:r>
            <w:proofErr w:type="spellStart"/>
            <w:r>
              <w:rPr>
                <w:rFonts w:asciiTheme="minorBidi" w:hAnsiTheme="minorBidi"/>
                <w:b/>
                <w:sz w:val="20"/>
              </w:rPr>
              <w:t>Vakfi</w:t>
            </w:r>
            <w:proofErr w:type="spellEnd"/>
            <w:r>
              <w:rPr>
                <w:rFonts w:asciiTheme="minorBidi" w:hAnsiTheme="minorBidi"/>
                <w:b/>
                <w:sz w:val="20"/>
              </w:rPr>
              <w:br/>
            </w:r>
            <w:r>
              <w:rPr>
                <w:rFonts w:asciiTheme="minorBidi" w:hAnsiTheme="minorBidi"/>
                <w:sz w:val="20"/>
              </w:rPr>
              <w:t xml:space="preserve">International </w:t>
            </w:r>
            <w:proofErr w:type="spellStart"/>
            <w:r>
              <w:rPr>
                <w:rFonts w:asciiTheme="minorBidi" w:hAnsiTheme="minorBidi"/>
                <w:sz w:val="20"/>
              </w:rPr>
              <w:t>Mevlana</w:t>
            </w:r>
            <w:proofErr w:type="spellEnd"/>
            <w:r>
              <w:rPr>
                <w:rFonts w:asciiTheme="minorBidi" w:hAnsiTheme="minorBidi"/>
                <w:sz w:val="20"/>
              </w:rPr>
              <w:t xml:space="preserve"> </w:t>
            </w:r>
            <w:proofErr w:type="spellStart"/>
            <w:r>
              <w:rPr>
                <w:rFonts w:asciiTheme="minorBidi" w:hAnsiTheme="minorBidi"/>
                <w:sz w:val="20"/>
              </w:rPr>
              <w:t>Foundation</w:t>
            </w:r>
            <w:proofErr w:type="spellEnd"/>
          </w:p>
        </w:tc>
        <w:tc>
          <w:tcPr>
            <w:tcW w:w="1010" w:type="pct"/>
            <w:shd w:val="clear" w:color="auto" w:fill="auto"/>
            <w:vAlign w:val="center"/>
          </w:tcPr>
          <w:p w14:paraId="6C939737"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Türkiye</w:t>
            </w:r>
          </w:p>
        </w:tc>
        <w:tc>
          <w:tcPr>
            <w:tcW w:w="842" w:type="pct"/>
            <w:shd w:val="clear" w:color="auto" w:fill="auto"/>
            <w:vAlign w:val="center"/>
          </w:tcPr>
          <w:p w14:paraId="751CF956"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NGO-90547</w:t>
            </w:r>
          </w:p>
        </w:tc>
      </w:tr>
      <w:tr w:rsidR="00886F82" w:rsidRPr="000D358B" w14:paraId="01CC1F1D" w14:textId="77777777" w:rsidTr="00A502CC">
        <w:trPr>
          <w:trHeight w:val="576"/>
        </w:trPr>
        <w:tc>
          <w:tcPr>
            <w:tcW w:w="3148" w:type="pct"/>
            <w:shd w:val="clear" w:color="auto" w:fill="DEEAF6" w:themeFill="accent1" w:themeFillTint="33"/>
            <w:vAlign w:val="center"/>
          </w:tcPr>
          <w:p w14:paraId="6775FA0F" w14:textId="77777777" w:rsidR="00886F82" w:rsidRPr="000D2922" w:rsidRDefault="00886F82" w:rsidP="00886F82">
            <w:pPr>
              <w:contextualSpacing/>
              <w:rPr>
                <w:rFonts w:asciiTheme="minorBidi" w:hAnsiTheme="minorBidi" w:cstheme="minorBidi"/>
                <w:b/>
                <w:bCs/>
                <w:sz w:val="20"/>
                <w:szCs w:val="20"/>
              </w:rPr>
            </w:pPr>
            <w:r>
              <w:rPr>
                <w:rFonts w:asciiTheme="minorBidi" w:hAnsiTheme="minorBidi"/>
                <w:b/>
                <w:sz w:val="20"/>
              </w:rPr>
              <w:t>UN ETXEA- Asociación del País Vasco para la UNESCO</w:t>
            </w:r>
            <w:r>
              <w:rPr>
                <w:rFonts w:asciiTheme="minorBidi" w:hAnsiTheme="minorBidi"/>
                <w:b/>
                <w:sz w:val="20"/>
              </w:rPr>
              <w:br/>
            </w:r>
            <w:r>
              <w:rPr>
                <w:rFonts w:asciiTheme="minorBidi" w:hAnsiTheme="minorBidi"/>
                <w:sz w:val="20"/>
              </w:rPr>
              <w:t xml:space="preserve">UN ETXEA- </w:t>
            </w:r>
            <w:proofErr w:type="spellStart"/>
            <w:r>
              <w:rPr>
                <w:rFonts w:asciiTheme="minorBidi" w:hAnsiTheme="minorBidi"/>
                <w:sz w:val="20"/>
              </w:rPr>
              <w:t>Basque</w:t>
            </w:r>
            <w:proofErr w:type="spellEnd"/>
            <w:r>
              <w:rPr>
                <w:rFonts w:asciiTheme="minorBidi" w:hAnsiTheme="minorBidi"/>
                <w:sz w:val="20"/>
              </w:rPr>
              <w:t xml:space="preserve"> Country Association for UNESCO</w:t>
            </w:r>
          </w:p>
        </w:tc>
        <w:tc>
          <w:tcPr>
            <w:tcW w:w="1010" w:type="pct"/>
            <w:shd w:val="clear" w:color="auto" w:fill="DEEAF6" w:themeFill="accent1" w:themeFillTint="33"/>
            <w:vAlign w:val="center"/>
          </w:tcPr>
          <w:p w14:paraId="3406FF12"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España</w:t>
            </w:r>
          </w:p>
        </w:tc>
        <w:tc>
          <w:tcPr>
            <w:tcW w:w="842" w:type="pct"/>
            <w:shd w:val="clear" w:color="auto" w:fill="DEEAF6" w:themeFill="accent1" w:themeFillTint="33"/>
            <w:vAlign w:val="center"/>
          </w:tcPr>
          <w:p w14:paraId="0B74256B"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NGO-90590</w:t>
            </w:r>
          </w:p>
        </w:tc>
      </w:tr>
      <w:tr w:rsidR="00886F82" w:rsidRPr="000D358B" w14:paraId="05F6C38D" w14:textId="77777777" w:rsidTr="00A502CC">
        <w:trPr>
          <w:trHeight w:val="576"/>
        </w:trPr>
        <w:tc>
          <w:tcPr>
            <w:tcW w:w="3148" w:type="pct"/>
            <w:shd w:val="clear" w:color="auto" w:fill="auto"/>
            <w:vAlign w:val="center"/>
          </w:tcPr>
          <w:p w14:paraId="0ED25994"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Vabnagar</w:t>
            </w:r>
            <w:proofErr w:type="spellEnd"/>
            <w:r>
              <w:rPr>
                <w:rFonts w:asciiTheme="minorBidi" w:hAnsiTheme="minorBidi"/>
                <w:b/>
                <w:sz w:val="20"/>
              </w:rPr>
              <w:t xml:space="preserve"> </w:t>
            </w:r>
            <w:proofErr w:type="spellStart"/>
            <w:r>
              <w:rPr>
                <w:rFonts w:asciiTheme="minorBidi" w:hAnsiTheme="minorBidi"/>
                <w:b/>
                <w:sz w:val="20"/>
              </w:rPr>
              <w:t>Foundation</w:t>
            </w:r>
            <w:proofErr w:type="spellEnd"/>
          </w:p>
        </w:tc>
        <w:tc>
          <w:tcPr>
            <w:tcW w:w="1010" w:type="pct"/>
            <w:shd w:val="clear" w:color="auto" w:fill="auto"/>
            <w:vAlign w:val="center"/>
          </w:tcPr>
          <w:p w14:paraId="36C34588"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Bangladesh</w:t>
            </w:r>
          </w:p>
        </w:tc>
        <w:tc>
          <w:tcPr>
            <w:tcW w:w="842" w:type="pct"/>
            <w:shd w:val="clear" w:color="auto" w:fill="auto"/>
            <w:vAlign w:val="center"/>
          </w:tcPr>
          <w:p w14:paraId="7C4F36D0"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NGO-90526</w:t>
            </w:r>
          </w:p>
        </w:tc>
      </w:tr>
      <w:tr w:rsidR="00886F82" w:rsidRPr="000D358B" w14:paraId="1E571017" w14:textId="77777777" w:rsidTr="00A502CC">
        <w:trPr>
          <w:trHeight w:val="576"/>
        </w:trPr>
        <w:tc>
          <w:tcPr>
            <w:tcW w:w="3148" w:type="pct"/>
            <w:shd w:val="clear" w:color="auto" w:fill="DEEAF6" w:themeFill="accent1" w:themeFillTint="33"/>
            <w:vAlign w:val="center"/>
          </w:tcPr>
          <w:p w14:paraId="66B8A09B" w14:textId="77777777" w:rsidR="00886F82" w:rsidRPr="00165541" w:rsidRDefault="00886F82" w:rsidP="00886F82">
            <w:pPr>
              <w:contextualSpacing/>
              <w:rPr>
                <w:rFonts w:asciiTheme="minorBidi" w:hAnsiTheme="minorBidi" w:cstheme="minorBidi"/>
                <w:b/>
                <w:bCs/>
                <w:sz w:val="20"/>
                <w:szCs w:val="20"/>
                <w:lang w:val="en-US"/>
              </w:rPr>
            </w:pPr>
            <w:r w:rsidRPr="00165541">
              <w:rPr>
                <w:rFonts w:asciiTheme="minorBidi" w:hAnsiTheme="minorBidi"/>
                <w:b/>
                <w:sz w:val="20"/>
                <w:lang w:val="en-US"/>
              </w:rPr>
              <w:t xml:space="preserve">World Music </w:t>
            </w:r>
            <w:proofErr w:type="spellStart"/>
            <w:r>
              <w:rPr>
                <w:rFonts w:asciiTheme="minorBidi" w:hAnsiTheme="minorBidi"/>
                <w:b/>
                <w:sz w:val="20"/>
              </w:rPr>
              <w:t>асоцијација</w:t>
            </w:r>
            <w:proofErr w:type="spellEnd"/>
            <w:r w:rsidRPr="00165541">
              <w:rPr>
                <w:rFonts w:asciiTheme="minorBidi" w:hAnsiTheme="minorBidi"/>
                <w:b/>
                <w:sz w:val="20"/>
                <w:lang w:val="en-US"/>
              </w:rPr>
              <w:t xml:space="preserve"> </w:t>
            </w:r>
            <w:proofErr w:type="spellStart"/>
            <w:r>
              <w:rPr>
                <w:rFonts w:asciiTheme="minorBidi" w:hAnsiTheme="minorBidi"/>
                <w:b/>
                <w:sz w:val="20"/>
              </w:rPr>
              <w:t>Србије</w:t>
            </w:r>
            <w:proofErr w:type="spellEnd"/>
            <w:r w:rsidRPr="00165541">
              <w:rPr>
                <w:rFonts w:asciiTheme="minorBidi" w:hAnsiTheme="minorBidi"/>
                <w:b/>
                <w:sz w:val="20"/>
                <w:lang w:val="en-US"/>
              </w:rPr>
              <w:br/>
            </w:r>
            <w:r w:rsidRPr="00165541">
              <w:rPr>
                <w:rFonts w:asciiTheme="minorBidi" w:hAnsiTheme="minorBidi"/>
                <w:sz w:val="20"/>
                <w:lang w:val="en-US"/>
              </w:rPr>
              <w:t>World Music Association of Serbia</w:t>
            </w:r>
          </w:p>
        </w:tc>
        <w:tc>
          <w:tcPr>
            <w:tcW w:w="1010" w:type="pct"/>
            <w:shd w:val="clear" w:color="auto" w:fill="DEEAF6" w:themeFill="accent1" w:themeFillTint="33"/>
            <w:vAlign w:val="center"/>
          </w:tcPr>
          <w:p w14:paraId="53F656D7"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Serbia</w:t>
            </w:r>
          </w:p>
        </w:tc>
        <w:tc>
          <w:tcPr>
            <w:tcW w:w="842" w:type="pct"/>
            <w:shd w:val="clear" w:color="auto" w:fill="DEEAF6" w:themeFill="accent1" w:themeFillTint="33"/>
            <w:vAlign w:val="center"/>
          </w:tcPr>
          <w:p w14:paraId="2C6E4B9A"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NGO-90530</w:t>
            </w:r>
          </w:p>
        </w:tc>
      </w:tr>
      <w:tr w:rsidR="00886F82" w:rsidRPr="000D358B" w14:paraId="63828778" w14:textId="77777777" w:rsidTr="00A502CC">
        <w:trPr>
          <w:trHeight w:val="576"/>
        </w:trPr>
        <w:tc>
          <w:tcPr>
            <w:tcW w:w="3148" w:type="pct"/>
            <w:shd w:val="clear" w:color="auto" w:fill="auto"/>
            <w:vAlign w:val="center"/>
          </w:tcPr>
          <w:p w14:paraId="0D10FE3A"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Yayasan</w:t>
            </w:r>
            <w:proofErr w:type="spellEnd"/>
            <w:r>
              <w:rPr>
                <w:rFonts w:asciiTheme="minorBidi" w:hAnsiTheme="minorBidi"/>
                <w:b/>
                <w:sz w:val="20"/>
              </w:rPr>
              <w:t xml:space="preserve"> </w:t>
            </w:r>
            <w:proofErr w:type="spellStart"/>
            <w:r>
              <w:rPr>
                <w:rFonts w:asciiTheme="minorBidi" w:hAnsiTheme="minorBidi"/>
                <w:b/>
                <w:sz w:val="20"/>
              </w:rPr>
              <w:t>Toraja</w:t>
            </w:r>
            <w:proofErr w:type="spellEnd"/>
            <w:r>
              <w:rPr>
                <w:rFonts w:asciiTheme="minorBidi" w:hAnsiTheme="minorBidi"/>
                <w:b/>
                <w:sz w:val="20"/>
              </w:rPr>
              <w:t xml:space="preserve"> Melo</w:t>
            </w:r>
            <w:r>
              <w:rPr>
                <w:rFonts w:asciiTheme="minorBidi" w:hAnsiTheme="minorBidi"/>
                <w:b/>
                <w:sz w:val="20"/>
              </w:rPr>
              <w:br/>
            </w:r>
            <w:proofErr w:type="spellStart"/>
            <w:r>
              <w:rPr>
                <w:rFonts w:asciiTheme="minorBidi" w:hAnsiTheme="minorBidi"/>
                <w:sz w:val="20"/>
              </w:rPr>
              <w:t>Toraja</w:t>
            </w:r>
            <w:proofErr w:type="spellEnd"/>
            <w:r>
              <w:rPr>
                <w:rFonts w:asciiTheme="minorBidi" w:hAnsiTheme="minorBidi"/>
                <w:sz w:val="20"/>
              </w:rPr>
              <w:t xml:space="preserve"> Melo </w:t>
            </w:r>
            <w:proofErr w:type="spellStart"/>
            <w:r>
              <w:rPr>
                <w:rFonts w:asciiTheme="minorBidi" w:hAnsiTheme="minorBidi"/>
                <w:sz w:val="20"/>
              </w:rPr>
              <w:t>Foundation</w:t>
            </w:r>
            <w:proofErr w:type="spellEnd"/>
          </w:p>
        </w:tc>
        <w:tc>
          <w:tcPr>
            <w:tcW w:w="1010" w:type="pct"/>
            <w:shd w:val="clear" w:color="auto" w:fill="auto"/>
            <w:vAlign w:val="center"/>
          </w:tcPr>
          <w:p w14:paraId="5FF5AF91"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Indonesia</w:t>
            </w:r>
          </w:p>
        </w:tc>
        <w:tc>
          <w:tcPr>
            <w:tcW w:w="842" w:type="pct"/>
            <w:shd w:val="clear" w:color="auto" w:fill="auto"/>
            <w:vAlign w:val="center"/>
          </w:tcPr>
          <w:p w14:paraId="6F5D25DD"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NGO-90575</w:t>
            </w:r>
          </w:p>
        </w:tc>
      </w:tr>
      <w:tr w:rsidR="00886F82" w:rsidRPr="000D358B" w14:paraId="068CBA45" w14:textId="77777777" w:rsidTr="00A502CC">
        <w:trPr>
          <w:trHeight w:val="576"/>
        </w:trPr>
        <w:tc>
          <w:tcPr>
            <w:tcW w:w="3148" w:type="pct"/>
            <w:shd w:val="clear" w:color="auto" w:fill="DEEAF6" w:themeFill="accent1" w:themeFillTint="33"/>
            <w:vAlign w:val="center"/>
          </w:tcPr>
          <w:p w14:paraId="2193EDEC"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Μεσογει</w:t>
            </w:r>
            <w:proofErr w:type="spellEnd"/>
            <w:r>
              <w:rPr>
                <w:rFonts w:asciiTheme="minorBidi" w:hAnsiTheme="minorBidi"/>
                <w:b/>
                <w:sz w:val="20"/>
              </w:rPr>
              <w:t xml:space="preserve">ακό </w:t>
            </w:r>
            <w:proofErr w:type="spellStart"/>
            <w:r>
              <w:rPr>
                <w:rFonts w:asciiTheme="minorBidi" w:hAnsiTheme="minorBidi"/>
                <w:b/>
                <w:sz w:val="20"/>
              </w:rPr>
              <w:t>Ινστιτούτο</w:t>
            </w:r>
            <w:proofErr w:type="spellEnd"/>
            <w:r>
              <w:rPr>
                <w:rFonts w:asciiTheme="minorBidi" w:hAnsiTheme="minorBidi"/>
                <w:b/>
                <w:sz w:val="20"/>
              </w:rPr>
              <w:t xml:space="preserve"> </w:t>
            </w:r>
            <w:proofErr w:type="spellStart"/>
            <w:r>
              <w:rPr>
                <w:rFonts w:asciiTheme="minorBidi" w:hAnsiTheme="minorBidi"/>
                <w:b/>
                <w:sz w:val="20"/>
              </w:rPr>
              <w:t>γι</w:t>
            </w:r>
            <w:proofErr w:type="spellEnd"/>
            <w:r>
              <w:rPr>
                <w:rFonts w:asciiTheme="minorBidi" w:hAnsiTheme="minorBidi"/>
                <w:b/>
                <w:sz w:val="20"/>
              </w:rPr>
              <w:t xml:space="preserve">α </w:t>
            </w:r>
            <w:proofErr w:type="spellStart"/>
            <w:r>
              <w:rPr>
                <w:rFonts w:asciiTheme="minorBidi" w:hAnsiTheme="minorBidi"/>
                <w:b/>
                <w:sz w:val="20"/>
              </w:rPr>
              <w:t>τη</w:t>
            </w:r>
            <w:proofErr w:type="spellEnd"/>
            <w:r>
              <w:rPr>
                <w:rFonts w:asciiTheme="minorBidi" w:hAnsiTheme="minorBidi"/>
                <w:b/>
                <w:sz w:val="20"/>
              </w:rPr>
              <w:t xml:space="preserve"> </w:t>
            </w:r>
            <w:proofErr w:type="spellStart"/>
            <w:r>
              <w:rPr>
                <w:rFonts w:asciiTheme="minorBidi" w:hAnsiTheme="minorBidi"/>
                <w:b/>
                <w:sz w:val="20"/>
              </w:rPr>
              <w:t>Φύση</w:t>
            </w:r>
            <w:proofErr w:type="spellEnd"/>
            <w:r>
              <w:rPr>
                <w:rFonts w:asciiTheme="minorBidi" w:hAnsiTheme="minorBidi"/>
                <w:b/>
                <w:sz w:val="20"/>
              </w:rPr>
              <w:t xml:space="preserve"> και </w:t>
            </w:r>
            <w:proofErr w:type="spellStart"/>
            <w:r>
              <w:rPr>
                <w:rFonts w:asciiTheme="minorBidi" w:hAnsiTheme="minorBidi"/>
                <w:b/>
                <w:sz w:val="20"/>
              </w:rPr>
              <w:t>τον</w:t>
            </w:r>
            <w:proofErr w:type="spellEnd"/>
            <w:r>
              <w:rPr>
                <w:rFonts w:asciiTheme="minorBidi" w:hAnsiTheme="minorBidi"/>
                <w:b/>
                <w:sz w:val="20"/>
              </w:rPr>
              <w:t xml:space="preserve"> </w:t>
            </w:r>
            <w:proofErr w:type="spellStart"/>
            <w:r>
              <w:rPr>
                <w:rFonts w:asciiTheme="minorBidi" w:hAnsiTheme="minorBidi"/>
                <w:b/>
                <w:sz w:val="20"/>
              </w:rPr>
              <w:t>Άνθρω</w:t>
            </w:r>
            <w:proofErr w:type="spellEnd"/>
            <w:r>
              <w:rPr>
                <w:rFonts w:asciiTheme="minorBidi" w:hAnsiTheme="minorBidi"/>
                <w:b/>
                <w:sz w:val="20"/>
              </w:rPr>
              <w:t>πο</w:t>
            </w:r>
            <w:r>
              <w:rPr>
                <w:rFonts w:asciiTheme="minorBidi" w:hAnsiTheme="minorBidi"/>
                <w:b/>
                <w:sz w:val="20"/>
              </w:rPr>
              <w:br/>
            </w:r>
            <w:proofErr w:type="spellStart"/>
            <w:r>
              <w:rPr>
                <w:rFonts w:asciiTheme="minorBidi" w:hAnsiTheme="minorBidi"/>
                <w:sz w:val="20"/>
              </w:rPr>
              <w:t>Mediterranean</w:t>
            </w:r>
            <w:proofErr w:type="spellEnd"/>
            <w:r>
              <w:rPr>
                <w:rFonts w:asciiTheme="minorBidi" w:hAnsiTheme="minorBidi"/>
                <w:sz w:val="20"/>
              </w:rPr>
              <w:t xml:space="preserve"> </w:t>
            </w:r>
            <w:proofErr w:type="spellStart"/>
            <w:r>
              <w:rPr>
                <w:rFonts w:asciiTheme="minorBidi" w:hAnsiTheme="minorBidi"/>
                <w:sz w:val="20"/>
              </w:rPr>
              <w:t>Institute</w:t>
            </w:r>
            <w:proofErr w:type="spellEnd"/>
            <w:r>
              <w:rPr>
                <w:rFonts w:asciiTheme="minorBidi" w:hAnsiTheme="minorBidi"/>
                <w:sz w:val="20"/>
              </w:rPr>
              <w:t xml:space="preserve"> for </w:t>
            </w:r>
            <w:proofErr w:type="spellStart"/>
            <w:r>
              <w:rPr>
                <w:rFonts w:asciiTheme="minorBidi" w:hAnsiTheme="minorBidi"/>
                <w:sz w:val="20"/>
              </w:rPr>
              <w:t>Nature</w:t>
            </w:r>
            <w:proofErr w:type="spellEnd"/>
            <w:r>
              <w:rPr>
                <w:rFonts w:asciiTheme="minorBidi" w:hAnsiTheme="minorBidi"/>
                <w:sz w:val="20"/>
              </w:rPr>
              <w:t xml:space="preserve"> and </w:t>
            </w:r>
            <w:proofErr w:type="spellStart"/>
            <w:r>
              <w:rPr>
                <w:rFonts w:asciiTheme="minorBidi" w:hAnsiTheme="minorBidi"/>
                <w:sz w:val="20"/>
              </w:rPr>
              <w:t>Anthropos</w:t>
            </w:r>
            <w:proofErr w:type="spellEnd"/>
          </w:p>
        </w:tc>
        <w:tc>
          <w:tcPr>
            <w:tcW w:w="1010" w:type="pct"/>
            <w:shd w:val="clear" w:color="auto" w:fill="DEEAF6" w:themeFill="accent1" w:themeFillTint="33"/>
            <w:vAlign w:val="center"/>
          </w:tcPr>
          <w:p w14:paraId="431B3CB8"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Grecia</w:t>
            </w:r>
          </w:p>
        </w:tc>
        <w:tc>
          <w:tcPr>
            <w:tcW w:w="842" w:type="pct"/>
            <w:shd w:val="clear" w:color="auto" w:fill="DEEAF6" w:themeFill="accent1" w:themeFillTint="33"/>
            <w:vAlign w:val="center"/>
          </w:tcPr>
          <w:p w14:paraId="06F52B59"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NGO-90556</w:t>
            </w:r>
          </w:p>
        </w:tc>
      </w:tr>
      <w:tr w:rsidR="00886F82" w:rsidRPr="000D358B" w14:paraId="02D96DAD" w14:textId="77777777" w:rsidTr="00A502CC">
        <w:trPr>
          <w:trHeight w:val="576"/>
        </w:trPr>
        <w:tc>
          <w:tcPr>
            <w:tcW w:w="3148" w:type="pct"/>
            <w:shd w:val="clear" w:color="auto" w:fill="auto"/>
            <w:vAlign w:val="center"/>
          </w:tcPr>
          <w:p w14:paraId="5FD2A0BD"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Ґромадська</w:t>
            </w:r>
            <w:proofErr w:type="spellEnd"/>
            <w:r>
              <w:rPr>
                <w:rFonts w:asciiTheme="minorBidi" w:hAnsiTheme="minorBidi"/>
                <w:b/>
                <w:sz w:val="20"/>
              </w:rPr>
              <w:t xml:space="preserve"> </w:t>
            </w:r>
            <w:proofErr w:type="spellStart"/>
            <w:r>
              <w:rPr>
                <w:rFonts w:asciiTheme="minorBidi" w:hAnsiTheme="minorBidi"/>
                <w:b/>
                <w:sz w:val="20"/>
              </w:rPr>
              <w:t>орґанізація</w:t>
            </w:r>
            <w:proofErr w:type="spellEnd"/>
            <w:r>
              <w:rPr>
                <w:rFonts w:asciiTheme="minorBidi" w:hAnsiTheme="minorBidi"/>
                <w:b/>
                <w:sz w:val="20"/>
              </w:rPr>
              <w:t xml:space="preserve"> ЖІНКИ </w:t>
            </w:r>
            <w:proofErr w:type="spellStart"/>
            <w:r>
              <w:rPr>
                <w:rFonts w:asciiTheme="minorBidi" w:hAnsiTheme="minorBidi"/>
                <w:b/>
                <w:sz w:val="20"/>
              </w:rPr>
              <w:t>плюс</w:t>
            </w:r>
            <w:proofErr w:type="spellEnd"/>
            <w:r>
              <w:rPr>
                <w:rFonts w:asciiTheme="minorBidi" w:hAnsiTheme="minorBidi"/>
                <w:b/>
                <w:sz w:val="20"/>
              </w:rPr>
              <w:br/>
            </w:r>
            <w:r>
              <w:rPr>
                <w:rFonts w:asciiTheme="minorBidi" w:hAnsiTheme="minorBidi"/>
                <w:sz w:val="20"/>
              </w:rPr>
              <w:t>WOMEN plus</w:t>
            </w:r>
          </w:p>
        </w:tc>
        <w:tc>
          <w:tcPr>
            <w:tcW w:w="1010" w:type="pct"/>
            <w:shd w:val="clear" w:color="auto" w:fill="auto"/>
            <w:vAlign w:val="center"/>
          </w:tcPr>
          <w:p w14:paraId="2E6D4AED"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Ucrania</w:t>
            </w:r>
          </w:p>
        </w:tc>
        <w:tc>
          <w:tcPr>
            <w:tcW w:w="842" w:type="pct"/>
            <w:shd w:val="clear" w:color="auto" w:fill="auto"/>
            <w:vAlign w:val="center"/>
          </w:tcPr>
          <w:p w14:paraId="31E03EE4"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NGO-90558</w:t>
            </w:r>
          </w:p>
        </w:tc>
      </w:tr>
      <w:tr w:rsidR="00886F82" w:rsidRPr="000D358B" w14:paraId="2BE635CD" w14:textId="77777777" w:rsidTr="00A502CC">
        <w:trPr>
          <w:trHeight w:val="576"/>
        </w:trPr>
        <w:tc>
          <w:tcPr>
            <w:tcW w:w="3148" w:type="pct"/>
            <w:shd w:val="clear" w:color="auto" w:fill="DEEAF6" w:themeFill="accent1" w:themeFillTint="33"/>
            <w:vAlign w:val="center"/>
          </w:tcPr>
          <w:p w14:paraId="6A5125D7" w14:textId="77777777" w:rsidR="00886F82" w:rsidRPr="000D2922" w:rsidRDefault="00886F82" w:rsidP="00886F82">
            <w:pPr>
              <w:contextualSpacing/>
              <w:rPr>
                <w:rFonts w:asciiTheme="minorBidi" w:hAnsiTheme="minorBidi" w:cstheme="minorBidi"/>
                <w:b/>
                <w:bCs/>
                <w:sz w:val="20"/>
                <w:szCs w:val="20"/>
              </w:rPr>
            </w:pPr>
            <w:proofErr w:type="spellStart"/>
            <w:r>
              <w:rPr>
                <w:rFonts w:asciiTheme="minorBidi" w:hAnsiTheme="minorBidi"/>
                <w:b/>
                <w:sz w:val="20"/>
              </w:rPr>
              <w:t>Фондация</w:t>
            </w:r>
            <w:proofErr w:type="spellEnd"/>
            <w:r>
              <w:rPr>
                <w:rFonts w:asciiTheme="minorBidi" w:hAnsiTheme="minorBidi"/>
                <w:b/>
                <w:sz w:val="20"/>
              </w:rPr>
              <w:t xml:space="preserve"> </w:t>
            </w:r>
            <w:proofErr w:type="spellStart"/>
            <w:r>
              <w:rPr>
                <w:rFonts w:asciiTheme="minorBidi" w:hAnsiTheme="minorBidi"/>
                <w:b/>
                <w:sz w:val="20"/>
              </w:rPr>
              <w:t>Стойна</w:t>
            </w:r>
            <w:proofErr w:type="spellEnd"/>
            <w:r>
              <w:rPr>
                <w:rFonts w:asciiTheme="minorBidi" w:hAnsiTheme="minorBidi"/>
                <w:b/>
                <w:sz w:val="20"/>
              </w:rPr>
              <w:t xml:space="preserve"> </w:t>
            </w:r>
            <w:proofErr w:type="spellStart"/>
            <w:r>
              <w:rPr>
                <w:rFonts w:asciiTheme="minorBidi" w:hAnsiTheme="minorBidi"/>
                <w:b/>
                <w:sz w:val="20"/>
              </w:rPr>
              <w:t>Кръстанова</w:t>
            </w:r>
            <w:proofErr w:type="spellEnd"/>
            <w:r>
              <w:rPr>
                <w:rFonts w:asciiTheme="minorBidi" w:hAnsiTheme="minorBidi"/>
                <w:b/>
                <w:sz w:val="20"/>
              </w:rPr>
              <w:br/>
            </w:r>
            <w:proofErr w:type="spellStart"/>
            <w:r>
              <w:rPr>
                <w:rFonts w:asciiTheme="minorBidi" w:hAnsiTheme="minorBidi"/>
                <w:sz w:val="20"/>
              </w:rPr>
              <w:t>Stoyna</w:t>
            </w:r>
            <w:proofErr w:type="spellEnd"/>
            <w:r>
              <w:rPr>
                <w:rFonts w:asciiTheme="minorBidi" w:hAnsiTheme="minorBidi"/>
                <w:sz w:val="20"/>
              </w:rPr>
              <w:t xml:space="preserve"> </w:t>
            </w:r>
            <w:proofErr w:type="spellStart"/>
            <w:r>
              <w:rPr>
                <w:rFonts w:asciiTheme="minorBidi" w:hAnsiTheme="minorBidi"/>
                <w:sz w:val="20"/>
              </w:rPr>
              <w:t>Krastanova</w:t>
            </w:r>
            <w:proofErr w:type="spellEnd"/>
            <w:r>
              <w:rPr>
                <w:rFonts w:asciiTheme="minorBidi" w:hAnsiTheme="minorBidi"/>
                <w:sz w:val="20"/>
              </w:rPr>
              <w:t xml:space="preserve"> </w:t>
            </w:r>
            <w:proofErr w:type="spellStart"/>
            <w:r>
              <w:rPr>
                <w:rFonts w:asciiTheme="minorBidi" w:hAnsiTheme="minorBidi"/>
                <w:sz w:val="20"/>
              </w:rPr>
              <w:t>Foundation</w:t>
            </w:r>
            <w:proofErr w:type="spellEnd"/>
          </w:p>
        </w:tc>
        <w:tc>
          <w:tcPr>
            <w:tcW w:w="1010" w:type="pct"/>
            <w:shd w:val="clear" w:color="auto" w:fill="DEEAF6" w:themeFill="accent1" w:themeFillTint="33"/>
            <w:vAlign w:val="center"/>
          </w:tcPr>
          <w:p w14:paraId="46259874"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Bulgaria</w:t>
            </w:r>
          </w:p>
        </w:tc>
        <w:tc>
          <w:tcPr>
            <w:tcW w:w="842" w:type="pct"/>
            <w:shd w:val="clear" w:color="auto" w:fill="DEEAF6" w:themeFill="accent1" w:themeFillTint="33"/>
            <w:vAlign w:val="center"/>
          </w:tcPr>
          <w:p w14:paraId="2B566179"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NGO-90571</w:t>
            </w:r>
          </w:p>
        </w:tc>
      </w:tr>
      <w:tr w:rsidR="00886F82" w:rsidRPr="000D358B" w14:paraId="29E1E59C" w14:textId="77777777" w:rsidTr="00A502CC">
        <w:trPr>
          <w:trHeight w:val="576"/>
        </w:trPr>
        <w:tc>
          <w:tcPr>
            <w:tcW w:w="3148" w:type="pct"/>
            <w:shd w:val="clear" w:color="auto" w:fill="auto"/>
            <w:vAlign w:val="center"/>
          </w:tcPr>
          <w:p w14:paraId="39AAC0F4" w14:textId="77777777" w:rsidR="00886F82" w:rsidRPr="000D2922" w:rsidRDefault="00886F82" w:rsidP="00886F82">
            <w:pPr>
              <w:widowControl w:val="0"/>
              <w:contextualSpacing/>
              <w:rPr>
                <w:rFonts w:asciiTheme="minorBidi" w:hAnsiTheme="minorBidi" w:cstheme="minorBidi"/>
                <w:b/>
                <w:bCs/>
                <w:sz w:val="20"/>
                <w:szCs w:val="20"/>
              </w:rPr>
            </w:pPr>
            <w:r>
              <w:rPr>
                <w:rFonts w:asciiTheme="minorBidi" w:hAnsiTheme="minorBidi"/>
                <w:b/>
                <w:sz w:val="20"/>
                <w:rtl/>
              </w:rPr>
              <w:t>جمعية حرفة التعاونية</w:t>
            </w:r>
          </w:p>
          <w:p w14:paraId="66B9356B" w14:textId="77777777" w:rsidR="00886F82" w:rsidRPr="000D2922" w:rsidRDefault="00886F82" w:rsidP="00886F82">
            <w:pPr>
              <w:contextualSpacing/>
              <w:rPr>
                <w:rFonts w:asciiTheme="minorBidi" w:hAnsiTheme="minorBidi" w:cstheme="minorBidi"/>
                <w:sz w:val="20"/>
                <w:szCs w:val="20"/>
              </w:rPr>
            </w:pPr>
            <w:proofErr w:type="spellStart"/>
            <w:r>
              <w:rPr>
                <w:rFonts w:asciiTheme="minorBidi" w:hAnsiTheme="minorBidi"/>
                <w:sz w:val="20"/>
              </w:rPr>
              <w:t>Herfah</w:t>
            </w:r>
            <w:proofErr w:type="spellEnd"/>
            <w:r>
              <w:rPr>
                <w:rFonts w:asciiTheme="minorBidi" w:hAnsiTheme="minorBidi"/>
                <w:sz w:val="20"/>
              </w:rPr>
              <w:t xml:space="preserve"> Cooperative Association</w:t>
            </w:r>
          </w:p>
        </w:tc>
        <w:tc>
          <w:tcPr>
            <w:tcW w:w="1010" w:type="pct"/>
            <w:shd w:val="clear" w:color="auto" w:fill="auto"/>
            <w:vAlign w:val="center"/>
          </w:tcPr>
          <w:p w14:paraId="6A432F79"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Arabia Saudita</w:t>
            </w:r>
          </w:p>
        </w:tc>
        <w:tc>
          <w:tcPr>
            <w:tcW w:w="842" w:type="pct"/>
            <w:shd w:val="clear" w:color="auto" w:fill="auto"/>
            <w:vAlign w:val="center"/>
          </w:tcPr>
          <w:p w14:paraId="2E811A7C"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NGO-90591</w:t>
            </w:r>
          </w:p>
        </w:tc>
      </w:tr>
      <w:tr w:rsidR="00886F82" w:rsidRPr="000D358B" w14:paraId="53145269" w14:textId="77777777" w:rsidTr="00A502CC">
        <w:trPr>
          <w:trHeight w:val="576"/>
        </w:trPr>
        <w:tc>
          <w:tcPr>
            <w:tcW w:w="3148" w:type="pct"/>
            <w:shd w:val="clear" w:color="auto" w:fill="DEEAF6" w:themeFill="accent1" w:themeFillTint="33"/>
            <w:vAlign w:val="center"/>
          </w:tcPr>
          <w:p w14:paraId="5A324DFD" w14:textId="77777777" w:rsidR="00886F82" w:rsidRPr="000D2922" w:rsidRDefault="00886F82" w:rsidP="00886F82">
            <w:pPr>
              <w:contextualSpacing/>
              <w:rPr>
                <w:rFonts w:asciiTheme="minorBidi" w:hAnsiTheme="minorBidi" w:cstheme="minorBidi"/>
                <w:b/>
                <w:bCs/>
                <w:sz w:val="20"/>
                <w:szCs w:val="20"/>
              </w:rPr>
            </w:pPr>
            <w:bookmarkStart w:id="3" w:name="_Hlk150107361"/>
            <w:r>
              <w:rPr>
                <w:rFonts w:asciiTheme="minorBidi" w:hAnsiTheme="minorBidi"/>
                <w:b/>
                <w:sz w:val="20"/>
                <w:rtl/>
              </w:rPr>
              <w:t>جمعية الصعيد للتربية والتنمية</w:t>
            </w:r>
          </w:p>
          <w:p w14:paraId="56E6C537" w14:textId="77777777" w:rsidR="00886F82" w:rsidRPr="000D2922" w:rsidRDefault="00886F82" w:rsidP="00886F82">
            <w:pPr>
              <w:contextualSpacing/>
              <w:rPr>
                <w:rFonts w:asciiTheme="minorBidi" w:hAnsiTheme="minorBidi" w:cstheme="minorBidi"/>
                <w:sz w:val="20"/>
                <w:szCs w:val="20"/>
              </w:rPr>
            </w:pPr>
            <w:r>
              <w:rPr>
                <w:rFonts w:asciiTheme="minorBidi" w:hAnsiTheme="minorBidi"/>
                <w:sz w:val="20"/>
              </w:rPr>
              <w:t xml:space="preserve">Association of </w:t>
            </w:r>
            <w:proofErr w:type="spellStart"/>
            <w:r>
              <w:rPr>
                <w:rFonts w:asciiTheme="minorBidi" w:hAnsiTheme="minorBidi"/>
                <w:sz w:val="20"/>
              </w:rPr>
              <w:t>Upper</w:t>
            </w:r>
            <w:proofErr w:type="spellEnd"/>
            <w:r>
              <w:rPr>
                <w:rFonts w:asciiTheme="minorBidi" w:hAnsiTheme="minorBidi"/>
                <w:sz w:val="20"/>
              </w:rPr>
              <w:t xml:space="preserve"> </w:t>
            </w:r>
            <w:proofErr w:type="spellStart"/>
            <w:r>
              <w:rPr>
                <w:rFonts w:asciiTheme="minorBidi" w:hAnsiTheme="minorBidi"/>
                <w:sz w:val="20"/>
              </w:rPr>
              <w:t>Egypt</w:t>
            </w:r>
            <w:proofErr w:type="spellEnd"/>
            <w:r>
              <w:rPr>
                <w:rFonts w:asciiTheme="minorBidi" w:hAnsiTheme="minorBidi"/>
                <w:sz w:val="20"/>
              </w:rPr>
              <w:t xml:space="preserve"> for Education and Development</w:t>
            </w:r>
          </w:p>
        </w:tc>
        <w:tc>
          <w:tcPr>
            <w:tcW w:w="1010" w:type="pct"/>
            <w:shd w:val="clear" w:color="auto" w:fill="DEEAF6" w:themeFill="accent1" w:themeFillTint="33"/>
            <w:vAlign w:val="center"/>
          </w:tcPr>
          <w:p w14:paraId="6E28B4CE"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Egipto</w:t>
            </w:r>
          </w:p>
        </w:tc>
        <w:tc>
          <w:tcPr>
            <w:tcW w:w="842" w:type="pct"/>
            <w:shd w:val="clear" w:color="auto" w:fill="DEEAF6" w:themeFill="accent1" w:themeFillTint="33"/>
            <w:vAlign w:val="center"/>
          </w:tcPr>
          <w:p w14:paraId="2AAD3D45" w14:textId="77777777" w:rsidR="00886F82" w:rsidRPr="000D2922" w:rsidRDefault="00886F82" w:rsidP="00886F82">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NGO-90535</w:t>
            </w:r>
          </w:p>
        </w:tc>
      </w:tr>
      <w:tr w:rsidR="00886F82" w:rsidRPr="000D358B" w14:paraId="74F76E24" w14:textId="77777777" w:rsidTr="00A502CC">
        <w:trPr>
          <w:trHeight w:val="576"/>
        </w:trPr>
        <w:tc>
          <w:tcPr>
            <w:tcW w:w="3148" w:type="pct"/>
            <w:shd w:val="clear" w:color="auto" w:fill="auto"/>
            <w:vAlign w:val="center"/>
          </w:tcPr>
          <w:p w14:paraId="4DAA77E3" w14:textId="77777777" w:rsidR="00886F82" w:rsidRPr="000D2922" w:rsidRDefault="00886F82" w:rsidP="00886F82">
            <w:pPr>
              <w:contextualSpacing/>
              <w:rPr>
                <w:rFonts w:asciiTheme="minorBidi" w:hAnsiTheme="minorBidi" w:cstheme="minorBidi"/>
                <w:b/>
                <w:bCs/>
                <w:sz w:val="20"/>
                <w:szCs w:val="20"/>
              </w:rPr>
            </w:pPr>
            <w:r>
              <w:rPr>
                <w:rFonts w:asciiTheme="minorBidi" w:hAnsiTheme="minorBidi"/>
                <w:b/>
                <w:sz w:val="20"/>
                <w:rtl/>
              </w:rPr>
              <w:t>جمعيّة صيانة القصور والمحافظة على التّراث ببني خداش</w:t>
            </w:r>
          </w:p>
          <w:p w14:paraId="1FC60EF7" w14:textId="77777777" w:rsidR="00886F82" w:rsidRPr="00165541" w:rsidRDefault="00886F82" w:rsidP="00886F82">
            <w:pPr>
              <w:contextualSpacing/>
              <w:rPr>
                <w:rFonts w:asciiTheme="minorBidi" w:hAnsiTheme="minorBidi" w:cstheme="minorBidi"/>
                <w:sz w:val="20"/>
                <w:szCs w:val="20"/>
                <w:lang w:val="fr-FR"/>
              </w:rPr>
            </w:pPr>
            <w:r w:rsidRPr="00165541">
              <w:rPr>
                <w:rFonts w:asciiTheme="minorBidi" w:hAnsiTheme="minorBidi"/>
                <w:sz w:val="20"/>
                <w:lang w:val="fr-FR"/>
              </w:rPr>
              <w:t xml:space="preserve">Association de protection de ksour et sauvegarde du patrimoine à Béni </w:t>
            </w:r>
            <w:proofErr w:type="spellStart"/>
            <w:r w:rsidRPr="00165541">
              <w:rPr>
                <w:rFonts w:asciiTheme="minorBidi" w:hAnsiTheme="minorBidi"/>
                <w:sz w:val="20"/>
                <w:lang w:val="fr-FR"/>
              </w:rPr>
              <w:t>Kheddache</w:t>
            </w:r>
            <w:proofErr w:type="spellEnd"/>
          </w:p>
        </w:tc>
        <w:tc>
          <w:tcPr>
            <w:tcW w:w="1010" w:type="pct"/>
            <w:shd w:val="clear" w:color="auto" w:fill="auto"/>
            <w:vAlign w:val="center"/>
          </w:tcPr>
          <w:p w14:paraId="0C38E8DC"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Túnez</w:t>
            </w:r>
          </w:p>
        </w:tc>
        <w:tc>
          <w:tcPr>
            <w:tcW w:w="842" w:type="pct"/>
            <w:shd w:val="clear" w:color="auto" w:fill="auto"/>
            <w:vAlign w:val="center"/>
          </w:tcPr>
          <w:p w14:paraId="7E49EC33"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NGO-90534</w:t>
            </w:r>
          </w:p>
        </w:tc>
      </w:tr>
      <w:tr w:rsidR="00886F82" w:rsidRPr="000D358B" w14:paraId="3B929D52" w14:textId="77777777" w:rsidTr="00A502CC">
        <w:trPr>
          <w:trHeight w:val="576"/>
        </w:trPr>
        <w:tc>
          <w:tcPr>
            <w:tcW w:w="3148" w:type="pct"/>
            <w:shd w:val="clear" w:color="auto" w:fill="DEEAF6" w:themeFill="accent1" w:themeFillTint="33"/>
            <w:vAlign w:val="center"/>
          </w:tcPr>
          <w:p w14:paraId="5349409B" w14:textId="77777777" w:rsidR="00886F82" w:rsidRPr="000D2922" w:rsidRDefault="00886F82" w:rsidP="00886F82">
            <w:pPr>
              <w:contextualSpacing/>
              <w:rPr>
                <w:rFonts w:asciiTheme="minorBidi" w:hAnsiTheme="minorBidi" w:cstheme="minorBidi"/>
                <w:b/>
                <w:bCs/>
                <w:sz w:val="20"/>
                <w:szCs w:val="20"/>
              </w:rPr>
            </w:pPr>
            <w:r>
              <w:rPr>
                <w:rFonts w:asciiTheme="minorBidi" w:hAnsiTheme="minorBidi"/>
                <w:b/>
                <w:sz w:val="20"/>
                <w:rtl/>
              </w:rPr>
              <w:t xml:space="preserve">مؤسسة </w:t>
            </w:r>
            <w:proofErr w:type="spellStart"/>
            <w:r>
              <w:rPr>
                <w:rFonts w:asciiTheme="minorBidi" w:hAnsiTheme="minorBidi"/>
                <w:b/>
                <w:sz w:val="20"/>
                <w:rtl/>
              </w:rPr>
              <w:t>راقودة</w:t>
            </w:r>
            <w:proofErr w:type="spellEnd"/>
            <w:r>
              <w:rPr>
                <w:rFonts w:asciiTheme="minorBidi" w:hAnsiTheme="minorBidi"/>
                <w:b/>
                <w:sz w:val="20"/>
                <w:rtl/>
              </w:rPr>
              <w:t xml:space="preserve"> للفن والتراث</w:t>
            </w:r>
          </w:p>
          <w:p w14:paraId="3C4058F2" w14:textId="77777777" w:rsidR="00886F82" w:rsidRPr="000D2922" w:rsidRDefault="00886F82" w:rsidP="00886F82">
            <w:pPr>
              <w:contextualSpacing/>
              <w:rPr>
                <w:rFonts w:asciiTheme="minorBidi" w:hAnsiTheme="minorBidi" w:cstheme="minorBidi"/>
                <w:sz w:val="20"/>
                <w:szCs w:val="20"/>
              </w:rPr>
            </w:pPr>
            <w:proofErr w:type="spellStart"/>
            <w:r>
              <w:rPr>
                <w:rFonts w:asciiTheme="minorBidi" w:hAnsiTheme="minorBidi"/>
                <w:sz w:val="20"/>
              </w:rPr>
              <w:t>Raquda</w:t>
            </w:r>
            <w:proofErr w:type="spellEnd"/>
            <w:r>
              <w:rPr>
                <w:rFonts w:asciiTheme="minorBidi" w:hAnsiTheme="minorBidi"/>
                <w:sz w:val="20"/>
              </w:rPr>
              <w:t xml:space="preserve"> </w:t>
            </w:r>
            <w:proofErr w:type="spellStart"/>
            <w:r>
              <w:rPr>
                <w:rFonts w:asciiTheme="minorBidi" w:hAnsiTheme="minorBidi"/>
                <w:sz w:val="20"/>
              </w:rPr>
              <w:t>Foundation</w:t>
            </w:r>
            <w:proofErr w:type="spellEnd"/>
            <w:r>
              <w:rPr>
                <w:rFonts w:asciiTheme="minorBidi" w:hAnsiTheme="minorBidi"/>
                <w:sz w:val="20"/>
              </w:rPr>
              <w:t xml:space="preserve"> for Art and Heritage</w:t>
            </w:r>
          </w:p>
        </w:tc>
        <w:tc>
          <w:tcPr>
            <w:tcW w:w="1010" w:type="pct"/>
            <w:shd w:val="clear" w:color="auto" w:fill="DEEAF6" w:themeFill="accent1" w:themeFillTint="33"/>
            <w:vAlign w:val="center"/>
          </w:tcPr>
          <w:p w14:paraId="0BA0FF34" w14:textId="77777777" w:rsidR="00886F82" w:rsidRPr="000D2922" w:rsidRDefault="00886F82" w:rsidP="00886F82">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Egipto</w:t>
            </w:r>
          </w:p>
        </w:tc>
        <w:tc>
          <w:tcPr>
            <w:tcW w:w="842" w:type="pct"/>
            <w:shd w:val="clear" w:color="auto" w:fill="DEEAF6" w:themeFill="accent1" w:themeFillTint="33"/>
            <w:vAlign w:val="center"/>
          </w:tcPr>
          <w:p w14:paraId="3A6B25B6"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NGO-90581</w:t>
            </w:r>
          </w:p>
        </w:tc>
      </w:tr>
      <w:tr w:rsidR="00886F82" w:rsidRPr="000D358B" w14:paraId="0F61ABAF" w14:textId="77777777" w:rsidTr="00A502CC">
        <w:trPr>
          <w:trHeight w:val="576"/>
        </w:trPr>
        <w:tc>
          <w:tcPr>
            <w:tcW w:w="3148" w:type="pct"/>
            <w:shd w:val="clear" w:color="auto" w:fill="auto"/>
            <w:vAlign w:val="center"/>
          </w:tcPr>
          <w:p w14:paraId="02AA2357" w14:textId="77777777" w:rsidR="00886F82" w:rsidRPr="000D2922" w:rsidRDefault="00886F82" w:rsidP="00886F82">
            <w:pPr>
              <w:contextualSpacing/>
              <w:rPr>
                <w:rFonts w:asciiTheme="minorBidi" w:hAnsiTheme="minorBidi" w:cstheme="minorBidi"/>
                <w:sz w:val="20"/>
                <w:szCs w:val="20"/>
              </w:rPr>
            </w:pPr>
            <w:r>
              <w:rPr>
                <w:rFonts w:asciiTheme="minorBidi" w:hAnsiTheme="minorBidi"/>
                <w:b/>
                <w:sz w:val="20"/>
                <w:rtl/>
              </w:rPr>
              <w:t xml:space="preserve">مؤسسه </w:t>
            </w:r>
            <w:proofErr w:type="spellStart"/>
            <w:r>
              <w:rPr>
                <w:rFonts w:asciiTheme="minorBidi" w:hAnsiTheme="minorBidi"/>
                <w:b/>
                <w:sz w:val="20"/>
                <w:rtl/>
              </w:rPr>
              <w:t>فرهنگی</w:t>
            </w:r>
            <w:proofErr w:type="spellEnd"/>
            <w:r>
              <w:rPr>
                <w:rFonts w:asciiTheme="minorBidi" w:hAnsiTheme="minorBidi"/>
                <w:b/>
                <w:sz w:val="20"/>
                <w:rtl/>
              </w:rPr>
              <w:t xml:space="preserve"> </w:t>
            </w:r>
            <w:proofErr w:type="spellStart"/>
            <w:r>
              <w:rPr>
                <w:rFonts w:asciiTheme="minorBidi" w:hAnsiTheme="minorBidi"/>
                <w:b/>
                <w:sz w:val="20"/>
                <w:rtl/>
              </w:rPr>
              <w:t>هنری</w:t>
            </w:r>
            <w:proofErr w:type="spellEnd"/>
            <w:r>
              <w:rPr>
                <w:rFonts w:asciiTheme="minorBidi" w:hAnsiTheme="minorBidi"/>
                <w:b/>
                <w:sz w:val="20"/>
                <w:rtl/>
              </w:rPr>
              <w:t xml:space="preserve"> مانا نقش شهاب</w:t>
            </w:r>
          </w:p>
          <w:p w14:paraId="541A7E32" w14:textId="77777777" w:rsidR="00886F82" w:rsidRPr="00165541" w:rsidRDefault="00886F82" w:rsidP="00886F82">
            <w:pPr>
              <w:contextualSpacing/>
              <w:rPr>
                <w:rFonts w:asciiTheme="minorBidi" w:hAnsiTheme="minorBidi" w:cstheme="minorBidi"/>
                <w:b/>
                <w:bCs/>
                <w:sz w:val="20"/>
                <w:szCs w:val="20"/>
                <w:lang w:val="en-US"/>
              </w:rPr>
            </w:pPr>
            <w:r w:rsidRPr="00165541">
              <w:rPr>
                <w:rFonts w:asciiTheme="minorBidi" w:hAnsiTheme="minorBidi"/>
                <w:sz w:val="20"/>
                <w:lang w:val="en-US"/>
              </w:rPr>
              <w:t xml:space="preserve">Mana </w:t>
            </w:r>
            <w:proofErr w:type="spellStart"/>
            <w:r w:rsidRPr="00165541">
              <w:rPr>
                <w:rFonts w:asciiTheme="minorBidi" w:hAnsiTheme="minorBidi"/>
                <w:sz w:val="20"/>
                <w:lang w:val="en-US"/>
              </w:rPr>
              <w:t>Naqsh</w:t>
            </w:r>
            <w:proofErr w:type="spellEnd"/>
            <w:r w:rsidRPr="00165541">
              <w:rPr>
                <w:rFonts w:asciiTheme="minorBidi" w:hAnsiTheme="minorBidi"/>
                <w:sz w:val="20"/>
                <w:lang w:val="en-US"/>
              </w:rPr>
              <w:t xml:space="preserve"> Shahab Art &amp; Culture Institute</w:t>
            </w:r>
          </w:p>
        </w:tc>
        <w:tc>
          <w:tcPr>
            <w:tcW w:w="1010" w:type="pct"/>
            <w:shd w:val="clear" w:color="auto" w:fill="auto"/>
            <w:vAlign w:val="center"/>
          </w:tcPr>
          <w:p w14:paraId="176829D9"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Irán (República Islámica del)</w:t>
            </w:r>
          </w:p>
        </w:tc>
        <w:tc>
          <w:tcPr>
            <w:tcW w:w="842" w:type="pct"/>
            <w:shd w:val="clear" w:color="auto" w:fill="auto"/>
            <w:vAlign w:val="center"/>
          </w:tcPr>
          <w:p w14:paraId="121A209C" w14:textId="77777777" w:rsidR="00886F82" w:rsidRPr="000D2922" w:rsidRDefault="00886F82" w:rsidP="00886F82">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NGO-90551</w:t>
            </w:r>
          </w:p>
        </w:tc>
      </w:tr>
      <w:tr w:rsidR="00886F82" w:rsidRPr="000D358B" w14:paraId="7DCC1BC1" w14:textId="77777777" w:rsidTr="00A502CC">
        <w:trPr>
          <w:trHeight w:val="576"/>
        </w:trPr>
        <w:tc>
          <w:tcPr>
            <w:tcW w:w="3148" w:type="pct"/>
            <w:shd w:val="clear" w:color="auto" w:fill="DEEAF6" w:themeFill="accent1" w:themeFillTint="33"/>
            <w:vAlign w:val="center"/>
          </w:tcPr>
          <w:p w14:paraId="31041617" w14:textId="77777777" w:rsidR="00886F82" w:rsidRPr="000D2922" w:rsidRDefault="00886F82" w:rsidP="00886F82">
            <w:pPr>
              <w:contextualSpacing/>
              <w:rPr>
                <w:rFonts w:asciiTheme="minorBidi" w:hAnsiTheme="minorBidi" w:cstheme="minorBidi"/>
                <w:b/>
                <w:bCs/>
                <w:sz w:val="20"/>
                <w:szCs w:val="20"/>
              </w:rPr>
            </w:pPr>
            <w:proofErr w:type="spellStart"/>
            <w:r>
              <w:rPr>
                <w:rFonts w:ascii="Nirmala UI" w:hAnsi="Nirmala UI"/>
                <w:b/>
                <w:sz w:val="20"/>
              </w:rPr>
              <w:t>ಕರ್ನಾಟಕ</w:t>
            </w:r>
            <w:proofErr w:type="spellEnd"/>
            <w:r>
              <w:rPr>
                <w:rFonts w:asciiTheme="minorBidi" w:hAnsiTheme="minorBidi"/>
                <w:b/>
                <w:sz w:val="20"/>
              </w:rPr>
              <w:t xml:space="preserve"> </w:t>
            </w:r>
            <w:proofErr w:type="spellStart"/>
            <w:r>
              <w:rPr>
                <w:rFonts w:ascii="Nirmala UI" w:hAnsi="Nirmala UI"/>
                <w:b/>
                <w:sz w:val="20"/>
              </w:rPr>
              <w:t>ಜಾನಪದ</w:t>
            </w:r>
            <w:proofErr w:type="spellEnd"/>
            <w:r>
              <w:rPr>
                <w:rFonts w:asciiTheme="minorBidi" w:hAnsiTheme="minorBidi"/>
                <w:b/>
                <w:sz w:val="20"/>
              </w:rPr>
              <w:t xml:space="preserve"> </w:t>
            </w:r>
            <w:proofErr w:type="spellStart"/>
            <w:r>
              <w:rPr>
                <w:rFonts w:ascii="Nirmala UI" w:hAnsi="Nirmala UI"/>
                <w:b/>
                <w:sz w:val="20"/>
              </w:rPr>
              <w:t>ಪರಿಷತ್ತು</w:t>
            </w:r>
            <w:proofErr w:type="spellEnd"/>
          </w:p>
          <w:p w14:paraId="04D04F12" w14:textId="77777777" w:rsidR="00886F82" w:rsidRPr="000D2922" w:rsidRDefault="00886F82" w:rsidP="00886F82">
            <w:pPr>
              <w:contextualSpacing/>
              <w:rPr>
                <w:rFonts w:asciiTheme="minorBidi" w:hAnsiTheme="minorBidi" w:cstheme="minorBidi"/>
                <w:sz w:val="20"/>
                <w:szCs w:val="20"/>
              </w:rPr>
            </w:pPr>
            <w:r>
              <w:rPr>
                <w:rFonts w:asciiTheme="minorBidi" w:hAnsiTheme="minorBidi"/>
                <w:sz w:val="20"/>
              </w:rPr>
              <w:t xml:space="preserve">Karnataka </w:t>
            </w:r>
            <w:proofErr w:type="spellStart"/>
            <w:r>
              <w:rPr>
                <w:rFonts w:asciiTheme="minorBidi" w:hAnsiTheme="minorBidi"/>
                <w:sz w:val="20"/>
              </w:rPr>
              <w:t>Janapada</w:t>
            </w:r>
            <w:proofErr w:type="spellEnd"/>
            <w:r>
              <w:rPr>
                <w:rFonts w:asciiTheme="minorBidi" w:hAnsiTheme="minorBidi"/>
                <w:sz w:val="20"/>
              </w:rPr>
              <w:t xml:space="preserve"> </w:t>
            </w:r>
            <w:proofErr w:type="spellStart"/>
            <w:r>
              <w:rPr>
                <w:rFonts w:asciiTheme="minorBidi" w:hAnsiTheme="minorBidi"/>
                <w:sz w:val="20"/>
              </w:rPr>
              <w:t>Parishath</w:t>
            </w:r>
            <w:proofErr w:type="spellEnd"/>
          </w:p>
        </w:tc>
        <w:tc>
          <w:tcPr>
            <w:tcW w:w="1010" w:type="pct"/>
            <w:shd w:val="clear" w:color="auto" w:fill="DEEAF6" w:themeFill="accent1" w:themeFillTint="33"/>
            <w:vAlign w:val="center"/>
          </w:tcPr>
          <w:p w14:paraId="4676096E" w14:textId="77777777" w:rsidR="00886F82" w:rsidRPr="000D2922" w:rsidRDefault="00886F82" w:rsidP="00886F82">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India</w:t>
            </w:r>
          </w:p>
        </w:tc>
        <w:tc>
          <w:tcPr>
            <w:tcW w:w="842" w:type="pct"/>
            <w:shd w:val="clear" w:color="auto" w:fill="DEEAF6" w:themeFill="accent1" w:themeFillTint="33"/>
            <w:vAlign w:val="center"/>
          </w:tcPr>
          <w:p w14:paraId="39549B07" w14:textId="77777777" w:rsidR="00886F82" w:rsidRPr="000D2922" w:rsidRDefault="00886F82" w:rsidP="00886F82">
            <w:pPr>
              <w:contextualSpacing/>
              <w:jc w:val="center"/>
              <w:rPr>
                <w:rFonts w:asciiTheme="minorBidi" w:hAnsiTheme="minorBidi" w:cstheme="minorBidi"/>
                <w:sz w:val="20"/>
                <w:szCs w:val="20"/>
              </w:rPr>
            </w:pPr>
            <w:r>
              <w:rPr>
                <w:rFonts w:asciiTheme="minorBidi" w:hAnsiTheme="minorBidi"/>
                <w:sz w:val="20"/>
              </w:rPr>
              <w:t>NGO-90550</w:t>
            </w:r>
          </w:p>
        </w:tc>
      </w:tr>
      <w:bookmarkEnd w:id="3"/>
    </w:tbl>
    <w:p w14:paraId="210ABFE7" w14:textId="77777777" w:rsidR="009D68F8" w:rsidRDefault="009D68F8" w:rsidP="00C0269C">
      <w:pPr>
        <w:rPr>
          <w:rFonts w:asciiTheme="minorBidi" w:hAnsiTheme="minorBidi" w:cstheme="minorBidi"/>
          <w:snapToGrid w:val="0"/>
          <w:u w:val="single"/>
          <w:lang w:val="en-GB" w:eastAsia="en-US"/>
        </w:rPr>
        <w:sectPr w:rsidR="009D68F8" w:rsidSect="008A1337">
          <w:headerReference w:type="even" r:id="rId16"/>
          <w:headerReference w:type="default" r:id="rId17"/>
          <w:headerReference w:type="first" r:id="rId18"/>
          <w:pgSz w:w="11906" w:h="16838" w:code="9"/>
          <w:pgMar w:top="1418" w:right="1134" w:bottom="1134" w:left="1134" w:header="397" w:footer="284" w:gutter="0"/>
          <w:cols w:space="708"/>
          <w:titlePg/>
          <w:docGrid w:linePitch="360"/>
        </w:sectPr>
      </w:pPr>
    </w:p>
    <w:p w14:paraId="38214144" w14:textId="77777777" w:rsidR="009D68F8" w:rsidRDefault="009D68F8" w:rsidP="00EB22AF">
      <w:pPr>
        <w:rPr>
          <w:rFonts w:ascii="Arial" w:hAnsi="Arial"/>
          <w:b/>
          <w:sz w:val="22"/>
        </w:rPr>
      </w:pPr>
    </w:p>
    <w:p w14:paraId="6ED18EAA" w14:textId="77777777" w:rsidR="009D68F8" w:rsidRPr="00C84BA3" w:rsidRDefault="009D68F8" w:rsidP="00676806">
      <w:pPr>
        <w:spacing w:before="1440"/>
        <w:jc w:val="center"/>
        <w:rPr>
          <w:rFonts w:ascii="Arial" w:hAnsi="Arial" w:cs="Arial"/>
          <w:b/>
          <w:sz w:val="22"/>
          <w:szCs w:val="22"/>
        </w:rPr>
      </w:pPr>
      <w:r>
        <w:rPr>
          <w:rFonts w:ascii="Arial" w:hAnsi="Arial"/>
          <w:b/>
          <w:sz w:val="22"/>
        </w:rPr>
        <w:t>CONVENCIÓN PARA LA SALVAGUARDIA DEL</w:t>
      </w:r>
      <w:r>
        <w:rPr>
          <w:rFonts w:ascii="Arial" w:hAnsi="Arial"/>
          <w:b/>
          <w:sz w:val="22"/>
        </w:rPr>
        <w:br/>
        <w:t>PATRIMONIO CULTURAL INMATERIAL</w:t>
      </w:r>
    </w:p>
    <w:p w14:paraId="785AFC1A" w14:textId="77777777" w:rsidR="009D68F8" w:rsidRPr="00C84BA3" w:rsidRDefault="009D68F8" w:rsidP="00EC6F8D">
      <w:pPr>
        <w:spacing w:before="1200"/>
        <w:jc w:val="center"/>
        <w:rPr>
          <w:rFonts w:ascii="Arial" w:hAnsi="Arial" w:cs="Arial"/>
          <w:b/>
          <w:sz w:val="22"/>
          <w:szCs w:val="22"/>
        </w:rPr>
      </w:pPr>
      <w:r>
        <w:rPr>
          <w:rFonts w:ascii="Arial" w:hAnsi="Arial"/>
          <w:b/>
          <w:sz w:val="22"/>
        </w:rPr>
        <w:t xml:space="preserve">ASAMBLEA GENERAL DE LOS </w:t>
      </w:r>
      <w:proofErr w:type="gramStart"/>
      <w:r>
        <w:rPr>
          <w:rFonts w:ascii="Arial" w:hAnsi="Arial"/>
          <w:b/>
          <w:sz w:val="22"/>
        </w:rPr>
        <w:t>ESTADOS PARTES</w:t>
      </w:r>
      <w:proofErr w:type="gramEnd"/>
      <w:r>
        <w:rPr>
          <w:rFonts w:ascii="Arial" w:hAnsi="Arial"/>
          <w:b/>
          <w:sz w:val="22"/>
        </w:rPr>
        <w:t xml:space="preserve"> EN LA CONVENCIÓN</w:t>
      </w:r>
    </w:p>
    <w:p w14:paraId="55866476" w14:textId="77777777" w:rsidR="009D68F8" w:rsidRPr="00C84BA3" w:rsidRDefault="009D68F8" w:rsidP="001D14FE">
      <w:pPr>
        <w:spacing w:before="840"/>
        <w:jc w:val="center"/>
        <w:rPr>
          <w:rFonts w:ascii="Arial" w:hAnsi="Arial" w:cs="Arial"/>
          <w:b/>
          <w:sz w:val="22"/>
          <w:szCs w:val="22"/>
        </w:rPr>
      </w:pPr>
      <w:r>
        <w:rPr>
          <w:rFonts w:ascii="Arial" w:hAnsi="Arial"/>
          <w:b/>
          <w:sz w:val="22"/>
        </w:rPr>
        <w:t>Décima reunión</w:t>
      </w:r>
    </w:p>
    <w:p w14:paraId="1FC8D5D1" w14:textId="77777777" w:rsidR="009D68F8" w:rsidRPr="00C84BA3" w:rsidRDefault="009D68F8" w:rsidP="00B2172B">
      <w:pPr>
        <w:jc w:val="center"/>
        <w:rPr>
          <w:rFonts w:ascii="Arial" w:hAnsi="Arial" w:cs="Arial"/>
          <w:b/>
          <w:sz w:val="22"/>
          <w:szCs w:val="22"/>
        </w:rPr>
      </w:pPr>
      <w:r>
        <w:rPr>
          <w:rFonts w:ascii="Arial" w:hAnsi="Arial"/>
          <w:b/>
          <w:sz w:val="22"/>
        </w:rPr>
        <w:t>Sede de la UNESCO, Sala I</w:t>
      </w:r>
    </w:p>
    <w:p w14:paraId="76BF6952" w14:textId="77777777" w:rsidR="009D68F8" w:rsidRPr="00C84BA3" w:rsidRDefault="009D68F8" w:rsidP="00B2172B">
      <w:pPr>
        <w:jc w:val="center"/>
        <w:rPr>
          <w:rFonts w:ascii="Arial" w:hAnsi="Arial" w:cs="Arial"/>
          <w:b/>
          <w:sz w:val="22"/>
          <w:szCs w:val="22"/>
        </w:rPr>
      </w:pPr>
      <w:r>
        <w:rPr>
          <w:rFonts w:ascii="Arial" w:hAnsi="Arial"/>
          <w:b/>
          <w:sz w:val="22"/>
        </w:rPr>
        <w:t>11 al 12 de junio de 2024</w:t>
      </w:r>
    </w:p>
    <w:p w14:paraId="28386A0C" w14:textId="77777777" w:rsidR="009D68F8" w:rsidRPr="00C84BA3" w:rsidRDefault="009D68F8" w:rsidP="00DB5C2E">
      <w:pPr>
        <w:pStyle w:val="Sansinterligne2"/>
        <w:spacing w:before="960"/>
        <w:jc w:val="center"/>
        <w:rPr>
          <w:rFonts w:ascii="Arial" w:hAnsi="Arial" w:cs="Arial"/>
          <w:b/>
          <w:sz w:val="22"/>
          <w:szCs w:val="22"/>
        </w:rPr>
      </w:pPr>
      <w:r>
        <w:rPr>
          <w:rFonts w:ascii="Arial" w:hAnsi="Arial"/>
          <w:b/>
          <w:sz w:val="22"/>
          <w:u w:val="single"/>
        </w:rPr>
        <w:t>Punto 9 del orden del día provisional</w:t>
      </w:r>
      <w:r>
        <w:rPr>
          <w:rFonts w:ascii="Arial" w:hAnsi="Arial"/>
          <w:b/>
          <w:sz w:val="22"/>
        </w:rPr>
        <w:t>:</w:t>
      </w:r>
    </w:p>
    <w:p w14:paraId="1749208F" w14:textId="77777777" w:rsidR="009D68F8" w:rsidRPr="00C84BA3" w:rsidRDefault="009D68F8" w:rsidP="00DE5D5A">
      <w:pPr>
        <w:pStyle w:val="Sansinterligne2"/>
        <w:jc w:val="center"/>
        <w:rPr>
          <w:rFonts w:ascii="Arial" w:hAnsi="Arial" w:cs="Arial"/>
          <w:b/>
          <w:sz w:val="22"/>
          <w:szCs w:val="22"/>
        </w:rPr>
      </w:pPr>
      <w:r>
        <w:rPr>
          <w:rFonts w:ascii="Arial" w:hAnsi="Arial"/>
          <w:b/>
          <w:sz w:val="22"/>
        </w:rPr>
        <w:t xml:space="preserve">Acreditación de organizaciones no gubernamentales </w:t>
      </w:r>
    </w:p>
    <w:p w14:paraId="6B72CB63" w14:textId="77777777" w:rsidR="009D68F8" w:rsidRPr="00C84BA3" w:rsidRDefault="009D68F8" w:rsidP="00F53DC9">
      <w:pPr>
        <w:pStyle w:val="Sansinterligne2"/>
        <w:spacing w:after="720"/>
        <w:jc w:val="center"/>
        <w:rPr>
          <w:rFonts w:ascii="Arial" w:hAnsi="Arial" w:cs="Arial"/>
          <w:b/>
          <w:sz w:val="22"/>
          <w:szCs w:val="22"/>
        </w:rPr>
      </w:pPr>
      <w:r>
        <w:rPr>
          <w:rFonts w:ascii="Arial" w:hAnsi="Arial"/>
          <w:b/>
          <w:sz w:val="22"/>
        </w:rPr>
        <w:t>con fines de asistencia consultiva ante el Comité</w:t>
      </w:r>
    </w:p>
    <w:p w14:paraId="2DF19312" w14:textId="77777777" w:rsidR="009D68F8" w:rsidRPr="00C84BA3" w:rsidRDefault="009D68F8" w:rsidP="00A8755A">
      <w:pPr>
        <w:pStyle w:val="Sansinterligne2"/>
        <w:spacing w:after="600"/>
        <w:jc w:val="center"/>
        <w:rPr>
          <w:rFonts w:ascii="Arial" w:hAnsi="Arial" w:cs="Arial"/>
          <w:b/>
          <w:sz w:val="22"/>
          <w:szCs w:val="22"/>
        </w:rPr>
      </w:pPr>
      <w:r>
        <w:rPr>
          <w:rFonts w:ascii="Arial" w:hAnsi="Arial"/>
          <w:b/>
          <w:sz w:val="22"/>
        </w:rPr>
        <w:t>Propuesta para garantizar el equilibrio geográfico entre las ONG acreditadas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D68F8" w:rsidRPr="00C84BA3" w14:paraId="622825AC" w14:textId="77777777" w:rsidTr="00EC6F8D">
        <w:trPr>
          <w:jc w:val="center"/>
        </w:trPr>
        <w:tc>
          <w:tcPr>
            <w:tcW w:w="5670" w:type="dxa"/>
            <w:vAlign w:val="center"/>
          </w:tcPr>
          <w:p w14:paraId="27A3E7FE" w14:textId="77777777" w:rsidR="009D68F8" w:rsidRPr="00C84BA3" w:rsidRDefault="009D68F8" w:rsidP="00CA56BB">
            <w:pPr>
              <w:pStyle w:val="Sansinterligne1"/>
              <w:spacing w:before="200" w:after="200"/>
              <w:jc w:val="center"/>
              <w:rPr>
                <w:rFonts w:ascii="Arial" w:hAnsi="Arial" w:cs="Arial"/>
                <w:b/>
                <w:sz w:val="22"/>
                <w:szCs w:val="22"/>
              </w:rPr>
            </w:pPr>
            <w:r>
              <w:rPr>
                <w:rFonts w:ascii="Arial" w:hAnsi="Arial"/>
                <w:b/>
                <w:sz w:val="22"/>
              </w:rPr>
              <w:t>Resumen</w:t>
            </w:r>
          </w:p>
          <w:p w14:paraId="5607B591" w14:textId="77777777" w:rsidR="009D68F8" w:rsidRPr="00C84BA3" w:rsidRDefault="009D68F8" w:rsidP="00BB6EEC">
            <w:pPr>
              <w:pStyle w:val="Sansinterligne1"/>
              <w:jc w:val="both"/>
              <w:rPr>
                <w:rFonts w:ascii="Arial" w:hAnsi="Arial" w:cs="Arial"/>
                <w:bCs/>
                <w:sz w:val="22"/>
                <w:szCs w:val="22"/>
              </w:rPr>
            </w:pPr>
            <w:r>
              <w:rPr>
                <w:rFonts w:ascii="Arial" w:hAnsi="Arial"/>
                <w:sz w:val="22"/>
              </w:rPr>
              <w:t xml:space="preserve">El presente </w:t>
            </w:r>
            <w:proofErr w:type="spellStart"/>
            <w:r>
              <w:rPr>
                <w:rFonts w:ascii="Arial" w:hAnsi="Arial"/>
                <w:sz w:val="22"/>
              </w:rPr>
              <w:t>addendum</w:t>
            </w:r>
            <w:proofErr w:type="spellEnd"/>
            <w:r>
              <w:rPr>
                <w:rFonts w:ascii="Arial" w:hAnsi="Arial"/>
                <w:sz w:val="22"/>
              </w:rPr>
              <w:t xml:space="preserve"> ofrece una propuesta para garantizar el equilibrio geográfico entre las ONG acreditadas en virtud de la Convención de 2003, en respuesta a la petición formulada por la novena reunión de </w:t>
            </w:r>
            <w:r w:rsidRPr="00EB22AF">
              <w:rPr>
                <w:rFonts w:ascii="Arial" w:hAnsi="Arial"/>
                <w:sz w:val="22"/>
                <w:szCs w:val="22"/>
              </w:rPr>
              <w:t xml:space="preserve">la Asamblea General (Resolución </w:t>
            </w:r>
            <w:hyperlink r:id="rId19" w:history="1">
              <w:r w:rsidRPr="00EB22AF">
                <w:rPr>
                  <w:rStyle w:val="Lienhypertexte"/>
                  <w:rFonts w:ascii="Arial" w:hAnsi="Arial" w:cs="Arial"/>
                  <w:sz w:val="22"/>
                  <w:szCs w:val="22"/>
                </w:rPr>
                <w:t>9.GA </w:t>
              </w:r>
              <w:r>
                <w:rPr>
                  <w:rStyle w:val="Lienhypertexte"/>
                  <w:rFonts w:ascii="Arial" w:hAnsi="Arial" w:cs="Arial"/>
                  <w:sz w:val="22"/>
                  <w:szCs w:val="22"/>
                </w:rPr>
                <w:t>7</w:t>
              </w:r>
            </w:hyperlink>
            <w:r w:rsidRPr="00EB22AF">
              <w:rPr>
                <w:rFonts w:ascii="Arial" w:hAnsi="Arial" w:cs="Arial"/>
                <w:sz w:val="22"/>
                <w:szCs w:val="22"/>
              </w:rPr>
              <w:t>).</w:t>
            </w:r>
          </w:p>
          <w:p w14:paraId="00CD61A8" w14:textId="77777777" w:rsidR="009D68F8" w:rsidRPr="00C84BA3" w:rsidRDefault="009D68F8" w:rsidP="00CA56BB">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párrafo 15</w:t>
            </w:r>
          </w:p>
        </w:tc>
      </w:tr>
    </w:tbl>
    <w:p w14:paraId="393A27CE" w14:textId="77777777" w:rsidR="009D68F8" w:rsidRPr="002676BE" w:rsidRDefault="009D68F8" w:rsidP="00D67A44">
      <w:pPr>
        <w:pStyle w:val="Paragraphedeliste"/>
        <w:keepLines/>
        <w:spacing w:before="240" w:after="240"/>
        <w:ind w:left="0"/>
        <w:contextualSpacing w:val="0"/>
        <w:jc w:val="both"/>
        <w:rPr>
          <w:rFonts w:ascii="Arial" w:hAnsi="Arial" w:cs="Arial"/>
          <w:b/>
          <w:bCs/>
        </w:rPr>
      </w:pPr>
      <w:r>
        <w:br w:type="page"/>
      </w:r>
      <w:bookmarkStart w:id="4" w:name="_Hlk124351255"/>
      <w:r>
        <w:rPr>
          <w:rFonts w:ascii="Arial" w:hAnsi="Arial"/>
          <w:b/>
          <w:snapToGrid w:val="0"/>
          <w:sz w:val="22"/>
        </w:rPr>
        <w:lastRenderedPageBreak/>
        <w:t>Antecedentes</w:t>
      </w:r>
    </w:p>
    <w:bookmarkEnd w:id="4"/>
    <w:p w14:paraId="0715D37F" w14:textId="77777777" w:rsidR="009D68F8" w:rsidRPr="00C84BA3" w:rsidRDefault="009D68F8" w:rsidP="009D68F8">
      <w:pPr>
        <w:pStyle w:val="COMPara"/>
        <w:numPr>
          <w:ilvl w:val="0"/>
          <w:numId w:val="9"/>
        </w:numPr>
        <w:ind w:left="567" w:hanging="567"/>
        <w:jc w:val="both"/>
      </w:pPr>
      <w:r>
        <w:t>En relación con el artículo 9 de la Convención de 2003, los órganos rectores de la Convención mostraron su preocupación por la persistente falta de equilibrio en la representación geográfica de los grupos electorales entre las ONG acreditadas para prestar servicios de asesoramiento al Comité. A pesar de que se alentó a las ONG aptas de las regiones subrepresentadas a presentar sus solicitudes de acreditación, la situación casi no varió a lo largo de los años.</w:t>
      </w:r>
    </w:p>
    <w:p w14:paraId="6B5F5174" w14:textId="77777777" w:rsidR="009D68F8" w:rsidRPr="00C84BA3" w:rsidRDefault="009D68F8" w:rsidP="000068BB">
      <w:pPr>
        <w:pStyle w:val="COMPara"/>
        <w:spacing w:before="240"/>
        <w:jc w:val="both"/>
        <w:rPr>
          <w:b/>
          <w:bCs/>
        </w:rPr>
      </w:pPr>
      <w:r>
        <w:rPr>
          <w:b/>
        </w:rPr>
        <w:t>Primeras reflexiones y ajustes</w:t>
      </w:r>
    </w:p>
    <w:p w14:paraId="42C4B053" w14:textId="3EA78962" w:rsidR="009D68F8" w:rsidRPr="00C84BA3" w:rsidRDefault="009D68F8" w:rsidP="009D68F8">
      <w:pPr>
        <w:pStyle w:val="COMPara"/>
        <w:numPr>
          <w:ilvl w:val="0"/>
          <w:numId w:val="9"/>
        </w:numPr>
        <w:ind w:left="567" w:hanging="567"/>
        <w:jc w:val="both"/>
      </w:pPr>
      <w:r>
        <w:t>En 2017, en su duodécima reunión, el “Comité” inició un proceso de reflexión sobre la función consultiva de las ONG acreditadas (Decisiones</w:t>
      </w:r>
      <w:hyperlink r:id="rId20" w:history="1">
        <w:r>
          <w:rPr>
            <w:rStyle w:val="Lienhypertexte"/>
          </w:rPr>
          <w:t xml:space="preserve"> 12.COM 13</w:t>
        </w:r>
      </w:hyperlink>
      <w:r>
        <w:t xml:space="preserve"> y </w:t>
      </w:r>
      <w:hyperlink r:id="rId21" w:history="1">
        <w:r>
          <w:rPr>
            <w:rStyle w:val="Lienhypertexte"/>
          </w:rPr>
          <w:t>12.COM 17</w:t>
        </w:r>
      </w:hyperlink>
      <w:r>
        <w:t>) en el que también se abordó la cuestión de la falta de equilibrio en la distribución geográfica de las ONG acreditadas.</w:t>
      </w:r>
      <w:r>
        <w:rPr>
          <w:shd w:val="clear" w:color="auto" w:fill="FFFFFF" w:themeFill="background1"/>
        </w:rPr>
        <w:t xml:space="preserve"> </w:t>
      </w:r>
      <w:r>
        <w:t xml:space="preserve">En total, 76 Estados y 99 ONG acreditadas participaron en al menos una etapa del proceso de reflexión, ya fuera la consulta electrónica, la reunión de consulta, el grupo de trabajo oficioso </w:t>
      </w:r>
      <w:r>
        <w:rPr>
          <w:i/>
          <w:iCs/>
        </w:rPr>
        <w:t>ad hoc</w:t>
      </w:r>
      <w:r>
        <w:t xml:space="preserve"> de composición abierta o los debates del Comité en su decimotercera reunión de 2018. La decimocuarta reunión del Comité celebrada en 2019 debatió los resultados de la reflexión </w:t>
      </w:r>
      <w:r w:rsidRPr="00151DE7">
        <w:t xml:space="preserve">(Decisión </w:t>
      </w:r>
      <w:hyperlink r:id="rId22" w:history="1">
        <w:r w:rsidRPr="00151DE7">
          <w:rPr>
            <w:rStyle w:val="Lienhypertexte"/>
          </w:rPr>
          <w:t>14.COM 15</w:t>
        </w:r>
      </w:hyperlink>
      <w:r>
        <w:t>), incluidos los siguientes aspectos destacados:</w:t>
      </w:r>
    </w:p>
    <w:p w14:paraId="0EAD2A42" w14:textId="77777777" w:rsidR="009D68F8" w:rsidRPr="00C84BA3" w:rsidRDefault="009D68F8" w:rsidP="009D68F8">
      <w:pPr>
        <w:pStyle w:val="COMPara"/>
        <w:numPr>
          <w:ilvl w:val="0"/>
          <w:numId w:val="58"/>
        </w:numPr>
        <w:jc w:val="both"/>
      </w:pPr>
      <w:r>
        <w:rPr>
          <w:shd w:val="clear" w:color="auto" w:fill="FFFFFF" w:themeFill="background1"/>
        </w:rPr>
        <w:t>En el proceso de reflexión, se concluyó que</w:t>
      </w:r>
      <w:r>
        <w:t xml:space="preserve"> la opción de establecer un límite máximo de ONG acreditadas en las regiones sobrerrepresentadas no era bien acogida. En cambio, se dio preferencia a las iniciativas de sensibilización sobre el sistema de acreditación y creación de capacidad de las ONG de las regiones subrepresentadas.</w:t>
      </w:r>
    </w:p>
    <w:p w14:paraId="243AF21B" w14:textId="77777777" w:rsidR="009D68F8" w:rsidRPr="00C84BA3" w:rsidRDefault="009D68F8" w:rsidP="009D68F8">
      <w:pPr>
        <w:pStyle w:val="COMPara"/>
        <w:numPr>
          <w:ilvl w:val="0"/>
          <w:numId w:val="58"/>
        </w:numPr>
        <w:jc w:val="both"/>
      </w:pPr>
      <w:r>
        <w:t xml:space="preserve">Además, el Comité pidió escuchar las voces de las ONG a través de interacciones más significativas y regulares entre él y el Foro de ONG dedicadas al Patrimonio Cultural Inmaterial (PCI), por lo que decidió incluir, a título experimental, un punto específico sobre el “Informe del Foro de Organizaciones No Gubernamentales” en su decimoquinta reunión de 2020. </w:t>
      </w:r>
    </w:p>
    <w:p w14:paraId="0466BE45" w14:textId="77777777" w:rsidR="009D68F8" w:rsidRPr="00C84BA3" w:rsidRDefault="009D68F8" w:rsidP="009D68F8">
      <w:pPr>
        <w:pStyle w:val="COMPara"/>
        <w:numPr>
          <w:ilvl w:val="0"/>
          <w:numId w:val="58"/>
        </w:numPr>
        <w:jc w:val="both"/>
      </w:pPr>
      <w:r>
        <w:t>El Comité también decidió que sería útil cartografiar la red de ONG acreditadas para facilitar su participación en la aplicación de la Convención y en la labor del Comité. A este respecto, se pidió a la Secretaría que recabara información pertinente de las ONG acreditadas con el fin de describir sus esferas de competencia y reflejar sus capacidades.</w:t>
      </w:r>
    </w:p>
    <w:p w14:paraId="749E02FA" w14:textId="77777777" w:rsidR="009D68F8" w:rsidRPr="00C84BA3" w:rsidRDefault="009D68F8" w:rsidP="009D68F8">
      <w:pPr>
        <w:pStyle w:val="COMPara"/>
        <w:numPr>
          <w:ilvl w:val="0"/>
          <w:numId w:val="9"/>
        </w:numPr>
        <w:ind w:left="567" w:hanging="567"/>
        <w:jc w:val="both"/>
      </w:pPr>
      <w:r>
        <w:t xml:space="preserve">Tomando nota de los resultados del proceso de reflexión, la octava reunión de la Asamblea General pidió a la Secretaría que aplicara las decisiones pertinentes del Comité, en consulta y colaboración con el Foro de ONG dedicadas al PCI (Resolución </w:t>
      </w:r>
      <w:hyperlink r:id="rId23" w:history="1">
        <w:r>
          <w:rPr>
            <w:rStyle w:val="Lienhypertexte"/>
          </w:rPr>
          <w:t>8.GA 12</w:t>
        </w:r>
      </w:hyperlink>
      <w:r>
        <w:t xml:space="preserve">). En este sentido, el Comité incluyó un punto independiente sobre el “Informe del Foro de Organizaciones No Gubernamentales” en sus reuniones decimosexta (2021), decimoséptima (2022) y decimoctava (2023). Además, en 2023, se completó la primera ronda para la cartografía que muestra las esferas de competencia de 65 ONG acreditadas, en cooperación con el Foro de ONG dedicadas al PCI, tal y como se presentó en la decimoctava reunión del Comité y se publicó a través de la </w:t>
      </w:r>
      <w:hyperlink r:id="rId24" w:history="1">
        <w:r>
          <w:rPr>
            <w:rStyle w:val="Lienhypertexte"/>
          </w:rPr>
          <w:t>página web</w:t>
        </w:r>
      </w:hyperlink>
      <w:r>
        <w:t xml:space="preserve"> de la Convención dedicada a las ONG acreditadas. El Comité animó a la Secretaría a seguir colaborando con el Foro de ONG dedicadas al PCI para garantizar que el ejercicio de cartografía incluya a todas las ONG acreditadas restantes.</w:t>
      </w:r>
    </w:p>
    <w:p w14:paraId="6CE52D93" w14:textId="77777777" w:rsidR="009D68F8" w:rsidRPr="00C84BA3" w:rsidRDefault="009D68F8" w:rsidP="00DB2741">
      <w:pPr>
        <w:pStyle w:val="COMPara"/>
        <w:spacing w:before="240"/>
        <w:jc w:val="both"/>
        <w:rPr>
          <w:b/>
          <w:bCs/>
        </w:rPr>
      </w:pPr>
      <w:r>
        <w:rPr>
          <w:b/>
        </w:rPr>
        <w:t>Nuevo llamamiento a la acción</w:t>
      </w:r>
    </w:p>
    <w:p w14:paraId="2F124AE0" w14:textId="77777777" w:rsidR="009D68F8" w:rsidRPr="00C84BA3" w:rsidRDefault="009D68F8" w:rsidP="009D68F8">
      <w:pPr>
        <w:pStyle w:val="COMPara"/>
        <w:numPr>
          <w:ilvl w:val="0"/>
          <w:numId w:val="9"/>
        </w:numPr>
        <w:ind w:left="567" w:hanging="567"/>
        <w:jc w:val="both"/>
      </w:pPr>
      <w:r>
        <w:t xml:space="preserve">En el contexto de la finalización de la reflexión global sobre los mecanismos de inclusión en las listas de la Convención de 2003 (2018-2022), así como de la preparación del vigésimo aniversario de la Convención en 2023, la novena reunión de la Asamblea General de 2022 volvió a tratar la cuestión del desequilibrio en la representación geográfica de las ONG acreditadas. Tras la acreditación de 33 ONG nuevas, la distribución regional de las ONG acreditadas en ese momento era la siguiente: grupo </w:t>
      </w:r>
      <w:r w:rsidRPr="003A53B5">
        <w:t>I: 53 </w:t>
      </w:r>
      <w:r w:rsidRPr="00EB22AF">
        <w:t>por ciento,</w:t>
      </w:r>
      <w:r w:rsidRPr="003A53B5">
        <w:t xml:space="preserve"> grupo II: 10 </w:t>
      </w:r>
      <w:r w:rsidRPr="00EB22AF">
        <w:t>por ciento,</w:t>
      </w:r>
      <w:r w:rsidRPr="003A53B5">
        <w:t xml:space="preserve"> grupo III: 7 </w:t>
      </w:r>
      <w:r w:rsidRPr="00EB22AF">
        <w:t>por ciento,</w:t>
      </w:r>
      <w:r w:rsidRPr="003A53B5">
        <w:t xml:space="preserve"> grupo IV: 14 </w:t>
      </w:r>
      <w:r w:rsidRPr="00EB22AF">
        <w:t>por ciento,</w:t>
      </w:r>
      <w:r w:rsidRPr="003A53B5">
        <w:t xml:space="preserve"> grupo Va: 12 </w:t>
      </w:r>
      <w:r w:rsidRPr="00EB22AF">
        <w:t>por ciento,</w:t>
      </w:r>
      <w:r w:rsidRPr="003A53B5">
        <w:t xml:space="preserve"> y grupo </w:t>
      </w:r>
      <w:proofErr w:type="spellStart"/>
      <w:r w:rsidRPr="003A53B5">
        <w:t>Vb</w:t>
      </w:r>
      <w:proofErr w:type="spellEnd"/>
      <w:r w:rsidRPr="003A53B5">
        <w:t>: 5 </w:t>
      </w:r>
      <w:r w:rsidRPr="00EB22AF">
        <w:t xml:space="preserve">por </w:t>
      </w:r>
      <w:r w:rsidRPr="00EB22AF">
        <w:lastRenderedPageBreak/>
        <w:t>ciento</w:t>
      </w:r>
      <w:r w:rsidRPr="003A53B5">
        <w:t>. Dada la persistencia del desequilibrio entre las regiones, se consideró necesario un conjunto</w:t>
      </w:r>
      <w:r>
        <w:t xml:space="preserve"> de medidas más enérgicas para atraer a las ONG de las regiones subrepresentadas.</w:t>
      </w:r>
    </w:p>
    <w:p w14:paraId="6BCF518F" w14:textId="77777777" w:rsidR="009D68F8" w:rsidRPr="00C84BA3" w:rsidRDefault="009D68F8" w:rsidP="009D68F8">
      <w:pPr>
        <w:pStyle w:val="COMPara"/>
        <w:numPr>
          <w:ilvl w:val="0"/>
          <w:numId w:val="9"/>
        </w:numPr>
        <w:ind w:left="567" w:hanging="567"/>
        <w:jc w:val="both"/>
      </w:pPr>
      <w:r>
        <w:t xml:space="preserve">En consecuencia, la novena reunión de la Asamblea General de 2022 solicitó que la Secretaría, en consulta con los Estados Partes, las comisiones nacionales y el Foro de ONG dedicadas al PCI, presentara a la décima reunión de la Asamblea General “un plan, una estrategia y mecanismos claros para garantizar el equilibrio geográfico entre las ONG acreditadas” (Resolución </w:t>
      </w:r>
      <w:hyperlink r:id="rId25" w:history="1">
        <w:r>
          <w:rPr>
            <w:rStyle w:val="Lienhypertexte"/>
          </w:rPr>
          <w:t>9.GA 7</w:t>
        </w:r>
      </w:hyperlink>
      <w:r>
        <w:t>).</w:t>
      </w:r>
    </w:p>
    <w:p w14:paraId="0B78C128" w14:textId="77777777" w:rsidR="009D68F8" w:rsidRPr="00C84BA3" w:rsidRDefault="009D68F8" w:rsidP="008000B4">
      <w:pPr>
        <w:pStyle w:val="COMPara"/>
        <w:spacing w:before="240"/>
        <w:jc w:val="both"/>
        <w:rPr>
          <w:b/>
          <w:bCs/>
        </w:rPr>
      </w:pPr>
      <w:r>
        <w:rPr>
          <w:b/>
        </w:rPr>
        <w:t>Hacia el establecimiento de un plan</w:t>
      </w:r>
    </w:p>
    <w:p w14:paraId="3296C5B8" w14:textId="77777777" w:rsidR="009D68F8" w:rsidRPr="00C84BA3" w:rsidRDefault="009D68F8" w:rsidP="009D68F8">
      <w:pPr>
        <w:pStyle w:val="COMPara"/>
        <w:numPr>
          <w:ilvl w:val="0"/>
          <w:numId w:val="9"/>
        </w:numPr>
        <w:ind w:left="567" w:hanging="567"/>
        <w:jc w:val="both"/>
      </w:pPr>
      <w:r>
        <w:t>Las siguientes medidas proporcionaron los elementos necesarios para establecer el plan solicitado:</w:t>
      </w:r>
    </w:p>
    <w:p w14:paraId="5D2BE16F" w14:textId="77777777" w:rsidR="009D68F8" w:rsidRPr="00C84BA3" w:rsidRDefault="009D68F8" w:rsidP="00D74D86">
      <w:pPr>
        <w:pStyle w:val="COMPara"/>
        <w:keepNext/>
        <w:ind w:left="567"/>
        <w:jc w:val="both"/>
        <w:rPr>
          <w:u w:val="single"/>
        </w:rPr>
      </w:pPr>
      <w:r>
        <w:rPr>
          <w:u w:val="single"/>
        </w:rPr>
        <w:t>Foro de ONG dedicadas al PCI y centros de categoría 2</w:t>
      </w:r>
    </w:p>
    <w:p w14:paraId="77744500" w14:textId="77777777" w:rsidR="009D68F8" w:rsidRPr="00C84BA3" w:rsidRDefault="009D68F8" w:rsidP="009D68F8">
      <w:pPr>
        <w:pStyle w:val="COMPara"/>
        <w:keepNext/>
        <w:numPr>
          <w:ilvl w:val="0"/>
          <w:numId w:val="9"/>
        </w:numPr>
        <w:ind w:left="567" w:hanging="567"/>
        <w:jc w:val="both"/>
      </w:pPr>
      <w:r>
        <w:t xml:space="preserve">Como se apreció en la decimoctava reunión del Comité en 2023, el Foro de ONG dedicadas al PCI creó un grupo de trabajo específico para llevar a cabo actividades en 2022 con el objeto de aumentar el número de ONG situadas en regiones subrepresentadas (Decisión </w:t>
      </w:r>
      <w:hyperlink r:id="rId26" w:history="1">
        <w:r>
          <w:rPr>
            <w:rStyle w:val="Lienhypertexte"/>
          </w:rPr>
          <w:t>18.COM 15</w:t>
        </w:r>
      </w:hyperlink>
      <w:r>
        <w:t>). De todos los puntos de acción enumerados, el Foro de ONG dedicadas al PCI señaló en particular lo siguiente:</w:t>
      </w:r>
    </w:p>
    <w:tbl>
      <w:tblPr>
        <w:tblStyle w:val="Grilledutableau"/>
        <w:tblW w:w="0" w:type="auto"/>
        <w:tblInd w:w="562" w:type="dxa"/>
        <w:tblLook w:val="04A0" w:firstRow="1" w:lastRow="0" w:firstColumn="1" w:lastColumn="0" w:noHBand="0" w:noVBand="1"/>
      </w:tblPr>
      <w:tblGrid>
        <w:gridCol w:w="9066"/>
      </w:tblGrid>
      <w:tr w:rsidR="009D68F8" w:rsidRPr="00C84BA3" w14:paraId="16D2A976" w14:textId="77777777" w:rsidTr="009873C0">
        <w:tc>
          <w:tcPr>
            <w:tcW w:w="9066" w:type="dxa"/>
          </w:tcPr>
          <w:p w14:paraId="4287FD7F" w14:textId="77777777" w:rsidR="009D68F8" w:rsidRPr="00C84BA3" w:rsidRDefault="009D68F8" w:rsidP="00563EB2">
            <w:pPr>
              <w:spacing w:before="120" w:after="120"/>
              <w:jc w:val="both"/>
              <w:textAlignment w:val="baseline"/>
              <w:rPr>
                <w:rFonts w:asciiTheme="minorBidi" w:eastAsia="Georgia" w:hAnsiTheme="minorBidi" w:cstheme="minorBidi"/>
                <w:sz w:val="22"/>
                <w:szCs w:val="22"/>
              </w:rPr>
            </w:pPr>
            <w:r>
              <w:rPr>
                <w:rFonts w:ascii="Arial" w:hAnsi="Arial"/>
                <w:snapToGrid w:val="0"/>
                <w:sz w:val="22"/>
              </w:rPr>
              <w:t>“Durante los cuatro meses anteriores a la fecha límite de acreditación, el 30 de abril, el Foro organizó</w:t>
            </w:r>
            <w:r>
              <w:rPr>
                <w:rFonts w:asciiTheme="minorBidi" w:hAnsiTheme="minorBidi"/>
                <w:sz w:val="22"/>
              </w:rPr>
              <w:t xml:space="preserve"> talleres y sesiones informativas en línea en regiones subrepresentadas donde se presentaron la Convención y el Foro, se explicaron las ventajas de la acreditación y se facilitaron instrucciones pormenorizadas sobre cómo cumplimentar los formularios de acreditación. Estos actos tuvieron lugar en los </w:t>
            </w:r>
            <w:r w:rsidRPr="00A914E7">
              <w:rPr>
                <w:rFonts w:asciiTheme="minorBidi" w:hAnsiTheme="minorBidi"/>
                <w:sz w:val="22"/>
              </w:rPr>
              <w:t>grupos electorales III (América Latina y el Caribe), IV (Asia y el Pacífico), Va (África) y II (Europa Oriental).</w:t>
            </w:r>
            <w:r>
              <w:rPr>
                <w:rFonts w:asciiTheme="minorBidi" w:hAnsiTheme="minorBidi"/>
                <w:sz w:val="22"/>
              </w:rPr>
              <w:t xml:space="preserve"> La asistencia a estos actos fue muy numerosa, con la participación de hasta 31 ONG acreditadas. Los talleres de los grupos electorales II y III se llevaron a cabo en asociación con centros de categoría II.”</w:t>
            </w:r>
          </w:p>
          <w:p w14:paraId="7614CB92" w14:textId="77777777" w:rsidR="009D68F8" w:rsidRPr="00C84BA3" w:rsidRDefault="009D68F8" w:rsidP="00563EB2">
            <w:pPr>
              <w:spacing w:before="120" w:after="120"/>
              <w:jc w:val="right"/>
              <w:textAlignment w:val="baseline"/>
              <w:rPr>
                <w:rFonts w:asciiTheme="minorBidi" w:eastAsia="Georgia" w:hAnsiTheme="minorBidi" w:cstheme="minorBidi"/>
                <w:sz w:val="22"/>
                <w:szCs w:val="22"/>
              </w:rPr>
            </w:pPr>
            <w:r>
              <w:rPr>
                <w:rFonts w:asciiTheme="minorBidi" w:hAnsiTheme="minorBidi"/>
                <w:sz w:val="22"/>
              </w:rPr>
              <w:t>Extracto del documento 18.COM 15</w:t>
            </w:r>
          </w:p>
        </w:tc>
      </w:tr>
    </w:tbl>
    <w:p w14:paraId="2ABBCC71" w14:textId="77777777" w:rsidR="009D68F8" w:rsidRPr="00C84BA3" w:rsidRDefault="009D68F8" w:rsidP="009D68F8">
      <w:pPr>
        <w:pStyle w:val="COMPara"/>
        <w:keepNext/>
        <w:numPr>
          <w:ilvl w:val="0"/>
          <w:numId w:val="9"/>
        </w:numPr>
        <w:spacing w:before="240"/>
        <w:ind w:left="567" w:hanging="567"/>
        <w:jc w:val="both"/>
      </w:pPr>
      <w:r>
        <w:t>El Foro de ONG dedicadas al PCI también estableció un plan de acción que incluye lo siguiente: a) la creación de una base de datos de ONG no acreditadas en regiones subrepresentadas; b) el desarrollo de un conjunto de herramientas que contenga videos cortos y folletos con fines de sensibilización; c) la colaboración con los Estados Partes de las regiones subrepresentadas para generar solicitudes de acreditación; y d) actividades de divulgación para animar a las ONG que participan de manera significativa en la salvaguardia del patrimonio vivo, aunque esa no sea su especialización, como bibliotecas, archivos y organizaciones culturales. Algunos de los centros de categoría 2 activos en el ámbito del patrimonio cultural inmaterial también participaron activamente en la creación de capacidad de los coordinadores designados para preparar informes periódicos sobre cuestiones relativas a la participación de las ONG en la aplicación de la Convención de 2003 a escala nacional.</w:t>
      </w:r>
    </w:p>
    <w:p w14:paraId="019EC3DA" w14:textId="77777777" w:rsidR="009D68F8" w:rsidRPr="00C84BA3" w:rsidRDefault="009D68F8" w:rsidP="00D74D86">
      <w:pPr>
        <w:pStyle w:val="COMPara"/>
        <w:keepNext/>
        <w:ind w:left="567"/>
        <w:jc w:val="both"/>
        <w:rPr>
          <w:u w:val="single"/>
        </w:rPr>
      </w:pPr>
      <w:r>
        <w:rPr>
          <w:u w:val="single"/>
        </w:rPr>
        <w:t>Consulta con los Estados Partes</w:t>
      </w:r>
    </w:p>
    <w:p w14:paraId="42CC2988" w14:textId="77777777" w:rsidR="009D68F8" w:rsidRPr="00C84BA3" w:rsidRDefault="009D68F8" w:rsidP="009D68F8">
      <w:pPr>
        <w:pStyle w:val="COMPara"/>
        <w:keepNext/>
        <w:numPr>
          <w:ilvl w:val="0"/>
          <w:numId w:val="9"/>
        </w:numPr>
        <w:ind w:left="567" w:hanging="567"/>
        <w:jc w:val="both"/>
      </w:pPr>
      <w:r>
        <w:t>La Secretaría invitó a todos los Estados Partes (incluidas las delegaciones permanentes y las comisiones nacionales) de la Convención a aportar sus opiniones a través de una encuesta en línea que estuvo disponible entre el 26 de abril y el 15 de mayo de 2024. Las preguntas de la encuesta se centraron en las medidas a las que se debe otorgar prioridad para mejorar el equilibrio geográfico. Las respuestas recibidas de 37 Estados Partes se pueden resumir del modo siguiente:</w:t>
      </w:r>
    </w:p>
    <w:tbl>
      <w:tblPr>
        <w:tblStyle w:val="Grilledutableau"/>
        <w:tblW w:w="0" w:type="auto"/>
        <w:tblInd w:w="562" w:type="dxa"/>
        <w:tblLook w:val="04A0" w:firstRow="1" w:lastRow="0" w:firstColumn="1" w:lastColumn="0" w:noHBand="0" w:noVBand="1"/>
      </w:tblPr>
      <w:tblGrid>
        <w:gridCol w:w="7371"/>
        <w:gridCol w:w="1695"/>
      </w:tblGrid>
      <w:tr w:rsidR="009D68F8" w:rsidRPr="00151DE7" w14:paraId="6649B353" w14:textId="77777777" w:rsidTr="00C322DB">
        <w:tc>
          <w:tcPr>
            <w:tcW w:w="7371" w:type="dxa"/>
            <w:shd w:val="clear" w:color="auto" w:fill="DEEAF6" w:themeFill="accent1" w:themeFillTint="33"/>
          </w:tcPr>
          <w:p w14:paraId="2D622E1C" w14:textId="77777777" w:rsidR="009D68F8" w:rsidRPr="00151DE7" w:rsidRDefault="009D68F8" w:rsidP="00267CCC">
            <w:pPr>
              <w:rPr>
                <w:rFonts w:ascii="Arial" w:hAnsi="Arial" w:cs="Arial"/>
                <w:b/>
                <w:bCs/>
                <w:sz w:val="22"/>
                <w:szCs w:val="22"/>
              </w:rPr>
            </w:pPr>
            <w:r w:rsidRPr="00151DE7">
              <w:rPr>
                <w:rFonts w:ascii="Arial" w:hAnsi="Arial"/>
                <w:b/>
                <w:sz w:val="22"/>
                <w:szCs w:val="22"/>
              </w:rPr>
              <w:t>Medidas posibles</w:t>
            </w:r>
          </w:p>
        </w:tc>
        <w:tc>
          <w:tcPr>
            <w:tcW w:w="1695" w:type="dxa"/>
            <w:shd w:val="clear" w:color="auto" w:fill="DEEAF6" w:themeFill="accent1" w:themeFillTint="33"/>
          </w:tcPr>
          <w:p w14:paraId="2A8FB619" w14:textId="77777777" w:rsidR="009D68F8" w:rsidRPr="00151DE7" w:rsidRDefault="009D68F8" w:rsidP="00267CCC">
            <w:pPr>
              <w:pStyle w:val="COMPara"/>
              <w:keepNext/>
              <w:spacing w:after="0"/>
              <w:jc w:val="both"/>
              <w:rPr>
                <w:b/>
                <w:bCs/>
              </w:rPr>
            </w:pPr>
            <w:r w:rsidRPr="00151DE7">
              <w:rPr>
                <w:b/>
                <w:snapToGrid/>
              </w:rPr>
              <w:t>Respuestas</w:t>
            </w:r>
            <w:r w:rsidRPr="00151DE7">
              <w:rPr>
                <w:rStyle w:val="Appelnotedebasdep"/>
                <w:b/>
                <w:bCs/>
                <w:snapToGrid/>
                <w:lang w:eastAsia="fr-FR"/>
              </w:rPr>
              <w:footnoteReference w:id="3"/>
            </w:r>
            <w:r w:rsidRPr="00151DE7">
              <w:rPr>
                <w:b/>
                <w:snapToGrid/>
              </w:rPr>
              <w:t xml:space="preserve"> </w:t>
            </w:r>
          </w:p>
        </w:tc>
      </w:tr>
      <w:tr w:rsidR="009D68F8" w:rsidRPr="00151DE7" w14:paraId="22BB247B" w14:textId="77777777" w:rsidTr="00C322DB">
        <w:tc>
          <w:tcPr>
            <w:tcW w:w="7371" w:type="dxa"/>
          </w:tcPr>
          <w:p w14:paraId="3471539D" w14:textId="77777777" w:rsidR="009D68F8" w:rsidRPr="00151DE7" w:rsidRDefault="009D68F8" w:rsidP="004E3587">
            <w:pPr>
              <w:rPr>
                <w:rFonts w:ascii="Arial" w:hAnsi="Arial" w:cs="Arial"/>
                <w:sz w:val="22"/>
                <w:szCs w:val="22"/>
              </w:rPr>
            </w:pPr>
            <w:r w:rsidRPr="00151DE7">
              <w:rPr>
                <w:rFonts w:ascii="Arial" w:hAnsi="Arial"/>
                <w:sz w:val="22"/>
                <w:szCs w:val="22"/>
              </w:rPr>
              <w:t>Poner en marcha iniciativas de creación de capacidad para ONG acreditadas y no acreditadas de las regiones subrepresentadas</w:t>
            </w:r>
          </w:p>
        </w:tc>
        <w:tc>
          <w:tcPr>
            <w:tcW w:w="1695" w:type="dxa"/>
          </w:tcPr>
          <w:p w14:paraId="7AA18D6A" w14:textId="77777777" w:rsidR="009D68F8" w:rsidRPr="00151DE7" w:rsidRDefault="009D68F8" w:rsidP="004E3587">
            <w:pPr>
              <w:pStyle w:val="COMPara"/>
              <w:keepNext/>
              <w:spacing w:after="0"/>
              <w:jc w:val="both"/>
              <w:rPr>
                <w:rFonts w:cstheme="minorHAnsi"/>
              </w:rPr>
            </w:pPr>
            <w:r w:rsidRPr="00151DE7">
              <w:t>23 (62 %)</w:t>
            </w:r>
          </w:p>
        </w:tc>
      </w:tr>
      <w:tr w:rsidR="009D68F8" w:rsidRPr="00151DE7" w14:paraId="125D9DE2" w14:textId="77777777" w:rsidTr="00C322DB">
        <w:tc>
          <w:tcPr>
            <w:tcW w:w="7371" w:type="dxa"/>
          </w:tcPr>
          <w:p w14:paraId="007337A9" w14:textId="77777777" w:rsidR="009D68F8" w:rsidRPr="00151DE7" w:rsidRDefault="009D68F8" w:rsidP="004E3587">
            <w:pPr>
              <w:rPr>
                <w:rFonts w:ascii="Arial" w:hAnsi="Arial" w:cs="Arial"/>
                <w:sz w:val="22"/>
                <w:szCs w:val="22"/>
              </w:rPr>
            </w:pPr>
            <w:r w:rsidRPr="00151DE7">
              <w:rPr>
                <w:rFonts w:ascii="Arial" w:hAnsi="Arial"/>
                <w:sz w:val="22"/>
                <w:szCs w:val="22"/>
              </w:rPr>
              <w:lastRenderedPageBreak/>
              <w:t>Poner en marcha iniciativas de sensibilización (por ejemplo, sesiones informativas en línea o kits de información) en las regiones subrepresentadas sobre el sistema de acreditación y las ventajas de la acreditación</w:t>
            </w:r>
          </w:p>
        </w:tc>
        <w:tc>
          <w:tcPr>
            <w:tcW w:w="1695" w:type="dxa"/>
          </w:tcPr>
          <w:p w14:paraId="5F2B11FA" w14:textId="77777777" w:rsidR="009D68F8" w:rsidRPr="00151DE7" w:rsidRDefault="009D68F8" w:rsidP="004E3587">
            <w:pPr>
              <w:pStyle w:val="COMPara"/>
              <w:keepNext/>
              <w:spacing w:after="0"/>
              <w:jc w:val="both"/>
            </w:pPr>
            <w:r w:rsidRPr="00151DE7">
              <w:t>17 (46 %)</w:t>
            </w:r>
          </w:p>
        </w:tc>
      </w:tr>
      <w:tr w:rsidR="009D68F8" w:rsidRPr="00151DE7" w14:paraId="2CBBB85D" w14:textId="77777777" w:rsidTr="00C322DB">
        <w:tc>
          <w:tcPr>
            <w:tcW w:w="7371" w:type="dxa"/>
          </w:tcPr>
          <w:p w14:paraId="2C7EA1EC" w14:textId="77777777" w:rsidR="009D68F8" w:rsidRPr="00151DE7" w:rsidRDefault="009D68F8" w:rsidP="004E3587">
            <w:pPr>
              <w:rPr>
                <w:rFonts w:ascii="Arial" w:hAnsi="Arial" w:cs="Arial"/>
                <w:sz w:val="22"/>
                <w:szCs w:val="22"/>
              </w:rPr>
            </w:pPr>
            <w:r w:rsidRPr="00151DE7">
              <w:rPr>
                <w:rFonts w:ascii="Arial" w:hAnsi="Arial"/>
                <w:sz w:val="22"/>
                <w:szCs w:val="22"/>
              </w:rPr>
              <w:t>Alentar a los centros de categoría 2, a las oficinas fuera de la Sede de la UNESCO y al Foro de ONG dedicadas al PCI a ampliar la colaboración ligada a la Convención con las ONG de las regiones subrepresentadas</w:t>
            </w:r>
          </w:p>
        </w:tc>
        <w:tc>
          <w:tcPr>
            <w:tcW w:w="1695" w:type="dxa"/>
          </w:tcPr>
          <w:p w14:paraId="1116A4C4" w14:textId="77777777" w:rsidR="009D68F8" w:rsidRPr="00151DE7" w:rsidRDefault="009D68F8" w:rsidP="004E3587">
            <w:pPr>
              <w:pStyle w:val="COMPara"/>
              <w:keepNext/>
              <w:spacing w:after="0"/>
              <w:jc w:val="both"/>
            </w:pPr>
            <w:r w:rsidRPr="00151DE7">
              <w:t>17 (46 %)</w:t>
            </w:r>
          </w:p>
        </w:tc>
      </w:tr>
      <w:tr w:rsidR="009D68F8" w:rsidRPr="00151DE7" w14:paraId="63D35CD9" w14:textId="77777777" w:rsidTr="00C322DB">
        <w:tc>
          <w:tcPr>
            <w:tcW w:w="7371" w:type="dxa"/>
          </w:tcPr>
          <w:p w14:paraId="389C945D" w14:textId="77777777" w:rsidR="009D68F8" w:rsidRPr="00151DE7" w:rsidRDefault="009D68F8" w:rsidP="004E3587">
            <w:pPr>
              <w:rPr>
                <w:rFonts w:ascii="Arial" w:hAnsi="Arial" w:cs="Arial"/>
                <w:sz w:val="22"/>
                <w:szCs w:val="22"/>
              </w:rPr>
            </w:pPr>
            <w:r w:rsidRPr="00151DE7">
              <w:rPr>
                <w:rFonts w:ascii="Arial" w:hAnsi="Arial"/>
                <w:sz w:val="22"/>
                <w:szCs w:val="22"/>
              </w:rPr>
              <w:t>Realizar investigaciones para comprender mejor los diversos retos a los que se enfrentan las ONG</w:t>
            </w:r>
          </w:p>
        </w:tc>
        <w:tc>
          <w:tcPr>
            <w:tcW w:w="1695" w:type="dxa"/>
          </w:tcPr>
          <w:p w14:paraId="69F47FAF" w14:textId="77777777" w:rsidR="009D68F8" w:rsidRPr="00151DE7" w:rsidRDefault="009D68F8" w:rsidP="004E3587">
            <w:pPr>
              <w:pStyle w:val="COMPara"/>
              <w:keepNext/>
              <w:spacing w:after="0"/>
              <w:jc w:val="both"/>
            </w:pPr>
            <w:r w:rsidRPr="00151DE7">
              <w:t>8 (22 %)</w:t>
            </w:r>
          </w:p>
        </w:tc>
      </w:tr>
      <w:tr w:rsidR="009D68F8" w:rsidRPr="00151DE7" w14:paraId="391AD3B1" w14:textId="77777777" w:rsidTr="00C322DB">
        <w:tc>
          <w:tcPr>
            <w:tcW w:w="7371" w:type="dxa"/>
          </w:tcPr>
          <w:p w14:paraId="3E9DEFD6" w14:textId="77777777" w:rsidR="009D68F8" w:rsidRPr="00151DE7" w:rsidRDefault="009D68F8" w:rsidP="00854A9C">
            <w:pPr>
              <w:rPr>
                <w:rFonts w:ascii="Arial" w:hAnsi="Arial" w:cs="Arial"/>
                <w:sz w:val="22"/>
                <w:szCs w:val="22"/>
              </w:rPr>
            </w:pPr>
            <w:r w:rsidRPr="00151DE7">
              <w:rPr>
                <w:rFonts w:ascii="Arial" w:hAnsi="Arial"/>
                <w:sz w:val="22"/>
                <w:szCs w:val="22"/>
              </w:rPr>
              <w:t>Revisar el formulario de acreditación ICH-09 para que el proceso de solicitud sea más accesible</w:t>
            </w:r>
          </w:p>
        </w:tc>
        <w:tc>
          <w:tcPr>
            <w:tcW w:w="1695" w:type="dxa"/>
          </w:tcPr>
          <w:p w14:paraId="4C06BA03" w14:textId="77777777" w:rsidR="009D68F8" w:rsidRPr="00151DE7" w:rsidRDefault="009D68F8" w:rsidP="004E3587">
            <w:pPr>
              <w:pStyle w:val="COMPara"/>
              <w:keepNext/>
              <w:spacing w:after="0"/>
              <w:jc w:val="both"/>
            </w:pPr>
            <w:r w:rsidRPr="00151DE7">
              <w:t>5 (14 %)</w:t>
            </w:r>
          </w:p>
        </w:tc>
      </w:tr>
      <w:tr w:rsidR="009D68F8" w:rsidRPr="00151DE7" w14:paraId="695087D5" w14:textId="77777777" w:rsidTr="00C322DB">
        <w:tc>
          <w:tcPr>
            <w:tcW w:w="7371" w:type="dxa"/>
          </w:tcPr>
          <w:p w14:paraId="5537F588" w14:textId="77777777" w:rsidR="009D68F8" w:rsidRPr="00151DE7" w:rsidRDefault="009D68F8" w:rsidP="004E3587">
            <w:pPr>
              <w:rPr>
                <w:rFonts w:ascii="Arial" w:hAnsi="Arial" w:cs="Arial"/>
                <w:sz w:val="22"/>
                <w:szCs w:val="22"/>
              </w:rPr>
            </w:pPr>
            <w:r w:rsidRPr="00151DE7">
              <w:rPr>
                <w:rFonts w:ascii="Arial" w:hAnsi="Arial"/>
                <w:sz w:val="22"/>
                <w:szCs w:val="22"/>
              </w:rPr>
              <w:t>Poner en marcha un sistema de cuotas para la acreditación de ONG</w:t>
            </w:r>
          </w:p>
        </w:tc>
        <w:tc>
          <w:tcPr>
            <w:tcW w:w="1695" w:type="dxa"/>
          </w:tcPr>
          <w:p w14:paraId="5ED34024" w14:textId="77777777" w:rsidR="009D68F8" w:rsidRPr="00151DE7" w:rsidRDefault="009D68F8" w:rsidP="004E3587">
            <w:pPr>
              <w:pStyle w:val="COMPara"/>
              <w:keepNext/>
              <w:spacing w:after="0"/>
              <w:jc w:val="both"/>
            </w:pPr>
            <w:r w:rsidRPr="00151DE7">
              <w:t>3 (8 %)</w:t>
            </w:r>
          </w:p>
        </w:tc>
      </w:tr>
    </w:tbl>
    <w:p w14:paraId="5177DFA7" w14:textId="77777777" w:rsidR="009D68F8" w:rsidRDefault="009D68F8" w:rsidP="00624427">
      <w:pPr>
        <w:pStyle w:val="COMPara"/>
        <w:ind w:left="567"/>
        <w:jc w:val="both"/>
        <w:rPr>
          <w:highlight w:val="yellow"/>
          <w:u w:val="single"/>
        </w:rPr>
      </w:pPr>
    </w:p>
    <w:p w14:paraId="7ECBEB5F" w14:textId="50BCA98E" w:rsidR="009D68F8" w:rsidRPr="00C84BA3" w:rsidRDefault="00FE69D8" w:rsidP="00624427">
      <w:pPr>
        <w:pStyle w:val="COMPara"/>
        <w:ind w:left="567"/>
        <w:jc w:val="both"/>
        <w:rPr>
          <w:u w:val="single"/>
        </w:rPr>
      </w:pPr>
      <w:r w:rsidRPr="00EB22AF">
        <w:rPr>
          <w:u w:val="single"/>
        </w:rPr>
        <w:t>Áreas</w:t>
      </w:r>
      <w:r w:rsidR="009D68F8" w:rsidRPr="00A914E7">
        <w:rPr>
          <w:u w:val="single"/>
        </w:rPr>
        <w:t xml:space="preserve"> temáticas prioritarias</w:t>
      </w:r>
    </w:p>
    <w:p w14:paraId="70119651" w14:textId="77777777" w:rsidR="009D68F8" w:rsidRPr="00C84BA3" w:rsidRDefault="009D68F8" w:rsidP="009D68F8">
      <w:pPr>
        <w:pStyle w:val="COMPara"/>
        <w:numPr>
          <w:ilvl w:val="0"/>
          <w:numId w:val="9"/>
        </w:numPr>
        <w:ind w:left="567" w:hanging="567"/>
        <w:jc w:val="both"/>
      </w:pPr>
      <w:r>
        <w:t xml:space="preserve">El llamamiento a nuevas medidas es oportuno, ya que las esferas prioritarias a través de las cuales seguir desarrollando la Convención de 2003 quedaron claras a través de la reflexión emprendida durante el vigésimo aniversario de la Convención de 2003, tal y como se informó a la presente reunión de la Asamblea General en el punto 10 (véase el documento </w:t>
      </w:r>
      <w:hyperlink r:id="rId27" w:history="1">
        <w:r>
          <w:rPr>
            <w:rStyle w:val="Lienhypertexte"/>
          </w:rPr>
          <w:t>LHE/24/10.GA/10</w:t>
        </w:r>
      </w:hyperlink>
      <w:r>
        <w:t>). Entre ellas figuran la salvaguardia del patrimonio vivo y los medios de subsistencia, la acción por el clima y los contextos urbanos, el patrimonio vivo en situaciones de emergencia, la integración de la cultura en la educación y el patrimonio vivo en el entorno digital. Por lo tanto, sería conveniente concentrar los esfuerzos en determinar cuáles son las ONG con conocimientos especializados en estas esferas concretas.</w:t>
      </w:r>
    </w:p>
    <w:p w14:paraId="6DC09689" w14:textId="77777777" w:rsidR="009D68F8" w:rsidRPr="00C84BA3" w:rsidRDefault="009D68F8" w:rsidP="002F2D9D">
      <w:pPr>
        <w:pStyle w:val="COMPara"/>
        <w:spacing w:before="240"/>
        <w:ind w:left="567"/>
        <w:jc w:val="both"/>
        <w:rPr>
          <w:b/>
          <w:bCs/>
        </w:rPr>
      </w:pPr>
      <w:r>
        <w:rPr>
          <w:b/>
        </w:rPr>
        <w:t>Propuesta de plan</w:t>
      </w:r>
    </w:p>
    <w:p w14:paraId="105C0261" w14:textId="0102DAF1" w:rsidR="009D68F8" w:rsidRPr="00C84BA3" w:rsidRDefault="009D68F8" w:rsidP="009D68F8">
      <w:pPr>
        <w:pStyle w:val="COMPara"/>
        <w:numPr>
          <w:ilvl w:val="0"/>
          <w:numId w:val="9"/>
        </w:numPr>
        <w:ind w:left="567" w:hanging="567"/>
        <w:jc w:val="both"/>
      </w:pPr>
      <w:r w:rsidRPr="00A914E7">
        <w:t>Sobre la base de la</w:t>
      </w:r>
      <w:r>
        <w:t xml:space="preserve"> experiencia del Foro de ONG dedicadas al PCI y los centros de categoría</w:t>
      </w:r>
      <w:r w:rsidR="00151DE7">
        <w:t> </w:t>
      </w:r>
      <w:r>
        <w:t>2 activos en el ámbito del patrimonio cultural inmaterial, junto con los resultados de la encuesta, se recomiendan las siguientes medidas, estructuradas en torno a cuatro pilares principales:</w:t>
      </w:r>
    </w:p>
    <w:p w14:paraId="34D3F96A" w14:textId="77777777" w:rsidR="009D68F8" w:rsidRPr="00C84BA3" w:rsidRDefault="009D68F8" w:rsidP="00294B56">
      <w:pPr>
        <w:pStyle w:val="COMPara"/>
        <w:ind w:left="567"/>
        <w:jc w:val="both"/>
        <w:rPr>
          <w:u w:val="single"/>
        </w:rPr>
      </w:pPr>
      <w:r>
        <w:rPr>
          <w:u w:val="single"/>
        </w:rPr>
        <w:t>A: Divulgación e intercambio de información sobre el proceso de acreditación y sus ventajas, en especial en los meses previos a la fecha límite de presentación de solicitudes de acreditación</w:t>
      </w:r>
    </w:p>
    <w:p w14:paraId="4314177F" w14:textId="77777777" w:rsidR="009D68F8" w:rsidRPr="00C84BA3" w:rsidRDefault="009D68F8" w:rsidP="009D68F8">
      <w:pPr>
        <w:pStyle w:val="COMPara"/>
        <w:numPr>
          <w:ilvl w:val="0"/>
          <w:numId w:val="59"/>
        </w:numPr>
        <w:jc w:val="both"/>
      </w:pPr>
      <w:r>
        <w:t>Intercambio de información por parte de la Secretaría, a través de la página web de la Convención de 2003.</w:t>
      </w:r>
    </w:p>
    <w:p w14:paraId="74D6419E" w14:textId="77777777" w:rsidR="009D68F8" w:rsidRPr="00C84BA3" w:rsidRDefault="009D68F8" w:rsidP="009D68F8">
      <w:pPr>
        <w:pStyle w:val="COMPara"/>
        <w:numPr>
          <w:ilvl w:val="0"/>
          <w:numId w:val="59"/>
        </w:numPr>
        <w:jc w:val="both"/>
      </w:pPr>
      <w:r>
        <w:t xml:space="preserve">Sesiones informativas en línea en los planos regional, subregional y nacional para ONG acreditadas y no acreditadas, organizadas por el Foro de ONG dedicadas al PCI, los centros de categoría 2 y otros asociados. </w:t>
      </w:r>
    </w:p>
    <w:p w14:paraId="5AA04C79" w14:textId="77777777" w:rsidR="009D68F8" w:rsidRPr="00C84BA3" w:rsidRDefault="009D68F8" w:rsidP="009D68F8">
      <w:pPr>
        <w:pStyle w:val="COMPara"/>
        <w:numPr>
          <w:ilvl w:val="0"/>
          <w:numId w:val="59"/>
        </w:numPr>
        <w:jc w:val="both"/>
      </w:pPr>
      <w:r>
        <w:t xml:space="preserve">Desarrollo de un conjunto de herramientas de sensibilización (por ejemplo, con folletos y códigos QR para videos) sobre las ONG acreditadas, preparado por el Foro de ONG dedicadas al PCI, los centros de categoría 2 y otros asociados. </w:t>
      </w:r>
    </w:p>
    <w:p w14:paraId="52A2A462" w14:textId="77777777" w:rsidR="009D68F8" w:rsidRPr="00C84BA3" w:rsidRDefault="009D68F8" w:rsidP="00294B56">
      <w:pPr>
        <w:pStyle w:val="COMPara"/>
        <w:ind w:left="567"/>
        <w:jc w:val="both"/>
        <w:rPr>
          <w:u w:val="single"/>
        </w:rPr>
      </w:pPr>
      <w:r>
        <w:rPr>
          <w:u w:val="single"/>
        </w:rPr>
        <w:t>B: Movilización de las ONG competentes mediante talleres de creación de capacidad</w:t>
      </w:r>
    </w:p>
    <w:p w14:paraId="4489290E" w14:textId="77777777" w:rsidR="009D68F8" w:rsidRPr="00C84BA3" w:rsidRDefault="009D68F8" w:rsidP="009D68F8">
      <w:pPr>
        <w:pStyle w:val="COMPara"/>
        <w:numPr>
          <w:ilvl w:val="0"/>
          <w:numId w:val="59"/>
        </w:numPr>
        <w:jc w:val="both"/>
      </w:pPr>
      <w:r>
        <w:t>Inclusión sistemática de representantes de ONG en las actividades de creación de capacidad organizadas por la Secretaría.</w:t>
      </w:r>
    </w:p>
    <w:p w14:paraId="5CF8D5AD" w14:textId="77777777" w:rsidR="009D68F8" w:rsidRPr="00C84BA3" w:rsidRDefault="009D68F8" w:rsidP="009D68F8">
      <w:pPr>
        <w:pStyle w:val="COMPara"/>
        <w:numPr>
          <w:ilvl w:val="0"/>
          <w:numId w:val="59"/>
        </w:numPr>
        <w:jc w:val="both"/>
      </w:pPr>
      <w:r w:rsidRPr="00A914E7">
        <w:t>Labor destinada a alentar</w:t>
      </w:r>
      <w:r>
        <w:t xml:space="preserve"> a la red de facilitadores de la Convención de 2003 a promover el proceso de acreditación y sus beneficios en todas sus actividades de desarrollo de creación de capacidad.</w:t>
      </w:r>
    </w:p>
    <w:p w14:paraId="512A34A6" w14:textId="77777777" w:rsidR="009D68F8" w:rsidRPr="00C84BA3" w:rsidRDefault="009D68F8" w:rsidP="00F2390A">
      <w:pPr>
        <w:pStyle w:val="COMPara"/>
        <w:ind w:left="567"/>
        <w:jc w:val="both"/>
        <w:rPr>
          <w:u w:val="single"/>
        </w:rPr>
      </w:pPr>
      <w:r>
        <w:rPr>
          <w:u w:val="single"/>
        </w:rPr>
        <w:t xml:space="preserve">C: Refuerzo de la cooperación con el Foro de ONG dedicadas al PCI y los centros de </w:t>
      </w:r>
      <w:r>
        <w:rPr>
          <w:u w:val="single"/>
        </w:rPr>
        <w:br/>
        <w:t>categoría 2</w:t>
      </w:r>
    </w:p>
    <w:p w14:paraId="5B32A63C" w14:textId="77777777" w:rsidR="009D68F8" w:rsidRPr="00C84BA3" w:rsidRDefault="009D68F8" w:rsidP="009D68F8">
      <w:pPr>
        <w:pStyle w:val="COMPara"/>
        <w:numPr>
          <w:ilvl w:val="0"/>
          <w:numId w:val="59"/>
        </w:numPr>
        <w:jc w:val="both"/>
      </w:pPr>
      <w:r>
        <w:t>Continuación de la cartografía, en cooperación con el Foro de ONG dedicadas al PCI, de las esferas de competencia de las restantes ONG acreditadas que no cubrió la primera ronda del ejercicio completado en 2023.</w:t>
      </w:r>
    </w:p>
    <w:p w14:paraId="41203525" w14:textId="77777777" w:rsidR="009D68F8" w:rsidRPr="00C84BA3" w:rsidRDefault="009D68F8" w:rsidP="009D68F8">
      <w:pPr>
        <w:pStyle w:val="COMPara"/>
        <w:numPr>
          <w:ilvl w:val="0"/>
          <w:numId w:val="59"/>
        </w:numPr>
        <w:jc w:val="both"/>
      </w:pPr>
      <w:r>
        <w:lastRenderedPageBreak/>
        <w:t>Consultas periódicas entre el Foro de ONG del PCI, los centros de categoría 2 y la Secretaría sobre cuestiones relacionadas con el desequilibrio en la representación de las ONG acreditadas en virtud de la Convención de 2003.</w:t>
      </w:r>
    </w:p>
    <w:p w14:paraId="0BA3B51F" w14:textId="77777777" w:rsidR="009D68F8" w:rsidRPr="00C84BA3" w:rsidRDefault="009D68F8" w:rsidP="00F95DE2">
      <w:pPr>
        <w:pStyle w:val="COMPara"/>
        <w:ind w:left="567"/>
        <w:jc w:val="both"/>
        <w:rPr>
          <w:u w:val="single"/>
        </w:rPr>
      </w:pPr>
      <w:r>
        <w:rPr>
          <w:u w:val="single"/>
        </w:rPr>
        <w:t>D: Focalización en las ONG no acreditadas de regiones subrepresentadas</w:t>
      </w:r>
    </w:p>
    <w:p w14:paraId="22681039" w14:textId="77777777" w:rsidR="009D68F8" w:rsidRPr="00C84BA3" w:rsidRDefault="009D68F8" w:rsidP="009D68F8">
      <w:pPr>
        <w:pStyle w:val="COMPara"/>
        <w:numPr>
          <w:ilvl w:val="0"/>
          <w:numId w:val="59"/>
        </w:numPr>
        <w:jc w:val="both"/>
        <w:rPr>
          <w:u w:val="single"/>
        </w:rPr>
      </w:pPr>
      <w:r>
        <w:t>Establecimiento de redes nacionales y subregionales de ONG acreditadas a las que se pueda animar a encontrar ONG no acreditadas con potencial en lo que respecta a la prestación de servicios de asesoramiento al Comité en las esferas prioritarias para el desarrollo ulterior de la Convención.</w:t>
      </w:r>
    </w:p>
    <w:p w14:paraId="0D4329C3" w14:textId="77777777" w:rsidR="009D68F8" w:rsidRPr="00C84BA3" w:rsidRDefault="009D68F8" w:rsidP="009D68F8">
      <w:pPr>
        <w:pStyle w:val="COMPara"/>
        <w:numPr>
          <w:ilvl w:val="0"/>
          <w:numId w:val="59"/>
        </w:numPr>
        <w:jc w:val="both"/>
        <w:rPr>
          <w:u w:val="single"/>
        </w:rPr>
      </w:pPr>
      <w:r>
        <w:t>Creación de bases de datos nacionales y subregionales de ONG no acreditadas con potencial para prestar servicios de asesoramiento, con el fin de invitarlas a talleres de creación de capacidad y reuniones informativas sobre el proceso de acreditación y sus ventajas.</w:t>
      </w:r>
    </w:p>
    <w:p w14:paraId="64A5C327" w14:textId="77777777" w:rsidR="009D68F8" w:rsidRPr="00C84BA3" w:rsidRDefault="009D68F8" w:rsidP="009D68F8">
      <w:pPr>
        <w:pStyle w:val="COMPara"/>
        <w:numPr>
          <w:ilvl w:val="0"/>
          <w:numId w:val="9"/>
        </w:numPr>
        <w:ind w:left="567" w:hanging="567"/>
        <w:jc w:val="both"/>
      </w:pPr>
      <w:r>
        <w:t>Las medidas anteriores se pueden centrar en primer lugar en los grupos electorales con un menor porcentaje de ONG acreditadas antes de extenderse a otros grupos. En cuanto a los recursos financieros, algunas medidas ya están integradas en las actividades en curso de la Secretaría, mientras que otras pueden contar con el apoyo de diferentes partidas presupuestarias del Fondo del Patrimonio Cultural Inmaterial o requerir la movilización de apoyo adicional:</w:t>
      </w:r>
    </w:p>
    <w:p w14:paraId="463C9A8A" w14:textId="77777777" w:rsidR="009D68F8" w:rsidRPr="00A914E7" w:rsidRDefault="009D68F8" w:rsidP="009D68F8">
      <w:pPr>
        <w:pStyle w:val="COMPara"/>
        <w:numPr>
          <w:ilvl w:val="0"/>
          <w:numId w:val="60"/>
        </w:numPr>
        <w:jc w:val="both"/>
      </w:pPr>
      <w:r w:rsidRPr="00A914E7">
        <w:t>Pilar A: Cubiertas por la partida presupuestaria 3 del Fondo, “Otras funciones del Comité”</w:t>
      </w:r>
      <w:r>
        <w:t>;</w:t>
      </w:r>
    </w:p>
    <w:p w14:paraId="1E018523" w14:textId="77777777" w:rsidR="009D68F8" w:rsidRPr="00C84BA3" w:rsidRDefault="009D68F8" w:rsidP="009D68F8">
      <w:pPr>
        <w:pStyle w:val="COMPara"/>
        <w:numPr>
          <w:ilvl w:val="0"/>
          <w:numId w:val="60"/>
        </w:numPr>
        <w:jc w:val="both"/>
      </w:pPr>
      <w:r>
        <w:t>Pilar B: Ya forman parte de las actividades de creación de capacidad en curso que cuentan con el apoyo de diversas fuentes de financiación y adquirirán un carácter más sistemático;</w:t>
      </w:r>
    </w:p>
    <w:p w14:paraId="3B5D63DC" w14:textId="77777777" w:rsidR="009D68F8" w:rsidRPr="00C84BA3" w:rsidRDefault="009D68F8" w:rsidP="009D68F8">
      <w:pPr>
        <w:pStyle w:val="COMPara"/>
        <w:numPr>
          <w:ilvl w:val="0"/>
          <w:numId w:val="60"/>
        </w:numPr>
        <w:jc w:val="both"/>
      </w:pPr>
      <w:r>
        <w:t>Pilar C: Ya forman parte de las actividades de divulgación en curso que cuentan con el apoyo de diversas fuentes de financiación y se seguirán poniendo en práctica;</w:t>
      </w:r>
    </w:p>
    <w:p w14:paraId="08CCC817" w14:textId="77777777" w:rsidR="009D68F8" w:rsidRPr="00C84BA3" w:rsidRDefault="009D68F8" w:rsidP="009D68F8">
      <w:pPr>
        <w:pStyle w:val="COMPara"/>
        <w:numPr>
          <w:ilvl w:val="0"/>
          <w:numId w:val="60"/>
        </w:numPr>
        <w:jc w:val="both"/>
      </w:pPr>
      <w:r>
        <w:t>Pilar D: Cubiertas por la partida presupuestaria 7 del Fondo, “Servicios de asesoramiento al Comité”, para las actividades iniciales y se seguirán reforzando mediante contribuciones voluntarias adicionales.</w:t>
      </w:r>
    </w:p>
    <w:p w14:paraId="3324D3AD" w14:textId="77777777" w:rsidR="009D68F8" w:rsidRPr="00C84BA3" w:rsidRDefault="009D68F8" w:rsidP="009D68F8">
      <w:pPr>
        <w:pStyle w:val="COMPara"/>
        <w:numPr>
          <w:ilvl w:val="0"/>
          <w:numId w:val="9"/>
        </w:numPr>
        <w:ind w:left="567" w:hanging="567"/>
        <w:jc w:val="both"/>
      </w:pPr>
      <w:r>
        <w:t xml:space="preserve">En el punto 8 (documento </w:t>
      </w:r>
      <w:hyperlink r:id="rId28" w:history="1">
        <w:r>
          <w:rPr>
            <w:rStyle w:val="Lienhypertexte"/>
          </w:rPr>
          <w:t>LHE/24/10.GA/8</w:t>
        </w:r>
      </w:hyperlink>
      <w:r>
        <w:t xml:space="preserve">), se presenta más información sobre la utilización de los recursos del Fondo del Patrimonio Cultural Inmaterial. También se podrá pedir a los Estados Partes que presten apoyo financiero a las medidas propuestas a través de la modalidad que elijan. Además, se propone poner en práctica el plan con carácter experimental e informar de los resultados a la vigésima reunión del Comité, en 2025, y la undécima reunión de la Asamblea General, en 2026. </w:t>
      </w:r>
    </w:p>
    <w:p w14:paraId="26D96BF7" w14:textId="77777777" w:rsidR="009D68F8" w:rsidRPr="00C84BA3" w:rsidRDefault="009D68F8" w:rsidP="00D74D86">
      <w:pPr>
        <w:pStyle w:val="COMPara"/>
        <w:spacing w:before="240"/>
        <w:ind w:left="567"/>
        <w:jc w:val="both"/>
        <w:rPr>
          <w:b/>
          <w:bCs/>
        </w:rPr>
      </w:pPr>
      <w:r>
        <w:rPr>
          <w:b/>
        </w:rPr>
        <w:t>Consideraciones</w:t>
      </w:r>
    </w:p>
    <w:p w14:paraId="7E0FAD95" w14:textId="77777777" w:rsidR="009D68F8" w:rsidRPr="00C84BA3" w:rsidRDefault="009D68F8" w:rsidP="009D68F8">
      <w:pPr>
        <w:pStyle w:val="COMPara"/>
        <w:numPr>
          <w:ilvl w:val="0"/>
          <w:numId w:val="9"/>
        </w:numPr>
        <w:ind w:left="567" w:hanging="567"/>
        <w:jc w:val="both"/>
      </w:pPr>
      <w:r>
        <w:t>Aunque el desequilibrio en la distribución geográfica de las ONG acreditadas sigue siendo motivo de grave preocupación, también hay que señalar que las tendencias recientes muestran una mejora, lo que refleja los esfuerzos realizados por las partes interesadas en la Convención en los últimos ciclos por fomentar las solicitudes de acreditación procedentes de las regiones subrepresentadas. Desde el punto de vista estadístico, si se concede</w:t>
      </w:r>
      <w:r w:rsidRPr="00A914E7">
        <w:t xml:space="preserve">n las </w:t>
      </w:r>
      <w:r>
        <w:t>cincuenta y ocho solicitudes de acreditación presentadas a la actual reunión de la Asamblea General, la proporción de ONG acreditadas del grupo electoral I caerá por debajo del 50 por ciento del número total de ONG acreditadas por primera vez desde la implantación del sistema de acreditación. Las nuevas medidas que se emprendan se basarán en esta situación positiva.</w:t>
      </w:r>
    </w:p>
    <w:p w14:paraId="3A831894" w14:textId="77777777" w:rsidR="009D68F8" w:rsidRPr="00C84BA3" w:rsidRDefault="009D68F8" w:rsidP="00151DE7">
      <w:pPr>
        <w:pStyle w:val="COMPara"/>
        <w:keepNext/>
        <w:numPr>
          <w:ilvl w:val="0"/>
          <w:numId w:val="9"/>
        </w:numPr>
        <w:ind w:left="567" w:hanging="567"/>
      </w:pPr>
      <w:r>
        <w:lastRenderedPageBreak/>
        <w:t>La Asamblea General podría aprobar la siguiente resolución:</w:t>
      </w:r>
    </w:p>
    <w:p w14:paraId="5252AB86" w14:textId="77777777" w:rsidR="009D68F8" w:rsidRPr="00C84BA3" w:rsidRDefault="009D68F8" w:rsidP="001D14FE">
      <w:pPr>
        <w:pStyle w:val="COMTitleDecision"/>
        <w:rPr>
          <w:rFonts w:eastAsia="SimSun"/>
        </w:rPr>
      </w:pPr>
      <w:r>
        <w:t xml:space="preserve">PROYECTO DE RESOLUCIÓN </w:t>
      </w:r>
      <w:r w:rsidRPr="00EB22AF">
        <w:t>10.GA 9 Add.</w:t>
      </w:r>
    </w:p>
    <w:p w14:paraId="488B11A4" w14:textId="77777777" w:rsidR="009D68F8" w:rsidRPr="00C84BA3" w:rsidRDefault="009D68F8" w:rsidP="00285BB4">
      <w:pPr>
        <w:pStyle w:val="COMPreambulaDecisions"/>
        <w:rPr>
          <w:rFonts w:eastAsia="SimSun"/>
        </w:rPr>
      </w:pPr>
      <w:r>
        <w:t>La Asamblea General,</w:t>
      </w:r>
    </w:p>
    <w:p w14:paraId="1A3091E1" w14:textId="0DF06DBD" w:rsidR="009D68F8" w:rsidRPr="00C84BA3" w:rsidRDefault="009D68F8" w:rsidP="0003109B">
      <w:pPr>
        <w:pStyle w:val="GAPara"/>
        <w:numPr>
          <w:ilvl w:val="0"/>
          <w:numId w:val="61"/>
        </w:numPr>
        <w:ind w:left="1134" w:hanging="567"/>
        <w:jc w:val="both"/>
      </w:pPr>
      <w:r w:rsidRPr="0003109B">
        <w:rPr>
          <w:u w:val="single"/>
        </w:rPr>
        <w:t>Habiendo examinado</w:t>
      </w:r>
      <w:r w:rsidRPr="001F2FE0">
        <w:t xml:space="preserve"> el documento LHE/24/10.GA/9 Add.,</w:t>
      </w:r>
    </w:p>
    <w:p w14:paraId="54591B49" w14:textId="36A2A74C" w:rsidR="009D68F8" w:rsidRPr="00C84BA3" w:rsidRDefault="009D68F8" w:rsidP="0003109B">
      <w:pPr>
        <w:pStyle w:val="GAPara"/>
        <w:numPr>
          <w:ilvl w:val="0"/>
          <w:numId w:val="61"/>
        </w:numPr>
        <w:ind w:left="1134" w:hanging="567"/>
        <w:jc w:val="both"/>
      </w:pPr>
      <w:r w:rsidRPr="0003109B">
        <w:rPr>
          <w:u w:val="single"/>
        </w:rPr>
        <w:t>Recordando</w:t>
      </w:r>
      <w:r w:rsidRPr="001F2FE0">
        <w:t xml:space="preserve"> las Resoluciones </w:t>
      </w:r>
      <w:hyperlink r:id="rId29" w:history="1">
        <w:r>
          <w:rPr>
            <w:rStyle w:val="Lienhypertexte"/>
          </w:rPr>
          <w:t>8.GA 12</w:t>
        </w:r>
      </w:hyperlink>
      <w:r w:rsidRPr="001F2FE0">
        <w:rPr>
          <w:rStyle w:val="Lienhypertexte"/>
          <w:u w:val="none"/>
        </w:rPr>
        <w:t xml:space="preserve"> </w:t>
      </w:r>
      <w:r w:rsidRPr="00E105AF">
        <w:rPr>
          <w:rStyle w:val="Lienhypertexte"/>
          <w:color w:val="auto"/>
          <w:u w:val="none"/>
        </w:rPr>
        <w:t>y</w:t>
      </w:r>
      <w:r w:rsidRPr="001F2FE0">
        <w:rPr>
          <w:rStyle w:val="Lienhypertexte"/>
          <w:u w:val="none"/>
        </w:rPr>
        <w:t xml:space="preserve"> </w:t>
      </w:r>
      <w:hyperlink r:id="rId30" w:history="1">
        <w:r>
          <w:rPr>
            <w:rStyle w:val="Lienhypertexte"/>
          </w:rPr>
          <w:t>9.GA 7</w:t>
        </w:r>
      </w:hyperlink>
      <w:r>
        <w:t>,</w:t>
      </w:r>
      <w:r w:rsidRPr="001F2FE0">
        <w:t xml:space="preserve"> así como las Decisiones </w:t>
      </w:r>
      <w:hyperlink r:id="rId31" w:history="1">
        <w:r>
          <w:rPr>
            <w:rStyle w:val="Lienhypertexte"/>
          </w:rPr>
          <w:t>12.COM 13</w:t>
        </w:r>
      </w:hyperlink>
      <w:r w:rsidRPr="001F2FE0">
        <w:t xml:space="preserve">, </w:t>
      </w:r>
      <w:hyperlink r:id="rId32" w:history="1">
        <w:r>
          <w:rPr>
            <w:rStyle w:val="Lienhypertexte"/>
          </w:rPr>
          <w:t>12.COM 17</w:t>
        </w:r>
      </w:hyperlink>
      <w:r w:rsidRPr="001F2FE0">
        <w:t xml:space="preserve">, </w:t>
      </w:r>
      <w:hyperlink r:id="rId33" w:history="1">
        <w:r>
          <w:rPr>
            <w:rStyle w:val="Lienhypertexte"/>
          </w:rPr>
          <w:t>14.COM 15</w:t>
        </w:r>
      </w:hyperlink>
      <w:r w:rsidRPr="001F2FE0">
        <w:rPr>
          <w:rStyle w:val="Lienhypertexte"/>
          <w:u w:val="none"/>
        </w:rPr>
        <w:t xml:space="preserve"> </w:t>
      </w:r>
      <w:r w:rsidRPr="00E105AF">
        <w:rPr>
          <w:rStyle w:val="Lienhypertexte"/>
          <w:color w:val="auto"/>
          <w:u w:val="none"/>
        </w:rPr>
        <w:t>y</w:t>
      </w:r>
      <w:r w:rsidRPr="001F2FE0">
        <w:rPr>
          <w:rStyle w:val="Lienhypertexte"/>
          <w:u w:val="none"/>
        </w:rPr>
        <w:t xml:space="preserve"> </w:t>
      </w:r>
      <w:hyperlink r:id="rId34" w:history="1">
        <w:r>
          <w:rPr>
            <w:rStyle w:val="Lienhypertexte"/>
          </w:rPr>
          <w:t>18.COM 15</w:t>
        </w:r>
      </w:hyperlink>
      <w:r w:rsidRPr="001F2FE0">
        <w:rPr>
          <w:rStyle w:val="Lienhypertexte"/>
          <w:color w:val="auto"/>
          <w:u w:val="none"/>
        </w:rPr>
        <w:t>,</w:t>
      </w:r>
    </w:p>
    <w:p w14:paraId="7978A259" w14:textId="77777777" w:rsidR="009D68F8" w:rsidRPr="00C84BA3" w:rsidRDefault="009D68F8" w:rsidP="0003109B">
      <w:pPr>
        <w:pStyle w:val="GAPara"/>
        <w:ind w:left="1134" w:hanging="567"/>
        <w:jc w:val="both"/>
      </w:pPr>
      <w:r w:rsidRPr="0003109B">
        <w:rPr>
          <w:u w:val="single"/>
        </w:rPr>
        <w:t>Toma nota</w:t>
      </w:r>
      <w:r w:rsidRPr="00A914E7">
        <w:t xml:space="preserve"> de la</w:t>
      </w:r>
      <w:r>
        <w:t xml:space="preserve"> propuesta de plan para garantizar el equilibrio geográfico entre las ONG acreditadas en virtud de la Convención de 2003, incluidos los recursos financieros pertinentes identificados con carácter experimental, y </w:t>
      </w:r>
      <w:r w:rsidRPr="0003109B">
        <w:rPr>
          <w:u w:val="single"/>
        </w:rPr>
        <w:t>expresa su agradecimiento</w:t>
      </w:r>
      <w:r>
        <w:t xml:space="preserve"> a los </w:t>
      </w:r>
      <w:proofErr w:type="gramStart"/>
      <w:r>
        <w:t>Estados Partes</w:t>
      </w:r>
      <w:proofErr w:type="gramEnd"/>
      <w:r>
        <w:t>, al Foro de ONG del PCI, a los centros de categoría 2 y a otras partes interesadas por haber aportado sus puntos de vista a través del proceso de consulta;</w:t>
      </w:r>
    </w:p>
    <w:p w14:paraId="23F92094" w14:textId="10B925B5" w:rsidR="009D68F8" w:rsidRPr="00C84BA3" w:rsidRDefault="009D68F8" w:rsidP="0003109B">
      <w:pPr>
        <w:pStyle w:val="GAPara"/>
        <w:ind w:left="1134" w:hanging="567"/>
        <w:jc w:val="both"/>
      </w:pPr>
      <w:r w:rsidRPr="0003109B">
        <w:rPr>
          <w:u w:val="single"/>
        </w:rPr>
        <w:t>Anima</w:t>
      </w:r>
      <w:r>
        <w:t xml:space="preserve"> a la Secretaría, al Foro de ONG del PCI, a los centros de categoría 2 y a otras partes interesadas a poner en práctica el mencionado plan;</w:t>
      </w:r>
    </w:p>
    <w:p w14:paraId="27638524" w14:textId="3CE9E4B7" w:rsidR="009D68F8" w:rsidRPr="00C84BA3" w:rsidRDefault="009D68F8" w:rsidP="0003109B">
      <w:pPr>
        <w:pStyle w:val="GAPara"/>
        <w:ind w:left="1134" w:hanging="567"/>
        <w:jc w:val="both"/>
      </w:pPr>
      <w:r w:rsidRPr="0003109B">
        <w:rPr>
          <w:u w:val="single"/>
        </w:rPr>
        <w:t>Pide</w:t>
      </w:r>
      <w:r>
        <w:t xml:space="preserve"> a la Secretaría que informe sobre los resultados de las medidas emprendidas para su examen por la vigésima reunión del Comité en 2025 y la undécima reunión de la A</w:t>
      </w:r>
      <w:r w:rsidR="001F2FE0">
        <w:t>s</w:t>
      </w:r>
      <w:r>
        <w:t>amblea General en 2026.</w:t>
      </w:r>
    </w:p>
    <w:p w14:paraId="69C50E47" w14:textId="77777777" w:rsidR="00C13F69" w:rsidRPr="009D68F8" w:rsidRDefault="00C13F69" w:rsidP="00C0269C">
      <w:pPr>
        <w:rPr>
          <w:rFonts w:asciiTheme="minorBidi" w:hAnsiTheme="minorBidi" w:cstheme="minorBidi"/>
          <w:snapToGrid w:val="0"/>
          <w:u w:val="single"/>
          <w:lang w:eastAsia="en-US"/>
        </w:rPr>
      </w:pPr>
    </w:p>
    <w:sectPr w:rsidR="00C13F69" w:rsidRPr="009D68F8" w:rsidSect="009D68F8">
      <w:headerReference w:type="even" r:id="rId35"/>
      <w:headerReference w:type="default" r:id="rId36"/>
      <w:headerReference w:type="first" r:id="rId3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BFC9" w14:textId="77777777" w:rsidR="008A1337" w:rsidRDefault="008A1337" w:rsidP="00655736">
      <w:r>
        <w:separator/>
      </w:r>
    </w:p>
  </w:endnote>
  <w:endnote w:type="continuationSeparator" w:id="0">
    <w:p w14:paraId="77CC9A67" w14:textId="77777777" w:rsidR="008A1337" w:rsidRDefault="008A133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B52B" w14:textId="77777777" w:rsidR="008A1337" w:rsidRDefault="008A1337" w:rsidP="00655736">
      <w:r>
        <w:separator/>
      </w:r>
    </w:p>
  </w:footnote>
  <w:footnote w:type="continuationSeparator" w:id="0">
    <w:p w14:paraId="041038CB" w14:textId="77777777" w:rsidR="008A1337" w:rsidRDefault="008A1337" w:rsidP="00655736">
      <w:r>
        <w:continuationSeparator/>
      </w:r>
    </w:p>
  </w:footnote>
  <w:footnote w:id="1">
    <w:p w14:paraId="677B2FB5" w14:textId="0135A25B" w:rsidR="004368A3" w:rsidRPr="00EA22EA" w:rsidRDefault="004368A3" w:rsidP="004368A3">
      <w:pPr>
        <w:pStyle w:val="Notedebasdepage"/>
        <w:spacing w:after="60"/>
        <w:ind w:left="567" w:hanging="567"/>
        <w:jc w:val="both"/>
        <w:rPr>
          <w:rFonts w:asciiTheme="minorBidi" w:hAnsiTheme="minorBidi" w:cstheme="minorBidi"/>
          <w:bCs/>
          <w:sz w:val="18"/>
          <w:szCs w:val="18"/>
        </w:rPr>
      </w:pPr>
      <w:r w:rsidRPr="000928D9">
        <w:rPr>
          <w:rStyle w:val="Appelnotedebasdep"/>
          <w:rFonts w:asciiTheme="minorBidi" w:hAnsiTheme="minorBidi" w:cstheme="minorBidi"/>
          <w:sz w:val="18"/>
          <w:szCs w:val="18"/>
        </w:rPr>
        <w:footnoteRef/>
      </w:r>
      <w:r w:rsidR="000928D9" w:rsidRPr="000928D9">
        <w:rPr>
          <w:rFonts w:asciiTheme="minorBidi" w:hAnsiTheme="minorBidi" w:cstheme="minorBidi"/>
          <w:sz w:val="18"/>
          <w:szCs w:val="18"/>
          <w:vertAlign w:val="superscript"/>
        </w:rPr>
        <w:t>.</w:t>
      </w:r>
      <w:r w:rsidRPr="000928D9">
        <w:rPr>
          <w:rFonts w:asciiTheme="minorBidi" w:hAnsiTheme="minorBidi" w:cstheme="minorBidi"/>
          <w:sz w:val="18"/>
          <w:szCs w:val="18"/>
          <w:vertAlign w:val="superscript"/>
        </w:rPr>
        <w:t xml:space="preserve"> </w:t>
      </w:r>
      <w:r w:rsidRPr="00EA22EA">
        <w:rPr>
          <w:rFonts w:asciiTheme="minorBidi" w:hAnsiTheme="minorBidi" w:cstheme="minorBidi"/>
          <w:sz w:val="18"/>
          <w:szCs w:val="18"/>
        </w:rPr>
        <w:tab/>
      </w:r>
      <w:r w:rsidRPr="00EA22EA">
        <w:rPr>
          <w:rFonts w:asciiTheme="minorBidi" w:hAnsiTheme="minorBidi" w:cstheme="minorBidi"/>
          <w:snapToGrid w:val="0"/>
          <w:sz w:val="18"/>
          <w:szCs w:val="18"/>
        </w:rPr>
        <w:t xml:space="preserve">Hasta la fecha, la Asamblea General ha acreditado a 300 organizaciones (97 por la Resolución </w:t>
      </w:r>
      <w:hyperlink r:id="rId1" w:history="1">
        <w:r w:rsidRPr="00EA22EA">
          <w:rPr>
            <w:rStyle w:val="Lienhypertexte"/>
            <w:rFonts w:asciiTheme="minorBidi" w:hAnsiTheme="minorBidi" w:cstheme="minorBidi"/>
            <w:sz w:val="18"/>
            <w:szCs w:val="18"/>
          </w:rPr>
          <w:t>3.</w:t>
        </w:r>
        <w:r w:rsidR="000A6CCB">
          <w:rPr>
            <w:rStyle w:val="Lienhypertexte"/>
            <w:rFonts w:asciiTheme="minorBidi" w:hAnsiTheme="minorBidi" w:cstheme="minorBidi"/>
            <w:sz w:val="18"/>
            <w:szCs w:val="18"/>
          </w:rPr>
          <w:t>GA</w:t>
        </w:r>
        <w:r w:rsidRPr="00EA22EA">
          <w:rPr>
            <w:rStyle w:val="Lienhypertexte"/>
            <w:rFonts w:asciiTheme="minorBidi" w:hAnsiTheme="minorBidi" w:cstheme="minorBidi"/>
            <w:sz w:val="18"/>
            <w:szCs w:val="18"/>
          </w:rPr>
          <w:t xml:space="preserve"> 7</w:t>
        </w:r>
      </w:hyperlink>
      <w:r w:rsidRPr="00EA22EA">
        <w:rPr>
          <w:rFonts w:asciiTheme="minorBidi" w:hAnsiTheme="minorBidi" w:cstheme="minorBidi"/>
          <w:snapToGrid w:val="0"/>
          <w:sz w:val="18"/>
          <w:szCs w:val="18"/>
        </w:rPr>
        <w:t xml:space="preserve">, 59 por </w:t>
      </w:r>
      <w:hyperlink r:id="rId2" w:history="1">
        <w:r w:rsidRPr="00EA22EA">
          <w:rPr>
            <w:rFonts w:asciiTheme="minorBidi" w:hAnsiTheme="minorBidi" w:cstheme="minorBidi"/>
            <w:snapToGrid w:val="0"/>
            <w:sz w:val="18"/>
            <w:szCs w:val="18"/>
          </w:rPr>
          <w:t xml:space="preserve">la Resolución </w:t>
        </w:r>
        <w:r w:rsidRPr="00EA22EA">
          <w:rPr>
            <w:rStyle w:val="Lienhypertexte"/>
            <w:rFonts w:asciiTheme="minorBidi" w:hAnsiTheme="minorBidi" w:cstheme="minorBidi"/>
            <w:sz w:val="18"/>
            <w:szCs w:val="18"/>
          </w:rPr>
          <w:t>4.</w:t>
        </w:r>
        <w:r w:rsidR="000A6CCB">
          <w:rPr>
            <w:rStyle w:val="Lienhypertexte"/>
            <w:rFonts w:asciiTheme="minorBidi" w:hAnsiTheme="minorBidi" w:cstheme="minorBidi"/>
            <w:sz w:val="18"/>
            <w:szCs w:val="18"/>
          </w:rPr>
          <w:t>GA</w:t>
        </w:r>
        <w:r w:rsidRPr="00EA22EA">
          <w:rPr>
            <w:rStyle w:val="Lienhypertexte"/>
            <w:rFonts w:asciiTheme="minorBidi" w:hAnsiTheme="minorBidi" w:cstheme="minorBidi"/>
            <w:sz w:val="18"/>
            <w:szCs w:val="18"/>
          </w:rPr>
          <w:t xml:space="preserve"> 6</w:t>
        </w:r>
      </w:hyperlink>
      <w:r w:rsidRPr="00EA22EA">
        <w:rPr>
          <w:rFonts w:asciiTheme="minorBidi" w:hAnsiTheme="minorBidi" w:cstheme="minorBidi"/>
          <w:snapToGrid w:val="0"/>
          <w:sz w:val="18"/>
          <w:szCs w:val="18"/>
        </w:rPr>
        <w:t>, 22 por la Resolución</w:t>
      </w:r>
      <w:hyperlink r:id="rId3" w:history="1">
        <w:r w:rsidRPr="00EA22EA">
          <w:rPr>
            <w:rStyle w:val="Lienhypertexte"/>
            <w:rFonts w:asciiTheme="minorBidi" w:hAnsiTheme="minorBidi" w:cstheme="minorBidi"/>
            <w:sz w:val="18"/>
            <w:szCs w:val="18"/>
          </w:rPr>
          <w:t xml:space="preserve"> 5.</w:t>
        </w:r>
        <w:r w:rsidR="000A6CCB">
          <w:rPr>
            <w:rStyle w:val="Lienhypertexte"/>
            <w:rFonts w:asciiTheme="minorBidi" w:hAnsiTheme="minorBidi" w:cstheme="minorBidi"/>
            <w:sz w:val="18"/>
            <w:szCs w:val="18"/>
          </w:rPr>
          <w:t>GA</w:t>
        </w:r>
        <w:r w:rsidRPr="00EA22EA">
          <w:rPr>
            <w:rStyle w:val="Lienhypertexte"/>
            <w:rFonts w:asciiTheme="minorBidi" w:hAnsiTheme="minorBidi" w:cstheme="minorBidi"/>
            <w:sz w:val="18"/>
            <w:szCs w:val="18"/>
          </w:rPr>
          <w:t xml:space="preserve"> 6</w:t>
        </w:r>
      </w:hyperlink>
      <w:r w:rsidRPr="00EA22EA">
        <w:rPr>
          <w:rFonts w:asciiTheme="minorBidi" w:hAnsiTheme="minorBidi" w:cstheme="minorBidi"/>
          <w:snapToGrid w:val="0"/>
          <w:sz w:val="18"/>
          <w:szCs w:val="18"/>
        </w:rPr>
        <w:t xml:space="preserve">, 24 por </w:t>
      </w:r>
      <w:hyperlink r:id="rId4" w:history="1">
        <w:r w:rsidRPr="00EA22EA">
          <w:rPr>
            <w:rFonts w:asciiTheme="minorBidi" w:hAnsiTheme="minorBidi" w:cstheme="minorBidi"/>
            <w:snapToGrid w:val="0"/>
            <w:sz w:val="18"/>
            <w:szCs w:val="18"/>
          </w:rPr>
          <w:t>la Resolución</w:t>
        </w:r>
        <w:r w:rsidRPr="00EA22EA">
          <w:rPr>
            <w:rFonts w:asciiTheme="minorBidi" w:hAnsiTheme="minorBidi" w:cstheme="minorBidi"/>
            <w:sz w:val="18"/>
            <w:szCs w:val="18"/>
          </w:rPr>
          <w:t xml:space="preserve"> </w:t>
        </w:r>
        <w:r w:rsidRPr="00EA22EA">
          <w:rPr>
            <w:rStyle w:val="Lienhypertexte"/>
            <w:rFonts w:asciiTheme="minorBidi" w:hAnsiTheme="minorBidi" w:cstheme="minorBidi"/>
            <w:sz w:val="18"/>
            <w:szCs w:val="18"/>
          </w:rPr>
          <w:t>6.</w:t>
        </w:r>
        <w:r w:rsidR="000A6CCB">
          <w:rPr>
            <w:rStyle w:val="Lienhypertexte"/>
            <w:rFonts w:asciiTheme="minorBidi" w:hAnsiTheme="minorBidi" w:cstheme="minorBidi"/>
            <w:sz w:val="18"/>
            <w:szCs w:val="18"/>
          </w:rPr>
          <w:t>GA</w:t>
        </w:r>
        <w:r w:rsidRPr="00EA22EA">
          <w:rPr>
            <w:rStyle w:val="Lienhypertexte"/>
            <w:rFonts w:asciiTheme="minorBidi" w:hAnsiTheme="minorBidi" w:cstheme="minorBidi"/>
            <w:sz w:val="18"/>
            <w:szCs w:val="18"/>
          </w:rPr>
          <w:t xml:space="preserve"> 8</w:t>
        </w:r>
      </w:hyperlink>
      <w:r w:rsidRPr="00EA22EA">
        <w:rPr>
          <w:rFonts w:asciiTheme="minorBidi" w:hAnsiTheme="minorBidi" w:cstheme="minorBidi"/>
          <w:snapToGrid w:val="0"/>
          <w:sz w:val="18"/>
          <w:szCs w:val="18"/>
        </w:rPr>
        <w:t>, 29 por</w:t>
      </w:r>
      <w:r w:rsidRPr="00EA22EA">
        <w:rPr>
          <w:rFonts w:asciiTheme="minorBidi" w:hAnsiTheme="minorBidi" w:cstheme="minorBidi"/>
          <w:sz w:val="18"/>
          <w:szCs w:val="18"/>
        </w:rPr>
        <w:t xml:space="preserve"> </w:t>
      </w:r>
      <w:r w:rsidRPr="00EA22EA">
        <w:rPr>
          <w:rFonts w:asciiTheme="minorBidi" w:hAnsiTheme="minorBidi" w:cstheme="minorBidi"/>
          <w:snapToGrid w:val="0"/>
          <w:sz w:val="18"/>
          <w:szCs w:val="18"/>
        </w:rPr>
        <w:t xml:space="preserve">la Resolución </w:t>
      </w:r>
      <w:hyperlink r:id="rId5" w:history="1">
        <w:r w:rsidRPr="00EA22EA">
          <w:rPr>
            <w:rStyle w:val="Lienhypertexte"/>
            <w:rFonts w:asciiTheme="minorBidi" w:hAnsiTheme="minorBidi" w:cstheme="minorBidi"/>
            <w:sz w:val="18"/>
            <w:szCs w:val="18"/>
          </w:rPr>
          <w:t>7.</w:t>
        </w:r>
        <w:r w:rsidR="000A6CCB">
          <w:rPr>
            <w:rStyle w:val="Lienhypertexte"/>
            <w:rFonts w:asciiTheme="minorBidi" w:hAnsiTheme="minorBidi" w:cstheme="minorBidi"/>
            <w:sz w:val="18"/>
            <w:szCs w:val="18"/>
          </w:rPr>
          <w:t>GA</w:t>
        </w:r>
        <w:r w:rsidRPr="00EA22EA">
          <w:rPr>
            <w:rStyle w:val="Lienhypertexte"/>
            <w:rFonts w:asciiTheme="minorBidi" w:hAnsiTheme="minorBidi" w:cstheme="minorBidi"/>
            <w:sz w:val="18"/>
            <w:szCs w:val="18"/>
          </w:rPr>
          <w:t xml:space="preserve"> 11</w:t>
        </w:r>
      </w:hyperlink>
      <w:r w:rsidRPr="00EA22EA">
        <w:rPr>
          <w:rFonts w:asciiTheme="minorBidi" w:hAnsiTheme="minorBidi" w:cstheme="minorBidi"/>
          <w:snapToGrid w:val="0"/>
          <w:sz w:val="18"/>
          <w:szCs w:val="18"/>
        </w:rPr>
        <w:t>, 36 por</w:t>
      </w:r>
      <w:r w:rsidRPr="00EA22EA">
        <w:rPr>
          <w:rFonts w:asciiTheme="minorBidi" w:hAnsiTheme="minorBidi" w:cstheme="minorBidi"/>
          <w:sz w:val="18"/>
          <w:szCs w:val="18"/>
        </w:rPr>
        <w:t xml:space="preserve"> </w:t>
      </w:r>
      <w:r w:rsidRPr="00EA22EA">
        <w:rPr>
          <w:rFonts w:asciiTheme="minorBidi" w:hAnsiTheme="minorBidi" w:cstheme="minorBidi"/>
          <w:snapToGrid w:val="0"/>
          <w:sz w:val="18"/>
          <w:szCs w:val="18"/>
        </w:rPr>
        <w:t xml:space="preserve">la Resolución </w:t>
      </w:r>
      <w:hyperlink r:id="rId6" w:history="1">
        <w:r w:rsidRPr="00EA22EA">
          <w:rPr>
            <w:rStyle w:val="Lienhypertexte"/>
            <w:rFonts w:asciiTheme="minorBidi" w:hAnsiTheme="minorBidi" w:cstheme="minorBidi"/>
            <w:snapToGrid w:val="0"/>
            <w:sz w:val="18"/>
            <w:szCs w:val="18"/>
          </w:rPr>
          <w:t>8.</w:t>
        </w:r>
        <w:r w:rsidR="000A6CCB">
          <w:rPr>
            <w:rStyle w:val="Lienhypertexte"/>
            <w:rFonts w:asciiTheme="minorBidi" w:hAnsiTheme="minorBidi" w:cstheme="minorBidi"/>
            <w:snapToGrid w:val="0"/>
            <w:sz w:val="18"/>
            <w:szCs w:val="18"/>
          </w:rPr>
          <w:t>GA</w:t>
        </w:r>
        <w:r w:rsidRPr="00EA22EA">
          <w:rPr>
            <w:rStyle w:val="Lienhypertexte"/>
            <w:rFonts w:asciiTheme="minorBidi" w:hAnsiTheme="minorBidi" w:cstheme="minorBidi"/>
            <w:snapToGrid w:val="0"/>
            <w:sz w:val="18"/>
            <w:szCs w:val="18"/>
          </w:rPr>
          <w:t xml:space="preserve"> 13</w:t>
        </w:r>
      </w:hyperlink>
      <w:r w:rsidR="00EB3132" w:rsidRPr="000A6CCB">
        <w:rPr>
          <w:rStyle w:val="Lienhypertexte"/>
          <w:rFonts w:asciiTheme="minorBidi" w:hAnsiTheme="minorBidi" w:cstheme="minorBidi"/>
          <w:snapToGrid w:val="0"/>
          <w:sz w:val="18"/>
          <w:szCs w:val="18"/>
          <w:u w:val="none"/>
        </w:rPr>
        <w:t xml:space="preserve"> </w:t>
      </w:r>
      <w:r w:rsidRPr="00EA22EA">
        <w:rPr>
          <w:rStyle w:val="Lienhypertexte"/>
          <w:rFonts w:asciiTheme="minorBidi" w:hAnsiTheme="minorBidi" w:cstheme="minorBidi"/>
          <w:snapToGrid w:val="0"/>
          <w:color w:val="auto"/>
          <w:sz w:val="18"/>
          <w:szCs w:val="18"/>
          <w:u w:val="none"/>
        </w:rPr>
        <w:t xml:space="preserve">y 33 por la Resolución </w:t>
      </w:r>
      <w:hyperlink r:id="rId7" w:history="1">
        <w:r w:rsidRPr="00EA22EA">
          <w:rPr>
            <w:rStyle w:val="Lienhypertexte"/>
            <w:rFonts w:asciiTheme="minorBidi" w:hAnsiTheme="minorBidi" w:cstheme="minorBidi"/>
            <w:snapToGrid w:val="0"/>
            <w:sz w:val="18"/>
            <w:szCs w:val="18"/>
          </w:rPr>
          <w:t>9.</w:t>
        </w:r>
        <w:r w:rsidR="000A6CCB">
          <w:rPr>
            <w:rStyle w:val="Lienhypertexte"/>
            <w:rFonts w:asciiTheme="minorBidi" w:hAnsiTheme="minorBidi" w:cstheme="minorBidi"/>
            <w:snapToGrid w:val="0"/>
            <w:sz w:val="18"/>
            <w:szCs w:val="18"/>
          </w:rPr>
          <w:t>GA</w:t>
        </w:r>
        <w:r w:rsidRPr="00EA22EA">
          <w:rPr>
            <w:rStyle w:val="Lienhypertexte"/>
            <w:rFonts w:asciiTheme="minorBidi" w:hAnsiTheme="minorBidi" w:cstheme="minorBidi"/>
            <w:snapToGrid w:val="0"/>
            <w:sz w:val="18"/>
            <w:szCs w:val="18"/>
          </w:rPr>
          <w:t xml:space="preserve"> 7</w:t>
        </w:r>
      </w:hyperlink>
      <w:r w:rsidRPr="000A6CCB">
        <w:rPr>
          <w:rStyle w:val="Lienhypertexte"/>
          <w:rFonts w:asciiTheme="minorBidi" w:hAnsiTheme="minorBidi" w:cstheme="minorBidi"/>
          <w:snapToGrid w:val="0"/>
          <w:color w:val="auto"/>
          <w:sz w:val="18"/>
          <w:szCs w:val="18"/>
          <w:u w:val="none"/>
        </w:rPr>
        <w:t>)</w:t>
      </w:r>
      <w:r w:rsidRPr="000A6CCB">
        <w:rPr>
          <w:rFonts w:asciiTheme="minorBidi" w:hAnsiTheme="minorBidi" w:cstheme="minorBidi"/>
          <w:snapToGrid w:val="0"/>
          <w:sz w:val="18"/>
          <w:szCs w:val="18"/>
        </w:rPr>
        <w:t>.</w:t>
      </w:r>
    </w:p>
  </w:footnote>
  <w:footnote w:id="2">
    <w:p w14:paraId="3F2452DD" w14:textId="0890B462" w:rsidR="00C01618" w:rsidRPr="00EA22EA" w:rsidRDefault="00C01618" w:rsidP="00C01618">
      <w:pPr>
        <w:pStyle w:val="Notedebasdepage"/>
        <w:spacing w:after="60"/>
        <w:ind w:left="567" w:hanging="567"/>
        <w:jc w:val="both"/>
        <w:rPr>
          <w:rFonts w:asciiTheme="minorBidi" w:hAnsiTheme="minorBidi" w:cstheme="minorBidi"/>
          <w:sz w:val="18"/>
          <w:szCs w:val="18"/>
        </w:rPr>
      </w:pPr>
      <w:r w:rsidRPr="000928D9">
        <w:rPr>
          <w:rStyle w:val="Appelnotedebasdep"/>
          <w:rFonts w:asciiTheme="minorBidi" w:hAnsiTheme="minorBidi" w:cstheme="minorBidi"/>
          <w:sz w:val="18"/>
          <w:szCs w:val="18"/>
        </w:rPr>
        <w:footnoteRef/>
      </w:r>
      <w:r w:rsidRPr="000928D9">
        <w:rPr>
          <w:rFonts w:asciiTheme="minorBidi" w:hAnsiTheme="minorBidi" w:cstheme="minorBidi"/>
          <w:snapToGrid w:val="0"/>
          <w:sz w:val="18"/>
          <w:szCs w:val="18"/>
          <w:vertAlign w:val="superscript"/>
        </w:rPr>
        <w:t>.</w:t>
      </w:r>
      <w:r w:rsidRPr="00EA22EA">
        <w:rPr>
          <w:rFonts w:asciiTheme="minorBidi" w:hAnsiTheme="minorBidi" w:cstheme="minorBidi"/>
          <w:snapToGrid w:val="0"/>
          <w:sz w:val="18"/>
          <w:szCs w:val="18"/>
        </w:rPr>
        <w:tab/>
        <w:t xml:space="preserve">En su </w:t>
      </w:r>
      <w:r w:rsidRPr="00EA22EA">
        <w:rPr>
          <w:rFonts w:asciiTheme="minorBidi" w:hAnsiTheme="minorBidi" w:cstheme="minorBidi"/>
          <w:bCs/>
          <w:snapToGrid w:val="0"/>
          <w:sz w:val="18"/>
          <w:szCs w:val="18"/>
        </w:rPr>
        <w:t>décima</w:t>
      </w:r>
      <w:r w:rsidRPr="00EA22EA">
        <w:rPr>
          <w:rFonts w:asciiTheme="minorBidi" w:hAnsiTheme="minorBidi" w:cstheme="minorBidi"/>
          <w:snapToGrid w:val="0"/>
          <w:sz w:val="18"/>
          <w:szCs w:val="18"/>
        </w:rPr>
        <w:t xml:space="preserve"> </w:t>
      </w:r>
      <w:bookmarkStart w:id="1" w:name="_Hlk159519092"/>
      <w:r w:rsidRPr="00EA22EA">
        <w:rPr>
          <w:rFonts w:asciiTheme="minorBidi" w:hAnsiTheme="minorBidi" w:cstheme="minorBidi"/>
          <w:snapToGrid w:val="0"/>
          <w:sz w:val="18"/>
          <w:szCs w:val="18"/>
        </w:rPr>
        <w:t xml:space="preserve">reunión de 2015, el Comité decidió continuar las relaciones con 59 ONG y poner fin a las relaciones con 38 ONG (Decisión </w:t>
      </w:r>
      <w:hyperlink r:id="rId8" w:history="1">
        <w:r w:rsidRPr="00EA22EA">
          <w:rPr>
            <w:rStyle w:val="Lienhypertexte"/>
            <w:rFonts w:asciiTheme="minorBidi" w:hAnsiTheme="minorBidi" w:cstheme="minorBidi"/>
            <w:snapToGrid w:val="0"/>
            <w:sz w:val="18"/>
            <w:szCs w:val="18"/>
          </w:rPr>
          <w:t>10.COM 16</w:t>
        </w:r>
      </w:hyperlink>
      <w:r w:rsidRPr="00EA22EA">
        <w:rPr>
          <w:rFonts w:asciiTheme="minorBidi" w:hAnsiTheme="minorBidi" w:cstheme="minorBidi"/>
          <w:snapToGrid w:val="0"/>
          <w:sz w:val="18"/>
          <w:szCs w:val="18"/>
        </w:rPr>
        <w:t>),</w:t>
      </w:r>
      <w:bookmarkEnd w:id="1"/>
      <w:r w:rsidRPr="00EA22EA">
        <w:rPr>
          <w:rFonts w:asciiTheme="minorBidi" w:hAnsiTheme="minorBidi" w:cstheme="minorBidi"/>
          <w:snapToGrid w:val="0"/>
          <w:sz w:val="18"/>
          <w:szCs w:val="18"/>
        </w:rPr>
        <w:t xml:space="preserve"> todas ellas acreditadas por la tercera reunión de la Asamblea General en 2010; en su </w:t>
      </w:r>
      <w:r w:rsidRPr="00EA22EA">
        <w:rPr>
          <w:rFonts w:asciiTheme="minorBidi" w:hAnsiTheme="minorBidi" w:cstheme="minorBidi"/>
          <w:bCs/>
          <w:snapToGrid w:val="0"/>
          <w:sz w:val="18"/>
          <w:szCs w:val="18"/>
        </w:rPr>
        <w:t>duodécima</w:t>
      </w:r>
      <w:r w:rsidRPr="00EA22EA">
        <w:rPr>
          <w:rFonts w:asciiTheme="minorBidi" w:hAnsiTheme="minorBidi" w:cstheme="minorBidi"/>
          <w:snapToGrid w:val="0"/>
          <w:sz w:val="18"/>
          <w:szCs w:val="18"/>
        </w:rPr>
        <w:t xml:space="preserve"> reunión de 2017, el Comité decidió continuar las relaciones con 42 ONG y poner fin a las relaciones con 17 ONG (Decisión </w:t>
      </w:r>
      <w:hyperlink r:id="rId9" w:history="1">
        <w:r w:rsidRPr="00EA22EA">
          <w:rPr>
            <w:rStyle w:val="Lienhypertexte"/>
            <w:rFonts w:asciiTheme="minorBidi" w:hAnsiTheme="minorBidi" w:cstheme="minorBidi"/>
            <w:snapToGrid w:val="0"/>
            <w:sz w:val="18"/>
            <w:szCs w:val="18"/>
          </w:rPr>
          <w:t>12.COM 17</w:t>
        </w:r>
      </w:hyperlink>
      <w:r w:rsidRPr="00EA22EA">
        <w:rPr>
          <w:rFonts w:asciiTheme="minorBidi" w:hAnsiTheme="minorBidi" w:cstheme="minorBidi"/>
          <w:snapToGrid w:val="0"/>
          <w:sz w:val="18"/>
          <w:szCs w:val="18"/>
        </w:rPr>
        <w:t xml:space="preserve">), todas ellas acreditadas por la cuarta reunión de la Asamblea General en 2012; en su </w:t>
      </w:r>
      <w:r w:rsidRPr="00EA22EA">
        <w:rPr>
          <w:rFonts w:asciiTheme="minorBidi" w:hAnsiTheme="minorBidi" w:cstheme="minorBidi"/>
          <w:bCs/>
          <w:snapToGrid w:val="0"/>
          <w:sz w:val="18"/>
          <w:szCs w:val="18"/>
        </w:rPr>
        <w:t>decimocuarta</w:t>
      </w:r>
      <w:r w:rsidRPr="00EA22EA">
        <w:rPr>
          <w:rFonts w:asciiTheme="minorBidi" w:hAnsiTheme="minorBidi" w:cstheme="minorBidi"/>
          <w:snapToGrid w:val="0"/>
          <w:sz w:val="18"/>
          <w:szCs w:val="18"/>
        </w:rPr>
        <w:t xml:space="preserve"> reunión de 2019, el Comité decidió continuar las relaciones con 62 ONG acreditadas y poner fin a las relaciones con 19 ONG (Decisión </w:t>
      </w:r>
      <w:hyperlink r:id="rId10" w:history="1">
        <w:r w:rsidRPr="00EA22EA">
          <w:rPr>
            <w:rStyle w:val="Lienhypertexte"/>
            <w:rFonts w:asciiTheme="minorBidi" w:hAnsiTheme="minorBidi" w:cstheme="minorBidi"/>
            <w:snapToGrid w:val="0"/>
            <w:sz w:val="18"/>
            <w:szCs w:val="18"/>
          </w:rPr>
          <w:t>14.COM 17</w:t>
        </w:r>
      </w:hyperlink>
      <w:r w:rsidRPr="00EA22EA">
        <w:rPr>
          <w:rFonts w:asciiTheme="minorBidi" w:hAnsiTheme="minorBidi" w:cstheme="minorBidi"/>
          <w:snapToGrid w:val="0"/>
          <w:sz w:val="18"/>
          <w:szCs w:val="18"/>
        </w:rPr>
        <w:t xml:space="preserve">), todas ellas acreditadas por la quinta reunión de la Asamblea General; en su </w:t>
      </w:r>
      <w:r w:rsidRPr="00EA22EA">
        <w:rPr>
          <w:rFonts w:asciiTheme="minorBidi" w:hAnsiTheme="minorBidi" w:cstheme="minorBidi"/>
          <w:bCs/>
          <w:snapToGrid w:val="0"/>
          <w:sz w:val="18"/>
          <w:szCs w:val="18"/>
        </w:rPr>
        <w:t>decimosexta</w:t>
      </w:r>
      <w:r w:rsidRPr="00EA22EA">
        <w:rPr>
          <w:rFonts w:asciiTheme="minorBidi" w:hAnsiTheme="minorBidi" w:cstheme="minorBidi"/>
          <w:snapToGrid w:val="0"/>
          <w:sz w:val="18"/>
          <w:szCs w:val="18"/>
        </w:rPr>
        <w:t xml:space="preserve"> reunión de 2021, el Comité decidió continuar las relaciones con 57 ONG acreditadas y poner fin a las relaciones con 9 ONG (Decisión </w:t>
      </w:r>
      <w:hyperlink r:id="rId11" w:history="1">
        <w:r w:rsidRPr="00EA22EA">
          <w:rPr>
            <w:rStyle w:val="Lienhypertexte"/>
            <w:rFonts w:asciiTheme="minorBidi" w:hAnsiTheme="minorBidi" w:cstheme="minorBidi"/>
            <w:snapToGrid w:val="0"/>
            <w:sz w:val="18"/>
            <w:szCs w:val="18"/>
          </w:rPr>
          <w:t>16.COM 15</w:t>
        </w:r>
      </w:hyperlink>
      <w:r w:rsidRPr="00EA22EA">
        <w:rPr>
          <w:rFonts w:asciiTheme="minorBidi" w:hAnsiTheme="minorBidi" w:cstheme="minorBidi"/>
          <w:snapToGrid w:val="0"/>
          <w:sz w:val="18"/>
          <w:szCs w:val="18"/>
        </w:rPr>
        <w:t xml:space="preserve">), todas ellas acreditadas en la sexta reunión de la Asamblea General. En su </w:t>
      </w:r>
      <w:r w:rsidRPr="00EA22EA">
        <w:rPr>
          <w:rFonts w:asciiTheme="minorBidi" w:hAnsiTheme="minorBidi" w:cstheme="minorBidi"/>
          <w:bCs/>
          <w:snapToGrid w:val="0"/>
          <w:sz w:val="18"/>
          <w:szCs w:val="18"/>
        </w:rPr>
        <w:t>decimoctava</w:t>
      </w:r>
      <w:r w:rsidRPr="00EA22EA">
        <w:rPr>
          <w:rFonts w:asciiTheme="minorBidi" w:hAnsiTheme="minorBidi" w:cstheme="minorBidi"/>
          <w:b/>
          <w:snapToGrid w:val="0"/>
          <w:sz w:val="18"/>
          <w:szCs w:val="18"/>
        </w:rPr>
        <w:t xml:space="preserve"> </w:t>
      </w:r>
      <w:r w:rsidRPr="00EA22EA">
        <w:rPr>
          <w:rFonts w:asciiTheme="minorBidi" w:hAnsiTheme="minorBidi" w:cstheme="minorBidi"/>
          <w:snapToGrid w:val="0"/>
          <w:sz w:val="18"/>
          <w:szCs w:val="18"/>
        </w:rPr>
        <w:t>reunión de 2023, el Comité decidió continuar las relaciones con 80 ONG y poner fin a las relaciones con 11 ONG (Decisión</w:t>
      </w:r>
      <w:r w:rsidR="00EB3132" w:rsidRPr="00EA22EA">
        <w:rPr>
          <w:rFonts w:asciiTheme="minorBidi" w:hAnsiTheme="minorBidi" w:cstheme="minorBidi"/>
          <w:snapToGrid w:val="0"/>
          <w:sz w:val="18"/>
          <w:szCs w:val="18"/>
        </w:rPr>
        <w:t xml:space="preserve"> </w:t>
      </w:r>
      <w:hyperlink r:id="rId12" w:history="1">
        <w:r w:rsidRPr="00EA22EA">
          <w:rPr>
            <w:rStyle w:val="Lienhypertexte"/>
            <w:rFonts w:asciiTheme="minorBidi" w:hAnsiTheme="minorBidi" w:cstheme="minorBidi"/>
            <w:snapToGrid w:val="0"/>
            <w:sz w:val="18"/>
            <w:szCs w:val="18"/>
          </w:rPr>
          <w:t>18.COM 16</w:t>
        </w:r>
      </w:hyperlink>
      <w:r w:rsidRPr="00EA22EA">
        <w:rPr>
          <w:rFonts w:asciiTheme="minorBidi" w:hAnsiTheme="minorBidi" w:cstheme="minorBidi"/>
          <w:snapToGrid w:val="0"/>
          <w:sz w:val="18"/>
          <w:szCs w:val="18"/>
        </w:rPr>
        <w:t>).</w:t>
      </w:r>
    </w:p>
  </w:footnote>
  <w:footnote w:id="3">
    <w:p w14:paraId="2FF77279" w14:textId="77777777" w:rsidR="009D68F8" w:rsidRPr="007434A9" w:rsidRDefault="009D68F8" w:rsidP="007434A9">
      <w:pPr>
        <w:pStyle w:val="Notedebasdepage"/>
        <w:jc w:val="both"/>
        <w:rPr>
          <w:rFonts w:asciiTheme="minorBidi" w:hAnsiTheme="minorBidi" w:cstheme="minorBidi"/>
          <w:sz w:val="18"/>
          <w:szCs w:val="18"/>
        </w:rPr>
      </w:pPr>
      <w:r w:rsidRPr="00A914E7">
        <w:rPr>
          <w:rStyle w:val="Appelnotedebasdep"/>
          <w:rFonts w:asciiTheme="minorBidi" w:hAnsiTheme="minorBidi" w:cstheme="minorBidi"/>
          <w:sz w:val="18"/>
          <w:szCs w:val="18"/>
        </w:rPr>
        <w:footnoteRef/>
      </w:r>
      <w:r w:rsidRPr="00A914E7">
        <w:rPr>
          <w:rFonts w:asciiTheme="minorBidi" w:hAnsiTheme="minorBidi"/>
          <w:sz w:val="18"/>
        </w:rPr>
        <w:t xml:space="preserve"> Número (y porcentaje) de encuestados que seleccionaron esta medida de los 37 Estados Partes participantes. Cada Estado Parte podía elegir hasta dos medidas posibles.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1DCC31E1" w:rsidR="00D95C4C" w:rsidRPr="00C23A97" w:rsidRDefault="006F41B4">
    <w:pPr>
      <w:pStyle w:val="En-tte"/>
      <w:rPr>
        <w:rFonts w:ascii="Arial" w:hAnsi="Arial" w:cs="Arial"/>
      </w:rPr>
    </w:pPr>
    <w:r>
      <w:rPr>
        <w:rFonts w:ascii="Arial" w:hAnsi="Arial"/>
        <w:sz w:val="20"/>
      </w:rPr>
      <w:t xml:space="preserve">LHE/24/10.GA/9 –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F010E0">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3DFE092E" w:rsidR="00D95C4C" w:rsidRPr="0063300C" w:rsidRDefault="00502D44" w:rsidP="0063300C">
    <w:pPr>
      <w:pStyle w:val="En-tte"/>
      <w:jc w:val="right"/>
      <w:rPr>
        <w:rFonts w:ascii="Arial" w:hAnsi="Arial" w:cs="Arial"/>
      </w:rPr>
    </w:pPr>
    <w:r>
      <w:rPr>
        <w:rFonts w:ascii="Arial" w:hAnsi="Arial"/>
        <w:sz w:val="20"/>
      </w:rPr>
      <w:t xml:space="preserve">LHE/24/10.GA/9 –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8A1ED4">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54CEC380" w:rsidR="00D95C4C" w:rsidRPr="008724E5" w:rsidRDefault="00165541">
    <w:pPr>
      <w:pStyle w:val="En-tte"/>
    </w:pPr>
    <w:r>
      <w:rPr>
        <w:noProof/>
      </w:rPr>
      <w:drawing>
        <wp:anchor distT="0" distB="0" distL="114300" distR="114300" simplePos="0" relativeHeight="251659264" behindDoc="0" locked="0" layoutInCell="1" allowOverlap="1" wp14:anchorId="1B2ED5FA" wp14:editId="60120FFD">
          <wp:simplePos x="0" y="0"/>
          <wp:positionH relativeFrom="margin">
            <wp:posOffset>0</wp:posOffset>
          </wp:positionH>
          <wp:positionV relativeFrom="paragraph">
            <wp:posOffset>-28575</wp:posOffset>
          </wp:positionV>
          <wp:extent cx="1709420" cy="1439545"/>
          <wp:effectExtent l="0" t="0" r="5080" b="825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233C0" w14:textId="778B108F" w:rsidR="00D95C4C" w:rsidRPr="00D25762" w:rsidRDefault="00CA01BD" w:rsidP="00655736">
    <w:pPr>
      <w:pStyle w:val="En-tte"/>
      <w:spacing w:after="520"/>
      <w:jc w:val="right"/>
      <w:rPr>
        <w:rFonts w:ascii="Arial" w:hAnsi="Arial" w:cs="Arial"/>
        <w:b/>
        <w:sz w:val="44"/>
        <w:szCs w:val="44"/>
      </w:rPr>
    </w:pPr>
    <w:r>
      <w:rPr>
        <w:rFonts w:ascii="Arial" w:hAnsi="Arial"/>
        <w:b/>
        <w:sz w:val="44"/>
      </w:rPr>
      <w:t>10 GA</w:t>
    </w:r>
  </w:p>
  <w:p w14:paraId="2037F6C9" w14:textId="6E8EEC8A" w:rsidR="00D95C4C" w:rsidRPr="00D25762" w:rsidRDefault="006F41B4" w:rsidP="00655736">
    <w:pPr>
      <w:jc w:val="right"/>
      <w:rPr>
        <w:rFonts w:ascii="Arial" w:hAnsi="Arial" w:cs="Arial"/>
        <w:b/>
        <w:sz w:val="22"/>
        <w:szCs w:val="22"/>
      </w:rPr>
    </w:pPr>
    <w:r>
      <w:rPr>
        <w:rFonts w:ascii="Arial" w:hAnsi="Arial"/>
        <w:b/>
        <w:sz w:val="22"/>
      </w:rPr>
      <w:t>LHE/24/10.GA/</w:t>
    </w:r>
    <w:r w:rsidRPr="001E596D">
      <w:rPr>
        <w:rFonts w:ascii="Arial" w:hAnsi="Arial"/>
        <w:b/>
        <w:sz w:val="22"/>
      </w:rPr>
      <w:t>9</w:t>
    </w:r>
  </w:p>
  <w:p w14:paraId="1E03530A" w14:textId="797D4F77" w:rsidR="00D95C4C" w:rsidRPr="00D25762" w:rsidRDefault="00D95C4C" w:rsidP="00655736">
    <w:pPr>
      <w:jc w:val="right"/>
      <w:rPr>
        <w:rFonts w:ascii="Arial" w:hAnsi="Arial" w:cs="Arial"/>
        <w:b/>
        <w:sz w:val="22"/>
        <w:szCs w:val="22"/>
      </w:rPr>
    </w:pPr>
    <w:r>
      <w:rPr>
        <w:rFonts w:ascii="Arial" w:hAnsi="Arial"/>
        <w:b/>
        <w:sz w:val="22"/>
      </w:rPr>
      <w:t>París, 13 de mayo de 2024</w:t>
    </w:r>
  </w:p>
  <w:p w14:paraId="00956E32" w14:textId="0E7557E4" w:rsidR="00D95C4C" w:rsidRDefault="00D95C4C" w:rsidP="00703FBF">
    <w:pPr>
      <w:jc w:val="right"/>
      <w:rPr>
        <w:rFonts w:ascii="Arial" w:hAnsi="Arial" w:cs="Arial"/>
        <w:b/>
        <w:sz w:val="22"/>
        <w:szCs w:val="22"/>
      </w:rPr>
    </w:pPr>
    <w:r>
      <w:rPr>
        <w:rFonts w:ascii="Arial" w:hAnsi="Arial"/>
        <w:b/>
        <w:sz w:val="22"/>
      </w:rPr>
      <w:t>Original: inglés</w:t>
    </w:r>
  </w:p>
  <w:p w14:paraId="7FB1132E" w14:textId="77777777" w:rsidR="00540FE0" w:rsidRPr="00C23A97" w:rsidRDefault="00540FE0" w:rsidP="00540FE0">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4EDE" w14:textId="77777777" w:rsidR="00D95C4C" w:rsidRPr="00C23A97" w:rsidRDefault="009D68F8" w:rsidP="00C5776D">
    <w:pPr>
      <w:pStyle w:val="En-tte"/>
      <w:rPr>
        <w:rFonts w:ascii="Arial" w:hAnsi="Arial" w:cs="Arial"/>
      </w:rPr>
    </w:pPr>
    <w:r>
      <w:rPr>
        <w:rFonts w:ascii="Arial" w:hAnsi="Arial"/>
        <w:sz w:val="20"/>
      </w:rPr>
      <w:t xml:space="preserve">LHE/24/10.GA/9 Add. </w:t>
    </w:r>
    <w:r w:rsidRPr="00C23A97">
      <w:rPr>
        <w:rFonts w:ascii="Arial" w:hAnsi="Arial" w:cs="Arial"/>
        <w:sz w:val="20"/>
        <w:szCs w:val="20"/>
        <w:lang w:val="en-GB"/>
      </w:rPr>
      <w:t>–</w:t>
    </w:r>
    <w:r>
      <w:rPr>
        <w:rFonts w:ascii="Arial" w:hAnsi="Arial"/>
        <w:sz w:val="20"/>
      </w:rPr>
      <w:t xml:space="preserve">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Pr>
        <w:rStyle w:val="Numrodepage"/>
        <w:rFonts w:ascii="Arial" w:hAnsi="Arial" w:cs="Arial"/>
        <w:sz w:val="20"/>
      </w:rPr>
      <w:t>2</w:t>
    </w:r>
    <w:r w:rsidR="00D95C4C" w:rsidRPr="00C23A97">
      <w:rPr>
        <w:rStyle w:val="Numrodepage"/>
        <w:rFonts w:ascii="Arial" w:hAnsi="Arial" w:cs="Arial"/>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8381" w14:textId="77777777" w:rsidR="00D95C4C" w:rsidRPr="0063300C" w:rsidRDefault="009D68F8" w:rsidP="00C5776D">
    <w:pPr>
      <w:pStyle w:val="En-tte"/>
      <w:jc w:val="right"/>
      <w:rPr>
        <w:rFonts w:ascii="Arial" w:hAnsi="Arial" w:cs="Arial"/>
      </w:rPr>
    </w:pPr>
    <w:r>
      <w:rPr>
        <w:rFonts w:ascii="Arial" w:hAnsi="Arial"/>
        <w:sz w:val="20"/>
      </w:rPr>
      <w:t xml:space="preserve">LHE/24/10.GA/9 Add. </w:t>
    </w:r>
    <w:r w:rsidRPr="00C23A97">
      <w:rPr>
        <w:rFonts w:ascii="Arial" w:hAnsi="Arial" w:cs="Arial"/>
        <w:sz w:val="20"/>
        <w:szCs w:val="20"/>
        <w:lang w:val="en-GB"/>
      </w:rPr>
      <w:t>–</w:t>
    </w:r>
    <w:r>
      <w:rPr>
        <w:rFonts w:ascii="Arial" w:hAnsi="Arial"/>
        <w:sz w:val="20"/>
      </w:rPr>
      <w:t xml:space="preserve">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Pr>
        <w:rStyle w:val="Numrodepage"/>
        <w:rFonts w:ascii="Arial" w:hAnsi="Arial" w:cs="Arial"/>
        <w:sz w:val="20"/>
      </w:rPr>
      <w:t>3</w:t>
    </w:r>
    <w:r w:rsidR="004A34A0" w:rsidRPr="0063300C">
      <w:rPr>
        <w:rStyle w:val="Numrodepage"/>
        <w:rFonts w:ascii="Arial" w:hAnsi="Arial" w:cs="Arial"/>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EF33" w14:textId="77777777" w:rsidR="00D95C4C" w:rsidRPr="00E95AE2" w:rsidRDefault="00D95C4C">
    <w:pPr>
      <w:pStyle w:val="En-tte"/>
      <w:rPr>
        <w:sz w:val="22"/>
        <w:szCs w:val="22"/>
      </w:rPr>
    </w:pPr>
  </w:p>
  <w:p w14:paraId="04717363" w14:textId="77777777" w:rsidR="00D95C4C" w:rsidRPr="00D7105A" w:rsidRDefault="009D68F8" w:rsidP="00C5776D">
    <w:pPr>
      <w:pStyle w:val="En-tte"/>
      <w:spacing w:after="520"/>
      <w:jc w:val="right"/>
      <w:rPr>
        <w:rFonts w:ascii="Arial" w:hAnsi="Arial" w:cs="Arial"/>
        <w:b/>
        <w:sz w:val="44"/>
        <w:szCs w:val="44"/>
      </w:rPr>
    </w:pPr>
    <w:r>
      <w:rPr>
        <w:noProof/>
      </w:rPr>
      <w:drawing>
        <wp:anchor distT="0" distB="0" distL="114300" distR="114300" simplePos="0" relativeHeight="251661312" behindDoc="0" locked="0" layoutInCell="1" allowOverlap="1" wp14:anchorId="6A096374" wp14:editId="0539475D">
          <wp:simplePos x="0" y="0"/>
          <wp:positionH relativeFrom="margin">
            <wp:align>left</wp:align>
          </wp:positionH>
          <wp:positionV relativeFrom="paragraph">
            <wp:posOffset>6350</wp:posOffset>
          </wp:positionV>
          <wp:extent cx="1709420" cy="1439545"/>
          <wp:effectExtent l="0" t="0" r="5080" b="8255"/>
          <wp:wrapSquare wrapText="bothSides"/>
          <wp:docPr id="25719005"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z w:val="44"/>
      </w:rPr>
      <w:t>10 GA</w:t>
    </w:r>
  </w:p>
  <w:p w14:paraId="0F645A2F" w14:textId="77777777" w:rsidR="00D95C4C" w:rsidRPr="00D7105A" w:rsidRDefault="009D68F8" w:rsidP="00C5776D">
    <w:pPr>
      <w:jc w:val="right"/>
      <w:rPr>
        <w:rFonts w:ascii="Arial" w:hAnsi="Arial" w:cs="Arial"/>
        <w:b/>
        <w:sz w:val="22"/>
        <w:szCs w:val="22"/>
      </w:rPr>
    </w:pPr>
    <w:r>
      <w:rPr>
        <w:rFonts w:ascii="Arial" w:hAnsi="Arial"/>
        <w:b/>
        <w:sz w:val="22"/>
      </w:rPr>
      <w:t>LHE/24/10.GA/9 Add.</w:t>
    </w:r>
  </w:p>
  <w:p w14:paraId="17E47FEA" w14:textId="77777777" w:rsidR="00D95C4C" w:rsidRPr="00D7105A" w:rsidRDefault="00D95C4C" w:rsidP="00655736">
    <w:pPr>
      <w:jc w:val="right"/>
      <w:rPr>
        <w:rFonts w:ascii="Arial" w:eastAsiaTheme="minorEastAsia" w:hAnsi="Arial" w:cs="Arial"/>
        <w:b/>
        <w:sz w:val="22"/>
        <w:szCs w:val="22"/>
      </w:rPr>
    </w:pPr>
    <w:r>
      <w:rPr>
        <w:rFonts w:ascii="Arial" w:hAnsi="Arial"/>
        <w:b/>
        <w:sz w:val="22"/>
      </w:rPr>
      <w:t xml:space="preserve">París, </w:t>
    </w:r>
    <w:r w:rsidR="009D68F8">
      <w:rPr>
        <w:rFonts w:ascii="Arial" w:hAnsi="Arial"/>
        <w:b/>
        <w:sz w:val="22"/>
      </w:rPr>
      <w:t>5 de junio</w:t>
    </w:r>
    <w:r>
      <w:rPr>
        <w:rFonts w:ascii="Arial" w:hAnsi="Arial"/>
        <w:b/>
        <w:sz w:val="22"/>
      </w:rPr>
      <w:t xml:space="preserve"> de 2024</w:t>
    </w:r>
  </w:p>
  <w:p w14:paraId="340BE862" w14:textId="77777777" w:rsidR="00D95C4C" w:rsidRPr="001C6513" w:rsidRDefault="00D95C4C" w:rsidP="00962034">
    <w:pPr>
      <w:spacing w:after="120"/>
      <w:jc w:val="right"/>
      <w:rPr>
        <w:rFonts w:ascii="Arial" w:hAnsi="Arial" w:cs="Arial"/>
        <w:b/>
        <w:sz w:val="22"/>
        <w:szCs w:val="22"/>
      </w:rPr>
    </w:pPr>
    <w:r>
      <w:rPr>
        <w:rFonts w:ascii="Arial" w:hAnsi="Arial"/>
        <w:b/>
        <w:sz w:val="22"/>
      </w:rPr>
      <w:t>Original: inglés</w:t>
    </w:r>
  </w:p>
  <w:p w14:paraId="47DED02B" w14:textId="77777777" w:rsidR="00D95C4C" w:rsidRPr="00EB22AF"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352"/>
    <w:multiLevelType w:val="hybridMultilevel"/>
    <w:tmpl w:val="0DC0C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D10F4"/>
    <w:multiLevelType w:val="hybridMultilevel"/>
    <w:tmpl w:val="F17E1C94"/>
    <w:lvl w:ilvl="0" w:tplc="FFFFFFFF">
      <w:start w:val="3"/>
      <w:numFmt w:val="lowerLetter"/>
      <w:lvlText w:val="%1."/>
      <w:lvlJc w:val="left"/>
      <w:pPr>
        <w:ind w:left="1080" w:hanging="360"/>
      </w:pPr>
      <w:rPr>
        <w:rFonts w:eastAsia="Times New Roman"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55376F"/>
    <w:multiLevelType w:val="hybridMultilevel"/>
    <w:tmpl w:val="695ED68C"/>
    <w:lvl w:ilvl="0" w:tplc="5582BC92">
      <w:start w:val="1"/>
      <w:numFmt w:val="decimal"/>
      <w:lvlText w:val="%1."/>
      <w:lvlJc w:val="left"/>
      <w:pPr>
        <w:ind w:left="570" w:hanging="570"/>
      </w:pPr>
      <w:rPr>
        <w:rFonts w:ascii="Arial" w:eastAsia="Times New Roman" w:hAnsi="Arial" w:cs="Arial"/>
        <w:b w:val="0"/>
        <w:b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270120F"/>
    <w:multiLevelType w:val="hybridMultilevel"/>
    <w:tmpl w:val="76AC364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2F02677"/>
    <w:multiLevelType w:val="hybridMultilevel"/>
    <w:tmpl w:val="DC1A8DDA"/>
    <w:lvl w:ilvl="0" w:tplc="FFFFFFFF">
      <w:start w:val="2"/>
      <w:numFmt w:val="upperLetter"/>
      <w:lvlText w:val="%1."/>
      <w:lvlJc w:val="left"/>
      <w:pPr>
        <w:ind w:left="360" w:hanging="360"/>
      </w:pPr>
      <w:rPr>
        <w:rFonts w:hint="default"/>
      </w:rPr>
    </w:lvl>
    <w:lvl w:ilvl="1" w:tplc="85E65BB8">
      <w:start w:val="1"/>
      <w:numFmt w:val="decimal"/>
      <w:lvlText w:val="%2."/>
      <w:lvlJc w:val="left"/>
      <w:pPr>
        <w:ind w:left="720" w:hanging="360"/>
      </w:pPr>
      <w:rPr>
        <w:rFonts w:hint="default"/>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535599"/>
    <w:multiLevelType w:val="hybridMultilevel"/>
    <w:tmpl w:val="BFD25066"/>
    <w:lvl w:ilvl="0" w:tplc="C5560598">
      <w:start w:val="1"/>
      <w:numFmt w:val="bullet"/>
      <w:lvlText w:val="-"/>
      <w:lvlJc w:val="left"/>
      <w:pPr>
        <w:ind w:left="990" w:hanging="360"/>
      </w:pPr>
      <w:rPr>
        <w:rFonts w:ascii="Arial" w:eastAsia="Times New Roman" w:hAnsi="Arial" w:cs="Arial" w:hint="default"/>
      </w:rPr>
    </w:lvl>
    <w:lvl w:ilvl="1" w:tplc="FFFFFFFF">
      <w:start w:val="1"/>
      <w:numFmt w:val="bullet"/>
      <w:lvlText w:val="-"/>
      <w:lvlJc w:val="left"/>
      <w:pPr>
        <w:ind w:left="1710" w:hanging="360"/>
      </w:pPr>
      <w:rPr>
        <w:rFonts w:ascii="Arial" w:eastAsia="Times New Roman" w:hAnsi="Arial" w:cs="Arial"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18F06C69"/>
    <w:multiLevelType w:val="hybridMultilevel"/>
    <w:tmpl w:val="A09C1ED4"/>
    <w:lvl w:ilvl="0" w:tplc="040C0001">
      <w:start w:val="1"/>
      <w:numFmt w:val="bullet"/>
      <w:lvlText w:val=""/>
      <w:lvlJc w:val="left"/>
      <w:pPr>
        <w:ind w:left="1347" w:hanging="360"/>
      </w:pPr>
      <w:rPr>
        <w:rFonts w:ascii="Symbol" w:hAnsi="Symbol" w:hint="default"/>
      </w:rPr>
    </w:lvl>
    <w:lvl w:ilvl="1" w:tplc="040C0003" w:tentative="1">
      <w:start w:val="1"/>
      <w:numFmt w:val="bullet"/>
      <w:lvlText w:val="o"/>
      <w:lvlJc w:val="left"/>
      <w:pPr>
        <w:ind w:left="2067" w:hanging="360"/>
      </w:pPr>
      <w:rPr>
        <w:rFonts w:ascii="Courier New" w:hAnsi="Courier New" w:cs="Courier New" w:hint="default"/>
      </w:rPr>
    </w:lvl>
    <w:lvl w:ilvl="2" w:tplc="040C0005" w:tentative="1">
      <w:start w:val="1"/>
      <w:numFmt w:val="bullet"/>
      <w:lvlText w:val=""/>
      <w:lvlJc w:val="left"/>
      <w:pPr>
        <w:ind w:left="2787" w:hanging="360"/>
      </w:pPr>
      <w:rPr>
        <w:rFonts w:ascii="Wingdings" w:hAnsi="Wingdings" w:hint="default"/>
      </w:rPr>
    </w:lvl>
    <w:lvl w:ilvl="3" w:tplc="040C0001" w:tentative="1">
      <w:start w:val="1"/>
      <w:numFmt w:val="bullet"/>
      <w:lvlText w:val=""/>
      <w:lvlJc w:val="left"/>
      <w:pPr>
        <w:ind w:left="3507" w:hanging="360"/>
      </w:pPr>
      <w:rPr>
        <w:rFonts w:ascii="Symbol" w:hAnsi="Symbol" w:hint="default"/>
      </w:rPr>
    </w:lvl>
    <w:lvl w:ilvl="4" w:tplc="040C0003" w:tentative="1">
      <w:start w:val="1"/>
      <w:numFmt w:val="bullet"/>
      <w:lvlText w:val="o"/>
      <w:lvlJc w:val="left"/>
      <w:pPr>
        <w:ind w:left="4227" w:hanging="360"/>
      </w:pPr>
      <w:rPr>
        <w:rFonts w:ascii="Courier New" w:hAnsi="Courier New" w:cs="Courier New" w:hint="default"/>
      </w:rPr>
    </w:lvl>
    <w:lvl w:ilvl="5" w:tplc="040C0005" w:tentative="1">
      <w:start w:val="1"/>
      <w:numFmt w:val="bullet"/>
      <w:lvlText w:val=""/>
      <w:lvlJc w:val="left"/>
      <w:pPr>
        <w:ind w:left="4947" w:hanging="360"/>
      </w:pPr>
      <w:rPr>
        <w:rFonts w:ascii="Wingdings" w:hAnsi="Wingdings" w:hint="default"/>
      </w:rPr>
    </w:lvl>
    <w:lvl w:ilvl="6" w:tplc="040C0001" w:tentative="1">
      <w:start w:val="1"/>
      <w:numFmt w:val="bullet"/>
      <w:lvlText w:val=""/>
      <w:lvlJc w:val="left"/>
      <w:pPr>
        <w:ind w:left="5667" w:hanging="360"/>
      </w:pPr>
      <w:rPr>
        <w:rFonts w:ascii="Symbol" w:hAnsi="Symbol" w:hint="default"/>
      </w:rPr>
    </w:lvl>
    <w:lvl w:ilvl="7" w:tplc="040C0003" w:tentative="1">
      <w:start w:val="1"/>
      <w:numFmt w:val="bullet"/>
      <w:lvlText w:val="o"/>
      <w:lvlJc w:val="left"/>
      <w:pPr>
        <w:ind w:left="6387" w:hanging="360"/>
      </w:pPr>
      <w:rPr>
        <w:rFonts w:ascii="Courier New" w:hAnsi="Courier New" w:cs="Courier New" w:hint="default"/>
      </w:rPr>
    </w:lvl>
    <w:lvl w:ilvl="8" w:tplc="040C0005" w:tentative="1">
      <w:start w:val="1"/>
      <w:numFmt w:val="bullet"/>
      <w:lvlText w:val=""/>
      <w:lvlJc w:val="left"/>
      <w:pPr>
        <w:ind w:left="7107" w:hanging="360"/>
      </w:pPr>
      <w:rPr>
        <w:rFonts w:ascii="Wingdings" w:hAnsi="Wingdings" w:hint="default"/>
      </w:rPr>
    </w:lvl>
  </w:abstractNum>
  <w:abstractNum w:abstractNumId="9"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336682"/>
    <w:multiLevelType w:val="hybridMultilevel"/>
    <w:tmpl w:val="35EAA06E"/>
    <w:lvl w:ilvl="0" w:tplc="04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8A62126"/>
    <w:multiLevelType w:val="hybridMultilevel"/>
    <w:tmpl w:val="7B7CB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BA3136"/>
    <w:multiLevelType w:val="hybridMultilevel"/>
    <w:tmpl w:val="AFA4C9CE"/>
    <w:lvl w:ilvl="0" w:tplc="C5560598">
      <w:start w:val="1"/>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EDC6A51"/>
    <w:multiLevelType w:val="multilevel"/>
    <w:tmpl w:val="FD1C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D1E76"/>
    <w:multiLevelType w:val="multilevel"/>
    <w:tmpl w:val="8FE2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F07BFE"/>
    <w:multiLevelType w:val="hybridMultilevel"/>
    <w:tmpl w:val="E24AD55A"/>
    <w:lvl w:ilvl="0" w:tplc="76CAC304">
      <w:start w:val="1"/>
      <w:numFmt w:val="decimal"/>
      <w:pStyle w:val="GAPara"/>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64D6D09"/>
    <w:multiLevelType w:val="hybridMultilevel"/>
    <w:tmpl w:val="A2507ECA"/>
    <w:lvl w:ilvl="0" w:tplc="040C0017">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BA53EB"/>
    <w:multiLevelType w:val="hybridMultilevel"/>
    <w:tmpl w:val="C0368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302209"/>
    <w:multiLevelType w:val="hybridMultilevel"/>
    <w:tmpl w:val="C81EAF90"/>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960296"/>
    <w:multiLevelType w:val="hybridMultilevel"/>
    <w:tmpl w:val="C0700C88"/>
    <w:lvl w:ilvl="0" w:tplc="04090015">
      <w:start w:val="1"/>
      <w:numFmt w:val="upp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5" w15:restartNumberingAfterBreak="0">
    <w:nsid w:val="43F14662"/>
    <w:multiLevelType w:val="hybridMultilevel"/>
    <w:tmpl w:val="DB528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F771C"/>
    <w:multiLevelType w:val="multilevel"/>
    <w:tmpl w:val="A0CA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8" w15:restartNumberingAfterBreak="0">
    <w:nsid w:val="47ED05D8"/>
    <w:multiLevelType w:val="hybridMultilevel"/>
    <w:tmpl w:val="34A6208A"/>
    <w:lvl w:ilvl="0" w:tplc="04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C6B5B59"/>
    <w:multiLevelType w:val="multilevel"/>
    <w:tmpl w:val="3E3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736D2"/>
    <w:multiLevelType w:val="hybridMultilevel"/>
    <w:tmpl w:val="74F2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B3E4C"/>
    <w:multiLevelType w:val="hybridMultilevel"/>
    <w:tmpl w:val="C2826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15:restartNumberingAfterBreak="0">
    <w:nsid w:val="58BC6DF9"/>
    <w:multiLevelType w:val="hybridMultilevel"/>
    <w:tmpl w:val="6C2E7F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6" w15:restartNumberingAfterBreak="0">
    <w:nsid w:val="5F5E6B0A"/>
    <w:multiLevelType w:val="hybridMultilevel"/>
    <w:tmpl w:val="76563B0C"/>
    <w:lvl w:ilvl="0" w:tplc="55EA7882">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100B56"/>
    <w:multiLevelType w:val="hybridMultilevel"/>
    <w:tmpl w:val="F17E1C94"/>
    <w:lvl w:ilvl="0" w:tplc="B91272E4">
      <w:start w:val="3"/>
      <w:numFmt w:val="lowerLetter"/>
      <w:lvlText w:val="%1."/>
      <w:lvlJc w:val="left"/>
      <w:pPr>
        <w:ind w:left="1080" w:hanging="360"/>
      </w:pPr>
      <w:rPr>
        <w:rFonts w:eastAsia="Times New Roman"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9C79A8"/>
    <w:multiLevelType w:val="hybridMultilevel"/>
    <w:tmpl w:val="DA56B99C"/>
    <w:lvl w:ilvl="0" w:tplc="C5560598">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42F3D3D"/>
    <w:multiLevelType w:val="hybridMultilevel"/>
    <w:tmpl w:val="A9280B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0" w15:restartNumberingAfterBreak="0">
    <w:nsid w:val="64A84E40"/>
    <w:multiLevelType w:val="hybridMultilevel"/>
    <w:tmpl w:val="70B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2074D"/>
    <w:multiLevelType w:val="hybridMultilevel"/>
    <w:tmpl w:val="64B874A0"/>
    <w:lvl w:ilvl="0" w:tplc="C5560598">
      <w:start w:val="1"/>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66BD39AC"/>
    <w:multiLevelType w:val="hybridMultilevel"/>
    <w:tmpl w:val="98F2FA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E94B26"/>
    <w:multiLevelType w:val="hybridMultilevel"/>
    <w:tmpl w:val="8CC037C8"/>
    <w:lvl w:ilvl="0" w:tplc="85E65BB8">
      <w:start w:val="1"/>
      <w:numFmt w:val="decimal"/>
      <w:lvlText w:val="%1."/>
      <w:lvlJc w:val="left"/>
      <w:pPr>
        <w:ind w:left="570" w:hanging="57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27090C"/>
    <w:multiLevelType w:val="hybridMultilevel"/>
    <w:tmpl w:val="8B223E38"/>
    <w:lvl w:ilvl="0" w:tplc="04090015">
      <w:start w:val="1"/>
      <w:numFmt w:val="upperLetter"/>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46" w15:restartNumberingAfterBreak="0">
    <w:nsid w:val="67D10C57"/>
    <w:multiLevelType w:val="multilevel"/>
    <w:tmpl w:val="357A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F44D18"/>
    <w:multiLevelType w:val="hybridMultilevel"/>
    <w:tmpl w:val="3B3617AC"/>
    <w:lvl w:ilvl="0" w:tplc="FFFFFFFF">
      <w:start w:val="2"/>
      <w:numFmt w:val="upperLetter"/>
      <w:lvlText w:val="%1."/>
      <w:lvlJc w:val="left"/>
      <w:pPr>
        <w:ind w:left="990" w:hanging="360"/>
      </w:pPr>
      <w:rPr>
        <w:rFonts w:hint="default"/>
      </w:rPr>
    </w:lvl>
    <w:lvl w:ilvl="1" w:tplc="C5560598">
      <w:start w:val="1"/>
      <w:numFmt w:val="bullet"/>
      <w:lvlText w:val="-"/>
      <w:lvlJc w:val="left"/>
      <w:pPr>
        <w:ind w:left="1710" w:hanging="360"/>
      </w:pPr>
      <w:rPr>
        <w:rFonts w:ascii="Arial" w:eastAsia="Times New Roman" w:hAnsi="Arial" w:cs="Arial"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8" w15:restartNumberingAfterBreak="0">
    <w:nsid w:val="6D58222C"/>
    <w:multiLevelType w:val="hybridMultilevel"/>
    <w:tmpl w:val="B1E66D4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25C12BE"/>
    <w:multiLevelType w:val="hybridMultilevel"/>
    <w:tmpl w:val="560CA548"/>
    <w:lvl w:ilvl="0" w:tplc="5C7A2752">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2A455CE"/>
    <w:multiLevelType w:val="hybridMultilevel"/>
    <w:tmpl w:val="F8D0D3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2" w15:restartNumberingAfterBreak="0">
    <w:nsid w:val="76335EA5"/>
    <w:multiLevelType w:val="hybridMultilevel"/>
    <w:tmpl w:val="6DFAB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6FC0292"/>
    <w:multiLevelType w:val="hybridMultilevel"/>
    <w:tmpl w:val="C1F0D092"/>
    <w:lvl w:ilvl="0" w:tplc="EBA0D8D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0292197">
    <w:abstractNumId w:val="35"/>
  </w:num>
  <w:num w:numId="2" w16cid:durableId="1219629571">
    <w:abstractNumId w:val="18"/>
  </w:num>
  <w:num w:numId="3" w16cid:durableId="1816754524">
    <w:abstractNumId w:val="9"/>
  </w:num>
  <w:num w:numId="4" w16cid:durableId="807280366">
    <w:abstractNumId w:val="54"/>
  </w:num>
  <w:num w:numId="5" w16cid:durableId="1930576710">
    <w:abstractNumId w:val="43"/>
  </w:num>
  <w:num w:numId="6" w16cid:durableId="875044595">
    <w:abstractNumId w:val="4"/>
  </w:num>
  <w:num w:numId="7" w16cid:durableId="96171220">
    <w:abstractNumId w:val="10"/>
  </w:num>
  <w:num w:numId="8" w16cid:durableId="556865823">
    <w:abstractNumId w:val="27"/>
  </w:num>
  <w:num w:numId="9" w16cid:durableId="351685302">
    <w:abstractNumId w:val="16"/>
  </w:num>
  <w:num w:numId="10" w16cid:durableId="1242329864">
    <w:abstractNumId w:val="19"/>
  </w:num>
  <w:num w:numId="11" w16cid:durableId="162862708">
    <w:abstractNumId w:val="24"/>
  </w:num>
  <w:num w:numId="12" w16cid:durableId="2014915415">
    <w:abstractNumId w:val="20"/>
  </w:num>
  <w:num w:numId="13" w16cid:durableId="174423920">
    <w:abstractNumId w:val="49"/>
  </w:num>
  <w:num w:numId="14" w16cid:durableId="819998346">
    <w:abstractNumId w:val="30"/>
  </w:num>
  <w:num w:numId="15" w16cid:durableId="1290745856">
    <w:abstractNumId w:val="33"/>
  </w:num>
  <w:num w:numId="16" w16cid:durableId="88351122">
    <w:abstractNumId w:val="19"/>
  </w:num>
  <w:num w:numId="17" w16cid:durableId="2127848428">
    <w:abstractNumId w:val="19"/>
  </w:num>
  <w:num w:numId="18" w16cid:durableId="1143809780">
    <w:abstractNumId w:val="19"/>
  </w:num>
  <w:num w:numId="19" w16cid:durableId="142165424">
    <w:abstractNumId w:val="0"/>
  </w:num>
  <w:num w:numId="20" w16cid:durableId="942615718">
    <w:abstractNumId w:val="3"/>
  </w:num>
  <w:num w:numId="21" w16cid:durableId="154300960">
    <w:abstractNumId w:val="51"/>
  </w:num>
  <w:num w:numId="22" w16cid:durableId="57637551">
    <w:abstractNumId w:val="36"/>
  </w:num>
  <w:num w:numId="23" w16cid:durableId="1853446287">
    <w:abstractNumId w:val="46"/>
  </w:num>
  <w:num w:numId="24" w16cid:durableId="122383921">
    <w:abstractNumId w:val="14"/>
  </w:num>
  <w:num w:numId="25" w16cid:durableId="1874421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2569318">
    <w:abstractNumId w:val="32"/>
  </w:num>
  <w:num w:numId="27" w16cid:durableId="1825583058">
    <w:abstractNumId w:val="39"/>
  </w:num>
  <w:num w:numId="28" w16cid:durableId="1705516636">
    <w:abstractNumId w:val="45"/>
  </w:num>
  <w:num w:numId="29" w16cid:durableId="1789619162">
    <w:abstractNumId w:val="26"/>
  </w:num>
  <w:num w:numId="30" w16cid:durableId="1582060896">
    <w:abstractNumId w:val="21"/>
  </w:num>
  <w:num w:numId="31" w16cid:durableId="483819241">
    <w:abstractNumId w:val="16"/>
  </w:num>
  <w:num w:numId="32" w16cid:durableId="493104296">
    <w:abstractNumId w:val="29"/>
  </w:num>
  <w:num w:numId="33" w16cid:durableId="1216502421">
    <w:abstractNumId w:val="50"/>
  </w:num>
  <w:num w:numId="34" w16cid:durableId="510993842">
    <w:abstractNumId w:val="17"/>
  </w:num>
  <w:num w:numId="35" w16cid:durableId="561986588">
    <w:abstractNumId w:val="42"/>
  </w:num>
  <w:num w:numId="36" w16cid:durableId="1651401059">
    <w:abstractNumId w:val="1"/>
  </w:num>
  <w:num w:numId="37" w16cid:durableId="1456023567">
    <w:abstractNumId w:val="53"/>
  </w:num>
  <w:num w:numId="38" w16cid:durableId="1504466977">
    <w:abstractNumId w:val="12"/>
  </w:num>
  <w:num w:numId="39" w16cid:durableId="1486509666">
    <w:abstractNumId w:val="48"/>
  </w:num>
  <w:num w:numId="40" w16cid:durableId="952130519">
    <w:abstractNumId w:val="40"/>
  </w:num>
  <w:num w:numId="41" w16cid:durableId="747387400">
    <w:abstractNumId w:val="15"/>
  </w:num>
  <w:num w:numId="42" w16cid:durableId="890118871">
    <w:abstractNumId w:val="23"/>
  </w:num>
  <w:num w:numId="43" w16cid:durableId="313879674">
    <w:abstractNumId w:val="31"/>
  </w:num>
  <w:num w:numId="44" w16cid:durableId="1568494896">
    <w:abstractNumId w:val="28"/>
  </w:num>
  <w:num w:numId="45" w16cid:durableId="293365833">
    <w:abstractNumId w:val="5"/>
  </w:num>
  <w:num w:numId="46" w16cid:durableId="428166155">
    <w:abstractNumId w:val="22"/>
  </w:num>
  <w:num w:numId="47" w16cid:durableId="2086101176">
    <w:abstractNumId w:val="25"/>
  </w:num>
  <w:num w:numId="48" w16cid:durableId="1509100110">
    <w:abstractNumId w:val="44"/>
  </w:num>
  <w:num w:numId="49" w16cid:durableId="185408981">
    <w:abstractNumId w:val="13"/>
  </w:num>
  <w:num w:numId="50" w16cid:durableId="1762489124">
    <w:abstractNumId w:val="47"/>
  </w:num>
  <w:num w:numId="51" w16cid:durableId="1687437690">
    <w:abstractNumId w:val="7"/>
  </w:num>
  <w:num w:numId="52" w16cid:durableId="768625112">
    <w:abstractNumId w:val="37"/>
  </w:num>
  <w:num w:numId="53" w16cid:durableId="1118255570">
    <w:abstractNumId w:val="38"/>
  </w:num>
  <w:num w:numId="54" w16cid:durableId="986056652">
    <w:abstractNumId w:val="6"/>
  </w:num>
  <w:num w:numId="55" w16cid:durableId="1261987535">
    <w:abstractNumId w:val="41"/>
  </w:num>
  <w:num w:numId="56" w16cid:durableId="260264881">
    <w:abstractNumId w:val="52"/>
  </w:num>
  <w:num w:numId="57" w16cid:durableId="425077512">
    <w:abstractNumId w:val="2"/>
  </w:num>
  <w:num w:numId="58" w16cid:durableId="1739160644">
    <w:abstractNumId w:val="11"/>
  </w:num>
  <w:num w:numId="59" w16cid:durableId="1489707188">
    <w:abstractNumId w:val="34"/>
  </w:num>
  <w:num w:numId="60" w16cid:durableId="1031959002">
    <w:abstractNumId w:val="8"/>
  </w:num>
  <w:num w:numId="61" w16cid:durableId="517236548">
    <w:abstractNumId w:val="1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081D"/>
    <w:rsid w:val="00002B19"/>
    <w:rsid w:val="000036FB"/>
    <w:rsid w:val="000048ED"/>
    <w:rsid w:val="000055CD"/>
    <w:rsid w:val="00013677"/>
    <w:rsid w:val="000264DC"/>
    <w:rsid w:val="00026B8D"/>
    <w:rsid w:val="0003109B"/>
    <w:rsid w:val="000328F5"/>
    <w:rsid w:val="00041A66"/>
    <w:rsid w:val="00046697"/>
    <w:rsid w:val="0005176E"/>
    <w:rsid w:val="000518B3"/>
    <w:rsid w:val="00053C58"/>
    <w:rsid w:val="0006113B"/>
    <w:rsid w:val="000617A8"/>
    <w:rsid w:val="00062D83"/>
    <w:rsid w:val="00065B6F"/>
    <w:rsid w:val="000760BA"/>
    <w:rsid w:val="000761B7"/>
    <w:rsid w:val="000765F7"/>
    <w:rsid w:val="00077AB7"/>
    <w:rsid w:val="0008046B"/>
    <w:rsid w:val="000808E9"/>
    <w:rsid w:val="00081CD8"/>
    <w:rsid w:val="00082CFF"/>
    <w:rsid w:val="000857CC"/>
    <w:rsid w:val="00085888"/>
    <w:rsid w:val="000863F2"/>
    <w:rsid w:val="00091229"/>
    <w:rsid w:val="000928D9"/>
    <w:rsid w:val="00092C9D"/>
    <w:rsid w:val="00092EA8"/>
    <w:rsid w:val="000A09EE"/>
    <w:rsid w:val="000A1BE1"/>
    <w:rsid w:val="000A3C88"/>
    <w:rsid w:val="000A4426"/>
    <w:rsid w:val="000A69F9"/>
    <w:rsid w:val="000A6CCB"/>
    <w:rsid w:val="000A7F0E"/>
    <w:rsid w:val="000B24C4"/>
    <w:rsid w:val="000B3D34"/>
    <w:rsid w:val="000B4426"/>
    <w:rsid w:val="000B5126"/>
    <w:rsid w:val="000B7111"/>
    <w:rsid w:val="000C0D61"/>
    <w:rsid w:val="000C1AC2"/>
    <w:rsid w:val="000C2FE8"/>
    <w:rsid w:val="000D2922"/>
    <w:rsid w:val="000D2BAE"/>
    <w:rsid w:val="000D358B"/>
    <w:rsid w:val="000D39DF"/>
    <w:rsid w:val="000D42FD"/>
    <w:rsid w:val="000D62FA"/>
    <w:rsid w:val="000E6941"/>
    <w:rsid w:val="000F04DF"/>
    <w:rsid w:val="000F1204"/>
    <w:rsid w:val="000F3A32"/>
    <w:rsid w:val="000F3A3F"/>
    <w:rsid w:val="000F40E4"/>
    <w:rsid w:val="000F5C48"/>
    <w:rsid w:val="000F701E"/>
    <w:rsid w:val="000F783D"/>
    <w:rsid w:val="00102557"/>
    <w:rsid w:val="00102F32"/>
    <w:rsid w:val="001035A0"/>
    <w:rsid w:val="00106920"/>
    <w:rsid w:val="0010779E"/>
    <w:rsid w:val="00110062"/>
    <w:rsid w:val="00110D67"/>
    <w:rsid w:val="00115010"/>
    <w:rsid w:val="00117AD9"/>
    <w:rsid w:val="00120ECA"/>
    <w:rsid w:val="001267A1"/>
    <w:rsid w:val="00132955"/>
    <w:rsid w:val="00132C8D"/>
    <w:rsid w:val="00133066"/>
    <w:rsid w:val="00134594"/>
    <w:rsid w:val="0013590D"/>
    <w:rsid w:val="00136FA1"/>
    <w:rsid w:val="00141104"/>
    <w:rsid w:val="0014571A"/>
    <w:rsid w:val="00151D1F"/>
    <w:rsid w:val="00151DE7"/>
    <w:rsid w:val="00152D3D"/>
    <w:rsid w:val="001541E1"/>
    <w:rsid w:val="0015684E"/>
    <w:rsid w:val="00162EE7"/>
    <w:rsid w:val="00164D56"/>
    <w:rsid w:val="00164D8F"/>
    <w:rsid w:val="00165541"/>
    <w:rsid w:val="00167B10"/>
    <w:rsid w:val="00172BC7"/>
    <w:rsid w:val="00173FBD"/>
    <w:rsid w:val="0017402F"/>
    <w:rsid w:val="00176720"/>
    <w:rsid w:val="001862DB"/>
    <w:rsid w:val="00191ADC"/>
    <w:rsid w:val="001937CA"/>
    <w:rsid w:val="00196C1B"/>
    <w:rsid w:val="001A03F4"/>
    <w:rsid w:val="001B0366"/>
    <w:rsid w:val="001B0F73"/>
    <w:rsid w:val="001B1BEB"/>
    <w:rsid w:val="001B1F09"/>
    <w:rsid w:val="001B52CF"/>
    <w:rsid w:val="001B6EE7"/>
    <w:rsid w:val="001B7362"/>
    <w:rsid w:val="001B757C"/>
    <w:rsid w:val="001C629C"/>
    <w:rsid w:val="001C7EBC"/>
    <w:rsid w:val="001D09F2"/>
    <w:rsid w:val="001D2727"/>
    <w:rsid w:val="001D5C04"/>
    <w:rsid w:val="001D70CC"/>
    <w:rsid w:val="001D7CA1"/>
    <w:rsid w:val="001E05F4"/>
    <w:rsid w:val="001E596D"/>
    <w:rsid w:val="001E6205"/>
    <w:rsid w:val="001F03F4"/>
    <w:rsid w:val="001F1F33"/>
    <w:rsid w:val="001F2FE0"/>
    <w:rsid w:val="001F3D05"/>
    <w:rsid w:val="001F4A0A"/>
    <w:rsid w:val="001F58CA"/>
    <w:rsid w:val="0020046B"/>
    <w:rsid w:val="0020400C"/>
    <w:rsid w:val="00206861"/>
    <w:rsid w:val="00211783"/>
    <w:rsid w:val="0022015F"/>
    <w:rsid w:val="00222A2D"/>
    <w:rsid w:val="00223029"/>
    <w:rsid w:val="002313B6"/>
    <w:rsid w:val="00231809"/>
    <w:rsid w:val="00234745"/>
    <w:rsid w:val="00236FF3"/>
    <w:rsid w:val="002407AF"/>
    <w:rsid w:val="00240EAD"/>
    <w:rsid w:val="00240F2F"/>
    <w:rsid w:val="00246400"/>
    <w:rsid w:val="0025271D"/>
    <w:rsid w:val="00253C5E"/>
    <w:rsid w:val="00263A0D"/>
    <w:rsid w:val="002641E7"/>
    <w:rsid w:val="00266F70"/>
    <w:rsid w:val="00270504"/>
    <w:rsid w:val="00275EC7"/>
    <w:rsid w:val="00281069"/>
    <w:rsid w:val="00294852"/>
    <w:rsid w:val="00295CE6"/>
    <w:rsid w:val="00296281"/>
    <w:rsid w:val="00296AC6"/>
    <w:rsid w:val="00296DFE"/>
    <w:rsid w:val="002A27F8"/>
    <w:rsid w:val="002B01B8"/>
    <w:rsid w:val="002B0B4D"/>
    <w:rsid w:val="002B14D0"/>
    <w:rsid w:val="002B424E"/>
    <w:rsid w:val="002B7CA2"/>
    <w:rsid w:val="002C09E3"/>
    <w:rsid w:val="002C2507"/>
    <w:rsid w:val="002C2A4E"/>
    <w:rsid w:val="002C3DF8"/>
    <w:rsid w:val="002C5D7A"/>
    <w:rsid w:val="002C5E64"/>
    <w:rsid w:val="002D3F3D"/>
    <w:rsid w:val="002E2EBD"/>
    <w:rsid w:val="002F0AC2"/>
    <w:rsid w:val="002F312A"/>
    <w:rsid w:val="003006D6"/>
    <w:rsid w:val="003024E6"/>
    <w:rsid w:val="003063E1"/>
    <w:rsid w:val="00314EE4"/>
    <w:rsid w:val="003265D0"/>
    <w:rsid w:val="0032756E"/>
    <w:rsid w:val="0033202F"/>
    <w:rsid w:val="00335B7F"/>
    <w:rsid w:val="00345CB4"/>
    <w:rsid w:val="003522C7"/>
    <w:rsid w:val="003527C2"/>
    <w:rsid w:val="00352BB3"/>
    <w:rsid w:val="00354757"/>
    <w:rsid w:val="003549B8"/>
    <w:rsid w:val="00361D79"/>
    <w:rsid w:val="003624DE"/>
    <w:rsid w:val="0036315C"/>
    <w:rsid w:val="00364AFD"/>
    <w:rsid w:val="00365C36"/>
    <w:rsid w:val="00373E68"/>
    <w:rsid w:val="003832A4"/>
    <w:rsid w:val="003835C8"/>
    <w:rsid w:val="003845D4"/>
    <w:rsid w:val="00384A1C"/>
    <w:rsid w:val="00384D3E"/>
    <w:rsid w:val="0039160A"/>
    <w:rsid w:val="003916AF"/>
    <w:rsid w:val="00391AC6"/>
    <w:rsid w:val="003920E4"/>
    <w:rsid w:val="00394197"/>
    <w:rsid w:val="00397329"/>
    <w:rsid w:val="003A228F"/>
    <w:rsid w:val="003A708C"/>
    <w:rsid w:val="003B1DF8"/>
    <w:rsid w:val="003B25BD"/>
    <w:rsid w:val="003B4C9D"/>
    <w:rsid w:val="003B6D70"/>
    <w:rsid w:val="003B747C"/>
    <w:rsid w:val="003C196C"/>
    <w:rsid w:val="003C2FCA"/>
    <w:rsid w:val="003D069C"/>
    <w:rsid w:val="003D451A"/>
    <w:rsid w:val="003D7565"/>
    <w:rsid w:val="003D7646"/>
    <w:rsid w:val="003E6265"/>
    <w:rsid w:val="003F113A"/>
    <w:rsid w:val="003F24FB"/>
    <w:rsid w:val="00412CAE"/>
    <w:rsid w:val="00414643"/>
    <w:rsid w:val="0041493A"/>
    <w:rsid w:val="00415D57"/>
    <w:rsid w:val="00416E46"/>
    <w:rsid w:val="00422549"/>
    <w:rsid w:val="00426677"/>
    <w:rsid w:val="004269FE"/>
    <w:rsid w:val="00435CED"/>
    <w:rsid w:val="004368A3"/>
    <w:rsid w:val="0043757A"/>
    <w:rsid w:val="004421E5"/>
    <w:rsid w:val="00445891"/>
    <w:rsid w:val="00445FF7"/>
    <w:rsid w:val="004472C8"/>
    <w:rsid w:val="004501BD"/>
    <w:rsid w:val="00452284"/>
    <w:rsid w:val="0046080C"/>
    <w:rsid w:val="00472BCA"/>
    <w:rsid w:val="0047616F"/>
    <w:rsid w:val="00482AC9"/>
    <w:rsid w:val="004833E8"/>
    <w:rsid w:val="00484A4B"/>
    <w:rsid w:val="004855F6"/>
    <w:rsid w:val="004856CA"/>
    <w:rsid w:val="00493776"/>
    <w:rsid w:val="00493CFB"/>
    <w:rsid w:val="00494676"/>
    <w:rsid w:val="00495158"/>
    <w:rsid w:val="00496EF6"/>
    <w:rsid w:val="0049705E"/>
    <w:rsid w:val="004A01B3"/>
    <w:rsid w:val="004A34A0"/>
    <w:rsid w:val="004A5D0E"/>
    <w:rsid w:val="004B1F07"/>
    <w:rsid w:val="004B2449"/>
    <w:rsid w:val="004C14FB"/>
    <w:rsid w:val="004C7156"/>
    <w:rsid w:val="004D1452"/>
    <w:rsid w:val="004D2992"/>
    <w:rsid w:val="004D32F1"/>
    <w:rsid w:val="004D73A6"/>
    <w:rsid w:val="004D77F9"/>
    <w:rsid w:val="004E7F4A"/>
    <w:rsid w:val="004F7592"/>
    <w:rsid w:val="00500BC7"/>
    <w:rsid w:val="00500D6F"/>
    <w:rsid w:val="00502D44"/>
    <w:rsid w:val="00503B1B"/>
    <w:rsid w:val="00504DA1"/>
    <w:rsid w:val="005163C2"/>
    <w:rsid w:val="00526B7B"/>
    <w:rsid w:val="005308CE"/>
    <w:rsid w:val="005329A6"/>
    <w:rsid w:val="00533FC8"/>
    <w:rsid w:val="00534C19"/>
    <w:rsid w:val="00540FE0"/>
    <w:rsid w:val="005410AA"/>
    <w:rsid w:val="005477B3"/>
    <w:rsid w:val="00547B09"/>
    <w:rsid w:val="00552A08"/>
    <w:rsid w:val="005618AD"/>
    <w:rsid w:val="005677D5"/>
    <w:rsid w:val="0057439C"/>
    <w:rsid w:val="005745C2"/>
    <w:rsid w:val="005823AB"/>
    <w:rsid w:val="0058510E"/>
    <w:rsid w:val="00586EFB"/>
    <w:rsid w:val="00593A49"/>
    <w:rsid w:val="00593D58"/>
    <w:rsid w:val="00595AF2"/>
    <w:rsid w:val="00597B9A"/>
    <w:rsid w:val="005A1A48"/>
    <w:rsid w:val="005B0127"/>
    <w:rsid w:val="005B1237"/>
    <w:rsid w:val="005B55E7"/>
    <w:rsid w:val="005B7A35"/>
    <w:rsid w:val="005C14A1"/>
    <w:rsid w:val="005C1ECB"/>
    <w:rsid w:val="005C1FE9"/>
    <w:rsid w:val="005C4B73"/>
    <w:rsid w:val="005C6835"/>
    <w:rsid w:val="005D0965"/>
    <w:rsid w:val="005D1039"/>
    <w:rsid w:val="005D1AEB"/>
    <w:rsid w:val="005D6E87"/>
    <w:rsid w:val="005E1D2B"/>
    <w:rsid w:val="005E588B"/>
    <w:rsid w:val="005F2280"/>
    <w:rsid w:val="0060053A"/>
    <w:rsid w:val="00600CE2"/>
    <w:rsid w:val="00600D93"/>
    <w:rsid w:val="00600E03"/>
    <w:rsid w:val="006150C2"/>
    <w:rsid w:val="00620406"/>
    <w:rsid w:val="006212A7"/>
    <w:rsid w:val="00626710"/>
    <w:rsid w:val="00630329"/>
    <w:rsid w:val="00632A6E"/>
    <w:rsid w:val="0063300C"/>
    <w:rsid w:val="006339F9"/>
    <w:rsid w:val="006342B6"/>
    <w:rsid w:val="00636D5B"/>
    <w:rsid w:val="0063701C"/>
    <w:rsid w:val="006418CF"/>
    <w:rsid w:val="00641F94"/>
    <w:rsid w:val="00645D99"/>
    <w:rsid w:val="00647FD6"/>
    <w:rsid w:val="00651758"/>
    <w:rsid w:val="00655736"/>
    <w:rsid w:val="00656FCC"/>
    <w:rsid w:val="00663B8D"/>
    <w:rsid w:val="006720C3"/>
    <w:rsid w:val="006750F6"/>
    <w:rsid w:val="00677640"/>
    <w:rsid w:val="0067775C"/>
    <w:rsid w:val="006836FB"/>
    <w:rsid w:val="0068412C"/>
    <w:rsid w:val="00685C11"/>
    <w:rsid w:val="0069182E"/>
    <w:rsid w:val="006951AE"/>
    <w:rsid w:val="006968E3"/>
    <w:rsid w:val="00696C8D"/>
    <w:rsid w:val="006A2AC2"/>
    <w:rsid w:val="006A3617"/>
    <w:rsid w:val="006A5FFC"/>
    <w:rsid w:val="006A64E9"/>
    <w:rsid w:val="006A6C87"/>
    <w:rsid w:val="006B05B0"/>
    <w:rsid w:val="006B48C9"/>
    <w:rsid w:val="006C5499"/>
    <w:rsid w:val="006D3F8F"/>
    <w:rsid w:val="006E46E4"/>
    <w:rsid w:val="006F084A"/>
    <w:rsid w:val="006F237F"/>
    <w:rsid w:val="006F41B4"/>
    <w:rsid w:val="0070187D"/>
    <w:rsid w:val="00703FBF"/>
    <w:rsid w:val="007050D1"/>
    <w:rsid w:val="00705374"/>
    <w:rsid w:val="007058DF"/>
    <w:rsid w:val="00706237"/>
    <w:rsid w:val="00710274"/>
    <w:rsid w:val="00710B44"/>
    <w:rsid w:val="00711517"/>
    <w:rsid w:val="0071435D"/>
    <w:rsid w:val="00717DA5"/>
    <w:rsid w:val="00723F97"/>
    <w:rsid w:val="00725087"/>
    <w:rsid w:val="0073028D"/>
    <w:rsid w:val="0073078B"/>
    <w:rsid w:val="00733307"/>
    <w:rsid w:val="00733376"/>
    <w:rsid w:val="0074222B"/>
    <w:rsid w:val="00743083"/>
    <w:rsid w:val="007430BA"/>
    <w:rsid w:val="00744484"/>
    <w:rsid w:val="00744DAB"/>
    <w:rsid w:val="007465B8"/>
    <w:rsid w:val="00755238"/>
    <w:rsid w:val="00763A0D"/>
    <w:rsid w:val="00764A95"/>
    <w:rsid w:val="00765896"/>
    <w:rsid w:val="00767665"/>
    <w:rsid w:val="007709EF"/>
    <w:rsid w:val="00773188"/>
    <w:rsid w:val="00776515"/>
    <w:rsid w:val="00780F05"/>
    <w:rsid w:val="00783782"/>
    <w:rsid w:val="00784B8C"/>
    <w:rsid w:val="00785DC1"/>
    <w:rsid w:val="00794EA6"/>
    <w:rsid w:val="00797F41"/>
    <w:rsid w:val="007A0A97"/>
    <w:rsid w:val="007A1C4F"/>
    <w:rsid w:val="007A21DF"/>
    <w:rsid w:val="007A4D40"/>
    <w:rsid w:val="007A6B7A"/>
    <w:rsid w:val="007B40D1"/>
    <w:rsid w:val="007B52EF"/>
    <w:rsid w:val="007B5E5D"/>
    <w:rsid w:val="007C36FB"/>
    <w:rsid w:val="007C3716"/>
    <w:rsid w:val="007D019B"/>
    <w:rsid w:val="007D2FBC"/>
    <w:rsid w:val="007D5BAA"/>
    <w:rsid w:val="007E274B"/>
    <w:rsid w:val="007E3EBC"/>
    <w:rsid w:val="007E41FA"/>
    <w:rsid w:val="007F10C3"/>
    <w:rsid w:val="007F14F0"/>
    <w:rsid w:val="007F16A7"/>
    <w:rsid w:val="007F492B"/>
    <w:rsid w:val="007F5047"/>
    <w:rsid w:val="007F5754"/>
    <w:rsid w:val="008150BE"/>
    <w:rsid w:val="00823A11"/>
    <w:rsid w:val="00826461"/>
    <w:rsid w:val="00831A0F"/>
    <w:rsid w:val="00835209"/>
    <w:rsid w:val="008358A2"/>
    <w:rsid w:val="00845AA8"/>
    <w:rsid w:val="00846310"/>
    <w:rsid w:val="008473EE"/>
    <w:rsid w:val="00850E1B"/>
    <w:rsid w:val="00852866"/>
    <w:rsid w:val="0085414A"/>
    <w:rsid w:val="008560F9"/>
    <w:rsid w:val="008566C5"/>
    <w:rsid w:val="0086269D"/>
    <w:rsid w:val="0086543A"/>
    <w:rsid w:val="00870246"/>
    <w:rsid w:val="008712A4"/>
    <w:rsid w:val="008724E5"/>
    <w:rsid w:val="00873515"/>
    <w:rsid w:val="00884A9D"/>
    <w:rsid w:val="0088512B"/>
    <w:rsid w:val="00886F82"/>
    <w:rsid w:val="00892023"/>
    <w:rsid w:val="00894253"/>
    <w:rsid w:val="008948AA"/>
    <w:rsid w:val="00894AC8"/>
    <w:rsid w:val="008A056E"/>
    <w:rsid w:val="008A1337"/>
    <w:rsid w:val="008A1ED4"/>
    <w:rsid w:val="008A2026"/>
    <w:rsid w:val="008A253B"/>
    <w:rsid w:val="008A2B2D"/>
    <w:rsid w:val="008A4E1E"/>
    <w:rsid w:val="008B4707"/>
    <w:rsid w:val="008B5729"/>
    <w:rsid w:val="008B75EE"/>
    <w:rsid w:val="008C05DD"/>
    <w:rsid w:val="008C296C"/>
    <w:rsid w:val="008C3C39"/>
    <w:rsid w:val="008D3EA2"/>
    <w:rsid w:val="008D4305"/>
    <w:rsid w:val="008E014B"/>
    <w:rsid w:val="008E3CB1"/>
    <w:rsid w:val="008E50CE"/>
    <w:rsid w:val="008E6EB5"/>
    <w:rsid w:val="008F0A55"/>
    <w:rsid w:val="008F187F"/>
    <w:rsid w:val="008F38C8"/>
    <w:rsid w:val="008F6122"/>
    <w:rsid w:val="00901FD6"/>
    <w:rsid w:val="00902940"/>
    <w:rsid w:val="00902C87"/>
    <w:rsid w:val="00904C7C"/>
    <w:rsid w:val="00905D23"/>
    <w:rsid w:val="0090603F"/>
    <w:rsid w:val="00911342"/>
    <w:rsid w:val="009163A7"/>
    <w:rsid w:val="00917E29"/>
    <w:rsid w:val="00920C69"/>
    <w:rsid w:val="00921BC4"/>
    <w:rsid w:val="00921EDB"/>
    <w:rsid w:val="009238C5"/>
    <w:rsid w:val="009250E6"/>
    <w:rsid w:val="00925E52"/>
    <w:rsid w:val="009306DB"/>
    <w:rsid w:val="009320D9"/>
    <w:rsid w:val="009337D2"/>
    <w:rsid w:val="00933FAE"/>
    <w:rsid w:val="00934345"/>
    <w:rsid w:val="009405A0"/>
    <w:rsid w:val="0094171D"/>
    <w:rsid w:val="00942FC2"/>
    <w:rsid w:val="00946D0B"/>
    <w:rsid w:val="00954DB9"/>
    <w:rsid w:val="00961427"/>
    <w:rsid w:val="00962F1E"/>
    <w:rsid w:val="00965081"/>
    <w:rsid w:val="00970470"/>
    <w:rsid w:val="00972FCE"/>
    <w:rsid w:val="0098082E"/>
    <w:rsid w:val="0098641F"/>
    <w:rsid w:val="00987765"/>
    <w:rsid w:val="00993CCC"/>
    <w:rsid w:val="009947F9"/>
    <w:rsid w:val="009975B3"/>
    <w:rsid w:val="009A18CD"/>
    <w:rsid w:val="009A20FA"/>
    <w:rsid w:val="009A6C82"/>
    <w:rsid w:val="009D106F"/>
    <w:rsid w:val="009D68F8"/>
    <w:rsid w:val="009E3422"/>
    <w:rsid w:val="009E4416"/>
    <w:rsid w:val="009E7053"/>
    <w:rsid w:val="00A02EC0"/>
    <w:rsid w:val="00A1140F"/>
    <w:rsid w:val="00A12558"/>
    <w:rsid w:val="00A13903"/>
    <w:rsid w:val="00A16371"/>
    <w:rsid w:val="00A22746"/>
    <w:rsid w:val="00A240A1"/>
    <w:rsid w:val="00A26708"/>
    <w:rsid w:val="00A301D4"/>
    <w:rsid w:val="00A34ED5"/>
    <w:rsid w:val="00A352E3"/>
    <w:rsid w:val="00A35394"/>
    <w:rsid w:val="00A36BFE"/>
    <w:rsid w:val="00A43A4F"/>
    <w:rsid w:val="00A45DBF"/>
    <w:rsid w:val="00A4780F"/>
    <w:rsid w:val="00A502CC"/>
    <w:rsid w:val="00A5128D"/>
    <w:rsid w:val="00A517CE"/>
    <w:rsid w:val="00A645DF"/>
    <w:rsid w:val="00A65C29"/>
    <w:rsid w:val="00A72380"/>
    <w:rsid w:val="00A72F43"/>
    <w:rsid w:val="00A755A2"/>
    <w:rsid w:val="00A761BC"/>
    <w:rsid w:val="00A76CD9"/>
    <w:rsid w:val="00A83CB2"/>
    <w:rsid w:val="00A83EEB"/>
    <w:rsid w:val="00A90980"/>
    <w:rsid w:val="00A96464"/>
    <w:rsid w:val="00AA37FC"/>
    <w:rsid w:val="00AA6660"/>
    <w:rsid w:val="00AA7461"/>
    <w:rsid w:val="00AA78C1"/>
    <w:rsid w:val="00AB15B0"/>
    <w:rsid w:val="00AB2C36"/>
    <w:rsid w:val="00AB4747"/>
    <w:rsid w:val="00AB4986"/>
    <w:rsid w:val="00AB5411"/>
    <w:rsid w:val="00AB70B6"/>
    <w:rsid w:val="00AD1753"/>
    <w:rsid w:val="00AD19E8"/>
    <w:rsid w:val="00AD1A86"/>
    <w:rsid w:val="00AD5485"/>
    <w:rsid w:val="00AD79E5"/>
    <w:rsid w:val="00AE103E"/>
    <w:rsid w:val="00AE374B"/>
    <w:rsid w:val="00AE4379"/>
    <w:rsid w:val="00AE5AE9"/>
    <w:rsid w:val="00AF0A07"/>
    <w:rsid w:val="00AF4974"/>
    <w:rsid w:val="00AF4AEC"/>
    <w:rsid w:val="00AF4B69"/>
    <w:rsid w:val="00AF5C25"/>
    <w:rsid w:val="00AF625E"/>
    <w:rsid w:val="00AF6D6A"/>
    <w:rsid w:val="00AF6F09"/>
    <w:rsid w:val="00B02E09"/>
    <w:rsid w:val="00B032CC"/>
    <w:rsid w:val="00B03FDE"/>
    <w:rsid w:val="00B04A5B"/>
    <w:rsid w:val="00B063E3"/>
    <w:rsid w:val="00B12C03"/>
    <w:rsid w:val="00B152E6"/>
    <w:rsid w:val="00B167AB"/>
    <w:rsid w:val="00B1775B"/>
    <w:rsid w:val="00B24B9F"/>
    <w:rsid w:val="00B2666E"/>
    <w:rsid w:val="00B3294C"/>
    <w:rsid w:val="00B347F6"/>
    <w:rsid w:val="00B355BE"/>
    <w:rsid w:val="00B47804"/>
    <w:rsid w:val="00B50394"/>
    <w:rsid w:val="00B51C15"/>
    <w:rsid w:val="00B52DE6"/>
    <w:rsid w:val="00B5568A"/>
    <w:rsid w:val="00B60DE2"/>
    <w:rsid w:val="00B715A7"/>
    <w:rsid w:val="00B75B46"/>
    <w:rsid w:val="00B770B1"/>
    <w:rsid w:val="00B8078F"/>
    <w:rsid w:val="00B81C10"/>
    <w:rsid w:val="00B831C7"/>
    <w:rsid w:val="00B83C31"/>
    <w:rsid w:val="00B87DCC"/>
    <w:rsid w:val="00B942BF"/>
    <w:rsid w:val="00B96B09"/>
    <w:rsid w:val="00BA27EB"/>
    <w:rsid w:val="00BA3627"/>
    <w:rsid w:val="00BA4A65"/>
    <w:rsid w:val="00BA62B3"/>
    <w:rsid w:val="00BA6346"/>
    <w:rsid w:val="00BA6F6A"/>
    <w:rsid w:val="00BB04AF"/>
    <w:rsid w:val="00BB22A2"/>
    <w:rsid w:val="00BB3222"/>
    <w:rsid w:val="00BB4DC1"/>
    <w:rsid w:val="00BD367B"/>
    <w:rsid w:val="00BD3D46"/>
    <w:rsid w:val="00BD52C9"/>
    <w:rsid w:val="00BD56EE"/>
    <w:rsid w:val="00BE11C5"/>
    <w:rsid w:val="00BE2354"/>
    <w:rsid w:val="00BE6354"/>
    <w:rsid w:val="00BF78F6"/>
    <w:rsid w:val="00C003BB"/>
    <w:rsid w:val="00C00655"/>
    <w:rsid w:val="00C00AB1"/>
    <w:rsid w:val="00C01618"/>
    <w:rsid w:val="00C0269C"/>
    <w:rsid w:val="00C11B67"/>
    <w:rsid w:val="00C12869"/>
    <w:rsid w:val="00C13F69"/>
    <w:rsid w:val="00C21191"/>
    <w:rsid w:val="00C22F22"/>
    <w:rsid w:val="00C23A97"/>
    <w:rsid w:val="00C25CBE"/>
    <w:rsid w:val="00C31CAF"/>
    <w:rsid w:val="00C35974"/>
    <w:rsid w:val="00C361A2"/>
    <w:rsid w:val="00C404B5"/>
    <w:rsid w:val="00C4183D"/>
    <w:rsid w:val="00C42C66"/>
    <w:rsid w:val="00C43593"/>
    <w:rsid w:val="00C44C66"/>
    <w:rsid w:val="00C45C6E"/>
    <w:rsid w:val="00C46C0F"/>
    <w:rsid w:val="00C51389"/>
    <w:rsid w:val="00C514F4"/>
    <w:rsid w:val="00C52201"/>
    <w:rsid w:val="00C6326C"/>
    <w:rsid w:val="00C64FCA"/>
    <w:rsid w:val="00C70EA7"/>
    <w:rsid w:val="00C72006"/>
    <w:rsid w:val="00C7472F"/>
    <w:rsid w:val="00C7516E"/>
    <w:rsid w:val="00C7565E"/>
    <w:rsid w:val="00C75770"/>
    <w:rsid w:val="00C77AB1"/>
    <w:rsid w:val="00C841BB"/>
    <w:rsid w:val="00C929AF"/>
    <w:rsid w:val="00C93E3B"/>
    <w:rsid w:val="00C95F2F"/>
    <w:rsid w:val="00C96B7A"/>
    <w:rsid w:val="00C970C0"/>
    <w:rsid w:val="00C97EE2"/>
    <w:rsid w:val="00CA01BD"/>
    <w:rsid w:val="00CA0224"/>
    <w:rsid w:val="00CA5752"/>
    <w:rsid w:val="00CA75BB"/>
    <w:rsid w:val="00CB00D9"/>
    <w:rsid w:val="00CB3AEA"/>
    <w:rsid w:val="00CC0A98"/>
    <w:rsid w:val="00CC0BE1"/>
    <w:rsid w:val="00CC0DCC"/>
    <w:rsid w:val="00CC71DA"/>
    <w:rsid w:val="00CD3FDF"/>
    <w:rsid w:val="00CD73F8"/>
    <w:rsid w:val="00CD7430"/>
    <w:rsid w:val="00CE6611"/>
    <w:rsid w:val="00CF0FEA"/>
    <w:rsid w:val="00CF11C4"/>
    <w:rsid w:val="00CF1FFF"/>
    <w:rsid w:val="00CF47B0"/>
    <w:rsid w:val="00D00B2B"/>
    <w:rsid w:val="00D01E6E"/>
    <w:rsid w:val="00D02627"/>
    <w:rsid w:val="00D0496A"/>
    <w:rsid w:val="00D12513"/>
    <w:rsid w:val="00D12629"/>
    <w:rsid w:val="00D12B33"/>
    <w:rsid w:val="00D158D8"/>
    <w:rsid w:val="00D20879"/>
    <w:rsid w:val="00D20D12"/>
    <w:rsid w:val="00D23E17"/>
    <w:rsid w:val="00D24877"/>
    <w:rsid w:val="00D251F6"/>
    <w:rsid w:val="00D2568C"/>
    <w:rsid w:val="00D25762"/>
    <w:rsid w:val="00D318DB"/>
    <w:rsid w:val="00D35742"/>
    <w:rsid w:val="00D365B7"/>
    <w:rsid w:val="00D37FCE"/>
    <w:rsid w:val="00D406FB"/>
    <w:rsid w:val="00D475E0"/>
    <w:rsid w:val="00D47C64"/>
    <w:rsid w:val="00D502D2"/>
    <w:rsid w:val="00D51826"/>
    <w:rsid w:val="00D51E08"/>
    <w:rsid w:val="00D51EA8"/>
    <w:rsid w:val="00D525FC"/>
    <w:rsid w:val="00D53175"/>
    <w:rsid w:val="00D560A4"/>
    <w:rsid w:val="00D57EA7"/>
    <w:rsid w:val="00D70C69"/>
    <w:rsid w:val="00D727BD"/>
    <w:rsid w:val="00D730AD"/>
    <w:rsid w:val="00D7505E"/>
    <w:rsid w:val="00D80C14"/>
    <w:rsid w:val="00D813F6"/>
    <w:rsid w:val="00D8267F"/>
    <w:rsid w:val="00D90ABA"/>
    <w:rsid w:val="00D9312B"/>
    <w:rsid w:val="00D95C4C"/>
    <w:rsid w:val="00DA082C"/>
    <w:rsid w:val="00DA2ACA"/>
    <w:rsid w:val="00DA36ED"/>
    <w:rsid w:val="00DA3996"/>
    <w:rsid w:val="00DA4FE3"/>
    <w:rsid w:val="00DA514B"/>
    <w:rsid w:val="00DA779C"/>
    <w:rsid w:val="00DB0EC9"/>
    <w:rsid w:val="00DB5E63"/>
    <w:rsid w:val="00DC4878"/>
    <w:rsid w:val="00DC774F"/>
    <w:rsid w:val="00DD2639"/>
    <w:rsid w:val="00DD49B0"/>
    <w:rsid w:val="00DD5A33"/>
    <w:rsid w:val="00DD67CF"/>
    <w:rsid w:val="00DE34F1"/>
    <w:rsid w:val="00DE6459"/>
    <w:rsid w:val="00DE7E2C"/>
    <w:rsid w:val="00DF1A11"/>
    <w:rsid w:val="00DF4942"/>
    <w:rsid w:val="00DF6E4B"/>
    <w:rsid w:val="00DF7A44"/>
    <w:rsid w:val="00E05ECB"/>
    <w:rsid w:val="00E105AF"/>
    <w:rsid w:val="00E1453B"/>
    <w:rsid w:val="00E15BF7"/>
    <w:rsid w:val="00E163D8"/>
    <w:rsid w:val="00E179AB"/>
    <w:rsid w:val="00E204DC"/>
    <w:rsid w:val="00E34929"/>
    <w:rsid w:val="00E35769"/>
    <w:rsid w:val="00E35D26"/>
    <w:rsid w:val="00E37113"/>
    <w:rsid w:val="00E45366"/>
    <w:rsid w:val="00E477D8"/>
    <w:rsid w:val="00E6221F"/>
    <w:rsid w:val="00E626C8"/>
    <w:rsid w:val="00E627B1"/>
    <w:rsid w:val="00E66DB5"/>
    <w:rsid w:val="00E6705C"/>
    <w:rsid w:val="00E729A3"/>
    <w:rsid w:val="00E77694"/>
    <w:rsid w:val="00E84B47"/>
    <w:rsid w:val="00E851F2"/>
    <w:rsid w:val="00E86910"/>
    <w:rsid w:val="00E9376C"/>
    <w:rsid w:val="00EA22EA"/>
    <w:rsid w:val="00EA2C1A"/>
    <w:rsid w:val="00EA335E"/>
    <w:rsid w:val="00EA528C"/>
    <w:rsid w:val="00EB1AB2"/>
    <w:rsid w:val="00EB3132"/>
    <w:rsid w:val="00EB4E46"/>
    <w:rsid w:val="00EB50C7"/>
    <w:rsid w:val="00EB6E60"/>
    <w:rsid w:val="00EC05EF"/>
    <w:rsid w:val="00EC0B37"/>
    <w:rsid w:val="00EC1195"/>
    <w:rsid w:val="00EC21C6"/>
    <w:rsid w:val="00EC5E0E"/>
    <w:rsid w:val="00EE0C1E"/>
    <w:rsid w:val="00EE1308"/>
    <w:rsid w:val="00EE1409"/>
    <w:rsid w:val="00EE1B09"/>
    <w:rsid w:val="00EE1EDF"/>
    <w:rsid w:val="00EE2A17"/>
    <w:rsid w:val="00EE4B25"/>
    <w:rsid w:val="00EE6AF6"/>
    <w:rsid w:val="00EE6B73"/>
    <w:rsid w:val="00EF19A6"/>
    <w:rsid w:val="00EF34E2"/>
    <w:rsid w:val="00EF4F1F"/>
    <w:rsid w:val="00EF69E3"/>
    <w:rsid w:val="00F010E0"/>
    <w:rsid w:val="00F01C9B"/>
    <w:rsid w:val="00F1304A"/>
    <w:rsid w:val="00F138D1"/>
    <w:rsid w:val="00F225E0"/>
    <w:rsid w:val="00F22F00"/>
    <w:rsid w:val="00F30396"/>
    <w:rsid w:val="00F440C9"/>
    <w:rsid w:val="00F46262"/>
    <w:rsid w:val="00F46D96"/>
    <w:rsid w:val="00F50A02"/>
    <w:rsid w:val="00F517FC"/>
    <w:rsid w:val="00F53DE9"/>
    <w:rsid w:val="00F56B8C"/>
    <w:rsid w:val="00F576CB"/>
    <w:rsid w:val="00F60AD9"/>
    <w:rsid w:val="00F622C7"/>
    <w:rsid w:val="00F63D7C"/>
    <w:rsid w:val="00F67C2E"/>
    <w:rsid w:val="00F70FBF"/>
    <w:rsid w:val="00F71A02"/>
    <w:rsid w:val="00F77780"/>
    <w:rsid w:val="00F802CF"/>
    <w:rsid w:val="00F80710"/>
    <w:rsid w:val="00F80938"/>
    <w:rsid w:val="00F81F92"/>
    <w:rsid w:val="00F8210A"/>
    <w:rsid w:val="00F86D84"/>
    <w:rsid w:val="00FA0BC4"/>
    <w:rsid w:val="00FA62DA"/>
    <w:rsid w:val="00FB6051"/>
    <w:rsid w:val="00FB6630"/>
    <w:rsid w:val="00FC111B"/>
    <w:rsid w:val="00FC23DD"/>
    <w:rsid w:val="00FC3191"/>
    <w:rsid w:val="00FC4620"/>
    <w:rsid w:val="00FD0D29"/>
    <w:rsid w:val="00FD1226"/>
    <w:rsid w:val="00FD4B41"/>
    <w:rsid w:val="00FD67C3"/>
    <w:rsid w:val="00FE0DAC"/>
    <w:rsid w:val="00FE1FD2"/>
    <w:rsid w:val="00FE27F6"/>
    <w:rsid w:val="00FE69D8"/>
    <w:rsid w:val="00FF03AE"/>
    <w:rsid w:val="00FF0A9C"/>
    <w:rsid w:val="00FF4830"/>
    <w:rsid w:val="00FF48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AA34B"/>
  <w15:docId w15:val="{8CDDEF25-0EE3-4011-8D79-D40E119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Titre1">
    <w:name w:val="heading 1"/>
    <w:basedOn w:val="Normal"/>
    <w:next w:val="Normal"/>
    <w:link w:val="Titre1Car"/>
    <w:uiPriority w:val="9"/>
    <w:rsid w:val="00B83C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paragraph" w:styleId="Titre7">
    <w:name w:val="heading 7"/>
    <w:basedOn w:val="Normal"/>
    <w:next w:val="Normal"/>
    <w:link w:val="Titre7Car"/>
    <w:uiPriority w:val="9"/>
    <w:semiHidden/>
    <w:unhideWhenUsed/>
    <w:qFormat/>
    <w:rsid w:val="00CF0FEA"/>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CF0F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Paragraphedeliste">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uiPriority w:val="59"/>
    <w:rsid w:val="00191ADC"/>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391AC6"/>
    <w:pPr>
      <w:keepNext/>
      <w:spacing w:before="240" w:after="120"/>
      <w:ind w:left="567"/>
      <w:jc w:val="both"/>
    </w:pPr>
    <w:rPr>
      <w:rFonts w:ascii="Arial" w:hAnsi="Arial" w:cs="Arial"/>
      <w:b/>
      <w:sz w:val="22"/>
      <w:szCs w:val="22"/>
    </w:rPr>
  </w:style>
  <w:style w:type="character" w:styleId="Lienhypertexte">
    <w:name w:val="Hyperlink"/>
    <w:aliases w:val=" Car Car3 Char, Car Car3 Char Char Char Char"/>
    <w:basedOn w:val="Policepardfaut"/>
    <w:link w:val="CarCar3"/>
    <w:unhideWhenUsed/>
    <w:rsid w:val="00391AC6"/>
    <w:rPr>
      <w:color w:val="0563C1" w:themeColor="hyperlink"/>
      <w:u w:val="single"/>
    </w:rPr>
  </w:style>
  <w:style w:type="paragraph" w:styleId="Notedebasdepage">
    <w:name w:val="footnote text"/>
    <w:basedOn w:val="Normal"/>
    <w:link w:val="NotedebasdepageCar"/>
    <w:uiPriority w:val="99"/>
    <w:unhideWhenUsed/>
    <w:rsid w:val="00391AC6"/>
    <w:rPr>
      <w:sz w:val="20"/>
      <w:szCs w:val="20"/>
    </w:rPr>
  </w:style>
  <w:style w:type="character" w:customStyle="1" w:styleId="NotedebasdepageCar">
    <w:name w:val="Note de bas de page Car"/>
    <w:basedOn w:val="Policepardfaut"/>
    <w:link w:val="Notedebasdepage"/>
    <w:uiPriority w:val="99"/>
    <w:rsid w:val="00391AC6"/>
    <w:rPr>
      <w:rFonts w:ascii="Times New Roman" w:eastAsia="Times New Roman" w:hAnsi="Times New Roman"/>
      <w:lang w:val="es-ES" w:eastAsia="fr-FR"/>
    </w:rPr>
  </w:style>
  <w:style w:type="character" w:styleId="Appelnotedebasdep">
    <w:name w:val="footnote reference"/>
    <w:basedOn w:val="Policepardfaut"/>
    <w:uiPriority w:val="99"/>
    <w:semiHidden/>
    <w:unhideWhenUsed/>
    <w:rsid w:val="00391AC6"/>
    <w:rPr>
      <w:vertAlign w:val="superscript"/>
    </w:rPr>
  </w:style>
  <w:style w:type="paragraph" w:styleId="Commentaire">
    <w:name w:val="annotation text"/>
    <w:basedOn w:val="Normal"/>
    <w:link w:val="CommentaireCar"/>
    <w:uiPriority w:val="99"/>
    <w:unhideWhenUsed/>
    <w:rsid w:val="005823AB"/>
    <w:pPr>
      <w:spacing w:after="160" w:line="259" w:lineRule="auto"/>
    </w:pPr>
    <w:rPr>
      <w:rFonts w:asciiTheme="minorHAnsi" w:eastAsiaTheme="minorEastAsia" w:hAnsiTheme="minorHAnsi" w:cstheme="minorBidi"/>
      <w:sz w:val="20"/>
      <w:szCs w:val="20"/>
      <w:lang w:eastAsia="ja-JP"/>
    </w:rPr>
  </w:style>
  <w:style w:type="character" w:customStyle="1" w:styleId="CommentaireCar">
    <w:name w:val="Commentaire Car"/>
    <w:basedOn w:val="Policepardfaut"/>
    <w:link w:val="Commentaire"/>
    <w:uiPriority w:val="99"/>
    <w:rsid w:val="005823AB"/>
    <w:rPr>
      <w:rFonts w:asciiTheme="minorHAnsi" w:eastAsiaTheme="minorEastAsia" w:hAnsiTheme="minorHAnsi" w:cstheme="minorBidi"/>
      <w:lang w:val="es-ES" w:eastAsia="ja-JP"/>
    </w:rPr>
  </w:style>
  <w:style w:type="table" w:styleId="TableauGrille4-Accentuation1">
    <w:name w:val="Grid Table 4 Accent 1"/>
    <w:basedOn w:val="TableauNormal"/>
    <w:uiPriority w:val="49"/>
    <w:rsid w:val="005823AB"/>
    <w:rPr>
      <w:lang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GAPara">
    <w:name w:val="1. GA Para"/>
    <w:qFormat/>
    <w:rsid w:val="00595AF2"/>
    <w:pPr>
      <w:snapToGrid w:val="0"/>
      <w:spacing w:after="120"/>
      <w:ind w:left="720" w:hanging="360"/>
    </w:pPr>
    <w:rPr>
      <w:rFonts w:ascii="Arial" w:eastAsia="Times New Roman" w:hAnsi="Arial" w:cs="Arial"/>
      <w:sz w:val="22"/>
      <w:szCs w:val="22"/>
      <w:lang w:eastAsia="en-US"/>
    </w:rPr>
  </w:style>
  <w:style w:type="table" w:styleId="Grilledetableauclaire">
    <w:name w:val="Grid Table Light"/>
    <w:basedOn w:val="TableauNormal"/>
    <w:uiPriority w:val="40"/>
    <w:rsid w:val="00595A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semiHidden/>
    <w:unhideWhenUsed/>
    <w:rsid w:val="007F5754"/>
    <w:rPr>
      <w:color w:val="605E5C"/>
      <w:shd w:val="clear" w:color="auto" w:fill="E1DFDD"/>
    </w:rPr>
  </w:style>
  <w:style w:type="character" w:styleId="Lienhypertextesuivivisit">
    <w:name w:val="FollowedHyperlink"/>
    <w:basedOn w:val="Policepardfaut"/>
    <w:uiPriority w:val="99"/>
    <w:semiHidden/>
    <w:unhideWhenUsed/>
    <w:rsid w:val="00D9312B"/>
    <w:rPr>
      <w:color w:val="954F72" w:themeColor="followedHyperlink"/>
      <w:u w:val="single"/>
    </w:rPr>
  </w:style>
  <w:style w:type="character" w:styleId="Marquedecommentaire">
    <w:name w:val="annotation reference"/>
    <w:basedOn w:val="Policepardfaut"/>
    <w:uiPriority w:val="99"/>
    <w:semiHidden/>
    <w:unhideWhenUsed/>
    <w:rsid w:val="00BD367B"/>
    <w:rPr>
      <w:sz w:val="16"/>
      <w:szCs w:val="16"/>
    </w:rPr>
  </w:style>
  <w:style w:type="paragraph" w:styleId="Objetducommentaire">
    <w:name w:val="annotation subject"/>
    <w:basedOn w:val="Commentaire"/>
    <w:next w:val="Commentaire"/>
    <w:link w:val="ObjetducommentaireCar"/>
    <w:uiPriority w:val="99"/>
    <w:semiHidden/>
    <w:unhideWhenUsed/>
    <w:rsid w:val="00BD367B"/>
    <w:pPr>
      <w:spacing w:after="0" w:line="240" w:lineRule="auto"/>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BD367B"/>
    <w:rPr>
      <w:rFonts w:ascii="Times New Roman" w:eastAsia="Times New Roman" w:hAnsi="Times New Roman" w:cstheme="minorBidi"/>
      <w:b/>
      <w:bCs/>
      <w:lang w:val="es-ES" w:eastAsia="fr-FR"/>
    </w:rPr>
  </w:style>
  <w:style w:type="paragraph" w:customStyle="1" w:styleId="COMPara">
    <w:name w:val="COM Para"/>
    <w:qFormat/>
    <w:rsid w:val="00A352E3"/>
    <w:pPr>
      <w:spacing w:after="120"/>
    </w:pPr>
    <w:rPr>
      <w:rFonts w:ascii="Arial" w:eastAsia="Times New Roman" w:hAnsi="Arial" w:cs="Arial"/>
      <w:snapToGrid w:val="0"/>
      <w:sz w:val="22"/>
      <w:szCs w:val="22"/>
      <w:lang w:eastAsia="en-US"/>
    </w:rPr>
  </w:style>
  <w:style w:type="paragraph" w:styleId="NormalWeb">
    <w:name w:val="Normal (Web)"/>
    <w:basedOn w:val="Normal"/>
    <w:uiPriority w:val="99"/>
    <w:semiHidden/>
    <w:unhideWhenUsed/>
    <w:rsid w:val="000857CC"/>
    <w:pPr>
      <w:spacing w:before="100" w:beforeAutospacing="1" w:after="100" w:afterAutospacing="1"/>
    </w:pPr>
    <w:rPr>
      <w:lang w:eastAsia="zh-CN"/>
    </w:rPr>
  </w:style>
  <w:style w:type="character" w:customStyle="1" w:styleId="Titre1Car">
    <w:name w:val="Titre 1 Car"/>
    <w:basedOn w:val="Policepardfaut"/>
    <w:link w:val="Titre1"/>
    <w:uiPriority w:val="9"/>
    <w:rsid w:val="00B83C31"/>
    <w:rPr>
      <w:rFonts w:asciiTheme="majorHAnsi" w:eastAsiaTheme="majorEastAsia" w:hAnsiTheme="majorHAnsi" w:cstheme="majorBidi"/>
      <w:color w:val="2E74B5" w:themeColor="accent1" w:themeShade="BF"/>
      <w:sz w:val="32"/>
      <w:szCs w:val="32"/>
      <w:lang w:val="es-ES" w:eastAsia="fr-FR"/>
    </w:rPr>
  </w:style>
  <w:style w:type="paragraph" w:styleId="Rvision">
    <w:name w:val="Revision"/>
    <w:hidden/>
    <w:uiPriority w:val="99"/>
    <w:semiHidden/>
    <w:rsid w:val="0063701C"/>
    <w:rPr>
      <w:rFonts w:ascii="Times New Roman" w:eastAsia="Times New Roman" w:hAnsi="Times New Roman"/>
      <w:sz w:val="24"/>
      <w:szCs w:val="24"/>
      <w:lang w:eastAsia="fr-FR"/>
    </w:rPr>
  </w:style>
  <w:style w:type="paragraph" w:styleId="Sous-titre">
    <w:name w:val="Subtitle"/>
    <w:aliases w:val="Title of the meeting"/>
    <w:basedOn w:val="Normal"/>
    <w:next w:val="Normal"/>
    <w:link w:val="Sous-titreCar"/>
    <w:uiPriority w:val="11"/>
    <w:qFormat/>
    <w:rsid w:val="00E1453B"/>
    <w:pPr>
      <w:spacing w:before="120" w:after="360"/>
      <w:jc w:val="center"/>
    </w:pPr>
    <w:rPr>
      <w:rFonts w:ascii="Arial" w:eastAsiaTheme="minorHAnsi" w:hAnsi="Arial" w:cs="Arial"/>
      <w:b/>
      <w:szCs w:val="26"/>
      <w:lang w:eastAsia="en-US"/>
    </w:rPr>
  </w:style>
  <w:style w:type="character" w:customStyle="1" w:styleId="Sous-titreCar">
    <w:name w:val="Sous-titre Car"/>
    <w:aliases w:val="Title of the meeting Car"/>
    <w:basedOn w:val="Policepardfaut"/>
    <w:link w:val="Sous-titre"/>
    <w:uiPriority w:val="11"/>
    <w:rsid w:val="00E1453B"/>
    <w:rPr>
      <w:rFonts w:ascii="Arial" w:eastAsiaTheme="minorHAnsi" w:hAnsi="Arial" w:cs="Arial"/>
      <w:b/>
      <w:sz w:val="24"/>
      <w:szCs w:val="26"/>
      <w:lang w:eastAsia="en-US"/>
    </w:rPr>
  </w:style>
  <w:style w:type="character" w:customStyle="1" w:styleId="Titre7Car">
    <w:name w:val="Titre 7 Car"/>
    <w:basedOn w:val="Policepardfaut"/>
    <w:link w:val="Titre7"/>
    <w:uiPriority w:val="9"/>
    <w:semiHidden/>
    <w:rsid w:val="00CF0FEA"/>
    <w:rPr>
      <w:rFonts w:asciiTheme="majorHAnsi" w:eastAsiaTheme="majorEastAsia" w:hAnsiTheme="majorHAnsi" w:cstheme="majorBidi"/>
      <w:i/>
      <w:iCs/>
      <w:color w:val="1F4D78" w:themeColor="accent1" w:themeShade="7F"/>
      <w:sz w:val="24"/>
      <w:szCs w:val="24"/>
      <w:lang w:val="es-ES" w:eastAsia="fr-FR"/>
    </w:rPr>
  </w:style>
  <w:style w:type="character" w:customStyle="1" w:styleId="Titre9Car">
    <w:name w:val="Titre 9 Car"/>
    <w:basedOn w:val="Policepardfaut"/>
    <w:link w:val="Titre9"/>
    <w:uiPriority w:val="9"/>
    <w:semiHidden/>
    <w:rsid w:val="00CF0FEA"/>
    <w:rPr>
      <w:rFonts w:asciiTheme="majorHAnsi" w:eastAsiaTheme="majorEastAsia" w:hAnsiTheme="majorHAnsi" w:cstheme="majorBidi"/>
      <w:i/>
      <w:iCs/>
      <w:color w:val="272727" w:themeColor="text1" w:themeTint="D8"/>
      <w:sz w:val="21"/>
      <w:szCs w:val="21"/>
      <w:lang w:val="es-ES" w:eastAsia="fr-FR"/>
    </w:rPr>
  </w:style>
  <w:style w:type="paragraph" w:styleId="Lgende">
    <w:name w:val="caption"/>
    <w:basedOn w:val="Normal"/>
    <w:next w:val="Normal"/>
    <w:uiPriority w:val="35"/>
    <w:unhideWhenUsed/>
    <w:qFormat/>
    <w:rsid w:val="004269FE"/>
    <w:pPr>
      <w:spacing w:after="200"/>
    </w:pPr>
    <w:rPr>
      <w:i/>
      <w:iCs/>
      <w:color w:val="44546A" w:themeColor="text2"/>
      <w:sz w:val="18"/>
      <w:szCs w:val="18"/>
    </w:rPr>
  </w:style>
  <w:style w:type="paragraph" w:customStyle="1" w:styleId="pf0">
    <w:name w:val="pf0"/>
    <w:basedOn w:val="Normal"/>
    <w:rsid w:val="00132C8D"/>
    <w:pPr>
      <w:spacing w:before="100" w:beforeAutospacing="1" w:after="100" w:afterAutospacing="1"/>
    </w:pPr>
    <w:rPr>
      <w:lang w:eastAsia="en-US"/>
    </w:rPr>
  </w:style>
  <w:style w:type="character" w:customStyle="1" w:styleId="cf01">
    <w:name w:val="cf01"/>
    <w:basedOn w:val="Policepardfaut"/>
    <w:rsid w:val="00132C8D"/>
    <w:rPr>
      <w:rFonts w:ascii="Segoe UI" w:hAnsi="Segoe UI" w:cs="Segoe UI" w:hint="default"/>
      <w:sz w:val="18"/>
      <w:szCs w:val="18"/>
    </w:rPr>
  </w:style>
  <w:style w:type="character" w:customStyle="1" w:styleId="cf11">
    <w:name w:val="cf11"/>
    <w:basedOn w:val="Policepardfaut"/>
    <w:rsid w:val="00132C8D"/>
    <w:rPr>
      <w:rFonts w:ascii="Segoe UI" w:hAnsi="Segoe UI" w:cs="Segoe UI" w:hint="default"/>
      <w:sz w:val="18"/>
      <w:szCs w:val="18"/>
    </w:rPr>
  </w:style>
  <w:style w:type="paragraph" w:customStyle="1" w:styleId="COMPreambulaDecisions">
    <w:name w:val="COM Preambula Decisions"/>
    <w:basedOn w:val="Normal"/>
    <w:qFormat/>
    <w:rsid w:val="009D68F8"/>
    <w:pPr>
      <w:keepNext/>
      <w:spacing w:after="120"/>
      <w:ind w:left="567"/>
      <w:jc w:val="both"/>
    </w:pPr>
    <w:rPr>
      <w:rFonts w:ascii="Arial" w:hAnsi="Arial" w:cs="Arial"/>
      <w:sz w:val="22"/>
      <w:szCs w:val="22"/>
    </w:rPr>
  </w:style>
  <w:style w:type="paragraph" w:customStyle="1" w:styleId="CarCar3">
    <w:name w:val="Car Car3"/>
    <w:aliases w:val=" Car Car3 Char Char"/>
    <w:basedOn w:val="Normal"/>
    <w:link w:val="Lienhypertexte"/>
    <w:rsid w:val="009D68F8"/>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563C1" w:themeColor="hyperlink"/>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60">
      <w:bodyDiv w:val="1"/>
      <w:marLeft w:val="0"/>
      <w:marRight w:val="0"/>
      <w:marTop w:val="0"/>
      <w:marBottom w:val="0"/>
      <w:divBdr>
        <w:top w:val="none" w:sz="0" w:space="0" w:color="auto"/>
        <w:left w:val="none" w:sz="0" w:space="0" w:color="auto"/>
        <w:bottom w:val="none" w:sz="0" w:space="0" w:color="auto"/>
        <w:right w:val="none" w:sz="0" w:space="0" w:color="auto"/>
      </w:divBdr>
    </w:div>
    <w:div w:id="78842101">
      <w:bodyDiv w:val="1"/>
      <w:marLeft w:val="0"/>
      <w:marRight w:val="0"/>
      <w:marTop w:val="0"/>
      <w:marBottom w:val="0"/>
      <w:divBdr>
        <w:top w:val="none" w:sz="0" w:space="0" w:color="auto"/>
        <w:left w:val="none" w:sz="0" w:space="0" w:color="auto"/>
        <w:bottom w:val="none" w:sz="0" w:space="0" w:color="auto"/>
        <w:right w:val="none" w:sz="0" w:space="0" w:color="auto"/>
      </w:divBdr>
    </w:div>
    <w:div w:id="148526330">
      <w:bodyDiv w:val="1"/>
      <w:marLeft w:val="0"/>
      <w:marRight w:val="0"/>
      <w:marTop w:val="0"/>
      <w:marBottom w:val="0"/>
      <w:divBdr>
        <w:top w:val="none" w:sz="0" w:space="0" w:color="auto"/>
        <w:left w:val="none" w:sz="0" w:space="0" w:color="auto"/>
        <w:bottom w:val="none" w:sz="0" w:space="0" w:color="auto"/>
        <w:right w:val="none" w:sz="0" w:space="0" w:color="auto"/>
      </w:divBdr>
    </w:div>
    <w:div w:id="175652273">
      <w:bodyDiv w:val="1"/>
      <w:marLeft w:val="0"/>
      <w:marRight w:val="0"/>
      <w:marTop w:val="0"/>
      <w:marBottom w:val="0"/>
      <w:divBdr>
        <w:top w:val="none" w:sz="0" w:space="0" w:color="auto"/>
        <w:left w:val="none" w:sz="0" w:space="0" w:color="auto"/>
        <w:bottom w:val="none" w:sz="0" w:space="0" w:color="auto"/>
        <w:right w:val="none" w:sz="0" w:space="0" w:color="auto"/>
      </w:divBdr>
    </w:div>
    <w:div w:id="265889532">
      <w:bodyDiv w:val="1"/>
      <w:marLeft w:val="0"/>
      <w:marRight w:val="0"/>
      <w:marTop w:val="0"/>
      <w:marBottom w:val="0"/>
      <w:divBdr>
        <w:top w:val="none" w:sz="0" w:space="0" w:color="auto"/>
        <w:left w:val="none" w:sz="0" w:space="0" w:color="auto"/>
        <w:bottom w:val="none" w:sz="0" w:space="0" w:color="auto"/>
        <w:right w:val="none" w:sz="0" w:space="0" w:color="auto"/>
      </w:divBdr>
    </w:div>
    <w:div w:id="622074602">
      <w:bodyDiv w:val="1"/>
      <w:marLeft w:val="0"/>
      <w:marRight w:val="0"/>
      <w:marTop w:val="0"/>
      <w:marBottom w:val="0"/>
      <w:divBdr>
        <w:top w:val="none" w:sz="0" w:space="0" w:color="auto"/>
        <w:left w:val="none" w:sz="0" w:space="0" w:color="auto"/>
        <w:bottom w:val="none" w:sz="0" w:space="0" w:color="auto"/>
        <w:right w:val="none" w:sz="0" w:space="0" w:color="auto"/>
      </w:divBdr>
    </w:div>
    <w:div w:id="664087980">
      <w:bodyDiv w:val="1"/>
      <w:marLeft w:val="0"/>
      <w:marRight w:val="0"/>
      <w:marTop w:val="0"/>
      <w:marBottom w:val="0"/>
      <w:divBdr>
        <w:top w:val="none" w:sz="0" w:space="0" w:color="auto"/>
        <w:left w:val="none" w:sz="0" w:space="0" w:color="auto"/>
        <w:bottom w:val="none" w:sz="0" w:space="0" w:color="auto"/>
        <w:right w:val="none" w:sz="0" w:space="0" w:color="auto"/>
      </w:divBdr>
    </w:div>
    <w:div w:id="77216986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907883725">
      <w:bodyDiv w:val="1"/>
      <w:marLeft w:val="0"/>
      <w:marRight w:val="0"/>
      <w:marTop w:val="0"/>
      <w:marBottom w:val="0"/>
      <w:divBdr>
        <w:top w:val="none" w:sz="0" w:space="0" w:color="auto"/>
        <w:left w:val="none" w:sz="0" w:space="0" w:color="auto"/>
        <w:bottom w:val="none" w:sz="0" w:space="0" w:color="auto"/>
        <w:right w:val="none" w:sz="0" w:space="0" w:color="auto"/>
      </w:divBdr>
    </w:div>
    <w:div w:id="1019745433">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8350669">
      <w:bodyDiv w:val="1"/>
      <w:marLeft w:val="0"/>
      <w:marRight w:val="0"/>
      <w:marTop w:val="0"/>
      <w:marBottom w:val="0"/>
      <w:divBdr>
        <w:top w:val="none" w:sz="0" w:space="0" w:color="auto"/>
        <w:left w:val="none" w:sz="0" w:space="0" w:color="auto"/>
        <w:bottom w:val="none" w:sz="0" w:space="0" w:color="auto"/>
        <w:right w:val="none" w:sz="0" w:space="0" w:color="auto"/>
      </w:divBdr>
    </w:div>
    <w:div w:id="1155414594">
      <w:bodyDiv w:val="1"/>
      <w:marLeft w:val="0"/>
      <w:marRight w:val="0"/>
      <w:marTop w:val="0"/>
      <w:marBottom w:val="0"/>
      <w:divBdr>
        <w:top w:val="none" w:sz="0" w:space="0" w:color="auto"/>
        <w:left w:val="none" w:sz="0" w:space="0" w:color="auto"/>
        <w:bottom w:val="none" w:sz="0" w:space="0" w:color="auto"/>
        <w:right w:val="none" w:sz="0" w:space="0" w:color="auto"/>
      </w:divBdr>
    </w:div>
    <w:div w:id="1302887581">
      <w:bodyDiv w:val="1"/>
      <w:marLeft w:val="0"/>
      <w:marRight w:val="0"/>
      <w:marTop w:val="0"/>
      <w:marBottom w:val="0"/>
      <w:divBdr>
        <w:top w:val="none" w:sz="0" w:space="0" w:color="auto"/>
        <w:left w:val="none" w:sz="0" w:space="0" w:color="auto"/>
        <w:bottom w:val="none" w:sz="0" w:space="0" w:color="auto"/>
        <w:right w:val="none" w:sz="0" w:space="0" w:color="auto"/>
      </w:divBdr>
    </w:div>
    <w:div w:id="1322739187">
      <w:bodyDiv w:val="1"/>
      <w:marLeft w:val="0"/>
      <w:marRight w:val="0"/>
      <w:marTop w:val="0"/>
      <w:marBottom w:val="0"/>
      <w:divBdr>
        <w:top w:val="none" w:sz="0" w:space="0" w:color="auto"/>
        <w:left w:val="none" w:sz="0" w:space="0" w:color="auto"/>
        <w:bottom w:val="none" w:sz="0" w:space="0" w:color="auto"/>
        <w:right w:val="none" w:sz="0" w:space="0" w:color="auto"/>
      </w:divBdr>
    </w:div>
    <w:div w:id="1340306554">
      <w:bodyDiv w:val="1"/>
      <w:marLeft w:val="0"/>
      <w:marRight w:val="0"/>
      <w:marTop w:val="0"/>
      <w:marBottom w:val="0"/>
      <w:divBdr>
        <w:top w:val="none" w:sz="0" w:space="0" w:color="auto"/>
        <w:left w:val="none" w:sz="0" w:space="0" w:color="auto"/>
        <w:bottom w:val="none" w:sz="0" w:space="0" w:color="auto"/>
        <w:right w:val="none" w:sz="0" w:space="0" w:color="auto"/>
      </w:divBdr>
    </w:div>
    <w:div w:id="1514149114">
      <w:bodyDiv w:val="1"/>
      <w:marLeft w:val="0"/>
      <w:marRight w:val="0"/>
      <w:marTop w:val="0"/>
      <w:marBottom w:val="0"/>
      <w:divBdr>
        <w:top w:val="none" w:sz="0" w:space="0" w:color="auto"/>
        <w:left w:val="none" w:sz="0" w:space="0" w:color="auto"/>
        <w:bottom w:val="none" w:sz="0" w:space="0" w:color="auto"/>
        <w:right w:val="none" w:sz="0" w:space="0" w:color="auto"/>
      </w:divBdr>
    </w:div>
    <w:div w:id="158514126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4311152">
      <w:bodyDiv w:val="1"/>
      <w:marLeft w:val="0"/>
      <w:marRight w:val="0"/>
      <w:marTop w:val="0"/>
      <w:marBottom w:val="0"/>
      <w:divBdr>
        <w:top w:val="none" w:sz="0" w:space="0" w:color="auto"/>
        <w:left w:val="none" w:sz="0" w:space="0" w:color="auto"/>
        <w:bottom w:val="none" w:sz="0" w:space="0" w:color="auto"/>
        <w:right w:val="none" w:sz="0" w:space="0" w:color="auto"/>
      </w:divBdr>
    </w:div>
    <w:div w:id="16431195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4125924">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7658790">
      <w:bodyDiv w:val="1"/>
      <w:marLeft w:val="0"/>
      <w:marRight w:val="0"/>
      <w:marTop w:val="0"/>
      <w:marBottom w:val="0"/>
      <w:divBdr>
        <w:top w:val="none" w:sz="0" w:space="0" w:color="auto"/>
        <w:left w:val="none" w:sz="0" w:space="0" w:color="auto"/>
        <w:bottom w:val="none" w:sz="0" w:space="0" w:color="auto"/>
        <w:right w:val="none" w:sz="0" w:space="0" w:color="auto"/>
      </w:divBdr>
    </w:div>
    <w:div w:id="2110153048">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en/Decisions/9.GA/7" TargetMode="External"/><Relationship Id="rId18" Type="http://schemas.openxmlformats.org/officeDocument/2006/relationships/header" Target="header3.xml"/><Relationship Id="rId26" Type="http://schemas.openxmlformats.org/officeDocument/2006/relationships/hyperlink" Target="https://ich.unesco.org/en/decisions/18.COM/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en/d%C3%A9cisions/12.COM/17?dec=decisions&amp;ref_decision=12.COM" TargetMode="External"/><Relationship Id="rId34" Type="http://schemas.openxmlformats.org/officeDocument/2006/relationships/hyperlink" Target="https://ich.unesco.org/en/decisions/18.COM/15"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hyperlink" Target="https://ich.unesco.org/doc/src/LHE-22-9.GA-7-ES.docx" TargetMode="External"/><Relationship Id="rId33" Type="http://schemas.openxmlformats.org/officeDocument/2006/relationships/hyperlink" Target="https://ich.unesco.org/en/Decisions/14.COM/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ich.unesco.org/en/Decisions/12.COM/13" TargetMode="External"/><Relationship Id="rId29" Type="http://schemas.openxmlformats.org/officeDocument/2006/relationships/hyperlink" Target="https://ich.unesco.org/doc/src/LHE-20-8.GA-Resolutions-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CH-09-2024-EN.doc" TargetMode="External"/><Relationship Id="rId24" Type="http://schemas.openxmlformats.org/officeDocument/2006/relationships/hyperlink" Target="https://ich.unesco.org/es/ong-acreditadas" TargetMode="External"/><Relationship Id="rId32" Type="http://schemas.openxmlformats.org/officeDocument/2006/relationships/hyperlink" Target="https://ich.unesco.org/en/d%C3%A9cisions/12.COM/17?dec=decisions&amp;ref_decision=12.COM"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ich.unesco.org/en/decisions/18.COM/16" TargetMode="External"/><Relationship Id="rId23" Type="http://schemas.openxmlformats.org/officeDocument/2006/relationships/hyperlink" Target="https://ich.unesco.org/doc/src/LHE-20-8.GA-Resolutions-ES.docx" TargetMode="External"/><Relationship Id="rId28" Type="http://schemas.openxmlformats.org/officeDocument/2006/relationships/hyperlink" Target="https://ich.unesco.org/doc/src/LHE-24-10.GA-8_SP.docx" TargetMode="External"/><Relationship Id="rId36" Type="http://schemas.openxmlformats.org/officeDocument/2006/relationships/header" Target="header5.xml"/><Relationship Id="rId10" Type="http://schemas.openxmlformats.org/officeDocument/2006/relationships/hyperlink" Target="https://ich.unesco.org/en/accreditation-of-ngos-01352" TargetMode="External"/><Relationship Id="rId19" Type="http://schemas.openxmlformats.org/officeDocument/2006/relationships/hyperlink" Target="https://ich.unesco.org/doc/src/LHE-22-9.GA-Resolutions-ES.docx" TargetMode="External"/><Relationship Id="rId31" Type="http://schemas.openxmlformats.org/officeDocument/2006/relationships/hyperlink" Target="https://ich.unesco.org/en/Decisions/12.COM/13" TargetMode="External"/><Relationship Id="rId4" Type="http://schemas.openxmlformats.org/officeDocument/2006/relationships/settings" Target="settings.xml"/><Relationship Id="rId9" Type="http://schemas.openxmlformats.org/officeDocument/2006/relationships/hyperlink" Target="https://ich.unesco.org/en/decisions/18.COM/16" TargetMode="External"/><Relationship Id="rId14" Type="http://schemas.openxmlformats.org/officeDocument/2006/relationships/hyperlink" Target="https://ich.unesco.org/en/Decisions/9.GA/7" TargetMode="External"/><Relationship Id="rId22" Type="http://schemas.openxmlformats.org/officeDocument/2006/relationships/hyperlink" Target="https://ich.unesco.org/en/Decisions/14.COM/15" TargetMode="External"/><Relationship Id="rId27" Type="http://schemas.openxmlformats.org/officeDocument/2006/relationships/hyperlink" Target="https://ich.unesco.org/doc/src/LHE-24-10.GA-10-SP.docx" TargetMode="External"/><Relationship Id="rId30" Type="http://schemas.openxmlformats.org/officeDocument/2006/relationships/hyperlink" Target="https://ich.unesco.org/doc/src/LHE-22-9.GA-Resolutions-ES.docx"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10.COM/16" TargetMode="External"/><Relationship Id="rId3" Type="http://schemas.openxmlformats.org/officeDocument/2006/relationships/hyperlink" Target="https://ich.unesco.org/doc/src/ITH-14-5.GA-Resolutions-ES__.doc" TargetMode="External"/><Relationship Id="rId7" Type="http://schemas.openxmlformats.org/officeDocument/2006/relationships/hyperlink" Target="https://ich.unesco.org/doc/src/LHE-22-9.GA-Resolutions-ES.docx" TargetMode="External"/><Relationship Id="rId12" Type="http://schemas.openxmlformats.org/officeDocument/2006/relationships/hyperlink" Target="https://ich.unesco.org/en/decisions/18.COM/16" TargetMode="External"/><Relationship Id="rId2" Type="http://schemas.openxmlformats.org/officeDocument/2006/relationships/hyperlink" Target="https://ich.unesco.org/doc/src/ITH-12-4.GA-Resolutions-ES.doc" TargetMode="External"/><Relationship Id="rId1" Type="http://schemas.openxmlformats.org/officeDocument/2006/relationships/hyperlink" Target="https://ich.unesco.org/doc/src/07003-ES.doc" TargetMode="External"/><Relationship Id="rId6" Type="http://schemas.openxmlformats.org/officeDocument/2006/relationships/hyperlink" Target="https://ich.unesco.org/doc/src/LHE-20-8.GA-Resolutions-ES.docx" TargetMode="External"/><Relationship Id="rId11" Type="http://schemas.openxmlformats.org/officeDocument/2006/relationships/hyperlink" Target="https://ich.unesco.org/en/Decisions/16.COM/15" TargetMode="External"/><Relationship Id="rId5" Type="http://schemas.openxmlformats.org/officeDocument/2006/relationships/hyperlink" Target="https://ich.unesco.org/doc/src/ITH-18-7.GA-Resolutions-ES.docx" TargetMode="External"/><Relationship Id="rId10" Type="http://schemas.openxmlformats.org/officeDocument/2006/relationships/hyperlink" Target="https://ich.unesco.org/en/Decisions/14.COM/17" TargetMode="External"/><Relationship Id="rId4" Type="http://schemas.openxmlformats.org/officeDocument/2006/relationships/hyperlink" Target="https://ich.unesco.org/doc/src/ITH-16_6.GA-Resolutions_SP.docx" TargetMode="External"/><Relationship Id="rId9" Type="http://schemas.openxmlformats.org/officeDocument/2006/relationships/hyperlink" Target="https://ich.unesco.org/en/Decisions/12.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Figura 1. Distribución geográfica de las ONG acreditadas</a:t>
            </a:r>
          </a:p>
          <a:p>
            <a:pPr>
              <a:defRPr sz="1400" b="0" i="0" u="none" strike="noStrike" kern="1200" spc="0" baseline="0">
                <a:solidFill>
                  <a:schemeClr val="tx1">
                    <a:lumMod val="65000"/>
                    <a:lumOff val="35000"/>
                  </a:schemeClr>
                </a:solidFill>
                <a:latin typeface="+mn-lt"/>
                <a:ea typeface="+mn-ea"/>
                <a:cs typeface="+mn-cs"/>
              </a:defRPr>
            </a:pPr>
            <a:r>
              <a:rPr lang="es-ES" sz="1200"/>
              <a:t>(206 en total </a:t>
            </a:r>
            <a:r>
              <a:rPr lang="es-ES" sz="1200" b="0" i="0" u="none" strike="noStrike">
                <a:solidFill>
                  <a:sysClr val="windowText" lastClr="000000">
                    <a:lumMod val="65000"/>
                    <a:lumOff val="35000"/>
                  </a:sysClr>
                </a:solidFill>
              </a:rPr>
              <a:t>en 2023</a:t>
            </a:r>
            <a:r>
              <a:rPr lang="es-ES" sz="1200"/>
              <a:t>)</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Distribución geográfica de las ONG acreditadas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E628-4754-ABFE-A23719613F9F}"/>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E628-4754-ABFE-A23719613F9F}"/>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E628-4754-ABFE-A23719613F9F}"/>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E628-4754-ABFE-A23719613F9F}"/>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E628-4754-ABFE-A23719613F9F}"/>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E628-4754-ABFE-A23719613F9F}"/>
              </c:ext>
            </c:extLst>
          </c:dPt>
          <c:dLbls>
            <c:dLbl>
              <c:idx val="0"/>
              <c:tx>
                <c:rich>
                  <a:bodyPr/>
                  <a:lstStyle/>
                  <a:p>
                    <a:r>
                      <a:rPr lang="en-US" sz="900" b="0" i="0" u="none" strike="noStrike" baseline="0">
                        <a:effectLst/>
                      </a:rPr>
                      <a:t>Grupo I</a:t>
                    </a:r>
                    <a:r>
                      <a:rPr lang="en-US" baseline="0"/>
                      <a:t>
</a:t>
                    </a:r>
                    <a:fld id="{1C985007-4B27-4207-8195-B86F76C4EA3B}" type="PERCENTAGE">
                      <a:rPr lang="en-US" baseline="0"/>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628-4754-ABFE-A23719613F9F}"/>
                </c:ext>
              </c:extLst>
            </c:dLbl>
            <c:dLbl>
              <c:idx val="1"/>
              <c:layout>
                <c:manualLayout>
                  <c:x val="3.1298904538341159E-2"/>
                  <c:y val="1.1750881316098707E-2"/>
                </c:manualLayout>
              </c:layout>
              <c:tx>
                <c:rich>
                  <a:bodyPr/>
                  <a:lstStyle/>
                  <a:p>
                    <a:r>
                      <a:rPr lang="en-US" sz="900" b="0" i="0" u="none" strike="noStrike" baseline="0">
                        <a:effectLst/>
                      </a:rPr>
                      <a:t>Grupo II</a:t>
                    </a:r>
                    <a:r>
                      <a:rPr lang="en-US" baseline="0"/>
                      <a:t>
</a:t>
                    </a:r>
                    <a:fld id="{4CC740F6-9518-412C-B7FB-25EFF6123A8A}"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628-4754-ABFE-A23719613F9F}"/>
                </c:ext>
              </c:extLst>
            </c:dLbl>
            <c:dLbl>
              <c:idx val="2"/>
              <c:layout>
                <c:manualLayout>
                  <c:x val="-1.1700011700011743E-2"/>
                  <c:y val="-1.4388489208633094E-2"/>
                </c:manualLayout>
              </c:layout>
              <c:tx>
                <c:rich>
                  <a:bodyPr/>
                  <a:lstStyle/>
                  <a:p>
                    <a:r>
                      <a:rPr lang="en-US" sz="900" b="0" i="0" u="none" strike="noStrike" baseline="0">
                        <a:effectLst/>
                      </a:rPr>
                      <a:t>Grupo III</a:t>
                    </a:r>
                    <a:r>
                      <a:rPr lang="en-US" baseline="0"/>
                      <a:t>
</a:t>
                    </a:r>
                    <a:fld id="{53E89CFE-93AA-4108-85B1-C5A07136F7F1}"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628-4754-ABFE-A23719613F9F}"/>
                </c:ext>
              </c:extLst>
            </c:dLbl>
            <c:dLbl>
              <c:idx val="3"/>
              <c:tx>
                <c:rich>
                  <a:bodyPr/>
                  <a:lstStyle/>
                  <a:p>
                    <a:r>
                      <a:rPr lang="en-US" sz="900" b="0" i="0" u="none" strike="noStrike" baseline="0">
                        <a:effectLst/>
                      </a:rPr>
                      <a:t>Grupo IV</a:t>
                    </a:r>
                    <a:r>
                      <a:rPr lang="en-US" baseline="0"/>
                      <a:t>
</a:t>
                    </a:r>
                    <a:fld id="{08CFFEF3-4F8A-4E8B-9971-2556A0DEECEC}" type="PERCENTAGE">
                      <a:rPr lang="en-US" baseline="0"/>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628-4754-ABFE-A23719613F9F}"/>
                </c:ext>
              </c:extLst>
            </c:dLbl>
            <c:dLbl>
              <c:idx val="4"/>
              <c:tx>
                <c:rich>
                  <a:bodyPr/>
                  <a:lstStyle/>
                  <a:p>
                    <a:r>
                      <a:rPr lang="en-US" sz="900" b="0" i="0" u="none" strike="noStrike" baseline="0">
                        <a:effectLst/>
                      </a:rPr>
                      <a:t>Grupo  V(a)</a:t>
                    </a:r>
                    <a:r>
                      <a:rPr lang="en-US" baseline="0"/>
                      <a:t>
</a:t>
                    </a:r>
                    <a:fld id="{B4926F40-1E0A-4DD4-92D1-A5047D645368}" type="PERCENTAGE">
                      <a:rPr lang="en-US" baseline="0"/>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628-4754-ABFE-A23719613F9F}"/>
                </c:ext>
              </c:extLst>
            </c:dLbl>
            <c:dLbl>
              <c:idx val="5"/>
              <c:layout>
                <c:manualLayout>
                  <c:x val="4.0509995838819174E-2"/>
                  <c:y val="5.8754406580493537E-3"/>
                </c:manualLayout>
              </c:layout>
              <c:tx>
                <c:rich>
                  <a:bodyPr/>
                  <a:lstStyle/>
                  <a:p>
                    <a:r>
                      <a:rPr lang="en-US"/>
                      <a:t>Grupo V(b)</a:t>
                    </a:r>
                    <a:r>
                      <a:rPr lang="en-US" baseline="0"/>
                      <a:t>
</a:t>
                    </a:r>
                    <a:fld id="{A5B1BEE3-87DB-4944-B6BD-46F069BFA9A5}"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628-4754-ABFE-A23719613F9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Grupo I</c:v>
                </c:pt>
                <c:pt idx="1">
                  <c:v>Grupo II</c:v>
                </c:pt>
                <c:pt idx="2">
                  <c:v>Grupo III</c:v>
                </c:pt>
                <c:pt idx="3">
                  <c:v>Grupo IV</c:v>
                </c:pt>
                <c:pt idx="4">
                  <c:v>Grupo V a)</c:v>
                </c:pt>
                <c:pt idx="5">
                  <c:v>Grupo V b)</c:v>
                </c:pt>
              </c:strCache>
            </c:strRef>
          </c:cat>
          <c:val>
            <c:numRef>
              <c:f>Sheet1!$B$2:$B$7</c:f>
              <c:numCache>
                <c:formatCode>General</c:formatCode>
                <c:ptCount val="6"/>
                <c:pt idx="0">
                  <c:v>108</c:v>
                </c:pt>
                <c:pt idx="1">
                  <c:v>21</c:v>
                </c:pt>
                <c:pt idx="2">
                  <c:v>14</c:v>
                </c:pt>
                <c:pt idx="3">
                  <c:v>28</c:v>
                </c:pt>
                <c:pt idx="4">
                  <c:v>25</c:v>
                </c:pt>
                <c:pt idx="5" formatCode="0">
                  <c:v>10</c:v>
                </c:pt>
              </c:numCache>
            </c:numRef>
          </c:val>
          <c:extLst>
            <c:ext xmlns:c16="http://schemas.microsoft.com/office/drawing/2014/chart" uri="{C3380CC4-5D6E-409C-BE32-E72D297353CC}">
              <c16:uniqueId val="{0000000C-E628-4754-ABFE-A23719613F9F}"/>
            </c:ext>
          </c:extLst>
        </c:ser>
        <c:dLbls>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0.12520054711470927"/>
          <c:y val="0.89858089015468812"/>
          <c:w val="0.74959871619514518"/>
          <c:h val="9.57453509800636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b="0" i="0" u="none" strike="noStrike">
                <a:solidFill>
                  <a:sysClr val="windowText" lastClr="000000">
                    <a:lumMod val="65000"/>
                    <a:lumOff val="35000"/>
                  </a:sysClr>
                </a:solidFill>
              </a:rPr>
              <a:t>Figura 2: Distribución geográfica de las ONG propuestas para su acreditación por la 10. GA en 2024</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Distribución geográfica de las ONG acreditadas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6340-4B3A-BFB6-CB56F6DAABED}"/>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6340-4B3A-BFB6-CB56F6DAABED}"/>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6340-4B3A-BFB6-CB56F6DAABED}"/>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6340-4B3A-BFB6-CB56F6DAABED}"/>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6340-4B3A-BFB6-CB56F6DAABED}"/>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6340-4B3A-BFB6-CB56F6DAABED}"/>
              </c:ext>
            </c:extLst>
          </c:dPt>
          <c:dLbls>
            <c:dLbl>
              <c:idx val="0"/>
              <c:tx>
                <c:rich>
                  <a:bodyPr/>
                  <a:lstStyle/>
                  <a:p>
                    <a:r>
                      <a:rPr lang="en-US" sz="900" b="0" i="0" u="none" strike="noStrike" baseline="0">
                        <a:effectLst/>
                      </a:rPr>
                      <a:t>Grupo I</a:t>
                    </a:r>
                    <a:r>
                      <a:rPr lang="en-US" baseline="0"/>
                      <a:t>
</a:t>
                    </a:r>
                    <a:fld id="{FAA93680-4C6F-4B1F-AD23-52186323A4A5}" type="PERCENTAGE">
                      <a:rPr lang="en-US" baseline="0"/>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40-4B3A-BFB6-CB56F6DAABED}"/>
                </c:ext>
              </c:extLst>
            </c:dLbl>
            <c:dLbl>
              <c:idx val="1"/>
              <c:layout>
                <c:manualLayout>
                  <c:x val="1.7519709673382556E-2"/>
                  <c:y val="-9.3742676353409885E-3"/>
                </c:manualLayout>
              </c:layout>
              <c:tx>
                <c:rich>
                  <a:bodyPr/>
                  <a:lstStyle/>
                  <a:p>
                    <a:r>
                      <a:rPr lang="en-US" sz="900" b="0" i="0" u="none" strike="noStrike" baseline="0">
                        <a:effectLst/>
                      </a:rPr>
                      <a:t>Grupo II</a:t>
                    </a:r>
                    <a:r>
                      <a:rPr lang="en-US" baseline="0"/>
                      <a:t>
</a:t>
                    </a:r>
                    <a:fld id="{6A29B9A6-6238-4941-9184-E4176EBAD959}"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340-4B3A-BFB6-CB56F6DAABED}"/>
                </c:ext>
              </c:extLst>
            </c:dLbl>
            <c:dLbl>
              <c:idx val="2"/>
              <c:layout>
                <c:manualLayout>
                  <c:x val="-1.1700011700011743E-2"/>
                  <c:y val="-1.4388489208633094E-2"/>
                </c:manualLayout>
              </c:layout>
              <c:tx>
                <c:rich>
                  <a:bodyPr/>
                  <a:lstStyle/>
                  <a:p>
                    <a:r>
                      <a:rPr lang="en-US" sz="900" b="0" i="0" u="none" strike="noStrike" baseline="0">
                        <a:effectLst/>
                      </a:rPr>
                      <a:t>Grupo III</a:t>
                    </a:r>
                    <a:r>
                      <a:rPr lang="en-US" baseline="0"/>
                      <a:t>
</a:t>
                    </a:r>
                    <a:fld id="{F05766DF-3540-4A39-B218-9304CA42EB26}"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40-4B3A-BFB6-CB56F6DAABED}"/>
                </c:ext>
              </c:extLst>
            </c:dLbl>
            <c:dLbl>
              <c:idx val="3"/>
              <c:tx>
                <c:rich>
                  <a:bodyPr/>
                  <a:lstStyle/>
                  <a:p>
                    <a:r>
                      <a:rPr lang="en-US" sz="900" b="0" i="0" u="none" strike="noStrike" baseline="0">
                        <a:effectLst/>
                      </a:rPr>
                      <a:t>Grupo IV</a:t>
                    </a:r>
                    <a:r>
                      <a:rPr lang="en-US" baseline="0"/>
                      <a:t>
</a:t>
                    </a:r>
                    <a:fld id="{8CFAB8B6-AC5B-4AA7-923B-D3E6DC30D6D8}" type="PERCENTAGE">
                      <a:rPr lang="en-US" baseline="0"/>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40-4B3A-BFB6-CB56F6DAABED}"/>
                </c:ext>
              </c:extLst>
            </c:dLbl>
            <c:dLbl>
              <c:idx val="4"/>
              <c:layout>
                <c:manualLayout>
                  <c:x val="-1.0011262670504317E-2"/>
                  <c:y val="4.6871338176704943E-3"/>
                </c:manualLayout>
              </c:layout>
              <c:tx>
                <c:rich>
                  <a:bodyPr/>
                  <a:lstStyle/>
                  <a:p>
                    <a:r>
                      <a:rPr lang="en-US" sz="900" b="0" i="0" u="none" strike="noStrike" baseline="0">
                        <a:effectLst/>
                      </a:rPr>
                      <a:t>Grupo V(a)</a:t>
                    </a:r>
                    <a:r>
                      <a:rPr lang="en-US" baseline="0"/>
                      <a:t>
</a:t>
                    </a:r>
                    <a:fld id="{7F31FF75-1A0B-4401-840D-82E1B6982626}"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340-4B3A-BFB6-CB56F6DAABED}"/>
                </c:ext>
              </c:extLst>
            </c:dLbl>
            <c:dLbl>
              <c:idx val="5"/>
              <c:layout>
                <c:manualLayout>
                  <c:x val="5.8410593807797555E-2"/>
                  <c:y val="4.6871338176704943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baseline="0">
                        <a:effectLst/>
                      </a:rPr>
                      <a:t>Grupo</a:t>
                    </a:r>
                    <a:r>
                      <a:rPr lang="en-US"/>
                      <a:t> V(b)</a:t>
                    </a:r>
                    <a:r>
                      <a:rPr lang="en-US" baseline="0"/>
                      <a:t>
</a:t>
                    </a:r>
                    <a:fld id="{A5B1BEE3-87DB-4944-B6BD-46F069BFA9A5}" type="PERCENTAGE">
                      <a:rPr lang="en-US" baseline="0"/>
                      <a:pPr>
                        <a:defRPr sz="900" b="0" i="0" u="none" strike="noStrike" kern="1200" baseline="0">
                          <a:solidFill>
                            <a:schemeClr val="dk1">
                              <a:lumMod val="65000"/>
                              <a:lumOff val="35000"/>
                            </a:schemeClr>
                          </a:solidFill>
                          <a:latin typeface="+mn-lt"/>
                          <a:ea typeface="+mn-ea"/>
                          <a:cs typeface="+mn-cs"/>
                        </a:defRPr>
                      </a:pPr>
                      <a:t>[POURCENTAGE]</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0485"/>
                        <a:gd name="adj2" fmla="val 65630"/>
                      </a:avLst>
                    </a:prstGeom>
                  </c15:spPr>
                  <c15:dlblFieldTable/>
                  <c15:showDataLabelsRange val="0"/>
                </c:ext>
                <c:ext xmlns:c16="http://schemas.microsoft.com/office/drawing/2014/chart" uri="{C3380CC4-5D6E-409C-BE32-E72D297353CC}">
                  <c16:uniqueId val="{0000000B-6340-4B3A-BFB6-CB56F6DAAB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Grupo I</c:v>
                </c:pt>
                <c:pt idx="1">
                  <c:v>Grupo II</c:v>
                </c:pt>
                <c:pt idx="2">
                  <c:v>Grupo III</c:v>
                </c:pt>
                <c:pt idx="3">
                  <c:v>Grupo IV</c:v>
                </c:pt>
                <c:pt idx="4">
                  <c:v>Grupo V a)</c:v>
                </c:pt>
                <c:pt idx="5">
                  <c:v>Grupo V b)</c:v>
                </c:pt>
              </c:strCache>
            </c:strRef>
          </c:cat>
          <c:val>
            <c:numRef>
              <c:f>Sheet1!$B$2:$B$7</c:f>
              <c:numCache>
                <c:formatCode>General</c:formatCode>
                <c:ptCount val="6"/>
                <c:pt idx="0">
                  <c:v>22</c:v>
                </c:pt>
                <c:pt idx="1">
                  <c:v>7</c:v>
                </c:pt>
                <c:pt idx="2">
                  <c:v>13</c:v>
                </c:pt>
                <c:pt idx="3">
                  <c:v>8</c:v>
                </c:pt>
                <c:pt idx="4">
                  <c:v>2</c:v>
                </c:pt>
                <c:pt idx="5" formatCode="0">
                  <c:v>6</c:v>
                </c:pt>
              </c:numCache>
            </c:numRef>
          </c:val>
          <c:extLst>
            <c:ext xmlns:c16="http://schemas.microsoft.com/office/drawing/2014/chart" uri="{C3380CC4-5D6E-409C-BE32-E72D297353CC}">
              <c16:uniqueId val="{0000000C-6340-4B3A-BFB6-CB56F6DAABED}"/>
            </c:ext>
          </c:extLst>
        </c:ser>
        <c:dLbls>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0.11037929481690524"/>
          <c:y val="0.9021555279576462"/>
          <c:w val="0.77924121329408969"/>
          <c:h val="7.90959367716719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169</TotalTime>
  <Pages>13</Pages>
  <Words>4065</Words>
  <Characters>23665</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25</cp:revision>
  <cp:lastPrinted>2024-04-29T17:09:00Z</cp:lastPrinted>
  <dcterms:created xsi:type="dcterms:W3CDTF">2024-05-10T07:50:00Z</dcterms:created>
  <dcterms:modified xsi:type="dcterms:W3CDTF">2024-06-05T18:29:00Z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9d6662073d0d83121d69ee39da3fc8231318cb79b1890d49e38be5a33a12968d</vt:lpwstr>
  </property>
</Properties>
</file>