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6D3C" w14:textId="7A3A5BE5" w:rsidR="00655736" w:rsidRPr="00936D1C" w:rsidRDefault="00655736" w:rsidP="00655736">
      <w:pPr>
        <w:spacing w:before="1440"/>
        <w:jc w:val="center"/>
        <w:rPr>
          <w:rFonts w:asciiTheme="minorBidi" w:hAnsiTheme="minorBidi" w:cstheme="minorBidi"/>
          <w:b/>
          <w:sz w:val="22"/>
          <w:szCs w:val="22"/>
        </w:rPr>
      </w:pPr>
      <w:r w:rsidRPr="00936D1C">
        <w:rPr>
          <w:rFonts w:asciiTheme="minorBidi" w:hAnsiTheme="minorBidi" w:cstheme="minorBidi"/>
          <w:b/>
          <w:bCs/>
          <w:sz w:val="22"/>
          <w:szCs w:val="22"/>
        </w:rPr>
        <w:t xml:space="preserve">КОНВЕНЦИЯ ОБ ОХРАНЕ </w:t>
      </w:r>
      <w:bookmarkStart w:id="0" w:name="_Hlk105184981"/>
      <w:bookmarkEnd w:id="0"/>
      <w:r w:rsidR="00791AF8">
        <w:rPr>
          <w:rFonts w:asciiTheme="minorBidi" w:hAnsiTheme="minorBidi" w:cstheme="minorBidi"/>
          <w:b/>
          <w:bCs/>
          <w:sz w:val="22"/>
          <w:szCs w:val="22"/>
        </w:rPr>
        <w:br/>
      </w:r>
      <w:r w:rsidRPr="00936D1C">
        <w:rPr>
          <w:rFonts w:asciiTheme="minorBidi" w:hAnsiTheme="minorBidi" w:cstheme="minorBidi"/>
          <w:b/>
          <w:bCs/>
          <w:sz w:val="22"/>
          <w:szCs w:val="22"/>
        </w:rPr>
        <w:t>НЕМАТЕРИАЛЬНОГО КУЛЬТУРНОГО НАСЛЕДИЯ</w:t>
      </w:r>
    </w:p>
    <w:p w14:paraId="2CDB5643" w14:textId="11C567E3" w:rsidR="00655736" w:rsidRPr="00132C8D" w:rsidRDefault="00D95C4C" w:rsidP="00655736">
      <w:pPr>
        <w:spacing w:before="1200"/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/>
          <w:b/>
          <w:sz w:val="22"/>
        </w:rPr>
        <w:t>ГЕНЕРАЛЬНАЯ АССАМБЛЕЯ ГОСУДАРСТВ</w:t>
      </w:r>
      <w:r w:rsidR="00791AF8" w:rsidRPr="002402C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Theme="minorBidi" w:hAnsiTheme="minorBidi"/>
          <w:b/>
          <w:sz w:val="22"/>
        </w:rPr>
        <w:t>УЧАСТНИКОВ КОНВЕНЦИИ</w:t>
      </w:r>
    </w:p>
    <w:p w14:paraId="75891C68" w14:textId="2AEF6235" w:rsidR="00D95C4C" w:rsidRPr="00132C8D" w:rsidRDefault="00CA01BD" w:rsidP="00D95C4C">
      <w:pPr>
        <w:spacing w:before="840"/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/>
          <w:b/>
          <w:sz w:val="22"/>
        </w:rPr>
        <w:t>Десятая сессия</w:t>
      </w:r>
    </w:p>
    <w:p w14:paraId="2813BA58" w14:textId="77777777" w:rsidR="00D95C4C" w:rsidRPr="00132C8D" w:rsidRDefault="00D95C4C" w:rsidP="00D95C4C">
      <w:pPr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/>
          <w:b/>
          <w:sz w:val="22"/>
        </w:rPr>
        <w:t>Штаб-квартира ЮНЕСКО, зал I</w:t>
      </w:r>
    </w:p>
    <w:p w14:paraId="17E07F7D" w14:textId="2C40B710" w:rsidR="00655736" w:rsidRPr="00791AF8" w:rsidRDefault="004D2992" w:rsidP="00D95C4C">
      <w:pPr>
        <w:jc w:val="center"/>
        <w:rPr>
          <w:rFonts w:asciiTheme="minorBidi" w:hAnsiTheme="minorBidi" w:cstheme="minorBidi"/>
          <w:b/>
          <w:sz w:val="22"/>
          <w:szCs w:val="22"/>
        </w:rPr>
      </w:pPr>
      <w:proofErr w:type="gramStart"/>
      <w:r>
        <w:rPr>
          <w:rFonts w:asciiTheme="minorBidi" w:hAnsiTheme="minorBidi"/>
          <w:b/>
          <w:sz w:val="22"/>
        </w:rPr>
        <w:t>11</w:t>
      </w:r>
      <w:r w:rsidR="00791AF8" w:rsidRPr="00922334">
        <w:rPr>
          <w:rFonts w:asciiTheme="minorBidi" w:hAnsiTheme="minorBidi"/>
          <w:b/>
          <w:sz w:val="22"/>
        </w:rPr>
        <w:t xml:space="preserve"> </w:t>
      </w:r>
      <w:bookmarkStart w:id="1" w:name="_Hlk165975875"/>
      <w:r w:rsidR="00791AF8" w:rsidRPr="00EA0225">
        <w:rPr>
          <w:rFonts w:ascii="Arial" w:hAnsi="Arial" w:cs="Arial"/>
          <w:b/>
          <w:sz w:val="22"/>
          <w:szCs w:val="22"/>
        </w:rPr>
        <w:t>–</w:t>
      </w:r>
      <w:bookmarkEnd w:id="1"/>
      <w:r w:rsidR="00791AF8" w:rsidRPr="00922334">
        <w:rPr>
          <w:rFonts w:ascii="Arial" w:hAnsi="Arial" w:cs="Arial"/>
          <w:b/>
          <w:sz w:val="22"/>
          <w:szCs w:val="22"/>
        </w:rPr>
        <w:t xml:space="preserve"> </w:t>
      </w:r>
      <w:r w:rsidR="00260DA7">
        <w:rPr>
          <w:rFonts w:asciiTheme="minorBidi" w:hAnsiTheme="minorBidi"/>
          <w:b/>
          <w:sz w:val="22"/>
        </w:rPr>
        <w:t>1</w:t>
      </w:r>
      <w:r w:rsidR="00260DA7" w:rsidRPr="00695E8F">
        <w:rPr>
          <w:rFonts w:asciiTheme="minorBidi" w:hAnsiTheme="minorBidi"/>
          <w:b/>
          <w:sz w:val="22"/>
        </w:rPr>
        <w:t>2</w:t>
      </w:r>
      <w:proofErr w:type="gramEnd"/>
      <w:r w:rsidR="00260DA7">
        <w:rPr>
          <w:rFonts w:asciiTheme="minorBidi" w:hAnsiTheme="minorBidi"/>
          <w:b/>
          <w:sz w:val="22"/>
        </w:rPr>
        <w:t xml:space="preserve"> </w:t>
      </w:r>
      <w:r>
        <w:rPr>
          <w:rFonts w:asciiTheme="minorBidi" w:hAnsiTheme="minorBidi"/>
          <w:b/>
          <w:sz w:val="22"/>
        </w:rPr>
        <w:t>июня 2024 г</w:t>
      </w:r>
      <w:r w:rsidR="00791AF8" w:rsidRPr="00791AF8">
        <w:rPr>
          <w:rFonts w:asciiTheme="minorBidi" w:hAnsiTheme="minorBidi"/>
          <w:b/>
          <w:sz w:val="22"/>
        </w:rPr>
        <w:t>.</w:t>
      </w:r>
    </w:p>
    <w:p w14:paraId="1A8796C2" w14:textId="31C0F2EE" w:rsidR="00655736" w:rsidRPr="00132C8D" w:rsidRDefault="00655736" w:rsidP="00655736">
      <w:pPr>
        <w:pStyle w:val="Sansinterligne2"/>
        <w:spacing w:before="1200"/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/>
          <w:b/>
          <w:sz w:val="22"/>
          <w:u w:val="single"/>
        </w:rPr>
        <w:t>Пункт 9 предварительной повестки дня</w:t>
      </w:r>
      <w:r>
        <w:rPr>
          <w:rFonts w:asciiTheme="minorBidi" w:hAnsiTheme="minorBidi"/>
          <w:b/>
          <w:sz w:val="22"/>
        </w:rPr>
        <w:t>:</w:t>
      </w:r>
    </w:p>
    <w:p w14:paraId="5EAF5ABB" w14:textId="49F297B8" w:rsidR="002F312A" w:rsidRPr="00132C8D" w:rsidRDefault="00FB6051" w:rsidP="00141104">
      <w:pPr>
        <w:pStyle w:val="Sansinterligne2"/>
        <w:spacing w:after="1200"/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/>
          <w:b/>
          <w:sz w:val="22"/>
        </w:rPr>
        <w:t>Аккредитация неправительственных организаций для выполнения консультативных функций при Комитете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55736" w:rsidRPr="00132C8D" w14:paraId="796B6D01" w14:textId="77777777" w:rsidTr="007A6B7A">
        <w:trPr>
          <w:jc w:val="center"/>
        </w:trPr>
        <w:tc>
          <w:tcPr>
            <w:tcW w:w="5669" w:type="dxa"/>
            <w:vAlign w:val="center"/>
          </w:tcPr>
          <w:p w14:paraId="5452505D" w14:textId="374CE025" w:rsidR="00972FCE" w:rsidRDefault="00791AF8" w:rsidP="00132C8D">
            <w:pPr>
              <w:pStyle w:val="Sansinterligne1"/>
              <w:spacing w:before="120" w:after="12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683631">
              <w:rPr>
                <w:rFonts w:ascii="Arial" w:hAnsi="Arial"/>
                <w:b/>
                <w:sz w:val="22"/>
              </w:rPr>
              <w:t>Содержание</w:t>
            </w:r>
          </w:p>
          <w:p w14:paraId="3C4D0EBE" w14:textId="007834A6" w:rsidR="00132C8D" w:rsidRPr="00132C8D" w:rsidRDefault="00132C8D" w:rsidP="00132C8D">
            <w:pPr>
              <w:pStyle w:val="pf0"/>
              <w:spacing w:before="120" w:beforeAutospacing="0" w:after="120" w:afterAutospacing="0"/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В настоящем документе представлены пятьдесят восемь заявок от новых неправительственных организаций (НПО) на получение аккредитации для выполнения консультативных функций в Комитете в соответствии с рекомендациями его восемнадцатой сессии.</w:t>
            </w:r>
          </w:p>
          <w:p w14:paraId="7D45CA36" w14:textId="4228433F" w:rsidR="00655736" w:rsidRPr="00132C8D" w:rsidRDefault="00FB6630" w:rsidP="00132C8D">
            <w:pPr>
              <w:spacing w:before="120" w:after="12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Требуемое решение:</w:t>
            </w:r>
            <w:r>
              <w:rPr>
                <w:rFonts w:asciiTheme="minorBidi" w:hAnsiTheme="minorBidi"/>
                <w:sz w:val="22"/>
              </w:rPr>
              <w:t xml:space="preserve"> параграф 6</w:t>
            </w:r>
          </w:p>
        </w:tc>
      </w:tr>
    </w:tbl>
    <w:p w14:paraId="4DF53EDE" w14:textId="4146CC9E" w:rsidR="00391AC6" w:rsidRPr="00695E8F" w:rsidRDefault="00972FCE" w:rsidP="00E35D26">
      <w:pPr>
        <w:rPr>
          <w:rFonts w:asciiTheme="minorBidi" w:hAnsiTheme="minorBidi" w:cstheme="minorBidi"/>
          <w:b/>
          <w:bCs/>
          <w:sz w:val="22"/>
          <w:szCs w:val="22"/>
        </w:rPr>
      </w:pPr>
      <w:r>
        <w:br w:type="page"/>
      </w:r>
      <w:r w:rsidRPr="00695E8F">
        <w:rPr>
          <w:rFonts w:asciiTheme="minorBidi" w:hAnsiTheme="minorBidi"/>
          <w:b/>
          <w:sz w:val="22"/>
          <w:szCs w:val="22"/>
        </w:rPr>
        <w:lastRenderedPageBreak/>
        <w:t>Введение</w:t>
      </w:r>
    </w:p>
    <w:p w14:paraId="6CE498AF" w14:textId="7E59707F" w:rsidR="00D51826" w:rsidRPr="00781F65" w:rsidRDefault="00B8078F" w:rsidP="006B05B0">
      <w:pPr>
        <w:pStyle w:val="COMTitleDecision"/>
        <w:keepNext w:val="0"/>
        <w:widowControl w:val="0"/>
        <w:numPr>
          <w:ilvl w:val="0"/>
          <w:numId w:val="20"/>
        </w:numPr>
        <w:spacing w:before="120"/>
        <w:rPr>
          <w:rFonts w:asciiTheme="minorBidi" w:hAnsiTheme="minorBidi" w:cstheme="minorBidi"/>
          <w:b w:val="0"/>
        </w:rPr>
      </w:pPr>
      <w:r w:rsidRPr="00781F65">
        <w:rPr>
          <w:rFonts w:asciiTheme="minorBidi" w:hAnsiTheme="minorBidi"/>
          <w:b w:val="0"/>
        </w:rPr>
        <w:t>Статья 9.1 Конвенции требует, чтобы Комитет предложил Генеральной Ассамблее аккредитовать неправительственные организации (НПО) с признанной компетенцией в области нематериального культурного наследия для работы в качестве консультантов при Комитете. Критерии и условия такой аккредитации включены в главу III.2.2 Оперативного руководства (параграфы 91</w:t>
      </w:r>
      <w:r w:rsidR="00BC18A2" w:rsidRPr="00BC18A2">
        <w:rPr>
          <w:b w:val="0"/>
          <w:bCs/>
          <w:sz w:val="20"/>
        </w:rPr>
        <w:t>–</w:t>
      </w:r>
      <w:r w:rsidRPr="00781F65">
        <w:rPr>
          <w:rFonts w:asciiTheme="minorBidi" w:hAnsiTheme="minorBidi"/>
          <w:b w:val="0"/>
        </w:rPr>
        <w:t>99). На сегодняшний день Генеральная Ассамблея аккредитовала 300 организаций.</w:t>
      </w:r>
      <w:r w:rsidR="004368A3" w:rsidRPr="00781F65">
        <w:rPr>
          <w:rStyle w:val="Appelnotedebasdep"/>
          <w:rFonts w:asciiTheme="minorBidi" w:hAnsiTheme="minorBidi" w:cstheme="minorBidi"/>
          <w:b w:val="0"/>
          <w:snapToGrid w:val="0"/>
          <w:lang w:val="en-GB" w:eastAsia="en-US"/>
        </w:rPr>
        <w:footnoteReference w:id="1"/>
      </w:r>
    </w:p>
    <w:p w14:paraId="4EDFF711" w14:textId="0A45BAEA" w:rsidR="00B715A7" w:rsidRPr="00781F65" w:rsidRDefault="00361D79" w:rsidP="007050D1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asciiTheme="minorBidi" w:hAnsiTheme="minorBidi" w:cstheme="minorBidi"/>
          <w:b w:val="0"/>
        </w:rPr>
      </w:pPr>
      <w:r w:rsidRPr="00781F65">
        <w:rPr>
          <w:rFonts w:asciiTheme="minorBidi" w:hAnsiTheme="minorBidi"/>
          <w:b w:val="0"/>
        </w:rPr>
        <w:t>Вклад и обязательства аккредитованных НПО подлежат рассмотрению Комитетом каждые четыре года после аккредитации в соответствии с условиями и процедурами, определенными в главе III.2.2 Оперативного руководства (параграфы 92</w:t>
      </w:r>
      <w:r w:rsidR="00BC18A2" w:rsidRPr="00BC18A2">
        <w:rPr>
          <w:rFonts w:asciiTheme="minorBidi" w:hAnsiTheme="minorBidi"/>
          <w:b w:val="0"/>
        </w:rPr>
        <w:t>–</w:t>
      </w:r>
      <w:r w:rsidRPr="00781F65">
        <w:rPr>
          <w:rFonts w:asciiTheme="minorBidi" w:hAnsiTheme="minorBidi"/>
          <w:b w:val="0"/>
        </w:rPr>
        <w:t xml:space="preserve">95). В результате такого рассмотрения Комитет может принять решение о сохранении или прекращении отношений с соответствующими НПО. В соответствии с решениями Комитета в этой области, принятыми за последние циклы работы, в настоящее время </w:t>
      </w:r>
      <w:r w:rsidR="00C01618" w:rsidRPr="00781F65">
        <w:rPr>
          <w:rStyle w:val="Appelnotedebasdep"/>
          <w:rFonts w:asciiTheme="minorBidi" w:hAnsiTheme="minorBidi" w:cstheme="minorBidi"/>
          <w:b w:val="0"/>
          <w:snapToGrid w:val="0"/>
          <w:lang w:val="en-GB" w:eastAsia="en-US"/>
        </w:rPr>
        <w:footnoteReference w:id="2"/>
      </w:r>
      <w:r w:rsidRPr="00781F65">
        <w:rPr>
          <w:rFonts w:asciiTheme="minorBidi" w:hAnsiTheme="minorBidi"/>
          <w:b w:val="0"/>
        </w:rPr>
        <w:t xml:space="preserve"> 206 </w:t>
      </w:r>
      <w:r w:rsidRPr="00781F65">
        <w:rPr>
          <w:rFonts w:asciiTheme="minorBidi" w:hAnsiTheme="minorBidi"/>
          <w:b w:val="0"/>
          <w:snapToGrid w:val="0"/>
        </w:rPr>
        <w:t xml:space="preserve">НПО аккредитованы для выполнения консультативных функций при Комитете. Их </w:t>
      </w:r>
      <w:r w:rsidRPr="00781F65">
        <w:rPr>
          <w:rFonts w:asciiTheme="minorBidi" w:hAnsiTheme="minorBidi"/>
          <w:b w:val="0"/>
        </w:rPr>
        <w:t>географическое</w:t>
      </w:r>
      <w:r w:rsidRPr="00781F65">
        <w:rPr>
          <w:rFonts w:asciiTheme="minorBidi" w:hAnsiTheme="minorBidi"/>
          <w:b w:val="0"/>
          <w:snapToGrid w:val="0"/>
        </w:rPr>
        <w:t xml:space="preserve"> распределение выглядит следующим образом: Электоральная группа I - 108; Электоральная группа II - 21; Электоральная группа III - 14; Электоральная группа IV - 28; Электоральная группа V(a) - 25 и Электоральная группа V(b) - 10. </w:t>
      </w:r>
    </w:p>
    <w:p w14:paraId="6FCAB484" w14:textId="0E134B52" w:rsidR="00F70FBF" w:rsidRPr="00781F65" w:rsidRDefault="00F70FBF" w:rsidP="00F70FBF">
      <w:pPr>
        <w:pStyle w:val="COMTitleDecision"/>
        <w:keepNext w:val="0"/>
        <w:widowControl w:val="0"/>
        <w:spacing w:before="120"/>
        <w:jc w:val="center"/>
        <w:rPr>
          <w:rFonts w:asciiTheme="minorBidi" w:hAnsiTheme="minorBidi" w:cstheme="minorBidi"/>
          <w:b w:val="0"/>
        </w:rPr>
      </w:pPr>
      <w:r w:rsidRPr="00781F65">
        <w:rPr>
          <w:rFonts w:asciiTheme="minorBidi" w:hAnsiTheme="minorBidi"/>
          <w:b w:val="0"/>
          <w:noProof/>
        </w:rPr>
        <w:drawing>
          <wp:inline distT="0" distB="0" distL="0" distR="0" wp14:anchorId="153D43C3" wp14:editId="33932770">
            <wp:extent cx="5274945" cy="2249510"/>
            <wp:effectExtent l="0" t="0" r="1905" b="1778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4A786B" w14:textId="77777777" w:rsidR="00C51389" w:rsidRPr="00781F65" w:rsidRDefault="00C51389" w:rsidP="00C51389">
      <w:pPr>
        <w:pStyle w:val="COMTitleDecision"/>
        <w:keepNext w:val="0"/>
        <w:widowControl w:val="0"/>
        <w:spacing w:before="120"/>
        <w:jc w:val="center"/>
        <w:rPr>
          <w:rFonts w:asciiTheme="minorBidi" w:hAnsiTheme="minorBidi" w:cstheme="minorBidi"/>
          <w:b w:val="0"/>
          <w:lang w:val="en-GB"/>
        </w:rPr>
      </w:pPr>
    </w:p>
    <w:p w14:paraId="20E3D5C7" w14:textId="1EA1CC90" w:rsidR="009320D9" w:rsidRPr="00132C8D" w:rsidRDefault="00CD3FDF" w:rsidP="00600CE2">
      <w:pPr>
        <w:spacing w:before="120" w:after="120"/>
        <w:rPr>
          <w:rFonts w:asciiTheme="minorBidi" w:hAnsiTheme="minorBidi" w:cstheme="minorBidi"/>
          <w:bCs/>
        </w:rPr>
      </w:pPr>
      <w:r w:rsidRPr="00695E8F">
        <w:rPr>
          <w:rFonts w:asciiTheme="minorBidi" w:hAnsiTheme="minorBidi"/>
          <w:b/>
          <w:sz w:val="22"/>
          <w:szCs w:val="22"/>
        </w:rPr>
        <w:t>Аккредитация НПО, рекомендованных восемнадцатой</w:t>
      </w:r>
      <w:r>
        <w:rPr>
          <w:rFonts w:asciiTheme="minorBidi" w:hAnsiTheme="minorBidi"/>
          <w:b/>
        </w:rPr>
        <w:t xml:space="preserve"> </w:t>
      </w:r>
      <w:r w:rsidRPr="00695E8F">
        <w:rPr>
          <w:rFonts w:asciiTheme="minorBidi" w:hAnsiTheme="minorBidi"/>
          <w:b/>
          <w:sz w:val="22"/>
          <w:szCs w:val="22"/>
        </w:rPr>
        <w:t>сессией Комитета</w:t>
      </w:r>
    </w:p>
    <w:p w14:paraId="24520F21" w14:textId="3AE8830E" w:rsidR="007C36FB" w:rsidRPr="00132C8D" w:rsidRDefault="00D51E08" w:rsidP="007C36FB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asciiTheme="minorBidi" w:hAnsiTheme="minorBidi" w:cstheme="minorBidi"/>
          <w:b w:val="0"/>
        </w:rPr>
      </w:pPr>
      <w:r>
        <w:rPr>
          <w:rFonts w:asciiTheme="minorBidi" w:hAnsiTheme="minorBidi"/>
          <w:b w:val="0"/>
        </w:rPr>
        <w:t xml:space="preserve">На своей восемнадцатой сессии в 2023 году Комитет рассмотрел новые заявки на аккредитацию от семидесяти трех НПО и рекомендовал Генеральной Ассамблее аккредитовать пятьдесят восемь из них (Решение </w:t>
      </w:r>
      <w:hyperlink r:id="rId9" w:history="1">
        <w:r>
          <w:rPr>
            <w:rStyle w:val="Lienhypertexte"/>
            <w:rFonts w:asciiTheme="minorBidi" w:hAnsiTheme="minorBidi"/>
            <w:b w:val="0"/>
          </w:rPr>
          <w:t>18.COM</w:t>
        </w:r>
        <w:r w:rsidR="00BC18A2">
          <w:rPr>
            <w:rStyle w:val="Lienhypertexte"/>
            <w:rFonts w:asciiTheme="minorBidi" w:hAnsiTheme="minorBidi"/>
            <w:b w:val="0"/>
            <w:lang w:val="fr-FR"/>
          </w:rPr>
          <w:t> </w:t>
        </w:r>
        <w:r>
          <w:rPr>
            <w:rStyle w:val="Lienhypertexte"/>
            <w:rFonts w:asciiTheme="minorBidi" w:hAnsiTheme="minorBidi"/>
            <w:b w:val="0"/>
          </w:rPr>
          <w:t>16</w:t>
        </w:r>
      </w:hyperlink>
      <w:r>
        <w:rPr>
          <w:rFonts w:asciiTheme="minorBidi" w:hAnsiTheme="minorBidi"/>
          <w:b w:val="0"/>
        </w:rPr>
        <w:t xml:space="preserve">). Эти организации перечислены в Приложении. На </w:t>
      </w:r>
      <w:hyperlink r:id="rId10" w:history="1">
        <w:r>
          <w:rPr>
            <w:rStyle w:val="Lienhypertexte"/>
            <w:rFonts w:asciiTheme="minorBidi" w:hAnsiTheme="minorBidi"/>
            <w:b w:val="0"/>
          </w:rPr>
          <w:t>веб-странице Конвенции</w:t>
        </w:r>
      </w:hyperlink>
      <w:r>
        <w:rPr>
          <w:rFonts w:asciiTheme="minorBidi" w:hAnsiTheme="minorBidi"/>
          <w:b w:val="0"/>
        </w:rPr>
        <w:t xml:space="preserve"> размещены все заявки, которые были заполнены к моменту рассмотрения на восемнадцатой сессии Комитета, на том языке, на котором они были представлены, а именно форма </w:t>
      </w:r>
      <w:hyperlink r:id="rId11" w:history="1">
        <w:r>
          <w:rPr>
            <w:rStyle w:val="Lienhypertexte"/>
            <w:rFonts w:asciiTheme="minorBidi" w:hAnsiTheme="minorBidi"/>
            <w:b w:val="0"/>
          </w:rPr>
          <w:t>ICH-09</w:t>
        </w:r>
      </w:hyperlink>
      <w:r w:rsidRPr="00BC18A2">
        <w:rPr>
          <w:rStyle w:val="Lienhypertexte"/>
          <w:rFonts w:asciiTheme="minorBidi" w:hAnsiTheme="minorBidi"/>
          <w:b w:val="0"/>
          <w:u w:val="none"/>
        </w:rPr>
        <w:t xml:space="preserve"> </w:t>
      </w:r>
      <w:r>
        <w:rPr>
          <w:rFonts w:asciiTheme="minorBidi" w:hAnsiTheme="minorBidi"/>
          <w:b w:val="0"/>
        </w:rPr>
        <w:t xml:space="preserve">заполненная каждой организацией, вместе с дополнительными документами по пунктам 8.a, 8.b и 8.c </w:t>
      </w:r>
      <w:r>
        <w:rPr>
          <w:rFonts w:asciiTheme="minorBidi" w:hAnsiTheme="minorBidi"/>
          <w:b w:val="0"/>
        </w:rPr>
        <w:lastRenderedPageBreak/>
        <w:t>этой формы. Географическое</w:t>
      </w:r>
      <w:r>
        <w:rPr>
          <w:rFonts w:asciiTheme="minorBidi" w:hAnsiTheme="minorBidi"/>
          <w:b w:val="0"/>
          <w:snapToGrid w:val="0"/>
        </w:rPr>
        <w:t xml:space="preserve"> распределение пятидесяти восьми НПО, предложенных для аккредитации, выглядит следующим образом: Электоральная группа I - 22; Электоральная группа II - 7; Электоральная группа III - 13; Электоральная группа IV - 8; Электоральная группа V(a) - 2 и Электоральная группа V(b) - 6.</w:t>
      </w:r>
    </w:p>
    <w:p w14:paraId="3EFE541A" w14:textId="4690D809" w:rsidR="003527C2" w:rsidRPr="00132C8D" w:rsidRDefault="00435CED" w:rsidP="00DA3996">
      <w:pPr>
        <w:pStyle w:val="COMTitleDecision"/>
        <w:spacing w:before="120"/>
        <w:ind w:left="0"/>
        <w:jc w:val="center"/>
        <w:rPr>
          <w:rFonts w:asciiTheme="minorBidi" w:hAnsiTheme="minorBidi" w:cstheme="minorBidi"/>
          <w:bCs/>
          <w:snapToGrid w:val="0"/>
        </w:rPr>
      </w:pPr>
      <w:r>
        <w:rPr>
          <w:rFonts w:asciiTheme="minorBidi" w:hAnsiTheme="minorBidi"/>
          <w:b w:val="0"/>
          <w:noProof/>
        </w:rPr>
        <w:drawing>
          <wp:anchor distT="0" distB="0" distL="114300" distR="114300" simplePos="0" relativeHeight="251657728" behindDoc="0" locked="0" layoutInCell="1" allowOverlap="1" wp14:anchorId="51151843" wp14:editId="76C87352">
            <wp:simplePos x="0" y="0"/>
            <wp:positionH relativeFrom="margin">
              <wp:posOffset>631687</wp:posOffset>
            </wp:positionH>
            <wp:positionV relativeFrom="paragraph">
              <wp:posOffset>109579</wp:posOffset>
            </wp:positionV>
            <wp:extent cx="5074285" cy="2709545"/>
            <wp:effectExtent l="0" t="0" r="12065" b="14605"/>
            <wp:wrapSquare wrapText="bothSides"/>
            <wp:docPr id="88772436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55DC2" w14:textId="000DB952" w:rsidR="00BB3222" w:rsidRPr="00791AF8" w:rsidRDefault="00BB3222" w:rsidP="00435CED">
      <w:pPr>
        <w:jc w:val="center"/>
        <w:rPr>
          <w:rFonts w:asciiTheme="minorBidi" w:hAnsiTheme="minorBidi" w:cstheme="minorBidi"/>
        </w:rPr>
      </w:pPr>
    </w:p>
    <w:p w14:paraId="5A3E1471" w14:textId="6EDA44DD" w:rsidR="009E4416" w:rsidRPr="00FF485B" w:rsidRDefault="00435CED" w:rsidP="007C36FB">
      <w:pPr>
        <w:pStyle w:val="COMTitleDecision"/>
        <w:spacing w:before="120"/>
        <w:rPr>
          <w:rFonts w:asciiTheme="minorBidi" w:hAnsiTheme="minorBidi" w:cstheme="minorBidi"/>
          <w:bCs/>
          <w:snapToGrid w:val="0"/>
        </w:rPr>
      </w:pPr>
      <w:r>
        <w:br w:type="textWrapping" w:clear="all"/>
      </w:r>
    </w:p>
    <w:p w14:paraId="1B2EA10E" w14:textId="77777777" w:rsidR="00CB3AEA" w:rsidRDefault="00CB3AEA" w:rsidP="00CB3AEA">
      <w:pPr>
        <w:pStyle w:val="COMTitleDecision"/>
        <w:keepNext w:val="0"/>
        <w:keepLines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  <w:snapToGrid w:val="0"/>
        </w:rPr>
      </w:pPr>
      <w:r>
        <w:rPr>
          <w:b w:val="0"/>
          <w:snapToGrid w:val="0"/>
        </w:rPr>
        <w:t>Заявки на новые аккредитации и продление существующих рассматриваются Секретариатом Конвенции 2003 года в соответствии с критериями, изложенными в Оперативном руководстве. Секретариат регистрирует предложения в соответствии с параграфом 99 Оперативного руководства, помогает организациям предоставить любую недостающую информацию, если это необходимо, и готовит рекомендации для Комитета в соответствии с требованиями параграфа 92 Оперативного руководства. Соответствующие формы и соответствующие рабочие документы размещаются на веб-странице Конвенции не позднее чем за четыре недели до открытия соответствующих сессий Комитета и Генеральной Ассамблеи.</w:t>
      </w:r>
    </w:p>
    <w:p w14:paraId="281D7F8E" w14:textId="04D42CDC" w:rsidR="00A76CD9" w:rsidRDefault="003832A4" w:rsidP="00B167AB">
      <w:pPr>
        <w:pStyle w:val="COMTitleDecision"/>
        <w:numPr>
          <w:ilvl w:val="0"/>
          <w:numId w:val="20"/>
        </w:numPr>
        <w:spacing w:before="0"/>
        <w:ind w:left="567" w:hanging="567"/>
        <w:rPr>
          <w:rFonts w:asciiTheme="minorBidi" w:eastAsia="SimSun" w:hAnsiTheme="minorBidi" w:cstheme="minorBidi"/>
          <w:b w:val="0"/>
          <w:bCs/>
          <w:snapToGrid w:val="0"/>
        </w:rPr>
      </w:pPr>
      <w:r>
        <w:rPr>
          <w:rFonts w:asciiTheme="minorBidi" w:hAnsiTheme="minorBidi"/>
          <w:b w:val="0"/>
        </w:rPr>
        <w:t xml:space="preserve">В соответствии с Резолюцией </w:t>
      </w:r>
      <w:hyperlink r:id="rId13" w:history="1">
        <w:r>
          <w:rPr>
            <w:rStyle w:val="Lienhypertexte"/>
            <w:rFonts w:asciiTheme="minorBidi" w:hAnsiTheme="minorBidi"/>
            <w:b w:val="0"/>
          </w:rPr>
          <w:t>9.</w:t>
        </w:r>
      </w:hyperlink>
      <w:hyperlink r:id="rId14" w:history="1">
        <w:r>
          <w:rPr>
            <w:rStyle w:val="Lienhypertexte"/>
            <w:rFonts w:asciiTheme="minorBidi" w:hAnsiTheme="minorBidi"/>
            <w:b w:val="0"/>
          </w:rPr>
          <w:t>GA 7</w:t>
        </w:r>
      </w:hyperlink>
      <w:r>
        <w:rPr>
          <w:rFonts w:asciiTheme="minorBidi" w:hAnsiTheme="minorBidi"/>
          <w:b w:val="0"/>
        </w:rPr>
        <w:t xml:space="preserve"> был принятый девятой сессией Генеральной Ассамблеи в 2022 году, и Секретариат обратился к офисам ЮНЕСКО на местах с просьбой о сотрудничестве в рассмотрении вновь представленных заявок на аккредитацию. Список аккредитованных НПО был предоставлен офисам на местах, </w:t>
      </w:r>
      <w:proofErr w:type="gramStart"/>
      <w:r>
        <w:rPr>
          <w:rFonts w:asciiTheme="minorBidi" w:hAnsiTheme="minorBidi"/>
          <w:b w:val="0"/>
        </w:rPr>
        <w:t>кроме того</w:t>
      </w:r>
      <w:proofErr w:type="gramEnd"/>
      <w:r>
        <w:rPr>
          <w:rFonts w:asciiTheme="minorBidi" w:hAnsiTheme="minorBidi"/>
          <w:b w:val="0"/>
        </w:rPr>
        <w:t xml:space="preserve"> была создана форма для сбора соответствующей информации. </w:t>
      </w:r>
      <w:r>
        <w:rPr>
          <w:rFonts w:asciiTheme="minorBidi" w:hAnsiTheme="minorBidi"/>
          <w:b w:val="0"/>
          <w:snapToGrid w:val="0"/>
        </w:rPr>
        <w:t>Шесть офисов ЮНЕСКО на местах оказали поддержку в этом процессе, предоставив дополнительную информацию к заявкам на новую аккредитацию, поданным неправительственными организациями, с которыми они взаимодействовали.</w:t>
      </w:r>
    </w:p>
    <w:p w14:paraId="1DBA486E" w14:textId="4C3827B2" w:rsidR="00391AC6" w:rsidRPr="00132C8D" w:rsidRDefault="00391AC6" w:rsidP="00132C8D">
      <w:pPr>
        <w:pStyle w:val="COMTitleDecision"/>
        <w:keepNext w:val="0"/>
        <w:widowControl w:val="0"/>
        <w:numPr>
          <w:ilvl w:val="0"/>
          <w:numId w:val="20"/>
        </w:numPr>
        <w:spacing w:before="0"/>
        <w:ind w:left="547" w:hanging="576"/>
        <w:rPr>
          <w:rFonts w:asciiTheme="minorBidi" w:hAnsiTheme="minorBidi" w:cstheme="minorBidi"/>
          <w:b w:val="0"/>
        </w:rPr>
      </w:pPr>
      <w:r>
        <w:rPr>
          <w:rFonts w:asciiTheme="minorBidi" w:hAnsiTheme="minorBidi"/>
          <w:b w:val="0"/>
          <w:snapToGrid w:val="0"/>
        </w:rPr>
        <w:t>Генеральная</w:t>
      </w:r>
      <w:r>
        <w:rPr>
          <w:rFonts w:asciiTheme="minorBidi" w:hAnsiTheme="minorBidi"/>
          <w:b w:val="0"/>
        </w:rPr>
        <w:t xml:space="preserve"> </w:t>
      </w:r>
      <w:r w:rsidR="00BC18A2">
        <w:rPr>
          <w:rFonts w:asciiTheme="minorBidi" w:hAnsiTheme="minorBidi"/>
          <w:b w:val="0"/>
          <w:snapToGrid w:val="0"/>
          <w:lang w:val="fr-FR"/>
        </w:rPr>
        <w:t>a</w:t>
      </w:r>
      <w:proofErr w:type="spellStart"/>
      <w:r>
        <w:rPr>
          <w:rFonts w:asciiTheme="minorBidi" w:hAnsiTheme="minorBidi"/>
          <w:b w:val="0"/>
          <w:snapToGrid w:val="0"/>
        </w:rPr>
        <w:t>ссамблея</w:t>
      </w:r>
      <w:proofErr w:type="spellEnd"/>
      <w:r>
        <w:rPr>
          <w:rFonts w:asciiTheme="minorBidi" w:hAnsiTheme="minorBidi"/>
          <w:b w:val="0"/>
        </w:rPr>
        <w:t>, возможно, пожелает принять следующую резолюцию:</w:t>
      </w:r>
    </w:p>
    <w:p w14:paraId="2A46BAC4" w14:textId="199081F4" w:rsidR="008A1ED4" w:rsidRPr="00132C8D" w:rsidRDefault="00F010E0" w:rsidP="00D3390A">
      <w:pPr>
        <w:pStyle w:val="GATitleResolution"/>
        <w:rPr>
          <w:rFonts w:asciiTheme="minorBidi" w:hAnsiTheme="minorBidi" w:cstheme="minorBidi"/>
        </w:rPr>
      </w:pPr>
      <w:r>
        <w:rPr>
          <w:rFonts w:asciiTheme="minorBidi" w:hAnsiTheme="minorBidi"/>
        </w:rPr>
        <w:t>ПРОЕКТ РЕЗОЛЮЦИИ 10.GA 9</w:t>
      </w:r>
    </w:p>
    <w:p w14:paraId="7677B217" w14:textId="14BE1C6D" w:rsidR="008A1ED4" w:rsidRPr="00132C8D" w:rsidRDefault="008A1ED4" w:rsidP="008A1ED4">
      <w:pPr>
        <w:pStyle w:val="GAPreambulaResolution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Генеральная </w:t>
      </w:r>
      <w:r w:rsidR="00BC18A2">
        <w:rPr>
          <w:rFonts w:asciiTheme="minorBidi" w:hAnsiTheme="minorBidi"/>
          <w:lang w:val="fr-FR"/>
        </w:rPr>
        <w:t>a</w:t>
      </w:r>
      <w:proofErr w:type="spellStart"/>
      <w:r>
        <w:rPr>
          <w:rFonts w:asciiTheme="minorBidi" w:hAnsiTheme="minorBidi"/>
        </w:rPr>
        <w:t>ссамблея</w:t>
      </w:r>
      <w:proofErr w:type="spellEnd"/>
      <w:r>
        <w:rPr>
          <w:rFonts w:asciiTheme="minorBidi" w:hAnsiTheme="minorBidi"/>
        </w:rPr>
        <w:t>,</w:t>
      </w:r>
    </w:p>
    <w:p w14:paraId="07630149" w14:textId="2FEB1349" w:rsidR="005823AB" w:rsidRPr="00132C8D" w:rsidRDefault="00781F65" w:rsidP="005823AB">
      <w:pPr>
        <w:pStyle w:val="COMParaDecision"/>
        <w:numPr>
          <w:ilvl w:val="0"/>
          <w:numId w:val="10"/>
        </w:numPr>
        <w:ind w:left="1134" w:hanging="567"/>
        <w:jc w:val="left"/>
        <w:rPr>
          <w:rFonts w:asciiTheme="minorBidi" w:hAnsiTheme="minorBidi" w:cstheme="minorBidi"/>
        </w:rPr>
      </w:pPr>
      <w:r>
        <w:rPr>
          <w:rFonts w:asciiTheme="minorBidi" w:hAnsiTheme="minorBidi"/>
          <w:lang w:val="fr-FR"/>
        </w:rPr>
        <w:t>P</w:t>
      </w:r>
      <w:proofErr w:type="spellStart"/>
      <w:r w:rsidR="005823AB">
        <w:rPr>
          <w:rFonts w:asciiTheme="minorBidi" w:hAnsiTheme="minorBidi"/>
        </w:rPr>
        <w:t>ассмотрев</w:t>
      </w:r>
      <w:proofErr w:type="spellEnd"/>
      <w:r w:rsidR="005823AB">
        <w:rPr>
          <w:rFonts w:asciiTheme="minorBidi" w:hAnsiTheme="minorBidi"/>
          <w:u w:val="none"/>
        </w:rPr>
        <w:t xml:space="preserve"> документ LHE/24/10.GA/9 с приложениями,</w:t>
      </w:r>
    </w:p>
    <w:p w14:paraId="7C34FFCB" w14:textId="14E3239E" w:rsidR="005823AB" w:rsidRPr="00132C8D" w:rsidRDefault="00781F65" w:rsidP="005823AB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</w:rPr>
      </w:pPr>
      <w:r>
        <w:rPr>
          <w:rFonts w:asciiTheme="minorBidi" w:hAnsiTheme="minorBidi"/>
          <w:lang w:val="fr-FR"/>
        </w:rPr>
        <w:t>C</w:t>
      </w:r>
      <w:proofErr w:type="spellStart"/>
      <w:r w:rsidR="005823AB">
        <w:rPr>
          <w:rFonts w:asciiTheme="minorBidi" w:hAnsiTheme="minorBidi"/>
        </w:rPr>
        <w:t>сылаясь</w:t>
      </w:r>
      <w:proofErr w:type="spellEnd"/>
      <w:r w:rsidR="005823AB">
        <w:rPr>
          <w:rFonts w:asciiTheme="minorBidi" w:hAnsiTheme="minorBidi"/>
          <w:u w:val="none"/>
        </w:rPr>
        <w:t xml:space="preserve"> на статью 9 Конвенции и параграфы 91</w:t>
      </w:r>
      <w:r w:rsidR="00BC18A2" w:rsidRPr="00BC18A2">
        <w:rPr>
          <w:rFonts w:asciiTheme="minorBidi" w:hAnsiTheme="minorBidi"/>
          <w:u w:val="none"/>
        </w:rPr>
        <w:t>–</w:t>
      </w:r>
      <w:r w:rsidR="005823AB">
        <w:rPr>
          <w:rFonts w:asciiTheme="minorBidi" w:hAnsiTheme="minorBidi"/>
          <w:u w:val="none"/>
        </w:rPr>
        <w:t>99 Оперативного руководства,</w:t>
      </w:r>
    </w:p>
    <w:p w14:paraId="18460A61" w14:textId="51A4E700" w:rsidR="005823AB" w:rsidRPr="00132C8D" w:rsidRDefault="00781F65" w:rsidP="005823AB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</w:rPr>
      </w:pPr>
      <w:r>
        <w:rPr>
          <w:rFonts w:asciiTheme="minorBidi" w:hAnsiTheme="minorBidi"/>
          <w:lang w:val="fr-FR"/>
        </w:rPr>
        <w:t>T</w:t>
      </w:r>
      <w:proofErr w:type="spellStart"/>
      <w:r w:rsidR="005823AB">
        <w:rPr>
          <w:rFonts w:asciiTheme="minorBidi" w:hAnsiTheme="minorBidi"/>
        </w:rPr>
        <w:t>акже</w:t>
      </w:r>
      <w:proofErr w:type="spellEnd"/>
      <w:r w:rsidR="005823AB">
        <w:rPr>
          <w:rFonts w:asciiTheme="minorBidi" w:hAnsiTheme="minorBidi"/>
        </w:rPr>
        <w:t xml:space="preserve"> ссылаясь</w:t>
      </w:r>
      <w:r w:rsidR="005823AB">
        <w:rPr>
          <w:rFonts w:asciiTheme="minorBidi" w:hAnsiTheme="minorBidi"/>
          <w:u w:val="none"/>
        </w:rPr>
        <w:t xml:space="preserve"> на решение </w:t>
      </w:r>
      <w:hyperlink r:id="rId15" w:history="1">
        <w:r w:rsidR="005823AB">
          <w:rPr>
            <w:rStyle w:val="Lienhypertexte"/>
            <w:rFonts w:asciiTheme="minorBidi" w:hAnsiTheme="minorBidi"/>
          </w:rPr>
          <w:t>18.COM 16</w:t>
        </w:r>
      </w:hyperlink>
      <w:r w:rsidR="005823AB">
        <w:rPr>
          <w:rStyle w:val="Lienhypertexte"/>
          <w:rFonts w:asciiTheme="minorBidi" w:hAnsiTheme="minorBidi"/>
          <w:color w:val="auto"/>
          <w:u w:val="none"/>
        </w:rPr>
        <w:t>,</w:t>
      </w:r>
    </w:p>
    <w:p w14:paraId="5208F9FD" w14:textId="3E3EDE3D" w:rsidR="005823AB" w:rsidRPr="00132C8D" w:rsidRDefault="00781F65" w:rsidP="005823AB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</w:rPr>
      </w:pPr>
      <w:r>
        <w:rPr>
          <w:rFonts w:asciiTheme="minorBidi" w:hAnsiTheme="minorBidi"/>
          <w:lang w:val="fr-FR"/>
        </w:rPr>
        <w:t>A</w:t>
      </w:r>
      <w:proofErr w:type="spellStart"/>
      <w:r w:rsidR="005823AB">
        <w:rPr>
          <w:rFonts w:asciiTheme="minorBidi" w:hAnsiTheme="minorBidi"/>
        </w:rPr>
        <w:t>ккредитует</w:t>
      </w:r>
      <w:proofErr w:type="spellEnd"/>
      <w:r w:rsidR="005823AB">
        <w:rPr>
          <w:rFonts w:asciiTheme="minorBidi" w:hAnsiTheme="minorBidi"/>
        </w:rPr>
        <w:t xml:space="preserve"> </w:t>
      </w:r>
      <w:r w:rsidR="005823AB">
        <w:rPr>
          <w:rFonts w:asciiTheme="minorBidi" w:hAnsiTheme="minorBidi"/>
          <w:u w:val="none"/>
        </w:rPr>
        <w:t>пятьдесят восемь НПО, перечисленные в Приложении к настоящей резолюции для выполнения консультативных функций при Комитете;</w:t>
      </w:r>
    </w:p>
    <w:p w14:paraId="3D6B3514" w14:textId="0CE0B1F0" w:rsidR="005823AB" w:rsidRPr="00132C8D" w:rsidRDefault="00781F65" w:rsidP="00C003BB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</w:rPr>
      </w:pPr>
      <w:r w:rsidRPr="00695E8F">
        <w:rPr>
          <w:rFonts w:asciiTheme="minorBidi" w:hAnsiTheme="minorBidi"/>
        </w:rPr>
        <w:t>П</w:t>
      </w:r>
      <w:r w:rsidR="005823AB">
        <w:rPr>
          <w:rFonts w:asciiTheme="minorBidi" w:hAnsiTheme="minorBidi"/>
        </w:rPr>
        <w:t>ризывает</w:t>
      </w:r>
      <w:r w:rsidR="005823AB">
        <w:rPr>
          <w:rFonts w:asciiTheme="minorBidi" w:hAnsiTheme="minorBidi"/>
          <w:u w:val="none"/>
        </w:rPr>
        <w:t xml:space="preserve"> НПО из </w:t>
      </w:r>
      <w:proofErr w:type="spellStart"/>
      <w:r w:rsidR="005823AB">
        <w:rPr>
          <w:rFonts w:asciiTheme="minorBidi" w:hAnsiTheme="minorBidi"/>
          <w:u w:val="none"/>
        </w:rPr>
        <w:t>недопредставленных</w:t>
      </w:r>
      <w:proofErr w:type="spellEnd"/>
      <w:r w:rsidR="005823AB">
        <w:rPr>
          <w:rFonts w:asciiTheme="minorBidi" w:hAnsiTheme="minorBidi"/>
          <w:u w:val="none"/>
        </w:rPr>
        <w:t xml:space="preserve"> электоральных групп, отвечающие критериям аккредитации, подавать свои заявки на аккредитацию при первой же возможности, чтобы улучшить географическое распределение аккредитованных </w:t>
      </w:r>
      <w:r w:rsidR="005823AB">
        <w:rPr>
          <w:rFonts w:asciiTheme="minorBidi" w:hAnsiTheme="minorBidi"/>
          <w:u w:val="none"/>
        </w:rPr>
        <w:lastRenderedPageBreak/>
        <w:t>НПО</w:t>
      </w:r>
      <w:bookmarkStart w:id="3" w:name="_Hlk47615881"/>
      <w:r w:rsidR="005823AB">
        <w:rPr>
          <w:rFonts w:asciiTheme="minorBidi" w:hAnsiTheme="minorBidi"/>
          <w:u w:val="none"/>
        </w:rPr>
        <w:t>, и предлагает государствам-участникам из этих избирательных групп широко распространить этот призыв среди НПО, базирующихся на их территории;</w:t>
      </w:r>
    </w:p>
    <w:bookmarkEnd w:id="3"/>
    <w:p w14:paraId="54E015C2" w14:textId="2822B551" w:rsidR="005823AB" w:rsidRPr="00132C8D" w:rsidRDefault="00781F65" w:rsidP="005823AB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</w:rPr>
      </w:pPr>
      <w:r>
        <w:rPr>
          <w:rFonts w:asciiTheme="minorBidi" w:hAnsiTheme="minorBidi"/>
          <w:lang w:val="fr-FR"/>
        </w:rPr>
        <w:t>H</w:t>
      </w:r>
      <w:proofErr w:type="spellStart"/>
      <w:r>
        <w:rPr>
          <w:rFonts w:asciiTheme="minorBidi" w:hAnsiTheme="minorBidi"/>
        </w:rPr>
        <w:t>апоминает</w:t>
      </w:r>
      <w:proofErr w:type="spellEnd"/>
      <w:r>
        <w:rPr>
          <w:rFonts w:asciiTheme="minorBidi" w:hAnsiTheme="minorBidi"/>
          <w:u w:val="none"/>
        </w:rPr>
        <w:t xml:space="preserve"> </w:t>
      </w:r>
      <w:r w:rsidR="00965081">
        <w:rPr>
          <w:rFonts w:asciiTheme="minorBidi" w:hAnsiTheme="minorBidi"/>
          <w:u w:val="none"/>
        </w:rPr>
        <w:t>НПО, аккредитованным в 2012, 2016 и 2020 годах, что они должны представить свой четырехлетний отчет в Секретариат не позднее 15 февраля 2025 года, чтобы се</w:t>
      </w:r>
      <w:r w:rsidR="00790081" w:rsidRPr="00790081">
        <w:t xml:space="preserve"> </w:t>
      </w:r>
      <w:r w:rsidR="00790081" w:rsidRPr="00790081">
        <w:rPr>
          <w:rFonts w:asciiTheme="minorBidi" w:hAnsiTheme="minorBidi"/>
          <w:u w:val="none"/>
        </w:rPr>
        <w:t xml:space="preserve">двадцатая </w:t>
      </w:r>
      <w:proofErr w:type="spellStart"/>
      <w:r w:rsidR="00965081">
        <w:rPr>
          <w:rFonts w:asciiTheme="minorBidi" w:hAnsiTheme="minorBidi"/>
          <w:u w:val="none"/>
        </w:rPr>
        <w:t>ссия</w:t>
      </w:r>
      <w:proofErr w:type="spellEnd"/>
      <w:r w:rsidR="00965081">
        <w:rPr>
          <w:rFonts w:asciiTheme="minorBidi" w:hAnsiTheme="minorBidi"/>
          <w:u w:val="none"/>
        </w:rPr>
        <w:t xml:space="preserve"> Комитета могла рассмотреть вклад и обязательства каждой консультативной организации.</w:t>
      </w:r>
    </w:p>
    <w:p w14:paraId="787B609F" w14:textId="3DD8AA30" w:rsidR="005823AB" w:rsidRPr="00BA0467" w:rsidRDefault="00FC4620" w:rsidP="00BC18A2">
      <w:pPr>
        <w:pStyle w:val="COMParaDecision"/>
        <w:spacing w:before="240" w:after="240"/>
        <w:ind w:left="1560" w:hanging="1560"/>
        <w:rPr>
          <w:rFonts w:asciiTheme="minorBidi" w:hAnsiTheme="minorBidi"/>
          <w:b/>
          <w:snapToGrid w:val="0"/>
          <w:u w:val="none"/>
        </w:rPr>
      </w:pPr>
      <w:r>
        <w:br w:type="page"/>
      </w:r>
      <w:r>
        <w:rPr>
          <w:rFonts w:asciiTheme="minorBidi" w:hAnsiTheme="minorBidi"/>
          <w:b/>
          <w:snapToGrid w:val="0"/>
          <w:u w:val="none"/>
        </w:rPr>
        <w:lastRenderedPageBreak/>
        <w:t>Приложение: Пятьдесят восемь неправительственных организаций, рекомендованных к аккредитации на восемнадцатой сессии Комитета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45"/>
        <w:gridCol w:w="1621"/>
      </w:tblGrid>
      <w:tr w:rsidR="000C1923" w:rsidRPr="000D358B" w14:paraId="216BA7F5" w14:textId="77777777" w:rsidTr="00C176A5">
        <w:trPr>
          <w:trHeight w:val="576"/>
        </w:trPr>
        <w:tc>
          <w:tcPr>
            <w:tcW w:w="3148" w:type="pct"/>
            <w:shd w:val="clear" w:color="auto" w:fill="5B9BD5" w:themeFill="accent1"/>
            <w:vAlign w:val="center"/>
            <w:hideMark/>
          </w:tcPr>
          <w:p w14:paraId="56AA646A" w14:textId="77777777" w:rsidR="000C1923" w:rsidRPr="000D2922" w:rsidRDefault="000C1923" w:rsidP="00C176A5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</w:rPr>
              <w:t>Название организации</w:t>
            </w:r>
          </w:p>
        </w:tc>
        <w:tc>
          <w:tcPr>
            <w:tcW w:w="1010" w:type="pct"/>
            <w:shd w:val="clear" w:color="auto" w:fill="5B9BD5" w:themeFill="accent1"/>
            <w:vAlign w:val="center"/>
            <w:hideMark/>
          </w:tcPr>
          <w:p w14:paraId="61DB2B9E" w14:textId="77777777" w:rsidR="000C1923" w:rsidRPr="000D2922" w:rsidRDefault="000C1923" w:rsidP="00C176A5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</w:rPr>
              <w:t>Страна, в которой зарегистрирован офис</w:t>
            </w:r>
          </w:p>
        </w:tc>
        <w:tc>
          <w:tcPr>
            <w:tcW w:w="842" w:type="pct"/>
            <w:shd w:val="clear" w:color="auto" w:fill="5B9BD5" w:themeFill="accent1"/>
            <w:vAlign w:val="center"/>
            <w:hideMark/>
          </w:tcPr>
          <w:p w14:paraId="302548EE" w14:textId="77777777" w:rsidR="000C1923" w:rsidRPr="000D2922" w:rsidRDefault="000C1923" w:rsidP="00C176A5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</w:rPr>
              <w:t>Номер заявки</w:t>
            </w:r>
          </w:p>
        </w:tc>
      </w:tr>
      <w:tr w:rsidR="000C1923" w:rsidRPr="000D358B" w14:paraId="74951043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259A2F7A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4 Grada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Dragodid</w:t>
            </w:r>
            <w:proofErr w:type="spellEnd"/>
          </w:p>
        </w:tc>
        <w:tc>
          <w:tcPr>
            <w:tcW w:w="1010" w:type="pct"/>
            <w:vAlign w:val="center"/>
          </w:tcPr>
          <w:p w14:paraId="271C2ABF" w14:textId="0E74D609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Хорватия</w:t>
            </w:r>
          </w:p>
        </w:tc>
        <w:tc>
          <w:tcPr>
            <w:tcW w:w="842" w:type="pct"/>
            <w:vAlign w:val="center"/>
          </w:tcPr>
          <w:p w14:paraId="7EA0A98A" w14:textId="77777777" w:rsidR="000C1923" w:rsidRPr="000D2922" w:rsidRDefault="000C1923" w:rsidP="000C1923">
            <w:pPr>
              <w:pStyle w:val="Titre7"/>
              <w:jc w:val="center"/>
              <w:rPr>
                <w:rFonts w:asciiTheme="minorBidi" w:hAnsiTheme="minorBidi" w:cstheme="minorBidi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i w:val="0"/>
                <w:iCs w:val="0"/>
                <w:color w:val="auto"/>
                <w:sz w:val="20"/>
                <w:szCs w:val="20"/>
                <w:lang w:val="en-GB"/>
              </w:rPr>
              <w:t>NGO-90566</w:t>
            </w:r>
          </w:p>
        </w:tc>
      </w:tr>
      <w:tr w:rsidR="000C1923" w:rsidRPr="000D358B" w14:paraId="53AD3E13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159DC15F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Acción Cultural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Ngobe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br/>
              <w:t xml:space="preserve">Ngäbe Cultural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t>Action</w:t>
            </w:r>
            <w:proofErr w:type="spellEnd"/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601003B2" w14:textId="4D9472BA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Панама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616AA79E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NGO-90583</w:t>
            </w:r>
          </w:p>
        </w:tc>
      </w:tr>
      <w:tr w:rsidR="000C1923" w:rsidRPr="000D358B" w14:paraId="5555C9CD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38334B66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American Folklore Society</w:t>
            </w:r>
          </w:p>
        </w:tc>
        <w:tc>
          <w:tcPr>
            <w:tcW w:w="1010" w:type="pct"/>
            <w:vAlign w:val="center"/>
          </w:tcPr>
          <w:p w14:paraId="22E0627F" w14:textId="14D8BC06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США</w:t>
            </w:r>
          </w:p>
        </w:tc>
        <w:tc>
          <w:tcPr>
            <w:tcW w:w="842" w:type="pct"/>
            <w:vAlign w:val="center"/>
          </w:tcPr>
          <w:p w14:paraId="152F5ED5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NGO-90563</w:t>
            </w:r>
          </w:p>
        </w:tc>
      </w:tr>
      <w:tr w:rsidR="000C1923" w:rsidRPr="000D358B" w14:paraId="13E5A8D9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572B8EB2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ART -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Meșteșugurile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Prutului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ART - Prut Crafts Association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3D0E189B" w14:textId="1CB24271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Румыния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60D2D942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NGO-90577</w:t>
            </w:r>
          </w:p>
        </w:tc>
      </w:tr>
      <w:tr w:rsidR="000C1923" w:rsidRPr="000D358B" w14:paraId="342D78AF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6C8B4793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Associação Camará Capoeira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br/>
              <w:t>Camará Capoeira Association</w:t>
            </w:r>
          </w:p>
        </w:tc>
        <w:tc>
          <w:tcPr>
            <w:tcW w:w="1010" w:type="pct"/>
            <w:vAlign w:val="center"/>
          </w:tcPr>
          <w:p w14:paraId="3645BBD4" w14:textId="3DDF9EDA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Бразилия</w:t>
            </w:r>
          </w:p>
        </w:tc>
        <w:tc>
          <w:tcPr>
            <w:tcW w:w="842" w:type="pct"/>
            <w:vAlign w:val="center"/>
          </w:tcPr>
          <w:p w14:paraId="2C437D5F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NGO-90543</w:t>
            </w:r>
          </w:p>
        </w:tc>
      </w:tr>
      <w:tr w:rsidR="000C1923" w:rsidRPr="000D358B" w14:paraId="420B9D55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4F7B9CE0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Associação Nacional das Baianas de Acarajé, Mingau, Receptivo, </w:t>
            </w:r>
            <w:proofErr w:type="gram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e Similares</w:t>
            </w:r>
            <w:proofErr w:type="gram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br/>
              <w:t xml:space="preserve">National Association of Baianas of Acarajé, Mingau,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Receptive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, and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Similarities</w:t>
            </w:r>
            <w:proofErr w:type="spellEnd"/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543E2C45" w14:textId="47BA2A88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Бразилия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7035264F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NGO-90580</w:t>
            </w:r>
          </w:p>
        </w:tc>
      </w:tr>
      <w:tr w:rsidR="000C1923" w:rsidRPr="000D358B" w14:paraId="5CB2886C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529FB0CD" w14:textId="77777777" w:rsidR="000C1923" w:rsidRPr="00BA0467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 xml:space="preserve">Association Al </w:t>
            </w:r>
            <w:proofErr w:type="spellStart"/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Muniya</w:t>
            </w:r>
            <w:proofErr w:type="spellEnd"/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 xml:space="preserve"> de Marrakech pour la revivification et la préservation du patrimoine du Royaume du Maroc</w:t>
            </w:r>
          </w:p>
        </w:tc>
        <w:tc>
          <w:tcPr>
            <w:tcW w:w="1010" w:type="pct"/>
            <w:vAlign w:val="center"/>
          </w:tcPr>
          <w:p w14:paraId="534E8A07" w14:textId="7D6DE7AD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Марокко</w:t>
            </w:r>
          </w:p>
        </w:tc>
        <w:tc>
          <w:tcPr>
            <w:tcW w:w="842" w:type="pct"/>
            <w:vAlign w:val="center"/>
          </w:tcPr>
          <w:p w14:paraId="07121B6B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NGO-90528</w:t>
            </w:r>
          </w:p>
        </w:tc>
      </w:tr>
      <w:tr w:rsidR="000C1923" w:rsidRPr="000D358B" w14:paraId="114811F8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48288C0C" w14:textId="77777777" w:rsidR="000C1923" w:rsidRPr="00BA0467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Association Culture, Paix et Développement (CPD)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56918904" w14:textId="35DD4BFD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Того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2842446F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NGO-90564</w:t>
            </w:r>
          </w:p>
        </w:tc>
      </w:tr>
      <w:tr w:rsidR="000C1923" w:rsidRPr="000D358B" w14:paraId="62B17D48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14E6210D" w14:textId="77777777" w:rsidR="000C1923" w:rsidRPr="00BA0467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Association tunisienne de sauvegarde et de valorisation du Patrimoine Culturel Immatériel tunisien</w:t>
            </w:r>
          </w:p>
        </w:tc>
        <w:tc>
          <w:tcPr>
            <w:tcW w:w="1010" w:type="pct"/>
            <w:vAlign w:val="center"/>
          </w:tcPr>
          <w:p w14:paraId="5B8EADE9" w14:textId="26074D49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Тунис</w:t>
            </w:r>
          </w:p>
        </w:tc>
        <w:tc>
          <w:tcPr>
            <w:tcW w:w="842" w:type="pct"/>
            <w:vAlign w:val="center"/>
          </w:tcPr>
          <w:p w14:paraId="0BB2BAB6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NGO-90525</w:t>
            </w:r>
          </w:p>
        </w:tc>
      </w:tr>
      <w:tr w:rsidR="000C1923" w:rsidRPr="000D358B" w14:paraId="2F70BE51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4E201097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Associazione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Cultura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Italiae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Association Culture of Italy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3F295E1A" w14:textId="2ABA4FD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Италия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310BDED7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NGO-90589</w:t>
            </w:r>
          </w:p>
        </w:tc>
      </w:tr>
      <w:tr w:rsidR="000C1923" w:rsidRPr="000D358B" w14:paraId="10045BA3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1341E599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Associazione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Ecomuseo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Casilino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 ad Duas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Lauros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Ecomuseum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Casilino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ad Duas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Lauros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Association</w:t>
            </w:r>
          </w:p>
        </w:tc>
        <w:tc>
          <w:tcPr>
            <w:tcW w:w="1010" w:type="pct"/>
            <w:vAlign w:val="center"/>
          </w:tcPr>
          <w:p w14:paraId="6211CC96" w14:textId="32F0E943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Италия</w:t>
            </w:r>
          </w:p>
        </w:tc>
        <w:tc>
          <w:tcPr>
            <w:tcW w:w="842" w:type="pct"/>
            <w:vAlign w:val="center"/>
          </w:tcPr>
          <w:p w14:paraId="5FE2848F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NGO-90582</w:t>
            </w:r>
          </w:p>
        </w:tc>
      </w:tr>
      <w:tr w:rsidR="000C1923" w:rsidRPr="000D358B" w14:paraId="371CF070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123C2F18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Barbados Museum &amp; Historical Society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29E76C02" w14:textId="0B2352FB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Барбадос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2E275CB9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NGO-90554</w:t>
            </w:r>
          </w:p>
        </w:tc>
      </w:tr>
      <w:tr w:rsidR="000C1923" w:rsidRPr="000D358B" w14:paraId="44A00E48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6C40BA3F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Biedrība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«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Suitu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kultūras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mantojums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 »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Suiti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Cultural Heritage Foundation</w:t>
            </w:r>
          </w:p>
        </w:tc>
        <w:tc>
          <w:tcPr>
            <w:tcW w:w="1010" w:type="pct"/>
            <w:vAlign w:val="center"/>
          </w:tcPr>
          <w:p w14:paraId="0A36009F" w14:textId="749B36AD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Латвия</w:t>
            </w:r>
          </w:p>
        </w:tc>
        <w:tc>
          <w:tcPr>
            <w:tcW w:w="842" w:type="pct"/>
            <w:vAlign w:val="center"/>
          </w:tcPr>
          <w:p w14:paraId="54C27F72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NGO-90570</w:t>
            </w:r>
          </w:p>
        </w:tc>
      </w:tr>
      <w:tr w:rsidR="000C1923" w:rsidRPr="000D358B" w14:paraId="2FAEC649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4B50C024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Blanchard House Institute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73E7F2B3" w14:textId="2C30B983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США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2456C420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NGO-90597</w:t>
            </w:r>
          </w:p>
        </w:tc>
      </w:tr>
      <w:tr w:rsidR="000C1923" w:rsidRPr="000D358B" w14:paraId="591B5B63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5EF99D02" w14:textId="77777777" w:rsidR="000C1923" w:rsidRPr="00345080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</w:pPr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Bursa UNESCO </w:t>
            </w:r>
            <w:proofErr w:type="spellStart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Derenği</w:t>
            </w:r>
            <w:proofErr w:type="spellEnd"/>
            <w:r w:rsidRPr="00345080">
              <w:rPr>
                <w:rFonts w:asciiTheme="minorBidi" w:hAnsiTheme="minorBidi" w:cstheme="minorBidi"/>
                <w:sz w:val="20"/>
                <w:szCs w:val="20"/>
                <w:lang w:val="es-ES"/>
              </w:rPr>
              <w:br/>
              <w:t>Bursa UNESCO Association</w:t>
            </w:r>
          </w:p>
        </w:tc>
        <w:tc>
          <w:tcPr>
            <w:tcW w:w="1010" w:type="pct"/>
            <w:vAlign w:val="center"/>
          </w:tcPr>
          <w:p w14:paraId="2909424D" w14:textId="765093AE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Турция</w:t>
            </w:r>
          </w:p>
        </w:tc>
        <w:tc>
          <w:tcPr>
            <w:tcW w:w="842" w:type="pct"/>
            <w:vAlign w:val="center"/>
          </w:tcPr>
          <w:p w14:paraId="63413F04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NGO-90545</w:t>
            </w:r>
          </w:p>
        </w:tc>
      </w:tr>
      <w:tr w:rsidR="000C1923" w:rsidRPr="000D358B" w14:paraId="18F72406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098DC421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Clube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Carbavalesco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Mixto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 Seu Malaquias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Carnival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Club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Mixto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Seu Malaquias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1EA9CD54" w14:textId="52447931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Бразилия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7336D0DA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NGO-90540</w:t>
            </w:r>
          </w:p>
        </w:tc>
      </w:tr>
      <w:tr w:rsidR="000C1923" w:rsidRPr="000D358B" w14:paraId="1A17AC0D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5C2DB226" w14:textId="77777777" w:rsidR="000C1923" w:rsidRPr="00BA0467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Conseil International de la Danse - CID</w:t>
            </w:r>
          </w:p>
        </w:tc>
        <w:tc>
          <w:tcPr>
            <w:tcW w:w="1010" w:type="pct"/>
            <w:vAlign w:val="center"/>
          </w:tcPr>
          <w:p w14:paraId="60184FF1" w14:textId="5B9461DD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Франция</w:t>
            </w:r>
          </w:p>
        </w:tc>
        <w:tc>
          <w:tcPr>
            <w:tcW w:w="842" w:type="pct"/>
            <w:vAlign w:val="center"/>
          </w:tcPr>
          <w:p w14:paraId="1FBFBF39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NGO-90538</w:t>
            </w:r>
          </w:p>
        </w:tc>
      </w:tr>
      <w:tr w:rsidR="000C1923" w:rsidRPr="000D358B" w14:paraId="55F2CB93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193026FF" w14:textId="77777777" w:rsidR="000C1923" w:rsidRPr="00345080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Corporacion</w:t>
            </w:r>
            <w:proofErr w:type="spellEnd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 Cinemateca Municipal de Valledupar Cinemateca Vallenata</w:t>
            </w:r>
            <w:r w:rsidRPr="00345080">
              <w:rPr>
                <w:rFonts w:asciiTheme="minorBidi" w:hAnsiTheme="minorBidi" w:cstheme="minorBidi"/>
                <w:sz w:val="20"/>
                <w:szCs w:val="20"/>
                <w:lang w:val="es-ES"/>
              </w:rPr>
              <w:br/>
              <w:t xml:space="preserve">Valledupar Municipal </w:t>
            </w:r>
            <w:proofErr w:type="spellStart"/>
            <w:r w:rsidRPr="00345080">
              <w:rPr>
                <w:rFonts w:asciiTheme="minorBidi" w:hAnsiTheme="minorBidi" w:cstheme="minorBidi"/>
                <w:sz w:val="20"/>
                <w:szCs w:val="20"/>
                <w:lang w:val="es-ES"/>
              </w:rPr>
              <w:t>Cinematheque</w:t>
            </w:r>
            <w:proofErr w:type="spellEnd"/>
            <w:r w:rsidRPr="00345080">
              <w:rPr>
                <w:rFonts w:asciiTheme="minorBidi" w:hAnsiTheme="minorBidi" w:cstheme="minorBid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45080">
              <w:rPr>
                <w:rFonts w:asciiTheme="minorBidi" w:hAnsiTheme="minorBidi" w:cstheme="minorBidi"/>
                <w:sz w:val="20"/>
                <w:szCs w:val="20"/>
                <w:lang w:val="es-ES"/>
              </w:rPr>
              <w:t>Corporation</w:t>
            </w:r>
            <w:proofErr w:type="spellEnd"/>
            <w:r w:rsidRPr="00345080">
              <w:rPr>
                <w:rFonts w:asciiTheme="minorBidi" w:hAnsiTheme="minorBidi" w:cstheme="minorBidi"/>
                <w:sz w:val="20"/>
                <w:szCs w:val="20"/>
                <w:lang w:val="es-ES"/>
              </w:rPr>
              <w:t xml:space="preserve"> Cinemateca Vallenata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6754C7EC" w14:textId="206CB5E5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Колумбия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3A8686EB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NGO-90592</w:t>
            </w:r>
          </w:p>
        </w:tc>
      </w:tr>
      <w:tr w:rsidR="000C1923" w:rsidRPr="000D358B" w14:paraId="4DDBF3AB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5E7896F3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Corporación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Huiltur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CorpoHuiltur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Huiltur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Corporation</w:t>
            </w:r>
          </w:p>
        </w:tc>
        <w:tc>
          <w:tcPr>
            <w:tcW w:w="1010" w:type="pct"/>
            <w:vAlign w:val="center"/>
          </w:tcPr>
          <w:p w14:paraId="5343CC3B" w14:textId="37D6A268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Колумбия</w:t>
            </w:r>
          </w:p>
        </w:tc>
        <w:tc>
          <w:tcPr>
            <w:tcW w:w="842" w:type="pct"/>
            <w:vAlign w:val="center"/>
          </w:tcPr>
          <w:p w14:paraId="6AFED91C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NGO-90576</w:t>
            </w:r>
          </w:p>
        </w:tc>
      </w:tr>
      <w:tr w:rsidR="000C1923" w:rsidRPr="000D358B" w14:paraId="04B0B21B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0A1FC190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Corporacion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Memoria Austral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Memoria Austral Association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7F516E00" w14:textId="5626A08C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Чили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71F5FB25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NGO-90586</w:t>
            </w:r>
          </w:p>
        </w:tc>
      </w:tr>
      <w:tr w:rsidR="000C1923" w:rsidRPr="000D358B" w14:paraId="3E817A8B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09AD6C6F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Fondazione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Santagata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per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l’Economia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della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Cultura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ETS (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ente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terzo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settore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  <w:r w:rsidRPr="000D2922">
              <w:rPr>
                <w:rFonts w:asciiTheme="minorBidi" w:hAnsiTheme="minorBidi" w:cstheme="minorBidi"/>
                <w:sz w:val="20"/>
                <w:szCs w:val="20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Fondazione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Santagata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</w:rPr>
              <w:t xml:space="preserve"> for the Economics of Culture ETS (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third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sector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entity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010" w:type="pct"/>
            <w:vAlign w:val="center"/>
          </w:tcPr>
          <w:p w14:paraId="5D25A1C2" w14:textId="066B5109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Италия</w:t>
            </w:r>
          </w:p>
        </w:tc>
        <w:tc>
          <w:tcPr>
            <w:tcW w:w="842" w:type="pct"/>
            <w:vAlign w:val="center"/>
          </w:tcPr>
          <w:p w14:paraId="07BB7B9A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NGO-90552</w:t>
            </w:r>
          </w:p>
        </w:tc>
      </w:tr>
      <w:tr w:rsidR="000C1923" w:rsidRPr="000D358B" w14:paraId="4EB9B62A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0846F7CC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Fundación Casa Taller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Workshop Home Foundation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259D03A9" w14:textId="3B013034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Панама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13A226DD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NGO-90579</w:t>
            </w:r>
          </w:p>
        </w:tc>
      </w:tr>
      <w:tr w:rsidR="000C1923" w:rsidRPr="000D358B" w14:paraId="74E2BD4C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458E46D8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Fundación La Sacha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t>Sacha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t>Foundation</w:t>
            </w:r>
            <w:proofErr w:type="spellEnd"/>
          </w:p>
        </w:tc>
        <w:tc>
          <w:tcPr>
            <w:tcW w:w="1010" w:type="pct"/>
            <w:vAlign w:val="center"/>
          </w:tcPr>
          <w:p w14:paraId="7E40A149" w14:textId="056AC69A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Аргентина</w:t>
            </w:r>
          </w:p>
        </w:tc>
        <w:tc>
          <w:tcPr>
            <w:tcW w:w="842" w:type="pct"/>
            <w:vAlign w:val="center"/>
          </w:tcPr>
          <w:p w14:paraId="10785F0A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NGO-90546</w:t>
            </w:r>
          </w:p>
        </w:tc>
      </w:tr>
      <w:tr w:rsidR="000C1923" w:rsidRPr="000D358B" w14:paraId="0F0DD6C4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3985156E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Grenada National Trust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4193EA83" w14:textId="16591A05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Гренада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62987D5A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NGO-90555</w:t>
            </w:r>
          </w:p>
        </w:tc>
      </w:tr>
      <w:tr w:rsidR="000C1923" w:rsidRPr="000D358B" w14:paraId="07029916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20F4D45A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Heimilisiðnaðarfélag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Íslands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Icelandic Handicraft Association</w:t>
            </w:r>
          </w:p>
        </w:tc>
        <w:tc>
          <w:tcPr>
            <w:tcW w:w="1010" w:type="pct"/>
            <w:vAlign w:val="center"/>
          </w:tcPr>
          <w:p w14:paraId="6B834E8B" w14:textId="2AB822F3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Исландия</w:t>
            </w:r>
          </w:p>
        </w:tc>
        <w:tc>
          <w:tcPr>
            <w:tcW w:w="842" w:type="pct"/>
            <w:vAlign w:val="center"/>
          </w:tcPr>
          <w:p w14:paraId="27692023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NGO-90533</w:t>
            </w:r>
          </w:p>
        </w:tc>
      </w:tr>
      <w:tr w:rsidR="000C1923" w:rsidRPr="000D358B" w14:paraId="3AACC5A6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09B7A794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Iepé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 - Instituto de Pesquisa e Formação Indígena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Iepé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-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Indigenous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Research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and Training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Institute</w:t>
            </w:r>
            <w:proofErr w:type="spellEnd"/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65A49049" w14:textId="25543B3A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Бразилия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75403135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NGO-90584</w:t>
            </w:r>
          </w:p>
        </w:tc>
      </w:tr>
      <w:tr w:rsidR="000C1923" w:rsidRPr="000D358B" w14:paraId="08B9F2D9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112753D7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Kadın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Demokrasi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Vakfı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(KADEM)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Women and Democracy Foundation (KADEM)</w:t>
            </w:r>
          </w:p>
        </w:tc>
        <w:tc>
          <w:tcPr>
            <w:tcW w:w="1010" w:type="pct"/>
            <w:vAlign w:val="center"/>
          </w:tcPr>
          <w:p w14:paraId="2CC80D1D" w14:textId="27613AA1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Турция</w:t>
            </w:r>
          </w:p>
        </w:tc>
        <w:tc>
          <w:tcPr>
            <w:tcW w:w="842" w:type="pct"/>
            <w:vAlign w:val="center"/>
          </w:tcPr>
          <w:p w14:paraId="11ABD93F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NGO-90557</w:t>
            </w:r>
          </w:p>
        </w:tc>
      </w:tr>
      <w:tr w:rsidR="000C1923" w:rsidRPr="000D358B" w14:paraId="64F41D85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60A621B5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Kulturno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Umjetničko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Društvo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‘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Puračić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’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Cultural Artistic Association ‘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Puračić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’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60680367" w14:textId="6C34968D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Босния и Герцеговина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115780C7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NGO-90541</w:t>
            </w:r>
          </w:p>
        </w:tc>
      </w:tr>
      <w:tr w:rsidR="000C1923" w:rsidRPr="000D358B" w14:paraId="0229F795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041D5F3F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L’Œuvre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d’Orient</w:t>
            </w:r>
            <w:proofErr w:type="spellEnd"/>
          </w:p>
        </w:tc>
        <w:tc>
          <w:tcPr>
            <w:tcW w:w="1010" w:type="pct"/>
            <w:vAlign w:val="center"/>
          </w:tcPr>
          <w:p w14:paraId="75DBA4E3" w14:textId="35159C86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Франция</w:t>
            </w:r>
          </w:p>
        </w:tc>
        <w:tc>
          <w:tcPr>
            <w:tcW w:w="842" w:type="pct"/>
            <w:vAlign w:val="center"/>
          </w:tcPr>
          <w:p w14:paraId="065190BB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NGO-90548</w:t>
            </w:r>
          </w:p>
        </w:tc>
      </w:tr>
      <w:tr w:rsidR="000C1923" w:rsidRPr="000D358B" w14:paraId="61F97AE5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1F0BB199" w14:textId="77777777" w:rsidR="000C1923" w:rsidRPr="00BA0467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Office pour le Patrimoine Immatériel - OPCI-</w:t>
            </w:r>
            <w:proofErr w:type="spellStart"/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Ethnodoc</w:t>
            </w:r>
            <w:proofErr w:type="spellEnd"/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1EA90358" w14:textId="5EB15BF2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Франция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54F1F965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NGO-90536</w:t>
            </w:r>
          </w:p>
        </w:tc>
      </w:tr>
      <w:tr w:rsidR="000C1923" w:rsidRPr="000D358B" w14:paraId="6B30DFDA" w14:textId="77777777" w:rsidTr="00C176A5">
        <w:trPr>
          <w:trHeight w:val="576"/>
        </w:trPr>
        <w:tc>
          <w:tcPr>
            <w:tcW w:w="3148" w:type="pct"/>
            <w:vAlign w:val="center"/>
          </w:tcPr>
          <w:p w14:paraId="3AEC8FEA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Operação Amazônia Nativa (OPAN)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Operation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Amazon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>Native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pt-BR"/>
              </w:rPr>
              <w:t xml:space="preserve"> (OPAN)</w:t>
            </w:r>
          </w:p>
        </w:tc>
        <w:tc>
          <w:tcPr>
            <w:tcW w:w="1010" w:type="pct"/>
            <w:vAlign w:val="center"/>
          </w:tcPr>
          <w:p w14:paraId="2059CCFD" w14:textId="763D0895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Бразилия</w:t>
            </w:r>
          </w:p>
        </w:tc>
        <w:tc>
          <w:tcPr>
            <w:tcW w:w="842" w:type="pct"/>
            <w:vAlign w:val="center"/>
          </w:tcPr>
          <w:p w14:paraId="3019DC9A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NGO-90559</w:t>
            </w:r>
          </w:p>
        </w:tc>
      </w:tr>
      <w:tr w:rsidR="000C1923" w:rsidRPr="000D358B" w14:paraId="47A08993" w14:textId="77777777" w:rsidTr="00C176A5">
        <w:trPr>
          <w:trHeight w:val="615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4D089B37" w14:textId="77777777" w:rsidR="000C1923" w:rsidRPr="00345080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FD0D29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O.R.S. </w:t>
            </w:r>
            <w:proofErr w:type="spellStart"/>
            <w:r w:rsidRPr="00FD0D29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Osservatorio</w:t>
            </w:r>
            <w:proofErr w:type="spellEnd"/>
            <w:r w:rsidRPr="00FD0D29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D0D29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Ricerca</w:t>
            </w:r>
            <w:proofErr w:type="spellEnd"/>
            <w:r w:rsidRPr="00FD0D29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D0D29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>Sociale</w:t>
            </w:r>
            <w:proofErr w:type="spellEnd"/>
            <w:r w:rsidRPr="00FD0D29">
              <w:rPr>
                <w:rFonts w:asciiTheme="minorBidi" w:hAnsiTheme="minorBidi" w:cstheme="minorBidi"/>
                <w:b/>
                <w:bCs/>
                <w:sz w:val="20"/>
                <w:szCs w:val="20"/>
                <w:lang w:val="pt-BR"/>
              </w:rPr>
              <w:t xml:space="preserve">. </w:t>
            </w:r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Centro </w:t>
            </w:r>
            <w:proofErr w:type="spellStart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studi</w:t>
            </w:r>
            <w:proofErr w:type="spellEnd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politiche</w:t>
            </w:r>
            <w:proofErr w:type="spellEnd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ricerche</w:t>
            </w:r>
            <w:proofErr w:type="spellEnd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sociali</w:t>
            </w:r>
            <w:proofErr w:type="spellEnd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- APS</w:t>
            </w:r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br/>
            </w:r>
            <w:r w:rsidRPr="00345080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O.R.S. Social Research Observatory. Centre studies, policies and social </w:t>
            </w:r>
            <w:proofErr w:type="gramStart"/>
            <w:r w:rsidRPr="0034508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researches</w:t>
            </w:r>
            <w:proofErr w:type="gramEnd"/>
            <w:r w:rsidRPr="00345080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- APS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5E3771E8" w14:textId="10828E7E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Италия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1019C4D3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NGO-90539</w:t>
            </w:r>
          </w:p>
        </w:tc>
      </w:tr>
      <w:tr w:rsidR="000C1923" w:rsidRPr="000D358B" w14:paraId="4DE2A97C" w14:textId="77777777" w:rsidTr="00C176A5">
        <w:trPr>
          <w:trHeight w:val="615"/>
        </w:trPr>
        <w:tc>
          <w:tcPr>
            <w:tcW w:w="3148" w:type="pct"/>
            <w:shd w:val="clear" w:color="auto" w:fill="auto"/>
            <w:vAlign w:val="center"/>
          </w:tcPr>
          <w:p w14:paraId="74CAABB5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International Bobbin and Needle Lace Organisation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E2A40C2" w14:textId="6FCBB604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Франция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6030BA5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NGO-90585</w:t>
            </w:r>
          </w:p>
        </w:tc>
      </w:tr>
      <w:tr w:rsidR="000C1923" w:rsidRPr="000D358B" w14:paraId="34BB84C9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0B8CCD25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Pearl Rhythm Foundation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33A6C8C7" w14:textId="6861CDB1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Уганда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207146F2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NGO-90578</w:t>
            </w:r>
          </w:p>
        </w:tc>
      </w:tr>
      <w:tr w:rsidR="000C1923" w:rsidRPr="000D358B" w14:paraId="1AA5C489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18E1E8D1" w14:textId="77777777" w:rsidR="000C1923" w:rsidRPr="00345080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Persatuan</w:t>
            </w:r>
            <w:proofErr w:type="spellEnd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Penulis</w:t>
            </w:r>
            <w:proofErr w:type="spellEnd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Nasional</w:t>
            </w:r>
            <w:proofErr w:type="spellEnd"/>
            <w:r w:rsidRPr="00345080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 Malaysia (PENA) </w:t>
            </w:r>
          </w:p>
          <w:p w14:paraId="2DAD4C94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Malaysian National Writers Association (PENA)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C5F9B83" w14:textId="70DF1C6A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Малайзия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ADDD0F3" w14:textId="77777777" w:rsidR="000C1923" w:rsidRPr="000D2922" w:rsidRDefault="000C1923" w:rsidP="000C1923">
            <w:pPr>
              <w:pStyle w:val="Titre9"/>
              <w:jc w:val="center"/>
              <w:rPr>
                <w:rFonts w:asciiTheme="minorBidi" w:hAnsiTheme="minorBidi" w:cstheme="minorBidi"/>
                <w:i w:val="0"/>
                <w:iCs w:val="0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i w:val="0"/>
                <w:iCs w:val="0"/>
                <w:sz w:val="20"/>
                <w:szCs w:val="20"/>
                <w:lang w:val="en-GB"/>
              </w:rPr>
              <w:t>NGO-90587</w:t>
            </w:r>
          </w:p>
        </w:tc>
      </w:tr>
      <w:tr w:rsidR="000C1923" w:rsidRPr="000D358B" w14:paraId="1A1F9071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64716F78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Pertubuhan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Kraft Malaysia (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Dikenali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Sebagai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Malaysian Craft Council)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Malaysian Craft Council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6ECE352B" w14:textId="77284396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Малайзия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77DAA602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NGO-90531</w:t>
            </w:r>
          </w:p>
        </w:tc>
      </w:tr>
      <w:tr w:rsidR="000C1923" w:rsidRPr="000D358B" w14:paraId="338E158C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47F50050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Pusat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Budaya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Pusaka SDN. BHD</w:t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PUSAKA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D19DEEC" w14:textId="01797D22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Малайзия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489BFC2" w14:textId="77777777" w:rsidR="000C1923" w:rsidRPr="000D2922" w:rsidRDefault="000C1923" w:rsidP="000C1923">
            <w:pPr>
              <w:pStyle w:val="Titre7"/>
              <w:jc w:val="center"/>
              <w:rPr>
                <w:rFonts w:asciiTheme="minorBidi" w:hAnsiTheme="minorBidi" w:cstheme="minorBidi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i w:val="0"/>
                <w:iCs w:val="0"/>
                <w:color w:val="auto"/>
                <w:sz w:val="20"/>
                <w:szCs w:val="20"/>
                <w:lang w:val="en-GB"/>
              </w:rPr>
              <w:t>NGO-90532</w:t>
            </w:r>
          </w:p>
        </w:tc>
      </w:tr>
      <w:tr w:rsidR="000C1923" w:rsidRPr="000D358B" w14:paraId="2DA9C513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6CDD6BCE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International Repertory of Music Literature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057DB6C6" w14:textId="33E6FE5E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США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42D98400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NGO-90527</w:t>
            </w:r>
          </w:p>
        </w:tc>
      </w:tr>
      <w:tr w:rsidR="000C1923" w:rsidRPr="000D358B" w14:paraId="00A46E22" w14:textId="77777777" w:rsidTr="00C176A5">
        <w:trPr>
          <w:trHeight w:val="480"/>
        </w:trPr>
        <w:tc>
          <w:tcPr>
            <w:tcW w:w="3148" w:type="pct"/>
            <w:shd w:val="clear" w:color="auto" w:fill="auto"/>
            <w:vAlign w:val="center"/>
          </w:tcPr>
          <w:p w14:paraId="64FA31E8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Society of Native Nations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D598079" w14:textId="7D7377D6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США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DA29114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NGO-90596</w:t>
            </w:r>
          </w:p>
        </w:tc>
      </w:tr>
      <w:tr w:rsidR="000C1923" w:rsidRPr="000D358B" w14:paraId="6A253DE0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3F21B4DD" w14:textId="77777777" w:rsidR="000C1923" w:rsidRPr="00345080" w:rsidRDefault="000C1923" w:rsidP="000C1923">
            <w:pPr>
              <w:ind w:left="873" w:hanging="851"/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</w:pPr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Sri </w:t>
            </w:r>
            <w:proofErr w:type="spellStart"/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Idagunji</w:t>
            </w:r>
            <w:proofErr w:type="spellEnd"/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Mahaganapati</w:t>
            </w:r>
            <w:proofErr w:type="spellEnd"/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Yakshagana</w:t>
            </w:r>
            <w:proofErr w:type="spellEnd"/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Mandali</w:t>
            </w:r>
            <w:proofErr w:type="spellEnd"/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Keremane</w:t>
            </w:r>
            <w:proofErr w:type="spellEnd"/>
            <w:r w:rsidRPr="00E21348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 ®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0B246A11" w14:textId="332F2AF0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Индия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0F05BCB6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NGO-90568</w:t>
            </w:r>
          </w:p>
        </w:tc>
      </w:tr>
      <w:tr w:rsidR="000C1923" w:rsidRPr="000D358B" w14:paraId="5C0BA0C9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31C39736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Svenska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Hemslöjdsöreningarnas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Riksförbund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br/>
              <w:t>National Association of Swedish Handicraft Societies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78CCE7B" w14:textId="107580C4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Швеция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FDA12AF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NGO-90544</w:t>
            </w:r>
          </w:p>
        </w:tc>
      </w:tr>
      <w:tr w:rsidR="000C1923" w:rsidRPr="000D358B" w14:paraId="6EAB53D7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4524175C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Dragon Dance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14A1042F" w14:textId="631C578C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Канада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002A37CD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NGO-90549</w:t>
            </w:r>
          </w:p>
        </w:tc>
      </w:tr>
      <w:tr w:rsidR="000C1923" w:rsidRPr="000D358B" w14:paraId="196E6E0B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3DBC4AEE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Traditional Arts and Culture Scotland (TRACS)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B935D01" w14:textId="23760B6A" w:rsidR="000C1923" w:rsidRPr="00BA0467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</w:rPr>
              <w:t xml:space="preserve">Соединенное Королевство </w:t>
            </w:r>
            <w:r>
              <w:rPr>
                <w:rFonts w:asciiTheme="minorBidi" w:hAnsiTheme="minorBidi"/>
                <w:sz w:val="20"/>
              </w:rPr>
              <w:lastRenderedPageBreak/>
              <w:t>Великобритании и Северной Ирландии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F63F9AE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lastRenderedPageBreak/>
              <w:t>NGO-90561</w:t>
            </w:r>
          </w:p>
        </w:tc>
      </w:tr>
      <w:tr w:rsidR="000C1923" w:rsidRPr="000D358B" w14:paraId="718C3159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3C8049B4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Türkischer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Klassischer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Choir Association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br/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Zurich Turkish Classical Choir Association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20985097" w14:textId="6A01055B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Швейцария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0E586E4D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NGO-90560</w:t>
            </w:r>
          </w:p>
        </w:tc>
      </w:tr>
      <w:tr w:rsidR="000C1923" w:rsidRPr="000D358B" w14:paraId="4F52DA09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2A4E1812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Uluslararasi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Mevlana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Vakfi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br/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International Mevlana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0FE4462" w14:textId="1DF2BCD6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Турция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5920EEA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NGO-90547</w:t>
            </w:r>
          </w:p>
        </w:tc>
      </w:tr>
      <w:tr w:rsidR="000C1923" w:rsidRPr="000D358B" w14:paraId="3E9B85B8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3883597F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UN ETXEA- Asociación del País Vasco para la UNESCO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br/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t xml:space="preserve">UN ETXEA-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t>Basque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t xml:space="preserve"> Country Association for UNESCO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220D28E4" w14:textId="1F56BC38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Испания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6DE67ECE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NGO-90590</w:t>
            </w:r>
          </w:p>
        </w:tc>
      </w:tr>
      <w:tr w:rsidR="000C1923" w:rsidRPr="000D358B" w14:paraId="23B9B9D4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6F65B86F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Vabnagar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C617D4D" w14:textId="7F864E85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Бангладеш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310B9EE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NGO-90526</w:t>
            </w:r>
          </w:p>
        </w:tc>
      </w:tr>
      <w:tr w:rsidR="000C1923" w:rsidRPr="000D358B" w14:paraId="3B087525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271AAFBE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World Music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асоцијација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Србије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br/>
            </w: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World Music Association of Serbia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45D4C891" w14:textId="53FE6DDB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Сербия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0F1F3387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NGO-90530</w:t>
            </w:r>
          </w:p>
        </w:tc>
      </w:tr>
      <w:tr w:rsidR="000C1923" w:rsidRPr="000D358B" w14:paraId="03808E70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4E82E1A2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Yayasan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>Toraja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t xml:space="preserve"> Melo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t>Toraja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t xml:space="preserve"> Melo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s-ES"/>
              </w:rPr>
              <w:t>Foundation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0E16F1DA" w14:textId="5E65EDD2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Индонезия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148DE30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NGO-90575</w:t>
            </w:r>
          </w:p>
        </w:tc>
      </w:tr>
      <w:tr w:rsidR="000C1923" w:rsidRPr="000D358B" w14:paraId="2DF16828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75E51E99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Μεσογει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ακό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Ινστιτούτο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γι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α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τη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Φύση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και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τον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Άνθρω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πο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Mediterranean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</w:rPr>
              <w:t xml:space="preserve"> Institute for Nature and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Anthropos</w:t>
            </w:r>
            <w:proofErr w:type="spellEnd"/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71D3D175" w14:textId="40B37303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Греция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66177BB3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NGO-90556</w:t>
            </w:r>
          </w:p>
        </w:tc>
      </w:tr>
      <w:tr w:rsidR="000C1923" w:rsidRPr="000D358B" w14:paraId="38209975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2135901D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Ґромадська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орґанізація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ЖІНКИ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плюс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r w:rsidRPr="000D2922">
              <w:rPr>
                <w:rFonts w:asciiTheme="minorBidi" w:hAnsiTheme="minorBidi" w:cstheme="minorBidi"/>
                <w:sz w:val="20"/>
                <w:szCs w:val="20"/>
              </w:rPr>
              <w:t xml:space="preserve">WOMEN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1EE66A40" w14:textId="7E0B03C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Украина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886D832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NGO-90558</w:t>
            </w:r>
          </w:p>
        </w:tc>
      </w:tr>
      <w:tr w:rsidR="000C1923" w:rsidRPr="000D358B" w14:paraId="660A11E2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55ABE62F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Фондация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Стойна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046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Кръстанова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Stoyna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</w:rPr>
              <w:t xml:space="preserve"> Krastanova Foundation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3EAA7A42" w14:textId="26FBFE3D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Болгария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2D210002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NGO-90571</w:t>
            </w:r>
          </w:p>
        </w:tc>
      </w:tr>
      <w:tr w:rsidR="000C1923" w:rsidRPr="000D358B" w14:paraId="42620311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2B5CFE0B" w14:textId="77777777" w:rsidR="000C1923" w:rsidRPr="000D2922" w:rsidRDefault="000C1923" w:rsidP="000C1923">
            <w:pPr>
              <w:widowControl w:val="0"/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>جمعية حرفة التعاونية</w:t>
            </w:r>
          </w:p>
          <w:p w14:paraId="298AB7E6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Herfah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Cooperative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9BDCC78" w14:textId="58E5E1CF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Саудовская Аравия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159F03D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NGO-90591</w:t>
            </w:r>
          </w:p>
        </w:tc>
      </w:tr>
      <w:tr w:rsidR="000C1923" w:rsidRPr="000D358B" w14:paraId="2327A97D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451C71C7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>جمعية الصعيد للتربية والتنمية</w:t>
            </w:r>
          </w:p>
          <w:p w14:paraId="6F45A785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Association of Upper Egypt for Education and Development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5E389D6A" w14:textId="5F59E150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Египет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3CFBCE57" w14:textId="77777777" w:rsidR="000C1923" w:rsidRPr="000D2922" w:rsidRDefault="000C1923" w:rsidP="000C1923">
            <w:pPr>
              <w:pStyle w:val="Titre7"/>
              <w:jc w:val="center"/>
              <w:rPr>
                <w:rFonts w:asciiTheme="minorBidi" w:hAnsiTheme="minorBidi" w:cstheme="minorBidi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i w:val="0"/>
                <w:iCs w:val="0"/>
                <w:color w:val="auto"/>
                <w:sz w:val="20"/>
                <w:szCs w:val="20"/>
                <w:lang w:val="en-GB"/>
              </w:rPr>
              <w:t>NGO-90535</w:t>
            </w:r>
          </w:p>
        </w:tc>
      </w:tr>
      <w:tr w:rsidR="000C1923" w:rsidRPr="000D358B" w14:paraId="55B8B079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439DD7A2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>جمعيّة صيانة القصور والمحافظة على التّراث ببني خداش</w:t>
            </w:r>
          </w:p>
          <w:p w14:paraId="196636AC" w14:textId="77777777" w:rsidR="000C1923" w:rsidRPr="00BA0467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BA0467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Association de protection de ksour et sauvegarde du patrimoine à Béni </w:t>
            </w:r>
            <w:proofErr w:type="spellStart"/>
            <w:r w:rsidRPr="00BA0467">
              <w:rPr>
                <w:rFonts w:asciiTheme="minorBidi" w:hAnsiTheme="minorBidi" w:cstheme="minorBidi"/>
                <w:sz w:val="20"/>
                <w:szCs w:val="20"/>
                <w:lang w:val="fr-FR"/>
              </w:rPr>
              <w:t>Kheddache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014C2FA4" w14:textId="3C7C6183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Тунис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2CC612C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NGO-90534</w:t>
            </w:r>
          </w:p>
        </w:tc>
      </w:tr>
      <w:tr w:rsidR="000C1923" w:rsidRPr="000D358B" w14:paraId="6F0D39E4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2956EEF2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 xml:space="preserve">مؤسسة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>راقودة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 xml:space="preserve"> للفن والتراث</w:t>
            </w:r>
          </w:p>
          <w:p w14:paraId="07197D5A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Raquda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Foundation for Art and Heritage</w:t>
            </w:r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77EAAB73" w14:textId="7571A829" w:rsidR="000C1923" w:rsidRPr="000D2922" w:rsidRDefault="000C1923" w:rsidP="000C1923">
            <w:pPr>
              <w:pStyle w:val="Titre7"/>
              <w:jc w:val="center"/>
              <w:rPr>
                <w:rFonts w:asciiTheme="minorBidi" w:hAnsiTheme="minorBidi" w:cstheme="minorBidi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i w:val="0"/>
                <w:color w:val="auto"/>
                <w:sz w:val="20"/>
              </w:rPr>
              <w:t>Египет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00C05F1B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NGO-90581</w:t>
            </w:r>
          </w:p>
        </w:tc>
      </w:tr>
      <w:tr w:rsidR="000C1923" w:rsidRPr="000D358B" w14:paraId="4F1EA81B" w14:textId="77777777" w:rsidTr="00C176A5">
        <w:trPr>
          <w:trHeight w:val="576"/>
        </w:trPr>
        <w:tc>
          <w:tcPr>
            <w:tcW w:w="3148" w:type="pct"/>
            <w:shd w:val="clear" w:color="auto" w:fill="auto"/>
            <w:vAlign w:val="center"/>
          </w:tcPr>
          <w:p w14:paraId="6972CAAD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 xml:space="preserve">مؤسسه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>فرهنگ</w:t>
            </w:r>
            <w:r w:rsidRPr="000D292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>هنر</w:t>
            </w:r>
            <w:r w:rsidRPr="000D292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  <w:proofErr w:type="spellEnd"/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  <w:t xml:space="preserve"> مانا نقش شهاب</w:t>
            </w:r>
          </w:p>
          <w:p w14:paraId="73D634F9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Mana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Naqsh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Shahab Art &amp; Culture Institute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BBB2466" w14:textId="3DE21FC3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t>Иран (Исламская Республика)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5704547" w14:textId="77777777" w:rsidR="000C1923" w:rsidRPr="000D2922" w:rsidRDefault="000C1923" w:rsidP="000C1923">
            <w:pPr>
              <w:pStyle w:val="Titre7"/>
              <w:jc w:val="center"/>
              <w:rPr>
                <w:rFonts w:asciiTheme="minorBidi" w:hAnsiTheme="minorBidi" w:cstheme="minorBidi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i w:val="0"/>
                <w:iCs w:val="0"/>
                <w:color w:val="auto"/>
                <w:sz w:val="20"/>
                <w:szCs w:val="20"/>
                <w:lang w:val="en-GB"/>
              </w:rPr>
              <w:t>NGO-90551</w:t>
            </w:r>
          </w:p>
        </w:tc>
      </w:tr>
      <w:tr w:rsidR="000C1923" w:rsidRPr="000D358B" w14:paraId="4951D52C" w14:textId="77777777" w:rsidTr="00C176A5">
        <w:trPr>
          <w:trHeight w:val="576"/>
        </w:trPr>
        <w:tc>
          <w:tcPr>
            <w:tcW w:w="3148" w:type="pct"/>
            <w:shd w:val="clear" w:color="auto" w:fill="DEEAF6" w:themeFill="accent1" w:themeFillTint="33"/>
            <w:vAlign w:val="center"/>
          </w:tcPr>
          <w:p w14:paraId="6624028D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D2922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GB" w:bidi="kn-IN"/>
              </w:rPr>
              <w:t>ಕರ್ನಾಟಕ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val="en-GB" w:bidi="kn-IN"/>
              </w:rPr>
              <w:t xml:space="preserve"> </w:t>
            </w:r>
            <w:r w:rsidRPr="000D2922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GB" w:bidi="kn-IN"/>
              </w:rPr>
              <w:t>ಜಾನಪದ</w:t>
            </w:r>
            <w:r w:rsidRPr="000D2922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val="en-GB" w:bidi="kn-IN"/>
              </w:rPr>
              <w:t xml:space="preserve"> </w:t>
            </w:r>
            <w:r w:rsidRPr="000D2922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en-GB" w:bidi="kn-IN"/>
              </w:rPr>
              <w:t>ಪರಿಷತ್ತು</w:t>
            </w:r>
          </w:p>
          <w:p w14:paraId="0E82C6E6" w14:textId="77777777" w:rsidR="000C1923" w:rsidRPr="000D2922" w:rsidRDefault="000C1923" w:rsidP="000C1923">
            <w:pPr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Karnataka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Janapada</w:t>
            </w:r>
            <w:proofErr w:type="spellEnd"/>
            <w:r w:rsidRPr="000D29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0D2922">
              <w:rPr>
                <w:rFonts w:asciiTheme="minorBidi" w:hAnsiTheme="minorBidi" w:cstheme="minorBidi"/>
                <w:sz w:val="20"/>
                <w:szCs w:val="20"/>
              </w:rPr>
              <w:t>Parishath</w:t>
            </w:r>
            <w:proofErr w:type="spellEnd"/>
          </w:p>
        </w:tc>
        <w:tc>
          <w:tcPr>
            <w:tcW w:w="1010" w:type="pct"/>
            <w:shd w:val="clear" w:color="auto" w:fill="DEEAF6" w:themeFill="accent1" w:themeFillTint="33"/>
            <w:vAlign w:val="center"/>
          </w:tcPr>
          <w:p w14:paraId="4A1519B4" w14:textId="5DB1869A" w:rsidR="000C1923" w:rsidRPr="000D2922" w:rsidRDefault="000C1923" w:rsidP="000C1923">
            <w:pPr>
              <w:pStyle w:val="Titre7"/>
              <w:jc w:val="center"/>
              <w:rPr>
                <w:rFonts w:asciiTheme="minorBidi" w:hAnsiTheme="minorBidi" w:cstheme="minorBidi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i w:val="0"/>
                <w:color w:val="auto"/>
                <w:sz w:val="20"/>
              </w:rPr>
              <w:t>Индия</w:t>
            </w:r>
          </w:p>
        </w:tc>
        <w:tc>
          <w:tcPr>
            <w:tcW w:w="842" w:type="pct"/>
            <w:shd w:val="clear" w:color="auto" w:fill="DEEAF6" w:themeFill="accent1" w:themeFillTint="33"/>
            <w:vAlign w:val="center"/>
          </w:tcPr>
          <w:p w14:paraId="2687F86B" w14:textId="77777777" w:rsidR="000C1923" w:rsidRPr="000D2922" w:rsidRDefault="000C1923" w:rsidP="000C1923">
            <w:pPr>
              <w:contextualSpacing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D292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NGO-90550</w:t>
            </w:r>
          </w:p>
        </w:tc>
      </w:tr>
    </w:tbl>
    <w:p w14:paraId="28FFA899" w14:textId="77777777" w:rsidR="003F2837" w:rsidRDefault="003F2837" w:rsidP="00BA0467">
      <w:pPr>
        <w:pStyle w:val="COMParaDecision"/>
        <w:spacing w:before="240" w:after="240"/>
        <w:rPr>
          <w:rFonts w:asciiTheme="minorBidi" w:hAnsiTheme="minorBidi" w:cstheme="minorBidi"/>
          <w:snapToGrid w:val="0"/>
          <w:lang w:val="en-GB" w:eastAsia="en-US"/>
        </w:rPr>
        <w:sectPr w:rsidR="003F2837" w:rsidSect="008A1337">
          <w:headerReference w:type="even" r:id="rId16"/>
          <w:headerReference w:type="default" r:id="rId17"/>
          <w:headerReference w:type="first" r:id="rId18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14:paraId="7C30FF32" w14:textId="77777777" w:rsidR="003F2837" w:rsidRPr="00C84BA3" w:rsidRDefault="003F2837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КОНВЕНЦИЯ ОБ ОХРАНЕ</w:t>
      </w:r>
      <w:r>
        <w:rPr>
          <w:rFonts w:ascii="Arial" w:hAnsi="Arial"/>
          <w:b/>
          <w:sz w:val="22"/>
        </w:rPr>
        <w:br/>
        <w:t>НЕМАТЕРИАЛЬНОГО КУЛЬТУРНОГО НАСЛЕДИЯ</w:t>
      </w:r>
    </w:p>
    <w:p w14:paraId="7EBB24CF" w14:textId="77777777" w:rsidR="003F2837" w:rsidRPr="00C84BA3" w:rsidRDefault="003F2837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 – УЧАСТНИКОВ КОНВЕНЦИИ</w:t>
      </w:r>
    </w:p>
    <w:p w14:paraId="6C801EF2" w14:textId="77777777" w:rsidR="003F2837" w:rsidRPr="00C84BA3" w:rsidRDefault="003F2837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Десятая сессия</w:t>
      </w:r>
    </w:p>
    <w:p w14:paraId="0A300C99" w14:textId="77777777" w:rsidR="003F2837" w:rsidRPr="00C84BA3" w:rsidRDefault="003F2837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 I</w:t>
      </w:r>
    </w:p>
    <w:p w14:paraId="70600599" w14:textId="77777777" w:rsidR="003F2837" w:rsidRPr="00C84BA3" w:rsidRDefault="003F2837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11–12 июня 2024 г.</w:t>
      </w:r>
    </w:p>
    <w:p w14:paraId="2EC3AB61" w14:textId="77777777" w:rsidR="003F2837" w:rsidRPr="00C84BA3" w:rsidRDefault="003F2837" w:rsidP="00DB5C2E">
      <w:pPr>
        <w:pStyle w:val="Sansinterligne2"/>
        <w:spacing w:before="9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 9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23927830" w14:textId="77777777" w:rsidR="003F2837" w:rsidRPr="00C84BA3" w:rsidRDefault="003F2837" w:rsidP="00DE5D5A">
      <w:pPr>
        <w:pStyle w:val="Sansinterligne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Аккредитация неправительственных организаций для выполнения </w:t>
      </w:r>
    </w:p>
    <w:p w14:paraId="45199C02" w14:textId="77777777" w:rsidR="003F2837" w:rsidRPr="00C84BA3" w:rsidRDefault="003F2837" w:rsidP="00F53DC9">
      <w:pPr>
        <w:pStyle w:val="Sansinterligne2"/>
        <w:spacing w:after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консультативных функций при Комитете</w:t>
      </w:r>
    </w:p>
    <w:p w14:paraId="0282D903" w14:textId="77777777" w:rsidR="003F2837" w:rsidRPr="00C84BA3" w:rsidRDefault="003F2837" w:rsidP="00A8755A">
      <w:pPr>
        <w:pStyle w:val="Sansinterligne2"/>
        <w:spacing w:after="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Предложение по обеспечению географической сбалансированности между аккредитованными НПО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3F2837" w:rsidRPr="00C84BA3" w14:paraId="3FF5601C" w14:textId="77777777" w:rsidTr="00EC6F8D">
        <w:trPr>
          <w:jc w:val="center"/>
        </w:trPr>
        <w:tc>
          <w:tcPr>
            <w:tcW w:w="5670" w:type="dxa"/>
            <w:vAlign w:val="center"/>
          </w:tcPr>
          <w:p w14:paraId="70CC0B39" w14:textId="77777777" w:rsidR="003F2837" w:rsidRPr="00C84BA3" w:rsidRDefault="003F2837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Содержание</w:t>
            </w:r>
          </w:p>
          <w:p w14:paraId="5ED78052" w14:textId="77777777" w:rsidR="003F2837" w:rsidRPr="00C84BA3" w:rsidRDefault="003F2837" w:rsidP="00BB6EEC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Настоящее Добавление содержит предложение по обеспечению географической сбалансированности между аккредитованными НПО в соответствии с Конвенцией 2003 года в ответ на просьбу, высказанную на девятой сессии Генеральной ассамблеи (Резолюция </w:t>
            </w:r>
            <w:hyperlink r:id="rId19" w:history="1">
              <w:r w:rsidRPr="0077545C">
                <w:rPr>
                  <w:rStyle w:val="Lienhypertexte"/>
                  <w:rFonts w:asciiTheme="minorBidi" w:hAnsiTheme="minorBidi"/>
                  <w:snapToGrid w:val="0"/>
                  <w:sz w:val="22"/>
                  <w:szCs w:val="22"/>
                </w:rPr>
                <w:t>9.GA 7</w:t>
              </w:r>
            </w:hyperlink>
            <w:r>
              <w:rPr>
                <w:rFonts w:ascii="Arial" w:hAnsi="Arial"/>
                <w:sz w:val="22"/>
              </w:rPr>
              <w:t>).</w:t>
            </w:r>
          </w:p>
          <w:p w14:paraId="0C62A8E0" w14:textId="77777777" w:rsidR="003F2837" w:rsidRPr="00C84BA3" w:rsidRDefault="003F2837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Требуемое решение: </w:t>
            </w:r>
            <w:r>
              <w:rPr>
                <w:rFonts w:ascii="Arial" w:hAnsi="Arial"/>
                <w:sz w:val="22"/>
              </w:rPr>
              <w:t>пункт 15</w:t>
            </w:r>
          </w:p>
        </w:tc>
      </w:tr>
    </w:tbl>
    <w:p w14:paraId="4374D7A1" w14:textId="77777777" w:rsidR="003F2837" w:rsidRPr="002676BE" w:rsidRDefault="003F2837" w:rsidP="00D67A44">
      <w:pPr>
        <w:pStyle w:val="Paragraphedeliste"/>
        <w:keepLines/>
        <w:spacing w:before="240" w:after="240"/>
        <w:ind w:left="0"/>
        <w:contextualSpacing w:val="0"/>
        <w:jc w:val="both"/>
        <w:rPr>
          <w:rFonts w:ascii="Arial" w:hAnsi="Arial" w:cs="Arial"/>
          <w:b/>
          <w:bCs/>
        </w:rPr>
      </w:pPr>
      <w:r>
        <w:br w:type="page"/>
      </w:r>
      <w:bookmarkStart w:id="5" w:name="_Hlk124351255"/>
      <w:r>
        <w:rPr>
          <w:rFonts w:ascii="Arial" w:hAnsi="Arial"/>
          <w:b/>
          <w:snapToGrid w:val="0"/>
          <w:sz w:val="22"/>
        </w:rPr>
        <w:lastRenderedPageBreak/>
        <w:t>Справочная информация</w:t>
      </w:r>
    </w:p>
    <w:bookmarkEnd w:id="5"/>
    <w:p w14:paraId="748123EF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>Принимая во внимание статью 9 Конвенции 2003 года, руководящие органы Конвенции были обеспокоены постоянным отсутствием географически сбалансированного представительства в избирательных группах среди НПО, аккредитованных для выполнения консультативных функций при Комитете. Несмотря на призывы подавать заявки на аккредитацию, адресованные обладающим необходимыми компетенциями НПО из недопредставленных регионов, ситуация оставалась в значительной степени неизменной на протяжении многих лет.</w:t>
      </w:r>
    </w:p>
    <w:p w14:paraId="194C8FF9" w14:textId="77777777" w:rsidR="003F2837" w:rsidRPr="00C84BA3" w:rsidRDefault="003F2837" w:rsidP="000068BB">
      <w:pPr>
        <w:pStyle w:val="COMPara"/>
        <w:spacing w:before="240"/>
        <w:jc w:val="both"/>
        <w:rPr>
          <w:b/>
          <w:bCs/>
        </w:rPr>
      </w:pPr>
      <w:r>
        <w:rPr>
          <w:b/>
        </w:rPr>
        <w:t>Первые обсуждения и корректировки</w:t>
      </w:r>
    </w:p>
    <w:p w14:paraId="293BF895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>В 2017 году на своей двенадцатой сессии Комитет начал процесс анализа консультативной роли аккредитованных НПО (см. Решения</w:t>
      </w:r>
      <w:hyperlink r:id="rId20" w:history="1">
        <w:r>
          <w:rPr>
            <w:rStyle w:val="Lienhypertexte"/>
          </w:rPr>
          <w:t xml:space="preserve"> 12.COM 13</w:t>
        </w:r>
      </w:hyperlink>
      <w:r>
        <w:t xml:space="preserve"> и </w:t>
      </w:r>
      <w:hyperlink r:id="rId21" w:history="1">
        <w:r>
          <w:rPr>
            <w:rStyle w:val="Lienhypertexte"/>
          </w:rPr>
          <w:t>12.COM 17</w:t>
        </w:r>
      </w:hyperlink>
      <w:r>
        <w:t>), который также затронул вопрос о несбалансированности географического распределения аккредитованных НПО.</w:t>
      </w:r>
      <w:r>
        <w:rPr>
          <w:shd w:val="clear" w:color="auto" w:fill="FFFFFF" w:themeFill="background1"/>
        </w:rPr>
        <w:t xml:space="preserve"> </w:t>
      </w:r>
      <w:r>
        <w:t xml:space="preserve">В целом, 76 государств и 99 аккредитованных НПО приняли участие по меньшей мере в одном этапе процесса анализа, будь то электронные консультации, консультативные заседания, неофициальная специальная рабочая группа открытого состава или дебаты в ходе тринадцатой сессии Комитета в 2018 году. На четырнадцатой сессии Комитета в 2019 году обсуждались результаты анализа (см. </w:t>
      </w:r>
      <w:hyperlink r:id="rId22" w:history="1">
        <w:r w:rsidRPr="006D4CD5">
          <w:rPr>
            <w:rStyle w:val="Lienhypertexte"/>
          </w:rPr>
          <w:t xml:space="preserve">Решение </w:t>
        </w:r>
        <w:r>
          <w:rPr>
            <w:rStyle w:val="Lienhypertexte"/>
          </w:rPr>
          <w:t>14.COM 15</w:t>
        </w:r>
      </w:hyperlink>
      <w:r>
        <w:t>), в том числе следующие основные моменты:</w:t>
      </w:r>
    </w:p>
    <w:p w14:paraId="7CBC3DA6" w14:textId="77777777" w:rsidR="003F2837" w:rsidRPr="00C84BA3" w:rsidRDefault="003F2837" w:rsidP="003F2837">
      <w:pPr>
        <w:pStyle w:val="COMPara"/>
        <w:numPr>
          <w:ilvl w:val="0"/>
          <w:numId w:val="58"/>
        </w:numPr>
        <w:jc w:val="both"/>
      </w:pPr>
      <w:r>
        <w:rPr>
          <w:shd w:val="clear" w:color="auto" w:fill="FFFFFF" w:themeFill="background1"/>
        </w:rPr>
        <w:t>В результате анализа был сделан вывод о том, что</w:t>
      </w:r>
      <w:r>
        <w:t xml:space="preserve"> вариант установления максимального количества аккредитованных НПО в перепредставленных регионах не был встречен с одобрением. Вместо этого предпочтение было отдано инициативам по повышению осведомленности о системе аккредитации и наращиванию потенциала НПО в недопредставленных регионах.</w:t>
      </w:r>
    </w:p>
    <w:p w14:paraId="5C95FB1F" w14:textId="77777777" w:rsidR="003F2837" w:rsidRPr="00C84BA3" w:rsidRDefault="003F2837" w:rsidP="003F2837">
      <w:pPr>
        <w:pStyle w:val="COMPara"/>
        <w:numPr>
          <w:ilvl w:val="0"/>
          <w:numId w:val="58"/>
        </w:numPr>
        <w:jc w:val="both"/>
      </w:pPr>
      <w:r>
        <w:t xml:space="preserve">Кроме того, Комитет направил усилия но то, чтобы услышать мнения НПО посредством более значимого и регулярного взаимодействия между Комитетом и Форумом неправительственных организаций нематериального культурного наследия (НПО НКН) и поэтому решил включить на экспериментальной основе отдельный пункт «Доклад Форума неправительственных организаций» в повестку своей пятнадцатой сессии в 2020 году. </w:t>
      </w:r>
    </w:p>
    <w:p w14:paraId="00CFAACF" w14:textId="77777777" w:rsidR="003F2837" w:rsidRPr="00C84BA3" w:rsidRDefault="003F2837" w:rsidP="003F2837">
      <w:pPr>
        <w:pStyle w:val="COMPara"/>
        <w:numPr>
          <w:ilvl w:val="0"/>
          <w:numId w:val="58"/>
        </w:numPr>
        <w:jc w:val="both"/>
      </w:pPr>
      <w:r>
        <w:t>Комитет также постановил, что составление карты сети аккредитованных НПО позволит облегчить их участие в осуществлении Конвенции и работе Комитета. В этой связи Секретариату было предложено собрать соответствующую информацию от аккредитованных НПО, чтобы составить карту их компетенций и обозначить их возможности.</w:t>
      </w:r>
    </w:p>
    <w:p w14:paraId="39D872CF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 xml:space="preserve">Приняв к сведению результаты процесса анализа, восьмая сессия Генеральной ассамблеи просила Секретариат выполнить соответствующие решения Комитета в консультации и сотрудничестве с Форумом НПО НКН (см. </w:t>
      </w:r>
      <w:r w:rsidRPr="00897A50">
        <w:t xml:space="preserve">Резолюцию </w:t>
      </w:r>
      <w:hyperlink r:id="rId23" w:history="1">
        <w:r w:rsidRPr="00897A50">
          <w:rPr>
            <w:rStyle w:val="Lienhypertexte"/>
          </w:rPr>
          <w:t>8.GA.12</w:t>
        </w:r>
      </w:hyperlink>
      <w:r>
        <w:t xml:space="preserve">). В этой связи Комитет включил отдельный пункт «Доклад Форума неправительственных организаций» в повестку дня шестнадцатой (2021 год), семнадцатой (2022 год) и восемнадцатой (2023 год) сессий. Кроме того, в 2023 году в сотрудничестве с Форумом НПО НКН был завершен первый раунд составления карты областей компетенций 65 аккредитованных НПО. Результаты были представлены на восемнадцатой сессии Комитета и размещены на </w:t>
      </w:r>
      <w:hyperlink r:id="rId24" w:history="1">
        <w:r>
          <w:rPr>
            <w:rStyle w:val="Lienhypertexte"/>
          </w:rPr>
          <w:t>веб-странице</w:t>
        </w:r>
      </w:hyperlink>
      <w:r>
        <w:t xml:space="preserve"> Конвенции, посвященной аккредитованным НПО. Комитет рекомендовал Секретариату продолжить сотрудничество с Форумом НПО НКН, чтобы обеспечить участие всех остальных аккредитованных НПО в процессе составления карты.</w:t>
      </w:r>
    </w:p>
    <w:p w14:paraId="3FB93E1A" w14:textId="77777777" w:rsidR="003F2837" w:rsidRPr="00C84BA3" w:rsidRDefault="003F2837" w:rsidP="00DB2741">
      <w:pPr>
        <w:pStyle w:val="COMPara"/>
        <w:spacing w:before="240"/>
        <w:jc w:val="both"/>
        <w:rPr>
          <w:b/>
          <w:bCs/>
        </w:rPr>
      </w:pPr>
      <w:r>
        <w:rPr>
          <w:b/>
        </w:rPr>
        <w:t>Новый призыв к действию</w:t>
      </w:r>
    </w:p>
    <w:p w14:paraId="409034A7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 xml:space="preserve">В контексте завершения глобального анализа механизмов включения Конвенции 2003 года (2018–2022 гг.), а также подготовки к двадцатой годовщине Конвенции в 2023 году девятая сессия Генеральной ассамблеи в 2022 году вновь вернулась к </w:t>
      </w:r>
      <w:r>
        <w:lastRenderedPageBreak/>
        <w:t>вопросу о несбалансированности географической представленности аккредитованных НПО. После аккредитации 33 новых НПО региональное распределение аккредитованных НПО выглядело следующим образом: Группа I: 53 %, Группа II: 10 %, Группа III: 7 %, Группа IV: 14 %, Группа Va): 12 % и Группа Vb): 5 %. Учитывая сохраняющийся дисбаланс между регионами, было сочтено необходимым принять более решительные меры для привлечения НПО из недопредставленных регионов.</w:t>
      </w:r>
    </w:p>
    <w:p w14:paraId="7740AFE6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 xml:space="preserve">Следовательно, девятая сессия Генеральной ассамблеи в 2022 году просила Секретариат в консультации с государствами-участниками, национальными комиссиями и Форумом НПО НКН представить десятой сессии Генеральной ассамблеи «план, стратегию и четкие механизмы, направленные на обеспечение географической сбалансированности между аккредитованными НПО» (см. Резолюцию </w:t>
      </w:r>
      <w:hyperlink r:id="rId25" w:history="1">
        <w:r w:rsidRPr="00CC2E9F">
          <w:rPr>
            <w:rStyle w:val="Lienhypertexte"/>
          </w:rPr>
          <w:t>9.GA.7</w:t>
        </w:r>
      </w:hyperlink>
      <w:r w:rsidRPr="00CC2E9F">
        <w:rPr>
          <w:lang w:val="en-US"/>
        </w:rPr>
        <w:t>)</w:t>
      </w:r>
      <w:r>
        <w:rPr>
          <w:lang w:val="en-US"/>
        </w:rPr>
        <w:t>.</w:t>
      </w:r>
    </w:p>
    <w:p w14:paraId="07A90477" w14:textId="77777777" w:rsidR="003F2837" w:rsidRPr="00C84BA3" w:rsidRDefault="003F2837" w:rsidP="008000B4">
      <w:pPr>
        <w:pStyle w:val="COMPara"/>
        <w:spacing w:before="240"/>
        <w:jc w:val="both"/>
        <w:rPr>
          <w:b/>
          <w:bCs/>
        </w:rPr>
      </w:pPr>
      <w:r>
        <w:rPr>
          <w:b/>
        </w:rPr>
        <w:t>Процесс разработки плана</w:t>
      </w:r>
    </w:p>
    <w:p w14:paraId="7A1D1115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>Следующие действия обеспечили необходимые элементы для разработки запрошенного плана:</w:t>
      </w:r>
    </w:p>
    <w:p w14:paraId="48255A40" w14:textId="77777777" w:rsidR="003F2837" w:rsidRPr="00C84BA3" w:rsidRDefault="003F2837" w:rsidP="00D74D86">
      <w:pPr>
        <w:pStyle w:val="COMPara"/>
        <w:keepNext/>
        <w:ind w:left="567"/>
        <w:jc w:val="both"/>
        <w:rPr>
          <w:u w:val="single"/>
        </w:rPr>
      </w:pPr>
      <w:r>
        <w:rPr>
          <w:u w:val="single"/>
        </w:rPr>
        <w:t>Форум НПО НКН и центры категории 2</w:t>
      </w:r>
    </w:p>
    <w:p w14:paraId="5C041A65" w14:textId="77777777" w:rsidR="003F2837" w:rsidRPr="00C84BA3" w:rsidRDefault="003F2837" w:rsidP="003F2837">
      <w:pPr>
        <w:pStyle w:val="COMPara"/>
        <w:keepNext/>
        <w:numPr>
          <w:ilvl w:val="0"/>
          <w:numId w:val="9"/>
        </w:numPr>
        <w:ind w:left="567" w:hanging="567"/>
        <w:jc w:val="both"/>
      </w:pPr>
      <w:r>
        <w:t xml:space="preserve">Как было отмечено на восемнадцатой сессии Комитета в 2023 году, Форум НПО НКН учредил специальную рабочую группу для проведения мероприятий в 2022 году, направленных на увеличение числа НПО из недопредставленных регионов (см. Решение </w:t>
      </w:r>
      <w:hyperlink r:id="rId26" w:history="1">
        <w:r>
          <w:rPr>
            <w:rStyle w:val="Lienhypertexte"/>
          </w:rPr>
          <w:t>18.COM 15</w:t>
        </w:r>
      </w:hyperlink>
      <w:r>
        <w:t>). Из всех перечисленных пунктов действий Форум НПО НКН сообщил, в частности, что: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3F2837" w:rsidRPr="00C84BA3" w14:paraId="5F0C8B87" w14:textId="77777777" w:rsidTr="009873C0">
        <w:tc>
          <w:tcPr>
            <w:tcW w:w="9066" w:type="dxa"/>
          </w:tcPr>
          <w:p w14:paraId="24758A08" w14:textId="77777777" w:rsidR="003F2837" w:rsidRPr="00C84BA3" w:rsidRDefault="003F2837" w:rsidP="00563EB2">
            <w:pPr>
              <w:spacing w:before="120" w:after="120"/>
              <w:jc w:val="both"/>
              <w:textAlignment w:val="baseline"/>
              <w:rPr>
                <w:rFonts w:asciiTheme="minorBidi" w:eastAsia="Georgia" w:hAnsiTheme="minorBidi" w:cstheme="minorBidi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«В течение четырех месяцев, предшествовавших крайнему сроку аккредитации 30 апреля, Форум подготовил онлайн-семинары</w:t>
            </w:r>
            <w:r>
              <w:rPr>
                <w:rFonts w:asciiTheme="minorBidi" w:hAnsiTheme="minorBidi"/>
                <w:sz w:val="22"/>
              </w:rPr>
              <w:t xml:space="preserve"> и информационные сессии в недопредставленных регионах, на которых были представлены Конвенция и Форум, изложены преимущества аккредитации и представлены пошаговые инструкции по заполнению форм аккредитации. Данные мероприятия состоялись в</w:t>
            </w:r>
            <w:r>
              <w:t xml:space="preserve"> </w:t>
            </w:r>
            <w:r w:rsidRPr="0072433F">
              <w:rPr>
                <w:rFonts w:asciiTheme="minorBidi" w:hAnsiTheme="minorBidi"/>
                <w:sz w:val="22"/>
              </w:rPr>
              <w:t>Группа</w:t>
            </w:r>
            <w:r>
              <w:rPr>
                <w:rFonts w:asciiTheme="minorBidi" w:hAnsiTheme="minorBidi"/>
                <w:sz w:val="22"/>
              </w:rPr>
              <w:t xml:space="preserve"> III (Латинская Америка и Карибский бассейн), </w:t>
            </w:r>
            <w:r w:rsidRPr="0072433F">
              <w:rPr>
                <w:rFonts w:asciiTheme="minorBidi" w:hAnsiTheme="minorBidi"/>
                <w:sz w:val="22"/>
              </w:rPr>
              <w:t>Группа</w:t>
            </w:r>
            <w:r>
              <w:rPr>
                <w:rFonts w:asciiTheme="minorBidi" w:hAnsiTheme="minorBidi"/>
                <w:sz w:val="22"/>
              </w:rPr>
              <w:t xml:space="preserve"> IV (Азиатско-Тихоокеанский регион), </w:t>
            </w:r>
            <w:r w:rsidRPr="0072433F">
              <w:rPr>
                <w:rFonts w:asciiTheme="minorBidi" w:hAnsiTheme="minorBidi"/>
                <w:sz w:val="22"/>
              </w:rPr>
              <w:t>Группа</w:t>
            </w:r>
            <w:r>
              <w:rPr>
                <w:rFonts w:asciiTheme="minorBidi" w:hAnsiTheme="minorBidi"/>
                <w:sz w:val="22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2"/>
              </w:rPr>
              <w:t>Va</w:t>
            </w:r>
            <w:proofErr w:type="spellEnd"/>
            <w:r>
              <w:rPr>
                <w:rFonts w:asciiTheme="minorBidi" w:hAnsiTheme="minorBidi"/>
                <w:sz w:val="22"/>
              </w:rPr>
              <w:t xml:space="preserve"> (Африка) и </w:t>
            </w:r>
            <w:r w:rsidRPr="0072433F">
              <w:rPr>
                <w:rFonts w:asciiTheme="minorBidi" w:hAnsiTheme="minorBidi"/>
                <w:sz w:val="22"/>
              </w:rPr>
              <w:t>Группа</w:t>
            </w:r>
            <w:r>
              <w:rPr>
                <w:rFonts w:asciiTheme="minorBidi" w:hAnsiTheme="minorBidi"/>
                <w:sz w:val="22"/>
              </w:rPr>
              <w:t xml:space="preserve"> II (Восточная Европа). Посещаемость этих мероприятий была высокой, и в них приняли участие представители 31 аккредитованной НПО. Семинары </w:t>
            </w:r>
            <w:r w:rsidRPr="0072433F">
              <w:rPr>
                <w:rFonts w:asciiTheme="minorBidi" w:hAnsiTheme="minorBidi"/>
                <w:sz w:val="22"/>
              </w:rPr>
              <w:t>Группа</w:t>
            </w:r>
            <w:r>
              <w:rPr>
                <w:rFonts w:asciiTheme="minorBidi" w:hAnsiTheme="minorBidi"/>
                <w:sz w:val="22"/>
              </w:rPr>
              <w:t xml:space="preserve"> II и III были подготовлены в сотрудничестве с центрами категории 2».</w:t>
            </w:r>
          </w:p>
          <w:p w14:paraId="4C3D199D" w14:textId="77777777" w:rsidR="003F2837" w:rsidRPr="00C84BA3" w:rsidRDefault="003F2837" w:rsidP="00563EB2">
            <w:pPr>
              <w:spacing w:before="120" w:after="120"/>
              <w:jc w:val="right"/>
              <w:textAlignment w:val="baseline"/>
              <w:rPr>
                <w:rFonts w:asciiTheme="minorBidi" w:eastAsia="Georgia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Выдержка из документа 18.COM 15</w:t>
            </w:r>
          </w:p>
        </w:tc>
      </w:tr>
    </w:tbl>
    <w:p w14:paraId="7F519EAB" w14:textId="77777777" w:rsidR="003F2837" w:rsidRPr="00C84BA3" w:rsidRDefault="003F2837" w:rsidP="003F2837">
      <w:pPr>
        <w:pStyle w:val="COMPara"/>
        <w:keepNext/>
        <w:numPr>
          <w:ilvl w:val="0"/>
          <w:numId w:val="9"/>
        </w:numPr>
        <w:spacing w:before="240"/>
        <w:ind w:left="567" w:hanging="567"/>
        <w:jc w:val="both"/>
      </w:pPr>
      <w:r>
        <w:t>Форум НКО НКН также разработал план действий, который включает в себя: (</w:t>
      </w:r>
      <w:r>
        <w:rPr>
          <w:lang w:val="en-US"/>
        </w:rPr>
        <w:t>a</w:t>
      </w:r>
      <w:r>
        <w:t>) создание базы данных неаккредитованных НПО в недопредставленных регионах; (b) разработка инструментария, содержащего короткие видеоролики и листовки, направленные на повышение осведомленности; (c) сотрудничество с государствами-участниками в недопредставленных регионах для генерирования запросов на аккредитацию; а также (d) информационно-пропагандистская деятельность для поощрения НПО, которые в значительной степени участвуют, но не специализируются на охране живого наследия, таких как библиотеки, архивы и организации культуры. Некоторые центры категории 2, работающие в области нематериального культурного наследия, также активно участвовали в наращивании потенциала национальных координационных центров, назначенных для подготовки периодических докладов по вопросам, связанным с участием НПО в осуществлении Конвенции 2003 года на национальном уровне.</w:t>
      </w:r>
    </w:p>
    <w:p w14:paraId="79410426" w14:textId="77777777" w:rsidR="003F2837" w:rsidRPr="00C84BA3" w:rsidRDefault="003F2837" w:rsidP="00D74D86">
      <w:pPr>
        <w:pStyle w:val="COMPara"/>
        <w:keepNext/>
        <w:ind w:left="567"/>
        <w:jc w:val="both"/>
        <w:rPr>
          <w:u w:val="single"/>
        </w:rPr>
      </w:pPr>
      <w:r>
        <w:rPr>
          <w:u w:val="single"/>
        </w:rPr>
        <w:t>Консультации с государствами-участниками</w:t>
      </w:r>
    </w:p>
    <w:p w14:paraId="4E4913B9" w14:textId="77777777" w:rsidR="003F2837" w:rsidRPr="0077545C" w:rsidRDefault="003F2837" w:rsidP="003F2837">
      <w:pPr>
        <w:pStyle w:val="COMPara"/>
        <w:keepNext/>
        <w:numPr>
          <w:ilvl w:val="0"/>
          <w:numId w:val="9"/>
        </w:numPr>
        <w:ind w:left="567" w:hanging="567"/>
        <w:jc w:val="both"/>
      </w:pPr>
      <w:r>
        <w:t>Секретариат предложил всем государствам-участникам</w:t>
      </w:r>
      <w:r w:rsidRPr="0077545C">
        <w:t xml:space="preserve"> </w:t>
      </w:r>
      <w:bookmarkStart w:id="6" w:name="_Hlk168501170"/>
      <w:r>
        <w:t>Конвенции</w:t>
      </w:r>
      <w:bookmarkEnd w:id="6"/>
      <w:r>
        <w:t xml:space="preserve"> (включая постоянные делегации и национальные комиссии) представить свои мнения в рамках онлайн-опроса, который был проведен в период с 26 апреля по 15 мая 2024 года. Вопросы опроса были сосредоточены на том, каким мерам следует отдавать приоритет </w:t>
      </w:r>
      <w:r>
        <w:lastRenderedPageBreak/>
        <w:t>для улучшения географической сбалансированности. Ответы, полученные от 37 государств-участников, можно резюмировать следующим образом: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  <w:gridCol w:w="1695"/>
      </w:tblGrid>
      <w:tr w:rsidR="003F2837" w:rsidRPr="00314DD6" w14:paraId="1B962E80" w14:textId="77777777" w:rsidTr="00C322DB">
        <w:tc>
          <w:tcPr>
            <w:tcW w:w="7371" w:type="dxa"/>
            <w:shd w:val="clear" w:color="auto" w:fill="DEEAF6" w:themeFill="accent1" w:themeFillTint="33"/>
          </w:tcPr>
          <w:p w14:paraId="18B6D0FF" w14:textId="77777777" w:rsidR="003F2837" w:rsidRPr="0077545C" w:rsidRDefault="003F2837" w:rsidP="00267CCC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77545C">
              <w:rPr>
                <w:rFonts w:ascii="Arial" w:hAnsi="Arial"/>
                <w:b/>
                <w:sz w:val="22"/>
                <w:szCs w:val="32"/>
              </w:rPr>
              <w:t>Возможные меры</w:t>
            </w:r>
          </w:p>
        </w:tc>
        <w:tc>
          <w:tcPr>
            <w:tcW w:w="1695" w:type="dxa"/>
            <w:shd w:val="clear" w:color="auto" w:fill="DEEAF6" w:themeFill="accent1" w:themeFillTint="33"/>
          </w:tcPr>
          <w:p w14:paraId="387C820E" w14:textId="77777777" w:rsidR="003F2837" w:rsidRPr="0077545C" w:rsidRDefault="003F2837" w:rsidP="00267CCC">
            <w:pPr>
              <w:pStyle w:val="COMPara"/>
              <w:keepNext/>
              <w:spacing w:after="0"/>
              <w:jc w:val="both"/>
              <w:rPr>
                <w:b/>
                <w:bCs/>
                <w:szCs w:val="32"/>
              </w:rPr>
            </w:pPr>
            <w:r w:rsidRPr="0077545C">
              <w:rPr>
                <w:b/>
                <w:snapToGrid/>
                <w:szCs w:val="32"/>
              </w:rPr>
              <w:t>Реакция</w:t>
            </w:r>
            <w:r w:rsidRPr="0077545C">
              <w:rPr>
                <w:rStyle w:val="Appelnotedebasdep"/>
                <w:b/>
                <w:bCs/>
                <w:snapToGrid/>
                <w:szCs w:val="32"/>
                <w:lang w:eastAsia="fr-FR"/>
              </w:rPr>
              <w:footnoteReference w:id="3"/>
            </w:r>
            <w:r w:rsidRPr="0077545C">
              <w:rPr>
                <w:b/>
                <w:snapToGrid/>
                <w:szCs w:val="32"/>
              </w:rPr>
              <w:t xml:space="preserve"> </w:t>
            </w:r>
          </w:p>
        </w:tc>
      </w:tr>
      <w:tr w:rsidR="003F2837" w:rsidRPr="00314DD6" w14:paraId="1BCED8A4" w14:textId="77777777" w:rsidTr="00C322DB">
        <w:tc>
          <w:tcPr>
            <w:tcW w:w="7371" w:type="dxa"/>
          </w:tcPr>
          <w:p w14:paraId="6B82AF0D" w14:textId="77777777" w:rsidR="003F2837" w:rsidRPr="0077545C" w:rsidRDefault="003F2837" w:rsidP="004E3587">
            <w:pPr>
              <w:rPr>
                <w:rFonts w:ascii="Arial" w:hAnsi="Arial" w:cs="Arial"/>
                <w:sz w:val="22"/>
                <w:szCs w:val="32"/>
              </w:rPr>
            </w:pPr>
            <w:r w:rsidRPr="0077545C">
              <w:rPr>
                <w:rFonts w:ascii="Arial" w:hAnsi="Arial"/>
                <w:sz w:val="22"/>
                <w:szCs w:val="32"/>
              </w:rPr>
              <w:t>Реализация инициатив по наращиванию потенциала как аккредитованных, так и неаккредитованных НПО из недопредставленных регионов</w:t>
            </w:r>
          </w:p>
        </w:tc>
        <w:tc>
          <w:tcPr>
            <w:tcW w:w="1695" w:type="dxa"/>
          </w:tcPr>
          <w:p w14:paraId="0F827BAA" w14:textId="77777777" w:rsidR="003F2837" w:rsidRPr="0077545C" w:rsidRDefault="003F2837" w:rsidP="004E3587">
            <w:pPr>
              <w:pStyle w:val="COMPara"/>
              <w:keepNext/>
              <w:spacing w:after="0"/>
              <w:jc w:val="both"/>
              <w:rPr>
                <w:rFonts w:cstheme="minorHAnsi"/>
                <w:szCs w:val="32"/>
              </w:rPr>
            </w:pPr>
            <w:r w:rsidRPr="0077545C">
              <w:rPr>
                <w:szCs w:val="32"/>
              </w:rPr>
              <w:t>23 (62 %)</w:t>
            </w:r>
          </w:p>
        </w:tc>
      </w:tr>
      <w:tr w:rsidR="003F2837" w:rsidRPr="00314DD6" w14:paraId="346B5F0A" w14:textId="77777777" w:rsidTr="00C322DB">
        <w:tc>
          <w:tcPr>
            <w:tcW w:w="7371" w:type="dxa"/>
          </w:tcPr>
          <w:p w14:paraId="6959C1AD" w14:textId="77777777" w:rsidR="003F2837" w:rsidRPr="0077545C" w:rsidRDefault="003F2837" w:rsidP="004E3587">
            <w:pPr>
              <w:rPr>
                <w:rFonts w:ascii="Arial" w:hAnsi="Arial" w:cs="Arial"/>
                <w:sz w:val="22"/>
                <w:szCs w:val="32"/>
              </w:rPr>
            </w:pPr>
            <w:r w:rsidRPr="0077545C">
              <w:rPr>
                <w:rFonts w:ascii="Arial" w:hAnsi="Arial"/>
                <w:sz w:val="22"/>
                <w:szCs w:val="32"/>
              </w:rPr>
              <w:t>Реализация инициатив по повышению осведомленности (например, информационные онлайн-сессии, комплект информационных материалов) в недопредставленных регионах о системе аккредитации и преимуществах аккредитации</w:t>
            </w:r>
          </w:p>
        </w:tc>
        <w:tc>
          <w:tcPr>
            <w:tcW w:w="1695" w:type="dxa"/>
          </w:tcPr>
          <w:p w14:paraId="3367E93C" w14:textId="77777777" w:rsidR="003F2837" w:rsidRPr="0077545C" w:rsidRDefault="003F2837" w:rsidP="004E3587">
            <w:pPr>
              <w:pStyle w:val="COMPara"/>
              <w:keepNext/>
              <w:spacing w:after="0"/>
              <w:jc w:val="both"/>
              <w:rPr>
                <w:szCs w:val="32"/>
              </w:rPr>
            </w:pPr>
            <w:r w:rsidRPr="0077545C">
              <w:rPr>
                <w:szCs w:val="32"/>
              </w:rPr>
              <w:t>17 (46 %)</w:t>
            </w:r>
          </w:p>
        </w:tc>
      </w:tr>
      <w:tr w:rsidR="003F2837" w:rsidRPr="00314DD6" w14:paraId="1D3F42B2" w14:textId="77777777" w:rsidTr="00C322DB">
        <w:tc>
          <w:tcPr>
            <w:tcW w:w="7371" w:type="dxa"/>
          </w:tcPr>
          <w:p w14:paraId="1629DDF9" w14:textId="77777777" w:rsidR="003F2837" w:rsidRPr="0077545C" w:rsidRDefault="003F2837" w:rsidP="004E3587">
            <w:pPr>
              <w:rPr>
                <w:rFonts w:ascii="Arial" w:hAnsi="Arial" w:cs="Arial"/>
                <w:sz w:val="22"/>
                <w:szCs w:val="32"/>
              </w:rPr>
            </w:pPr>
            <w:r w:rsidRPr="0077545C">
              <w:rPr>
                <w:rFonts w:ascii="Arial" w:hAnsi="Arial"/>
                <w:sz w:val="22"/>
                <w:szCs w:val="32"/>
              </w:rPr>
              <w:t>Поощрение центров категории 2, полевых отделений ЮНЕСКО и Форума НПО НКН к расширению взаимодействия в рамках Конвенции с НПО в недопредставленных регионах</w:t>
            </w:r>
          </w:p>
        </w:tc>
        <w:tc>
          <w:tcPr>
            <w:tcW w:w="1695" w:type="dxa"/>
          </w:tcPr>
          <w:p w14:paraId="5F355D0A" w14:textId="77777777" w:rsidR="003F2837" w:rsidRPr="0077545C" w:rsidRDefault="003F2837" w:rsidP="004E3587">
            <w:pPr>
              <w:pStyle w:val="COMPara"/>
              <w:keepNext/>
              <w:spacing w:after="0"/>
              <w:jc w:val="both"/>
              <w:rPr>
                <w:szCs w:val="32"/>
              </w:rPr>
            </w:pPr>
            <w:r w:rsidRPr="0077545C">
              <w:rPr>
                <w:szCs w:val="32"/>
              </w:rPr>
              <w:t>17 (46 %)</w:t>
            </w:r>
          </w:p>
        </w:tc>
      </w:tr>
      <w:tr w:rsidR="003F2837" w:rsidRPr="00314DD6" w14:paraId="5B412727" w14:textId="77777777" w:rsidTr="00C322DB">
        <w:tc>
          <w:tcPr>
            <w:tcW w:w="7371" w:type="dxa"/>
          </w:tcPr>
          <w:p w14:paraId="1EEE5605" w14:textId="77777777" w:rsidR="003F2837" w:rsidRPr="0077545C" w:rsidRDefault="003F2837" w:rsidP="004E3587">
            <w:pPr>
              <w:rPr>
                <w:rFonts w:ascii="Arial" w:hAnsi="Arial" w:cs="Arial"/>
                <w:sz w:val="22"/>
                <w:szCs w:val="32"/>
              </w:rPr>
            </w:pPr>
            <w:r w:rsidRPr="0077545C">
              <w:rPr>
                <w:rFonts w:ascii="Arial" w:hAnsi="Arial"/>
                <w:sz w:val="22"/>
                <w:szCs w:val="32"/>
              </w:rPr>
              <w:t>Проведение исследований для лучшего понимания различных проблем, стоящих перед НПО</w:t>
            </w:r>
          </w:p>
        </w:tc>
        <w:tc>
          <w:tcPr>
            <w:tcW w:w="1695" w:type="dxa"/>
          </w:tcPr>
          <w:p w14:paraId="3866CFDD" w14:textId="77777777" w:rsidR="003F2837" w:rsidRPr="0077545C" w:rsidRDefault="003F2837" w:rsidP="004E3587">
            <w:pPr>
              <w:pStyle w:val="COMPara"/>
              <w:keepNext/>
              <w:spacing w:after="0"/>
              <w:jc w:val="both"/>
              <w:rPr>
                <w:szCs w:val="32"/>
              </w:rPr>
            </w:pPr>
            <w:r w:rsidRPr="0077545C">
              <w:rPr>
                <w:szCs w:val="32"/>
              </w:rPr>
              <w:t>8 (22 %)</w:t>
            </w:r>
          </w:p>
        </w:tc>
      </w:tr>
      <w:tr w:rsidR="003F2837" w:rsidRPr="00314DD6" w14:paraId="64B7787A" w14:textId="77777777" w:rsidTr="00C322DB">
        <w:tc>
          <w:tcPr>
            <w:tcW w:w="7371" w:type="dxa"/>
          </w:tcPr>
          <w:p w14:paraId="6D87E326" w14:textId="77777777" w:rsidR="003F2837" w:rsidRPr="0077545C" w:rsidRDefault="003F2837" w:rsidP="00854A9C">
            <w:pPr>
              <w:rPr>
                <w:rFonts w:ascii="Arial" w:hAnsi="Arial" w:cs="Arial"/>
                <w:sz w:val="22"/>
                <w:szCs w:val="32"/>
              </w:rPr>
            </w:pPr>
            <w:r w:rsidRPr="0077545C">
              <w:rPr>
                <w:rFonts w:ascii="Arial" w:hAnsi="Arial"/>
                <w:sz w:val="22"/>
                <w:szCs w:val="32"/>
              </w:rPr>
              <w:t>Пересмотр формы аккредитации ICH-09, который позволит сделать процесс подачи заявок более доступным</w:t>
            </w:r>
          </w:p>
        </w:tc>
        <w:tc>
          <w:tcPr>
            <w:tcW w:w="1695" w:type="dxa"/>
          </w:tcPr>
          <w:p w14:paraId="11221CCC" w14:textId="77777777" w:rsidR="003F2837" w:rsidRPr="0077545C" w:rsidRDefault="003F2837" w:rsidP="004E3587">
            <w:pPr>
              <w:pStyle w:val="COMPara"/>
              <w:keepNext/>
              <w:spacing w:after="0"/>
              <w:jc w:val="both"/>
              <w:rPr>
                <w:szCs w:val="32"/>
              </w:rPr>
            </w:pPr>
            <w:r w:rsidRPr="0077545C">
              <w:rPr>
                <w:szCs w:val="32"/>
              </w:rPr>
              <w:t>5 (14 %)</w:t>
            </w:r>
          </w:p>
        </w:tc>
      </w:tr>
      <w:tr w:rsidR="003F2837" w:rsidRPr="00314DD6" w14:paraId="748E7642" w14:textId="77777777" w:rsidTr="0077545C">
        <w:trPr>
          <w:trHeight w:val="264"/>
        </w:trPr>
        <w:tc>
          <w:tcPr>
            <w:tcW w:w="7371" w:type="dxa"/>
          </w:tcPr>
          <w:p w14:paraId="6D95CD43" w14:textId="77777777" w:rsidR="003F2837" w:rsidRPr="0077545C" w:rsidRDefault="003F2837" w:rsidP="004E3587">
            <w:pPr>
              <w:rPr>
                <w:rFonts w:ascii="Arial" w:hAnsi="Arial" w:cs="Arial"/>
                <w:sz w:val="22"/>
                <w:szCs w:val="32"/>
              </w:rPr>
            </w:pPr>
            <w:r w:rsidRPr="0077545C">
              <w:rPr>
                <w:rFonts w:ascii="Arial" w:hAnsi="Arial"/>
                <w:sz w:val="22"/>
                <w:szCs w:val="32"/>
              </w:rPr>
              <w:t>Внедрение системы квот на аккредитацию НПО</w:t>
            </w:r>
          </w:p>
        </w:tc>
        <w:tc>
          <w:tcPr>
            <w:tcW w:w="1695" w:type="dxa"/>
          </w:tcPr>
          <w:p w14:paraId="26F08797" w14:textId="77777777" w:rsidR="003F2837" w:rsidRPr="0077545C" w:rsidRDefault="003F2837" w:rsidP="004E3587">
            <w:pPr>
              <w:pStyle w:val="COMPara"/>
              <w:keepNext/>
              <w:spacing w:after="0"/>
              <w:jc w:val="both"/>
              <w:rPr>
                <w:szCs w:val="32"/>
              </w:rPr>
            </w:pPr>
            <w:r w:rsidRPr="0077545C">
              <w:rPr>
                <w:szCs w:val="32"/>
              </w:rPr>
              <w:t>3 (8 %)</w:t>
            </w:r>
          </w:p>
        </w:tc>
      </w:tr>
    </w:tbl>
    <w:p w14:paraId="185BA9FB" w14:textId="77777777" w:rsidR="003F2837" w:rsidRDefault="003F2837" w:rsidP="00624427">
      <w:pPr>
        <w:pStyle w:val="COMPara"/>
        <w:ind w:left="567"/>
        <w:jc w:val="both"/>
        <w:rPr>
          <w:u w:val="single"/>
          <w:lang w:val="en-US"/>
        </w:rPr>
      </w:pPr>
    </w:p>
    <w:p w14:paraId="0F94BA29" w14:textId="77777777" w:rsidR="003F2837" w:rsidRPr="00C84BA3" w:rsidRDefault="003F2837" w:rsidP="00624427">
      <w:pPr>
        <w:pStyle w:val="COMPara"/>
        <w:ind w:left="567"/>
        <w:jc w:val="both"/>
        <w:rPr>
          <w:u w:val="single"/>
        </w:rPr>
      </w:pPr>
      <w:r>
        <w:rPr>
          <w:u w:val="single"/>
        </w:rPr>
        <w:t>Приоритетные тематические направления</w:t>
      </w:r>
    </w:p>
    <w:p w14:paraId="57B65E4E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 xml:space="preserve">Призыв к новым действиям является своевременным, поскольку приоритетные области для дальнейшего развития Конвенции 2003 года были уточнены в ходе анализа, проведенного в рамках двадцатой годовщины Конвенции 2003 года, о чем было сообщено на нынешней сессии Генеральной ассамблеи по пункту 10 повестки дня (см. документ </w:t>
      </w:r>
      <w:hyperlink r:id="rId27" w:history="1">
        <w:r w:rsidRPr="00897A50">
          <w:rPr>
            <w:rStyle w:val="Lienhypertexte"/>
          </w:rPr>
          <w:t>LHE/24/10.GA/10</w:t>
        </w:r>
      </w:hyperlink>
      <w:r w:rsidRPr="00897A50">
        <w:t>).</w:t>
      </w:r>
      <w:r>
        <w:t xml:space="preserve"> Эти приоритетные области включают охрану живого наследия и средства к существованию, действия по борьбе с изменением климата и урбанистический контекст, живое наследие в чрезвычайных ситуациях, интеграцию культуры в образование и живого наследия в цифровую среду. Поэтому было бы уместно сосредоточить усилия на выявлении НПО, обладающих компетенциями в этих конкретных областях.</w:t>
      </w:r>
    </w:p>
    <w:p w14:paraId="0A4CC502" w14:textId="77777777" w:rsidR="003F2837" w:rsidRPr="00C84BA3" w:rsidRDefault="003F2837" w:rsidP="002F2D9D">
      <w:pPr>
        <w:pStyle w:val="COMPara"/>
        <w:spacing w:before="240"/>
        <w:ind w:left="567"/>
        <w:jc w:val="both"/>
        <w:rPr>
          <w:b/>
          <w:bCs/>
        </w:rPr>
      </w:pPr>
      <w:r>
        <w:rPr>
          <w:b/>
        </w:rPr>
        <w:t>Предлагаемый план</w:t>
      </w:r>
    </w:p>
    <w:p w14:paraId="3E2E9C11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>Основываясь на опыте Форума НКО НКН и центров категории 2, осуществляющих деятельность в области нематериального культурного наследия, в сочетании с результатами опроса рекомендуются следующие действия, структурированные по четырем основным направлениям:</w:t>
      </w:r>
    </w:p>
    <w:p w14:paraId="1D2616D0" w14:textId="77777777" w:rsidR="003F2837" w:rsidRPr="00C84BA3" w:rsidRDefault="003F2837" w:rsidP="00294B56">
      <w:pPr>
        <w:pStyle w:val="COMPara"/>
        <w:ind w:left="567"/>
        <w:jc w:val="both"/>
        <w:rPr>
          <w:u w:val="single"/>
        </w:rPr>
      </w:pPr>
      <w:r>
        <w:rPr>
          <w:u w:val="single"/>
        </w:rPr>
        <w:t>A: Информационно-пропагандистская работа и обмен информацией о процессе аккредитации и его преимуществах, особенно за несколько месяцев до крайнего срока подачи заявок на аккредитацию</w:t>
      </w:r>
    </w:p>
    <w:p w14:paraId="5945ECD9" w14:textId="77777777" w:rsidR="003F2837" w:rsidRPr="00C84BA3" w:rsidRDefault="003F2837" w:rsidP="003F2837">
      <w:pPr>
        <w:pStyle w:val="COMPara"/>
        <w:numPr>
          <w:ilvl w:val="0"/>
          <w:numId w:val="59"/>
        </w:numPr>
        <w:jc w:val="both"/>
      </w:pPr>
      <w:r>
        <w:t>Обмен информацией между Секретариатом через веб-страницу Конвенции 2003 года.</w:t>
      </w:r>
    </w:p>
    <w:p w14:paraId="6A9C1F04" w14:textId="77777777" w:rsidR="003F2837" w:rsidRPr="00C84BA3" w:rsidRDefault="003F2837" w:rsidP="003F2837">
      <w:pPr>
        <w:pStyle w:val="COMPara"/>
        <w:numPr>
          <w:ilvl w:val="0"/>
          <w:numId w:val="59"/>
        </w:numPr>
        <w:jc w:val="both"/>
      </w:pPr>
      <w:r>
        <w:t xml:space="preserve">Региональные, субрегиональные и национальные информационные онлайн-сессии для аккредитованных и неаккредитованных НПО, организованные Форумом НПО НКН, центрами категории 2 и другими партнерами. </w:t>
      </w:r>
    </w:p>
    <w:p w14:paraId="025EC2A9" w14:textId="77777777" w:rsidR="003F2837" w:rsidRPr="00C84BA3" w:rsidRDefault="003F2837" w:rsidP="003F2837">
      <w:pPr>
        <w:pStyle w:val="COMPara"/>
        <w:numPr>
          <w:ilvl w:val="0"/>
          <w:numId w:val="59"/>
        </w:numPr>
        <w:jc w:val="both"/>
      </w:pPr>
      <w:r>
        <w:t xml:space="preserve">Разработка инструментария для повышения осведомленности (например, включающего листовки и QR-коды видеороликов) об аккредитованных НПО, подготовленного Форумом НПО НКН, центрами категории 2 и другими партнерами. </w:t>
      </w:r>
    </w:p>
    <w:p w14:paraId="085E7795" w14:textId="77777777" w:rsidR="003F2837" w:rsidRPr="00C84BA3" w:rsidRDefault="003F2837" w:rsidP="00294B56">
      <w:pPr>
        <w:pStyle w:val="COMPara"/>
        <w:ind w:left="567"/>
        <w:jc w:val="both"/>
        <w:rPr>
          <w:u w:val="single"/>
        </w:rPr>
      </w:pPr>
      <w:r>
        <w:rPr>
          <w:u w:val="single"/>
        </w:rPr>
        <w:lastRenderedPageBreak/>
        <w:t>B: Мобилизация компетентных НПО посредством семинаров по наращиванию потенциала</w:t>
      </w:r>
    </w:p>
    <w:p w14:paraId="2B1E4CB9" w14:textId="77777777" w:rsidR="003F2837" w:rsidRPr="00C84BA3" w:rsidRDefault="003F2837" w:rsidP="003F2837">
      <w:pPr>
        <w:pStyle w:val="COMPara"/>
        <w:numPr>
          <w:ilvl w:val="0"/>
          <w:numId w:val="59"/>
        </w:numPr>
        <w:jc w:val="both"/>
      </w:pPr>
      <w:r>
        <w:t>Систематическое включение представителей НПО в мероприятия по наращиванию потенциала, организуемые Секретариатом.</w:t>
      </w:r>
    </w:p>
    <w:p w14:paraId="44722B84" w14:textId="77777777" w:rsidR="003F2837" w:rsidRPr="00C84BA3" w:rsidRDefault="003F2837" w:rsidP="003F2837">
      <w:pPr>
        <w:pStyle w:val="COMPara"/>
        <w:numPr>
          <w:ilvl w:val="0"/>
          <w:numId w:val="59"/>
        </w:numPr>
        <w:jc w:val="both"/>
      </w:pPr>
      <w:r>
        <w:t>Поощрение сети координаторов в соответствии с Конвенцией 2003 года к продвижению процесса аккредитации и его преимуществ в рамках их общей деятельности по наращиванию потенциала.</w:t>
      </w:r>
    </w:p>
    <w:p w14:paraId="6AFC3B22" w14:textId="77777777" w:rsidR="003F2837" w:rsidRPr="00C84BA3" w:rsidRDefault="003F2837" w:rsidP="00F2390A">
      <w:pPr>
        <w:pStyle w:val="COMPara"/>
        <w:ind w:left="567"/>
        <w:jc w:val="both"/>
        <w:rPr>
          <w:u w:val="single"/>
        </w:rPr>
      </w:pPr>
      <w:r>
        <w:rPr>
          <w:u w:val="single"/>
        </w:rPr>
        <w:t>C: Укрепление сотрудничества с Форумом НКО НКН и центрами категории 2</w:t>
      </w:r>
    </w:p>
    <w:p w14:paraId="69757724" w14:textId="77777777" w:rsidR="003F2837" w:rsidRPr="00C84BA3" w:rsidRDefault="003F2837" w:rsidP="003F2837">
      <w:pPr>
        <w:pStyle w:val="COMPara"/>
        <w:numPr>
          <w:ilvl w:val="0"/>
          <w:numId w:val="59"/>
        </w:numPr>
        <w:jc w:val="both"/>
      </w:pPr>
      <w:r>
        <w:t>Продолжение усилий по составлению карты областей компетенций остальных аккредитованных НПО, не охваченных первым раундом мероприятия, завершенным в 2023 году, в сотрудничестве с Форумом НКО НКН.</w:t>
      </w:r>
    </w:p>
    <w:p w14:paraId="5A68A094" w14:textId="77777777" w:rsidR="003F2837" w:rsidRPr="00C84BA3" w:rsidRDefault="003F2837" w:rsidP="003F2837">
      <w:pPr>
        <w:pStyle w:val="COMPara"/>
        <w:numPr>
          <w:ilvl w:val="0"/>
          <w:numId w:val="59"/>
        </w:numPr>
        <w:jc w:val="both"/>
      </w:pPr>
      <w:r>
        <w:t>Регулярные консультации между Форумом НПО НКН, центрами категории 2 и Секретариатом по вопросам, связанным с несбалансированностью географической представленности аккредитованных НПО в соответствии с Конвенцией 2003 года.</w:t>
      </w:r>
    </w:p>
    <w:p w14:paraId="7AE53B4F" w14:textId="77777777" w:rsidR="003F2837" w:rsidRPr="00C84BA3" w:rsidRDefault="003F2837" w:rsidP="00F95DE2">
      <w:pPr>
        <w:pStyle w:val="COMPara"/>
        <w:ind w:left="567"/>
        <w:jc w:val="both"/>
        <w:rPr>
          <w:u w:val="single"/>
        </w:rPr>
      </w:pPr>
      <w:r>
        <w:rPr>
          <w:u w:val="single"/>
        </w:rPr>
        <w:t>D: Акцент на неаккредитованных НПО в недопредставленных регионах</w:t>
      </w:r>
    </w:p>
    <w:p w14:paraId="472134F8" w14:textId="77777777" w:rsidR="003F2837" w:rsidRPr="00C84BA3" w:rsidRDefault="003F2837" w:rsidP="003F2837">
      <w:pPr>
        <w:pStyle w:val="COMPara"/>
        <w:numPr>
          <w:ilvl w:val="0"/>
          <w:numId w:val="59"/>
        </w:numPr>
        <w:jc w:val="both"/>
        <w:rPr>
          <w:u w:val="single"/>
        </w:rPr>
      </w:pPr>
      <w:r>
        <w:t>Создание национальных и субрегиональных сетей аккредитованных НПО и стимулов для выявления неаккредитованных НПО, имеющих потенциал для оказания консультативных услуг Комитету в приоритетных областях дальнейшего развития Конвенции.</w:t>
      </w:r>
    </w:p>
    <w:p w14:paraId="5FF9DDE4" w14:textId="77777777" w:rsidR="003F2837" w:rsidRPr="00C84BA3" w:rsidRDefault="003F2837" w:rsidP="003F2837">
      <w:pPr>
        <w:pStyle w:val="COMPara"/>
        <w:numPr>
          <w:ilvl w:val="0"/>
          <w:numId w:val="59"/>
        </w:numPr>
        <w:jc w:val="both"/>
        <w:rPr>
          <w:u w:val="single"/>
        </w:rPr>
      </w:pPr>
      <w:r>
        <w:t>Создание национальных и субрегиональных баз данных неаккредитованных НПО, имеющих потенциал для оказания консультативных услуг с целью приглашения их на семинары по наращиванию потенциала и информационные встречи, посвященные процессу аккредитации и его преимуществам.</w:t>
      </w:r>
    </w:p>
    <w:p w14:paraId="0FC25ED4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>Вышеуказанные действия могут быть сосредоточены сначала на электоральных группах с более низким процентом аккредитованных НПО, а затем распространены на другие группы. Что касается финансовых ресурсов, некоторые действия уже интегрированы в текущую деятельность Секретариата, в то время как другие могут поддерживаться различными статьями бюджета Фонда нематериального культурного наследия или требуют дополнительной поддержки:</w:t>
      </w:r>
    </w:p>
    <w:p w14:paraId="2EBCAD2E" w14:textId="77777777" w:rsidR="003F2837" w:rsidRPr="00C84BA3" w:rsidRDefault="003F2837" w:rsidP="003F2837">
      <w:pPr>
        <w:pStyle w:val="COMPara"/>
        <w:numPr>
          <w:ilvl w:val="0"/>
          <w:numId w:val="60"/>
        </w:numPr>
        <w:jc w:val="both"/>
      </w:pPr>
      <w:r>
        <w:t>Компонент A: покрывается строкой бюджета 3 «Прочие функции Комитета» Фонда</w:t>
      </w:r>
    </w:p>
    <w:p w14:paraId="174C801A" w14:textId="77777777" w:rsidR="003F2837" w:rsidRPr="00C84BA3" w:rsidRDefault="003F2837" w:rsidP="003F2837">
      <w:pPr>
        <w:pStyle w:val="COMPara"/>
        <w:numPr>
          <w:ilvl w:val="0"/>
          <w:numId w:val="60"/>
        </w:numPr>
        <w:jc w:val="both"/>
      </w:pPr>
      <w:r>
        <w:t>Компонент B: уже является частью текущей деятельности по наращиванию потенциала, которая поддерживается различными источниками финансирования и должна приобрести более систематический характер</w:t>
      </w:r>
    </w:p>
    <w:p w14:paraId="6CDB165F" w14:textId="77777777" w:rsidR="003F2837" w:rsidRPr="00C84BA3" w:rsidRDefault="003F2837" w:rsidP="003F2837">
      <w:pPr>
        <w:pStyle w:val="COMPara"/>
        <w:numPr>
          <w:ilvl w:val="0"/>
          <w:numId w:val="60"/>
        </w:numPr>
        <w:jc w:val="both"/>
      </w:pPr>
      <w:r>
        <w:t>Компонент C: уже является частью текущей информационно-пропагандистской деятельности, которая поддерживается различными источниками финансирования и подлежит дальнейшей реализации</w:t>
      </w:r>
    </w:p>
    <w:p w14:paraId="2BF62BCE" w14:textId="77777777" w:rsidR="003F2837" w:rsidRPr="00C84BA3" w:rsidRDefault="003F2837" w:rsidP="003F2837">
      <w:pPr>
        <w:pStyle w:val="COMPara"/>
        <w:numPr>
          <w:ilvl w:val="0"/>
          <w:numId w:val="60"/>
        </w:numPr>
        <w:jc w:val="both"/>
      </w:pPr>
      <w:r>
        <w:t>Компонент D: Покрывается строкой бюджета 7 «Предоставление консультационных услуг Комитету» Фонда в части первоначальных мероприятий и подлежит дополнительному финансированию за счет добровольных взносов</w:t>
      </w:r>
    </w:p>
    <w:p w14:paraId="1DFB49E4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 xml:space="preserve">Более подробная информация об использовании ресурсов Фонда нематериального культурного наследия представлена в пункте 8 повестки дня (см. документ </w:t>
      </w:r>
      <w:hyperlink r:id="rId28" w:history="1">
        <w:r w:rsidRPr="00897A50">
          <w:rPr>
            <w:rStyle w:val="Lienhypertexte"/>
          </w:rPr>
          <w:t>LHE/24/10.GA/8</w:t>
        </w:r>
      </w:hyperlink>
      <w:r w:rsidRPr="00897A50">
        <w:t>)</w:t>
      </w:r>
      <w:r>
        <w:t xml:space="preserve">. Государствам-участникам также может быть предложено оказать финансовую поддержку предлагаемых действий на их усмотрение. Далее предлагается реализовать план на экспериментальной основе и доложить о результатах на двадцатой сессии Комитета в 2025 году и одиннадцатой сессии Генеральной ассамблеи в 2026 году. </w:t>
      </w:r>
    </w:p>
    <w:p w14:paraId="4C4E7151" w14:textId="77777777" w:rsidR="003F2837" w:rsidRPr="0077545C" w:rsidRDefault="003F2837" w:rsidP="0077545C">
      <w:pPr>
        <w:pStyle w:val="COMPara"/>
        <w:rPr>
          <w:b/>
          <w:bCs/>
          <w:lang w:val="en-US"/>
        </w:rPr>
      </w:pPr>
      <w:r w:rsidRPr="0077545C">
        <w:rPr>
          <w:b/>
          <w:bCs/>
        </w:rPr>
        <w:lastRenderedPageBreak/>
        <w:t>Соображения</w:t>
      </w:r>
    </w:p>
    <w:p w14:paraId="785E00D2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  <w:jc w:val="both"/>
      </w:pPr>
      <w:r>
        <w:t>Несмотря на то что дисбаланс в географическом распределении аккредитованных НПО остается серьезной проблемой, следует также отметить, что недавние тенденции свидетельствуют об улучшении ситуации. Это является отражением усилий по поощрению запросов на аккредитацию в недопредставленных регионах, предпринятых заинтересованными сторонами Конвенции в ходе последних циклов. С точки зрения статистики, если все 58 запросов на аккредитацию, представленных на нынешней сессии Генеральной ассамблеи, будут удовлетворены, доля аккредитованных НПО в электоральной группе I упадет ниже 50 % от общего числа аккредитованных НПО впервые с момента внедрения системы аккредитации. Последующие действия должны основываться на данной позитивной тенденции.</w:t>
      </w:r>
    </w:p>
    <w:p w14:paraId="495274AB" w14:textId="77777777" w:rsidR="003F2837" w:rsidRPr="00C84BA3" w:rsidRDefault="003F2837" w:rsidP="003F2837">
      <w:pPr>
        <w:pStyle w:val="COMPara"/>
        <w:numPr>
          <w:ilvl w:val="0"/>
          <w:numId w:val="9"/>
        </w:numPr>
        <w:ind w:left="567" w:hanging="567"/>
      </w:pPr>
      <w:r>
        <w:t>Генеральной ассамблее предлагается принять резолюцию следующего содержания:</w:t>
      </w:r>
    </w:p>
    <w:p w14:paraId="7B52B20A" w14:textId="77777777" w:rsidR="003F2837" w:rsidRPr="00C84BA3" w:rsidRDefault="003F2837" w:rsidP="001D14FE">
      <w:pPr>
        <w:pStyle w:val="COMTitleDecision"/>
        <w:rPr>
          <w:rFonts w:eastAsia="SimSun"/>
        </w:rPr>
      </w:pPr>
      <w:r>
        <w:t>ПРОЕКТ РЕЗОЛЮЦИИ 10.GA 9 Add.</w:t>
      </w:r>
    </w:p>
    <w:p w14:paraId="2E851562" w14:textId="77777777" w:rsidR="003F2837" w:rsidRPr="00C84BA3" w:rsidRDefault="003F2837" w:rsidP="00285BB4">
      <w:pPr>
        <w:pStyle w:val="COMPreambulaDecisions"/>
        <w:rPr>
          <w:rFonts w:eastAsia="SimSun"/>
        </w:rPr>
      </w:pPr>
      <w:r>
        <w:t>Генеральная ассамблея,</w:t>
      </w:r>
    </w:p>
    <w:p w14:paraId="42920BDF" w14:textId="77A6FAE7" w:rsidR="003F2837" w:rsidRPr="00C84BA3" w:rsidRDefault="003F2837" w:rsidP="00D3390A">
      <w:pPr>
        <w:pStyle w:val="GAPara"/>
        <w:numPr>
          <w:ilvl w:val="0"/>
          <w:numId w:val="61"/>
        </w:numPr>
        <w:ind w:left="1134" w:hanging="567"/>
        <w:jc w:val="both"/>
      </w:pPr>
      <w:r w:rsidRPr="00D3390A">
        <w:rPr>
          <w:u w:val="single"/>
        </w:rPr>
        <w:t>Рассмотрев</w:t>
      </w:r>
      <w:r w:rsidRPr="004F5864">
        <w:t xml:space="preserve"> документ LHE/24/10.GA/9 Add,</w:t>
      </w:r>
    </w:p>
    <w:p w14:paraId="77DE377C" w14:textId="385F7595" w:rsidR="003F2837" w:rsidRPr="00C84BA3" w:rsidRDefault="003F2837" w:rsidP="00D3390A">
      <w:pPr>
        <w:pStyle w:val="GAPara"/>
        <w:numPr>
          <w:ilvl w:val="0"/>
          <w:numId w:val="61"/>
        </w:numPr>
        <w:ind w:left="1134" w:hanging="567"/>
        <w:jc w:val="both"/>
      </w:pPr>
      <w:r w:rsidRPr="00D3390A">
        <w:rPr>
          <w:u w:val="single"/>
        </w:rPr>
        <w:t>Ссылаясь</w:t>
      </w:r>
      <w:r>
        <w:t xml:space="preserve"> на</w:t>
      </w:r>
      <w:r w:rsidRPr="004F5864">
        <w:t xml:space="preserve"> Резолюции </w:t>
      </w:r>
      <w:hyperlink r:id="rId29" w:history="1">
        <w:r w:rsidRPr="00897A50">
          <w:rPr>
            <w:rStyle w:val="Lienhypertexte"/>
          </w:rPr>
          <w:t>8.GA 12</w:t>
        </w:r>
      </w:hyperlink>
      <w:r w:rsidRPr="004F5864">
        <w:rPr>
          <w:rStyle w:val="Lienhypertexte"/>
          <w:u w:val="none"/>
        </w:rPr>
        <w:t xml:space="preserve"> </w:t>
      </w:r>
      <w:r w:rsidRPr="00D3390A">
        <w:rPr>
          <w:rStyle w:val="Lienhypertexte"/>
          <w:color w:val="auto"/>
          <w:u w:val="none"/>
        </w:rPr>
        <w:t>и</w:t>
      </w:r>
      <w:r w:rsidRPr="004F5864">
        <w:rPr>
          <w:rStyle w:val="Lienhypertexte"/>
          <w:u w:val="none"/>
        </w:rPr>
        <w:t xml:space="preserve"> </w:t>
      </w:r>
      <w:hyperlink r:id="rId30" w:history="1">
        <w:r w:rsidRPr="00897A50">
          <w:rPr>
            <w:rStyle w:val="Lienhypertexte"/>
          </w:rPr>
          <w:t>9.GA 7</w:t>
        </w:r>
      </w:hyperlink>
      <w:r w:rsidRPr="004F5864">
        <w:t xml:space="preserve">, а также Решения </w:t>
      </w:r>
      <w:hyperlink r:id="rId31" w:history="1">
        <w:r>
          <w:rPr>
            <w:rStyle w:val="Lienhypertexte"/>
          </w:rPr>
          <w:t>12.COM 13</w:t>
        </w:r>
      </w:hyperlink>
      <w:r w:rsidRPr="004F5864">
        <w:t xml:space="preserve">, </w:t>
      </w:r>
      <w:hyperlink r:id="rId32" w:history="1">
        <w:r>
          <w:rPr>
            <w:rStyle w:val="Lienhypertexte"/>
          </w:rPr>
          <w:t>12.COM 17</w:t>
        </w:r>
      </w:hyperlink>
      <w:r w:rsidRPr="004F5864">
        <w:t xml:space="preserve">, </w:t>
      </w:r>
      <w:hyperlink r:id="rId33" w:history="1">
        <w:r>
          <w:rPr>
            <w:rStyle w:val="Lienhypertexte"/>
          </w:rPr>
          <w:t>14.COM 15</w:t>
        </w:r>
      </w:hyperlink>
      <w:r w:rsidRPr="004F5864">
        <w:rPr>
          <w:rStyle w:val="Lienhypertexte"/>
          <w:u w:val="none"/>
        </w:rPr>
        <w:t xml:space="preserve"> </w:t>
      </w:r>
      <w:r w:rsidRPr="00D3390A">
        <w:rPr>
          <w:rStyle w:val="Lienhypertexte"/>
          <w:color w:val="auto"/>
          <w:u w:val="none"/>
        </w:rPr>
        <w:t>и</w:t>
      </w:r>
      <w:r w:rsidRPr="004F5864">
        <w:rPr>
          <w:rStyle w:val="Lienhypertexte"/>
          <w:u w:val="none"/>
        </w:rPr>
        <w:t xml:space="preserve"> </w:t>
      </w:r>
      <w:hyperlink r:id="rId34" w:history="1">
        <w:r>
          <w:rPr>
            <w:rStyle w:val="Lienhypertexte"/>
          </w:rPr>
          <w:t>18.COM 15</w:t>
        </w:r>
      </w:hyperlink>
      <w:r w:rsidRPr="004F5864">
        <w:rPr>
          <w:rStyle w:val="Lienhypertexte"/>
          <w:u w:val="none"/>
        </w:rPr>
        <w:t>,</w:t>
      </w:r>
    </w:p>
    <w:p w14:paraId="23038935" w14:textId="77777777" w:rsidR="003F2837" w:rsidRPr="00C84BA3" w:rsidRDefault="003F2837" w:rsidP="00D3390A">
      <w:pPr>
        <w:pStyle w:val="GAPara"/>
        <w:ind w:left="1134" w:hanging="567"/>
        <w:jc w:val="both"/>
      </w:pPr>
      <w:r w:rsidRPr="00D3390A">
        <w:rPr>
          <w:u w:val="single"/>
        </w:rPr>
        <w:t>Принимает</w:t>
      </w:r>
      <w:r>
        <w:t xml:space="preserve"> к сведению предлагаемый план обеспечения географической сбалансированности между аккредитованными НПО в соответствии с Конвенцией 2003 года, включая соответствующие финансовые ресурсы, определенные на экспериментальной основе, и </w:t>
      </w:r>
      <w:r w:rsidRPr="00D3390A">
        <w:rPr>
          <w:u w:val="single"/>
        </w:rPr>
        <w:t>выражает свою признательность</w:t>
      </w:r>
      <w:r>
        <w:t xml:space="preserve"> государствам-участникам, Форуму НПО НКН, центрам категории 2 и другим заинтересованным сторонам за их вклад в процесс консультаций;</w:t>
      </w:r>
    </w:p>
    <w:p w14:paraId="59B38527" w14:textId="77777777" w:rsidR="003F2837" w:rsidRPr="00C84BA3" w:rsidRDefault="003F2837" w:rsidP="00D3390A">
      <w:pPr>
        <w:pStyle w:val="GAPara"/>
        <w:ind w:left="1134" w:hanging="567"/>
        <w:jc w:val="both"/>
      </w:pPr>
      <w:r w:rsidRPr="00D3390A">
        <w:rPr>
          <w:u w:val="single"/>
        </w:rPr>
        <w:t>Призывает</w:t>
      </w:r>
      <w:r>
        <w:t xml:space="preserve"> Секретариат, Форум НПО НКН, центры категории 2 и другие заинтересованные стороны реализовать вышеупомянутый план;</w:t>
      </w:r>
    </w:p>
    <w:p w14:paraId="57080D45" w14:textId="77777777" w:rsidR="003F2837" w:rsidRPr="00C84BA3" w:rsidRDefault="003F2837" w:rsidP="00D3390A">
      <w:pPr>
        <w:pStyle w:val="GAPara"/>
        <w:ind w:left="1134" w:hanging="567"/>
        <w:jc w:val="both"/>
      </w:pPr>
      <w:r w:rsidRPr="00D3390A">
        <w:rPr>
          <w:u w:val="single"/>
        </w:rPr>
        <w:t>Просит</w:t>
      </w:r>
      <w:r>
        <w:t xml:space="preserve"> Секретариат представить доклад о результатах принятых мер для рассмотрения на двадцатой сессии Комитета в 2025 году и одиннадцатой сессии Генеральной ассамблеи в 2026 году.</w:t>
      </w:r>
    </w:p>
    <w:p w14:paraId="69C50E47" w14:textId="77777777" w:rsidR="00C13F69" w:rsidRPr="003F2837" w:rsidRDefault="00C13F69" w:rsidP="00BA0467">
      <w:pPr>
        <w:pStyle w:val="COMParaDecision"/>
        <w:spacing w:before="240" w:after="240"/>
        <w:rPr>
          <w:rFonts w:asciiTheme="minorBidi" w:hAnsiTheme="minorBidi" w:cstheme="minorBidi"/>
          <w:snapToGrid w:val="0"/>
          <w:lang w:eastAsia="en-US"/>
        </w:rPr>
      </w:pPr>
    </w:p>
    <w:sectPr w:rsidR="00C13F69" w:rsidRPr="003F2837" w:rsidSect="003F2837">
      <w:headerReference w:type="even" r:id="rId35"/>
      <w:headerReference w:type="default" r:id="rId36"/>
      <w:headerReference w:type="first" r:id="rId37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BFC9" w14:textId="77777777" w:rsidR="008A1337" w:rsidRDefault="008A1337" w:rsidP="00655736">
      <w:r>
        <w:separator/>
      </w:r>
    </w:p>
  </w:endnote>
  <w:endnote w:type="continuationSeparator" w:id="0">
    <w:p w14:paraId="77CC9A67" w14:textId="77777777" w:rsidR="008A1337" w:rsidRDefault="008A1337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B52B" w14:textId="77777777" w:rsidR="008A1337" w:rsidRDefault="008A1337" w:rsidP="00655736">
      <w:r>
        <w:separator/>
      </w:r>
    </w:p>
  </w:footnote>
  <w:footnote w:type="continuationSeparator" w:id="0">
    <w:p w14:paraId="041038CB" w14:textId="77777777" w:rsidR="008A1337" w:rsidRDefault="008A1337" w:rsidP="00655736">
      <w:r>
        <w:continuationSeparator/>
      </w:r>
    </w:p>
  </w:footnote>
  <w:footnote w:id="1">
    <w:p w14:paraId="677B2FB5" w14:textId="68B142C0" w:rsidR="004368A3" w:rsidRPr="008F187F" w:rsidRDefault="004368A3" w:rsidP="004368A3">
      <w:pPr>
        <w:pStyle w:val="Notedebasdepage"/>
        <w:spacing w:after="60"/>
        <w:ind w:left="567" w:hanging="567"/>
        <w:jc w:val="both"/>
        <w:rPr>
          <w:rFonts w:asciiTheme="minorBidi" w:hAnsiTheme="minorBidi" w:cstheme="minorBidi"/>
          <w:bCs/>
          <w:sz w:val="18"/>
          <w:szCs w:val="18"/>
        </w:rPr>
      </w:pPr>
      <w:r w:rsidRPr="00A5059F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="00A5059F" w:rsidRPr="00A5059F">
        <w:rPr>
          <w:rFonts w:asciiTheme="minorBidi" w:hAnsiTheme="minorBidi"/>
          <w:sz w:val="18"/>
          <w:vertAlign w:val="superscript"/>
        </w:rPr>
        <w:t>.</w:t>
      </w:r>
      <w:r w:rsidRPr="00A5059F">
        <w:rPr>
          <w:rFonts w:asciiTheme="minorBidi" w:hAnsiTheme="minorBidi"/>
          <w:sz w:val="18"/>
          <w:vertAlign w:val="superscript"/>
        </w:rPr>
        <w:t xml:space="preserve"> </w:t>
      </w:r>
      <w:r>
        <w:rPr>
          <w:rFonts w:asciiTheme="minorBidi" w:hAnsiTheme="minorBidi"/>
          <w:sz w:val="18"/>
        </w:rPr>
        <w:tab/>
      </w:r>
      <w:r>
        <w:rPr>
          <w:rFonts w:asciiTheme="minorBidi" w:hAnsiTheme="minorBidi"/>
          <w:snapToGrid w:val="0"/>
          <w:sz w:val="18"/>
        </w:rPr>
        <w:t xml:space="preserve">На сегодняшний день Генеральная Ассамблея аккредитовала 300 организаций (97 Резолюцией </w:t>
      </w:r>
      <w:hyperlink r:id="rId1" w:history="1">
        <w:r>
          <w:rPr>
            <w:rStyle w:val="Lienhypertexte"/>
            <w:rFonts w:asciiTheme="minorBidi" w:hAnsiTheme="minorBidi"/>
            <w:sz w:val="18"/>
          </w:rPr>
          <w:t>3.GA 7</w:t>
        </w:r>
      </w:hyperlink>
      <w:r>
        <w:rPr>
          <w:rFonts w:asciiTheme="minorBidi" w:hAnsiTheme="minorBidi"/>
          <w:snapToGrid w:val="0"/>
          <w:sz w:val="18"/>
        </w:rPr>
        <w:t xml:space="preserve">, 59 </w:t>
      </w:r>
      <w:hyperlink r:id="rId2" w:history="1">
        <w:r>
          <w:rPr>
            <w:rFonts w:asciiTheme="minorBidi" w:hAnsiTheme="minorBidi"/>
            <w:snapToGrid w:val="0"/>
            <w:sz w:val="18"/>
          </w:rPr>
          <w:t xml:space="preserve">Резолюцией </w:t>
        </w:r>
        <w:r>
          <w:rPr>
            <w:rStyle w:val="Lienhypertexte"/>
            <w:rFonts w:asciiTheme="minorBidi" w:hAnsiTheme="minorBidi"/>
            <w:sz w:val="18"/>
          </w:rPr>
          <w:t>4.GA 6</w:t>
        </w:r>
      </w:hyperlink>
      <w:r>
        <w:rPr>
          <w:rFonts w:asciiTheme="minorBidi" w:hAnsiTheme="minorBidi"/>
          <w:snapToGrid w:val="0"/>
          <w:sz w:val="18"/>
        </w:rPr>
        <w:t>, 22 Резолюцией</w:t>
      </w:r>
      <w:hyperlink r:id="rId3" w:history="1">
        <w:r>
          <w:rPr>
            <w:rStyle w:val="Lienhypertexte"/>
            <w:rFonts w:asciiTheme="minorBidi" w:hAnsiTheme="minorBidi"/>
            <w:sz w:val="18"/>
          </w:rPr>
          <w:t xml:space="preserve"> 5.GA 6</w:t>
        </w:r>
      </w:hyperlink>
      <w:r>
        <w:rPr>
          <w:rFonts w:asciiTheme="minorBidi" w:hAnsiTheme="minorBidi"/>
          <w:snapToGrid w:val="0"/>
          <w:sz w:val="18"/>
        </w:rPr>
        <w:t xml:space="preserve">, 24 </w:t>
      </w:r>
      <w:hyperlink r:id="rId4" w:history="1">
        <w:r>
          <w:rPr>
            <w:rFonts w:asciiTheme="minorBidi" w:hAnsiTheme="minorBidi"/>
            <w:snapToGrid w:val="0"/>
            <w:sz w:val="18"/>
          </w:rPr>
          <w:t>Резолюцией</w:t>
        </w:r>
        <w:r>
          <w:rPr>
            <w:rFonts w:asciiTheme="minorBidi" w:hAnsiTheme="minorBidi"/>
            <w:sz w:val="18"/>
          </w:rPr>
          <w:t xml:space="preserve"> </w:t>
        </w:r>
        <w:r>
          <w:rPr>
            <w:rStyle w:val="Lienhypertexte"/>
            <w:rFonts w:asciiTheme="minorBidi" w:hAnsiTheme="minorBidi"/>
            <w:sz w:val="18"/>
          </w:rPr>
          <w:t>6.GA 8</w:t>
        </w:r>
      </w:hyperlink>
      <w:r>
        <w:rPr>
          <w:rFonts w:asciiTheme="minorBidi" w:hAnsiTheme="minorBidi"/>
          <w:snapToGrid w:val="0"/>
          <w:sz w:val="18"/>
        </w:rPr>
        <w:t xml:space="preserve">, 29 Резолюцией </w:t>
      </w:r>
      <w:hyperlink r:id="rId5" w:history="1">
        <w:r>
          <w:rPr>
            <w:rStyle w:val="Lienhypertexte"/>
            <w:rFonts w:asciiTheme="minorBidi" w:hAnsiTheme="minorBidi"/>
            <w:sz w:val="18"/>
          </w:rPr>
          <w:t>7.GA 11</w:t>
        </w:r>
      </w:hyperlink>
      <w:r>
        <w:rPr>
          <w:rFonts w:asciiTheme="minorBidi" w:hAnsiTheme="minorBidi"/>
          <w:snapToGrid w:val="0"/>
          <w:sz w:val="18"/>
        </w:rPr>
        <w:t xml:space="preserve">, 36 Резолюцией </w:t>
      </w:r>
      <w:hyperlink r:id="rId6" w:history="1">
        <w:r>
          <w:rPr>
            <w:rStyle w:val="Lienhypertexte"/>
            <w:rFonts w:asciiTheme="minorBidi" w:hAnsiTheme="minorBidi"/>
            <w:snapToGrid w:val="0"/>
            <w:sz w:val="18"/>
          </w:rPr>
          <w:t>8.GA 13</w:t>
        </w:r>
      </w:hyperlink>
      <w:r>
        <w:rPr>
          <w:rStyle w:val="Lienhypertexte"/>
          <w:rFonts w:asciiTheme="minorBidi" w:hAnsiTheme="minorBidi"/>
          <w:snapToGrid w:val="0"/>
          <w:color w:val="auto"/>
          <w:sz w:val="18"/>
          <w:u w:val="none"/>
        </w:rPr>
        <w:t xml:space="preserve"> и 33 Резолюцией </w:t>
      </w:r>
      <w:hyperlink r:id="rId7" w:history="1">
        <w:r>
          <w:rPr>
            <w:rStyle w:val="Lienhypertexte"/>
            <w:rFonts w:asciiTheme="minorBidi" w:hAnsiTheme="minorBidi"/>
            <w:snapToGrid w:val="0"/>
            <w:sz w:val="18"/>
          </w:rPr>
          <w:t>9.GA 7</w:t>
        </w:r>
      </w:hyperlink>
      <w:r w:rsidRPr="00BC18A2">
        <w:rPr>
          <w:rStyle w:val="Lienhypertexte"/>
          <w:rFonts w:asciiTheme="minorBidi" w:hAnsiTheme="minorBidi"/>
          <w:snapToGrid w:val="0"/>
          <w:color w:val="auto"/>
          <w:sz w:val="18"/>
          <w:u w:val="none"/>
        </w:rPr>
        <w:t>)</w:t>
      </w:r>
      <w:r>
        <w:rPr>
          <w:rFonts w:asciiTheme="minorBidi" w:hAnsiTheme="minorBidi"/>
          <w:snapToGrid w:val="0"/>
          <w:sz w:val="18"/>
        </w:rPr>
        <w:t>.</w:t>
      </w:r>
    </w:p>
  </w:footnote>
  <w:footnote w:id="2">
    <w:p w14:paraId="3F2452DD" w14:textId="04F88549" w:rsidR="00C01618" w:rsidRPr="008F187F" w:rsidRDefault="00C01618" w:rsidP="00C01618">
      <w:pPr>
        <w:pStyle w:val="Notedebasdepage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BC18A2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Pr="00BC18A2">
        <w:rPr>
          <w:rFonts w:asciiTheme="minorBidi" w:hAnsiTheme="minorBidi"/>
          <w:snapToGrid w:val="0"/>
          <w:sz w:val="18"/>
          <w:vertAlign w:val="superscript"/>
        </w:rPr>
        <w:t>.</w:t>
      </w:r>
      <w:r>
        <w:rPr>
          <w:rFonts w:asciiTheme="minorBidi" w:hAnsiTheme="minorBidi"/>
          <w:snapToGrid w:val="0"/>
          <w:sz w:val="18"/>
        </w:rPr>
        <w:tab/>
        <w:t xml:space="preserve">На </w:t>
      </w:r>
      <w:r w:rsidRPr="00ED737D">
        <w:rPr>
          <w:rFonts w:asciiTheme="minorBidi" w:hAnsiTheme="minorBidi"/>
          <w:snapToGrid w:val="0"/>
          <w:sz w:val="18"/>
        </w:rPr>
        <w:t xml:space="preserve">своей </w:t>
      </w:r>
      <w:r w:rsidRPr="00695E8F">
        <w:rPr>
          <w:rFonts w:asciiTheme="minorBidi" w:hAnsiTheme="minorBidi"/>
          <w:snapToGrid w:val="0"/>
          <w:sz w:val="18"/>
        </w:rPr>
        <w:t>десятой</w:t>
      </w:r>
      <w:r w:rsidRPr="00ED737D">
        <w:rPr>
          <w:rFonts w:asciiTheme="minorBidi" w:hAnsiTheme="minorBidi"/>
          <w:snapToGrid w:val="0"/>
          <w:sz w:val="18"/>
        </w:rPr>
        <w:t xml:space="preserve"> </w:t>
      </w:r>
      <w:bookmarkStart w:id="2" w:name="_Hlk159519092"/>
      <w:r w:rsidRPr="00ED737D">
        <w:rPr>
          <w:rFonts w:asciiTheme="minorBidi" w:hAnsiTheme="minorBidi"/>
          <w:snapToGrid w:val="0"/>
          <w:sz w:val="18"/>
        </w:rPr>
        <w:t xml:space="preserve">сессии в 2015 году Комитет постановил продолжить отношения с 59 НПО и прекратить отношения с 38 НПО (Решение </w:t>
      </w:r>
      <w:hyperlink r:id="rId8" w:history="1">
        <w:r w:rsidRPr="00ED737D">
          <w:rPr>
            <w:rStyle w:val="Lienhypertexte"/>
            <w:rFonts w:asciiTheme="minorBidi" w:hAnsiTheme="minorBidi"/>
            <w:snapToGrid w:val="0"/>
            <w:sz w:val="18"/>
          </w:rPr>
          <w:t>10.COM 16</w:t>
        </w:r>
      </w:hyperlink>
      <w:r w:rsidRPr="00ED737D">
        <w:rPr>
          <w:rFonts w:asciiTheme="minorBidi" w:hAnsiTheme="minorBidi"/>
          <w:snapToGrid w:val="0"/>
          <w:sz w:val="18"/>
        </w:rPr>
        <w:t>),</w:t>
      </w:r>
      <w:bookmarkEnd w:id="2"/>
      <w:r w:rsidRPr="00ED737D">
        <w:rPr>
          <w:rFonts w:asciiTheme="minorBidi" w:hAnsiTheme="minorBidi"/>
          <w:snapToGrid w:val="0"/>
          <w:sz w:val="18"/>
        </w:rPr>
        <w:t xml:space="preserve"> все из которых были аккредитованы на третьей сессии Генеральной Ассамблеи в 2010 году; на своей </w:t>
      </w:r>
      <w:r w:rsidRPr="00695E8F">
        <w:rPr>
          <w:rFonts w:asciiTheme="minorBidi" w:hAnsiTheme="minorBidi"/>
          <w:snapToGrid w:val="0"/>
          <w:sz w:val="18"/>
        </w:rPr>
        <w:t>двенадцатой</w:t>
      </w:r>
      <w:r w:rsidRPr="00ED737D">
        <w:rPr>
          <w:rFonts w:asciiTheme="minorBidi" w:hAnsiTheme="minorBidi"/>
          <w:snapToGrid w:val="0"/>
          <w:sz w:val="18"/>
        </w:rPr>
        <w:t xml:space="preserve"> сессии в 2017 году Комитет постановил продолжить отношения с 42 НПО и прекратить отношения с 17 НПО (Решение </w:t>
      </w:r>
      <w:hyperlink r:id="rId9" w:history="1">
        <w:r w:rsidRPr="00ED737D">
          <w:rPr>
            <w:rStyle w:val="Lienhypertexte"/>
            <w:rFonts w:asciiTheme="minorBidi" w:hAnsiTheme="minorBidi"/>
            <w:snapToGrid w:val="0"/>
            <w:sz w:val="18"/>
          </w:rPr>
          <w:t>12.COM 17</w:t>
        </w:r>
      </w:hyperlink>
      <w:r w:rsidRPr="00ED737D">
        <w:rPr>
          <w:rFonts w:asciiTheme="minorBidi" w:hAnsiTheme="minorBidi"/>
          <w:snapToGrid w:val="0"/>
          <w:sz w:val="18"/>
        </w:rPr>
        <w:t xml:space="preserve">), все аккредитованные на четвертой сессии Генеральной Ассамблеи в 2012 году; на своей </w:t>
      </w:r>
      <w:r w:rsidRPr="00695E8F">
        <w:rPr>
          <w:rFonts w:asciiTheme="minorBidi" w:hAnsiTheme="minorBidi"/>
          <w:snapToGrid w:val="0"/>
          <w:sz w:val="18"/>
        </w:rPr>
        <w:t>четырнадцатой</w:t>
      </w:r>
      <w:r w:rsidRPr="00ED737D">
        <w:rPr>
          <w:rFonts w:asciiTheme="minorBidi" w:hAnsiTheme="minorBidi"/>
          <w:snapToGrid w:val="0"/>
          <w:sz w:val="18"/>
        </w:rPr>
        <w:t xml:space="preserve"> сессии в 2019 году Комитет постановил продолжить отношения с 62 аккредитованными НПО и прекратить отношения с 19 НПО (Решение </w:t>
      </w:r>
      <w:hyperlink r:id="rId10" w:history="1">
        <w:r w:rsidRPr="00ED737D">
          <w:rPr>
            <w:rStyle w:val="Lienhypertexte"/>
            <w:rFonts w:asciiTheme="minorBidi" w:hAnsiTheme="minorBidi"/>
            <w:snapToGrid w:val="0"/>
            <w:sz w:val="18"/>
          </w:rPr>
          <w:t>14.COM 17</w:t>
        </w:r>
      </w:hyperlink>
      <w:r w:rsidRPr="00ED737D">
        <w:rPr>
          <w:rFonts w:asciiTheme="minorBidi" w:hAnsiTheme="minorBidi"/>
          <w:snapToGrid w:val="0"/>
          <w:sz w:val="18"/>
        </w:rPr>
        <w:t xml:space="preserve">), все аккредитованные на пятой сессии Генеральной Ассамблеи; на своей </w:t>
      </w:r>
      <w:r w:rsidRPr="00695E8F">
        <w:rPr>
          <w:rFonts w:asciiTheme="minorBidi" w:hAnsiTheme="minorBidi"/>
          <w:snapToGrid w:val="0"/>
          <w:sz w:val="18"/>
        </w:rPr>
        <w:t>шестнадцатой</w:t>
      </w:r>
      <w:r w:rsidRPr="00ED737D">
        <w:rPr>
          <w:rFonts w:asciiTheme="minorBidi" w:hAnsiTheme="minorBidi"/>
          <w:snapToGrid w:val="0"/>
          <w:sz w:val="18"/>
        </w:rPr>
        <w:t xml:space="preserve"> сессии в 2021 году Комитет постановил продолжить отношения с 57 аккредитованными НПО и прекратить отношения с 9 НПО (Решение </w:t>
      </w:r>
      <w:hyperlink r:id="rId11" w:history="1">
        <w:r w:rsidRPr="00ED737D">
          <w:rPr>
            <w:rStyle w:val="Lienhypertexte"/>
            <w:rFonts w:asciiTheme="minorBidi" w:hAnsiTheme="minorBidi"/>
            <w:snapToGrid w:val="0"/>
            <w:sz w:val="18"/>
          </w:rPr>
          <w:t>16.COM 15</w:t>
        </w:r>
      </w:hyperlink>
      <w:r w:rsidRPr="00ED737D">
        <w:rPr>
          <w:rFonts w:asciiTheme="minorBidi" w:hAnsiTheme="minorBidi"/>
          <w:snapToGrid w:val="0"/>
          <w:sz w:val="18"/>
        </w:rPr>
        <w:t xml:space="preserve">), все аккредитованные на шестой сессии Генеральной Ассамблеи. На своей </w:t>
      </w:r>
      <w:r w:rsidRPr="00695E8F">
        <w:rPr>
          <w:rFonts w:asciiTheme="minorBidi" w:hAnsiTheme="minorBidi"/>
          <w:snapToGrid w:val="0"/>
          <w:sz w:val="18"/>
        </w:rPr>
        <w:t>восемнадцатой</w:t>
      </w:r>
      <w:r w:rsidRPr="00ED737D">
        <w:rPr>
          <w:rFonts w:asciiTheme="minorBidi" w:hAnsiTheme="minorBidi"/>
          <w:snapToGrid w:val="0"/>
          <w:sz w:val="18"/>
        </w:rPr>
        <w:t xml:space="preserve"> сессии в 2023 году Комитет постановил продолжить отношения с 80 НПО и прекратить отношения</w:t>
      </w:r>
      <w:r>
        <w:rPr>
          <w:rFonts w:asciiTheme="minorBidi" w:hAnsiTheme="minorBidi"/>
          <w:snapToGrid w:val="0"/>
          <w:sz w:val="18"/>
        </w:rPr>
        <w:t xml:space="preserve"> с 11 НПО (Решение </w:t>
      </w:r>
      <w:hyperlink r:id="rId12" w:history="1">
        <w:r>
          <w:rPr>
            <w:rStyle w:val="Lienhypertexte"/>
            <w:rFonts w:asciiTheme="minorBidi" w:hAnsiTheme="minorBidi"/>
            <w:snapToGrid w:val="0"/>
            <w:sz w:val="18"/>
          </w:rPr>
          <w:t>18.COM 16</w:t>
        </w:r>
      </w:hyperlink>
      <w:r>
        <w:rPr>
          <w:rFonts w:asciiTheme="minorBidi" w:hAnsiTheme="minorBidi"/>
          <w:snapToGrid w:val="0"/>
          <w:sz w:val="18"/>
        </w:rPr>
        <w:t>).</w:t>
      </w:r>
    </w:p>
  </w:footnote>
  <w:footnote w:id="3">
    <w:p w14:paraId="6AF203AE" w14:textId="77777777" w:rsidR="003F2837" w:rsidRPr="007434A9" w:rsidRDefault="003F2837" w:rsidP="007434A9">
      <w:pPr>
        <w:pStyle w:val="Notedebasdepage"/>
        <w:jc w:val="both"/>
        <w:rPr>
          <w:rFonts w:asciiTheme="minorBidi" w:hAnsiTheme="minorBidi" w:cstheme="minorBidi"/>
          <w:sz w:val="18"/>
          <w:szCs w:val="18"/>
        </w:rPr>
      </w:pPr>
      <w:r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>
        <w:rPr>
          <w:rFonts w:asciiTheme="minorBidi" w:hAnsiTheme="minorBidi"/>
          <w:sz w:val="18"/>
        </w:rPr>
        <w:t xml:space="preserve"> Количество (и процент) респондентов, выбравших эту меру из 37 опрошенных государств-участников. Каждое государство-участник могло выбрать до двух возможных мер.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5F8" w14:textId="1B32084D" w:rsidR="00D95C4C" w:rsidRPr="00C23A97" w:rsidRDefault="006F41B4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>LHE/24/10.GA/9</w:t>
    </w:r>
    <w:r w:rsidR="00922334">
      <w:rPr>
        <w:rFonts w:ascii="Arial" w:hAnsi="Arial"/>
        <w:sz w:val="20"/>
        <w:lang w:val="fr-FR"/>
      </w:rPr>
      <w:t xml:space="preserve"> </w:t>
    </w:r>
    <w:r w:rsidR="00922334">
      <w:rPr>
        <w:rFonts w:ascii="Arial" w:hAnsi="Arial"/>
        <w:sz w:val="20"/>
      </w:rPr>
      <w:t xml:space="preserve">– </w:t>
    </w:r>
    <w:r w:rsidR="00922334" w:rsidRPr="002874EA">
      <w:rPr>
        <w:rFonts w:ascii="Arial" w:hAnsi="Arial"/>
        <w:sz w:val="20"/>
      </w:rPr>
      <w:t>страница</w:t>
    </w:r>
    <w:r>
      <w:rPr>
        <w:rFonts w:ascii="Arial" w:hAnsi="Arial"/>
        <w:sz w:val="20"/>
      </w:rPr>
      <w:t xml:space="preserve"> 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 w:rsidR="00F010E0"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3C2" w14:textId="5DE952F6" w:rsidR="00D95C4C" w:rsidRPr="0063300C" w:rsidRDefault="00502D44" w:rsidP="0063300C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>LHE/24/10.GA/9</w:t>
    </w:r>
    <w:r w:rsidR="00922334">
      <w:rPr>
        <w:rFonts w:ascii="Arial" w:hAnsi="Arial"/>
        <w:sz w:val="20"/>
        <w:lang w:val="fr-FR"/>
      </w:rPr>
      <w:t xml:space="preserve"> </w:t>
    </w:r>
    <w:r w:rsidR="00922334">
      <w:rPr>
        <w:rFonts w:ascii="Arial" w:hAnsi="Arial"/>
        <w:sz w:val="20"/>
      </w:rPr>
      <w:t xml:space="preserve">– </w:t>
    </w:r>
    <w:r w:rsidR="00922334" w:rsidRPr="002874EA">
      <w:rPr>
        <w:rFonts w:ascii="Arial" w:hAnsi="Arial"/>
        <w:sz w:val="20"/>
      </w:rPr>
      <w:t>страница</w:t>
    </w:r>
    <w:r w:rsidR="00922334" w:rsidRPr="0063300C">
      <w:rPr>
        <w:rStyle w:val="Numrodepage"/>
        <w:rFonts w:ascii="Arial" w:hAnsi="Arial" w:cs="Arial"/>
        <w:sz w:val="20"/>
      </w:rPr>
      <w:t xml:space="preserve"> 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 w:rsidR="008A1ED4"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32A" w14:textId="72E0F919" w:rsidR="00D95C4C" w:rsidRPr="008724E5" w:rsidRDefault="00781F6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75DFEC7" wp14:editId="6E8F3EE5">
          <wp:simplePos x="0" y="0"/>
          <wp:positionH relativeFrom="column">
            <wp:posOffset>-6416</wp:posOffset>
          </wp:positionH>
          <wp:positionV relativeFrom="paragraph">
            <wp:posOffset>-5632</wp:posOffset>
          </wp:positionV>
          <wp:extent cx="1677600" cy="1440000"/>
          <wp:effectExtent l="0" t="0" r="0" b="8255"/>
          <wp:wrapSquare wrapText="bothSides"/>
          <wp:docPr id="2" name="Image 2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7233C0" w14:textId="778B108F" w:rsidR="00D95C4C" w:rsidRPr="00D25762" w:rsidRDefault="00CA01BD" w:rsidP="00655736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10 GA</w:t>
    </w:r>
  </w:p>
  <w:p w14:paraId="2037F6C9" w14:textId="6E8EEC8A" w:rsidR="00D95C4C" w:rsidRPr="00D25762" w:rsidRDefault="006F41B4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LHE/24/10.GA/</w:t>
    </w:r>
    <w:r w:rsidRPr="00695E8F">
      <w:rPr>
        <w:rFonts w:ascii="Arial" w:hAnsi="Arial"/>
        <w:b/>
        <w:sz w:val="22"/>
      </w:rPr>
      <w:t>9</w:t>
    </w:r>
  </w:p>
  <w:p w14:paraId="1E03530A" w14:textId="5EE5827A" w:rsidR="00D95C4C" w:rsidRPr="00D25762" w:rsidRDefault="00D95C4C" w:rsidP="00655736">
    <w:pPr>
      <w:jc w:val="right"/>
      <w:rPr>
        <w:rFonts w:ascii="Arial" w:hAnsi="Arial" w:cs="Arial"/>
        <w:b/>
        <w:sz w:val="22"/>
        <w:szCs w:val="22"/>
      </w:rPr>
    </w:pPr>
    <w:bookmarkStart w:id="4" w:name="_Hlk165975931"/>
    <w:r>
      <w:rPr>
        <w:rFonts w:ascii="Arial" w:hAnsi="Arial"/>
        <w:b/>
        <w:sz w:val="22"/>
      </w:rPr>
      <w:t>Париж, 13 мая 2024 г</w:t>
    </w:r>
    <w:r w:rsidR="00781F65" w:rsidRPr="00695E8F">
      <w:rPr>
        <w:rFonts w:ascii="Arial" w:hAnsi="Arial"/>
        <w:b/>
        <w:sz w:val="22"/>
      </w:rPr>
      <w:t>.</w:t>
    </w:r>
    <w:bookmarkEnd w:id="4"/>
  </w:p>
  <w:p w14:paraId="00956E32" w14:textId="0E7557E4" w:rsidR="00D95C4C" w:rsidRDefault="00D95C4C" w:rsidP="00703FBF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7FB1132E" w14:textId="77777777" w:rsidR="00540FE0" w:rsidRPr="00C23A97" w:rsidRDefault="00540FE0" w:rsidP="00540FE0">
    <w:pPr>
      <w:rPr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0E77" w14:textId="77777777" w:rsidR="00D95C4C" w:rsidRPr="00C23A97" w:rsidRDefault="003F2837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 xml:space="preserve">LHE/24/10.GA/9 Add. – страница 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92A1" w14:textId="77777777" w:rsidR="00D95C4C" w:rsidRPr="0063300C" w:rsidRDefault="003F2837" w:rsidP="00C5776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LHE/24/10.GA/9 Add. – страница 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6902" w14:textId="77777777" w:rsidR="00D95C4C" w:rsidRPr="00E95AE2" w:rsidRDefault="003F2837">
    <w:pPr>
      <w:pStyle w:val="En-tt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1E41768" wp14:editId="3662D93B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B43C7" w14:textId="77777777" w:rsidR="00D95C4C" w:rsidRPr="00D7105A" w:rsidRDefault="003F2837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10 GA</w:t>
    </w:r>
  </w:p>
  <w:p w14:paraId="50D3D8CC" w14:textId="77777777" w:rsidR="00D95C4C" w:rsidRPr="00D7105A" w:rsidRDefault="003F2837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LHE/24/10.GA/9 Add.</w:t>
    </w:r>
  </w:p>
  <w:p w14:paraId="6A30EA18" w14:textId="77777777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Париж, </w:t>
    </w:r>
    <w:r w:rsidR="003F2837" w:rsidRPr="0077545C">
      <w:rPr>
        <w:rFonts w:ascii="Arial" w:hAnsi="Arial"/>
        <w:b/>
        <w:sz w:val="22"/>
      </w:rPr>
      <w:t xml:space="preserve">5 </w:t>
    </w:r>
    <w:r w:rsidR="003F2837" w:rsidRPr="001D0AB0">
      <w:rPr>
        <w:rFonts w:ascii="Arial" w:hAnsi="Arial"/>
        <w:b/>
        <w:sz w:val="22"/>
      </w:rPr>
      <w:t>и</w:t>
    </w:r>
    <w:r w:rsidR="003F2837">
      <w:rPr>
        <w:rFonts w:ascii="Arial" w:hAnsi="Arial"/>
        <w:b/>
        <w:sz w:val="22"/>
      </w:rPr>
      <w:t>юня</w:t>
    </w:r>
    <w:r>
      <w:rPr>
        <w:rFonts w:ascii="Arial" w:hAnsi="Arial"/>
        <w:b/>
        <w:sz w:val="22"/>
      </w:rPr>
      <w:t xml:space="preserve"> 2024</w:t>
    </w:r>
    <w:r w:rsidR="003F2837" w:rsidRPr="003F2837">
      <w:rPr>
        <w:rFonts w:ascii="Arial" w:hAnsi="Arial"/>
        <w:b/>
        <w:sz w:val="22"/>
      </w:rPr>
      <w:t xml:space="preserve"> </w:t>
    </w:r>
    <w:r>
      <w:rPr>
        <w:rFonts w:ascii="Arial" w:hAnsi="Arial"/>
        <w:b/>
        <w:sz w:val="22"/>
      </w:rPr>
      <w:t>г.</w:t>
    </w:r>
  </w:p>
  <w:p w14:paraId="71917F58" w14:textId="77777777" w:rsidR="00D95C4C" w:rsidRPr="001C6513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Оригинал: </w:t>
    </w:r>
    <w:r w:rsidR="003F2837">
      <w:rPr>
        <w:rFonts w:ascii="Arial" w:hAnsi="Arial"/>
        <w:b/>
        <w:sz w:val="22"/>
      </w:rPr>
      <w:t>английский</w:t>
    </w:r>
    <w:r w:rsidR="003F2837" w:rsidDel="001D0AB0">
      <w:rPr>
        <w:rFonts w:ascii="Arial" w:hAnsi="Arial"/>
        <w:b/>
        <w:sz w:val="22"/>
      </w:rPr>
      <w:t xml:space="preserve"> </w:t>
    </w:r>
  </w:p>
  <w:p w14:paraId="75CF50FF" w14:textId="77777777" w:rsidR="00D95C4C" w:rsidRPr="00DD4705" w:rsidRDefault="00D95C4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352"/>
    <w:multiLevelType w:val="hybridMultilevel"/>
    <w:tmpl w:val="0DC0C3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10F4"/>
    <w:multiLevelType w:val="hybridMultilevel"/>
    <w:tmpl w:val="F17E1C94"/>
    <w:lvl w:ilvl="0" w:tplc="FFFFFFFF">
      <w:start w:val="3"/>
      <w:numFmt w:val="lowerLetter"/>
      <w:lvlText w:val="%1."/>
      <w:lvlJc w:val="left"/>
      <w:pPr>
        <w:ind w:left="1080" w:hanging="360"/>
      </w:pPr>
      <w:rPr>
        <w:rFonts w:eastAsia="Times New Roman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5376F"/>
    <w:multiLevelType w:val="hybridMultilevel"/>
    <w:tmpl w:val="695ED68C"/>
    <w:lvl w:ilvl="0" w:tplc="5582BC92">
      <w:start w:val="1"/>
      <w:numFmt w:val="decimal"/>
      <w:lvlText w:val="%1."/>
      <w:lvlJc w:val="left"/>
      <w:pPr>
        <w:ind w:left="570" w:hanging="57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270120F"/>
    <w:multiLevelType w:val="hybridMultilevel"/>
    <w:tmpl w:val="76AC364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2F02677"/>
    <w:multiLevelType w:val="hybridMultilevel"/>
    <w:tmpl w:val="DC1A8DDA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5E65BB8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35599"/>
    <w:multiLevelType w:val="hybridMultilevel"/>
    <w:tmpl w:val="BFD25066"/>
    <w:lvl w:ilvl="0" w:tplc="C5560598">
      <w:start w:val="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8F06C69"/>
    <w:multiLevelType w:val="hybridMultilevel"/>
    <w:tmpl w:val="A09C1ED4"/>
    <w:lvl w:ilvl="0" w:tplc="040C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336682"/>
    <w:multiLevelType w:val="hybridMultilevel"/>
    <w:tmpl w:val="35EAA06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A62126"/>
    <w:multiLevelType w:val="hybridMultilevel"/>
    <w:tmpl w:val="7B7CBF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A3136"/>
    <w:multiLevelType w:val="hybridMultilevel"/>
    <w:tmpl w:val="AFA4C9CE"/>
    <w:lvl w:ilvl="0" w:tplc="C5560598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EDC6A51"/>
    <w:multiLevelType w:val="multilevel"/>
    <w:tmpl w:val="FD1C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D1E76"/>
    <w:multiLevelType w:val="multilevel"/>
    <w:tmpl w:val="8FE2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4D6D09"/>
    <w:multiLevelType w:val="hybridMultilevel"/>
    <w:tmpl w:val="A2507ECA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A53EB"/>
    <w:multiLevelType w:val="hybridMultilevel"/>
    <w:tmpl w:val="C0368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02209"/>
    <w:multiLevelType w:val="hybridMultilevel"/>
    <w:tmpl w:val="C81EAF9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960296"/>
    <w:multiLevelType w:val="hybridMultilevel"/>
    <w:tmpl w:val="C0700C88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43F14662"/>
    <w:multiLevelType w:val="hybridMultilevel"/>
    <w:tmpl w:val="DB52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F771C"/>
    <w:multiLevelType w:val="multilevel"/>
    <w:tmpl w:val="A0CA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7ED05D8"/>
    <w:multiLevelType w:val="hybridMultilevel"/>
    <w:tmpl w:val="34A6208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6B5B59"/>
    <w:multiLevelType w:val="multilevel"/>
    <w:tmpl w:val="3E32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36D2"/>
    <w:multiLevelType w:val="hybridMultilevel"/>
    <w:tmpl w:val="74F2C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B3E4C"/>
    <w:multiLevelType w:val="hybridMultilevel"/>
    <w:tmpl w:val="C2826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BC6DF9"/>
    <w:multiLevelType w:val="hybridMultilevel"/>
    <w:tmpl w:val="6C2E7F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F5E6B0A"/>
    <w:multiLevelType w:val="hybridMultilevel"/>
    <w:tmpl w:val="76563B0C"/>
    <w:lvl w:ilvl="0" w:tplc="55EA788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B56"/>
    <w:multiLevelType w:val="hybridMultilevel"/>
    <w:tmpl w:val="F17E1C94"/>
    <w:lvl w:ilvl="0" w:tplc="B91272E4">
      <w:start w:val="3"/>
      <w:numFmt w:val="lowerLetter"/>
      <w:lvlText w:val="%1."/>
      <w:lvlJc w:val="left"/>
      <w:pPr>
        <w:ind w:left="1080" w:hanging="360"/>
      </w:pPr>
      <w:rPr>
        <w:rFonts w:eastAsia="Times New Roman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9C79A8"/>
    <w:multiLevelType w:val="hybridMultilevel"/>
    <w:tmpl w:val="DA56B99C"/>
    <w:lvl w:ilvl="0" w:tplc="C5560598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42F3D3D"/>
    <w:multiLevelType w:val="hybridMultilevel"/>
    <w:tmpl w:val="A9280B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A84E40"/>
    <w:multiLevelType w:val="hybridMultilevel"/>
    <w:tmpl w:val="70B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2074D"/>
    <w:multiLevelType w:val="hybridMultilevel"/>
    <w:tmpl w:val="64B874A0"/>
    <w:lvl w:ilvl="0" w:tplc="C5560598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6BD39AC"/>
    <w:multiLevelType w:val="hybridMultilevel"/>
    <w:tmpl w:val="98F2FA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94B26"/>
    <w:multiLevelType w:val="hybridMultilevel"/>
    <w:tmpl w:val="8CC037C8"/>
    <w:lvl w:ilvl="0" w:tplc="85E65BB8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27090C"/>
    <w:multiLevelType w:val="hybridMultilevel"/>
    <w:tmpl w:val="8B223E38"/>
    <w:lvl w:ilvl="0" w:tplc="04090015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6" w15:restartNumberingAfterBreak="0">
    <w:nsid w:val="67D10C57"/>
    <w:multiLevelType w:val="multilevel"/>
    <w:tmpl w:val="357A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F44D18"/>
    <w:multiLevelType w:val="hybridMultilevel"/>
    <w:tmpl w:val="3B3617AC"/>
    <w:lvl w:ilvl="0" w:tplc="FFFFFFFF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C5560598">
      <w:start w:val="1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6D58222C"/>
    <w:multiLevelType w:val="hybridMultilevel"/>
    <w:tmpl w:val="B1E66D4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5C12BE"/>
    <w:multiLevelType w:val="hybridMultilevel"/>
    <w:tmpl w:val="560CA548"/>
    <w:lvl w:ilvl="0" w:tplc="5C7A2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455CE"/>
    <w:multiLevelType w:val="hybridMultilevel"/>
    <w:tmpl w:val="F8D0D3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6335EA5"/>
    <w:multiLevelType w:val="hybridMultilevel"/>
    <w:tmpl w:val="6DFAB0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6FC0292"/>
    <w:multiLevelType w:val="hybridMultilevel"/>
    <w:tmpl w:val="C1F0D092"/>
    <w:lvl w:ilvl="0" w:tplc="EBA0D8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37780">
    <w:abstractNumId w:val="35"/>
  </w:num>
  <w:num w:numId="2" w16cid:durableId="2049063758">
    <w:abstractNumId w:val="18"/>
  </w:num>
  <w:num w:numId="3" w16cid:durableId="1809202358">
    <w:abstractNumId w:val="9"/>
  </w:num>
  <w:num w:numId="4" w16cid:durableId="1955286592">
    <w:abstractNumId w:val="54"/>
  </w:num>
  <w:num w:numId="5" w16cid:durableId="1918855656">
    <w:abstractNumId w:val="43"/>
  </w:num>
  <w:num w:numId="6" w16cid:durableId="1240094403">
    <w:abstractNumId w:val="4"/>
  </w:num>
  <w:num w:numId="7" w16cid:durableId="507141629">
    <w:abstractNumId w:val="10"/>
  </w:num>
  <w:num w:numId="8" w16cid:durableId="893851050">
    <w:abstractNumId w:val="27"/>
  </w:num>
  <w:num w:numId="9" w16cid:durableId="320812257">
    <w:abstractNumId w:val="16"/>
  </w:num>
  <w:num w:numId="10" w16cid:durableId="853227927">
    <w:abstractNumId w:val="19"/>
  </w:num>
  <w:num w:numId="11" w16cid:durableId="1229342637">
    <w:abstractNumId w:val="24"/>
  </w:num>
  <w:num w:numId="12" w16cid:durableId="1772773073">
    <w:abstractNumId w:val="20"/>
  </w:num>
  <w:num w:numId="13" w16cid:durableId="973946547">
    <w:abstractNumId w:val="49"/>
  </w:num>
  <w:num w:numId="14" w16cid:durableId="1903559482">
    <w:abstractNumId w:val="30"/>
  </w:num>
  <w:num w:numId="15" w16cid:durableId="1471285849">
    <w:abstractNumId w:val="33"/>
  </w:num>
  <w:num w:numId="16" w16cid:durableId="1733429109">
    <w:abstractNumId w:val="19"/>
  </w:num>
  <w:num w:numId="17" w16cid:durableId="2091348304">
    <w:abstractNumId w:val="19"/>
  </w:num>
  <w:num w:numId="18" w16cid:durableId="1992637322">
    <w:abstractNumId w:val="19"/>
  </w:num>
  <w:num w:numId="19" w16cid:durableId="1305551654">
    <w:abstractNumId w:val="0"/>
  </w:num>
  <w:num w:numId="20" w16cid:durableId="2049720743">
    <w:abstractNumId w:val="3"/>
  </w:num>
  <w:num w:numId="21" w16cid:durableId="1535726802">
    <w:abstractNumId w:val="51"/>
  </w:num>
  <w:num w:numId="22" w16cid:durableId="1003237281">
    <w:abstractNumId w:val="36"/>
  </w:num>
  <w:num w:numId="23" w16cid:durableId="1918395868">
    <w:abstractNumId w:val="46"/>
  </w:num>
  <w:num w:numId="24" w16cid:durableId="1927305320">
    <w:abstractNumId w:val="14"/>
  </w:num>
  <w:num w:numId="25" w16cid:durableId="10027779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4720401">
    <w:abstractNumId w:val="32"/>
  </w:num>
  <w:num w:numId="27" w16cid:durableId="1998607722">
    <w:abstractNumId w:val="39"/>
  </w:num>
  <w:num w:numId="28" w16cid:durableId="21444334">
    <w:abstractNumId w:val="45"/>
  </w:num>
  <w:num w:numId="29" w16cid:durableId="992411660">
    <w:abstractNumId w:val="26"/>
  </w:num>
  <w:num w:numId="30" w16cid:durableId="978807678">
    <w:abstractNumId w:val="21"/>
  </w:num>
  <w:num w:numId="31" w16cid:durableId="1080297442">
    <w:abstractNumId w:val="16"/>
  </w:num>
  <w:num w:numId="32" w16cid:durableId="471562915">
    <w:abstractNumId w:val="29"/>
  </w:num>
  <w:num w:numId="33" w16cid:durableId="1240823980">
    <w:abstractNumId w:val="50"/>
  </w:num>
  <w:num w:numId="34" w16cid:durableId="1585410190">
    <w:abstractNumId w:val="17"/>
  </w:num>
  <w:num w:numId="35" w16cid:durableId="461267449">
    <w:abstractNumId w:val="42"/>
  </w:num>
  <w:num w:numId="36" w16cid:durableId="37357373">
    <w:abstractNumId w:val="1"/>
  </w:num>
  <w:num w:numId="37" w16cid:durableId="1795640485">
    <w:abstractNumId w:val="53"/>
  </w:num>
  <w:num w:numId="38" w16cid:durableId="549344802">
    <w:abstractNumId w:val="12"/>
  </w:num>
  <w:num w:numId="39" w16cid:durableId="1062211119">
    <w:abstractNumId w:val="48"/>
  </w:num>
  <w:num w:numId="40" w16cid:durableId="1617179948">
    <w:abstractNumId w:val="40"/>
  </w:num>
  <w:num w:numId="41" w16cid:durableId="481584994">
    <w:abstractNumId w:val="15"/>
  </w:num>
  <w:num w:numId="42" w16cid:durableId="1801454739">
    <w:abstractNumId w:val="23"/>
  </w:num>
  <w:num w:numId="43" w16cid:durableId="1934313991">
    <w:abstractNumId w:val="31"/>
  </w:num>
  <w:num w:numId="44" w16cid:durableId="1750955977">
    <w:abstractNumId w:val="28"/>
  </w:num>
  <w:num w:numId="45" w16cid:durableId="1427000433">
    <w:abstractNumId w:val="5"/>
  </w:num>
  <w:num w:numId="46" w16cid:durableId="1310086483">
    <w:abstractNumId w:val="22"/>
  </w:num>
  <w:num w:numId="47" w16cid:durableId="878250389">
    <w:abstractNumId w:val="25"/>
  </w:num>
  <w:num w:numId="48" w16cid:durableId="1607233856">
    <w:abstractNumId w:val="44"/>
  </w:num>
  <w:num w:numId="49" w16cid:durableId="67660095">
    <w:abstractNumId w:val="13"/>
  </w:num>
  <w:num w:numId="50" w16cid:durableId="1259754318">
    <w:abstractNumId w:val="47"/>
  </w:num>
  <w:num w:numId="51" w16cid:durableId="188878937">
    <w:abstractNumId w:val="7"/>
  </w:num>
  <w:num w:numId="52" w16cid:durableId="1368989410">
    <w:abstractNumId w:val="37"/>
  </w:num>
  <w:num w:numId="53" w16cid:durableId="1245650060">
    <w:abstractNumId w:val="38"/>
  </w:num>
  <w:num w:numId="54" w16cid:durableId="1512602041">
    <w:abstractNumId w:val="6"/>
  </w:num>
  <w:num w:numId="55" w16cid:durableId="1665207238">
    <w:abstractNumId w:val="41"/>
  </w:num>
  <w:num w:numId="56" w16cid:durableId="1209801432">
    <w:abstractNumId w:val="52"/>
  </w:num>
  <w:num w:numId="57" w16cid:durableId="450058106">
    <w:abstractNumId w:val="2"/>
  </w:num>
  <w:num w:numId="58" w16cid:durableId="1739160644">
    <w:abstractNumId w:val="11"/>
  </w:num>
  <w:num w:numId="59" w16cid:durableId="1489707188">
    <w:abstractNumId w:val="34"/>
  </w:num>
  <w:num w:numId="60" w16cid:durableId="1031959002">
    <w:abstractNumId w:val="8"/>
  </w:num>
  <w:num w:numId="61" w16cid:durableId="1473517574">
    <w:abstractNumId w:val="16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66"/>
    <w:rsid w:val="0000081D"/>
    <w:rsid w:val="00002B19"/>
    <w:rsid w:val="000036FB"/>
    <w:rsid w:val="000048ED"/>
    <w:rsid w:val="000055CD"/>
    <w:rsid w:val="00013677"/>
    <w:rsid w:val="000264DC"/>
    <w:rsid w:val="00026B8D"/>
    <w:rsid w:val="000328F5"/>
    <w:rsid w:val="00041A66"/>
    <w:rsid w:val="00046697"/>
    <w:rsid w:val="0005176E"/>
    <w:rsid w:val="00053C58"/>
    <w:rsid w:val="0006113B"/>
    <w:rsid w:val="000617A8"/>
    <w:rsid w:val="00062D83"/>
    <w:rsid w:val="00065B6F"/>
    <w:rsid w:val="000760BA"/>
    <w:rsid w:val="000761B7"/>
    <w:rsid w:val="000765F7"/>
    <w:rsid w:val="00077AB7"/>
    <w:rsid w:val="0008046B"/>
    <w:rsid w:val="000808E9"/>
    <w:rsid w:val="00081CD8"/>
    <w:rsid w:val="00082CFF"/>
    <w:rsid w:val="000857CC"/>
    <w:rsid w:val="00085888"/>
    <w:rsid w:val="000863F2"/>
    <w:rsid w:val="00091229"/>
    <w:rsid w:val="00092C9D"/>
    <w:rsid w:val="00092EA8"/>
    <w:rsid w:val="000A09EE"/>
    <w:rsid w:val="000A3C88"/>
    <w:rsid w:val="000A4426"/>
    <w:rsid w:val="000A69F9"/>
    <w:rsid w:val="000A7F0E"/>
    <w:rsid w:val="000B24C4"/>
    <w:rsid w:val="000B3D34"/>
    <w:rsid w:val="000B4426"/>
    <w:rsid w:val="000B5126"/>
    <w:rsid w:val="000B7111"/>
    <w:rsid w:val="000C0D61"/>
    <w:rsid w:val="000C1923"/>
    <w:rsid w:val="000C1AC2"/>
    <w:rsid w:val="000C2FE8"/>
    <w:rsid w:val="000D2922"/>
    <w:rsid w:val="000D2BAE"/>
    <w:rsid w:val="000D358B"/>
    <w:rsid w:val="000D39DF"/>
    <w:rsid w:val="000D42FD"/>
    <w:rsid w:val="000D62FA"/>
    <w:rsid w:val="000E6941"/>
    <w:rsid w:val="000F04DF"/>
    <w:rsid w:val="000F1204"/>
    <w:rsid w:val="000F3A32"/>
    <w:rsid w:val="000F3A3F"/>
    <w:rsid w:val="000F40E4"/>
    <w:rsid w:val="000F5C48"/>
    <w:rsid w:val="000F701E"/>
    <w:rsid w:val="000F783D"/>
    <w:rsid w:val="00102557"/>
    <w:rsid w:val="00102F32"/>
    <w:rsid w:val="001035A0"/>
    <w:rsid w:val="00106920"/>
    <w:rsid w:val="0010779E"/>
    <w:rsid w:val="00110062"/>
    <w:rsid w:val="00110D67"/>
    <w:rsid w:val="00115010"/>
    <w:rsid w:val="00117AD9"/>
    <w:rsid w:val="00120ECA"/>
    <w:rsid w:val="001267A1"/>
    <w:rsid w:val="00132955"/>
    <w:rsid w:val="00132C8D"/>
    <w:rsid w:val="00133066"/>
    <w:rsid w:val="00134594"/>
    <w:rsid w:val="0013590D"/>
    <w:rsid w:val="00136FA1"/>
    <w:rsid w:val="00141104"/>
    <w:rsid w:val="0014571A"/>
    <w:rsid w:val="00151D1F"/>
    <w:rsid w:val="00152D3D"/>
    <w:rsid w:val="001541E1"/>
    <w:rsid w:val="0015684E"/>
    <w:rsid w:val="00162EE7"/>
    <w:rsid w:val="00164D56"/>
    <w:rsid w:val="00164D8F"/>
    <w:rsid w:val="00167B10"/>
    <w:rsid w:val="00172BC7"/>
    <w:rsid w:val="00173FBD"/>
    <w:rsid w:val="0017402F"/>
    <w:rsid w:val="00176720"/>
    <w:rsid w:val="001862DB"/>
    <w:rsid w:val="00191ADC"/>
    <w:rsid w:val="001937CA"/>
    <w:rsid w:val="00196C1B"/>
    <w:rsid w:val="001A03F4"/>
    <w:rsid w:val="001B0366"/>
    <w:rsid w:val="001B0F73"/>
    <w:rsid w:val="001B1BEB"/>
    <w:rsid w:val="001B1F09"/>
    <w:rsid w:val="001B52CF"/>
    <w:rsid w:val="001B6EE7"/>
    <w:rsid w:val="001B7362"/>
    <w:rsid w:val="001B757C"/>
    <w:rsid w:val="001C629C"/>
    <w:rsid w:val="001C7EBC"/>
    <w:rsid w:val="001D09F2"/>
    <w:rsid w:val="001D2727"/>
    <w:rsid w:val="001D5C04"/>
    <w:rsid w:val="001D70CC"/>
    <w:rsid w:val="001D7CA1"/>
    <w:rsid w:val="001E05F4"/>
    <w:rsid w:val="001F03F4"/>
    <w:rsid w:val="001F1F33"/>
    <w:rsid w:val="001F3D05"/>
    <w:rsid w:val="001F4A0A"/>
    <w:rsid w:val="001F58CA"/>
    <w:rsid w:val="0020046B"/>
    <w:rsid w:val="0020400C"/>
    <w:rsid w:val="00206861"/>
    <w:rsid w:val="00211783"/>
    <w:rsid w:val="0022015F"/>
    <w:rsid w:val="00222A2D"/>
    <w:rsid w:val="00223029"/>
    <w:rsid w:val="002313B6"/>
    <w:rsid w:val="00231809"/>
    <w:rsid w:val="00234745"/>
    <w:rsid w:val="00236FF3"/>
    <w:rsid w:val="002407AF"/>
    <w:rsid w:val="00240EAD"/>
    <w:rsid w:val="00240F2F"/>
    <w:rsid w:val="00246400"/>
    <w:rsid w:val="0025271D"/>
    <w:rsid w:val="00253C5E"/>
    <w:rsid w:val="00260DA7"/>
    <w:rsid w:val="00263A0D"/>
    <w:rsid w:val="002641E7"/>
    <w:rsid w:val="00266F70"/>
    <w:rsid w:val="00270504"/>
    <w:rsid w:val="00275EC7"/>
    <w:rsid w:val="00281069"/>
    <w:rsid w:val="00294852"/>
    <w:rsid w:val="00295CE6"/>
    <w:rsid w:val="00296281"/>
    <w:rsid w:val="00296AC6"/>
    <w:rsid w:val="00296DFE"/>
    <w:rsid w:val="002A21D9"/>
    <w:rsid w:val="002A27F8"/>
    <w:rsid w:val="002B0B4D"/>
    <w:rsid w:val="002B14D0"/>
    <w:rsid w:val="002B424E"/>
    <w:rsid w:val="002B7CA2"/>
    <w:rsid w:val="002C09E3"/>
    <w:rsid w:val="002C2507"/>
    <w:rsid w:val="002C2A4E"/>
    <w:rsid w:val="002C3DF8"/>
    <w:rsid w:val="002C5D7A"/>
    <w:rsid w:val="002C5E64"/>
    <w:rsid w:val="002D3F3D"/>
    <w:rsid w:val="002E2EBD"/>
    <w:rsid w:val="002F0AC2"/>
    <w:rsid w:val="002F312A"/>
    <w:rsid w:val="003006D6"/>
    <w:rsid w:val="003024E6"/>
    <w:rsid w:val="003063E1"/>
    <w:rsid w:val="00314EE4"/>
    <w:rsid w:val="003265D0"/>
    <w:rsid w:val="0032756E"/>
    <w:rsid w:val="0033202F"/>
    <w:rsid w:val="00335B7F"/>
    <w:rsid w:val="00345CB4"/>
    <w:rsid w:val="003522C7"/>
    <w:rsid w:val="003527C2"/>
    <w:rsid w:val="00352BB3"/>
    <w:rsid w:val="00354757"/>
    <w:rsid w:val="003549B8"/>
    <w:rsid w:val="00361D79"/>
    <w:rsid w:val="003624DE"/>
    <w:rsid w:val="0036315C"/>
    <w:rsid w:val="00364AFD"/>
    <w:rsid w:val="00365C36"/>
    <w:rsid w:val="00373E68"/>
    <w:rsid w:val="003832A4"/>
    <w:rsid w:val="003835C8"/>
    <w:rsid w:val="003845D4"/>
    <w:rsid w:val="00384A1C"/>
    <w:rsid w:val="00384D3E"/>
    <w:rsid w:val="0039160A"/>
    <w:rsid w:val="003916AF"/>
    <w:rsid w:val="00391AC6"/>
    <w:rsid w:val="003920E4"/>
    <w:rsid w:val="00394197"/>
    <w:rsid w:val="00397329"/>
    <w:rsid w:val="003A228F"/>
    <w:rsid w:val="003A708C"/>
    <w:rsid w:val="003B1DF8"/>
    <w:rsid w:val="003B25BD"/>
    <w:rsid w:val="003B4C9D"/>
    <w:rsid w:val="003B6D70"/>
    <w:rsid w:val="003B747C"/>
    <w:rsid w:val="003C196C"/>
    <w:rsid w:val="003C2FCA"/>
    <w:rsid w:val="003D069C"/>
    <w:rsid w:val="003D451A"/>
    <w:rsid w:val="003D7565"/>
    <w:rsid w:val="003D7646"/>
    <w:rsid w:val="003E6265"/>
    <w:rsid w:val="003F113A"/>
    <w:rsid w:val="003F24FB"/>
    <w:rsid w:val="003F2837"/>
    <w:rsid w:val="004107F6"/>
    <w:rsid w:val="00412CAE"/>
    <w:rsid w:val="00414643"/>
    <w:rsid w:val="0041493A"/>
    <w:rsid w:val="00415D57"/>
    <w:rsid w:val="00416E46"/>
    <w:rsid w:val="00422549"/>
    <w:rsid w:val="00426677"/>
    <w:rsid w:val="004269FE"/>
    <w:rsid w:val="00435CED"/>
    <w:rsid w:val="004368A3"/>
    <w:rsid w:val="0043757A"/>
    <w:rsid w:val="004421E5"/>
    <w:rsid w:val="00445891"/>
    <w:rsid w:val="00445FF7"/>
    <w:rsid w:val="004472C8"/>
    <w:rsid w:val="004501BD"/>
    <w:rsid w:val="00452284"/>
    <w:rsid w:val="0046080C"/>
    <w:rsid w:val="00472BCA"/>
    <w:rsid w:val="0047616F"/>
    <w:rsid w:val="00482AC9"/>
    <w:rsid w:val="004833E8"/>
    <w:rsid w:val="00484A4B"/>
    <w:rsid w:val="004855F6"/>
    <w:rsid w:val="004856CA"/>
    <w:rsid w:val="00493776"/>
    <w:rsid w:val="00493CFB"/>
    <w:rsid w:val="00494676"/>
    <w:rsid w:val="00495158"/>
    <w:rsid w:val="00496EF6"/>
    <w:rsid w:val="0049705E"/>
    <w:rsid w:val="004A01B3"/>
    <w:rsid w:val="004A34A0"/>
    <w:rsid w:val="004A5D0E"/>
    <w:rsid w:val="004B1F07"/>
    <w:rsid w:val="004B2449"/>
    <w:rsid w:val="004C14FB"/>
    <w:rsid w:val="004C7156"/>
    <w:rsid w:val="004D1452"/>
    <w:rsid w:val="004D2992"/>
    <w:rsid w:val="004D32F1"/>
    <w:rsid w:val="004D73A6"/>
    <w:rsid w:val="004D77F9"/>
    <w:rsid w:val="004E7F4A"/>
    <w:rsid w:val="004F5864"/>
    <w:rsid w:val="004F7592"/>
    <w:rsid w:val="00500BC7"/>
    <w:rsid w:val="00500D6F"/>
    <w:rsid w:val="00502D44"/>
    <w:rsid w:val="00503B1B"/>
    <w:rsid w:val="00504DA1"/>
    <w:rsid w:val="005163C2"/>
    <w:rsid w:val="00526B7B"/>
    <w:rsid w:val="005308CE"/>
    <w:rsid w:val="005329A6"/>
    <w:rsid w:val="00534C19"/>
    <w:rsid w:val="00540FE0"/>
    <w:rsid w:val="005410AA"/>
    <w:rsid w:val="005477B3"/>
    <w:rsid w:val="00547B09"/>
    <w:rsid w:val="00552A08"/>
    <w:rsid w:val="005618AD"/>
    <w:rsid w:val="005677D5"/>
    <w:rsid w:val="0057439C"/>
    <w:rsid w:val="005745C2"/>
    <w:rsid w:val="005823AB"/>
    <w:rsid w:val="0058510E"/>
    <w:rsid w:val="00586EFB"/>
    <w:rsid w:val="00593A49"/>
    <w:rsid w:val="00593D58"/>
    <w:rsid w:val="00595AF2"/>
    <w:rsid w:val="00597B9A"/>
    <w:rsid w:val="005A1A48"/>
    <w:rsid w:val="005B0127"/>
    <w:rsid w:val="005B1237"/>
    <w:rsid w:val="005B55E7"/>
    <w:rsid w:val="005B7A35"/>
    <w:rsid w:val="005C14A1"/>
    <w:rsid w:val="005C1ECB"/>
    <w:rsid w:val="005C1FE9"/>
    <w:rsid w:val="005C4B73"/>
    <w:rsid w:val="005C6835"/>
    <w:rsid w:val="005D0965"/>
    <w:rsid w:val="005D1039"/>
    <w:rsid w:val="005D1AEB"/>
    <w:rsid w:val="005D6E87"/>
    <w:rsid w:val="005E1D2B"/>
    <w:rsid w:val="005E588B"/>
    <w:rsid w:val="005F2280"/>
    <w:rsid w:val="0060053A"/>
    <w:rsid w:val="00600CE2"/>
    <w:rsid w:val="00600D93"/>
    <w:rsid w:val="00600E03"/>
    <w:rsid w:val="006150C2"/>
    <w:rsid w:val="00620406"/>
    <w:rsid w:val="006212A7"/>
    <w:rsid w:val="00626710"/>
    <w:rsid w:val="00630329"/>
    <w:rsid w:val="00632A6E"/>
    <w:rsid w:val="0063300C"/>
    <w:rsid w:val="006339F9"/>
    <w:rsid w:val="006342B6"/>
    <w:rsid w:val="00636D5B"/>
    <w:rsid w:val="0063701C"/>
    <w:rsid w:val="006418CF"/>
    <w:rsid w:val="00645D99"/>
    <w:rsid w:val="00647FD6"/>
    <w:rsid w:val="00651758"/>
    <w:rsid w:val="00655736"/>
    <w:rsid w:val="00656FCC"/>
    <w:rsid w:val="00663B8D"/>
    <w:rsid w:val="006720C3"/>
    <w:rsid w:val="006750F6"/>
    <w:rsid w:val="00677640"/>
    <w:rsid w:val="0067775C"/>
    <w:rsid w:val="006836FB"/>
    <w:rsid w:val="0068412C"/>
    <w:rsid w:val="00685C11"/>
    <w:rsid w:val="0069182E"/>
    <w:rsid w:val="006951AE"/>
    <w:rsid w:val="00695E8F"/>
    <w:rsid w:val="006968E3"/>
    <w:rsid w:val="00696C8D"/>
    <w:rsid w:val="006A2AC2"/>
    <w:rsid w:val="006A3617"/>
    <w:rsid w:val="006A5FFC"/>
    <w:rsid w:val="006A64E9"/>
    <w:rsid w:val="006A6C87"/>
    <w:rsid w:val="006B05B0"/>
    <w:rsid w:val="006C5499"/>
    <w:rsid w:val="006D3F8F"/>
    <w:rsid w:val="006E46E4"/>
    <w:rsid w:val="006F084A"/>
    <w:rsid w:val="006F237F"/>
    <w:rsid w:val="006F41B4"/>
    <w:rsid w:val="0070187D"/>
    <w:rsid w:val="00703FBF"/>
    <w:rsid w:val="007050D1"/>
    <w:rsid w:val="00705374"/>
    <w:rsid w:val="007058DF"/>
    <w:rsid w:val="00706237"/>
    <w:rsid w:val="00710274"/>
    <w:rsid w:val="00710B44"/>
    <w:rsid w:val="00711517"/>
    <w:rsid w:val="0071435D"/>
    <w:rsid w:val="00717DA5"/>
    <w:rsid w:val="00723F97"/>
    <w:rsid w:val="00725087"/>
    <w:rsid w:val="0073028D"/>
    <w:rsid w:val="0073078B"/>
    <w:rsid w:val="00733307"/>
    <w:rsid w:val="00733376"/>
    <w:rsid w:val="00743083"/>
    <w:rsid w:val="007430BA"/>
    <w:rsid w:val="00744484"/>
    <w:rsid w:val="00744DAB"/>
    <w:rsid w:val="007465B8"/>
    <w:rsid w:val="00755238"/>
    <w:rsid w:val="00763A0D"/>
    <w:rsid w:val="00764A95"/>
    <w:rsid w:val="00765896"/>
    <w:rsid w:val="00767665"/>
    <w:rsid w:val="007709EF"/>
    <w:rsid w:val="00773188"/>
    <w:rsid w:val="00776515"/>
    <w:rsid w:val="00780F05"/>
    <w:rsid w:val="00781F65"/>
    <w:rsid w:val="00783782"/>
    <w:rsid w:val="00784B8C"/>
    <w:rsid w:val="00790081"/>
    <w:rsid w:val="00791AF8"/>
    <w:rsid w:val="007A0A97"/>
    <w:rsid w:val="007A1C4F"/>
    <w:rsid w:val="007A21DF"/>
    <w:rsid w:val="007A4D40"/>
    <w:rsid w:val="007A6B7A"/>
    <w:rsid w:val="007B40D1"/>
    <w:rsid w:val="007B52EF"/>
    <w:rsid w:val="007B5E5D"/>
    <w:rsid w:val="007C36FB"/>
    <w:rsid w:val="007D019B"/>
    <w:rsid w:val="007D2FBC"/>
    <w:rsid w:val="007D5BAA"/>
    <w:rsid w:val="007E274B"/>
    <w:rsid w:val="007E3EBC"/>
    <w:rsid w:val="007E41FA"/>
    <w:rsid w:val="007F10C3"/>
    <w:rsid w:val="007F14F0"/>
    <w:rsid w:val="007F16A7"/>
    <w:rsid w:val="007F492B"/>
    <w:rsid w:val="007F5047"/>
    <w:rsid w:val="007F5754"/>
    <w:rsid w:val="008150BE"/>
    <w:rsid w:val="00823A11"/>
    <w:rsid w:val="00826461"/>
    <w:rsid w:val="00831A0F"/>
    <w:rsid w:val="00835209"/>
    <w:rsid w:val="008358A2"/>
    <w:rsid w:val="00845AA8"/>
    <w:rsid w:val="00846310"/>
    <w:rsid w:val="008473EE"/>
    <w:rsid w:val="00850E1B"/>
    <w:rsid w:val="00852866"/>
    <w:rsid w:val="0085414A"/>
    <w:rsid w:val="008560F9"/>
    <w:rsid w:val="008566C5"/>
    <w:rsid w:val="0086269D"/>
    <w:rsid w:val="0086543A"/>
    <w:rsid w:val="00870246"/>
    <w:rsid w:val="008712A4"/>
    <w:rsid w:val="008724E5"/>
    <w:rsid w:val="00873515"/>
    <w:rsid w:val="00884A9D"/>
    <w:rsid w:val="0088512B"/>
    <w:rsid w:val="00886F82"/>
    <w:rsid w:val="00892023"/>
    <w:rsid w:val="00894253"/>
    <w:rsid w:val="008948AA"/>
    <w:rsid w:val="00894AC8"/>
    <w:rsid w:val="008A056E"/>
    <w:rsid w:val="008A1337"/>
    <w:rsid w:val="008A1ED4"/>
    <w:rsid w:val="008A2026"/>
    <w:rsid w:val="008A253B"/>
    <w:rsid w:val="008A2B2D"/>
    <w:rsid w:val="008A4E1E"/>
    <w:rsid w:val="008B28EE"/>
    <w:rsid w:val="008B4707"/>
    <w:rsid w:val="008B5729"/>
    <w:rsid w:val="008B75EE"/>
    <w:rsid w:val="008C05DD"/>
    <w:rsid w:val="008C296C"/>
    <w:rsid w:val="008C3C39"/>
    <w:rsid w:val="008D3EA2"/>
    <w:rsid w:val="008D4305"/>
    <w:rsid w:val="008E014B"/>
    <w:rsid w:val="008E3CB1"/>
    <w:rsid w:val="008E50CE"/>
    <w:rsid w:val="008E6EB5"/>
    <w:rsid w:val="008F0A55"/>
    <w:rsid w:val="008F187F"/>
    <w:rsid w:val="008F38C8"/>
    <w:rsid w:val="008F6122"/>
    <w:rsid w:val="00901FD6"/>
    <w:rsid w:val="00902940"/>
    <w:rsid w:val="00902C87"/>
    <w:rsid w:val="00904C7C"/>
    <w:rsid w:val="00905D23"/>
    <w:rsid w:val="0090603F"/>
    <w:rsid w:val="00911342"/>
    <w:rsid w:val="009163A7"/>
    <w:rsid w:val="00917E29"/>
    <w:rsid w:val="00920C69"/>
    <w:rsid w:val="00921BC4"/>
    <w:rsid w:val="00921EDB"/>
    <w:rsid w:val="00922334"/>
    <w:rsid w:val="009238C5"/>
    <w:rsid w:val="009250E6"/>
    <w:rsid w:val="00925E52"/>
    <w:rsid w:val="009306DB"/>
    <w:rsid w:val="009320D9"/>
    <w:rsid w:val="009337D2"/>
    <w:rsid w:val="00934345"/>
    <w:rsid w:val="00936D1C"/>
    <w:rsid w:val="009405A0"/>
    <w:rsid w:val="0094171D"/>
    <w:rsid w:val="00942FC2"/>
    <w:rsid w:val="00946D0B"/>
    <w:rsid w:val="00954DB9"/>
    <w:rsid w:val="00961427"/>
    <w:rsid w:val="00962F1E"/>
    <w:rsid w:val="00965081"/>
    <w:rsid w:val="00970470"/>
    <w:rsid w:val="00972FCE"/>
    <w:rsid w:val="0098082E"/>
    <w:rsid w:val="0098641F"/>
    <w:rsid w:val="00987765"/>
    <w:rsid w:val="00993CCC"/>
    <w:rsid w:val="009947F9"/>
    <w:rsid w:val="009975B3"/>
    <w:rsid w:val="009A18CD"/>
    <w:rsid w:val="009A20FA"/>
    <w:rsid w:val="009A6C82"/>
    <w:rsid w:val="009D106F"/>
    <w:rsid w:val="009E3422"/>
    <w:rsid w:val="009E4416"/>
    <w:rsid w:val="009E7053"/>
    <w:rsid w:val="00A02EC0"/>
    <w:rsid w:val="00A1140F"/>
    <w:rsid w:val="00A12558"/>
    <w:rsid w:val="00A13903"/>
    <w:rsid w:val="00A22746"/>
    <w:rsid w:val="00A240A1"/>
    <w:rsid w:val="00A26708"/>
    <w:rsid w:val="00A301D4"/>
    <w:rsid w:val="00A34ED5"/>
    <w:rsid w:val="00A352E3"/>
    <w:rsid w:val="00A35394"/>
    <w:rsid w:val="00A36BFE"/>
    <w:rsid w:val="00A43A4F"/>
    <w:rsid w:val="00A45DBF"/>
    <w:rsid w:val="00A4780F"/>
    <w:rsid w:val="00A502CC"/>
    <w:rsid w:val="00A5059F"/>
    <w:rsid w:val="00A5128D"/>
    <w:rsid w:val="00A517CE"/>
    <w:rsid w:val="00A645DF"/>
    <w:rsid w:val="00A65C29"/>
    <w:rsid w:val="00A72380"/>
    <w:rsid w:val="00A72F43"/>
    <w:rsid w:val="00A755A2"/>
    <w:rsid w:val="00A761BC"/>
    <w:rsid w:val="00A76CD9"/>
    <w:rsid w:val="00A83CB2"/>
    <w:rsid w:val="00A83EEB"/>
    <w:rsid w:val="00A90980"/>
    <w:rsid w:val="00A96464"/>
    <w:rsid w:val="00AA37FC"/>
    <w:rsid w:val="00AA6660"/>
    <w:rsid w:val="00AA7461"/>
    <w:rsid w:val="00AA78C1"/>
    <w:rsid w:val="00AB15B0"/>
    <w:rsid w:val="00AB2C36"/>
    <w:rsid w:val="00AB4747"/>
    <w:rsid w:val="00AB4986"/>
    <w:rsid w:val="00AB5411"/>
    <w:rsid w:val="00AB70B6"/>
    <w:rsid w:val="00AC04F0"/>
    <w:rsid w:val="00AD1753"/>
    <w:rsid w:val="00AD19E8"/>
    <w:rsid w:val="00AD1A86"/>
    <w:rsid w:val="00AD5485"/>
    <w:rsid w:val="00AD79E5"/>
    <w:rsid w:val="00AE103E"/>
    <w:rsid w:val="00AE374B"/>
    <w:rsid w:val="00AE4379"/>
    <w:rsid w:val="00AE5AE9"/>
    <w:rsid w:val="00AF0A07"/>
    <w:rsid w:val="00AF4974"/>
    <w:rsid w:val="00AF4AEC"/>
    <w:rsid w:val="00AF4B69"/>
    <w:rsid w:val="00AF5C25"/>
    <w:rsid w:val="00AF625E"/>
    <w:rsid w:val="00AF6D6A"/>
    <w:rsid w:val="00AF6F09"/>
    <w:rsid w:val="00B02B27"/>
    <w:rsid w:val="00B02E09"/>
    <w:rsid w:val="00B032CC"/>
    <w:rsid w:val="00B03FDE"/>
    <w:rsid w:val="00B04A5B"/>
    <w:rsid w:val="00B063E3"/>
    <w:rsid w:val="00B12C03"/>
    <w:rsid w:val="00B152E6"/>
    <w:rsid w:val="00B167AB"/>
    <w:rsid w:val="00B1775B"/>
    <w:rsid w:val="00B24B9F"/>
    <w:rsid w:val="00B2666E"/>
    <w:rsid w:val="00B3294C"/>
    <w:rsid w:val="00B347F6"/>
    <w:rsid w:val="00B355BE"/>
    <w:rsid w:val="00B47804"/>
    <w:rsid w:val="00B47E1A"/>
    <w:rsid w:val="00B50394"/>
    <w:rsid w:val="00B51C15"/>
    <w:rsid w:val="00B52DE6"/>
    <w:rsid w:val="00B5568A"/>
    <w:rsid w:val="00B715A7"/>
    <w:rsid w:val="00B75B46"/>
    <w:rsid w:val="00B770B1"/>
    <w:rsid w:val="00B8078F"/>
    <w:rsid w:val="00B81C10"/>
    <w:rsid w:val="00B83C31"/>
    <w:rsid w:val="00B87DCC"/>
    <w:rsid w:val="00B942BF"/>
    <w:rsid w:val="00B96B09"/>
    <w:rsid w:val="00BA0467"/>
    <w:rsid w:val="00BA27EB"/>
    <w:rsid w:val="00BA3627"/>
    <w:rsid w:val="00BA4A65"/>
    <w:rsid w:val="00BA62B3"/>
    <w:rsid w:val="00BA6346"/>
    <w:rsid w:val="00BA6F6A"/>
    <w:rsid w:val="00BB04AF"/>
    <w:rsid w:val="00BB22A2"/>
    <w:rsid w:val="00BB3222"/>
    <w:rsid w:val="00BB4DC1"/>
    <w:rsid w:val="00BC18A2"/>
    <w:rsid w:val="00BD367B"/>
    <w:rsid w:val="00BD3D46"/>
    <w:rsid w:val="00BD52C9"/>
    <w:rsid w:val="00BD56EE"/>
    <w:rsid w:val="00BE11C5"/>
    <w:rsid w:val="00BE2354"/>
    <w:rsid w:val="00BE6354"/>
    <w:rsid w:val="00BE7828"/>
    <w:rsid w:val="00BF78F6"/>
    <w:rsid w:val="00C003BB"/>
    <w:rsid w:val="00C00655"/>
    <w:rsid w:val="00C00AB1"/>
    <w:rsid w:val="00C01618"/>
    <w:rsid w:val="00C0269C"/>
    <w:rsid w:val="00C11B67"/>
    <w:rsid w:val="00C12869"/>
    <w:rsid w:val="00C13F69"/>
    <w:rsid w:val="00C21191"/>
    <w:rsid w:val="00C22F22"/>
    <w:rsid w:val="00C23A97"/>
    <w:rsid w:val="00C25CBE"/>
    <w:rsid w:val="00C31CAF"/>
    <w:rsid w:val="00C35974"/>
    <w:rsid w:val="00C361A2"/>
    <w:rsid w:val="00C404B5"/>
    <w:rsid w:val="00C4183D"/>
    <w:rsid w:val="00C42C66"/>
    <w:rsid w:val="00C43593"/>
    <w:rsid w:val="00C44C66"/>
    <w:rsid w:val="00C45C6E"/>
    <w:rsid w:val="00C46C0F"/>
    <w:rsid w:val="00C51389"/>
    <w:rsid w:val="00C514F4"/>
    <w:rsid w:val="00C52201"/>
    <w:rsid w:val="00C6326C"/>
    <w:rsid w:val="00C64FCA"/>
    <w:rsid w:val="00C70EA7"/>
    <w:rsid w:val="00C72006"/>
    <w:rsid w:val="00C7472F"/>
    <w:rsid w:val="00C7516E"/>
    <w:rsid w:val="00C7565E"/>
    <w:rsid w:val="00C75770"/>
    <w:rsid w:val="00C77AB1"/>
    <w:rsid w:val="00C841BB"/>
    <w:rsid w:val="00C929AF"/>
    <w:rsid w:val="00C93E3B"/>
    <w:rsid w:val="00C95F2F"/>
    <w:rsid w:val="00C96B7A"/>
    <w:rsid w:val="00C970C0"/>
    <w:rsid w:val="00C97EE2"/>
    <w:rsid w:val="00CA01BD"/>
    <w:rsid w:val="00CA0224"/>
    <w:rsid w:val="00CA5752"/>
    <w:rsid w:val="00CA75BB"/>
    <w:rsid w:val="00CB00D9"/>
    <w:rsid w:val="00CB3AEA"/>
    <w:rsid w:val="00CC0A98"/>
    <w:rsid w:val="00CC0BE1"/>
    <w:rsid w:val="00CC0DCC"/>
    <w:rsid w:val="00CC71DA"/>
    <w:rsid w:val="00CD3FDF"/>
    <w:rsid w:val="00CD73F8"/>
    <w:rsid w:val="00CD7430"/>
    <w:rsid w:val="00CE6611"/>
    <w:rsid w:val="00CF0FEA"/>
    <w:rsid w:val="00CF11C4"/>
    <w:rsid w:val="00CF1FFF"/>
    <w:rsid w:val="00CF47B0"/>
    <w:rsid w:val="00D00B2B"/>
    <w:rsid w:val="00D01E6E"/>
    <w:rsid w:val="00D02627"/>
    <w:rsid w:val="00D0496A"/>
    <w:rsid w:val="00D12513"/>
    <w:rsid w:val="00D12629"/>
    <w:rsid w:val="00D12B33"/>
    <w:rsid w:val="00D158D8"/>
    <w:rsid w:val="00D20879"/>
    <w:rsid w:val="00D20D12"/>
    <w:rsid w:val="00D23E17"/>
    <w:rsid w:val="00D24877"/>
    <w:rsid w:val="00D251F6"/>
    <w:rsid w:val="00D2568C"/>
    <w:rsid w:val="00D25762"/>
    <w:rsid w:val="00D318DB"/>
    <w:rsid w:val="00D3390A"/>
    <w:rsid w:val="00D35742"/>
    <w:rsid w:val="00D365B7"/>
    <w:rsid w:val="00D37FCE"/>
    <w:rsid w:val="00D406FB"/>
    <w:rsid w:val="00D43336"/>
    <w:rsid w:val="00D475E0"/>
    <w:rsid w:val="00D47C64"/>
    <w:rsid w:val="00D502D2"/>
    <w:rsid w:val="00D51826"/>
    <w:rsid w:val="00D51E08"/>
    <w:rsid w:val="00D51EA8"/>
    <w:rsid w:val="00D525FC"/>
    <w:rsid w:val="00D53175"/>
    <w:rsid w:val="00D560A4"/>
    <w:rsid w:val="00D57EA7"/>
    <w:rsid w:val="00D70C69"/>
    <w:rsid w:val="00D727BD"/>
    <w:rsid w:val="00D730AD"/>
    <w:rsid w:val="00D7505E"/>
    <w:rsid w:val="00D80C14"/>
    <w:rsid w:val="00D813F6"/>
    <w:rsid w:val="00D8267F"/>
    <w:rsid w:val="00D841C5"/>
    <w:rsid w:val="00D90ABA"/>
    <w:rsid w:val="00D9312B"/>
    <w:rsid w:val="00D95C4C"/>
    <w:rsid w:val="00DA082C"/>
    <w:rsid w:val="00DA2ACA"/>
    <w:rsid w:val="00DA36ED"/>
    <w:rsid w:val="00DA3996"/>
    <w:rsid w:val="00DA514B"/>
    <w:rsid w:val="00DA779C"/>
    <w:rsid w:val="00DB0EC9"/>
    <w:rsid w:val="00DB5E63"/>
    <w:rsid w:val="00DC4878"/>
    <w:rsid w:val="00DC774F"/>
    <w:rsid w:val="00DD2639"/>
    <w:rsid w:val="00DD49B0"/>
    <w:rsid w:val="00DD5A33"/>
    <w:rsid w:val="00DD67CF"/>
    <w:rsid w:val="00DE34F1"/>
    <w:rsid w:val="00DE6459"/>
    <w:rsid w:val="00DE7E2C"/>
    <w:rsid w:val="00DF1A11"/>
    <w:rsid w:val="00DF4942"/>
    <w:rsid w:val="00DF6E4B"/>
    <w:rsid w:val="00DF7A44"/>
    <w:rsid w:val="00E05ECB"/>
    <w:rsid w:val="00E1453B"/>
    <w:rsid w:val="00E15BF7"/>
    <w:rsid w:val="00E163D8"/>
    <w:rsid w:val="00E179AB"/>
    <w:rsid w:val="00E204DC"/>
    <w:rsid w:val="00E34929"/>
    <w:rsid w:val="00E35769"/>
    <w:rsid w:val="00E35D26"/>
    <w:rsid w:val="00E37113"/>
    <w:rsid w:val="00E45366"/>
    <w:rsid w:val="00E477D8"/>
    <w:rsid w:val="00E6221F"/>
    <w:rsid w:val="00E626C8"/>
    <w:rsid w:val="00E627B1"/>
    <w:rsid w:val="00E66DB5"/>
    <w:rsid w:val="00E6705C"/>
    <w:rsid w:val="00E729A3"/>
    <w:rsid w:val="00E77694"/>
    <w:rsid w:val="00E84B47"/>
    <w:rsid w:val="00E851F2"/>
    <w:rsid w:val="00E86910"/>
    <w:rsid w:val="00E9376C"/>
    <w:rsid w:val="00EA2C1A"/>
    <w:rsid w:val="00EA335E"/>
    <w:rsid w:val="00EA528C"/>
    <w:rsid w:val="00EB1AB2"/>
    <w:rsid w:val="00EB4E46"/>
    <w:rsid w:val="00EB50C7"/>
    <w:rsid w:val="00EB6E60"/>
    <w:rsid w:val="00EC05EF"/>
    <w:rsid w:val="00EC0B37"/>
    <w:rsid w:val="00EC1195"/>
    <w:rsid w:val="00EC21C6"/>
    <w:rsid w:val="00EC5E0E"/>
    <w:rsid w:val="00ED737D"/>
    <w:rsid w:val="00EE0C1E"/>
    <w:rsid w:val="00EE1308"/>
    <w:rsid w:val="00EE1409"/>
    <w:rsid w:val="00EE1B09"/>
    <w:rsid w:val="00EE1EDF"/>
    <w:rsid w:val="00EE2A17"/>
    <w:rsid w:val="00EE4B25"/>
    <w:rsid w:val="00EE6AF6"/>
    <w:rsid w:val="00EE6B73"/>
    <w:rsid w:val="00EF19A6"/>
    <w:rsid w:val="00EF34E2"/>
    <w:rsid w:val="00EF4F1F"/>
    <w:rsid w:val="00EF69E3"/>
    <w:rsid w:val="00F010E0"/>
    <w:rsid w:val="00F01C9B"/>
    <w:rsid w:val="00F1304A"/>
    <w:rsid w:val="00F138D1"/>
    <w:rsid w:val="00F225E0"/>
    <w:rsid w:val="00F22F00"/>
    <w:rsid w:val="00F30396"/>
    <w:rsid w:val="00F440C9"/>
    <w:rsid w:val="00F46262"/>
    <w:rsid w:val="00F46D96"/>
    <w:rsid w:val="00F50A02"/>
    <w:rsid w:val="00F517FC"/>
    <w:rsid w:val="00F53DE9"/>
    <w:rsid w:val="00F56B8C"/>
    <w:rsid w:val="00F576CB"/>
    <w:rsid w:val="00F60AD9"/>
    <w:rsid w:val="00F622C7"/>
    <w:rsid w:val="00F63D7C"/>
    <w:rsid w:val="00F67C2E"/>
    <w:rsid w:val="00F70FBF"/>
    <w:rsid w:val="00F71A02"/>
    <w:rsid w:val="00F77780"/>
    <w:rsid w:val="00F802CF"/>
    <w:rsid w:val="00F80938"/>
    <w:rsid w:val="00F81F92"/>
    <w:rsid w:val="00F8210A"/>
    <w:rsid w:val="00F86D84"/>
    <w:rsid w:val="00FA0BC4"/>
    <w:rsid w:val="00FA62DA"/>
    <w:rsid w:val="00FB6051"/>
    <w:rsid w:val="00FB6630"/>
    <w:rsid w:val="00FC111B"/>
    <w:rsid w:val="00FC23DD"/>
    <w:rsid w:val="00FC3191"/>
    <w:rsid w:val="00FC4620"/>
    <w:rsid w:val="00FD0D29"/>
    <w:rsid w:val="00FD1226"/>
    <w:rsid w:val="00FD4B41"/>
    <w:rsid w:val="00FD67C3"/>
    <w:rsid w:val="00FE0DAC"/>
    <w:rsid w:val="00FE1FD2"/>
    <w:rsid w:val="00FE27F6"/>
    <w:rsid w:val="00FF03AE"/>
    <w:rsid w:val="00FF4830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AA34B"/>
  <w15:docId w15:val="{8CDDEF25-0EE3-4011-8D79-D40E119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B83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0F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0F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Paragraphedeliste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uiPriority w:val="59"/>
    <w:rsid w:val="00191ADC"/>
    <w:rPr>
      <w:lang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391AC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character" w:styleId="Lienhypertexte">
    <w:name w:val="Hyperlink"/>
    <w:aliases w:val=" Car Car3 Char, Car Car3 Char Char Char Char"/>
    <w:basedOn w:val="Policepardfaut"/>
    <w:link w:val="CarCar3"/>
    <w:unhideWhenUsed/>
    <w:rsid w:val="00391AC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391AC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1AC6"/>
    <w:rPr>
      <w:rFonts w:ascii="Times New Roman" w:eastAsia="Times New Roman" w:hAnsi="Times New Roman"/>
      <w:lang w:val="ru-RU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91AC6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5823AB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rsid w:val="005823AB"/>
    <w:rPr>
      <w:rFonts w:asciiTheme="minorHAnsi" w:eastAsiaTheme="minorEastAsia" w:hAnsiTheme="minorHAnsi" w:cstheme="minorBidi"/>
      <w:lang w:val="ru-RU" w:eastAsia="ja-JP"/>
    </w:rPr>
  </w:style>
  <w:style w:type="table" w:styleId="TableauGrille4-Accentuation1">
    <w:name w:val="Grid Table 4 Accent 1"/>
    <w:basedOn w:val="TableauNormal"/>
    <w:uiPriority w:val="49"/>
    <w:rsid w:val="005823AB"/>
    <w:rPr>
      <w:lang w:eastAsia="fr-F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GAPara">
    <w:name w:val="1. GA Para"/>
    <w:qFormat/>
    <w:rsid w:val="00595AF2"/>
    <w:pPr>
      <w:snapToGrid w:val="0"/>
      <w:spacing w:after="120"/>
      <w:ind w:left="720" w:hanging="360"/>
    </w:pPr>
    <w:rPr>
      <w:rFonts w:ascii="Arial" w:eastAsia="Times New Roman" w:hAnsi="Arial" w:cs="Arial"/>
      <w:sz w:val="22"/>
      <w:szCs w:val="22"/>
      <w:lang w:eastAsia="en-US"/>
    </w:rPr>
  </w:style>
  <w:style w:type="table" w:styleId="Grilledetableauclaire">
    <w:name w:val="Grid Table Light"/>
    <w:basedOn w:val="TableauNormal"/>
    <w:uiPriority w:val="40"/>
    <w:rsid w:val="00595A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F57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312B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367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67B"/>
    <w:pPr>
      <w:spacing w:after="0" w:line="240" w:lineRule="auto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367B"/>
    <w:rPr>
      <w:rFonts w:ascii="Times New Roman" w:eastAsia="Times New Roman" w:hAnsi="Times New Roman" w:cstheme="minorBidi"/>
      <w:b/>
      <w:bCs/>
      <w:lang w:val="ru-RU" w:eastAsia="fr-FR"/>
    </w:rPr>
  </w:style>
  <w:style w:type="paragraph" w:customStyle="1" w:styleId="COMPara">
    <w:name w:val="COM Para"/>
    <w:qFormat/>
    <w:rsid w:val="00A352E3"/>
    <w:p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57CC"/>
    <w:pPr>
      <w:spacing w:before="100" w:beforeAutospacing="1" w:after="100" w:afterAutospacing="1"/>
    </w:pPr>
    <w:rPr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83C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fr-FR"/>
    </w:rPr>
  </w:style>
  <w:style w:type="paragraph" w:styleId="Rvision">
    <w:name w:val="Revision"/>
    <w:hidden/>
    <w:uiPriority w:val="99"/>
    <w:semiHidden/>
    <w:rsid w:val="0063701C"/>
    <w:rPr>
      <w:rFonts w:ascii="Times New Roman" w:eastAsia="Times New Roman" w:hAnsi="Times New Roman"/>
      <w:sz w:val="24"/>
      <w:szCs w:val="24"/>
      <w:lang w:eastAsia="fr-FR"/>
    </w:rPr>
  </w:style>
  <w:style w:type="paragraph" w:styleId="Sous-titre">
    <w:name w:val="Subtitle"/>
    <w:aliases w:val="Title of the meeting"/>
    <w:basedOn w:val="Normal"/>
    <w:next w:val="Normal"/>
    <w:link w:val="Sous-titreCar"/>
    <w:uiPriority w:val="11"/>
    <w:qFormat/>
    <w:rsid w:val="00E1453B"/>
    <w:pPr>
      <w:spacing w:before="120" w:after="360"/>
      <w:jc w:val="center"/>
    </w:pPr>
    <w:rPr>
      <w:rFonts w:ascii="Arial" w:eastAsiaTheme="minorHAnsi" w:hAnsi="Arial" w:cs="Arial"/>
      <w:b/>
      <w:szCs w:val="26"/>
      <w:lang w:eastAsia="en-US"/>
    </w:rPr>
  </w:style>
  <w:style w:type="character" w:customStyle="1" w:styleId="Sous-titreCar">
    <w:name w:val="Sous-titre Car"/>
    <w:aliases w:val="Title of the meeting Car"/>
    <w:basedOn w:val="Policepardfaut"/>
    <w:link w:val="Sous-titre"/>
    <w:uiPriority w:val="11"/>
    <w:rsid w:val="00E1453B"/>
    <w:rPr>
      <w:rFonts w:ascii="Arial" w:eastAsiaTheme="minorHAnsi" w:hAnsi="Arial" w:cs="Arial"/>
      <w:b/>
      <w:sz w:val="24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F0FE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u-RU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F0F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4269F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f0">
    <w:name w:val="pf0"/>
    <w:basedOn w:val="Normal"/>
    <w:rsid w:val="00132C8D"/>
    <w:pPr>
      <w:spacing w:before="100" w:beforeAutospacing="1" w:after="100" w:afterAutospacing="1"/>
    </w:pPr>
    <w:rPr>
      <w:lang w:eastAsia="en-US"/>
    </w:rPr>
  </w:style>
  <w:style w:type="character" w:customStyle="1" w:styleId="cf01">
    <w:name w:val="cf01"/>
    <w:basedOn w:val="Policepardfaut"/>
    <w:rsid w:val="00132C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132C8D"/>
    <w:rPr>
      <w:rFonts w:ascii="Segoe UI" w:hAnsi="Segoe UI" w:cs="Segoe UI" w:hint="default"/>
      <w:sz w:val="18"/>
      <w:szCs w:val="18"/>
    </w:rPr>
  </w:style>
  <w:style w:type="paragraph" w:customStyle="1" w:styleId="COMPreambulaDecisions">
    <w:name w:val="COM Preambula Decisions"/>
    <w:basedOn w:val="Normal"/>
    <w:qFormat/>
    <w:rsid w:val="003F2837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arCar3">
    <w:name w:val="Car Car3"/>
    <w:aliases w:val=" Car Car3 Char Char"/>
    <w:basedOn w:val="Normal"/>
    <w:link w:val="Lienhypertexte"/>
    <w:rsid w:val="003F2837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563C1" w:themeColor="hyperlink"/>
      <w:sz w:val="20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ich.unesco.org/en/Decisions/9.GA/7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ich.unesco.org/en/decisions/18.COM/1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ch.unesco.org/en/d%C3%A9cisions/12.COM/17?dec=decisions&amp;ref_decision=12.COM" TargetMode="External"/><Relationship Id="rId34" Type="http://schemas.openxmlformats.org/officeDocument/2006/relationships/hyperlink" Target="https://ich.unesco.org/en/decisions/18.COM/15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5" Type="http://schemas.openxmlformats.org/officeDocument/2006/relationships/hyperlink" Target="https://ich.unesco.org/doc/src/LHE-22-9.GA-Resolutions-RU.docx" TargetMode="External"/><Relationship Id="rId33" Type="http://schemas.openxmlformats.org/officeDocument/2006/relationships/hyperlink" Target="https://ich.unesco.org/en/Decisions/14.COM/1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ich.unesco.org/en/Decisions/12.COM/13" TargetMode="External"/><Relationship Id="rId29" Type="http://schemas.openxmlformats.org/officeDocument/2006/relationships/hyperlink" Target="https://ich.unesco.org/doc/src/LHE-20-8.GA-Resolutions-RU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ICH-09-2024-EN.doc" TargetMode="External"/><Relationship Id="rId24" Type="http://schemas.openxmlformats.org/officeDocument/2006/relationships/hyperlink" Target="https://ich.unesco.org/en/accredited-ngos-00331" TargetMode="External"/><Relationship Id="rId32" Type="http://schemas.openxmlformats.org/officeDocument/2006/relationships/hyperlink" Target="https://ich.unesco.org/en/d%C3%A9cisions/12.COM/17?dec=decisions&amp;ref_decision=12.COM" TargetMode="External"/><Relationship Id="rId37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8.COM/16" TargetMode="External"/><Relationship Id="rId23" Type="http://schemas.openxmlformats.org/officeDocument/2006/relationships/hyperlink" Target="https://ich.unesco.org/doc/src/LHE-20-8.GA-Resolutions-RU.docx" TargetMode="External"/><Relationship Id="rId28" Type="http://schemas.openxmlformats.org/officeDocument/2006/relationships/hyperlink" Target="https://ich.unesco.org/doc/src/LHE-24-10.GA-8_RU.docx" TargetMode="External"/><Relationship Id="rId36" Type="http://schemas.openxmlformats.org/officeDocument/2006/relationships/header" Target="header5.xml"/><Relationship Id="rId10" Type="http://schemas.openxmlformats.org/officeDocument/2006/relationships/hyperlink" Target="https://ich.unesco.org/en/accreditation-of-ngos-01352" TargetMode="External"/><Relationship Id="rId19" Type="http://schemas.openxmlformats.org/officeDocument/2006/relationships/hyperlink" Target="https://ich.unesco.org/doc/src/LHE-22-9.GA-Resolutions-RU.docx" TargetMode="External"/><Relationship Id="rId31" Type="http://schemas.openxmlformats.org/officeDocument/2006/relationships/hyperlink" Target="https://ich.unesco.org/en/Decisions/12.COM/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8.COM/16" TargetMode="External"/><Relationship Id="rId14" Type="http://schemas.openxmlformats.org/officeDocument/2006/relationships/hyperlink" Target="https://ich.unesco.org/doc/src/LHE-22-9.GA-Resolutions-RU.docx" TargetMode="External"/><Relationship Id="rId22" Type="http://schemas.openxmlformats.org/officeDocument/2006/relationships/hyperlink" Target="https://ich.unesco.org/en/Decisions/14.COM/15" TargetMode="External"/><Relationship Id="rId27" Type="http://schemas.openxmlformats.org/officeDocument/2006/relationships/hyperlink" Target="https://ich.unesco.org/doc/src/LHE-24-10.GA-10_RU.docx" TargetMode="External"/><Relationship Id="rId30" Type="http://schemas.openxmlformats.org/officeDocument/2006/relationships/hyperlink" Target="https://ich.unesco.org/doc/src/LHE-22-9.GA-Resolutions-RU.docx" TargetMode="External"/><Relationship Id="rId35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0.COM/16" TargetMode="External"/><Relationship Id="rId3" Type="http://schemas.openxmlformats.org/officeDocument/2006/relationships/hyperlink" Target="https://ich.unesco.org/doc/src/ITH-14-5.GA-Resolutions-RU__.doc" TargetMode="External"/><Relationship Id="rId7" Type="http://schemas.openxmlformats.org/officeDocument/2006/relationships/hyperlink" Target="https://ich.unesco.org/doc/src/LHE-22-9.GA-Resolutions-RU.docx" TargetMode="External"/><Relationship Id="rId12" Type="http://schemas.openxmlformats.org/officeDocument/2006/relationships/hyperlink" Target="https://ich.unesco.org/en/decisions/18.COM/16" TargetMode="External"/><Relationship Id="rId2" Type="http://schemas.openxmlformats.org/officeDocument/2006/relationships/hyperlink" Target="https://ich.unesco.org/doc/src/ITH-12-4.GA-Resolutions-RU.doc" TargetMode="External"/><Relationship Id="rId1" Type="http://schemas.openxmlformats.org/officeDocument/2006/relationships/hyperlink" Target="https://ich.unesco.org/doc/src/07003-RU.doc" TargetMode="External"/><Relationship Id="rId6" Type="http://schemas.openxmlformats.org/officeDocument/2006/relationships/hyperlink" Target="https://ich.unesco.org/doc/src/LHE-20-8.GA-Resolutions-RU.docx" TargetMode="External"/><Relationship Id="rId11" Type="http://schemas.openxmlformats.org/officeDocument/2006/relationships/hyperlink" Target="https://ich.unesco.org/en/Decisions/16.COM/15" TargetMode="External"/><Relationship Id="rId5" Type="http://schemas.openxmlformats.org/officeDocument/2006/relationships/hyperlink" Target="https://ich.unesco.org/doc/src/ITH-18-7.GA-Resolutions-RU.docx" TargetMode="External"/><Relationship Id="rId10" Type="http://schemas.openxmlformats.org/officeDocument/2006/relationships/hyperlink" Target="https://ich.unesco.org/en/Decisions/14.COM/17" TargetMode="External"/><Relationship Id="rId4" Type="http://schemas.openxmlformats.org/officeDocument/2006/relationships/hyperlink" Target="https://ich.unesco.org/doc/src/ITH-16_6.GA-Resolutions_RU.docx" TargetMode="External"/><Relationship Id="rId9" Type="http://schemas.openxmlformats.org/officeDocument/2006/relationships/hyperlink" Target="https://ich.unesco.org/en/Decisions/12.COM/1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Рис. 1. Географическое распределение аккредитованных НПО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(всего 206 в 2023 году)</a:t>
            </a:r>
          </a:p>
        </c:rich>
      </c:tx>
      <c:layout>
        <c:manualLayout>
          <c:xMode val="edge"/>
          <c:yMode val="edge"/>
          <c:x val="0.13973302091301426"/>
          <c:y val="1.945161993090785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Географическое распределение аккредитованных НПО</c:v>
                </c:pt>
              </c:strCache>
            </c:strRef>
          </c:tx>
          <c:dPt>
            <c:idx val="0"/>
            <c:bubble3D val="0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28-4754-ABFE-A23719613F9F}"/>
              </c:ext>
            </c:extLst>
          </c:dPt>
          <c:dPt>
            <c:idx val="1"/>
            <c:bubble3D val="0"/>
            <c:spPr>
              <a:pattFill prst="pct90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28-4754-ABFE-A23719613F9F}"/>
              </c:ext>
            </c:extLst>
          </c:dPt>
          <c:dPt>
            <c:idx val="2"/>
            <c:bubble3D val="0"/>
            <c:spPr>
              <a:pattFill prst="pct60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28-4754-ABFE-A23719613F9F}"/>
              </c:ext>
            </c:extLst>
          </c:dPt>
          <c:dPt>
            <c:idx val="3"/>
            <c:bubble3D val="0"/>
            <c:spPr>
              <a:pattFill prst="narHorz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28-4754-ABFE-A23719613F9F}"/>
              </c:ext>
            </c:extLst>
          </c:dPt>
          <c:dPt>
            <c:idx val="4"/>
            <c:bubble3D val="0"/>
            <c:spPr>
              <a:pattFill prst="pct90">
                <a:fgClr>
                  <a:srgbClr val="FFFF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628-4754-ABFE-A23719613F9F}"/>
              </c:ext>
            </c:extLst>
          </c:dPt>
          <c:dPt>
            <c:idx val="5"/>
            <c:bubble3D val="0"/>
            <c:spPr>
              <a:pattFill prst="pct80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628-4754-ABFE-A23719613F9F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8262"/>
                        <a:gd name="adj2" fmla="val -12344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1-E628-4754-ABFE-A23719613F9F}"/>
                </c:ext>
              </c:extLst>
            </c:dLbl>
            <c:dLbl>
              <c:idx val="1"/>
              <c:layout>
                <c:manualLayout>
                  <c:x val="1.9260864331286865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28-4754-ABFE-A23719613F9F}"/>
                </c:ext>
              </c:extLst>
            </c:dLbl>
            <c:dLbl>
              <c:idx val="2"/>
              <c:layout>
                <c:manualLayout>
                  <c:x val="-1.6515243286896873E-2"/>
                  <c:y val="-4.9640996696799611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8337"/>
                        <a:gd name="adj2" fmla="val -17576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5-E628-4754-ABFE-A23719613F9F}"/>
                </c:ext>
              </c:extLst>
            </c:dLbl>
            <c:dLbl>
              <c:idx val="3"/>
              <c:layout>
                <c:manualLayout>
                  <c:x val="0"/>
                  <c:y val="-4.700352526439483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57373"/>
                        <a:gd name="adj2" fmla="val 1988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7-E628-4754-ABFE-A23719613F9F}"/>
                </c:ext>
              </c:extLst>
            </c:dLbl>
            <c:dLbl>
              <c:idx val="4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50852"/>
                        <a:gd name="adj2" fmla="val 66941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9-E628-4754-ABFE-A23719613F9F}"/>
                </c:ext>
              </c:extLst>
            </c:dLbl>
            <c:dLbl>
              <c:idx val="5"/>
              <c:layout>
                <c:manualLayout>
                  <c:x val="4.7732819963051662E-2"/>
                  <c:y val="-4.9596073218120722E-3"/>
                </c:manualLayout>
              </c:layout>
              <c:tx>
                <c:rich>
                  <a:bodyPr/>
                  <a:lstStyle/>
                  <a:p>
                    <a:fld id="{3272CE1F-0D9D-4226-8415-19C534FE5864}" type="CATEGORYNAME">
                      <a:rPr lang="ru-RU" sz="8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pPr/>
                      <a:t>[NOM DE CATÉGORIE]</a:t>
                    </a:fld>
                    <a:r>
                      <a:rPr lang="en-US"/>
                      <a:t> </a:t>
                    </a:r>
                    <a:r>
                      <a:rPr lang="en-US" baseline="0"/>
                      <a:t>
</a:t>
                    </a:r>
                    <a:fld id="{A5B1BEE3-87DB-4944-B6BD-46F069BFA9A5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628-4754-ABFE-A23719613F9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Группа I</c:v>
                </c:pt>
                <c:pt idx="1">
                  <c:v>Группа II</c:v>
                </c:pt>
                <c:pt idx="2">
                  <c:v>Группа III</c:v>
                </c:pt>
                <c:pt idx="3">
                  <c:v>Группа IV</c:v>
                </c:pt>
                <c:pt idx="4">
                  <c:v>Группа V(a)</c:v>
                </c:pt>
                <c:pt idx="5">
                  <c:v>Группа V(b)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108</c:v>
                </c:pt>
                <c:pt idx="1">
                  <c:v>21</c:v>
                </c:pt>
                <c:pt idx="2">
                  <c:v>14</c:v>
                </c:pt>
                <c:pt idx="3">
                  <c:v>28</c:v>
                </c:pt>
                <c:pt idx="4">
                  <c:v>25</c:v>
                </c:pt>
                <c:pt idx="5" formatCode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628-4754-ABFE-A23719613F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u="none" strike="noStrike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Рис. 2: Географическое распределение НПО, предложенных для аккредитации на десятой сессии Генеральной Ассамблеи в 2024 году</a:t>
            </a:r>
          </a:p>
        </c:rich>
      </c:tx>
      <c:layout>
        <c:manualLayout>
          <c:xMode val="edge"/>
          <c:yMode val="edge"/>
          <c:x val="0.142140565762613"/>
          <c:y val="7.591573353577532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Географическое распределение аккредитованных НПО</c:v>
                </c:pt>
              </c:strCache>
            </c:strRef>
          </c:tx>
          <c:dPt>
            <c:idx val="0"/>
            <c:bubble3D val="0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40-4B3A-BFB6-CB56F6DAABED}"/>
              </c:ext>
            </c:extLst>
          </c:dPt>
          <c:dPt>
            <c:idx val="1"/>
            <c:bubble3D val="0"/>
            <c:spPr>
              <a:pattFill prst="pct90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40-4B3A-BFB6-CB56F6DAABED}"/>
              </c:ext>
            </c:extLst>
          </c:dPt>
          <c:dPt>
            <c:idx val="2"/>
            <c:bubble3D val="0"/>
            <c:spPr>
              <a:pattFill prst="pct60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40-4B3A-BFB6-CB56F6DAABED}"/>
              </c:ext>
            </c:extLst>
          </c:dPt>
          <c:dPt>
            <c:idx val="3"/>
            <c:bubble3D val="0"/>
            <c:spPr>
              <a:pattFill prst="narHorz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40-4B3A-BFB6-CB56F6DAABED}"/>
              </c:ext>
            </c:extLst>
          </c:dPt>
          <c:dPt>
            <c:idx val="4"/>
            <c:bubble3D val="0"/>
            <c:spPr>
              <a:pattFill prst="pct90">
                <a:fgClr>
                  <a:srgbClr val="FFFF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40-4B3A-BFB6-CB56F6DAABED}"/>
              </c:ext>
            </c:extLst>
          </c:dPt>
          <c:dPt>
            <c:idx val="5"/>
            <c:bubble3D val="0"/>
            <c:spPr>
              <a:pattFill prst="pct80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340-4B3A-BFB6-CB56F6DAABED}"/>
              </c:ext>
            </c:extLst>
          </c:dPt>
          <c:dLbls>
            <c:dLbl>
              <c:idx val="1"/>
              <c:layout>
                <c:manualLayout>
                  <c:x val="2.2525341008634622E-2"/>
                  <c:y val="-3.28099367236935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40-4B3A-BFB6-CB56F6DAABED}"/>
                </c:ext>
              </c:extLst>
            </c:dLbl>
            <c:dLbl>
              <c:idx val="2"/>
              <c:layout>
                <c:manualLayout>
                  <c:x val="-2.921968316718513E-2"/>
                  <c:y val="-6.5946865617658973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6699"/>
                        <a:gd name="adj2" fmla="val -36340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5-6340-4B3A-BFB6-CB56F6DAABED}"/>
                </c:ext>
              </c:extLst>
            </c:dLbl>
            <c:dLbl>
              <c:idx val="3"/>
              <c:layout>
                <c:manualLayout>
                  <c:x val="-1.0011262670504364E-2"/>
                  <c:y val="3.28099367236934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340-4B3A-BFB6-CB56F6DAABED}"/>
                </c:ext>
              </c:extLst>
            </c:dLbl>
            <c:dLbl>
              <c:idx val="4"/>
              <c:layout>
                <c:manualLayout>
                  <c:x val="-2.0022525341008634E-2"/>
                  <c:y val="3.7497070541363912E-2"/>
                </c:manualLayout>
              </c:layout>
              <c:tx>
                <c:rich>
                  <a:bodyPr/>
                  <a:lstStyle/>
                  <a:p>
                    <a:fld id="{5DC87F47-0010-49F9-BE4F-2CA51CF5D82F}" type="CATEGORYNAME">
                      <a:rPr lang="ru-RU" sz="900"/>
                      <a:pPr/>
                      <a:t>[NOM DE CATÉGORIE]</a:t>
                    </a:fld>
                    <a:r>
                      <a:rPr lang="en-US" baseline="0"/>
                      <a:t>
</a:t>
                    </a:r>
                    <a:fld id="{0656EDAD-0D7E-431F-A14A-4E2B6F0021F4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340-4B3A-BFB6-CB56F6DAABED}"/>
                </c:ext>
              </c:extLst>
            </c:dLbl>
            <c:dLbl>
              <c:idx val="5"/>
              <c:layout>
                <c:manualLayout>
                  <c:x val="6.3416225143049704E-2"/>
                  <c:y val="0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1AE1B9-173C-419D-9AAF-86BCA90C5109}" type="CATEGORYNAME">
                      <a:rPr lang="ru-RU" sz="9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[NOM DE CATÉGORIE]</a:t>
                    </a:fld>
                    <a:r>
                      <a:rPr lang="en-US" sz="900"/>
                      <a:t> </a:t>
                    </a:r>
                    <a:r>
                      <a:rPr lang="en-US" sz="900" baseline="0"/>
                      <a:t>
</a:t>
                    </a:r>
                    <a:fld id="{A5B1BEE3-87DB-4944-B6BD-46F069BFA9A5}" type="PERCENTAGE">
                      <a:rPr lang="en-US" sz="900" baseline="0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[POURCENTAGE]</a:t>
                    </a:fld>
                    <a:endParaRPr lang="en-US" sz="900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4165"/>
                        <a:gd name="adj2" fmla="val 57587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340-4B3A-BFB6-CB56F6DAABE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Группа I</c:v>
                </c:pt>
                <c:pt idx="1">
                  <c:v>Группа II</c:v>
                </c:pt>
                <c:pt idx="2">
                  <c:v>Группа III</c:v>
                </c:pt>
                <c:pt idx="3">
                  <c:v>Группа IV</c:v>
                </c:pt>
                <c:pt idx="4">
                  <c:v>Группа V(a)</c:v>
                </c:pt>
                <c:pt idx="5">
                  <c:v>Группа V(b)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</c:v>
                </c:pt>
                <c:pt idx="1">
                  <c:v>7</c:v>
                </c:pt>
                <c:pt idx="2">
                  <c:v>13</c:v>
                </c:pt>
                <c:pt idx="3">
                  <c:v>8</c:v>
                </c:pt>
                <c:pt idx="4">
                  <c:v>2</c:v>
                </c:pt>
                <c:pt idx="5" formatCode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340-4B3A-BFB6-CB56F6DAAB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4FDC-A5C7-477D-91CA-C356796352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3122</Words>
  <Characters>23366</Characters>
  <Application>Microsoft Office Word</Application>
  <DocSecurity>0</DocSecurity>
  <Lines>194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dc:description/>
  <cp:lastModifiedBy>Nakata Glenat, Keiichi Julien</cp:lastModifiedBy>
  <cp:revision>17</cp:revision>
  <cp:lastPrinted>2024-04-29T17:09:00Z</cp:lastPrinted>
  <dcterms:created xsi:type="dcterms:W3CDTF">2024-05-10T13:33:00Z</dcterms:created>
  <dcterms:modified xsi:type="dcterms:W3CDTF">2024-06-05T18:30:00Z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9d6662073d0d83121d69ee39da3fc8231318cb79b1890d49e38be5a33a12968d</vt:lpwstr>
  </property>
</Properties>
</file>