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64754" w14:textId="082E5750" w:rsidR="00DD751E" w:rsidRPr="00132C8D" w:rsidRDefault="00DD751E" w:rsidP="00897EF0">
      <w:pPr>
        <w:spacing w:before="1440"/>
        <w:jc w:val="center"/>
        <w:rPr>
          <w:rFonts w:asciiTheme="minorBidi" w:hAnsiTheme="minorBidi" w:cstheme="minorBidi"/>
          <w:b/>
          <w:sz w:val="22"/>
          <w:szCs w:val="22"/>
        </w:rPr>
      </w:pPr>
      <w:r>
        <w:rPr>
          <w:rFonts w:asciiTheme="minorBidi" w:hAnsiTheme="minorBidi"/>
          <w:b/>
          <w:sz w:val="22"/>
        </w:rPr>
        <w:t>CONVENTION POUR LA SAUVEGARDE DU</w:t>
      </w:r>
      <w:bookmarkStart w:id="0" w:name="_Hlk105184981"/>
      <w:r>
        <w:rPr>
          <w:rFonts w:asciiTheme="minorBidi" w:hAnsiTheme="minorBidi"/>
          <w:b/>
          <w:sz w:val="22"/>
        </w:rPr>
        <w:br/>
      </w:r>
      <w:bookmarkEnd w:id="0"/>
      <w:r>
        <w:rPr>
          <w:rFonts w:asciiTheme="minorBidi" w:hAnsiTheme="minorBidi"/>
          <w:b/>
          <w:sz w:val="22"/>
        </w:rPr>
        <w:t>PATRIMOINE CULTUREL IMMATÉRIEL</w:t>
      </w:r>
    </w:p>
    <w:p w14:paraId="6E8B1823" w14:textId="77777777" w:rsidR="00DD751E" w:rsidRPr="00132C8D" w:rsidRDefault="00DD751E" w:rsidP="00655736">
      <w:pPr>
        <w:spacing w:before="1200"/>
        <w:jc w:val="center"/>
        <w:rPr>
          <w:rFonts w:asciiTheme="minorBidi" w:hAnsiTheme="minorBidi" w:cstheme="minorBidi"/>
          <w:b/>
          <w:sz w:val="22"/>
          <w:szCs w:val="22"/>
        </w:rPr>
      </w:pPr>
      <w:r>
        <w:rPr>
          <w:rFonts w:asciiTheme="minorBidi" w:hAnsiTheme="minorBidi"/>
          <w:b/>
          <w:sz w:val="22"/>
        </w:rPr>
        <w:t>ASSEMBLÉE GÉNÉRALE DES ÉTATS PARTIES À LA CONVENTION</w:t>
      </w:r>
    </w:p>
    <w:p w14:paraId="6929E084" w14:textId="77777777" w:rsidR="00DD751E" w:rsidRPr="00132C8D" w:rsidRDefault="00DD751E" w:rsidP="00D95C4C">
      <w:pPr>
        <w:spacing w:before="840"/>
        <w:jc w:val="center"/>
        <w:rPr>
          <w:rFonts w:asciiTheme="minorBidi" w:hAnsiTheme="minorBidi" w:cstheme="minorBidi"/>
          <w:b/>
          <w:sz w:val="22"/>
          <w:szCs w:val="22"/>
        </w:rPr>
      </w:pPr>
      <w:r>
        <w:rPr>
          <w:rFonts w:asciiTheme="minorBidi" w:hAnsiTheme="minorBidi"/>
          <w:b/>
          <w:sz w:val="22"/>
        </w:rPr>
        <w:t>Dixième session</w:t>
      </w:r>
    </w:p>
    <w:p w14:paraId="069704CB" w14:textId="77777777" w:rsidR="00DD751E" w:rsidRPr="00132C8D" w:rsidRDefault="00DD751E" w:rsidP="00D95C4C">
      <w:pPr>
        <w:jc w:val="center"/>
        <w:rPr>
          <w:rFonts w:asciiTheme="minorBidi" w:hAnsiTheme="minorBidi" w:cstheme="minorBidi"/>
          <w:b/>
          <w:sz w:val="22"/>
          <w:szCs w:val="22"/>
        </w:rPr>
      </w:pPr>
      <w:r>
        <w:rPr>
          <w:rFonts w:asciiTheme="minorBidi" w:hAnsiTheme="minorBidi"/>
          <w:b/>
          <w:sz w:val="22"/>
        </w:rPr>
        <w:t>Siège de l’UNESCO, Salle I</w:t>
      </w:r>
    </w:p>
    <w:p w14:paraId="6A9F953E" w14:textId="77777777" w:rsidR="00DD751E" w:rsidRPr="00F4581D" w:rsidRDefault="00DD751E" w:rsidP="008319A4">
      <w:pPr>
        <w:jc w:val="center"/>
        <w:rPr>
          <w:rFonts w:ascii="Arial" w:hAnsi="Arial"/>
          <w:b/>
          <w:sz w:val="22"/>
        </w:rPr>
      </w:pPr>
      <w:r>
        <w:rPr>
          <w:rFonts w:ascii="Arial" w:hAnsi="Arial"/>
          <w:b/>
          <w:sz w:val="22"/>
        </w:rPr>
        <w:t>11 –</w:t>
      </w:r>
      <w:r w:rsidRPr="00F4581D">
        <w:rPr>
          <w:rFonts w:ascii="Arial" w:hAnsi="Arial"/>
          <w:b/>
          <w:sz w:val="22"/>
        </w:rPr>
        <w:t xml:space="preserve"> </w:t>
      </w:r>
      <w:r>
        <w:rPr>
          <w:rFonts w:ascii="Arial" w:hAnsi="Arial"/>
          <w:b/>
          <w:sz w:val="22"/>
        </w:rPr>
        <w:t xml:space="preserve">12 juin </w:t>
      </w:r>
      <w:r w:rsidRPr="00F4581D">
        <w:rPr>
          <w:rFonts w:ascii="Arial" w:hAnsi="Arial"/>
          <w:b/>
          <w:sz w:val="22"/>
        </w:rPr>
        <w:t>202</w:t>
      </w:r>
      <w:r>
        <w:rPr>
          <w:rFonts w:ascii="Arial" w:hAnsi="Arial"/>
          <w:b/>
          <w:sz w:val="22"/>
        </w:rPr>
        <w:t>4</w:t>
      </w:r>
    </w:p>
    <w:p w14:paraId="072D5FE4" w14:textId="77777777" w:rsidR="00DD751E" w:rsidRPr="00132C8D" w:rsidRDefault="00DD751E" w:rsidP="00655736">
      <w:pPr>
        <w:pStyle w:val="Sansinterligne2"/>
        <w:spacing w:before="1200"/>
        <w:jc w:val="center"/>
        <w:rPr>
          <w:rFonts w:asciiTheme="minorBidi" w:hAnsiTheme="minorBidi" w:cstheme="minorBidi"/>
          <w:b/>
          <w:sz w:val="22"/>
          <w:szCs w:val="22"/>
        </w:rPr>
      </w:pPr>
      <w:r>
        <w:rPr>
          <w:rFonts w:asciiTheme="minorBidi" w:hAnsiTheme="minorBidi"/>
          <w:b/>
          <w:sz w:val="22"/>
          <w:u w:val="single"/>
        </w:rPr>
        <w:t>Point 9 de l’ordre du jour provisoire</w:t>
      </w:r>
      <w:r w:rsidRPr="00582E1B">
        <w:rPr>
          <w:rFonts w:asciiTheme="minorBidi" w:hAnsiTheme="minorBidi"/>
          <w:b/>
          <w:sz w:val="22"/>
        </w:rPr>
        <w:t xml:space="preserve"> </w:t>
      </w:r>
      <w:r>
        <w:rPr>
          <w:rFonts w:asciiTheme="minorBidi" w:hAnsiTheme="minorBidi"/>
          <w:b/>
          <w:sz w:val="22"/>
        </w:rPr>
        <w:t>:</w:t>
      </w:r>
    </w:p>
    <w:p w14:paraId="72C464AC" w14:textId="77777777" w:rsidR="00DD751E" w:rsidRPr="0005679E" w:rsidRDefault="00DD751E" w:rsidP="00506042">
      <w:pPr>
        <w:pStyle w:val="Sansinterligne2"/>
        <w:spacing w:after="1200"/>
        <w:jc w:val="center"/>
        <w:rPr>
          <w:rFonts w:asciiTheme="minorBidi" w:hAnsiTheme="minorBidi"/>
          <w:b/>
          <w:sz w:val="22"/>
        </w:rPr>
      </w:pPr>
      <w:r>
        <w:rPr>
          <w:rFonts w:asciiTheme="minorBidi" w:hAnsiTheme="minorBidi"/>
          <w:b/>
          <w:sz w:val="22"/>
        </w:rPr>
        <w:t>Accréditation des organisations non gouvernementales</w:t>
      </w:r>
      <w:r>
        <w:rPr>
          <w:rFonts w:asciiTheme="minorBidi" w:hAnsiTheme="minorBidi"/>
          <w:b/>
          <w:sz w:val="22"/>
        </w:rPr>
        <w:br/>
        <w:t>à des fins d’assistance consultative auprès du Comité</w:t>
      </w:r>
    </w:p>
    <w:tbl>
      <w:tblPr>
        <w:tblW w:w="56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9"/>
      </w:tblGrid>
      <w:tr w:rsidR="00DD751E" w:rsidRPr="00132C8D" w14:paraId="0F1D46D2" w14:textId="77777777" w:rsidTr="007A6B7A">
        <w:trPr>
          <w:jc w:val="center"/>
        </w:trPr>
        <w:tc>
          <w:tcPr>
            <w:tcW w:w="5669" w:type="dxa"/>
            <w:vAlign w:val="center"/>
          </w:tcPr>
          <w:p w14:paraId="7357192F" w14:textId="77777777" w:rsidR="00DD751E" w:rsidRDefault="00DD751E" w:rsidP="00132C8D">
            <w:pPr>
              <w:pStyle w:val="Sansinterligne1"/>
              <w:spacing w:before="120" w:after="120"/>
              <w:jc w:val="center"/>
              <w:rPr>
                <w:rFonts w:asciiTheme="minorBidi" w:hAnsiTheme="minorBidi" w:cstheme="minorBidi"/>
                <w:b/>
                <w:sz w:val="22"/>
                <w:szCs w:val="22"/>
              </w:rPr>
            </w:pPr>
            <w:r>
              <w:rPr>
                <w:rFonts w:asciiTheme="minorBidi" w:hAnsiTheme="minorBidi"/>
                <w:b/>
                <w:sz w:val="22"/>
              </w:rPr>
              <w:t>Résumé</w:t>
            </w:r>
          </w:p>
          <w:p w14:paraId="6F6E2645" w14:textId="77777777" w:rsidR="00DD751E" w:rsidRPr="00132C8D" w:rsidRDefault="00DD751E" w:rsidP="00132C8D">
            <w:pPr>
              <w:pStyle w:val="pf0"/>
              <w:spacing w:before="120" w:beforeAutospacing="0" w:after="120" w:afterAutospacing="0"/>
              <w:jc w:val="both"/>
              <w:rPr>
                <w:rFonts w:asciiTheme="minorBidi" w:hAnsiTheme="minorBidi" w:cstheme="minorBidi"/>
                <w:bCs/>
                <w:sz w:val="22"/>
                <w:szCs w:val="22"/>
              </w:rPr>
            </w:pPr>
            <w:r>
              <w:rPr>
                <w:rFonts w:asciiTheme="minorBidi" w:hAnsiTheme="minorBidi"/>
                <w:sz w:val="22"/>
              </w:rPr>
              <w:t>Ce document présente les cinquante-huit demandes d’accréditation de nouvelles organisations non gouvernementales (ONG) en vue de l’exercice de fonctions consultatives auprès du Comité, conformément à la recommandation de sa dix-huitième session.</w:t>
            </w:r>
          </w:p>
          <w:p w14:paraId="6FBF0B31" w14:textId="77777777" w:rsidR="00DD751E" w:rsidRPr="00132C8D" w:rsidRDefault="00DD751E" w:rsidP="005252E6">
            <w:pPr>
              <w:spacing w:before="200" w:after="200"/>
              <w:jc w:val="both"/>
              <w:rPr>
                <w:rFonts w:asciiTheme="minorBidi" w:hAnsiTheme="minorBidi" w:cstheme="minorBidi"/>
                <w:b/>
                <w:sz w:val="22"/>
                <w:szCs w:val="22"/>
              </w:rPr>
            </w:pPr>
            <w:r>
              <w:rPr>
                <w:rFonts w:asciiTheme="minorBidi" w:hAnsiTheme="minorBidi"/>
                <w:b/>
                <w:sz w:val="22"/>
              </w:rPr>
              <w:t xml:space="preserve">Décision requise : </w:t>
            </w:r>
            <w:r>
              <w:rPr>
                <w:rFonts w:asciiTheme="minorBidi" w:hAnsiTheme="minorBidi"/>
                <w:sz w:val="22"/>
              </w:rPr>
              <w:t>paragraphe 6</w:t>
            </w:r>
          </w:p>
        </w:tc>
      </w:tr>
    </w:tbl>
    <w:p w14:paraId="7132AF0B" w14:textId="77777777" w:rsidR="00DD751E" w:rsidRPr="00582E1B" w:rsidRDefault="00DD751E" w:rsidP="00E35D26">
      <w:pPr>
        <w:rPr>
          <w:rFonts w:asciiTheme="minorBidi" w:hAnsiTheme="minorBidi" w:cstheme="minorBidi"/>
          <w:b/>
          <w:bCs/>
          <w:sz w:val="22"/>
          <w:szCs w:val="22"/>
        </w:rPr>
      </w:pPr>
      <w:r>
        <w:br w:type="page"/>
      </w:r>
      <w:r w:rsidRPr="00582E1B">
        <w:rPr>
          <w:rFonts w:asciiTheme="minorBidi" w:hAnsiTheme="minorBidi"/>
          <w:b/>
          <w:sz w:val="22"/>
          <w:szCs w:val="22"/>
        </w:rPr>
        <w:lastRenderedPageBreak/>
        <w:t>Introduction</w:t>
      </w:r>
    </w:p>
    <w:p w14:paraId="40722126" w14:textId="77777777" w:rsidR="00DD751E" w:rsidRPr="005252E6" w:rsidRDefault="00DD751E" w:rsidP="00DD751E">
      <w:pPr>
        <w:pStyle w:val="COMTitleDecision"/>
        <w:keepNext w:val="0"/>
        <w:widowControl w:val="0"/>
        <w:numPr>
          <w:ilvl w:val="0"/>
          <w:numId w:val="48"/>
        </w:numPr>
        <w:spacing w:before="120"/>
        <w:rPr>
          <w:rFonts w:asciiTheme="minorBidi" w:hAnsiTheme="minorBidi" w:cstheme="minorBidi"/>
          <w:b w:val="0"/>
          <w:lang w:val="fr-FR"/>
        </w:rPr>
      </w:pPr>
      <w:r w:rsidRPr="005252E6">
        <w:rPr>
          <w:rFonts w:asciiTheme="minorBidi" w:hAnsiTheme="minorBidi"/>
          <w:b w:val="0"/>
          <w:lang w:val="fr-FR"/>
        </w:rPr>
        <w:t>L’article 9.1 de la Convention dispose que le Comité doit proposer à l’Assemblée générale l’accréditation d’organisations non gouvernementales (ONG) ayant des compétences reconnues dans le domaine du patrimoine culturel immatériel afin d’assurer des fonctions consultatives auprès du Comité. Les critères et modalités de cette accréditation sont inclus dans le chapitre III.2.2 des Directives opérationnelles (paragraphes 91-99). À ce jour, l’Assemblée générale a accrédité 300 organisations</w:t>
      </w:r>
      <w:r w:rsidRPr="005252E6">
        <w:rPr>
          <w:rStyle w:val="Appelnotedebasdep"/>
          <w:rFonts w:asciiTheme="minorBidi" w:hAnsiTheme="minorBidi"/>
          <w:b w:val="0"/>
          <w:lang w:val="fr-FR"/>
        </w:rPr>
        <w:footnoteReference w:id="1"/>
      </w:r>
      <w:r w:rsidRPr="005252E6">
        <w:rPr>
          <w:rFonts w:asciiTheme="minorBidi" w:hAnsiTheme="minorBidi"/>
          <w:b w:val="0"/>
          <w:lang w:val="fr-FR"/>
        </w:rPr>
        <w:t>.</w:t>
      </w:r>
    </w:p>
    <w:p w14:paraId="756E74DC" w14:textId="77777777" w:rsidR="00DD751E" w:rsidRPr="00DD751E" w:rsidRDefault="00DD751E" w:rsidP="00DD751E">
      <w:pPr>
        <w:pStyle w:val="COMTitleDecision"/>
        <w:keepNext w:val="0"/>
        <w:widowControl w:val="0"/>
        <w:numPr>
          <w:ilvl w:val="0"/>
          <w:numId w:val="48"/>
        </w:numPr>
        <w:spacing w:before="120"/>
        <w:ind w:left="567" w:hanging="567"/>
        <w:rPr>
          <w:rFonts w:asciiTheme="minorBidi" w:hAnsiTheme="minorBidi" w:cstheme="minorBidi"/>
          <w:b w:val="0"/>
          <w:lang w:val="fr-FR"/>
        </w:rPr>
      </w:pPr>
      <w:r w:rsidRPr="00DD751E">
        <w:rPr>
          <w:rFonts w:asciiTheme="minorBidi" w:hAnsiTheme="minorBidi"/>
          <w:b w:val="0"/>
          <w:lang w:val="fr-FR"/>
        </w:rPr>
        <w:t>La contribution et l’engagement des ONG accréditées font l’objet d’un examen par le Comité tous les quatre ans à compter de l’accréditation, sur la base des modalités et procédures déterminées au Chapitre III.2.2 des Directives opérationnelles (paragraphes 92-95). À la suite de cet examen, le Comité peut décider de maintenir ses relations avec les ONG concernées ou d’y mettre un terme. A la suite des décisions prises par le Comité, à cet égard, au cours des cycles</w:t>
      </w:r>
      <w:r w:rsidRPr="00B9423E">
        <w:rPr>
          <w:rStyle w:val="Appelnotedebasdep"/>
          <w:rFonts w:asciiTheme="minorBidi" w:hAnsiTheme="minorBidi"/>
          <w:b w:val="0"/>
        </w:rPr>
        <w:footnoteReference w:id="2"/>
      </w:r>
      <w:r w:rsidRPr="00DD751E">
        <w:rPr>
          <w:rFonts w:asciiTheme="minorBidi" w:hAnsiTheme="minorBidi"/>
          <w:b w:val="0"/>
          <w:lang w:val="fr-FR"/>
        </w:rPr>
        <w:t xml:space="preserve"> précédents, 206 </w:t>
      </w:r>
      <w:r w:rsidRPr="00DD751E">
        <w:rPr>
          <w:rFonts w:asciiTheme="minorBidi" w:hAnsiTheme="minorBidi"/>
          <w:b w:val="0"/>
          <w:snapToGrid w:val="0"/>
          <w:lang w:val="fr-FR"/>
        </w:rPr>
        <w:t>ONG sont actuellement accréditées pour exercer des fonctions consultatives auprès du Comité</w:t>
      </w:r>
      <w:r w:rsidRPr="00DD751E">
        <w:rPr>
          <w:rFonts w:asciiTheme="minorBidi" w:hAnsiTheme="minorBidi"/>
          <w:b w:val="0"/>
          <w:lang w:val="fr-FR"/>
        </w:rPr>
        <w:t>.</w:t>
      </w:r>
      <w:r w:rsidRPr="00DD751E">
        <w:rPr>
          <w:rFonts w:asciiTheme="minorBidi" w:hAnsiTheme="minorBidi"/>
          <w:b w:val="0"/>
          <w:snapToGrid w:val="0"/>
          <w:lang w:val="fr-FR"/>
        </w:rPr>
        <w:t xml:space="preserve"> Leur </w:t>
      </w:r>
      <w:r w:rsidRPr="00DD751E">
        <w:rPr>
          <w:rFonts w:asciiTheme="minorBidi" w:hAnsiTheme="minorBidi"/>
          <w:b w:val="0"/>
          <w:lang w:val="fr-FR"/>
        </w:rPr>
        <w:t>répartition géographique est la</w:t>
      </w:r>
      <w:r w:rsidRPr="00DD751E">
        <w:rPr>
          <w:rFonts w:asciiTheme="minorBidi" w:hAnsiTheme="minorBidi"/>
          <w:b w:val="0"/>
          <w:snapToGrid w:val="0"/>
          <w:lang w:val="fr-FR"/>
        </w:rPr>
        <w:t xml:space="preserve"> suivante</w:t>
      </w:r>
      <w:r w:rsidRPr="00DD751E">
        <w:rPr>
          <w:rFonts w:asciiTheme="minorBidi" w:hAnsiTheme="minorBidi"/>
          <w:b w:val="0"/>
          <w:lang w:val="fr-FR"/>
        </w:rPr>
        <w:t xml:space="preserve"> (Graphique 1) :</w:t>
      </w:r>
      <w:r w:rsidRPr="00DD751E">
        <w:rPr>
          <w:rFonts w:asciiTheme="minorBidi" w:hAnsiTheme="minorBidi"/>
          <w:b w:val="0"/>
          <w:snapToGrid w:val="0"/>
          <w:lang w:val="fr-FR"/>
        </w:rPr>
        <w:t xml:space="preserve"> Groupe électoral I : 108 ; Groupe électoral II : 21 ; Groupe électoral III : 14 ; Groupe électoral IV : 28 ; Groupe électoral V(a) : 25 et Groupe électoral V(b) : 10.</w:t>
      </w:r>
    </w:p>
    <w:p w14:paraId="298615C2" w14:textId="77777777" w:rsidR="00DD751E" w:rsidRPr="00B9423E" w:rsidRDefault="00DD751E" w:rsidP="00F70FBF">
      <w:pPr>
        <w:pStyle w:val="COMTitleDecision"/>
        <w:keepNext w:val="0"/>
        <w:widowControl w:val="0"/>
        <w:spacing w:before="120"/>
        <w:jc w:val="center"/>
        <w:rPr>
          <w:rFonts w:asciiTheme="minorBidi" w:hAnsiTheme="minorBidi" w:cstheme="minorBidi"/>
          <w:b w:val="0"/>
        </w:rPr>
      </w:pPr>
      <w:r w:rsidRPr="00B9423E">
        <w:rPr>
          <w:rFonts w:asciiTheme="minorBidi" w:hAnsiTheme="minorBidi"/>
          <w:b w:val="0"/>
          <w:noProof/>
        </w:rPr>
        <w:drawing>
          <wp:inline distT="0" distB="0" distL="0" distR="0" wp14:anchorId="711BAC88" wp14:editId="4DB6CAF3">
            <wp:extent cx="5472838" cy="2920621"/>
            <wp:effectExtent l="0" t="0" r="13970" b="13335"/>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7FD7471" w14:textId="77777777" w:rsidR="00DD751E" w:rsidRPr="00B9423E" w:rsidRDefault="00DD751E" w:rsidP="00C51389">
      <w:pPr>
        <w:pStyle w:val="COMTitleDecision"/>
        <w:keepNext w:val="0"/>
        <w:widowControl w:val="0"/>
        <w:spacing w:before="120"/>
        <w:jc w:val="center"/>
        <w:rPr>
          <w:rFonts w:asciiTheme="minorBidi" w:hAnsiTheme="minorBidi" w:cstheme="minorBidi"/>
          <w:b w:val="0"/>
        </w:rPr>
      </w:pPr>
    </w:p>
    <w:p w14:paraId="7168D908" w14:textId="77777777" w:rsidR="00DD751E" w:rsidRPr="00582E1B" w:rsidRDefault="00DD751E" w:rsidP="00600CE2">
      <w:pPr>
        <w:spacing w:before="120" w:after="120"/>
        <w:rPr>
          <w:rFonts w:asciiTheme="minorBidi" w:hAnsiTheme="minorBidi" w:cstheme="minorBidi"/>
          <w:bCs/>
          <w:sz w:val="22"/>
          <w:szCs w:val="22"/>
        </w:rPr>
      </w:pPr>
      <w:r w:rsidRPr="00582E1B">
        <w:rPr>
          <w:rFonts w:asciiTheme="minorBidi" w:hAnsiTheme="minorBidi"/>
          <w:b/>
          <w:sz w:val="22"/>
          <w:szCs w:val="22"/>
        </w:rPr>
        <w:t>Accréditation d’ONG recommandées par la dix-huitième session du Comité</w:t>
      </w:r>
    </w:p>
    <w:p w14:paraId="5E5AFAC5" w14:textId="77777777" w:rsidR="00DD751E" w:rsidRPr="00DD751E" w:rsidRDefault="00DD751E" w:rsidP="00DD751E">
      <w:pPr>
        <w:pStyle w:val="COMTitleDecision"/>
        <w:keepNext w:val="0"/>
        <w:widowControl w:val="0"/>
        <w:numPr>
          <w:ilvl w:val="0"/>
          <w:numId w:val="48"/>
        </w:numPr>
        <w:spacing w:before="120"/>
        <w:ind w:left="567" w:hanging="567"/>
        <w:rPr>
          <w:rFonts w:asciiTheme="minorBidi" w:hAnsiTheme="minorBidi" w:cstheme="minorBidi"/>
          <w:b w:val="0"/>
          <w:lang w:val="fr-FR"/>
        </w:rPr>
      </w:pPr>
      <w:r w:rsidRPr="00DD751E">
        <w:rPr>
          <w:rFonts w:asciiTheme="minorBidi" w:hAnsiTheme="minorBidi"/>
          <w:b w:val="0"/>
          <w:lang w:val="fr-FR"/>
        </w:rPr>
        <w:t xml:space="preserve">Lors de sa dix-huitième session, en 2023, le Comité a examiné les nouvelles demandes d’accréditation de soixante-treize ONG et a recommandé à l’Assemblée générale d’en accréditer cinquante-huit (Décision </w:t>
      </w:r>
      <w:hyperlink r:id="rId9" w:history="1">
        <w:r w:rsidRPr="00DD751E">
          <w:rPr>
            <w:rStyle w:val="Lienhypertexte"/>
            <w:rFonts w:asciiTheme="minorBidi" w:hAnsiTheme="minorBidi"/>
            <w:b w:val="0"/>
            <w:lang w:val="fr-FR"/>
          </w:rPr>
          <w:t>18.COM 16</w:t>
        </w:r>
      </w:hyperlink>
      <w:r w:rsidRPr="00DD751E">
        <w:rPr>
          <w:rFonts w:asciiTheme="minorBidi" w:hAnsiTheme="minorBidi"/>
          <w:b w:val="0"/>
          <w:lang w:val="fr-FR"/>
        </w:rPr>
        <w:t xml:space="preserve">). Ces organisations sont listées dans l’annexe. La </w:t>
      </w:r>
      <w:hyperlink r:id="rId10" w:history="1">
        <w:r w:rsidRPr="00DD751E">
          <w:rPr>
            <w:rStyle w:val="Lienhypertexte"/>
            <w:rFonts w:asciiTheme="minorBidi" w:hAnsiTheme="minorBidi"/>
            <w:b w:val="0"/>
            <w:lang w:val="fr-FR"/>
          </w:rPr>
          <w:t>page web de la Convention</w:t>
        </w:r>
      </w:hyperlink>
      <w:r w:rsidRPr="00DD751E">
        <w:rPr>
          <w:rFonts w:asciiTheme="minorBidi" w:hAnsiTheme="minorBidi"/>
          <w:b w:val="0"/>
          <w:lang w:val="fr-FR"/>
        </w:rPr>
        <w:t xml:space="preserve"> présente toutes les demandes complètes dans les délais pour </w:t>
      </w:r>
      <w:r w:rsidRPr="00DD751E">
        <w:rPr>
          <w:rFonts w:asciiTheme="minorBidi" w:hAnsiTheme="minorBidi"/>
          <w:b w:val="0"/>
          <w:lang w:val="fr-FR"/>
        </w:rPr>
        <w:lastRenderedPageBreak/>
        <w:t xml:space="preserve">examen par la dix-huitième session du Comité, dans la langue dans laquelle elles ont été soumises, à savoir le formulaire </w:t>
      </w:r>
      <w:hyperlink r:id="rId11" w:history="1">
        <w:r w:rsidRPr="00DD751E">
          <w:rPr>
            <w:rStyle w:val="Lienhypertexte"/>
            <w:rFonts w:asciiTheme="minorBidi" w:hAnsiTheme="minorBidi"/>
            <w:b w:val="0"/>
            <w:lang w:val="fr-FR"/>
          </w:rPr>
          <w:t>ICH-09</w:t>
        </w:r>
      </w:hyperlink>
      <w:r w:rsidRPr="00DD751E">
        <w:rPr>
          <w:rFonts w:asciiTheme="minorBidi" w:hAnsiTheme="minorBidi"/>
          <w:b w:val="0"/>
          <w:lang w:val="fr-FR"/>
        </w:rPr>
        <w:t xml:space="preserve"> soumis par chaque organisation, ainsi que les documents complémentaires concernant les points 8.a, 8.b et 8.c de ce formulaire. </w:t>
      </w:r>
      <w:r w:rsidRPr="00DD751E">
        <w:rPr>
          <w:rFonts w:asciiTheme="minorBidi" w:hAnsiTheme="minorBidi"/>
          <w:b w:val="0"/>
          <w:snapToGrid w:val="0"/>
          <w:lang w:val="fr-FR"/>
        </w:rPr>
        <w:t xml:space="preserve">La répartition </w:t>
      </w:r>
      <w:r w:rsidRPr="00DD751E">
        <w:rPr>
          <w:rFonts w:asciiTheme="minorBidi" w:hAnsiTheme="minorBidi"/>
          <w:b w:val="0"/>
          <w:lang w:val="fr-FR"/>
        </w:rPr>
        <w:t>géographique</w:t>
      </w:r>
      <w:r w:rsidRPr="00DD751E">
        <w:rPr>
          <w:rFonts w:asciiTheme="minorBidi" w:hAnsiTheme="minorBidi"/>
          <w:b w:val="0"/>
          <w:snapToGrid w:val="0"/>
          <w:lang w:val="fr-FR"/>
        </w:rPr>
        <w:t xml:space="preserve"> des cinquante-huit ONG proposées pour l’accréditation est </w:t>
      </w:r>
      <w:r w:rsidRPr="00DD751E">
        <w:rPr>
          <w:rFonts w:asciiTheme="minorBidi" w:hAnsiTheme="minorBidi"/>
          <w:b w:val="0"/>
          <w:lang w:val="fr-FR"/>
        </w:rPr>
        <w:t>la suivante :</w:t>
      </w:r>
      <w:r w:rsidRPr="00DD751E">
        <w:rPr>
          <w:rFonts w:asciiTheme="minorBidi" w:hAnsiTheme="minorBidi"/>
          <w:b w:val="0"/>
          <w:snapToGrid w:val="0"/>
          <w:lang w:val="fr-FR"/>
        </w:rPr>
        <w:t xml:space="preserve"> Groupe électoral I - 22 ; Groupe électoral II - 7 ; Groupe électoral III - 13 ; Groupe électoral IV - 8 ; Groupe électoral V(a) – 2 et Groupe électoral V(b) - 6.</w:t>
      </w:r>
    </w:p>
    <w:p w14:paraId="635342F0" w14:textId="77777777" w:rsidR="00DD751E" w:rsidRPr="00DD751E" w:rsidRDefault="00DD751E" w:rsidP="00DA3996">
      <w:pPr>
        <w:pStyle w:val="COMTitleDecision"/>
        <w:spacing w:before="120"/>
        <w:ind w:left="0"/>
        <w:jc w:val="center"/>
        <w:rPr>
          <w:rFonts w:asciiTheme="minorBidi" w:hAnsiTheme="minorBidi" w:cstheme="minorBidi"/>
          <w:bCs/>
          <w:snapToGrid w:val="0"/>
          <w:lang w:val="fr-FR"/>
        </w:rPr>
      </w:pPr>
      <w:r>
        <w:rPr>
          <w:rFonts w:asciiTheme="minorBidi" w:hAnsiTheme="minorBidi"/>
          <w:b w:val="0"/>
          <w:noProof/>
        </w:rPr>
        <w:drawing>
          <wp:anchor distT="0" distB="0" distL="114300" distR="114300" simplePos="0" relativeHeight="251659264" behindDoc="0" locked="0" layoutInCell="1" allowOverlap="1" wp14:anchorId="7894BBB1" wp14:editId="7CF17952">
            <wp:simplePos x="0" y="0"/>
            <wp:positionH relativeFrom="margin">
              <wp:posOffset>630555</wp:posOffset>
            </wp:positionH>
            <wp:positionV relativeFrom="paragraph">
              <wp:posOffset>110490</wp:posOffset>
            </wp:positionV>
            <wp:extent cx="5110480" cy="2900045"/>
            <wp:effectExtent l="0" t="0" r="13970" b="14605"/>
            <wp:wrapSquare wrapText="bothSides"/>
            <wp:docPr id="88772436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0C3BD632" w14:textId="77777777" w:rsidR="00DD751E" w:rsidRPr="00A95CE2" w:rsidRDefault="00DD751E" w:rsidP="00435CED">
      <w:pPr>
        <w:jc w:val="center"/>
        <w:rPr>
          <w:rFonts w:asciiTheme="minorBidi" w:hAnsiTheme="minorBidi" w:cstheme="minorBidi"/>
        </w:rPr>
      </w:pPr>
    </w:p>
    <w:p w14:paraId="6E94E9F1" w14:textId="77777777" w:rsidR="00DD751E" w:rsidRPr="00DD751E" w:rsidRDefault="00DD751E" w:rsidP="007C36FB">
      <w:pPr>
        <w:pStyle w:val="COMTitleDecision"/>
        <w:spacing w:before="120"/>
        <w:rPr>
          <w:rFonts w:asciiTheme="minorBidi" w:hAnsiTheme="minorBidi" w:cstheme="minorBidi"/>
          <w:bCs/>
          <w:snapToGrid w:val="0"/>
          <w:lang w:val="fr-FR"/>
        </w:rPr>
      </w:pPr>
      <w:r w:rsidRPr="00DD751E">
        <w:rPr>
          <w:lang w:val="fr-FR"/>
        </w:rPr>
        <w:br w:type="textWrapping" w:clear="all"/>
      </w:r>
    </w:p>
    <w:p w14:paraId="61DFC214" w14:textId="77777777" w:rsidR="00DD751E" w:rsidRPr="00DD751E" w:rsidRDefault="00DD751E" w:rsidP="00DD751E">
      <w:pPr>
        <w:pStyle w:val="COMTitleDecision"/>
        <w:keepNext w:val="0"/>
        <w:keepLines/>
        <w:widowControl w:val="0"/>
        <w:numPr>
          <w:ilvl w:val="0"/>
          <w:numId w:val="48"/>
        </w:numPr>
        <w:spacing w:before="120"/>
        <w:ind w:left="567" w:hanging="567"/>
        <w:rPr>
          <w:rFonts w:eastAsia="SimSun"/>
          <w:b w:val="0"/>
          <w:bCs/>
          <w:snapToGrid w:val="0"/>
          <w:lang w:val="fr-FR"/>
        </w:rPr>
      </w:pPr>
      <w:r w:rsidRPr="00DD751E">
        <w:rPr>
          <w:b w:val="0"/>
          <w:snapToGrid w:val="0"/>
          <w:lang w:val="fr-FR"/>
        </w:rPr>
        <w:t>Les demandes de nouvelles accréditations et de renouvellement sont examinées par le Secrétariat de la Convention de 2003 en fonction des critères définis dans les directives opérationnelles. Le Secrétariat enregistre les propositions conformément au paragraphe 99 des Directives opérationnelles, aide les organisations à fournir toute information manquante, au besoin, et prépare les recommandations pour le Comité comme demandé au paragraphe 92 des Directives opérationnelles. Les formulaires et documents de travail correspondants sont mis à disposition sur la page web de la Convention au plus tard quatre semaines avant l’ouverture des sessions concernées du Comité et de l’Assemblée générale.</w:t>
      </w:r>
    </w:p>
    <w:p w14:paraId="60255919" w14:textId="77777777" w:rsidR="00DD751E" w:rsidRPr="00DD751E" w:rsidRDefault="00DD751E" w:rsidP="00DD751E">
      <w:pPr>
        <w:pStyle w:val="COMTitleDecision"/>
        <w:numPr>
          <w:ilvl w:val="0"/>
          <w:numId w:val="48"/>
        </w:numPr>
        <w:spacing w:before="0"/>
        <w:ind w:left="567" w:hanging="567"/>
        <w:rPr>
          <w:rFonts w:asciiTheme="minorBidi" w:eastAsia="SimSun" w:hAnsiTheme="minorBidi" w:cstheme="minorBidi"/>
          <w:b w:val="0"/>
          <w:bCs/>
          <w:snapToGrid w:val="0"/>
          <w:lang w:val="fr-FR"/>
        </w:rPr>
      </w:pPr>
      <w:r w:rsidRPr="00DD751E">
        <w:rPr>
          <w:rFonts w:asciiTheme="minorBidi" w:hAnsiTheme="minorBidi"/>
          <w:b w:val="0"/>
          <w:snapToGrid w:val="0"/>
          <w:lang w:val="fr-FR"/>
        </w:rPr>
        <w:t>Conformément</w:t>
      </w:r>
      <w:r w:rsidRPr="00DD751E">
        <w:rPr>
          <w:rFonts w:asciiTheme="minorBidi" w:hAnsiTheme="minorBidi"/>
          <w:b w:val="0"/>
          <w:lang w:val="fr-FR"/>
        </w:rPr>
        <w:t xml:space="preserve"> à la résolution </w:t>
      </w:r>
      <w:hyperlink r:id="rId13" w:history="1">
        <w:r w:rsidRPr="00DD751E">
          <w:rPr>
            <w:rStyle w:val="Lienhypertexte"/>
            <w:rFonts w:asciiTheme="minorBidi" w:hAnsiTheme="minorBidi"/>
            <w:b w:val="0"/>
            <w:lang w:val="fr-FR"/>
          </w:rPr>
          <w:t>9.</w:t>
        </w:r>
      </w:hyperlink>
      <w:hyperlink r:id="rId14" w:history="1">
        <w:r w:rsidRPr="00DD751E">
          <w:rPr>
            <w:rStyle w:val="Lienhypertexte"/>
            <w:rFonts w:asciiTheme="minorBidi" w:hAnsiTheme="minorBidi"/>
            <w:b w:val="0"/>
            <w:lang w:val="fr-FR"/>
          </w:rPr>
          <w:t>GA 7</w:t>
        </w:r>
      </w:hyperlink>
      <w:r w:rsidRPr="00DD751E">
        <w:rPr>
          <w:rFonts w:asciiTheme="minorBidi" w:hAnsiTheme="minorBidi"/>
          <w:b w:val="0"/>
          <w:lang w:val="fr-FR"/>
        </w:rPr>
        <w:t xml:space="preserve"> adoptée lors de la neuvième session de l’Assemblée générale en 2022, le Secrétariat a sollicité la coopération des bureaux hors siège de l’UNESCO pour l’examen des nouvelles demandes d’accréditation soumises. La liste des ONG accréditées a été mise à disposition des bureaux hors siège, et un formulaire a été créé afin de recueillir les informations pertinentes. </w:t>
      </w:r>
      <w:r w:rsidRPr="00DD751E">
        <w:rPr>
          <w:rFonts w:asciiTheme="minorBidi" w:hAnsiTheme="minorBidi"/>
          <w:b w:val="0"/>
          <w:snapToGrid w:val="0"/>
          <w:lang w:val="fr-FR"/>
        </w:rPr>
        <w:t>Six bureaux hors siège de l’UNESCO ont pris part au processus, en fournissant des informations complémentaires sur les nouvelles demandes d’accréditation des organisations non gouvernementales avec lesquelles ils étaient en contact.</w:t>
      </w:r>
    </w:p>
    <w:p w14:paraId="13D7FA23" w14:textId="77777777" w:rsidR="00DD751E" w:rsidRPr="00DD751E" w:rsidRDefault="00DD751E" w:rsidP="00DD751E">
      <w:pPr>
        <w:pStyle w:val="COMTitleDecision"/>
        <w:keepNext w:val="0"/>
        <w:widowControl w:val="0"/>
        <w:numPr>
          <w:ilvl w:val="0"/>
          <w:numId w:val="48"/>
        </w:numPr>
        <w:spacing w:before="0"/>
        <w:ind w:left="547" w:hanging="576"/>
        <w:rPr>
          <w:rFonts w:asciiTheme="minorBidi" w:hAnsiTheme="minorBidi" w:cstheme="minorBidi"/>
          <w:b w:val="0"/>
          <w:lang w:val="fr-FR"/>
        </w:rPr>
      </w:pPr>
      <w:r w:rsidRPr="00DD751E">
        <w:rPr>
          <w:rFonts w:asciiTheme="minorBidi" w:hAnsiTheme="minorBidi"/>
          <w:b w:val="0"/>
          <w:lang w:val="fr-FR"/>
        </w:rPr>
        <w:t>L’</w:t>
      </w:r>
      <w:r w:rsidRPr="00DD751E">
        <w:rPr>
          <w:rFonts w:asciiTheme="minorBidi" w:hAnsiTheme="minorBidi"/>
          <w:b w:val="0"/>
          <w:snapToGrid w:val="0"/>
          <w:lang w:val="fr-FR"/>
        </w:rPr>
        <w:t>Assemblée</w:t>
      </w:r>
      <w:r w:rsidRPr="00DD751E">
        <w:rPr>
          <w:rFonts w:asciiTheme="minorBidi" w:hAnsiTheme="minorBidi"/>
          <w:b w:val="0"/>
          <w:lang w:val="fr-FR"/>
        </w:rPr>
        <w:t xml:space="preserve"> </w:t>
      </w:r>
      <w:r w:rsidRPr="00DD751E">
        <w:rPr>
          <w:rFonts w:asciiTheme="minorBidi" w:hAnsiTheme="minorBidi"/>
          <w:b w:val="0"/>
          <w:snapToGrid w:val="0"/>
          <w:lang w:val="fr-FR"/>
        </w:rPr>
        <w:t>générale</w:t>
      </w:r>
      <w:r w:rsidRPr="00DD751E">
        <w:rPr>
          <w:rFonts w:asciiTheme="minorBidi" w:hAnsiTheme="minorBidi"/>
          <w:b w:val="0"/>
          <w:lang w:val="fr-FR"/>
        </w:rPr>
        <w:t xml:space="preserve"> souhaitera peut-être adopter la résolution suivante :</w:t>
      </w:r>
    </w:p>
    <w:p w14:paraId="5FA3D353" w14:textId="77777777" w:rsidR="00DD751E" w:rsidRPr="00132C8D" w:rsidRDefault="00DD751E" w:rsidP="004C7156">
      <w:pPr>
        <w:pStyle w:val="GATitleResolution"/>
        <w:spacing w:before="360"/>
        <w:rPr>
          <w:rFonts w:asciiTheme="minorBidi" w:hAnsiTheme="minorBidi" w:cstheme="minorBidi"/>
        </w:rPr>
      </w:pPr>
      <w:r>
        <w:rPr>
          <w:rFonts w:asciiTheme="minorBidi" w:hAnsiTheme="minorBidi"/>
        </w:rPr>
        <w:t>PROJET DE RÉSOLUTION 10.GA 9</w:t>
      </w:r>
    </w:p>
    <w:p w14:paraId="2AEF035A" w14:textId="77777777" w:rsidR="00DD751E" w:rsidRPr="00132C8D" w:rsidRDefault="00DD751E" w:rsidP="008A1ED4">
      <w:pPr>
        <w:pStyle w:val="GAPreambulaResolution"/>
        <w:rPr>
          <w:rFonts w:asciiTheme="minorBidi" w:hAnsiTheme="minorBidi" w:cstheme="minorBidi"/>
        </w:rPr>
      </w:pPr>
      <w:r>
        <w:rPr>
          <w:rFonts w:asciiTheme="minorBidi" w:hAnsiTheme="minorBidi"/>
        </w:rPr>
        <w:t>L’Assemblée générale,</w:t>
      </w:r>
    </w:p>
    <w:p w14:paraId="2E605243" w14:textId="77777777" w:rsidR="00DD751E" w:rsidRPr="00DD751E" w:rsidRDefault="00DD751E" w:rsidP="005252E6">
      <w:pPr>
        <w:pStyle w:val="COMParaDecision"/>
        <w:ind w:left="1134" w:hanging="567"/>
        <w:jc w:val="left"/>
        <w:rPr>
          <w:rFonts w:asciiTheme="minorBidi" w:hAnsiTheme="minorBidi" w:cstheme="minorBidi"/>
          <w:lang w:val="fr-FR"/>
        </w:rPr>
      </w:pPr>
      <w:r w:rsidRPr="00DD751E">
        <w:rPr>
          <w:rFonts w:asciiTheme="minorBidi" w:hAnsiTheme="minorBidi"/>
          <w:lang w:val="fr-FR"/>
        </w:rPr>
        <w:t>Ayant examiné</w:t>
      </w:r>
      <w:r w:rsidRPr="00DD751E">
        <w:rPr>
          <w:rFonts w:asciiTheme="minorBidi" w:hAnsiTheme="minorBidi"/>
          <w:u w:val="none"/>
          <w:lang w:val="fr-FR"/>
        </w:rPr>
        <w:t xml:space="preserve"> le document LHE/24/10.GA/9 et son annexe,</w:t>
      </w:r>
    </w:p>
    <w:p w14:paraId="4040A184" w14:textId="77777777" w:rsidR="00DD751E" w:rsidRPr="00DD751E" w:rsidRDefault="00DD751E" w:rsidP="005252E6">
      <w:pPr>
        <w:pStyle w:val="COMParaDecision"/>
        <w:ind w:left="1134" w:hanging="567"/>
        <w:rPr>
          <w:rFonts w:asciiTheme="minorBidi" w:hAnsiTheme="minorBidi" w:cstheme="minorBidi"/>
          <w:lang w:val="fr-FR"/>
        </w:rPr>
      </w:pPr>
      <w:r w:rsidRPr="00DD751E">
        <w:rPr>
          <w:rFonts w:asciiTheme="minorBidi" w:hAnsiTheme="minorBidi"/>
          <w:lang w:val="fr-FR"/>
        </w:rPr>
        <w:t>Rappelant</w:t>
      </w:r>
      <w:r w:rsidRPr="00DD751E">
        <w:rPr>
          <w:rFonts w:asciiTheme="minorBidi" w:hAnsiTheme="minorBidi"/>
          <w:u w:val="none"/>
          <w:lang w:val="fr-FR"/>
        </w:rPr>
        <w:t xml:space="preserve"> l’article 9 de la Convention et les paragraphes 91 à 99 des Directives opérationnelles,</w:t>
      </w:r>
    </w:p>
    <w:p w14:paraId="0A81223E" w14:textId="77777777" w:rsidR="00DD751E" w:rsidRPr="00DD751E" w:rsidRDefault="00DD751E" w:rsidP="005252E6">
      <w:pPr>
        <w:pStyle w:val="COMParaDecision"/>
        <w:ind w:left="1134" w:hanging="567"/>
        <w:rPr>
          <w:rFonts w:asciiTheme="minorBidi" w:hAnsiTheme="minorBidi" w:cstheme="minorBidi"/>
          <w:lang w:val="fr-FR"/>
        </w:rPr>
      </w:pPr>
      <w:r w:rsidRPr="00DD751E">
        <w:rPr>
          <w:rFonts w:asciiTheme="minorBidi" w:hAnsiTheme="minorBidi"/>
          <w:lang w:val="fr-FR"/>
        </w:rPr>
        <w:t>Rappelant en outre</w:t>
      </w:r>
      <w:r w:rsidRPr="00DD751E">
        <w:rPr>
          <w:rFonts w:asciiTheme="minorBidi" w:hAnsiTheme="minorBidi"/>
          <w:u w:val="none"/>
          <w:lang w:val="fr-FR"/>
        </w:rPr>
        <w:t xml:space="preserve"> la décision </w:t>
      </w:r>
      <w:hyperlink r:id="rId15" w:history="1">
        <w:r w:rsidRPr="00DD751E">
          <w:rPr>
            <w:rStyle w:val="Lienhypertexte"/>
            <w:rFonts w:asciiTheme="minorBidi" w:hAnsiTheme="minorBidi"/>
            <w:lang w:val="fr-FR"/>
          </w:rPr>
          <w:t>18.COM 16</w:t>
        </w:r>
      </w:hyperlink>
      <w:r w:rsidRPr="005252E6">
        <w:rPr>
          <w:rStyle w:val="Lienhypertexte"/>
          <w:rFonts w:asciiTheme="minorBidi" w:hAnsiTheme="minorBidi"/>
          <w:color w:val="auto"/>
          <w:u w:val="none"/>
          <w:lang w:val="fr-FR"/>
        </w:rPr>
        <w:t>,</w:t>
      </w:r>
    </w:p>
    <w:p w14:paraId="170B5D79" w14:textId="77777777" w:rsidR="00DD751E" w:rsidRPr="00DD751E" w:rsidRDefault="00DD751E" w:rsidP="005252E6">
      <w:pPr>
        <w:pStyle w:val="COMParaDecision"/>
        <w:ind w:left="1134" w:hanging="567"/>
        <w:rPr>
          <w:rFonts w:asciiTheme="minorBidi" w:hAnsiTheme="minorBidi" w:cstheme="minorBidi"/>
          <w:lang w:val="fr-FR"/>
        </w:rPr>
      </w:pPr>
      <w:r w:rsidRPr="00DD751E">
        <w:rPr>
          <w:rFonts w:asciiTheme="minorBidi" w:hAnsiTheme="minorBidi"/>
          <w:lang w:val="fr-FR"/>
        </w:rPr>
        <w:lastRenderedPageBreak/>
        <w:t>Accrédite</w:t>
      </w:r>
      <w:r w:rsidRPr="00DD751E">
        <w:rPr>
          <w:rFonts w:asciiTheme="minorBidi" w:hAnsiTheme="minorBidi"/>
          <w:u w:val="none"/>
          <w:lang w:val="fr-FR"/>
        </w:rPr>
        <w:t xml:space="preserve"> les cinquante-huit ONG dont la liste figure dans l’annexe de la présente résolution, pour qu’elles exercent des fonctions consultatives auprès du Comité ;</w:t>
      </w:r>
    </w:p>
    <w:p w14:paraId="2A0DA03C" w14:textId="77777777" w:rsidR="00DD751E" w:rsidRPr="00DD751E" w:rsidRDefault="00DD751E" w:rsidP="005252E6">
      <w:pPr>
        <w:pStyle w:val="COMParaDecision"/>
        <w:ind w:left="1134" w:hanging="567"/>
        <w:rPr>
          <w:rFonts w:asciiTheme="minorBidi" w:hAnsiTheme="minorBidi" w:cstheme="minorBidi"/>
          <w:lang w:val="fr-FR"/>
        </w:rPr>
      </w:pPr>
      <w:r w:rsidRPr="00DD751E">
        <w:rPr>
          <w:rFonts w:asciiTheme="minorBidi" w:hAnsiTheme="minorBidi"/>
          <w:lang w:val="fr-FR"/>
        </w:rPr>
        <w:t>Encourage</w:t>
      </w:r>
      <w:r w:rsidRPr="00DD751E">
        <w:rPr>
          <w:rFonts w:asciiTheme="minorBidi" w:hAnsiTheme="minorBidi"/>
          <w:u w:val="none"/>
          <w:lang w:val="fr-FR"/>
        </w:rPr>
        <w:t xml:space="preserve"> les ONG des groupes électoraux sous-représentés qui satisfont aux critères d’accréditation à présenter leur demande d’accréditation dans les meilleurs délais,</w:t>
      </w:r>
      <w:r w:rsidRPr="00DD751E" w:rsidDel="00F440ED">
        <w:rPr>
          <w:rFonts w:asciiTheme="minorBidi" w:hAnsiTheme="minorBidi"/>
          <w:u w:val="none"/>
          <w:lang w:val="fr-FR"/>
        </w:rPr>
        <w:t xml:space="preserve"> </w:t>
      </w:r>
      <w:r w:rsidRPr="00DD751E">
        <w:rPr>
          <w:rFonts w:asciiTheme="minorBidi" w:hAnsiTheme="minorBidi"/>
          <w:u w:val="none"/>
          <w:lang w:val="fr-FR"/>
        </w:rPr>
        <w:t xml:space="preserve">de façon à améliorer la répartition géographique des ONG accréditées </w:t>
      </w:r>
      <w:bookmarkStart w:id="1" w:name="_Hlk47615881"/>
      <w:r w:rsidRPr="00DD751E">
        <w:rPr>
          <w:rFonts w:asciiTheme="minorBidi" w:hAnsiTheme="minorBidi"/>
          <w:u w:val="none"/>
          <w:lang w:val="fr-FR"/>
        </w:rPr>
        <w:t xml:space="preserve">et </w:t>
      </w:r>
      <w:r w:rsidRPr="00DD751E">
        <w:rPr>
          <w:rFonts w:asciiTheme="minorBidi" w:hAnsiTheme="minorBidi"/>
          <w:lang w:val="fr-FR"/>
        </w:rPr>
        <w:t>invite</w:t>
      </w:r>
      <w:r w:rsidRPr="00DD751E">
        <w:rPr>
          <w:rFonts w:asciiTheme="minorBidi" w:hAnsiTheme="minorBidi"/>
          <w:u w:val="none"/>
          <w:lang w:val="fr-FR"/>
        </w:rPr>
        <w:t xml:space="preserve"> les États parties de ces groupes électoraux à diffuser largement cet appel auprès des ONG présentes sur leur territoire ;</w:t>
      </w:r>
    </w:p>
    <w:bookmarkEnd w:id="1"/>
    <w:p w14:paraId="67C8D6E4" w14:textId="77777777" w:rsidR="00DD751E" w:rsidRPr="00DD751E" w:rsidRDefault="00DD751E" w:rsidP="005252E6">
      <w:pPr>
        <w:pStyle w:val="COMParaDecision"/>
        <w:ind w:left="1134" w:hanging="567"/>
        <w:rPr>
          <w:rFonts w:asciiTheme="minorBidi" w:hAnsiTheme="minorBidi" w:cstheme="minorBidi"/>
          <w:lang w:val="fr-FR"/>
        </w:rPr>
      </w:pPr>
      <w:r w:rsidRPr="00DD751E">
        <w:rPr>
          <w:rFonts w:asciiTheme="minorBidi" w:hAnsiTheme="minorBidi"/>
          <w:lang w:val="fr-FR"/>
        </w:rPr>
        <w:t>Rappelle</w:t>
      </w:r>
      <w:r w:rsidRPr="00DD751E">
        <w:rPr>
          <w:rFonts w:asciiTheme="minorBidi" w:hAnsiTheme="minorBidi"/>
          <w:u w:val="none"/>
          <w:lang w:val="fr-FR"/>
        </w:rPr>
        <w:t xml:space="preserve"> aux ONG accréditées en 2012, 2016, et 2020 qu’elles doivent présenter leur rapport quadriennal au Secrétariat avant la date limite du 15 février 2025 afin que le Comité puisse, lors de sa vingtième</w:t>
      </w:r>
      <w:r w:rsidRPr="00DD751E" w:rsidDel="0005679E">
        <w:rPr>
          <w:rFonts w:asciiTheme="minorBidi" w:hAnsiTheme="minorBidi"/>
          <w:u w:val="none"/>
          <w:lang w:val="fr-FR"/>
        </w:rPr>
        <w:t xml:space="preserve"> </w:t>
      </w:r>
      <w:r w:rsidRPr="00DD751E">
        <w:rPr>
          <w:rFonts w:asciiTheme="minorBidi" w:hAnsiTheme="minorBidi"/>
          <w:u w:val="none"/>
          <w:lang w:val="fr-FR"/>
        </w:rPr>
        <w:t>session, examiner la contribution et l’engagement de chaque organisation consultative.</w:t>
      </w:r>
    </w:p>
    <w:p w14:paraId="1EE8D268" w14:textId="77777777" w:rsidR="00DD751E" w:rsidRPr="00DD751E" w:rsidRDefault="00DD751E" w:rsidP="005252E6">
      <w:pPr>
        <w:pStyle w:val="COMParaDecision"/>
        <w:numPr>
          <w:ilvl w:val="0"/>
          <w:numId w:val="0"/>
        </w:numPr>
        <w:spacing w:before="240" w:after="240"/>
        <w:rPr>
          <w:rFonts w:asciiTheme="minorBidi" w:hAnsiTheme="minorBidi"/>
          <w:b/>
          <w:snapToGrid w:val="0"/>
          <w:u w:val="none"/>
          <w:lang w:val="fr-FR"/>
        </w:rPr>
      </w:pPr>
      <w:r w:rsidRPr="00DD751E">
        <w:rPr>
          <w:lang w:val="fr-FR"/>
        </w:rPr>
        <w:br w:type="page"/>
      </w:r>
      <w:r w:rsidRPr="00DD751E">
        <w:rPr>
          <w:rFonts w:asciiTheme="minorBidi" w:hAnsiTheme="minorBidi"/>
          <w:b/>
          <w:snapToGrid w:val="0"/>
          <w:u w:val="none"/>
          <w:lang w:val="fr-FR"/>
        </w:rPr>
        <w:lastRenderedPageBreak/>
        <w:t>Annexe : Cinquante-huit organisations non gouvernementales dont l’accréditation a été recommandée par la dix-huitième session du Comité.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945"/>
        <w:gridCol w:w="1621"/>
      </w:tblGrid>
      <w:tr w:rsidR="00DD751E" w:rsidRPr="000D358B" w14:paraId="257EB4F2" w14:textId="77777777" w:rsidTr="006D5FD6">
        <w:trPr>
          <w:trHeight w:val="576"/>
        </w:trPr>
        <w:tc>
          <w:tcPr>
            <w:tcW w:w="3148" w:type="pct"/>
            <w:shd w:val="clear" w:color="auto" w:fill="4F81BD" w:themeFill="accent1"/>
            <w:vAlign w:val="center"/>
            <w:hideMark/>
          </w:tcPr>
          <w:p w14:paraId="64DC90A2" w14:textId="77777777" w:rsidR="00DD751E" w:rsidRPr="000D2922" w:rsidRDefault="00DD751E" w:rsidP="006D5FD6">
            <w:pPr>
              <w:contextualSpacing/>
              <w:jc w:val="center"/>
              <w:rPr>
                <w:rFonts w:asciiTheme="minorBidi" w:hAnsiTheme="minorBidi" w:cstheme="minorBidi"/>
                <w:b/>
                <w:bCs/>
                <w:sz w:val="20"/>
                <w:szCs w:val="20"/>
              </w:rPr>
            </w:pPr>
            <w:r>
              <w:rPr>
                <w:rFonts w:asciiTheme="minorBidi" w:hAnsiTheme="minorBidi"/>
                <w:b/>
                <w:sz w:val="20"/>
              </w:rPr>
              <w:t>Nom de l’organisation</w:t>
            </w:r>
          </w:p>
        </w:tc>
        <w:tc>
          <w:tcPr>
            <w:tcW w:w="1010" w:type="pct"/>
            <w:shd w:val="clear" w:color="auto" w:fill="4F81BD" w:themeFill="accent1"/>
            <w:vAlign w:val="center"/>
            <w:hideMark/>
          </w:tcPr>
          <w:p w14:paraId="7CA5812C" w14:textId="77777777" w:rsidR="00DD751E" w:rsidRPr="000D2922" w:rsidRDefault="00DD751E" w:rsidP="00EA2C1A">
            <w:pPr>
              <w:contextualSpacing/>
              <w:jc w:val="center"/>
              <w:rPr>
                <w:rFonts w:asciiTheme="minorBidi" w:hAnsiTheme="minorBidi" w:cstheme="minorBidi"/>
                <w:b/>
                <w:bCs/>
                <w:sz w:val="20"/>
                <w:szCs w:val="20"/>
              </w:rPr>
            </w:pPr>
            <w:r>
              <w:rPr>
                <w:rFonts w:asciiTheme="minorBidi" w:hAnsiTheme="minorBidi"/>
                <w:b/>
                <w:sz w:val="20"/>
              </w:rPr>
              <w:t>Pays du siège social</w:t>
            </w:r>
          </w:p>
        </w:tc>
        <w:tc>
          <w:tcPr>
            <w:tcW w:w="842" w:type="pct"/>
            <w:shd w:val="clear" w:color="auto" w:fill="4F81BD" w:themeFill="accent1"/>
            <w:vAlign w:val="center"/>
            <w:hideMark/>
          </w:tcPr>
          <w:p w14:paraId="74596B85" w14:textId="77777777" w:rsidR="00DD751E" w:rsidRPr="000D2922" w:rsidRDefault="00DD751E" w:rsidP="00EA2C1A">
            <w:pPr>
              <w:contextualSpacing/>
              <w:jc w:val="center"/>
              <w:rPr>
                <w:rFonts w:asciiTheme="minorBidi" w:hAnsiTheme="minorBidi" w:cstheme="minorBidi"/>
                <w:b/>
                <w:bCs/>
                <w:sz w:val="20"/>
                <w:szCs w:val="20"/>
              </w:rPr>
            </w:pPr>
            <w:r>
              <w:rPr>
                <w:rFonts w:asciiTheme="minorBidi" w:hAnsiTheme="minorBidi"/>
                <w:b/>
                <w:sz w:val="20"/>
              </w:rPr>
              <w:t>Numéro de demande</w:t>
            </w:r>
          </w:p>
        </w:tc>
      </w:tr>
      <w:tr w:rsidR="00DD751E" w:rsidRPr="000D358B" w14:paraId="31E2FA74" w14:textId="77777777" w:rsidTr="006D5FD6">
        <w:trPr>
          <w:trHeight w:val="576"/>
        </w:trPr>
        <w:tc>
          <w:tcPr>
            <w:tcW w:w="3148" w:type="pct"/>
            <w:vAlign w:val="center"/>
          </w:tcPr>
          <w:p w14:paraId="08F0637C" w14:textId="77777777" w:rsidR="00DD751E" w:rsidRPr="000D2922" w:rsidRDefault="00DD751E" w:rsidP="008319A4">
            <w:pPr>
              <w:contextualSpacing/>
              <w:rPr>
                <w:rFonts w:asciiTheme="minorBidi" w:hAnsiTheme="minorBidi" w:cstheme="minorBidi"/>
                <w:b/>
                <w:bCs/>
                <w:sz w:val="20"/>
                <w:szCs w:val="20"/>
              </w:rPr>
            </w:pPr>
            <w:r w:rsidRPr="000D2922">
              <w:rPr>
                <w:rFonts w:asciiTheme="minorBidi" w:hAnsiTheme="minorBidi" w:cstheme="minorBidi"/>
                <w:b/>
                <w:bCs/>
                <w:sz w:val="20"/>
                <w:szCs w:val="20"/>
                <w:lang w:val="en-GB"/>
              </w:rPr>
              <w:t xml:space="preserve">4 Grada </w:t>
            </w:r>
            <w:proofErr w:type="spellStart"/>
            <w:r w:rsidRPr="000D2922">
              <w:rPr>
                <w:rFonts w:asciiTheme="minorBidi" w:hAnsiTheme="minorBidi" w:cstheme="minorBidi"/>
                <w:b/>
                <w:bCs/>
                <w:sz w:val="20"/>
                <w:szCs w:val="20"/>
                <w:lang w:val="en-GB"/>
              </w:rPr>
              <w:t>Dragodid</w:t>
            </w:r>
            <w:proofErr w:type="spellEnd"/>
          </w:p>
        </w:tc>
        <w:tc>
          <w:tcPr>
            <w:tcW w:w="1010" w:type="pct"/>
            <w:vAlign w:val="center"/>
          </w:tcPr>
          <w:p w14:paraId="09254F09"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Croatie</w:t>
            </w:r>
          </w:p>
        </w:tc>
        <w:tc>
          <w:tcPr>
            <w:tcW w:w="842" w:type="pct"/>
            <w:vAlign w:val="center"/>
          </w:tcPr>
          <w:p w14:paraId="7755CE94" w14:textId="77777777" w:rsidR="00DD751E" w:rsidRPr="000D2922" w:rsidRDefault="00DD751E" w:rsidP="008319A4">
            <w:pPr>
              <w:pStyle w:val="Titre7"/>
              <w:jc w:val="center"/>
              <w:rPr>
                <w:rFonts w:asciiTheme="minorBidi" w:hAnsiTheme="minorBidi" w:cstheme="minorBidi"/>
                <w:i w:val="0"/>
                <w:iCs w:val="0"/>
                <w:color w:val="auto"/>
                <w:sz w:val="20"/>
                <w:szCs w:val="20"/>
              </w:rPr>
            </w:pPr>
            <w:r>
              <w:rPr>
                <w:rFonts w:asciiTheme="minorBidi" w:hAnsiTheme="minorBidi"/>
                <w:i w:val="0"/>
                <w:color w:val="auto"/>
                <w:sz w:val="20"/>
              </w:rPr>
              <w:t>NGO-90566</w:t>
            </w:r>
          </w:p>
        </w:tc>
      </w:tr>
      <w:tr w:rsidR="00DD751E" w:rsidRPr="000D358B" w14:paraId="227E3C0C" w14:textId="77777777" w:rsidTr="006D5FD6">
        <w:trPr>
          <w:trHeight w:val="576"/>
        </w:trPr>
        <w:tc>
          <w:tcPr>
            <w:tcW w:w="3148" w:type="pct"/>
            <w:shd w:val="clear" w:color="auto" w:fill="DBE5F1" w:themeFill="accent1" w:themeFillTint="33"/>
            <w:vAlign w:val="center"/>
          </w:tcPr>
          <w:p w14:paraId="6BAF0330" w14:textId="77777777" w:rsidR="00DD751E" w:rsidRPr="008319A4" w:rsidRDefault="00DD751E" w:rsidP="008319A4">
            <w:pPr>
              <w:contextualSpacing/>
              <w:rPr>
                <w:rFonts w:asciiTheme="minorBidi" w:hAnsiTheme="minorBidi" w:cstheme="minorBidi"/>
                <w:b/>
                <w:bCs/>
                <w:sz w:val="20"/>
                <w:szCs w:val="20"/>
                <w:lang w:val="es-ES"/>
              </w:rPr>
            </w:pPr>
            <w:r w:rsidRPr="000D2922">
              <w:rPr>
                <w:rFonts w:asciiTheme="minorBidi" w:hAnsiTheme="minorBidi" w:cstheme="minorBidi"/>
                <w:b/>
                <w:bCs/>
                <w:sz w:val="20"/>
                <w:szCs w:val="20"/>
                <w:lang w:val="es-ES"/>
              </w:rPr>
              <w:t xml:space="preserve">Acción Cultural </w:t>
            </w:r>
            <w:proofErr w:type="spellStart"/>
            <w:r w:rsidRPr="000D2922">
              <w:rPr>
                <w:rFonts w:asciiTheme="minorBidi" w:hAnsiTheme="minorBidi" w:cstheme="minorBidi"/>
                <w:b/>
                <w:bCs/>
                <w:sz w:val="20"/>
                <w:szCs w:val="20"/>
                <w:lang w:val="es-ES"/>
              </w:rPr>
              <w:t>Ngobe</w:t>
            </w:r>
            <w:proofErr w:type="spellEnd"/>
            <w:r w:rsidRPr="000D2922">
              <w:rPr>
                <w:rFonts w:asciiTheme="minorBidi" w:hAnsiTheme="minorBidi" w:cstheme="minorBidi"/>
                <w:sz w:val="20"/>
                <w:szCs w:val="20"/>
                <w:lang w:val="es-ES"/>
              </w:rPr>
              <w:br/>
              <w:t xml:space="preserve">Ngäbe Cultural </w:t>
            </w:r>
            <w:proofErr w:type="spellStart"/>
            <w:r w:rsidRPr="000D2922">
              <w:rPr>
                <w:rFonts w:asciiTheme="minorBidi" w:hAnsiTheme="minorBidi" w:cstheme="minorBidi"/>
                <w:sz w:val="20"/>
                <w:szCs w:val="20"/>
                <w:lang w:val="es-ES"/>
              </w:rPr>
              <w:t>Action</w:t>
            </w:r>
            <w:proofErr w:type="spellEnd"/>
          </w:p>
        </w:tc>
        <w:tc>
          <w:tcPr>
            <w:tcW w:w="1010" w:type="pct"/>
            <w:shd w:val="clear" w:color="auto" w:fill="DBE5F1" w:themeFill="accent1" w:themeFillTint="33"/>
            <w:vAlign w:val="center"/>
          </w:tcPr>
          <w:p w14:paraId="341A3A7B"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Panama</w:t>
            </w:r>
          </w:p>
        </w:tc>
        <w:tc>
          <w:tcPr>
            <w:tcW w:w="842" w:type="pct"/>
            <w:shd w:val="clear" w:color="auto" w:fill="DBE5F1" w:themeFill="accent1" w:themeFillTint="33"/>
            <w:vAlign w:val="center"/>
          </w:tcPr>
          <w:p w14:paraId="6D4245D7"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NGO-90583</w:t>
            </w:r>
          </w:p>
        </w:tc>
      </w:tr>
      <w:tr w:rsidR="00DD751E" w:rsidRPr="000D358B" w14:paraId="43B0A94A" w14:textId="77777777" w:rsidTr="006D5FD6">
        <w:trPr>
          <w:trHeight w:val="576"/>
        </w:trPr>
        <w:tc>
          <w:tcPr>
            <w:tcW w:w="3148" w:type="pct"/>
            <w:vAlign w:val="center"/>
          </w:tcPr>
          <w:p w14:paraId="5FD26469" w14:textId="77777777" w:rsidR="00DD751E" w:rsidRPr="000D2922" w:rsidRDefault="00DD751E" w:rsidP="008319A4">
            <w:pPr>
              <w:contextualSpacing/>
              <w:rPr>
                <w:rFonts w:asciiTheme="minorBidi" w:hAnsiTheme="minorBidi" w:cstheme="minorBidi"/>
                <w:b/>
                <w:bCs/>
                <w:sz w:val="20"/>
                <w:szCs w:val="20"/>
              </w:rPr>
            </w:pPr>
            <w:r w:rsidRPr="000D2922">
              <w:rPr>
                <w:rFonts w:asciiTheme="minorBidi" w:hAnsiTheme="minorBidi" w:cstheme="minorBidi"/>
                <w:b/>
                <w:bCs/>
                <w:sz w:val="20"/>
                <w:szCs w:val="20"/>
                <w:lang w:val="en-GB"/>
              </w:rPr>
              <w:t>American Folklore Society</w:t>
            </w:r>
          </w:p>
        </w:tc>
        <w:tc>
          <w:tcPr>
            <w:tcW w:w="1010" w:type="pct"/>
            <w:vAlign w:val="center"/>
          </w:tcPr>
          <w:p w14:paraId="2562F7FF"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États-Unis d’Amérique</w:t>
            </w:r>
          </w:p>
        </w:tc>
        <w:tc>
          <w:tcPr>
            <w:tcW w:w="842" w:type="pct"/>
            <w:vAlign w:val="center"/>
          </w:tcPr>
          <w:p w14:paraId="60D0C208"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NGO-90563</w:t>
            </w:r>
          </w:p>
        </w:tc>
      </w:tr>
      <w:tr w:rsidR="00DD751E" w:rsidRPr="000D358B" w14:paraId="78B2BE7A" w14:textId="77777777" w:rsidTr="006D5FD6">
        <w:trPr>
          <w:trHeight w:val="576"/>
        </w:trPr>
        <w:tc>
          <w:tcPr>
            <w:tcW w:w="3148" w:type="pct"/>
            <w:shd w:val="clear" w:color="auto" w:fill="DBE5F1" w:themeFill="accent1" w:themeFillTint="33"/>
            <w:vAlign w:val="center"/>
          </w:tcPr>
          <w:p w14:paraId="6B5B4370" w14:textId="77777777" w:rsidR="00DD751E" w:rsidRPr="000D2922" w:rsidRDefault="00DD751E" w:rsidP="008319A4">
            <w:pPr>
              <w:contextualSpacing/>
              <w:rPr>
                <w:rFonts w:asciiTheme="minorBidi" w:hAnsiTheme="minorBidi" w:cstheme="minorBidi"/>
                <w:b/>
                <w:bCs/>
                <w:sz w:val="20"/>
                <w:szCs w:val="20"/>
              </w:rPr>
            </w:pPr>
            <w:r w:rsidRPr="000D2922">
              <w:rPr>
                <w:rFonts w:asciiTheme="minorBidi" w:hAnsiTheme="minorBidi" w:cstheme="minorBidi"/>
                <w:b/>
                <w:bCs/>
                <w:sz w:val="20"/>
                <w:szCs w:val="20"/>
                <w:lang w:val="en-GB"/>
              </w:rPr>
              <w:t xml:space="preserve">ART - </w:t>
            </w:r>
            <w:proofErr w:type="spellStart"/>
            <w:r w:rsidRPr="000D2922">
              <w:rPr>
                <w:rFonts w:asciiTheme="minorBidi" w:hAnsiTheme="minorBidi" w:cstheme="minorBidi"/>
                <w:b/>
                <w:bCs/>
                <w:sz w:val="20"/>
                <w:szCs w:val="20"/>
                <w:lang w:val="en-GB"/>
              </w:rPr>
              <w:t>Meșteșugurile</w:t>
            </w:r>
            <w:proofErr w:type="spellEnd"/>
            <w:r w:rsidRPr="000D2922">
              <w:rPr>
                <w:rFonts w:asciiTheme="minorBidi" w:hAnsiTheme="minorBidi" w:cstheme="minorBidi"/>
                <w:b/>
                <w:bCs/>
                <w:sz w:val="20"/>
                <w:szCs w:val="20"/>
                <w:lang w:val="en-GB"/>
              </w:rPr>
              <w:t xml:space="preserve"> </w:t>
            </w:r>
            <w:proofErr w:type="spellStart"/>
            <w:r w:rsidRPr="000D2922">
              <w:rPr>
                <w:rFonts w:asciiTheme="minorBidi" w:hAnsiTheme="minorBidi" w:cstheme="minorBidi"/>
                <w:b/>
                <w:bCs/>
                <w:sz w:val="20"/>
                <w:szCs w:val="20"/>
                <w:lang w:val="en-GB"/>
              </w:rPr>
              <w:t>Prutului</w:t>
            </w:r>
            <w:proofErr w:type="spellEnd"/>
            <w:r w:rsidRPr="000D2922">
              <w:rPr>
                <w:rFonts w:asciiTheme="minorBidi" w:hAnsiTheme="minorBidi" w:cstheme="minorBidi"/>
                <w:sz w:val="20"/>
                <w:szCs w:val="20"/>
                <w:lang w:val="en-GB"/>
              </w:rPr>
              <w:br/>
              <w:t>ART - Prut Crafts Association</w:t>
            </w:r>
          </w:p>
        </w:tc>
        <w:tc>
          <w:tcPr>
            <w:tcW w:w="1010" w:type="pct"/>
            <w:shd w:val="clear" w:color="auto" w:fill="DBE5F1" w:themeFill="accent1" w:themeFillTint="33"/>
            <w:vAlign w:val="center"/>
          </w:tcPr>
          <w:p w14:paraId="27370B70"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Roumanie</w:t>
            </w:r>
          </w:p>
        </w:tc>
        <w:tc>
          <w:tcPr>
            <w:tcW w:w="842" w:type="pct"/>
            <w:shd w:val="clear" w:color="auto" w:fill="DBE5F1" w:themeFill="accent1" w:themeFillTint="33"/>
            <w:vAlign w:val="center"/>
          </w:tcPr>
          <w:p w14:paraId="05BE82F6"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NGO-90577</w:t>
            </w:r>
          </w:p>
        </w:tc>
      </w:tr>
      <w:tr w:rsidR="00DD751E" w:rsidRPr="000D358B" w14:paraId="49874AEB" w14:textId="77777777" w:rsidTr="006D5FD6">
        <w:trPr>
          <w:trHeight w:val="576"/>
        </w:trPr>
        <w:tc>
          <w:tcPr>
            <w:tcW w:w="3148" w:type="pct"/>
            <w:vAlign w:val="center"/>
          </w:tcPr>
          <w:p w14:paraId="7C42477A" w14:textId="77777777" w:rsidR="00DD751E" w:rsidRPr="008319A4" w:rsidRDefault="00DD751E" w:rsidP="008319A4">
            <w:pPr>
              <w:contextualSpacing/>
              <w:rPr>
                <w:rFonts w:asciiTheme="minorBidi" w:hAnsiTheme="minorBidi" w:cstheme="minorBidi"/>
                <w:sz w:val="20"/>
                <w:szCs w:val="20"/>
                <w:lang w:val="pt-PT"/>
              </w:rPr>
            </w:pPr>
            <w:r w:rsidRPr="000D2922">
              <w:rPr>
                <w:rFonts w:asciiTheme="minorBidi" w:hAnsiTheme="minorBidi" w:cstheme="minorBidi"/>
                <w:b/>
                <w:bCs/>
                <w:sz w:val="20"/>
                <w:szCs w:val="20"/>
                <w:lang w:val="pt-BR"/>
              </w:rPr>
              <w:t>Associação Camará Capoeira</w:t>
            </w:r>
            <w:r w:rsidRPr="000D2922">
              <w:rPr>
                <w:rFonts w:asciiTheme="minorBidi" w:hAnsiTheme="minorBidi" w:cstheme="minorBidi"/>
                <w:sz w:val="20"/>
                <w:szCs w:val="20"/>
                <w:lang w:val="pt-BR"/>
              </w:rPr>
              <w:br/>
              <w:t>Camará Capoeira Association</w:t>
            </w:r>
          </w:p>
        </w:tc>
        <w:tc>
          <w:tcPr>
            <w:tcW w:w="1010" w:type="pct"/>
            <w:vAlign w:val="center"/>
          </w:tcPr>
          <w:p w14:paraId="15BD0896"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Brésil</w:t>
            </w:r>
          </w:p>
        </w:tc>
        <w:tc>
          <w:tcPr>
            <w:tcW w:w="842" w:type="pct"/>
            <w:vAlign w:val="center"/>
          </w:tcPr>
          <w:p w14:paraId="0FFF2050"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NGO-90543</w:t>
            </w:r>
          </w:p>
        </w:tc>
      </w:tr>
      <w:tr w:rsidR="00DD751E" w:rsidRPr="000D358B" w14:paraId="6E557CC2" w14:textId="77777777" w:rsidTr="00582E1B">
        <w:trPr>
          <w:trHeight w:val="980"/>
        </w:trPr>
        <w:tc>
          <w:tcPr>
            <w:tcW w:w="3148" w:type="pct"/>
            <w:shd w:val="clear" w:color="auto" w:fill="DBE5F1" w:themeFill="accent1" w:themeFillTint="33"/>
            <w:vAlign w:val="center"/>
          </w:tcPr>
          <w:p w14:paraId="6651F981" w14:textId="77777777" w:rsidR="00DD751E" w:rsidRPr="008319A4" w:rsidRDefault="00DD751E" w:rsidP="008319A4">
            <w:pPr>
              <w:contextualSpacing/>
              <w:rPr>
                <w:rFonts w:asciiTheme="minorBidi" w:hAnsiTheme="minorBidi" w:cstheme="minorBidi"/>
                <w:b/>
                <w:bCs/>
                <w:sz w:val="20"/>
                <w:szCs w:val="20"/>
                <w:lang w:val="pt-PT"/>
              </w:rPr>
            </w:pPr>
            <w:r w:rsidRPr="000D2922">
              <w:rPr>
                <w:rFonts w:asciiTheme="minorBidi" w:hAnsiTheme="minorBidi" w:cstheme="minorBidi"/>
                <w:b/>
                <w:bCs/>
                <w:sz w:val="20"/>
                <w:szCs w:val="20"/>
                <w:lang w:val="pt-BR"/>
              </w:rPr>
              <w:t>Associação Nacional das Baianas de Acarajé, Mingau, Receptivo, e Similares</w:t>
            </w:r>
            <w:r w:rsidRPr="000D2922">
              <w:rPr>
                <w:rFonts w:asciiTheme="minorBidi" w:hAnsiTheme="minorBidi" w:cstheme="minorBidi"/>
                <w:sz w:val="20"/>
                <w:szCs w:val="20"/>
                <w:lang w:val="pt-BR"/>
              </w:rPr>
              <w:br/>
              <w:t>National Association of Baianas of Acarajé, Mingau, Receptive, and Similarities</w:t>
            </w:r>
          </w:p>
        </w:tc>
        <w:tc>
          <w:tcPr>
            <w:tcW w:w="1010" w:type="pct"/>
            <w:shd w:val="clear" w:color="auto" w:fill="DBE5F1" w:themeFill="accent1" w:themeFillTint="33"/>
            <w:vAlign w:val="center"/>
          </w:tcPr>
          <w:p w14:paraId="71DDA56C"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Brésil</w:t>
            </w:r>
          </w:p>
        </w:tc>
        <w:tc>
          <w:tcPr>
            <w:tcW w:w="842" w:type="pct"/>
            <w:shd w:val="clear" w:color="auto" w:fill="DBE5F1" w:themeFill="accent1" w:themeFillTint="33"/>
            <w:vAlign w:val="center"/>
          </w:tcPr>
          <w:p w14:paraId="5F201F16"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NGO-90580</w:t>
            </w:r>
          </w:p>
        </w:tc>
      </w:tr>
      <w:tr w:rsidR="00DD751E" w:rsidRPr="000D358B" w14:paraId="717C5FE4" w14:textId="77777777" w:rsidTr="006D5FD6">
        <w:trPr>
          <w:trHeight w:val="576"/>
        </w:trPr>
        <w:tc>
          <w:tcPr>
            <w:tcW w:w="3148" w:type="pct"/>
            <w:vAlign w:val="center"/>
          </w:tcPr>
          <w:p w14:paraId="60A022A6" w14:textId="77777777" w:rsidR="00DD751E" w:rsidRPr="000D2922" w:rsidRDefault="00DD751E" w:rsidP="008319A4">
            <w:pPr>
              <w:contextualSpacing/>
              <w:rPr>
                <w:rFonts w:asciiTheme="minorBidi" w:hAnsiTheme="minorBidi" w:cstheme="minorBidi"/>
                <w:b/>
                <w:bCs/>
                <w:sz w:val="20"/>
                <w:szCs w:val="20"/>
              </w:rPr>
            </w:pPr>
            <w:r w:rsidRPr="000D2922">
              <w:rPr>
                <w:rFonts w:asciiTheme="minorBidi" w:hAnsiTheme="minorBidi" w:cstheme="minorBidi"/>
                <w:b/>
                <w:bCs/>
                <w:sz w:val="20"/>
                <w:szCs w:val="20"/>
              </w:rPr>
              <w:t xml:space="preserve">Association Al </w:t>
            </w:r>
            <w:proofErr w:type="spellStart"/>
            <w:r w:rsidRPr="000D2922">
              <w:rPr>
                <w:rFonts w:asciiTheme="minorBidi" w:hAnsiTheme="minorBidi" w:cstheme="minorBidi"/>
                <w:b/>
                <w:bCs/>
                <w:sz w:val="20"/>
                <w:szCs w:val="20"/>
              </w:rPr>
              <w:t>Muniya</w:t>
            </w:r>
            <w:proofErr w:type="spellEnd"/>
            <w:r w:rsidRPr="000D2922">
              <w:rPr>
                <w:rFonts w:asciiTheme="minorBidi" w:hAnsiTheme="minorBidi" w:cstheme="minorBidi"/>
                <w:b/>
                <w:bCs/>
                <w:sz w:val="20"/>
                <w:szCs w:val="20"/>
              </w:rPr>
              <w:t xml:space="preserve"> de Marrakech pour la revivification et la préservation du patrimoine du Royaume du Maroc</w:t>
            </w:r>
          </w:p>
        </w:tc>
        <w:tc>
          <w:tcPr>
            <w:tcW w:w="1010" w:type="pct"/>
            <w:vAlign w:val="center"/>
          </w:tcPr>
          <w:p w14:paraId="7A5E2406"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Maroc</w:t>
            </w:r>
          </w:p>
        </w:tc>
        <w:tc>
          <w:tcPr>
            <w:tcW w:w="842" w:type="pct"/>
            <w:vAlign w:val="center"/>
          </w:tcPr>
          <w:p w14:paraId="089905B3"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NGO-90528</w:t>
            </w:r>
          </w:p>
        </w:tc>
      </w:tr>
      <w:tr w:rsidR="00DD751E" w:rsidRPr="000D358B" w14:paraId="5997B31F" w14:textId="77777777" w:rsidTr="006D5FD6">
        <w:trPr>
          <w:trHeight w:val="576"/>
        </w:trPr>
        <w:tc>
          <w:tcPr>
            <w:tcW w:w="3148" w:type="pct"/>
            <w:shd w:val="clear" w:color="auto" w:fill="DBE5F1" w:themeFill="accent1" w:themeFillTint="33"/>
            <w:vAlign w:val="center"/>
          </w:tcPr>
          <w:p w14:paraId="4B77B30D" w14:textId="77777777" w:rsidR="00DD751E" w:rsidRPr="000D2922" w:rsidRDefault="00DD751E" w:rsidP="008319A4">
            <w:pPr>
              <w:contextualSpacing/>
              <w:rPr>
                <w:rFonts w:asciiTheme="minorBidi" w:hAnsiTheme="minorBidi" w:cstheme="minorBidi"/>
                <w:b/>
                <w:bCs/>
                <w:sz w:val="20"/>
                <w:szCs w:val="20"/>
              </w:rPr>
            </w:pPr>
            <w:r w:rsidRPr="000D2922">
              <w:rPr>
                <w:rFonts w:asciiTheme="minorBidi" w:hAnsiTheme="minorBidi" w:cstheme="minorBidi"/>
                <w:b/>
                <w:bCs/>
                <w:sz w:val="20"/>
                <w:szCs w:val="20"/>
              </w:rPr>
              <w:t>Association Culture, Paix et Développement (CPD)</w:t>
            </w:r>
          </w:p>
        </w:tc>
        <w:tc>
          <w:tcPr>
            <w:tcW w:w="1010" w:type="pct"/>
            <w:shd w:val="clear" w:color="auto" w:fill="DBE5F1" w:themeFill="accent1" w:themeFillTint="33"/>
            <w:vAlign w:val="center"/>
          </w:tcPr>
          <w:p w14:paraId="4A1CD210"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Togo</w:t>
            </w:r>
          </w:p>
        </w:tc>
        <w:tc>
          <w:tcPr>
            <w:tcW w:w="842" w:type="pct"/>
            <w:shd w:val="clear" w:color="auto" w:fill="DBE5F1" w:themeFill="accent1" w:themeFillTint="33"/>
            <w:vAlign w:val="center"/>
          </w:tcPr>
          <w:p w14:paraId="4EB38F92"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NGO-90564</w:t>
            </w:r>
          </w:p>
        </w:tc>
      </w:tr>
      <w:tr w:rsidR="00DD751E" w:rsidRPr="000D358B" w14:paraId="60B9AE5E" w14:textId="77777777" w:rsidTr="006D5FD6">
        <w:trPr>
          <w:trHeight w:val="576"/>
        </w:trPr>
        <w:tc>
          <w:tcPr>
            <w:tcW w:w="3148" w:type="pct"/>
            <w:vAlign w:val="center"/>
          </w:tcPr>
          <w:p w14:paraId="2BBF995C" w14:textId="77777777" w:rsidR="00DD751E" w:rsidRPr="000D2922" w:rsidRDefault="00DD751E" w:rsidP="008319A4">
            <w:pPr>
              <w:contextualSpacing/>
              <w:rPr>
                <w:rFonts w:asciiTheme="minorBidi" w:hAnsiTheme="minorBidi" w:cstheme="minorBidi"/>
                <w:b/>
                <w:bCs/>
                <w:sz w:val="20"/>
                <w:szCs w:val="20"/>
              </w:rPr>
            </w:pPr>
            <w:r w:rsidRPr="000D2922">
              <w:rPr>
                <w:rFonts w:asciiTheme="minorBidi" w:hAnsiTheme="minorBidi" w:cstheme="minorBidi"/>
                <w:b/>
                <w:bCs/>
                <w:sz w:val="20"/>
                <w:szCs w:val="20"/>
              </w:rPr>
              <w:t>Association tunisienne de sauvegarde et de valorisation du Patrimoine Culturel Immatériel tunisien</w:t>
            </w:r>
          </w:p>
        </w:tc>
        <w:tc>
          <w:tcPr>
            <w:tcW w:w="1010" w:type="pct"/>
            <w:vAlign w:val="center"/>
          </w:tcPr>
          <w:p w14:paraId="706B23E1"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Tunisie</w:t>
            </w:r>
          </w:p>
        </w:tc>
        <w:tc>
          <w:tcPr>
            <w:tcW w:w="842" w:type="pct"/>
            <w:vAlign w:val="center"/>
          </w:tcPr>
          <w:p w14:paraId="594C5730"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NGO-90525</w:t>
            </w:r>
          </w:p>
        </w:tc>
      </w:tr>
      <w:tr w:rsidR="00DD751E" w:rsidRPr="000D358B" w14:paraId="2A067B84" w14:textId="77777777" w:rsidTr="006D5FD6">
        <w:trPr>
          <w:trHeight w:val="576"/>
        </w:trPr>
        <w:tc>
          <w:tcPr>
            <w:tcW w:w="3148" w:type="pct"/>
            <w:shd w:val="clear" w:color="auto" w:fill="DBE5F1" w:themeFill="accent1" w:themeFillTint="33"/>
            <w:vAlign w:val="center"/>
          </w:tcPr>
          <w:p w14:paraId="4E63357F" w14:textId="77777777" w:rsidR="00DD751E" w:rsidRPr="008319A4" w:rsidRDefault="00DD751E" w:rsidP="008319A4">
            <w:pPr>
              <w:contextualSpacing/>
              <w:rPr>
                <w:rFonts w:asciiTheme="minorBidi" w:hAnsiTheme="minorBidi" w:cstheme="minorBidi"/>
                <w:b/>
                <w:bCs/>
                <w:sz w:val="20"/>
                <w:szCs w:val="20"/>
                <w:lang w:val="it-IT"/>
              </w:rPr>
            </w:pPr>
            <w:r w:rsidRPr="008319A4">
              <w:rPr>
                <w:rFonts w:asciiTheme="minorBidi" w:hAnsiTheme="minorBidi" w:cstheme="minorBidi"/>
                <w:b/>
                <w:bCs/>
                <w:sz w:val="20"/>
                <w:szCs w:val="20"/>
                <w:lang w:val="it-IT"/>
              </w:rPr>
              <w:t>Associazione Cultura Italiae</w:t>
            </w:r>
            <w:r w:rsidRPr="008319A4">
              <w:rPr>
                <w:rFonts w:asciiTheme="minorBidi" w:hAnsiTheme="minorBidi" w:cstheme="minorBidi"/>
                <w:sz w:val="20"/>
                <w:szCs w:val="20"/>
                <w:lang w:val="it-IT"/>
              </w:rPr>
              <w:br/>
              <w:t>Association Culture of Italy</w:t>
            </w:r>
          </w:p>
        </w:tc>
        <w:tc>
          <w:tcPr>
            <w:tcW w:w="1010" w:type="pct"/>
            <w:shd w:val="clear" w:color="auto" w:fill="DBE5F1" w:themeFill="accent1" w:themeFillTint="33"/>
            <w:vAlign w:val="center"/>
          </w:tcPr>
          <w:p w14:paraId="4F0831D0"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Italie</w:t>
            </w:r>
          </w:p>
        </w:tc>
        <w:tc>
          <w:tcPr>
            <w:tcW w:w="842" w:type="pct"/>
            <w:shd w:val="clear" w:color="auto" w:fill="DBE5F1" w:themeFill="accent1" w:themeFillTint="33"/>
            <w:vAlign w:val="center"/>
          </w:tcPr>
          <w:p w14:paraId="086BC8E4"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NGO-90589</w:t>
            </w:r>
          </w:p>
        </w:tc>
      </w:tr>
      <w:tr w:rsidR="00DD751E" w:rsidRPr="000D358B" w14:paraId="15F8313F" w14:textId="77777777" w:rsidTr="006D5FD6">
        <w:trPr>
          <w:trHeight w:val="576"/>
        </w:trPr>
        <w:tc>
          <w:tcPr>
            <w:tcW w:w="3148" w:type="pct"/>
            <w:vAlign w:val="center"/>
          </w:tcPr>
          <w:p w14:paraId="55BD42A1" w14:textId="77777777" w:rsidR="00DD751E" w:rsidRPr="00A95CE2" w:rsidRDefault="00DD751E" w:rsidP="008319A4">
            <w:pPr>
              <w:contextualSpacing/>
              <w:rPr>
                <w:rFonts w:asciiTheme="minorBidi" w:hAnsiTheme="minorBidi" w:cstheme="minorBidi"/>
                <w:b/>
                <w:bCs/>
                <w:sz w:val="20"/>
                <w:szCs w:val="20"/>
                <w:lang w:val="en-US"/>
              </w:rPr>
            </w:pPr>
            <w:r w:rsidRPr="000D2922">
              <w:rPr>
                <w:rFonts w:asciiTheme="minorBidi" w:hAnsiTheme="minorBidi" w:cstheme="minorBidi"/>
                <w:b/>
                <w:bCs/>
                <w:sz w:val="20"/>
                <w:szCs w:val="20"/>
                <w:lang w:val="pt-BR"/>
              </w:rPr>
              <w:t>Associazione Ecomuseo Casilino ad Duas Lauros</w:t>
            </w:r>
            <w:r w:rsidRPr="000D2922">
              <w:rPr>
                <w:rFonts w:asciiTheme="minorBidi" w:hAnsiTheme="minorBidi" w:cstheme="minorBidi"/>
                <w:sz w:val="20"/>
                <w:szCs w:val="20"/>
                <w:lang w:val="pt-BR"/>
              </w:rPr>
              <w:br/>
              <w:t>Ecomuseum Casilino ad Duas Lauros Association</w:t>
            </w:r>
          </w:p>
        </w:tc>
        <w:tc>
          <w:tcPr>
            <w:tcW w:w="1010" w:type="pct"/>
            <w:vAlign w:val="center"/>
          </w:tcPr>
          <w:p w14:paraId="58B205DC"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Italie</w:t>
            </w:r>
          </w:p>
        </w:tc>
        <w:tc>
          <w:tcPr>
            <w:tcW w:w="842" w:type="pct"/>
            <w:vAlign w:val="center"/>
          </w:tcPr>
          <w:p w14:paraId="4097ADED"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NGO-90582</w:t>
            </w:r>
          </w:p>
        </w:tc>
      </w:tr>
      <w:tr w:rsidR="00DD751E" w:rsidRPr="000D358B" w14:paraId="4C56A876" w14:textId="77777777" w:rsidTr="006D5FD6">
        <w:trPr>
          <w:trHeight w:val="576"/>
        </w:trPr>
        <w:tc>
          <w:tcPr>
            <w:tcW w:w="3148" w:type="pct"/>
            <w:shd w:val="clear" w:color="auto" w:fill="DBE5F1" w:themeFill="accent1" w:themeFillTint="33"/>
            <w:vAlign w:val="center"/>
          </w:tcPr>
          <w:p w14:paraId="6D85F0B0" w14:textId="77777777" w:rsidR="00DD751E" w:rsidRPr="000D2922" w:rsidRDefault="00DD751E" w:rsidP="008319A4">
            <w:pPr>
              <w:contextualSpacing/>
              <w:rPr>
                <w:rFonts w:asciiTheme="minorBidi" w:hAnsiTheme="minorBidi" w:cstheme="minorBidi"/>
                <w:b/>
                <w:bCs/>
                <w:sz w:val="20"/>
                <w:szCs w:val="20"/>
              </w:rPr>
            </w:pPr>
            <w:r w:rsidRPr="000D2922">
              <w:rPr>
                <w:rFonts w:asciiTheme="minorBidi" w:hAnsiTheme="minorBidi" w:cstheme="minorBidi"/>
                <w:b/>
                <w:bCs/>
                <w:sz w:val="20"/>
                <w:szCs w:val="20"/>
                <w:lang w:val="en-GB"/>
              </w:rPr>
              <w:t>Barbados Museum &amp; Historical Society</w:t>
            </w:r>
          </w:p>
        </w:tc>
        <w:tc>
          <w:tcPr>
            <w:tcW w:w="1010" w:type="pct"/>
            <w:shd w:val="clear" w:color="auto" w:fill="DBE5F1" w:themeFill="accent1" w:themeFillTint="33"/>
            <w:vAlign w:val="center"/>
          </w:tcPr>
          <w:p w14:paraId="466F6F9F"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Barbade</w:t>
            </w:r>
          </w:p>
        </w:tc>
        <w:tc>
          <w:tcPr>
            <w:tcW w:w="842" w:type="pct"/>
            <w:shd w:val="clear" w:color="auto" w:fill="DBE5F1" w:themeFill="accent1" w:themeFillTint="33"/>
            <w:vAlign w:val="center"/>
          </w:tcPr>
          <w:p w14:paraId="3C19FEF4"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NGO-90554</w:t>
            </w:r>
          </w:p>
        </w:tc>
      </w:tr>
      <w:tr w:rsidR="00DD751E" w:rsidRPr="000D358B" w14:paraId="63C1DBA2" w14:textId="77777777" w:rsidTr="006D5FD6">
        <w:trPr>
          <w:trHeight w:val="576"/>
        </w:trPr>
        <w:tc>
          <w:tcPr>
            <w:tcW w:w="3148" w:type="pct"/>
            <w:vAlign w:val="center"/>
          </w:tcPr>
          <w:p w14:paraId="33899E32" w14:textId="77777777" w:rsidR="00DD751E" w:rsidRPr="000D2922" w:rsidRDefault="00DD751E" w:rsidP="008319A4">
            <w:pPr>
              <w:contextualSpacing/>
              <w:rPr>
                <w:rFonts w:asciiTheme="minorBidi" w:hAnsiTheme="minorBidi" w:cstheme="minorBidi"/>
                <w:b/>
                <w:bCs/>
                <w:sz w:val="20"/>
                <w:szCs w:val="20"/>
              </w:rPr>
            </w:pPr>
            <w:proofErr w:type="spellStart"/>
            <w:r w:rsidRPr="008319A4">
              <w:rPr>
                <w:rFonts w:asciiTheme="minorBidi" w:hAnsiTheme="minorBidi" w:cstheme="minorBidi"/>
                <w:b/>
                <w:bCs/>
                <w:sz w:val="20"/>
                <w:szCs w:val="20"/>
              </w:rPr>
              <w:t>Biedrība</w:t>
            </w:r>
            <w:proofErr w:type="spellEnd"/>
            <w:r w:rsidRPr="008319A4">
              <w:rPr>
                <w:rFonts w:asciiTheme="minorBidi" w:hAnsiTheme="minorBidi" w:cstheme="minorBidi"/>
                <w:b/>
                <w:bCs/>
                <w:sz w:val="20"/>
                <w:szCs w:val="20"/>
              </w:rPr>
              <w:t xml:space="preserve"> « </w:t>
            </w:r>
            <w:proofErr w:type="spellStart"/>
            <w:r w:rsidRPr="008319A4">
              <w:rPr>
                <w:rFonts w:asciiTheme="minorBidi" w:hAnsiTheme="minorBidi" w:cstheme="minorBidi"/>
                <w:b/>
                <w:bCs/>
                <w:sz w:val="20"/>
                <w:szCs w:val="20"/>
              </w:rPr>
              <w:t>Suitu</w:t>
            </w:r>
            <w:proofErr w:type="spellEnd"/>
            <w:r w:rsidRPr="008319A4">
              <w:rPr>
                <w:rFonts w:asciiTheme="minorBidi" w:hAnsiTheme="minorBidi" w:cstheme="minorBidi"/>
                <w:b/>
                <w:bCs/>
                <w:sz w:val="20"/>
                <w:szCs w:val="20"/>
              </w:rPr>
              <w:t xml:space="preserve"> </w:t>
            </w:r>
            <w:proofErr w:type="spellStart"/>
            <w:r w:rsidRPr="008319A4">
              <w:rPr>
                <w:rFonts w:asciiTheme="minorBidi" w:hAnsiTheme="minorBidi" w:cstheme="minorBidi"/>
                <w:b/>
                <w:bCs/>
                <w:sz w:val="20"/>
                <w:szCs w:val="20"/>
              </w:rPr>
              <w:t>kultūras</w:t>
            </w:r>
            <w:proofErr w:type="spellEnd"/>
            <w:r w:rsidRPr="008319A4">
              <w:rPr>
                <w:rFonts w:asciiTheme="minorBidi" w:hAnsiTheme="minorBidi" w:cstheme="minorBidi"/>
                <w:b/>
                <w:bCs/>
                <w:sz w:val="20"/>
                <w:szCs w:val="20"/>
              </w:rPr>
              <w:t xml:space="preserve"> </w:t>
            </w:r>
            <w:proofErr w:type="spellStart"/>
            <w:r w:rsidRPr="008319A4">
              <w:rPr>
                <w:rFonts w:asciiTheme="minorBidi" w:hAnsiTheme="minorBidi" w:cstheme="minorBidi"/>
                <w:b/>
                <w:bCs/>
                <w:sz w:val="20"/>
                <w:szCs w:val="20"/>
              </w:rPr>
              <w:t>mantojums</w:t>
            </w:r>
            <w:proofErr w:type="spellEnd"/>
            <w:r w:rsidRPr="008319A4">
              <w:rPr>
                <w:rFonts w:asciiTheme="minorBidi" w:hAnsiTheme="minorBidi" w:cstheme="minorBidi"/>
                <w:b/>
                <w:bCs/>
                <w:sz w:val="20"/>
                <w:szCs w:val="20"/>
              </w:rPr>
              <w:t> »</w:t>
            </w:r>
            <w:r w:rsidRPr="008319A4">
              <w:rPr>
                <w:rFonts w:asciiTheme="minorBidi" w:hAnsiTheme="minorBidi" w:cstheme="minorBidi"/>
                <w:sz w:val="20"/>
                <w:szCs w:val="20"/>
              </w:rPr>
              <w:br/>
            </w:r>
            <w:proofErr w:type="spellStart"/>
            <w:r w:rsidRPr="008319A4">
              <w:rPr>
                <w:rFonts w:asciiTheme="minorBidi" w:hAnsiTheme="minorBidi" w:cstheme="minorBidi"/>
                <w:sz w:val="20"/>
                <w:szCs w:val="20"/>
              </w:rPr>
              <w:t>Suiti</w:t>
            </w:r>
            <w:proofErr w:type="spellEnd"/>
            <w:r w:rsidRPr="008319A4">
              <w:rPr>
                <w:rFonts w:asciiTheme="minorBidi" w:hAnsiTheme="minorBidi" w:cstheme="minorBidi"/>
                <w:sz w:val="20"/>
                <w:szCs w:val="20"/>
              </w:rPr>
              <w:t xml:space="preserve"> Cultural </w:t>
            </w:r>
            <w:proofErr w:type="spellStart"/>
            <w:r w:rsidRPr="008319A4">
              <w:rPr>
                <w:rFonts w:asciiTheme="minorBidi" w:hAnsiTheme="minorBidi" w:cstheme="minorBidi"/>
                <w:sz w:val="20"/>
                <w:szCs w:val="20"/>
              </w:rPr>
              <w:t>Heritage</w:t>
            </w:r>
            <w:proofErr w:type="spellEnd"/>
            <w:r w:rsidRPr="008319A4">
              <w:rPr>
                <w:rFonts w:asciiTheme="minorBidi" w:hAnsiTheme="minorBidi" w:cstheme="minorBidi"/>
                <w:sz w:val="20"/>
                <w:szCs w:val="20"/>
              </w:rPr>
              <w:t xml:space="preserve"> </w:t>
            </w:r>
            <w:proofErr w:type="spellStart"/>
            <w:r w:rsidRPr="008319A4">
              <w:rPr>
                <w:rFonts w:asciiTheme="minorBidi" w:hAnsiTheme="minorBidi" w:cstheme="minorBidi"/>
                <w:sz w:val="20"/>
                <w:szCs w:val="20"/>
              </w:rPr>
              <w:t>Foundation</w:t>
            </w:r>
            <w:proofErr w:type="spellEnd"/>
          </w:p>
        </w:tc>
        <w:tc>
          <w:tcPr>
            <w:tcW w:w="1010" w:type="pct"/>
            <w:vAlign w:val="center"/>
          </w:tcPr>
          <w:p w14:paraId="4186AA26"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Lettonie</w:t>
            </w:r>
          </w:p>
        </w:tc>
        <w:tc>
          <w:tcPr>
            <w:tcW w:w="842" w:type="pct"/>
            <w:vAlign w:val="center"/>
          </w:tcPr>
          <w:p w14:paraId="663A404E"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NGO-90570</w:t>
            </w:r>
          </w:p>
        </w:tc>
      </w:tr>
      <w:tr w:rsidR="00DD751E" w:rsidRPr="000D358B" w14:paraId="26667D6A" w14:textId="77777777" w:rsidTr="006D5FD6">
        <w:trPr>
          <w:trHeight w:val="576"/>
        </w:trPr>
        <w:tc>
          <w:tcPr>
            <w:tcW w:w="3148" w:type="pct"/>
            <w:shd w:val="clear" w:color="auto" w:fill="DBE5F1" w:themeFill="accent1" w:themeFillTint="33"/>
            <w:vAlign w:val="center"/>
          </w:tcPr>
          <w:p w14:paraId="1F13B3E4" w14:textId="77777777" w:rsidR="00DD751E" w:rsidRPr="000D2922" w:rsidRDefault="00DD751E" w:rsidP="008319A4">
            <w:pPr>
              <w:contextualSpacing/>
              <w:rPr>
                <w:rFonts w:asciiTheme="minorBidi" w:hAnsiTheme="minorBidi" w:cstheme="minorBidi"/>
                <w:b/>
                <w:bCs/>
                <w:sz w:val="20"/>
                <w:szCs w:val="20"/>
              </w:rPr>
            </w:pPr>
            <w:r w:rsidRPr="000D2922">
              <w:rPr>
                <w:rFonts w:asciiTheme="minorBidi" w:hAnsiTheme="minorBidi" w:cstheme="minorBidi"/>
                <w:b/>
                <w:bCs/>
                <w:sz w:val="20"/>
                <w:szCs w:val="20"/>
                <w:lang w:val="en-GB"/>
              </w:rPr>
              <w:t>Blanchard House Institute</w:t>
            </w:r>
          </w:p>
        </w:tc>
        <w:tc>
          <w:tcPr>
            <w:tcW w:w="1010" w:type="pct"/>
            <w:shd w:val="clear" w:color="auto" w:fill="DBE5F1" w:themeFill="accent1" w:themeFillTint="33"/>
            <w:vAlign w:val="center"/>
          </w:tcPr>
          <w:p w14:paraId="51E8E3BB"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États-Unis d’Amérique</w:t>
            </w:r>
          </w:p>
        </w:tc>
        <w:tc>
          <w:tcPr>
            <w:tcW w:w="842" w:type="pct"/>
            <w:shd w:val="clear" w:color="auto" w:fill="DBE5F1" w:themeFill="accent1" w:themeFillTint="33"/>
            <w:vAlign w:val="center"/>
          </w:tcPr>
          <w:p w14:paraId="6E7555B9"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NGO-90597</w:t>
            </w:r>
          </w:p>
        </w:tc>
      </w:tr>
      <w:tr w:rsidR="00DD751E" w:rsidRPr="000D358B" w14:paraId="16B3099F" w14:textId="77777777" w:rsidTr="006D5FD6">
        <w:trPr>
          <w:trHeight w:val="576"/>
        </w:trPr>
        <w:tc>
          <w:tcPr>
            <w:tcW w:w="3148" w:type="pct"/>
            <w:vAlign w:val="center"/>
          </w:tcPr>
          <w:p w14:paraId="44E611DE" w14:textId="77777777" w:rsidR="00DD751E" w:rsidRPr="008319A4" w:rsidRDefault="00DD751E" w:rsidP="008319A4">
            <w:pPr>
              <w:contextualSpacing/>
              <w:rPr>
                <w:rFonts w:asciiTheme="minorBidi" w:hAnsiTheme="minorBidi" w:cstheme="minorBidi"/>
                <w:b/>
                <w:bCs/>
                <w:sz w:val="20"/>
                <w:szCs w:val="20"/>
                <w:lang w:val="it-IT"/>
              </w:rPr>
            </w:pPr>
            <w:r w:rsidRPr="008319A4">
              <w:rPr>
                <w:rFonts w:asciiTheme="minorBidi" w:hAnsiTheme="minorBidi" w:cstheme="minorBidi"/>
                <w:b/>
                <w:bCs/>
                <w:sz w:val="20"/>
                <w:szCs w:val="20"/>
                <w:lang w:val="it-IT"/>
              </w:rPr>
              <w:t>Bursa UNESCO Derenği</w:t>
            </w:r>
            <w:r w:rsidRPr="008319A4">
              <w:rPr>
                <w:rFonts w:asciiTheme="minorBidi" w:hAnsiTheme="minorBidi" w:cstheme="minorBidi"/>
                <w:sz w:val="20"/>
                <w:szCs w:val="20"/>
                <w:lang w:val="it-IT"/>
              </w:rPr>
              <w:br/>
              <w:t>Bursa UNESCO Association</w:t>
            </w:r>
          </w:p>
        </w:tc>
        <w:tc>
          <w:tcPr>
            <w:tcW w:w="1010" w:type="pct"/>
            <w:vAlign w:val="center"/>
          </w:tcPr>
          <w:p w14:paraId="49483AA1" w14:textId="77777777" w:rsidR="00DD751E" w:rsidRPr="000D2922" w:rsidRDefault="00DD751E" w:rsidP="008319A4">
            <w:pPr>
              <w:contextualSpacing/>
              <w:jc w:val="center"/>
              <w:rPr>
                <w:rFonts w:asciiTheme="minorBidi" w:hAnsiTheme="minorBidi" w:cstheme="minorBidi"/>
                <w:sz w:val="20"/>
                <w:szCs w:val="20"/>
              </w:rPr>
            </w:pPr>
            <w:r w:rsidRPr="00EE342E">
              <w:rPr>
                <w:rFonts w:asciiTheme="minorBidi" w:hAnsiTheme="minorBidi"/>
                <w:sz w:val="20"/>
              </w:rPr>
              <w:t>Türkiye</w:t>
            </w:r>
          </w:p>
        </w:tc>
        <w:tc>
          <w:tcPr>
            <w:tcW w:w="842" w:type="pct"/>
            <w:vAlign w:val="center"/>
          </w:tcPr>
          <w:p w14:paraId="72FE092D"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NGO-90545</w:t>
            </w:r>
          </w:p>
        </w:tc>
      </w:tr>
      <w:tr w:rsidR="00DD751E" w:rsidRPr="000D358B" w14:paraId="37F1D471" w14:textId="77777777" w:rsidTr="006D5FD6">
        <w:trPr>
          <w:trHeight w:val="576"/>
        </w:trPr>
        <w:tc>
          <w:tcPr>
            <w:tcW w:w="3148" w:type="pct"/>
            <w:shd w:val="clear" w:color="auto" w:fill="DBE5F1" w:themeFill="accent1" w:themeFillTint="33"/>
            <w:vAlign w:val="center"/>
          </w:tcPr>
          <w:p w14:paraId="6D84DF6B" w14:textId="77777777" w:rsidR="00DD751E" w:rsidRPr="008319A4" w:rsidRDefault="00DD751E" w:rsidP="008319A4">
            <w:pPr>
              <w:contextualSpacing/>
              <w:rPr>
                <w:rFonts w:asciiTheme="minorBidi" w:hAnsiTheme="minorBidi" w:cstheme="minorBidi"/>
                <w:sz w:val="20"/>
                <w:szCs w:val="20"/>
                <w:lang w:val="pt-PT"/>
              </w:rPr>
            </w:pPr>
            <w:r w:rsidRPr="000D2922">
              <w:rPr>
                <w:rFonts w:asciiTheme="minorBidi" w:hAnsiTheme="minorBidi" w:cstheme="minorBidi"/>
                <w:b/>
                <w:bCs/>
                <w:sz w:val="20"/>
                <w:szCs w:val="20"/>
                <w:lang w:val="pt-BR"/>
              </w:rPr>
              <w:t>Clube Carbavalesco Mixto Seu Malaquias</w:t>
            </w:r>
            <w:r w:rsidRPr="000D2922">
              <w:rPr>
                <w:rFonts w:asciiTheme="minorBidi" w:hAnsiTheme="minorBidi" w:cstheme="minorBidi"/>
                <w:sz w:val="20"/>
                <w:szCs w:val="20"/>
                <w:lang w:val="pt-BR"/>
              </w:rPr>
              <w:br/>
              <w:t>Carnival Club Mixto Seu Malaquias</w:t>
            </w:r>
          </w:p>
        </w:tc>
        <w:tc>
          <w:tcPr>
            <w:tcW w:w="1010" w:type="pct"/>
            <w:shd w:val="clear" w:color="auto" w:fill="DBE5F1" w:themeFill="accent1" w:themeFillTint="33"/>
            <w:vAlign w:val="center"/>
          </w:tcPr>
          <w:p w14:paraId="1D7BF0BA"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Brésil</w:t>
            </w:r>
          </w:p>
        </w:tc>
        <w:tc>
          <w:tcPr>
            <w:tcW w:w="842" w:type="pct"/>
            <w:shd w:val="clear" w:color="auto" w:fill="DBE5F1" w:themeFill="accent1" w:themeFillTint="33"/>
            <w:vAlign w:val="center"/>
          </w:tcPr>
          <w:p w14:paraId="36CED5EE"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NGO-90540</w:t>
            </w:r>
          </w:p>
        </w:tc>
      </w:tr>
      <w:tr w:rsidR="00DD751E" w:rsidRPr="000D358B" w14:paraId="54D5338A" w14:textId="77777777" w:rsidTr="006D5FD6">
        <w:trPr>
          <w:trHeight w:val="576"/>
        </w:trPr>
        <w:tc>
          <w:tcPr>
            <w:tcW w:w="3148" w:type="pct"/>
            <w:vAlign w:val="center"/>
          </w:tcPr>
          <w:p w14:paraId="536FC9BE" w14:textId="77777777" w:rsidR="00DD751E" w:rsidRPr="000D2922" w:rsidRDefault="00DD751E" w:rsidP="008319A4">
            <w:pPr>
              <w:contextualSpacing/>
              <w:rPr>
                <w:rFonts w:asciiTheme="minorBidi" w:hAnsiTheme="minorBidi" w:cstheme="minorBidi"/>
                <w:b/>
                <w:bCs/>
                <w:sz w:val="20"/>
                <w:szCs w:val="20"/>
              </w:rPr>
            </w:pPr>
            <w:r w:rsidRPr="000D2922">
              <w:rPr>
                <w:rFonts w:asciiTheme="minorBidi" w:hAnsiTheme="minorBidi" w:cstheme="minorBidi"/>
                <w:b/>
                <w:bCs/>
                <w:sz w:val="20"/>
                <w:szCs w:val="20"/>
              </w:rPr>
              <w:t>Conseil International de la Danse - CID</w:t>
            </w:r>
          </w:p>
        </w:tc>
        <w:tc>
          <w:tcPr>
            <w:tcW w:w="1010" w:type="pct"/>
            <w:vAlign w:val="center"/>
          </w:tcPr>
          <w:p w14:paraId="029B5DF0"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France</w:t>
            </w:r>
          </w:p>
        </w:tc>
        <w:tc>
          <w:tcPr>
            <w:tcW w:w="842" w:type="pct"/>
            <w:vAlign w:val="center"/>
          </w:tcPr>
          <w:p w14:paraId="1D6F607C"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NGO-90538</w:t>
            </w:r>
          </w:p>
        </w:tc>
      </w:tr>
      <w:tr w:rsidR="00DD751E" w:rsidRPr="000D358B" w14:paraId="4C4827BD" w14:textId="77777777" w:rsidTr="006D5FD6">
        <w:trPr>
          <w:trHeight w:val="576"/>
        </w:trPr>
        <w:tc>
          <w:tcPr>
            <w:tcW w:w="3148" w:type="pct"/>
            <w:shd w:val="clear" w:color="auto" w:fill="DBE5F1" w:themeFill="accent1" w:themeFillTint="33"/>
            <w:vAlign w:val="center"/>
          </w:tcPr>
          <w:p w14:paraId="12271259" w14:textId="77777777" w:rsidR="00DD751E" w:rsidRPr="008319A4" w:rsidRDefault="00DD751E" w:rsidP="008319A4">
            <w:pPr>
              <w:contextualSpacing/>
              <w:rPr>
                <w:rFonts w:asciiTheme="minorBidi" w:hAnsiTheme="minorBidi" w:cstheme="minorBidi"/>
                <w:b/>
                <w:bCs/>
                <w:sz w:val="20"/>
                <w:szCs w:val="20"/>
                <w:lang w:val="es-ES"/>
              </w:rPr>
            </w:pPr>
            <w:proofErr w:type="spellStart"/>
            <w:r w:rsidRPr="003845D4">
              <w:rPr>
                <w:rFonts w:asciiTheme="minorBidi" w:hAnsiTheme="minorBidi" w:cstheme="minorBidi"/>
                <w:b/>
                <w:bCs/>
                <w:sz w:val="20"/>
                <w:szCs w:val="20"/>
                <w:lang w:val="es-ES"/>
              </w:rPr>
              <w:t>Corporacion</w:t>
            </w:r>
            <w:proofErr w:type="spellEnd"/>
            <w:r w:rsidRPr="003845D4">
              <w:rPr>
                <w:rFonts w:asciiTheme="minorBidi" w:hAnsiTheme="minorBidi" w:cstheme="minorBidi"/>
                <w:b/>
                <w:bCs/>
                <w:sz w:val="20"/>
                <w:szCs w:val="20"/>
                <w:lang w:val="es-ES"/>
              </w:rPr>
              <w:t xml:space="preserve"> Cinemateca Municipal de Valledupar Cinemateca Vallenata</w:t>
            </w:r>
            <w:r w:rsidRPr="003845D4">
              <w:rPr>
                <w:rFonts w:asciiTheme="minorBidi" w:hAnsiTheme="minorBidi" w:cstheme="minorBidi"/>
                <w:sz w:val="20"/>
                <w:szCs w:val="20"/>
                <w:lang w:val="es-ES"/>
              </w:rPr>
              <w:br/>
              <w:t xml:space="preserve">Valledupar Municipal </w:t>
            </w:r>
            <w:proofErr w:type="spellStart"/>
            <w:r w:rsidRPr="003845D4">
              <w:rPr>
                <w:rFonts w:asciiTheme="minorBidi" w:hAnsiTheme="minorBidi" w:cstheme="minorBidi"/>
                <w:sz w:val="20"/>
                <w:szCs w:val="20"/>
                <w:lang w:val="es-ES"/>
              </w:rPr>
              <w:t>Cinematheque</w:t>
            </w:r>
            <w:proofErr w:type="spellEnd"/>
            <w:r w:rsidRPr="003845D4">
              <w:rPr>
                <w:rFonts w:asciiTheme="minorBidi" w:hAnsiTheme="minorBidi" w:cstheme="minorBidi"/>
                <w:sz w:val="20"/>
                <w:szCs w:val="20"/>
                <w:lang w:val="es-ES"/>
              </w:rPr>
              <w:t xml:space="preserve"> </w:t>
            </w:r>
            <w:proofErr w:type="spellStart"/>
            <w:r w:rsidRPr="003845D4">
              <w:rPr>
                <w:rFonts w:asciiTheme="minorBidi" w:hAnsiTheme="minorBidi" w:cstheme="minorBidi"/>
                <w:sz w:val="20"/>
                <w:szCs w:val="20"/>
                <w:lang w:val="es-ES"/>
              </w:rPr>
              <w:t>Corporation</w:t>
            </w:r>
            <w:proofErr w:type="spellEnd"/>
            <w:r w:rsidRPr="003845D4">
              <w:rPr>
                <w:rFonts w:asciiTheme="minorBidi" w:hAnsiTheme="minorBidi" w:cstheme="minorBidi"/>
                <w:sz w:val="20"/>
                <w:szCs w:val="20"/>
                <w:lang w:val="es-ES"/>
              </w:rPr>
              <w:t xml:space="preserve"> Cinemateca Vallenata</w:t>
            </w:r>
          </w:p>
        </w:tc>
        <w:tc>
          <w:tcPr>
            <w:tcW w:w="1010" w:type="pct"/>
            <w:shd w:val="clear" w:color="auto" w:fill="DBE5F1" w:themeFill="accent1" w:themeFillTint="33"/>
            <w:vAlign w:val="center"/>
          </w:tcPr>
          <w:p w14:paraId="7FF7924E"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Colombie</w:t>
            </w:r>
          </w:p>
        </w:tc>
        <w:tc>
          <w:tcPr>
            <w:tcW w:w="842" w:type="pct"/>
            <w:shd w:val="clear" w:color="auto" w:fill="DBE5F1" w:themeFill="accent1" w:themeFillTint="33"/>
            <w:vAlign w:val="center"/>
          </w:tcPr>
          <w:p w14:paraId="57B4C075"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NGO-90592</w:t>
            </w:r>
          </w:p>
        </w:tc>
      </w:tr>
      <w:tr w:rsidR="00DD751E" w:rsidRPr="000D358B" w14:paraId="0146531D" w14:textId="77777777" w:rsidTr="006D5FD6">
        <w:trPr>
          <w:trHeight w:val="576"/>
        </w:trPr>
        <w:tc>
          <w:tcPr>
            <w:tcW w:w="3148" w:type="pct"/>
            <w:vAlign w:val="center"/>
          </w:tcPr>
          <w:p w14:paraId="07295255" w14:textId="77777777" w:rsidR="00DD751E" w:rsidRPr="00A95CE2" w:rsidRDefault="00DD751E" w:rsidP="008319A4">
            <w:pPr>
              <w:contextualSpacing/>
              <w:rPr>
                <w:rFonts w:asciiTheme="minorBidi" w:hAnsiTheme="minorBidi" w:cstheme="minorBidi"/>
                <w:b/>
                <w:bCs/>
                <w:sz w:val="20"/>
                <w:szCs w:val="20"/>
                <w:lang w:val="en-US"/>
              </w:rPr>
            </w:pPr>
            <w:proofErr w:type="spellStart"/>
            <w:r w:rsidRPr="000D2922">
              <w:rPr>
                <w:rFonts w:asciiTheme="minorBidi" w:hAnsiTheme="minorBidi" w:cstheme="minorBidi"/>
                <w:b/>
                <w:bCs/>
                <w:sz w:val="20"/>
                <w:szCs w:val="20"/>
                <w:lang w:val="en-GB"/>
              </w:rPr>
              <w:t>Corporación</w:t>
            </w:r>
            <w:proofErr w:type="spellEnd"/>
            <w:r w:rsidRPr="000D2922">
              <w:rPr>
                <w:rFonts w:asciiTheme="minorBidi" w:hAnsiTheme="minorBidi" w:cstheme="minorBidi"/>
                <w:b/>
                <w:bCs/>
                <w:sz w:val="20"/>
                <w:szCs w:val="20"/>
                <w:lang w:val="en-GB"/>
              </w:rPr>
              <w:t xml:space="preserve"> </w:t>
            </w:r>
            <w:proofErr w:type="spellStart"/>
            <w:r w:rsidRPr="000D2922">
              <w:rPr>
                <w:rFonts w:asciiTheme="minorBidi" w:hAnsiTheme="minorBidi" w:cstheme="minorBidi"/>
                <w:b/>
                <w:bCs/>
                <w:sz w:val="20"/>
                <w:szCs w:val="20"/>
                <w:lang w:val="en-GB"/>
              </w:rPr>
              <w:t>Huiltur</w:t>
            </w:r>
            <w:proofErr w:type="spellEnd"/>
            <w:r w:rsidRPr="000D2922">
              <w:rPr>
                <w:rFonts w:asciiTheme="minorBidi" w:hAnsiTheme="minorBidi" w:cstheme="minorBidi"/>
                <w:b/>
                <w:bCs/>
                <w:sz w:val="20"/>
                <w:szCs w:val="20"/>
                <w:lang w:val="en-GB"/>
              </w:rPr>
              <w:t xml:space="preserve"> - </w:t>
            </w:r>
            <w:proofErr w:type="spellStart"/>
            <w:r w:rsidRPr="000D2922">
              <w:rPr>
                <w:rFonts w:asciiTheme="minorBidi" w:hAnsiTheme="minorBidi" w:cstheme="minorBidi"/>
                <w:b/>
                <w:bCs/>
                <w:sz w:val="20"/>
                <w:szCs w:val="20"/>
                <w:lang w:val="en-GB"/>
              </w:rPr>
              <w:t>CorpoHuiltur</w:t>
            </w:r>
            <w:proofErr w:type="spellEnd"/>
            <w:r w:rsidRPr="000D2922">
              <w:rPr>
                <w:rFonts w:asciiTheme="minorBidi" w:hAnsiTheme="minorBidi" w:cstheme="minorBidi"/>
                <w:sz w:val="20"/>
                <w:szCs w:val="20"/>
                <w:lang w:val="en-GB"/>
              </w:rPr>
              <w:br/>
            </w:r>
            <w:proofErr w:type="spellStart"/>
            <w:r w:rsidRPr="000D2922">
              <w:rPr>
                <w:rFonts w:asciiTheme="minorBidi" w:hAnsiTheme="minorBidi" w:cstheme="minorBidi"/>
                <w:sz w:val="20"/>
                <w:szCs w:val="20"/>
                <w:lang w:val="en-GB"/>
              </w:rPr>
              <w:t>Huiltur</w:t>
            </w:r>
            <w:proofErr w:type="spellEnd"/>
            <w:r w:rsidRPr="000D2922">
              <w:rPr>
                <w:rFonts w:asciiTheme="minorBidi" w:hAnsiTheme="minorBidi" w:cstheme="minorBidi"/>
                <w:sz w:val="20"/>
                <w:szCs w:val="20"/>
                <w:lang w:val="en-GB"/>
              </w:rPr>
              <w:t xml:space="preserve"> Corporation</w:t>
            </w:r>
          </w:p>
        </w:tc>
        <w:tc>
          <w:tcPr>
            <w:tcW w:w="1010" w:type="pct"/>
            <w:vAlign w:val="center"/>
          </w:tcPr>
          <w:p w14:paraId="57484418"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Colombie</w:t>
            </w:r>
          </w:p>
        </w:tc>
        <w:tc>
          <w:tcPr>
            <w:tcW w:w="842" w:type="pct"/>
            <w:vAlign w:val="center"/>
          </w:tcPr>
          <w:p w14:paraId="0A6935EC"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NGO-90576</w:t>
            </w:r>
          </w:p>
        </w:tc>
      </w:tr>
      <w:tr w:rsidR="00DD751E" w:rsidRPr="000D358B" w14:paraId="38D46465" w14:textId="77777777" w:rsidTr="006D5FD6">
        <w:trPr>
          <w:trHeight w:val="576"/>
        </w:trPr>
        <w:tc>
          <w:tcPr>
            <w:tcW w:w="3148" w:type="pct"/>
            <w:shd w:val="clear" w:color="auto" w:fill="DBE5F1" w:themeFill="accent1" w:themeFillTint="33"/>
            <w:vAlign w:val="center"/>
          </w:tcPr>
          <w:p w14:paraId="01EF31BE" w14:textId="77777777" w:rsidR="00DD751E" w:rsidRPr="00A95CE2" w:rsidRDefault="00DD751E" w:rsidP="008319A4">
            <w:pPr>
              <w:contextualSpacing/>
              <w:rPr>
                <w:rFonts w:asciiTheme="minorBidi" w:hAnsiTheme="minorBidi" w:cstheme="minorBidi"/>
                <w:b/>
                <w:bCs/>
                <w:sz w:val="20"/>
                <w:szCs w:val="20"/>
                <w:lang w:val="en-US"/>
              </w:rPr>
            </w:pPr>
            <w:proofErr w:type="spellStart"/>
            <w:r w:rsidRPr="000D2922">
              <w:rPr>
                <w:rFonts w:asciiTheme="minorBidi" w:hAnsiTheme="minorBidi" w:cstheme="minorBidi"/>
                <w:b/>
                <w:bCs/>
                <w:sz w:val="20"/>
                <w:szCs w:val="20"/>
                <w:lang w:val="en-GB"/>
              </w:rPr>
              <w:t>Corporacion</w:t>
            </w:r>
            <w:proofErr w:type="spellEnd"/>
            <w:r w:rsidRPr="000D2922">
              <w:rPr>
                <w:rFonts w:asciiTheme="minorBidi" w:hAnsiTheme="minorBidi" w:cstheme="minorBidi"/>
                <w:b/>
                <w:bCs/>
                <w:sz w:val="20"/>
                <w:szCs w:val="20"/>
                <w:lang w:val="en-GB"/>
              </w:rPr>
              <w:t xml:space="preserve"> Memoria Austral</w:t>
            </w:r>
            <w:r w:rsidRPr="000D2922">
              <w:rPr>
                <w:rFonts w:asciiTheme="minorBidi" w:hAnsiTheme="minorBidi" w:cstheme="minorBidi"/>
                <w:sz w:val="20"/>
                <w:szCs w:val="20"/>
                <w:lang w:val="en-GB"/>
              </w:rPr>
              <w:br/>
              <w:t>Memoria Austral Association</w:t>
            </w:r>
          </w:p>
        </w:tc>
        <w:tc>
          <w:tcPr>
            <w:tcW w:w="1010" w:type="pct"/>
            <w:shd w:val="clear" w:color="auto" w:fill="DBE5F1" w:themeFill="accent1" w:themeFillTint="33"/>
            <w:vAlign w:val="center"/>
          </w:tcPr>
          <w:p w14:paraId="5053EDF6"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Chili</w:t>
            </w:r>
          </w:p>
        </w:tc>
        <w:tc>
          <w:tcPr>
            <w:tcW w:w="842" w:type="pct"/>
            <w:shd w:val="clear" w:color="auto" w:fill="DBE5F1" w:themeFill="accent1" w:themeFillTint="33"/>
            <w:vAlign w:val="center"/>
          </w:tcPr>
          <w:p w14:paraId="3EDCD496"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NGO-90586</w:t>
            </w:r>
          </w:p>
        </w:tc>
      </w:tr>
      <w:tr w:rsidR="00DD751E" w:rsidRPr="000D358B" w14:paraId="4D821180" w14:textId="77777777" w:rsidTr="006D5FD6">
        <w:trPr>
          <w:trHeight w:val="576"/>
        </w:trPr>
        <w:tc>
          <w:tcPr>
            <w:tcW w:w="3148" w:type="pct"/>
            <w:vAlign w:val="center"/>
          </w:tcPr>
          <w:p w14:paraId="471C51BB" w14:textId="77777777" w:rsidR="00DD751E" w:rsidRPr="008319A4" w:rsidRDefault="00DD751E" w:rsidP="008319A4">
            <w:pPr>
              <w:contextualSpacing/>
              <w:rPr>
                <w:rFonts w:asciiTheme="minorBidi" w:hAnsiTheme="minorBidi" w:cstheme="minorBidi"/>
                <w:b/>
                <w:bCs/>
                <w:sz w:val="20"/>
                <w:szCs w:val="20"/>
                <w:lang w:val="it-IT"/>
              </w:rPr>
            </w:pPr>
            <w:r w:rsidRPr="008319A4">
              <w:rPr>
                <w:rFonts w:asciiTheme="minorBidi" w:hAnsiTheme="minorBidi" w:cstheme="minorBidi"/>
                <w:b/>
                <w:bCs/>
                <w:sz w:val="20"/>
                <w:szCs w:val="20"/>
                <w:lang w:val="it-IT"/>
              </w:rPr>
              <w:lastRenderedPageBreak/>
              <w:t>Fondazione Santagata per l’Economia della Cultura ETS (ente del terzo settore)</w:t>
            </w:r>
            <w:r w:rsidRPr="008319A4">
              <w:rPr>
                <w:rFonts w:asciiTheme="minorBidi" w:hAnsiTheme="minorBidi" w:cstheme="minorBidi"/>
                <w:sz w:val="20"/>
                <w:szCs w:val="20"/>
                <w:lang w:val="it-IT"/>
              </w:rPr>
              <w:br/>
              <w:t>Fondazione Santagata for the Economics of Culture ETS (third sector entity)</w:t>
            </w:r>
          </w:p>
        </w:tc>
        <w:tc>
          <w:tcPr>
            <w:tcW w:w="1010" w:type="pct"/>
            <w:vAlign w:val="center"/>
          </w:tcPr>
          <w:p w14:paraId="24784103"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Italie</w:t>
            </w:r>
          </w:p>
        </w:tc>
        <w:tc>
          <w:tcPr>
            <w:tcW w:w="842" w:type="pct"/>
            <w:vAlign w:val="center"/>
          </w:tcPr>
          <w:p w14:paraId="3462CDE8"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NGO-90552</w:t>
            </w:r>
          </w:p>
        </w:tc>
      </w:tr>
      <w:tr w:rsidR="00DD751E" w:rsidRPr="000D358B" w14:paraId="29178F55" w14:textId="77777777" w:rsidTr="006D5FD6">
        <w:trPr>
          <w:trHeight w:val="576"/>
        </w:trPr>
        <w:tc>
          <w:tcPr>
            <w:tcW w:w="3148" w:type="pct"/>
            <w:shd w:val="clear" w:color="auto" w:fill="DBE5F1" w:themeFill="accent1" w:themeFillTint="33"/>
            <w:vAlign w:val="center"/>
          </w:tcPr>
          <w:p w14:paraId="11E63BA3" w14:textId="77777777" w:rsidR="00DD751E" w:rsidRPr="008319A4" w:rsidRDefault="00DD751E" w:rsidP="008319A4">
            <w:pPr>
              <w:contextualSpacing/>
              <w:rPr>
                <w:rFonts w:asciiTheme="minorBidi" w:hAnsiTheme="minorBidi" w:cstheme="minorBidi"/>
                <w:b/>
                <w:bCs/>
                <w:sz w:val="20"/>
                <w:szCs w:val="20"/>
                <w:lang w:val="en-US"/>
              </w:rPr>
            </w:pPr>
            <w:r w:rsidRPr="000D2922">
              <w:rPr>
                <w:rFonts w:asciiTheme="minorBidi" w:hAnsiTheme="minorBidi" w:cstheme="minorBidi"/>
                <w:b/>
                <w:bCs/>
                <w:sz w:val="20"/>
                <w:szCs w:val="20"/>
                <w:lang w:val="en-GB"/>
              </w:rPr>
              <w:t>Fundación Casa Taller</w:t>
            </w:r>
            <w:r w:rsidRPr="000D2922">
              <w:rPr>
                <w:rFonts w:asciiTheme="minorBidi" w:hAnsiTheme="minorBidi" w:cstheme="minorBidi"/>
                <w:sz w:val="20"/>
                <w:szCs w:val="20"/>
                <w:lang w:val="en-GB"/>
              </w:rPr>
              <w:br/>
              <w:t>Workshop Home Foundation</w:t>
            </w:r>
          </w:p>
        </w:tc>
        <w:tc>
          <w:tcPr>
            <w:tcW w:w="1010" w:type="pct"/>
            <w:shd w:val="clear" w:color="auto" w:fill="DBE5F1" w:themeFill="accent1" w:themeFillTint="33"/>
            <w:vAlign w:val="center"/>
          </w:tcPr>
          <w:p w14:paraId="488A916A"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Panama</w:t>
            </w:r>
          </w:p>
        </w:tc>
        <w:tc>
          <w:tcPr>
            <w:tcW w:w="842" w:type="pct"/>
            <w:shd w:val="clear" w:color="auto" w:fill="DBE5F1" w:themeFill="accent1" w:themeFillTint="33"/>
            <w:vAlign w:val="center"/>
          </w:tcPr>
          <w:p w14:paraId="06F96800"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NGO-90579</w:t>
            </w:r>
          </w:p>
        </w:tc>
      </w:tr>
      <w:tr w:rsidR="00DD751E" w:rsidRPr="000D358B" w14:paraId="17ED2416" w14:textId="77777777" w:rsidTr="006D5FD6">
        <w:trPr>
          <w:trHeight w:val="576"/>
        </w:trPr>
        <w:tc>
          <w:tcPr>
            <w:tcW w:w="3148" w:type="pct"/>
            <w:vAlign w:val="center"/>
          </w:tcPr>
          <w:p w14:paraId="07E286B9" w14:textId="77777777" w:rsidR="00DD751E" w:rsidRPr="008319A4" w:rsidRDefault="00DD751E" w:rsidP="008319A4">
            <w:pPr>
              <w:contextualSpacing/>
              <w:rPr>
                <w:rFonts w:asciiTheme="minorBidi" w:hAnsiTheme="minorBidi" w:cstheme="minorBidi"/>
                <w:b/>
                <w:bCs/>
                <w:sz w:val="20"/>
                <w:szCs w:val="20"/>
                <w:lang w:val="es-ES"/>
              </w:rPr>
            </w:pPr>
            <w:r w:rsidRPr="000D2922">
              <w:rPr>
                <w:rFonts w:asciiTheme="minorBidi" w:hAnsiTheme="minorBidi" w:cstheme="minorBidi"/>
                <w:b/>
                <w:bCs/>
                <w:sz w:val="20"/>
                <w:szCs w:val="20"/>
                <w:lang w:val="es-ES"/>
              </w:rPr>
              <w:t>Fundación La Sacha</w:t>
            </w:r>
            <w:r w:rsidRPr="000D2922">
              <w:rPr>
                <w:rFonts w:asciiTheme="minorBidi" w:hAnsiTheme="minorBidi" w:cstheme="minorBidi"/>
                <w:sz w:val="20"/>
                <w:szCs w:val="20"/>
                <w:lang w:val="es-ES"/>
              </w:rPr>
              <w:br/>
            </w:r>
            <w:proofErr w:type="spellStart"/>
            <w:r w:rsidRPr="000D2922">
              <w:rPr>
                <w:rFonts w:asciiTheme="minorBidi" w:hAnsiTheme="minorBidi" w:cstheme="minorBidi"/>
                <w:sz w:val="20"/>
                <w:szCs w:val="20"/>
                <w:lang w:val="es-ES"/>
              </w:rPr>
              <w:t>Sacha</w:t>
            </w:r>
            <w:proofErr w:type="spellEnd"/>
            <w:r w:rsidRPr="000D2922">
              <w:rPr>
                <w:rFonts w:asciiTheme="minorBidi" w:hAnsiTheme="minorBidi" w:cstheme="minorBidi"/>
                <w:sz w:val="20"/>
                <w:szCs w:val="20"/>
                <w:lang w:val="es-ES"/>
              </w:rPr>
              <w:t xml:space="preserve"> </w:t>
            </w:r>
            <w:proofErr w:type="spellStart"/>
            <w:r w:rsidRPr="000D2922">
              <w:rPr>
                <w:rFonts w:asciiTheme="minorBidi" w:hAnsiTheme="minorBidi" w:cstheme="minorBidi"/>
                <w:sz w:val="20"/>
                <w:szCs w:val="20"/>
                <w:lang w:val="es-ES"/>
              </w:rPr>
              <w:t>Foundation</w:t>
            </w:r>
            <w:proofErr w:type="spellEnd"/>
          </w:p>
        </w:tc>
        <w:tc>
          <w:tcPr>
            <w:tcW w:w="1010" w:type="pct"/>
            <w:vAlign w:val="center"/>
          </w:tcPr>
          <w:p w14:paraId="18572EB1"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Argentine</w:t>
            </w:r>
          </w:p>
        </w:tc>
        <w:tc>
          <w:tcPr>
            <w:tcW w:w="842" w:type="pct"/>
            <w:vAlign w:val="center"/>
          </w:tcPr>
          <w:p w14:paraId="63A6FAB7"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NGO-90546</w:t>
            </w:r>
          </w:p>
        </w:tc>
      </w:tr>
      <w:tr w:rsidR="00DD751E" w:rsidRPr="000D358B" w14:paraId="0197FC52" w14:textId="77777777" w:rsidTr="006D5FD6">
        <w:trPr>
          <w:trHeight w:val="576"/>
        </w:trPr>
        <w:tc>
          <w:tcPr>
            <w:tcW w:w="3148" w:type="pct"/>
            <w:shd w:val="clear" w:color="auto" w:fill="DBE5F1" w:themeFill="accent1" w:themeFillTint="33"/>
            <w:vAlign w:val="center"/>
          </w:tcPr>
          <w:p w14:paraId="7F8E1F27" w14:textId="77777777" w:rsidR="00DD751E" w:rsidRPr="000D2922" w:rsidRDefault="00DD751E" w:rsidP="008319A4">
            <w:pPr>
              <w:contextualSpacing/>
              <w:rPr>
                <w:rFonts w:asciiTheme="minorBidi" w:hAnsiTheme="minorBidi" w:cstheme="minorBidi"/>
                <w:b/>
                <w:bCs/>
                <w:sz w:val="20"/>
                <w:szCs w:val="20"/>
              </w:rPr>
            </w:pPr>
            <w:r w:rsidRPr="000D2922">
              <w:rPr>
                <w:rFonts w:asciiTheme="minorBidi" w:hAnsiTheme="minorBidi" w:cstheme="minorBidi"/>
                <w:b/>
                <w:bCs/>
                <w:sz w:val="20"/>
                <w:szCs w:val="20"/>
                <w:lang w:val="en-GB"/>
              </w:rPr>
              <w:t>Grenada National Trust</w:t>
            </w:r>
          </w:p>
        </w:tc>
        <w:tc>
          <w:tcPr>
            <w:tcW w:w="1010" w:type="pct"/>
            <w:shd w:val="clear" w:color="auto" w:fill="DBE5F1" w:themeFill="accent1" w:themeFillTint="33"/>
            <w:vAlign w:val="center"/>
          </w:tcPr>
          <w:p w14:paraId="0A4E2018"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Grenade</w:t>
            </w:r>
          </w:p>
        </w:tc>
        <w:tc>
          <w:tcPr>
            <w:tcW w:w="842" w:type="pct"/>
            <w:shd w:val="clear" w:color="auto" w:fill="DBE5F1" w:themeFill="accent1" w:themeFillTint="33"/>
            <w:vAlign w:val="center"/>
          </w:tcPr>
          <w:p w14:paraId="7231F52F"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NGO-90555</w:t>
            </w:r>
          </w:p>
        </w:tc>
      </w:tr>
      <w:tr w:rsidR="00DD751E" w:rsidRPr="000D358B" w14:paraId="734420AF" w14:textId="77777777" w:rsidTr="006D5FD6">
        <w:trPr>
          <w:trHeight w:val="576"/>
        </w:trPr>
        <w:tc>
          <w:tcPr>
            <w:tcW w:w="3148" w:type="pct"/>
            <w:vAlign w:val="center"/>
          </w:tcPr>
          <w:p w14:paraId="3EB78D29" w14:textId="77777777" w:rsidR="00DD751E" w:rsidRPr="000D2922" w:rsidRDefault="00DD751E" w:rsidP="008319A4">
            <w:pPr>
              <w:contextualSpacing/>
              <w:rPr>
                <w:rFonts w:asciiTheme="minorBidi" w:hAnsiTheme="minorBidi" w:cstheme="minorBidi"/>
                <w:b/>
                <w:bCs/>
                <w:sz w:val="20"/>
                <w:szCs w:val="20"/>
              </w:rPr>
            </w:pPr>
            <w:proofErr w:type="spellStart"/>
            <w:r w:rsidRPr="008319A4">
              <w:rPr>
                <w:rFonts w:asciiTheme="minorBidi" w:hAnsiTheme="minorBidi" w:cstheme="minorBidi"/>
                <w:b/>
                <w:bCs/>
                <w:sz w:val="20"/>
                <w:szCs w:val="20"/>
              </w:rPr>
              <w:t>Heimilisiðnaðarfélag</w:t>
            </w:r>
            <w:proofErr w:type="spellEnd"/>
            <w:r w:rsidRPr="008319A4">
              <w:rPr>
                <w:rFonts w:asciiTheme="minorBidi" w:hAnsiTheme="minorBidi" w:cstheme="minorBidi"/>
                <w:b/>
                <w:bCs/>
                <w:sz w:val="20"/>
                <w:szCs w:val="20"/>
              </w:rPr>
              <w:t xml:space="preserve"> </w:t>
            </w:r>
            <w:proofErr w:type="spellStart"/>
            <w:r w:rsidRPr="008319A4">
              <w:rPr>
                <w:rFonts w:asciiTheme="minorBidi" w:hAnsiTheme="minorBidi" w:cstheme="minorBidi"/>
                <w:b/>
                <w:bCs/>
                <w:sz w:val="20"/>
                <w:szCs w:val="20"/>
              </w:rPr>
              <w:t>Íslands</w:t>
            </w:r>
            <w:proofErr w:type="spellEnd"/>
            <w:r w:rsidRPr="008319A4">
              <w:rPr>
                <w:rFonts w:asciiTheme="minorBidi" w:hAnsiTheme="minorBidi" w:cstheme="minorBidi"/>
                <w:sz w:val="20"/>
                <w:szCs w:val="20"/>
              </w:rPr>
              <w:br/>
            </w:r>
            <w:proofErr w:type="spellStart"/>
            <w:r w:rsidRPr="008319A4">
              <w:rPr>
                <w:rFonts w:asciiTheme="minorBidi" w:hAnsiTheme="minorBidi" w:cstheme="minorBidi"/>
                <w:sz w:val="20"/>
                <w:szCs w:val="20"/>
              </w:rPr>
              <w:t>Icelandic</w:t>
            </w:r>
            <w:proofErr w:type="spellEnd"/>
            <w:r w:rsidRPr="008319A4">
              <w:rPr>
                <w:rFonts w:asciiTheme="minorBidi" w:hAnsiTheme="minorBidi" w:cstheme="minorBidi"/>
                <w:sz w:val="20"/>
                <w:szCs w:val="20"/>
              </w:rPr>
              <w:t xml:space="preserve"> </w:t>
            </w:r>
            <w:proofErr w:type="spellStart"/>
            <w:r w:rsidRPr="008319A4">
              <w:rPr>
                <w:rFonts w:asciiTheme="minorBidi" w:hAnsiTheme="minorBidi" w:cstheme="minorBidi"/>
                <w:sz w:val="20"/>
                <w:szCs w:val="20"/>
              </w:rPr>
              <w:t>Handicraft</w:t>
            </w:r>
            <w:proofErr w:type="spellEnd"/>
            <w:r w:rsidRPr="008319A4">
              <w:rPr>
                <w:rFonts w:asciiTheme="minorBidi" w:hAnsiTheme="minorBidi" w:cstheme="minorBidi"/>
                <w:sz w:val="20"/>
                <w:szCs w:val="20"/>
              </w:rPr>
              <w:t xml:space="preserve"> Association</w:t>
            </w:r>
          </w:p>
        </w:tc>
        <w:tc>
          <w:tcPr>
            <w:tcW w:w="1010" w:type="pct"/>
            <w:vAlign w:val="center"/>
          </w:tcPr>
          <w:p w14:paraId="22AF40A7"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Islande</w:t>
            </w:r>
          </w:p>
        </w:tc>
        <w:tc>
          <w:tcPr>
            <w:tcW w:w="842" w:type="pct"/>
            <w:vAlign w:val="center"/>
          </w:tcPr>
          <w:p w14:paraId="3850150B"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NGO-90533</w:t>
            </w:r>
          </w:p>
        </w:tc>
      </w:tr>
      <w:tr w:rsidR="00DD751E" w:rsidRPr="000D358B" w14:paraId="2CA788D2" w14:textId="77777777" w:rsidTr="006D5FD6">
        <w:trPr>
          <w:trHeight w:val="576"/>
        </w:trPr>
        <w:tc>
          <w:tcPr>
            <w:tcW w:w="3148" w:type="pct"/>
            <w:shd w:val="clear" w:color="auto" w:fill="DBE5F1" w:themeFill="accent1" w:themeFillTint="33"/>
            <w:vAlign w:val="center"/>
          </w:tcPr>
          <w:p w14:paraId="17A6C3AD" w14:textId="77777777" w:rsidR="00DD751E" w:rsidRPr="008319A4" w:rsidRDefault="00DD751E" w:rsidP="008319A4">
            <w:pPr>
              <w:contextualSpacing/>
              <w:rPr>
                <w:rFonts w:asciiTheme="minorBidi" w:hAnsiTheme="minorBidi" w:cstheme="minorBidi"/>
                <w:b/>
                <w:bCs/>
                <w:sz w:val="20"/>
                <w:szCs w:val="20"/>
                <w:lang w:val="pt-PT"/>
              </w:rPr>
            </w:pPr>
            <w:r w:rsidRPr="000D2922">
              <w:rPr>
                <w:rFonts w:asciiTheme="minorBidi" w:hAnsiTheme="minorBidi" w:cstheme="minorBidi"/>
                <w:b/>
                <w:bCs/>
                <w:sz w:val="20"/>
                <w:szCs w:val="20"/>
                <w:lang w:val="pt-BR"/>
              </w:rPr>
              <w:t>Iepé - Instituto de Pesquisa e Formação Indígena</w:t>
            </w:r>
            <w:r w:rsidRPr="000D2922">
              <w:rPr>
                <w:rFonts w:asciiTheme="minorBidi" w:hAnsiTheme="minorBidi" w:cstheme="minorBidi"/>
                <w:sz w:val="20"/>
                <w:szCs w:val="20"/>
                <w:lang w:val="pt-BR"/>
              </w:rPr>
              <w:br/>
              <w:t>Iepé - Indigenous Research and Training Institute</w:t>
            </w:r>
          </w:p>
        </w:tc>
        <w:tc>
          <w:tcPr>
            <w:tcW w:w="1010" w:type="pct"/>
            <w:shd w:val="clear" w:color="auto" w:fill="DBE5F1" w:themeFill="accent1" w:themeFillTint="33"/>
            <w:vAlign w:val="center"/>
          </w:tcPr>
          <w:p w14:paraId="73AD7F1D"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Brésil</w:t>
            </w:r>
          </w:p>
        </w:tc>
        <w:tc>
          <w:tcPr>
            <w:tcW w:w="842" w:type="pct"/>
            <w:shd w:val="clear" w:color="auto" w:fill="DBE5F1" w:themeFill="accent1" w:themeFillTint="33"/>
            <w:vAlign w:val="center"/>
          </w:tcPr>
          <w:p w14:paraId="61F26F5F"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NGO-90584</w:t>
            </w:r>
          </w:p>
        </w:tc>
      </w:tr>
      <w:tr w:rsidR="00DD751E" w:rsidRPr="000D358B" w14:paraId="1885DE28" w14:textId="77777777" w:rsidTr="006D5FD6">
        <w:trPr>
          <w:trHeight w:val="576"/>
        </w:trPr>
        <w:tc>
          <w:tcPr>
            <w:tcW w:w="3148" w:type="pct"/>
            <w:vAlign w:val="center"/>
          </w:tcPr>
          <w:p w14:paraId="3238BD0D" w14:textId="77777777" w:rsidR="00DD751E" w:rsidRPr="008319A4" w:rsidRDefault="00DD751E" w:rsidP="008319A4">
            <w:pPr>
              <w:contextualSpacing/>
              <w:rPr>
                <w:rFonts w:asciiTheme="minorBidi" w:hAnsiTheme="minorBidi" w:cstheme="minorBidi"/>
                <w:b/>
                <w:bCs/>
                <w:sz w:val="20"/>
                <w:szCs w:val="20"/>
                <w:lang w:val="en-US"/>
              </w:rPr>
            </w:pPr>
            <w:proofErr w:type="spellStart"/>
            <w:r w:rsidRPr="000D2922">
              <w:rPr>
                <w:rFonts w:asciiTheme="minorBidi" w:hAnsiTheme="minorBidi" w:cstheme="minorBidi"/>
                <w:b/>
                <w:bCs/>
                <w:sz w:val="20"/>
                <w:szCs w:val="20"/>
                <w:lang w:val="en-GB"/>
              </w:rPr>
              <w:t>Kadın</w:t>
            </w:r>
            <w:proofErr w:type="spellEnd"/>
            <w:r w:rsidRPr="000D2922">
              <w:rPr>
                <w:rFonts w:asciiTheme="minorBidi" w:hAnsiTheme="minorBidi" w:cstheme="minorBidi"/>
                <w:b/>
                <w:bCs/>
                <w:sz w:val="20"/>
                <w:szCs w:val="20"/>
                <w:lang w:val="en-GB"/>
              </w:rPr>
              <w:t xml:space="preserve"> </w:t>
            </w:r>
            <w:proofErr w:type="spellStart"/>
            <w:r w:rsidRPr="000D2922">
              <w:rPr>
                <w:rFonts w:asciiTheme="minorBidi" w:hAnsiTheme="minorBidi" w:cstheme="minorBidi"/>
                <w:b/>
                <w:bCs/>
                <w:sz w:val="20"/>
                <w:szCs w:val="20"/>
                <w:lang w:val="en-GB"/>
              </w:rPr>
              <w:t>ve</w:t>
            </w:r>
            <w:proofErr w:type="spellEnd"/>
            <w:r w:rsidRPr="000D2922">
              <w:rPr>
                <w:rFonts w:asciiTheme="minorBidi" w:hAnsiTheme="minorBidi" w:cstheme="minorBidi"/>
                <w:b/>
                <w:bCs/>
                <w:sz w:val="20"/>
                <w:szCs w:val="20"/>
                <w:lang w:val="en-GB"/>
              </w:rPr>
              <w:t xml:space="preserve"> </w:t>
            </w:r>
            <w:proofErr w:type="spellStart"/>
            <w:r w:rsidRPr="000D2922">
              <w:rPr>
                <w:rFonts w:asciiTheme="minorBidi" w:hAnsiTheme="minorBidi" w:cstheme="minorBidi"/>
                <w:b/>
                <w:bCs/>
                <w:sz w:val="20"/>
                <w:szCs w:val="20"/>
                <w:lang w:val="en-GB"/>
              </w:rPr>
              <w:t>Demokrasi</w:t>
            </w:r>
            <w:proofErr w:type="spellEnd"/>
            <w:r w:rsidRPr="000D2922">
              <w:rPr>
                <w:rFonts w:asciiTheme="minorBidi" w:hAnsiTheme="minorBidi" w:cstheme="minorBidi"/>
                <w:b/>
                <w:bCs/>
                <w:sz w:val="20"/>
                <w:szCs w:val="20"/>
                <w:lang w:val="en-GB"/>
              </w:rPr>
              <w:t xml:space="preserve"> </w:t>
            </w:r>
            <w:proofErr w:type="spellStart"/>
            <w:r w:rsidRPr="000D2922">
              <w:rPr>
                <w:rFonts w:asciiTheme="minorBidi" w:hAnsiTheme="minorBidi" w:cstheme="minorBidi"/>
                <w:b/>
                <w:bCs/>
                <w:sz w:val="20"/>
                <w:szCs w:val="20"/>
                <w:lang w:val="en-GB"/>
              </w:rPr>
              <w:t>Vakfı</w:t>
            </w:r>
            <w:proofErr w:type="spellEnd"/>
            <w:r w:rsidRPr="000D2922">
              <w:rPr>
                <w:rFonts w:asciiTheme="minorBidi" w:hAnsiTheme="minorBidi" w:cstheme="minorBidi"/>
                <w:b/>
                <w:bCs/>
                <w:sz w:val="20"/>
                <w:szCs w:val="20"/>
                <w:lang w:val="en-GB"/>
              </w:rPr>
              <w:t xml:space="preserve"> (KADEM)</w:t>
            </w:r>
            <w:r w:rsidRPr="000D2922">
              <w:rPr>
                <w:rFonts w:asciiTheme="minorBidi" w:hAnsiTheme="minorBidi" w:cstheme="minorBidi"/>
                <w:sz w:val="20"/>
                <w:szCs w:val="20"/>
                <w:lang w:val="en-GB"/>
              </w:rPr>
              <w:br/>
              <w:t>Women and Democracy Foundation (KADEM)</w:t>
            </w:r>
          </w:p>
        </w:tc>
        <w:tc>
          <w:tcPr>
            <w:tcW w:w="1010" w:type="pct"/>
            <w:vAlign w:val="center"/>
          </w:tcPr>
          <w:p w14:paraId="45B9709E" w14:textId="77777777" w:rsidR="00DD751E" w:rsidRPr="000D2922" w:rsidRDefault="00DD751E" w:rsidP="008319A4">
            <w:pPr>
              <w:contextualSpacing/>
              <w:jc w:val="center"/>
              <w:rPr>
                <w:rFonts w:asciiTheme="minorBidi" w:hAnsiTheme="minorBidi" w:cstheme="minorBidi"/>
                <w:sz w:val="20"/>
                <w:szCs w:val="20"/>
              </w:rPr>
            </w:pPr>
            <w:r w:rsidRPr="00EE342E">
              <w:rPr>
                <w:rFonts w:asciiTheme="minorBidi" w:hAnsiTheme="minorBidi"/>
                <w:sz w:val="20"/>
              </w:rPr>
              <w:t>Türkiye</w:t>
            </w:r>
          </w:p>
        </w:tc>
        <w:tc>
          <w:tcPr>
            <w:tcW w:w="842" w:type="pct"/>
            <w:vAlign w:val="center"/>
          </w:tcPr>
          <w:p w14:paraId="76222F84"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NGO-90557</w:t>
            </w:r>
          </w:p>
        </w:tc>
      </w:tr>
      <w:tr w:rsidR="00DD751E" w:rsidRPr="000D358B" w14:paraId="46374964" w14:textId="77777777" w:rsidTr="00886F82">
        <w:trPr>
          <w:trHeight w:val="576"/>
        </w:trPr>
        <w:tc>
          <w:tcPr>
            <w:tcW w:w="3148" w:type="pct"/>
            <w:shd w:val="clear" w:color="auto" w:fill="DBE5F1" w:themeFill="accent1" w:themeFillTint="33"/>
            <w:vAlign w:val="center"/>
          </w:tcPr>
          <w:p w14:paraId="62A85A1A" w14:textId="77777777" w:rsidR="00DD751E" w:rsidRPr="000D2922" w:rsidRDefault="00DD751E" w:rsidP="008319A4">
            <w:pPr>
              <w:contextualSpacing/>
              <w:rPr>
                <w:rFonts w:asciiTheme="minorBidi" w:hAnsiTheme="minorBidi" w:cstheme="minorBidi"/>
                <w:b/>
                <w:bCs/>
                <w:sz w:val="20"/>
                <w:szCs w:val="20"/>
              </w:rPr>
            </w:pPr>
            <w:proofErr w:type="spellStart"/>
            <w:r w:rsidRPr="000D2922">
              <w:rPr>
                <w:rFonts w:asciiTheme="minorBidi" w:hAnsiTheme="minorBidi" w:cstheme="minorBidi"/>
                <w:b/>
                <w:bCs/>
                <w:sz w:val="20"/>
                <w:szCs w:val="20"/>
                <w:lang w:val="en-GB"/>
              </w:rPr>
              <w:t>Kulturno</w:t>
            </w:r>
            <w:proofErr w:type="spellEnd"/>
            <w:r w:rsidRPr="000D2922">
              <w:rPr>
                <w:rFonts w:asciiTheme="minorBidi" w:hAnsiTheme="minorBidi" w:cstheme="minorBidi"/>
                <w:b/>
                <w:bCs/>
                <w:sz w:val="20"/>
                <w:szCs w:val="20"/>
                <w:lang w:val="en-GB"/>
              </w:rPr>
              <w:t xml:space="preserve"> </w:t>
            </w:r>
            <w:proofErr w:type="spellStart"/>
            <w:r w:rsidRPr="000D2922">
              <w:rPr>
                <w:rFonts w:asciiTheme="minorBidi" w:hAnsiTheme="minorBidi" w:cstheme="minorBidi"/>
                <w:b/>
                <w:bCs/>
                <w:sz w:val="20"/>
                <w:szCs w:val="20"/>
                <w:lang w:val="en-GB"/>
              </w:rPr>
              <w:t>Umjetničko</w:t>
            </w:r>
            <w:proofErr w:type="spellEnd"/>
            <w:r w:rsidRPr="000D2922">
              <w:rPr>
                <w:rFonts w:asciiTheme="minorBidi" w:hAnsiTheme="minorBidi" w:cstheme="minorBidi"/>
                <w:b/>
                <w:bCs/>
                <w:sz w:val="20"/>
                <w:szCs w:val="20"/>
                <w:lang w:val="en-GB"/>
              </w:rPr>
              <w:t xml:space="preserve"> </w:t>
            </w:r>
            <w:proofErr w:type="spellStart"/>
            <w:r w:rsidRPr="000D2922">
              <w:rPr>
                <w:rFonts w:asciiTheme="minorBidi" w:hAnsiTheme="minorBidi" w:cstheme="minorBidi"/>
                <w:b/>
                <w:bCs/>
                <w:sz w:val="20"/>
                <w:szCs w:val="20"/>
                <w:lang w:val="en-GB"/>
              </w:rPr>
              <w:t>Društvo</w:t>
            </w:r>
            <w:proofErr w:type="spellEnd"/>
            <w:r w:rsidRPr="000D2922">
              <w:rPr>
                <w:rFonts w:asciiTheme="minorBidi" w:hAnsiTheme="minorBidi" w:cstheme="minorBidi"/>
                <w:b/>
                <w:bCs/>
                <w:sz w:val="20"/>
                <w:szCs w:val="20"/>
                <w:lang w:val="en-GB"/>
              </w:rPr>
              <w:t xml:space="preserve"> ‘</w:t>
            </w:r>
            <w:proofErr w:type="spellStart"/>
            <w:r w:rsidRPr="000D2922">
              <w:rPr>
                <w:rFonts w:asciiTheme="minorBidi" w:hAnsiTheme="minorBidi" w:cstheme="minorBidi"/>
                <w:b/>
                <w:bCs/>
                <w:sz w:val="20"/>
                <w:szCs w:val="20"/>
                <w:lang w:val="en-GB"/>
              </w:rPr>
              <w:t>Puračić</w:t>
            </w:r>
            <w:proofErr w:type="spellEnd"/>
            <w:r w:rsidRPr="000D2922">
              <w:rPr>
                <w:rFonts w:asciiTheme="minorBidi" w:hAnsiTheme="minorBidi" w:cstheme="minorBidi"/>
                <w:b/>
                <w:bCs/>
                <w:sz w:val="20"/>
                <w:szCs w:val="20"/>
                <w:lang w:val="en-GB"/>
              </w:rPr>
              <w:t>’</w:t>
            </w:r>
            <w:r w:rsidRPr="000D2922">
              <w:rPr>
                <w:rFonts w:asciiTheme="minorBidi" w:hAnsiTheme="minorBidi" w:cstheme="minorBidi"/>
                <w:sz w:val="20"/>
                <w:szCs w:val="20"/>
                <w:lang w:val="en-GB"/>
              </w:rPr>
              <w:br/>
              <w:t>Cultural Artistic Association ‘</w:t>
            </w:r>
            <w:proofErr w:type="spellStart"/>
            <w:r w:rsidRPr="000D2922">
              <w:rPr>
                <w:rFonts w:asciiTheme="minorBidi" w:hAnsiTheme="minorBidi" w:cstheme="minorBidi"/>
                <w:sz w:val="20"/>
                <w:szCs w:val="20"/>
                <w:lang w:val="en-GB"/>
              </w:rPr>
              <w:t>Puračić</w:t>
            </w:r>
            <w:proofErr w:type="spellEnd"/>
            <w:r w:rsidRPr="000D2922">
              <w:rPr>
                <w:rFonts w:asciiTheme="minorBidi" w:hAnsiTheme="minorBidi" w:cstheme="minorBidi"/>
                <w:sz w:val="20"/>
                <w:szCs w:val="20"/>
                <w:lang w:val="en-GB"/>
              </w:rPr>
              <w:t> </w:t>
            </w:r>
          </w:p>
        </w:tc>
        <w:tc>
          <w:tcPr>
            <w:tcW w:w="1010" w:type="pct"/>
            <w:shd w:val="clear" w:color="auto" w:fill="DBE5F1" w:themeFill="accent1" w:themeFillTint="33"/>
            <w:vAlign w:val="center"/>
          </w:tcPr>
          <w:p w14:paraId="6F9592C6"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Bosnie et Herzégovine</w:t>
            </w:r>
          </w:p>
        </w:tc>
        <w:tc>
          <w:tcPr>
            <w:tcW w:w="842" w:type="pct"/>
            <w:shd w:val="clear" w:color="auto" w:fill="DBE5F1" w:themeFill="accent1" w:themeFillTint="33"/>
            <w:vAlign w:val="center"/>
          </w:tcPr>
          <w:p w14:paraId="582CB562"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NGO-90541</w:t>
            </w:r>
          </w:p>
        </w:tc>
      </w:tr>
      <w:tr w:rsidR="00DD751E" w:rsidRPr="000D358B" w14:paraId="743FC4C9" w14:textId="77777777" w:rsidTr="00886F82">
        <w:trPr>
          <w:trHeight w:val="576"/>
        </w:trPr>
        <w:tc>
          <w:tcPr>
            <w:tcW w:w="3148" w:type="pct"/>
            <w:vAlign w:val="center"/>
          </w:tcPr>
          <w:p w14:paraId="52076488" w14:textId="77777777" w:rsidR="00DD751E" w:rsidRPr="000D2922" w:rsidRDefault="00DD751E" w:rsidP="008319A4">
            <w:pPr>
              <w:contextualSpacing/>
              <w:rPr>
                <w:rFonts w:asciiTheme="minorBidi" w:hAnsiTheme="minorBidi" w:cstheme="minorBidi"/>
                <w:b/>
                <w:bCs/>
                <w:sz w:val="20"/>
                <w:szCs w:val="20"/>
              </w:rPr>
            </w:pPr>
            <w:proofErr w:type="spellStart"/>
            <w:r w:rsidRPr="000D2922">
              <w:rPr>
                <w:rFonts w:asciiTheme="minorBidi" w:hAnsiTheme="minorBidi" w:cstheme="minorBidi"/>
                <w:b/>
                <w:bCs/>
                <w:sz w:val="20"/>
                <w:szCs w:val="20"/>
                <w:lang w:val="en-GB"/>
              </w:rPr>
              <w:t>L’Œuvre</w:t>
            </w:r>
            <w:proofErr w:type="spellEnd"/>
            <w:r w:rsidRPr="000D2922">
              <w:rPr>
                <w:rFonts w:asciiTheme="minorBidi" w:hAnsiTheme="minorBidi" w:cstheme="minorBidi"/>
                <w:b/>
                <w:bCs/>
                <w:sz w:val="20"/>
                <w:szCs w:val="20"/>
                <w:lang w:val="en-GB"/>
              </w:rPr>
              <w:t xml:space="preserve"> </w:t>
            </w:r>
            <w:proofErr w:type="spellStart"/>
            <w:r w:rsidRPr="000D2922">
              <w:rPr>
                <w:rFonts w:asciiTheme="minorBidi" w:hAnsiTheme="minorBidi" w:cstheme="minorBidi"/>
                <w:b/>
                <w:bCs/>
                <w:sz w:val="20"/>
                <w:szCs w:val="20"/>
                <w:lang w:val="en-GB"/>
              </w:rPr>
              <w:t>d’Orient</w:t>
            </w:r>
            <w:proofErr w:type="spellEnd"/>
          </w:p>
        </w:tc>
        <w:tc>
          <w:tcPr>
            <w:tcW w:w="1010" w:type="pct"/>
            <w:vAlign w:val="center"/>
          </w:tcPr>
          <w:p w14:paraId="00A8A222"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France</w:t>
            </w:r>
          </w:p>
        </w:tc>
        <w:tc>
          <w:tcPr>
            <w:tcW w:w="842" w:type="pct"/>
            <w:vAlign w:val="center"/>
          </w:tcPr>
          <w:p w14:paraId="606094F7"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NGO-90548</w:t>
            </w:r>
          </w:p>
        </w:tc>
      </w:tr>
      <w:tr w:rsidR="00DD751E" w:rsidRPr="000D358B" w14:paraId="5FB6B53C" w14:textId="77777777" w:rsidTr="00886F82">
        <w:trPr>
          <w:trHeight w:val="576"/>
        </w:trPr>
        <w:tc>
          <w:tcPr>
            <w:tcW w:w="3148" w:type="pct"/>
            <w:shd w:val="clear" w:color="auto" w:fill="DBE5F1" w:themeFill="accent1" w:themeFillTint="33"/>
            <w:vAlign w:val="center"/>
          </w:tcPr>
          <w:p w14:paraId="4D6D3E64" w14:textId="77777777" w:rsidR="00DD751E" w:rsidRPr="000D2922" w:rsidRDefault="00DD751E" w:rsidP="008319A4">
            <w:pPr>
              <w:contextualSpacing/>
              <w:rPr>
                <w:rFonts w:asciiTheme="minorBidi" w:hAnsiTheme="minorBidi" w:cstheme="minorBidi"/>
                <w:b/>
                <w:bCs/>
                <w:sz w:val="20"/>
                <w:szCs w:val="20"/>
              </w:rPr>
            </w:pPr>
            <w:r w:rsidRPr="000D2922">
              <w:rPr>
                <w:rFonts w:asciiTheme="minorBidi" w:hAnsiTheme="minorBidi" w:cstheme="minorBidi"/>
                <w:b/>
                <w:bCs/>
                <w:sz w:val="20"/>
                <w:szCs w:val="20"/>
              </w:rPr>
              <w:t>Office pour le Patrimoine Immatériel - OPCI-</w:t>
            </w:r>
            <w:proofErr w:type="spellStart"/>
            <w:r w:rsidRPr="000D2922">
              <w:rPr>
                <w:rFonts w:asciiTheme="minorBidi" w:hAnsiTheme="minorBidi" w:cstheme="minorBidi"/>
                <w:b/>
                <w:bCs/>
                <w:sz w:val="20"/>
                <w:szCs w:val="20"/>
              </w:rPr>
              <w:t>Ethnodoc</w:t>
            </w:r>
            <w:proofErr w:type="spellEnd"/>
          </w:p>
        </w:tc>
        <w:tc>
          <w:tcPr>
            <w:tcW w:w="1010" w:type="pct"/>
            <w:shd w:val="clear" w:color="auto" w:fill="DBE5F1" w:themeFill="accent1" w:themeFillTint="33"/>
            <w:vAlign w:val="center"/>
          </w:tcPr>
          <w:p w14:paraId="72FF6767"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France</w:t>
            </w:r>
          </w:p>
        </w:tc>
        <w:tc>
          <w:tcPr>
            <w:tcW w:w="842" w:type="pct"/>
            <w:shd w:val="clear" w:color="auto" w:fill="DBE5F1" w:themeFill="accent1" w:themeFillTint="33"/>
            <w:vAlign w:val="center"/>
          </w:tcPr>
          <w:p w14:paraId="4B2EDBE5"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NGO-90536</w:t>
            </w:r>
          </w:p>
        </w:tc>
      </w:tr>
      <w:tr w:rsidR="00DD751E" w:rsidRPr="000D358B" w14:paraId="26286F7C" w14:textId="77777777" w:rsidTr="00886F82">
        <w:trPr>
          <w:trHeight w:val="576"/>
        </w:trPr>
        <w:tc>
          <w:tcPr>
            <w:tcW w:w="3148" w:type="pct"/>
            <w:vAlign w:val="center"/>
          </w:tcPr>
          <w:p w14:paraId="7F539EDA" w14:textId="77777777" w:rsidR="00DD751E" w:rsidRPr="008319A4" w:rsidRDefault="00DD751E" w:rsidP="008319A4">
            <w:pPr>
              <w:contextualSpacing/>
              <w:rPr>
                <w:rFonts w:asciiTheme="minorBidi" w:hAnsiTheme="minorBidi" w:cstheme="minorBidi"/>
                <w:b/>
                <w:bCs/>
                <w:sz w:val="20"/>
                <w:szCs w:val="20"/>
                <w:lang w:val="pt-PT"/>
              </w:rPr>
            </w:pPr>
            <w:r w:rsidRPr="000D2922">
              <w:rPr>
                <w:rFonts w:asciiTheme="minorBidi" w:hAnsiTheme="minorBidi" w:cstheme="minorBidi"/>
                <w:b/>
                <w:bCs/>
                <w:sz w:val="20"/>
                <w:szCs w:val="20"/>
                <w:lang w:val="pt-BR"/>
              </w:rPr>
              <w:t>Operação Amazônia Nativa (OPAN)</w:t>
            </w:r>
            <w:r w:rsidRPr="000D2922">
              <w:rPr>
                <w:rFonts w:asciiTheme="minorBidi" w:hAnsiTheme="minorBidi" w:cstheme="minorBidi"/>
                <w:sz w:val="20"/>
                <w:szCs w:val="20"/>
                <w:lang w:val="pt-BR"/>
              </w:rPr>
              <w:br/>
              <w:t>Operation Amazon Native (OPAN)</w:t>
            </w:r>
          </w:p>
        </w:tc>
        <w:tc>
          <w:tcPr>
            <w:tcW w:w="1010" w:type="pct"/>
            <w:vAlign w:val="center"/>
          </w:tcPr>
          <w:p w14:paraId="46020C27"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Brésil</w:t>
            </w:r>
          </w:p>
        </w:tc>
        <w:tc>
          <w:tcPr>
            <w:tcW w:w="842" w:type="pct"/>
            <w:vAlign w:val="center"/>
          </w:tcPr>
          <w:p w14:paraId="579910DA"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NGO-90559</w:t>
            </w:r>
          </w:p>
        </w:tc>
      </w:tr>
      <w:tr w:rsidR="00DD751E" w:rsidRPr="000D358B" w14:paraId="22E7130B" w14:textId="77777777" w:rsidTr="00582E1B">
        <w:trPr>
          <w:trHeight w:val="1144"/>
        </w:trPr>
        <w:tc>
          <w:tcPr>
            <w:tcW w:w="3148" w:type="pct"/>
            <w:shd w:val="clear" w:color="auto" w:fill="DBE5F1" w:themeFill="accent1" w:themeFillTint="33"/>
            <w:vAlign w:val="center"/>
          </w:tcPr>
          <w:p w14:paraId="7849BE49" w14:textId="77777777" w:rsidR="00DD751E" w:rsidRPr="00C24AC0" w:rsidRDefault="00DD751E" w:rsidP="008319A4">
            <w:pPr>
              <w:contextualSpacing/>
              <w:rPr>
                <w:rFonts w:asciiTheme="minorBidi" w:hAnsiTheme="minorBidi" w:cstheme="minorBidi"/>
                <w:b/>
                <w:bCs/>
                <w:sz w:val="20"/>
                <w:szCs w:val="20"/>
              </w:rPr>
            </w:pPr>
            <w:r w:rsidRPr="008319A4">
              <w:rPr>
                <w:rFonts w:asciiTheme="minorBidi" w:hAnsiTheme="minorBidi" w:cstheme="minorBidi"/>
                <w:b/>
                <w:bCs/>
                <w:sz w:val="20"/>
                <w:szCs w:val="20"/>
                <w:lang w:val="it-IT"/>
              </w:rPr>
              <w:t>O.R.S. Osservatorio Ricerca Sociale. Centro studi, politiche e ricerche sociali - APS</w:t>
            </w:r>
            <w:r w:rsidRPr="008319A4">
              <w:rPr>
                <w:rFonts w:asciiTheme="minorBidi" w:hAnsiTheme="minorBidi" w:cstheme="minorBidi"/>
                <w:b/>
                <w:bCs/>
                <w:sz w:val="20"/>
                <w:szCs w:val="20"/>
                <w:lang w:val="it-IT"/>
              </w:rPr>
              <w:br/>
            </w:r>
            <w:r w:rsidRPr="008319A4">
              <w:rPr>
                <w:rFonts w:asciiTheme="minorBidi" w:hAnsiTheme="minorBidi" w:cstheme="minorBidi"/>
                <w:sz w:val="20"/>
                <w:szCs w:val="20"/>
                <w:lang w:val="it-IT"/>
              </w:rPr>
              <w:t xml:space="preserve">O.R.S. Social Research Observatory. </w:t>
            </w:r>
            <w:r w:rsidRPr="00C24AC0">
              <w:rPr>
                <w:rFonts w:asciiTheme="minorBidi" w:hAnsiTheme="minorBidi" w:cstheme="minorBidi"/>
                <w:sz w:val="20"/>
                <w:szCs w:val="20"/>
              </w:rPr>
              <w:t xml:space="preserve">Centre </w:t>
            </w:r>
            <w:proofErr w:type="spellStart"/>
            <w:r w:rsidRPr="00C24AC0">
              <w:rPr>
                <w:rFonts w:asciiTheme="minorBidi" w:hAnsiTheme="minorBidi" w:cstheme="minorBidi"/>
                <w:sz w:val="20"/>
                <w:szCs w:val="20"/>
              </w:rPr>
              <w:t>studies</w:t>
            </w:r>
            <w:proofErr w:type="spellEnd"/>
            <w:r w:rsidRPr="00C24AC0">
              <w:rPr>
                <w:rFonts w:asciiTheme="minorBidi" w:hAnsiTheme="minorBidi" w:cstheme="minorBidi"/>
                <w:sz w:val="20"/>
                <w:szCs w:val="20"/>
              </w:rPr>
              <w:t xml:space="preserve">, </w:t>
            </w:r>
            <w:proofErr w:type="spellStart"/>
            <w:r w:rsidRPr="00C24AC0">
              <w:rPr>
                <w:rFonts w:asciiTheme="minorBidi" w:hAnsiTheme="minorBidi" w:cstheme="minorBidi"/>
                <w:sz w:val="20"/>
                <w:szCs w:val="20"/>
              </w:rPr>
              <w:t>policies</w:t>
            </w:r>
            <w:proofErr w:type="spellEnd"/>
            <w:r w:rsidRPr="00C24AC0">
              <w:rPr>
                <w:rFonts w:asciiTheme="minorBidi" w:hAnsiTheme="minorBidi" w:cstheme="minorBidi"/>
                <w:sz w:val="20"/>
                <w:szCs w:val="20"/>
              </w:rPr>
              <w:t xml:space="preserve"> and social </w:t>
            </w:r>
            <w:proofErr w:type="spellStart"/>
            <w:r w:rsidRPr="00C24AC0">
              <w:rPr>
                <w:rFonts w:asciiTheme="minorBidi" w:hAnsiTheme="minorBidi" w:cstheme="minorBidi"/>
                <w:sz w:val="20"/>
                <w:szCs w:val="20"/>
              </w:rPr>
              <w:t>researches</w:t>
            </w:r>
            <w:proofErr w:type="spellEnd"/>
            <w:r w:rsidRPr="00C24AC0">
              <w:rPr>
                <w:rFonts w:asciiTheme="minorBidi" w:hAnsiTheme="minorBidi" w:cstheme="minorBidi"/>
                <w:sz w:val="20"/>
                <w:szCs w:val="20"/>
              </w:rPr>
              <w:t xml:space="preserve"> - APS</w:t>
            </w:r>
          </w:p>
        </w:tc>
        <w:tc>
          <w:tcPr>
            <w:tcW w:w="1010" w:type="pct"/>
            <w:shd w:val="clear" w:color="auto" w:fill="DBE5F1" w:themeFill="accent1" w:themeFillTint="33"/>
            <w:vAlign w:val="center"/>
          </w:tcPr>
          <w:p w14:paraId="4015F958"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Italie</w:t>
            </w:r>
          </w:p>
        </w:tc>
        <w:tc>
          <w:tcPr>
            <w:tcW w:w="842" w:type="pct"/>
            <w:shd w:val="clear" w:color="auto" w:fill="DBE5F1" w:themeFill="accent1" w:themeFillTint="33"/>
            <w:vAlign w:val="center"/>
          </w:tcPr>
          <w:p w14:paraId="260B8481"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NGO-90539</w:t>
            </w:r>
          </w:p>
        </w:tc>
      </w:tr>
      <w:tr w:rsidR="00DD751E" w:rsidRPr="000D358B" w14:paraId="452E3B88" w14:textId="77777777" w:rsidTr="00A502CC">
        <w:trPr>
          <w:trHeight w:val="615"/>
        </w:trPr>
        <w:tc>
          <w:tcPr>
            <w:tcW w:w="3148" w:type="pct"/>
            <w:shd w:val="clear" w:color="auto" w:fill="auto"/>
            <w:vAlign w:val="center"/>
          </w:tcPr>
          <w:p w14:paraId="15D26018" w14:textId="77777777" w:rsidR="00DD751E" w:rsidRPr="008319A4" w:rsidRDefault="00DD751E" w:rsidP="008319A4">
            <w:pPr>
              <w:contextualSpacing/>
              <w:rPr>
                <w:rFonts w:asciiTheme="minorBidi" w:hAnsiTheme="minorBidi" w:cstheme="minorBidi"/>
                <w:b/>
                <w:bCs/>
                <w:sz w:val="20"/>
                <w:szCs w:val="20"/>
                <w:lang w:val="en-US"/>
              </w:rPr>
            </w:pPr>
            <w:r w:rsidRPr="000D2922">
              <w:rPr>
                <w:rFonts w:asciiTheme="minorBidi" w:hAnsiTheme="minorBidi" w:cstheme="minorBidi"/>
                <w:b/>
                <w:bCs/>
                <w:sz w:val="20"/>
                <w:szCs w:val="20"/>
                <w:lang w:val="en-GB"/>
              </w:rPr>
              <w:t>International Bobbin and Needle Lace Organisation</w:t>
            </w:r>
          </w:p>
        </w:tc>
        <w:tc>
          <w:tcPr>
            <w:tcW w:w="1010" w:type="pct"/>
            <w:shd w:val="clear" w:color="auto" w:fill="auto"/>
            <w:vAlign w:val="center"/>
          </w:tcPr>
          <w:p w14:paraId="42BD3D0E"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France</w:t>
            </w:r>
          </w:p>
        </w:tc>
        <w:tc>
          <w:tcPr>
            <w:tcW w:w="842" w:type="pct"/>
            <w:shd w:val="clear" w:color="auto" w:fill="auto"/>
            <w:vAlign w:val="center"/>
          </w:tcPr>
          <w:p w14:paraId="70DC0EBC"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NGO-90585</w:t>
            </w:r>
          </w:p>
        </w:tc>
      </w:tr>
      <w:tr w:rsidR="00DD751E" w:rsidRPr="000D358B" w14:paraId="66047C49" w14:textId="77777777" w:rsidTr="00A502CC">
        <w:trPr>
          <w:trHeight w:val="576"/>
        </w:trPr>
        <w:tc>
          <w:tcPr>
            <w:tcW w:w="3148" w:type="pct"/>
            <w:shd w:val="clear" w:color="auto" w:fill="DBE5F1" w:themeFill="accent1" w:themeFillTint="33"/>
            <w:vAlign w:val="center"/>
          </w:tcPr>
          <w:p w14:paraId="19AEA65A" w14:textId="77777777" w:rsidR="00DD751E" w:rsidRPr="000D2922" w:rsidRDefault="00DD751E" w:rsidP="008319A4">
            <w:pPr>
              <w:contextualSpacing/>
              <w:rPr>
                <w:rFonts w:asciiTheme="minorBidi" w:hAnsiTheme="minorBidi" w:cstheme="minorBidi"/>
                <w:b/>
                <w:bCs/>
                <w:sz w:val="20"/>
                <w:szCs w:val="20"/>
              </w:rPr>
            </w:pPr>
            <w:r w:rsidRPr="000D2922">
              <w:rPr>
                <w:rFonts w:asciiTheme="minorBidi" w:hAnsiTheme="minorBidi" w:cstheme="minorBidi"/>
                <w:b/>
                <w:bCs/>
                <w:sz w:val="20"/>
                <w:szCs w:val="20"/>
                <w:lang w:val="en-GB"/>
              </w:rPr>
              <w:t>Pearl Rhythm Foundation</w:t>
            </w:r>
          </w:p>
        </w:tc>
        <w:tc>
          <w:tcPr>
            <w:tcW w:w="1010" w:type="pct"/>
            <w:shd w:val="clear" w:color="auto" w:fill="DBE5F1" w:themeFill="accent1" w:themeFillTint="33"/>
            <w:vAlign w:val="center"/>
          </w:tcPr>
          <w:p w14:paraId="5C308B48"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Ouganda</w:t>
            </w:r>
          </w:p>
        </w:tc>
        <w:tc>
          <w:tcPr>
            <w:tcW w:w="842" w:type="pct"/>
            <w:shd w:val="clear" w:color="auto" w:fill="DBE5F1" w:themeFill="accent1" w:themeFillTint="33"/>
            <w:vAlign w:val="center"/>
          </w:tcPr>
          <w:p w14:paraId="4D5C3906"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NGO-90578</w:t>
            </w:r>
          </w:p>
        </w:tc>
      </w:tr>
      <w:tr w:rsidR="00DD751E" w:rsidRPr="000D358B" w14:paraId="5291508F" w14:textId="77777777" w:rsidTr="00A502CC">
        <w:trPr>
          <w:trHeight w:val="576"/>
        </w:trPr>
        <w:tc>
          <w:tcPr>
            <w:tcW w:w="3148" w:type="pct"/>
            <w:shd w:val="clear" w:color="auto" w:fill="auto"/>
            <w:vAlign w:val="center"/>
          </w:tcPr>
          <w:p w14:paraId="5520E5F1" w14:textId="77777777" w:rsidR="00DD751E" w:rsidRPr="003845D4" w:rsidRDefault="00DD751E" w:rsidP="008319A4">
            <w:pPr>
              <w:contextualSpacing/>
              <w:rPr>
                <w:rFonts w:asciiTheme="minorBidi" w:hAnsiTheme="minorBidi" w:cstheme="minorBidi"/>
                <w:b/>
                <w:bCs/>
                <w:sz w:val="20"/>
                <w:szCs w:val="20"/>
                <w:lang w:val="es-ES"/>
              </w:rPr>
            </w:pPr>
            <w:proofErr w:type="spellStart"/>
            <w:r w:rsidRPr="003845D4">
              <w:rPr>
                <w:rFonts w:asciiTheme="minorBidi" w:hAnsiTheme="minorBidi" w:cstheme="minorBidi"/>
                <w:b/>
                <w:bCs/>
                <w:sz w:val="20"/>
                <w:szCs w:val="20"/>
                <w:lang w:val="es-ES"/>
              </w:rPr>
              <w:t>Persatuan</w:t>
            </w:r>
            <w:proofErr w:type="spellEnd"/>
            <w:r w:rsidRPr="003845D4">
              <w:rPr>
                <w:rFonts w:asciiTheme="minorBidi" w:hAnsiTheme="minorBidi" w:cstheme="minorBidi"/>
                <w:b/>
                <w:bCs/>
                <w:sz w:val="20"/>
                <w:szCs w:val="20"/>
                <w:lang w:val="es-ES"/>
              </w:rPr>
              <w:t xml:space="preserve"> </w:t>
            </w:r>
            <w:proofErr w:type="spellStart"/>
            <w:r w:rsidRPr="003845D4">
              <w:rPr>
                <w:rFonts w:asciiTheme="minorBidi" w:hAnsiTheme="minorBidi" w:cstheme="minorBidi"/>
                <w:b/>
                <w:bCs/>
                <w:sz w:val="20"/>
                <w:szCs w:val="20"/>
                <w:lang w:val="es-ES"/>
              </w:rPr>
              <w:t>Penulis</w:t>
            </w:r>
            <w:proofErr w:type="spellEnd"/>
            <w:r w:rsidRPr="003845D4">
              <w:rPr>
                <w:rFonts w:asciiTheme="minorBidi" w:hAnsiTheme="minorBidi" w:cstheme="minorBidi"/>
                <w:b/>
                <w:bCs/>
                <w:sz w:val="20"/>
                <w:szCs w:val="20"/>
                <w:lang w:val="es-ES"/>
              </w:rPr>
              <w:t xml:space="preserve"> </w:t>
            </w:r>
            <w:proofErr w:type="spellStart"/>
            <w:r w:rsidRPr="003845D4">
              <w:rPr>
                <w:rFonts w:asciiTheme="minorBidi" w:hAnsiTheme="minorBidi" w:cstheme="minorBidi"/>
                <w:b/>
                <w:bCs/>
                <w:sz w:val="20"/>
                <w:szCs w:val="20"/>
                <w:lang w:val="es-ES"/>
              </w:rPr>
              <w:t>Nasional</w:t>
            </w:r>
            <w:proofErr w:type="spellEnd"/>
            <w:r w:rsidRPr="003845D4">
              <w:rPr>
                <w:rFonts w:asciiTheme="minorBidi" w:hAnsiTheme="minorBidi" w:cstheme="minorBidi"/>
                <w:b/>
                <w:bCs/>
                <w:sz w:val="20"/>
                <w:szCs w:val="20"/>
                <w:lang w:val="es-ES"/>
              </w:rPr>
              <w:t xml:space="preserve"> Malaysia (PENA) </w:t>
            </w:r>
          </w:p>
          <w:p w14:paraId="6A223E31" w14:textId="77777777" w:rsidR="00DD751E" w:rsidRPr="000D2922" w:rsidRDefault="00DD751E" w:rsidP="008319A4">
            <w:pPr>
              <w:contextualSpacing/>
              <w:rPr>
                <w:rFonts w:asciiTheme="minorBidi" w:hAnsiTheme="minorBidi" w:cstheme="minorBidi"/>
                <w:sz w:val="20"/>
                <w:szCs w:val="20"/>
              </w:rPr>
            </w:pPr>
            <w:r w:rsidRPr="000D2922">
              <w:rPr>
                <w:rFonts w:asciiTheme="minorBidi" w:hAnsiTheme="minorBidi" w:cstheme="minorBidi"/>
                <w:sz w:val="20"/>
                <w:szCs w:val="20"/>
                <w:lang w:val="en-GB"/>
              </w:rPr>
              <w:t>Malaysian National Writers Association (PENA)</w:t>
            </w:r>
          </w:p>
        </w:tc>
        <w:tc>
          <w:tcPr>
            <w:tcW w:w="1010" w:type="pct"/>
            <w:shd w:val="clear" w:color="auto" w:fill="auto"/>
            <w:vAlign w:val="center"/>
          </w:tcPr>
          <w:p w14:paraId="3EB8D05E"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Malaisie</w:t>
            </w:r>
          </w:p>
        </w:tc>
        <w:tc>
          <w:tcPr>
            <w:tcW w:w="842" w:type="pct"/>
            <w:shd w:val="clear" w:color="auto" w:fill="auto"/>
            <w:vAlign w:val="center"/>
          </w:tcPr>
          <w:p w14:paraId="531E7592" w14:textId="77777777" w:rsidR="00DD751E" w:rsidRPr="000D2922" w:rsidRDefault="00DD751E" w:rsidP="008319A4">
            <w:pPr>
              <w:pStyle w:val="Titre9"/>
              <w:jc w:val="center"/>
              <w:rPr>
                <w:rFonts w:asciiTheme="minorBidi" w:hAnsiTheme="minorBidi" w:cstheme="minorBidi"/>
                <w:i w:val="0"/>
                <w:iCs w:val="0"/>
                <w:sz w:val="20"/>
                <w:szCs w:val="20"/>
              </w:rPr>
            </w:pPr>
            <w:r>
              <w:rPr>
                <w:rFonts w:asciiTheme="minorBidi" w:hAnsiTheme="minorBidi"/>
                <w:i w:val="0"/>
                <w:sz w:val="20"/>
              </w:rPr>
              <w:t>NGO-90587</w:t>
            </w:r>
          </w:p>
        </w:tc>
      </w:tr>
      <w:tr w:rsidR="00DD751E" w:rsidRPr="000D358B" w14:paraId="2205EA3C" w14:textId="77777777" w:rsidTr="00582E1B">
        <w:trPr>
          <w:trHeight w:val="888"/>
        </w:trPr>
        <w:tc>
          <w:tcPr>
            <w:tcW w:w="3148" w:type="pct"/>
            <w:shd w:val="clear" w:color="auto" w:fill="DBE5F1" w:themeFill="accent1" w:themeFillTint="33"/>
            <w:vAlign w:val="center"/>
          </w:tcPr>
          <w:p w14:paraId="2BCC54B8" w14:textId="77777777" w:rsidR="00DD751E" w:rsidRPr="00CC1A46" w:rsidRDefault="00DD751E" w:rsidP="008319A4">
            <w:pPr>
              <w:contextualSpacing/>
              <w:rPr>
                <w:rFonts w:asciiTheme="minorBidi" w:hAnsiTheme="minorBidi" w:cstheme="minorBidi"/>
                <w:sz w:val="20"/>
                <w:szCs w:val="20"/>
                <w:lang w:val="en-GB"/>
              </w:rPr>
            </w:pPr>
            <w:proofErr w:type="spellStart"/>
            <w:r w:rsidRPr="00CC1A46">
              <w:rPr>
                <w:rFonts w:asciiTheme="minorBidi" w:hAnsiTheme="minorBidi" w:cstheme="minorBidi"/>
                <w:b/>
                <w:bCs/>
                <w:sz w:val="20"/>
                <w:szCs w:val="20"/>
                <w:lang w:val="en-GB"/>
              </w:rPr>
              <w:t>Pertubuhan</w:t>
            </w:r>
            <w:proofErr w:type="spellEnd"/>
            <w:r w:rsidRPr="00CC1A46">
              <w:rPr>
                <w:rFonts w:asciiTheme="minorBidi" w:hAnsiTheme="minorBidi" w:cstheme="minorBidi"/>
                <w:b/>
                <w:bCs/>
                <w:sz w:val="20"/>
                <w:szCs w:val="20"/>
                <w:lang w:val="en-GB"/>
              </w:rPr>
              <w:t xml:space="preserve"> Kraft Malaysia (</w:t>
            </w:r>
            <w:proofErr w:type="spellStart"/>
            <w:r w:rsidRPr="00CC1A46">
              <w:rPr>
                <w:rFonts w:asciiTheme="minorBidi" w:hAnsiTheme="minorBidi" w:cstheme="minorBidi"/>
                <w:b/>
                <w:bCs/>
                <w:sz w:val="20"/>
                <w:szCs w:val="20"/>
                <w:lang w:val="en-GB"/>
              </w:rPr>
              <w:t>Dikenali</w:t>
            </w:r>
            <w:proofErr w:type="spellEnd"/>
            <w:r w:rsidRPr="00CC1A46">
              <w:rPr>
                <w:rFonts w:asciiTheme="minorBidi" w:hAnsiTheme="minorBidi" w:cstheme="minorBidi"/>
                <w:b/>
                <w:bCs/>
                <w:sz w:val="20"/>
                <w:szCs w:val="20"/>
                <w:lang w:val="en-GB"/>
              </w:rPr>
              <w:t xml:space="preserve"> </w:t>
            </w:r>
            <w:proofErr w:type="spellStart"/>
            <w:r w:rsidRPr="00CC1A46">
              <w:rPr>
                <w:rFonts w:asciiTheme="minorBidi" w:hAnsiTheme="minorBidi" w:cstheme="minorBidi"/>
                <w:b/>
                <w:bCs/>
                <w:sz w:val="20"/>
                <w:szCs w:val="20"/>
                <w:lang w:val="en-GB"/>
              </w:rPr>
              <w:t>Sebagai</w:t>
            </w:r>
            <w:proofErr w:type="spellEnd"/>
            <w:r w:rsidRPr="00CC1A46">
              <w:rPr>
                <w:rFonts w:asciiTheme="minorBidi" w:hAnsiTheme="minorBidi" w:cstheme="minorBidi"/>
                <w:b/>
                <w:bCs/>
                <w:sz w:val="20"/>
                <w:szCs w:val="20"/>
                <w:lang w:val="en-GB"/>
              </w:rPr>
              <w:t xml:space="preserve"> Malaysian Craft Council)</w:t>
            </w:r>
            <w:r w:rsidRPr="00CC1A46">
              <w:rPr>
                <w:rFonts w:asciiTheme="minorBidi" w:hAnsiTheme="minorBidi" w:cstheme="minorBidi"/>
                <w:sz w:val="20"/>
                <w:szCs w:val="20"/>
                <w:lang w:val="en-GB"/>
              </w:rPr>
              <w:br/>
              <w:t>Malaysian Craft Council</w:t>
            </w:r>
          </w:p>
        </w:tc>
        <w:tc>
          <w:tcPr>
            <w:tcW w:w="1010" w:type="pct"/>
            <w:shd w:val="clear" w:color="auto" w:fill="DBE5F1" w:themeFill="accent1" w:themeFillTint="33"/>
            <w:vAlign w:val="center"/>
          </w:tcPr>
          <w:p w14:paraId="58DAD75B"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Malaisie</w:t>
            </w:r>
          </w:p>
        </w:tc>
        <w:tc>
          <w:tcPr>
            <w:tcW w:w="842" w:type="pct"/>
            <w:shd w:val="clear" w:color="auto" w:fill="DBE5F1" w:themeFill="accent1" w:themeFillTint="33"/>
            <w:vAlign w:val="center"/>
          </w:tcPr>
          <w:p w14:paraId="5E84A6F5"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NGO-90531</w:t>
            </w:r>
          </w:p>
        </w:tc>
      </w:tr>
      <w:tr w:rsidR="00DD751E" w:rsidRPr="000D358B" w14:paraId="3A480521" w14:textId="77777777" w:rsidTr="00A502CC">
        <w:trPr>
          <w:trHeight w:val="576"/>
        </w:trPr>
        <w:tc>
          <w:tcPr>
            <w:tcW w:w="3148" w:type="pct"/>
            <w:shd w:val="clear" w:color="auto" w:fill="auto"/>
            <w:vAlign w:val="center"/>
          </w:tcPr>
          <w:p w14:paraId="57F7C27B" w14:textId="77777777" w:rsidR="00DD751E" w:rsidRPr="00CC1A46" w:rsidRDefault="00DD751E" w:rsidP="008319A4">
            <w:pPr>
              <w:contextualSpacing/>
              <w:rPr>
                <w:rFonts w:asciiTheme="minorBidi" w:hAnsiTheme="minorBidi" w:cstheme="minorBidi"/>
                <w:sz w:val="20"/>
                <w:szCs w:val="20"/>
                <w:lang w:val="en-GB"/>
              </w:rPr>
            </w:pPr>
            <w:r w:rsidRPr="00CC1A46">
              <w:rPr>
                <w:rFonts w:asciiTheme="minorBidi" w:hAnsiTheme="minorBidi" w:cstheme="minorBidi"/>
                <w:b/>
                <w:bCs/>
                <w:sz w:val="20"/>
                <w:szCs w:val="20"/>
                <w:lang w:val="en-GB"/>
              </w:rPr>
              <w:t xml:space="preserve">Pusat </w:t>
            </w:r>
            <w:proofErr w:type="spellStart"/>
            <w:r w:rsidRPr="00CC1A46">
              <w:rPr>
                <w:rFonts w:asciiTheme="minorBidi" w:hAnsiTheme="minorBidi" w:cstheme="minorBidi"/>
                <w:b/>
                <w:bCs/>
                <w:sz w:val="20"/>
                <w:szCs w:val="20"/>
                <w:lang w:val="en-GB"/>
              </w:rPr>
              <w:t>Budaya</w:t>
            </w:r>
            <w:proofErr w:type="spellEnd"/>
            <w:r w:rsidRPr="00CC1A46">
              <w:rPr>
                <w:rFonts w:asciiTheme="minorBidi" w:hAnsiTheme="minorBidi" w:cstheme="minorBidi"/>
                <w:b/>
                <w:bCs/>
                <w:sz w:val="20"/>
                <w:szCs w:val="20"/>
                <w:lang w:val="en-GB"/>
              </w:rPr>
              <w:t xml:space="preserve"> Pusaka SDN. BHD</w:t>
            </w:r>
            <w:r w:rsidRPr="00CC1A46">
              <w:rPr>
                <w:rFonts w:asciiTheme="minorBidi" w:hAnsiTheme="minorBidi" w:cstheme="minorBidi"/>
                <w:sz w:val="20"/>
                <w:szCs w:val="20"/>
                <w:lang w:val="en-GB"/>
              </w:rPr>
              <w:br/>
              <w:t>PUSAKA</w:t>
            </w:r>
          </w:p>
        </w:tc>
        <w:tc>
          <w:tcPr>
            <w:tcW w:w="1010" w:type="pct"/>
            <w:shd w:val="clear" w:color="auto" w:fill="auto"/>
            <w:vAlign w:val="center"/>
          </w:tcPr>
          <w:p w14:paraId="56ECDBD9"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Malaisie</w:t>
            </w:r>
          </w:p>
        </w:tc>
        <w:tc>
          <w:tcPr>
            <w:tcW w:w="842" w:type="pct"/>
            <w:shd w:val="clear" w:color="auto" w:fill="auto"/>
            <w:vAlign w:val="center"/>
          </w:tcPr>
          <w:p w14:paraId="57BAF4A3" w14:textId="77777777" w:rsidR="00DD751E" w:rsidRPr="000D2922" w:rsidRDefault="00DD751E" w:rsidP="008319A4">
            <w:pPr>
              <w:pStyle w:val="Titre7"/>
              <w:jc w:val="center"/>
              <w:rPr>
                <w:rFonts w:asciiTheme="minorBidi" w:hAnsiTheme="minorBidi" w:cstheme="minorBidi"/>
                <w:i w:val="0"/>
                <w:iCs w:val="0"/>
                <w:color w:val="auto"/>
                <w:sz w:val="20"/>
                <w:szCs w:val="20"/>
              </w:rPr>
            </w:pPr>
            <w:r>
              <w:rPr>
                <w:rFonts w:asciiTheme="minorBidi" w:hAnsiTheme="minorBidi"/>
                <w:i w:val="0"/>
                <w:color w:val="auto"/>
                <w:sz w:val="20"/>
              </w:rPr>
              <w:t>NGO-90532</w:t>
            </w:r>
          </w:p>
        </w:tc>
      </w:tr>
      <w:tr w:rsidR="00DD751E" w:rsidRPr="000D358B" w14:paraId="60057B68" w14:textId="77777777" w:rsidTr="00A502CC">
        <w:trPr>
          <w:trHeight w:val="576"/>
        </w:trPr>
        <w:tc>
          <w:tcPr>
            <w:tcW w:w="3148" w:type="pct"/>
            <w:shd w:val="clear" w:color="auto" w:fill="DBE5F1" w:themeFill="accent1" w:themeFillTint="33"/>
            <w:vAlign w:val="center"/>
          </w:tcPr>
          <w:p w14:paraId="77F99CC0" w14:textId="77777777" w:rsidR="00DD751E" w:rsidRPr="008319A4" w:rsidRDefault="00DD751E" w:rsidP="008319A4">
            <w:pPr>
              <w:contextualSpacing/>
              <w:rPr>
                <w:rFonts w:asciiTheme="minorBidi" w:hAnsiTheme="minorBidi" w:cstheme="minorBidi"/>
                <w:b/>
                <w:bCs/>
                <w:sz w:val="20"/>
                <w:szCs w:val="20"/>
                <w:lang w:val="en-US"/>
              </w:rPr>
            </w:pPr>
            <w:r w:rsidRPr="000D2922">
              <w:rPr>
                <w:rFonts w:asciiTheme="minorBidi" w:hAnsiTheme="minorBidi" w:cstheme="minorBidi"/>
                <w:b/>
                <w:bCs/>
                <w:sz w:val="20"/>
                <w:szCs w:val="20"/>
                <w:lang w:val="en-GB"/>
              </w:rPr>
              <w:t>International Repertory of Music Literature</w:t>
            </w:r>
          </w:p>
        </w:tc>
        <w:tc>
          <w:tcPr>
            <w:tcW w:w="1010" w:type="pct"/>
            <w:shd w:val="clear" w:color="auto" w:fill="DBE5F1" w:themeFill="accent1" w:themeFillTint="33"/>
            <w:vAlign w:val="center"/>
          </w:tcPr>
          <w:p w14:paraId="3DFF62D1"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États-Unis d’Amérique</w:t>
            </w:r>
          </w:p>
        </w:tc>
        <w:tc>
          <w:tcPr>
            <w:tcW w:w="842" w:type="pct"/>
            <w:shd w:val="clear" w:color="auto" w:fill="DBE5F1" w:themeFill="accent1" w:themeFillTint="33"/>
            <w:vAlign w:val="center"/>
          </w:tcPr>
          <w:p w14:paraId="097EC984"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NGO-90527</w:t>
            </w:r>
          </w:p>
        </w:tc>
      </w:tr>
      <w:tr w:rsidR="00DD751E" w:rsidRPr="000D358B" w14:paraId="14260CC8" w14:textId="77777777" w:rsidTr="00582E1B">
        <w:trPr>
          <w:trHeight w:val="649"/>
        </w:trPr>
        <w:tc>
          <w:tcPr>
            <w:tcW w:w="3148" w:type="pct"/>
            <w:shd w:val="clear" w:color="auto" w:fill="auto"/>
            <w:vAlign w:val="center"/>
          </w:tcPr>
          <w:p w14:paraId="4D5C364C" w14:textId="77777777" w:rsidR="00DD751E" w:rsidRPr="000D2922" w:rsidRDefault="00DD751E" w:rsidP="008319A4">
            <w:pPr>
              <w:contextualSpacing/>
              <w:rPr>
                <w:rFonts w:asciiTheme="minorBidi" w:hAnsiTheme="minorBidi" w:cstheme="minorBidi"/>
                <w:b/>
                <w:bCs/>
                <w:sz w:val="20"/>
                <w:szCs w:val="20"/>
              </w:rPr>
            </w:pPr>
            <w:r w:rsidRPr="000D2922">
              <w:rPr>
                <w:rFonts w:asciiTheme="minorBidi" w:hAnsiTheme="minorBidi" w:cstheme="minorBidi"/>
                <w:b/>
                <w:bCs/>
                <w:sz w:val="20"/>
                <w:szCs w:val="20"/>
                <w:lang w:val="en-GB"/>
              </w:rPr>
              <w:t>Society of Native Nations</w:t>
            </w:r>
          </w:p>
        </w:tc>
        <w:tc>
          <w:tcPr>
            <w:tcW w:w="1010" w:type="pct"/>
            <w:shd w:val="clear" w:color="auto" w:fill="auto"/>
            <w:vAlign w:val="center"/>
          </w:tcPr>
          <w:p w14:paraId="659BE291"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États-Unis d’Amérique</w:t>
            </w:r>
          </w:p>
        </w:tc>
        <w:tc>
          <w:tcPr>
            <w:tcW w:w="842" w:type="pct"/>
            <w:shd w:val="clear" w:color="auto" w:fill="auto"/>
            <w:vAlign w:val="center"/>
          </w:tcPr>
          <w:p w14:paraId="284FB02A"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NGO-90596</w:t>
            </w:r>
          </w:p>
        </w:tc>
      </w:tr>
      <w:tr w:rsidR="00DD751E" w:rsidRPr="000D358B" w14:paraId="0DCB3527" w14:textId="77777777" w:rsidTr="00A502CC">
        <w:trPr>
          <w:trHeight w:val="576"/>
        </w:trPr>
        <w:tc>
          <w:tcPr>
            <w:tcW w:w="3148" w:type="pct"/>
            <w:shd w:val="clear" w:color="auto" w:fill="DBE5F1" w:themeFill="accent1" w:themeFillTint="33"/>
            <w:vAlign w:val="center"/>
          </w:tcPr>
          <w:p w14:paraId="12C5201D" w14:textId="77777777" w:rsidR="00DD751E" w:rsidRPr="00CC1A46" w:rsidRDefault="00DD751E" w:rsidP="008319A4">
            <w:pPr>
              <w:contextualSpacing/>
              <w:rPr>
                <w:rFonts w:asciiTheme="minorBidi" w:hAnsiTheme="minorBidi" w:cstheme="minorBidi"/>
                <w:b/>
                <w:bCs/>
                <w:sz w:val="20"/>
                <w:szCs w:val="20"/>
                <w:lang w:val="es-ES"/>
              </w:rPr>
            </w:pPr>
            <w:r w:rsidRPr="00CC1A46">
              <w:rPr>
                <w:rFonts w:asciiTheme="minorBidi" w:hAnsiTheme="minorBidi" w:cstheme="minorBidi"/>
                <w:b/>
                <w:bCs/>
                <w:sz w:val="20"/>
                <w:szCs w:val="20"/>
                <w:lang w:val="es-ES"/>
              </w:rPr>
              <w:t xml:space="preserve">Sri </w:t>
            </w:r>
            <w:proofErr w:type="spellStart"/>
            <w:r w:rsidRPr="00CC1A46">
              <w:rPr>
                <w:rFonts w:asciiTheme="minorBidi" w:hAnsiTheme="minorBidi" w:cstheme="minorBidi"/>
                <w:b/>
                <w:bCs/>
                <w:sz w:val="20"/>
                <w:szCs w:val="20"/>
                <w:lang w:val="es-ES"/>
              </w:rPr>
              <w:t>Idagunji</w:t>
            </w:r>
            <w:proofErr w:type="spellEnd"/>
            <w:r w:rsidRPr="00CC1A46">
              <w:rPr>
                <w:rFonts w:asciiTheme="minorBidi" w:hAnsiTheme="minorBidi" w:cstheme="minorBidi"/>
                <w:b/>
                <w:bCs/>
                <w:sz w:val="20"/>
                <w:szCs w:val="20"/>
                <w:lang w:val="es-ES"/>
              </w:rPr>
              <w:t xml:space="preserve"> </w:t>
            </w:r>
            <w:proofErr w:type="spellStart"/>
            <w:r w:rsidRPr="00CC1A46">
              <w:rPr>
                <w:rFonts w:asciiTheme="minorBidi" w:hAnsiTheme="minorBidi" w:cstheme="minorBidi"/>
                <w:b/>
                <w:bCs/>
                <w:sz w:val="20"/>
                <w:szCs w:val="20"/>
                <w:lang w:val="es-ES"/>
              </w:rPr>
              <w:t>Mahaganapati</w:t>
            </w:r>
            <w:proofErr w:type="spellEnd"/>
            <w:r w:rsidRPr="00CC1A46">
              <w:rPr>
                <w:rFonts w:asciiTheme="minorBidi" w:hAnsiTheme="minorBidi" w:cstheme="minorBidi"/>
                <w:b/>
                <w:bCs/>
                <w:sz w:val="20"/>
                <w:szCs w:val="20"/>
                <w:lang w:val="es-ES"/>
              </w:rPr>
              <w:t xml:space="preserve"> </w:t>
            </w:r>
            <w:proofErr w:type="spellStart"/>
            <w:r w:rsidRPr="00CC1A46">
              <w:rPr>
                <w:rFonts w:asciiTheme="minorBidi" w:hAnsiTheme="minorBidi" w:cstheme="minorBidi"/>
                <w:b/>
                <w:bCs/>
                <w:sz w:val="20"/>
                <w:szCs w:val="20"/>
                <w:lang w:val="es-ES"/>
              </w:rPr>
              <w:t>Yakshagana</w:t>
            </w:r>
            <w:proofErr w:type="spellEnd"/>
            <w:r w:rsidRPr="00CC1A46">
              <w:rPr>
                <w:rFonts w:asciiTheme="minorBidi" w:hAnsiTheme="minorBidi" w:cstheme="minorBidi"/>
                <w:b/>
                <w:bCs/>
                <w:sz w:val="20"/>
                <w:szCs w:val="20"/>
                <w:lang w:val="es-ES"/>
              </w:rPr>
              <w:t xml:space="preserve"> </w:t>
            </w:r>
            <w:proofErr w:type="spellStart"/>
            <w:r w:rsidRPr="00CC1A46">
              <w:rPr>
                <w:rFonts w:asciiTheme="minorBidi" w:hAnsiTheme="minorBidi" w:cstheme="minorBidi"/>
                <w:b/>
                <w:bCs/>
                <w:sz w:val="20"/>
                <w:szCs w:val="20"/>
                <w:lang w:val="es-ES"/>
              </w:rPr>
              <w:t>Mandali</w:t>
            </w:r>
            <w:proofErr w:type="spellEnd"/>
            <w:r w:rsidRPr="00CC1A46">
              <w:rPr>
                <w:rFonts w:asciiTheme="minorBidi" w:hAnsiTheme="minorBidi" w:cstheme="minorBidi"/>
                <w:b/>
                <w:bCs/>
                <w:sz w:val="20"/>
                <w:szCs w:val="20"/>
                <w:lang w:val="es-ES"/>
              </w:rPr>
              <w:t xml:space="preserve">, </w:t>
            </w:r>
            <w:proofErr w:type="spellStart"/>
            <w:r w:rsidRPr="00CC1A46">
              <w:rPr>
                <w:rFonts w:asciiTheme="minorBidi" w:hAnsiTheme="minorBidi" w:cstheme="minorBidi"/>
                <w:b/>
                <w:bCs/>
                <w:sz w:val="20"/>
                <w:szCs w:val="20"/>
                <w:lang w:val="es-ES"/>
              </w:rPr>
              <w:t>Keremane</w:t>
            </w:r>
            <w:proofErr w:type="spellEnd"/>
            <w:r w:rsidRPr="00CC1A46">
              <w:rPr>
                <w:rFonts w:asciiTheme="minorBidi" w:hAnsiTheme="minorBidi" w:cstheme="minorBidi"/>
                <w:b/>
                <w:bCs/>
                <w:sz w:val="20"/>
                <w:szCs w:val="20"/>
                <w:lang w:val="es-ES"/>
              </w:rPr>
              <w:t xml:space="preserve"> ®</w:t>
            </w:r>
          </w:p>
        </w:tc>
        <w:tc>
          <w:tcPr>
            <w:tcW w:w="1010" w:type="pct"/>
            <w:shd w:val="clear" w:color="auto" w:fill="DBE5F1" w:themeFill="accent1" w:themeFillTint="33"/>
            <w:vAlign w:val="center"/>
          </w:tcPr>
          <w:p w14:paraId="2F6DA8A4"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Inde</w:t>
            </w:r>
          </w:p>
        </w:tc>
        <w:tc>
          <w:tcPr>
            <w:tcW w:w="842" w:type="pct"/>
            <w:shd w:val="clear" w:color="auto" w:fill="DBE5F1" w:themeFill="accent1" w:themeFillTint="33"/>
            <w:vAlign w:val="center"/>
          </w:tcPr>
          <w:p w14:paraId="1CEB6695"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NGO-90568</w:t>
            </w:r>
          </w:p>
        </w:tc>
      </w:tr>
      <w:tr w:rsidR="00DD751E" w:rsidRPr="000D358B" w14:paraId="08347D97" w14:textId="77777777" w:rsidTr="00A502CC">
        <w:trPr>
          <w:trHeight w:val="576"/>
        </w:trPr>
        <w:tc>
          <w:tcPr>
            <w:tcW w:w="3148" w:type="pct"/>
            <w:shd w:val="clear" w:color="auto" w:fill="auto"/>
            <w:vAlign w:val="center"/>
          </w:tcPr>
          <w:p w14:paraId="47C2D689" w14:textId="77777777" w:rsidR="00DD751E" w:rsidRPr="00CC1A46" w:rsidRDefault="00DD751E" w:rsidP="008319A4">
            <w:pPr>
              <w:contextualSpacing/>
              <w:rPr>
                <w:rFonts w:asciiTheme="minorBidi" w:hAnsiTheme="minorBidi" w:cstheme="minorBidi"/>
                <w:b/>
                <w:bCs/>
                <w:sz w:val="20"/>
                <w:szCs w:val="20"/>
                <w:lang w:val="en-GB"/>
              </w:rPr>
            </w:pPr>
            <w:r w:rsidRPr="00CC1A46">
              <w:rPr>
                <w:rFonts w:asciiTheme="minorBidi" w:hAnsiTheme="minorBidi" w:cstheme="minorBidi"/>
                <w:b/>
                <w:bCs/>
                <w:sz w:val="20"/>
                <w:szCs w:val="20"/>
                <w:lang w:val="en-GB"/>
              </w:rPr>
              <w:t xml:space="preserve">Svenska </w:t>
            </w:r>
            <w:proofErr w:type="spellStart"/>
            <w:r w:rsidRPr="00CC1A46">
              <w:rPr>
                <w:rFonts w:asciiTheme="minorBidi" w:hAnsiTheme="minorBidi" w:cstheme="minorBidi"/>
                <w:b/>
                <w:bCs/>
                <w:sz w:val="20"/>
                <w:szCs w:val="20"/>
                <w:lang w:val="en-GB"/>
              </w:rPr>
              <w:t>Hemslöjdsöreningarnas</w:t>
            </w:r>
            <w:proofErr w:type="spellEnd"/>
            <w:r w:rsidRPr="00CC1A46">
              <w:rPr>
                <w:rFonts w:asciiTheme="minorBidi" w:hAnsiTheme="minorBidi" w:cstheme="minorBidi"/>
                <w:b/>
                <w:bCs/>
                <w:sz w:val="20"/>
                <w:szCs w:val="20"/>
                <w:lang w:val="en-GB"/>
              </w:rPr>
              <w:t xml:space="preserve"> </w:t>
            </w:r>
            <w:proofErr w:type="spellStart"/>
            <w:r w:rsidRPr="00CC1A46">
              <w:rPr>
                <w:rFonts w:asciiTheme="minorBidi" w:hAnsiTheme="minorBidi" w:cstheme="minorBidi"/>
                <w:b/>
                <w:bCs/>
                <w:sz w:val="20"/>
                <w:szCs w:val="20"/>
                <w:lang w:val="en-GB"/>
              </w:rPr>
              <w:t>Riksförbund</w:t>
            </w:r>
            <w:proofErr w:type="spellEnd"/>
            <w:r w:rsidRPr="00CC1A46">
              <w:rPr>
                <w:rFonts w:asciiTheme="minorBidi" w:hAnsiTheme="minorBidi" w:cstheme="minorBidi"/>
                <w:sz w:val="20"/>
                <w:szCs w:val="20"/>
                <w:lang w:val="en-GB"/>
              </w:rPr>
              <w:br/>
              <w:t>National Association of Swedish Handicraft Societies</w:t>
            </w:r>
          </w:p>
        </w:tc>
        <w:tc>
          <w:tcPr>
            <w:tcW w:w="1010" w:type="pct"/>
            <w:shd w:val="clear" w:color="auto" w:fill="auto"/>
            <w:vAlign w:val="center"/>
          </w:tcPr>
          <w:p w14:paraId="18AD168C"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Suède</w:t>
            </w:r>
          </w:p>
        </w:tc>
        <w:tc>
          <w:tcPr>
            <w:tcW w:w="842" w:type="pct"/>
            <w:shd w:val="clear" w:color="auto" w:fill="auto"/>
            <w:vAlign w:val="center"/>
          </w:tcPr>
          <w:p w14:paraId="4346A4FE"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NGO-90544</w:t>
            </w:r>
          </w:p>
        </w:tc>
      </w:tr>
      <w:tr w:rsidR="00DD751E" w:rsidRPr="000D358B" w14:paraId="4DA70BCA" w14:textId="77777777" w:rsidTr="00A502CC">
        <w:trPr>
          <w:trHeight w:val="576"/>
        </w:trPr>
        <w:tc>
          <w:tcPr>
            <w:tcW w:w="3148" w:type="pct"/>
            <w:shd w:val="clear" w:color="auto" w:fill="DBE5F1" w:themeFill="accent1" w:themeFillTint="33"/>
            <w:vAlign w:val="center"/>
          </w:tcPr>
          <w:p w14:paraId="60C2D11C" w14:textId="77777777" w:rsidR="00DD751E" w:rsidRPr="000D2922" w:rsidRDefault="00DD751E" w:rsidP="008319A4">
            <w:pPr>
              <w:contextualSpacing/>
              <w:rPr>
                <w:rFonts w:asciiTheme="minorBidi" w:hAnsiTheme="minorBidi" w:cstheme="minorBidi"/>
                <w:b/>
                <w:bCs/>
                <w:sz w:val="20"/>
                <w:szCs w:val="20"/>
              </w:rPr>
            </w:pPr>
            <w:r w:rsidRPr="000D2922">
              <w:rPr>
                <w:rFonts w:asciiTheme="minorBidi" w:hAnsiTheme="minorBidi" w:cstheme="minorBidi"/>
                <w:b/>
                <w:bCs/>
                <w:sz w:val="20"/>
                <w:szCs w:val="20"/>
                <w:lang w:val="en-GB"/>
              </w:rPr>
              <w:t>Dragon Dance</w:t>
            </w:r>
          </w:p>
        </w:tc>
        <w:tc>
          <w:tcPr>
            <w:tcW w:w="1010" w:type="pct"/>
            <w:shd w:val="clear" w:color="auto" w:fill="DBE5F1" w:themeFill="accent1" w:themeFillTint="33"/>
            <w:vAlign w:val="center"/>
          </w:tcPr>
          <w:p w14:paraId="2CDD1569"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Canada</w:t>
            </w:r>
          </w:p>
        </w:tc>
        <w:tc>
          <w:tcPr>
            <w:tcW w:w="842" w:type="pct"/>
            <w:shd w:val="clear" w:color="auto" w:fill="DBE5F1" w:themeFill="accent1" w:themeFillTint="33"/>
            <w:vAlign w:val="center"/>
          </w:tcPr>
          <w:p w14:paraId="388B28BF"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NGO-90549</w:t>
            </w:r>
          </w:p>
        </w:tc>
      </w:tr>
      <w:tr w:rsidR="00DD751E" w:rsidRPr="000D358B" w14:paraId="12014415" w14:textId="77777777" w:rsidTr="00A502CC">
        <w:trPr>
          <w:trHeight w:val="576"/>
        </w:trPr>
        <w:tc>
          <w:tcPr>
            <w:tcW w:w="3148" w:type="pct"/>
            <w:shd w:val="clear" w:color="auto" w:fill="auto"/>
            <w:vAlign w:val="center"/>
          </w:tcPr>
          <w:p w14:paraId="1C7C2D82" w14:textId="77777777" w:rsidR="00DD751E" w:rsidRPr="008319A4" w:rsidRDefault="00DD751E" w:rsidP="008319A4">
            <w:pPr>
              <w:contextualSpacing/>
              <w:rPr>
                <w:rFonts w:asciiTheme="minorBidi" w:hAnsiTheme="minorBidi" w:cstheme="minorBidi"/>
                <w:b/>
                <w:bCs/>
                <w:sz w:val="20"/>
                <w:szCs w:val="20"/>
                <w:lang w:val="en-US"/>
              </w:rPr>
            </w:pPr>
            <w:r w:rsidRPr="000D2922">
              <w:rPr>
                <w:rFonts w:asciiTheme="minorBidi" w:hAnsiTheme="minorBidi" w:cstheme="minorBidi"/>
                <w:b/>
                <w:bCs/>
                <w:sz w:val="20"/>
                <w:szCs w:val="20"/>
                <w:lang w:val="en-GB"/>
              </w:rPr>
              <w:lastRenderedPageBreak/>
              <w:t>Traditional Arts and Culture Scotland (TRACS)</w:t>
            </w:r>
          </w:p>
        </w:tc>
        <w:tc>
          <w:tcPr>
            <w:tcW w:w="1010" w:type="pct"/>
            <w:shd w:val="clear" w:color="auto" w:fill="auto"/>
            <w:vAlign w:val="center"/>
          </w:tcPr>
          <w:p w14:paraId="62EAA7FF"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Royaume-Uni de Grande-Bretagne et d’Irlande du Nord</w:t>
            </w:r>
          </w:p>
        </w:tc>
        <w:tc>
          <w:tcPr>
            <w:tcW w:w="842" w:type="pct"/>
            <w:shd w:val="clear" w:color="auto" w:fill="auto"/>
            <w:vAlign w:val="center"/>
          </w:tcPr>
          <w:p w14:paraId="5F3BBE52"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NGO-90561</w:t>
            </w:r>
          </w:p>
        </w:tc>
      </w:tr>
      <w:tr w:rsidR="00DD751E" w:rsidRPr="000D358B" w14:paraId="0B700B66" w14:textId="77777777" w:rsidTr="00A502CC">
        <w:trPr>
          <w:trHeight w:val="576"/>
        </w:trPr>
        <w:tc>
          <w:tcPr>
            <w:tcW w:w="3148" w:type="pct"/>
            <w:shd w:val="clear" w:color="auto" w:fill="DBE5F1" w:themeFill="accent1" w:themeFillTint="33"/>
            <w:vAlign w:val="center"/>
          </w:tcPr>
          <w:p w14:paraId="559D8982" w14:textId="77777777" w:rsidR="00DD751E" w:rsidRPr="000D2922" w:rsidRDefault="00DD751E" w:rsidP="008319A4">
            <w:pPr>
              <w:contextualSpacing/>
              <w:rPr>
                <w:rFonts w:asciiTheme="minorBidi" w:hAnsiTheme="minorBidi" w:cstheme="minorBidi"/>
                <w:b/>
                <w:bCs/>
                <w:sz w:val="20"/>
                <w:szCs w:val="20"/>
              </w:rPr>
            </w:pPr>
            <w:proofErr w:type="spellStart"/>
            <w:r w:rsidRPr="000D2922">
              <w:rPr>
                <w:rFonts w:asciiTheme="minorBidi" w:hAnsiTheme="minorBidi" w:cstheme="minorBidi"/>
                <w:b/>
                <w:bCs/>
                <w:sz w:val="20"/>
                <w:szCs w:val="20"/>
                <w:lang w:val="en-GB"/>
              </w:rPr>
              <w:t>Türkischer</w:t>
            </w:r>
            <w:proofErr w:type="spellEnd"/>
            <w:r w:rsidRPr="000D2922">
              <w:rPr>
                <w:rFonts w:asciiTheme="minorBidi" w:hAnsiTheme="minorBidi" w:cstheme="minorBidi"/>
                <w:b/>
                <w:bCs/>
                <w:sz w:val="20"/>
                <w:szCs w:val="20"/>
                <w:lang w:val="en-GB"/>
              </w:rPr>
              <w:t xml:space="preserve"> </w:t>
            </w:r>
            <w:proofErr w:type="spellStart"/>
            <w:r w:rsidRPr="000D2922">
              <w:rPr>
                <w:rFonts w:asciiTheme="minorBidi" w:hAnsiTheme="minorBidi" w:cstheme="minorBidi"/>
                <w:b/>
                <w:bCs/>
                <w:sz w:val="20"/>
                <w:szCs w:val="20"/>
                <w:lang w:val="en-GB"/>
              </w:rPr>
              <w:t>Klassischer</w:t>
            </w:r>
            <w:proofErr w:type="spellEnd"/>
            <w:r w:rsidRPr="000D2922">
              <w:rPr>
                <w:rFonts w:asciiTheme="minorBidi" w:hAnsiTheme="minorBidi" w:cstheme="minorBidi"/>
                <w:b/>
                <w:bCs/>
                <w:sz w:val="20"/>
                <w:szCs w:val="20"/>
                <w:lang w:val="en-GB"/>
              </w:rPr>
              <w:t xml:space="preserve"> Choir Association</w:t>
            </w:r>
            <w:r w:rsidRPr="000D2922">
              <w:rPr>
                <w:rFonts w:asciiTheme="minorBidi" w:hAnsiTheme="minorBidi" w:cstheme="minorBidi"/>
                <w:b/>
                <w:bCs/>
                <w:sz w:val="20"/>
                <w:szCs w:val="20"/>
                <w:lang w:val="en-GB"/>
              </w:rPr>
              <w:br/>
            </w:r>
            <w:r w:rsidRPr="000D2922">
              <w:rPr>
                <w:rFonts w:asciiTheme="minorBidi" w:hAnsiTheme="minorBidi" w:cstheme="minorBidi"/>
                <w:sz w:val="20"/>
                <w:szCs w:val="20"/>
                <w:lang w:val="en-GB"/>
              </w:rPr>
              <w:t>Zurich Turkish Classical Choir Association</w:t>
            </w:r>
          </w:p>
        </w:tc>
        <w:tc>
          <w:tcPr>
            <w:tcW w:w="1010" w:type="pct"/>
            <w:shd w:val="clear" w:color="auto" w:fill="DBE5F1" w:themeFill="accent1" w:themeFillTint="33"/>
            <w:vAlign w:val="center"/>
          </w:tcPr>
          <w:p w14:paraId="17B11CB1"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Suisse</w:t>
            </w:r>
          </w:p>
        </w:tc>
        <w:tc>
          <w:tcPr>
            <w:tcW w:w="842" w:type="pct"/>
            <w:shd w:val="clear" w:color="auto" w:fill="DBE5F1" w:themeFill="accent1" w:themeFillTint="33"/>
            <w:vAlign w:val="center"/>
          </w:tcPr>
          <w:p w14:paraId="00A66B53"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NGO-90560</w:t>
            </w:r>
          </w:p>
        </w:tc>
      </w:tr>
      <w:tr w:rsidR="00DD751E" w:rsidRPr="000D358B" w14:paraId="6B2EB797" w14:textId="77777777" w:rsidTr="00A502CC">
        <w:trPr>
          <w:trHeight w:val="576"/>
        </w:trPr>
        <w:tc>
          <w:tcPr>
            <w:tcW w:w="3148" w:type="pct"/>
            <w:shd w:val="clear" w:color="auto" w:fill="auto"/>
            <w:vAlign w:val="center"/>
          </w:tcPr>
          <w:p w14:paraId="6471FD07" w14:textId="77777777" w:rsidR="00DD751E" w:rsidRPr="008319A4" w:rsidRDefault="00DD751E" w:rsidP="008319A4">
            <w:pPr>
              <w:contextualSpacing/>
              <w:rPr>
                <w:rFonts w:asciiTheme="minorBidi" w:hAnsiTheme="minorBidi" w:cstheme="minorBidi"/>
                <w:b/>
                <w:bCs/>
                <w:sz w:val="20"/>
                <w:szCs w:val="20"/>
              </w:rPr>
            </w:pPr>
            <w:proofErr w:type="spellStart"/>
            <w:r w:rsidRPr="008319A4">
              <w:rPr>
                <w:rFonts w:asciiTheme="minorBidi" w:hAnsiTheme="minorBidi" w:cstheme="minorBidi"/>
                <w:b/>
                <w:bCs/>
                <w:sz w:val="20"/>
                <w:szCs w:val="20"/>
              </w:rPr>
              <w:t>Uluslararasi</w:t>
            </w:r>
            <w:proofErr w:type="spellEnd"/>
            <w:r w:rsidRPr="008319A4">
              <w:rPr>
                <w:rFonts w:asciiTheme="minorBidi" w:hAnsiTheme="minorBidi" w:cstheme="minorBidi"/>
                <w:b/>
                <w:bCs/>
                <w:sz w:val="20"/>
                <w:szCs w:val="20"/>
              </w:rPr>
              <w:t xml:space="preserve"> </w:t>
            </w:r>
            <w:proofErr w:type="spellStart"/>
            <w:r w:rsidRPr="008319A4">
              <w:rPr>
                <w:rFonts w:asciiTheme="minorBidi" w:hAnsiTheme="minorBidi" w:cstheme="minorBidi"/>
                <w:b/>
                <w:bCs/>
                <w:sz w:val="20"/>
                <w:szCs w:val="20"/>
              </w:rPr>
              <w:t>Mevlana</w:t>
            </w:r>
            <w:proofErr w:type="spellEnd"/>
            <w:r w:rsidRPr="008319A4">
              <w:rPr>
                <w:rFonts w:asciiTheme="minorBidi" w:hAnsiTheme="minorBidi" w:cstheme="minorBidi"/>
                <w:b/>
                <w:bCs/>
                <w:sz w:val="20"/>
                <w:szCs w:val="20"/>
              </w:rPr>
              <w:t xml:space="preserve"> </w:t>
            </w:r>
            <w:proofErr w:type="spellStart"/>
            <w:r w:rsidRPr="008319A4">
              <w:rPr>
                <w:rFonts w:asciiTheme="minorBidi" w:hAnsiTheme="minorBidi" w:cstheme="minorBidi"/>
                <w:b/>
                <w:bCs/>
                <w:sz w:val="20"/>
                <w:szCs w:val="20"/>
              </w:rPr>
              <w:t>Vakfi</w:t>
            </w:r>
            <w:proofErr w:type="spellEnd"/>
            <w:r w:rsidRPr="008319A4">
              <w:rPr>
                <w:rFonts w:asciiTheme="minorBidi" w:hAnsiTheme="minorBidi" w:cstheme="minorBidi"/>
                <w:b/>
                <w:bCs/>
                <w:sz w:val="20"/>
                <w:szCs w:val="20"/>
              </w:rPr>
              <w:br/>
            </w:r>
            <w:r w:rsidRPr="008319A4">
              <w:rPr>
                <w:rFonts w:asciiTheme="minorBidi" w:hAnsiTheme="minorBidi" w:cstheme="minorBidi"/>
                <w:sz w:val="20"/>
                <w:szCs w:val="20"/>
              </w:rPr>
              <w:t xml:space="preserve">International </w:t>
            </w:r>
            <w:proofErr w:type="spellStart"/>
            <w:r w:rsidRPr="008319A4">
              <w:rPr>
                <w:rFonts w:asciiTheme="minorBidi" w:hAnsiTheme="minorBidi" w:cstheme="minorBidi"/>
                <w:sz w:val="20"/>
                <w:szCs w:val="20"/>
              </w:rPr>
              <w:t>Mevlana</w:t>
            </w:r>
            <w:proofErr w:type="spellEnd"/>
            <w:r w:rsidRPr="008319A4">
              <w:rPr>
                <w:rFonts w:asciiTheme="minorBidi" w:hAnsiTheme="minorBidi" w:cstheme="minorBidi"/>
                <w:sz w:val="20"/>
                <w:szCs w:val="20"/>
              </w:rPr>
              <w:t xml:space="preserve"> </w:t>
            </w:r>
            <w:proofErr w:type="spellStart"/>
            <w:r w:rsidRPr="008319A4">
              <w:rPr>
                <w:rFonts w:asciiTheme="minorBidi" w:hAnsiTheme="minorBidi" w:cstheme="minorBidi"/>
                <w:sz w:val="20"/>
                <w:szCs w:val="20"/>
              </w:rPr>
              <w:t>Foundation</w:t>
            </w:r>
            <w:proofErr w:type="spellEnd"/>
          </w:p>
        </w:tc>
        <w:tc>
          <w:tcPr>
            <w:tcW w:w="1010" w:type="pct"/>
            <w:shd w:val="clear" w:color="auto" w:fill="auto"/>
            <w:vAlign w:val="center"/>
          </w:tcPr>
          <w:p w14:paraId="0404EAFF" w14:textId="77777777" w:rsidR="00DD751E" w:rsidRPr="000D2922" w:rsidRDefault="00DD751E" w:rsidP="008319A4">
            <w:pPr>
              <w:contextualSpacing/>
              <w:jc w:val="center"/>
              <w:rPr>
                <w:rFonts w:asciiTheme="minorBidi" w:hAnsiTheme="minorBidi" w:cstheme="minorBidi"/>
                <w:sz w:val="20"/>
                <w:szCs w:val="20"/>
              </w:rPr>
            </w:pPr>
            <w:r w:rsidRPr="00EE342E">
              <w:rPr>
                <w:rFonts w:asciiTheme="minorBidi" w:hAnsiTheme="minorBidi"/>
                <w:sz w:val="20"/>
              </w:rPr>
              <w:t>Türkiye</w:t>
            </w:r>
          </w:p>
        </w:tc>
        <w:tc>
          <w:tcPr>
            <w:tcW w:w="842" w:type="pct"/>
            <w:shd w:val="clear" w:color="auto" w:fill="auto"/>
            <w:vAlign w:val="center"/>
          </w:tcPr>
          <w:p w14:paraId="4BB7F494"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NGO-90547</w:t>
            </w:r>
          </w:p>
        </w:tc>
      </w:tr>
      <w:tr w:rsidR="00DD751E" w:rsidRPr="000D358B" w14:paraId="32701402" w14:textId="77777777" w:rsidTr="00A502CC">
        <w:trPr>
          <w:trHeight w:val="576"/>
        </w:trPr>
        <w:tc>
          <w:tcPr>
            <w:tcW w:w="3148" w:type="pct"/>
            <w:shd w:val="clear" w:color="auto" w:fill="DBE5F1" w:themeFill="accent1" w:themeFillTint="33"/>
            <w:vAlign w:val="center"/>
          </w:tcPr>
          <w:p w14:paraId="7A461649" w14:textId="77777777" w:rsidR="00DD751E" w:rsidRPr="008319A4" w:rsidRDefault="00DD751E" w:rsidP="008319A4">
            <w:pPr>
              <w:contextualSpacing/>
              <w:rPr>
                <w:rFonts w:asciiTheme="minorBidi" w:hAnsiTheme="minorBidi" w:cstheme="minorBidi"/>
                <w:b/>
                <w:bCs/>
                <w:sz w:val="20"/>
                <w:szCs w:val="20"/>
                <w:lang w:val="es-ES"/>
              </w:rPr>
            </w:pPr>
            <w:r w:rsidRPr="000D2922">
              <w:rPr>
                <w:rFonts w:asciiTheme="minorBidi" w:hAnsiTheme="minorBidi" w:cstheme="minorBidi"/>
                <w:b/>
                <w:bCs/>
                <w:sz w:val="20"/>
                <w:szCs w:val="20"/>
                <w:lang w:val="es-ES"/>
              </w:rPr>
              <w:t>UN ETXEA- Asociación del País Vasco para la UNESCO</w:t>
            </w:r>
            <w:r w:rsidRPr="000D2922">
              <w:rPr>
                <w:rFonts w:asciiTheme="minorBidi" w:hAnsiTheme="minorBidi" w:cstheme="minorBidi"/>
                <w:b/>
                <w:bCs/>
                <w:sz w:val="20"/>
                <w:szCs w:val="20"/>
                <w:lang w:val="es-ES"/>
              </w:rPr>
              <w:br/>
            </w:r>
            <w:r w:rsidRPr="000D2922">
              <w:rPr>
                <w:rFonts w:asciiTheme="minorBidi" w:hAnsiTheme="minorBidi" w:cstheme="minorBidi"/>
                <w:sz w:val="20"/>
                <w:szCs w:val="20"/>
                <w:lang w:val="es-ES"/>
              </w:rPr>
              <w:t xml:space="preserve">UN ETXEA- </w:t>
            </w:r>
            <w:proofErr w:type="spellStart"/>
            <w:r w:rsidRPr="000D2922">
              <w:rPr>
                <w:rFonts w:asciiTheme="minorBidi" w:hAnsiTheme="minorBidi" w:cstheme="minorBidi"/>
                <w:sz w:val="20"/>
                <w:szCs w:val="20"/>
                <w:lang w:val="es-ES"/>
              </w:rPr>
              <w:t>Basque</w:t>
            </w:r>
            <w:proofErr w:type="spellEnd"/>
            <w:r w:rsidRPr="000D2922">
              <w:rPr>
                <w:rFonts w:asciiTheme="minorBidi" w:hAnsiTheme="minorBidi" w:cstheme="minorBidi"/>
                <w:sz w:val="20"/>
                <w:szCs w:val="20"/>
                <w:lang w:val="es-ES"/>
              </w:rPr>
              <w:t xml:space="preserve"> Country </w:t>
            </w:r>
            <w:proofErr w:type="spellStart"/>
            <w:r w:rsidRPr="000D2922">
              <w:rPr>
                <w:rFonts w:asciiTheme="minorBidi" w:hAnsiTheme="minorBidi" w:cstheme="minorBidi"/>
                <w:sz w:val="20"/>
                <w:szCs w:val="20"/>
                <w:lang w:val="es-ES"/>
              </w:rPr>
              <w:t>Association</w:t>
            </w:r>
            <w:proofErr w:type="spellEnd"/>
            <w:r w:rsidRPr="000D2922">
              <w:rPr>
                <w:rFonts w:asciiTheme="minorBidi" w:hAnsiTheme="minorBidi" w:cstheme="minorBidi"/>
                <w:sz w:val="20"/>
                <w:szCs w:val="20"/>
                <w:lang w:val="es-ES"/>
              </w:rPr>
              <w:t xml:space="preserve"> </w:t>
            </w:r>
            <w:proofErr w:type="spellStart"/>
            <w:r w:rsidRPr="000D2922">
              <w:rPr>
                <w:rFonts w:asciiTheme="minorBidi" w:hAnsiTheme="minorBidi" w:cstheme="minorBidi"/>
                <w:sz w:val="20"/>
                <w:szCs w:val="20"/>
                <w:lang w:val="es-ES"/>
              </w:rPr>
              <w:t>for</w:t>
            </w:r>
            <w:proofErr w:type="spellEnd"/>
            <w:r w:rsidRPr="000D2922">
              <w:rPr>
                <w:rFonts w:asciiTheme="minorBidi" w:hAnsiTheme="minorBidi" w:cstheme="minorBidi"/>
                <w:sz w:val="20"/>
                <w:szCs w:val="20"/>
                <w:lang w:val="es-ES"/>
              </w:rPr>
              <w:t xml:space="preserve"> UNESCO</w:t>
            </w:r>
          </w:p>
        </w:tc>
        <w:tc>
          <w:tcPr>
            <w:tcW w:w="1010" w:type="pct"/>
            <w:shd w:val="clear" w:color="auto" w:fill="DBE5F1" w:themeFill="accent1" w:themeFillTint="33"/>
            <w:vAlign w:val="center"/>
          </w:tcPr>
          <w:p w14:paraId="6DD1E73A"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Espagne</w:t>
            </w:r>
          </w:p>
        </w:tc>
        <w:tc>
          <w:tcPr>
            <w:tcW w:w="842" w:type="pct"/>
            <w:shd w:val="clear" w:color="auto" w:fill="DBE5F1" w:themeFill="accent1" w:themeFillTint="33"/>
            <w:vAlign w:val="center"/>
          </w:tcPr>
          <w:p w14:paraId="28A08DE3"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NGO-90590</w:t>
            </w:r>
          </w:p>
        </w:tc>
      </w:tr>
      <w:tr w:rsidR="00DD751E" w:rsidRPr="000D358B" w14:paraId="2452B325" w14:textId="77777777" w:rsidTr="00A502CC">
        <w:trPr>
          <w:trHeight w:val="576"/>
        </w:trPr>
        <w:tc>
          <w:tcPr>
            <w:tcW w:w="3148" w:type="pct"/>
            <w:shd w:val="clear" w:color="auto" w:fill="auto"/>
            <w:vAlign w:val="center"/>
          </w:tcPr>
          <w:p w14:paraId="10BC62B4" w14:textId="77777777" w:rsidR="00DD751E" w:rsidRPr="000D2922" w:rsidRDefault="00DD751E" w:rsidP="008319A4">
            <w:pPr>
              <w:contextualSpacing/>
              <w:rPr>
                <w:rFonts w:asciiTheme="minorBidi" w:hAnsiTheme="minorBidi" w:cstheme="minorBidi"/>
                <w:b/>
                <w:bCs/>
                <w:sz w:val="20"/>
                <w:szCs w:val="20"/>
              </w:rPr>
            </w:pPr>
            <w:proofErr w:type="spellStart"/>
            <w:r w:rsidRPr="000D2922">
              <w:rPr>
                <w:rFonts w:asciiTheme="minorBidi" w:hAnsiTheme="minorBidi" w:cstheme="minorBidi"/>
                <w:b/>
                <w:bCs/>
                <w:sz w:val="20"/>
                <w:szCs w:val="20"/>
                <w:lang w:val="en-GB"/>
              </w:rPr>
              <w:t>Vabnagar</w:t>
            </w:r>
            <w:proofErr w:type="spellEnd"/>
            <w:r w:rsidRPr="000D2922">
              <w:rPr>
                <w:rFonts w:asciiTheme="minorBidi" w:hAnsiTheme="minorBidi" w:cstheme="minorBidi"/>
                <w:b/>
                <w:bCs/>
                <w:sz w:val="20"/>
                <w:szCs w:val="20"/>
                <w:lang w:val="en-GB"/>
              </w:rPr>
              <w:t xml:space="preserve"> Foundation</w:t>
            </w:r>
          </w:p>
        </w:tc>
        <w:tc>
          <w:tcPr>
            <w:tcW w:w="1010" w:type="pct"/>
            <w:shd w:val="clear" w:color="auto" w:fill="auto"/>
            <w:vAlign w:val="center"/>
          </w:tcPr>
          <w:p w14:paraId="26233BEE"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Bangladesh</w:t>
            </w:r>
          </w:p>
        </w:tc>
        <w:tc>
          <w:tcPr>
            <w:tcW w:w="842" w:type="pct"/>
            <w:shd w:val="clear" w:color="auto" w:fill="auto"/>
            <w:vAlign w:val="center"/>
          </w:tcPr>
          <w:p w14:paraId="30BED734"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NGO-90526</w:t>
            </w:r>
          </w:p>
        </w:tc>
      </w:tr>
      <w:tr w:rsidR="00DD751E" w:rsidRPr="000D358B" w14:paraId="1659BD61" w14:textId="77777777" w:rsidTr="00A502CC">
        <w:trPr>
          <w:trHeight w:val="576"/>
        </w:trPr>
        <w:tc>
          <w:tcPr>
            <w:tcW w:w="3148" w:type="pct"/>
            <w:shd w:val="clear" w:color="auto" w:fill="DBE5F1" w:themeFill="accent1" w:themeFillTint="33"/>
            <w:vAlign w:val="center"/>
          </w:tcPr>
          <w:p w14:paraId="13AF5056" w14:textId="77777777" w:rsidR="00DD751E" w:rsidRPr="008319A4" w:rsidRDefault="00DD751E" w:rsidP="008319A4">
            <w:pPr>
              <w:contextualSpacing/>
              <w:rPr>
                <w:rFonts w:asciiTheme="minorBidi" w:hAnsiTheme="minorBidi" w:cstheme="minorBidi"/>
                <w:b/>
                <w:bCs/>
                <w:sz w:val="20"/>
                <w:szCs w:val="20"/>
                <w:lang w:val="en-US"/>
              </w:rPr>
            </w:pPr>
            <w:r w:rsidRPr="000D2922">
              <w:rPr>
                <w:rFonts w:asciiTheme="minorBidi" w:hAnsiTheme="minorBidi" w:cstheme="minorBidi"/>
                <w:b/>
                <w:bCs/>
                <w:sz w:val="20"/>
                <w:szCs w:val="20"/>
                <w:lang w:val="en-GB"/>
              </w:rPr>
              <w:t xml:space="preserve">World Music </w:t>
            </w:r>
            <w:proofErr w:type="spellStart"/>
            <w:r w:rsidRPr="000D2922">
              <w:rPr>
                <w:rFonts w:asciiTheme="minorBidi" w:hAnsiTheme="minorBidi" w:cstheme="minorBidi"/>
                <w:b/>
                <w:bCs/>
                <w:sz w:val="20"/>
                <w:szCs w:val="20"/>
                <w:lang w:val="en-GB"/>
              </w:rPr>
              <w:t>асоцијација</w:t>
            </w:r>
            <w:proofErr w:type="spellEnd"/>
            <w:r w:rsidRPr="000D2922">
              <w:rPr>
                <w:rFonts w:asciiTheme="minorBidi" w:hAnsiTheme="minorBidi" w:cstheme="minorBidi"/>
                <w:b/>
                <w:bCs/>
                <w:sz w:val="20"/>
                <w:szCs w:val="20"/>
                <w:lang w:val="en-GB"/>
              </w:rPr>
              <w:t xml:space="preserve"> </w:t>
            </w:r>
            <w:proofErr w:type="spellStart"/>
            <w:r w:rsidRPr="000D2922">
              <w:rPr>
                <w:rFonts w:asciiTheme="minorBidi" w:hAnsiTheme="minorBidi" w:cstheme="minorBidi"/>
                <w:b/>
                <w:bCs/>
                <w:sz w:val="20"/>
                <w:szCs w:val="20"/>
                <w:lang w:val="en-GB"/>
              </w:rPr>
              <w:t>Србије</w:t>
            </w:r>
            <w:proofErr w:type="spellEnd"/>
            <w:r w:rsidRPr="000D2922">
              <w:rPr>
                <w:rFonts w:asciiTheme="minorBidi" w:hAnsiTheme="minorBidi" w:cstheme="minorBidi"/>
                <w:b/>
                <w:bCs/>
                <w:sz w:val="20"/>
                <w:szCs w:val="20"/>
                <w:lang w:val="en-GB"/>
              </w:rPr>
              <w:br/>
            </w:r>
            <w:r w:rsidRPr="000D2922">
              <w:rPr>
                <w:rFonts w:asciiTheme="minorBidi" w:hAnsiTheme="minorBidi" w:cstheme="minorBidi"/>
                <w:sz w:val="20"/>
                <w:szCs w:val="20"/>
                <w:lang w:val="en-GB"/>
              </w:rPr>
              <w:t>World Music Association of Serbia</w:t>
            </w:r>
          </w:p>
        </w:tc>
        <w:tc>
          <w:tcPr>
            <w:tcW w:w="1010" w:type="pct"/>
            <w:shd w:val="clear" w:color="auto" w:fill="DBE5F1" w:themeFill="accent1" w:themeFillTint="33"/>
            <w:vAlign w:val="center"/>
          </w:tcPr>
          <w:p w14:paraId="47A9A811"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Serbie</w:t>
            </w:r>
          </w:p>
        </w:tc>
        <w:tc>
          <w:tcPr>
            <w:tcW w:w="842" w:type="pct"/>
            <w:shd w:val="clear" w:color="auto" w:fill="DBE5F1" w:themeFill="accent1" w:themeFillTint="33"/>
            <w:vAlign w:val="center"/>
          </w:tcPr>
          <w:p w14:paraId="52A17030"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NGO-90530</w:t>
            </w:r>
          </w:p>
        </w:tc>
      </w:tr>
      <w:tr w:rsidR="00DD751E" w:rsidRPr="000D358B" w14:paraId="67E752FE" w14:textId="77777777" w:rsidTr="00A502CC">
        <w:trPr>
          <w:trHeight w:val="576"/>
        </w:trPr>
        <w:tc>
          <w:tcPr>
            <w:tcW w:w="3148" w:type="pct"/>
            <w:shd w:val="clear" w:color="auto" w:fill="auto"/>
            <w:vAlign w:val="center"/>
          </w:tcPr>
          <w:p w14:paraId="0BC2E0D9" w14:textId="77777777" w:rsidR="00DD751E" w:rsidRPr="008319A4" w:rsidRDefault="00DD751E" w:rsidP="008319A4">
            <w:pPr>
              <w:contextualSpacing/>
              <w:rPr>
                <w:rFonts w:asciiTheme="minorBidi" w:hAnsiTheme="minorBidi" w:cstheme="minorBidi"/>
                <w:b/>
                <w:bCs/>
                <w:sz w:val="20"/>
                <w:szCs w:val="20"/>
                <w:lang w:val="es-ES"/>
              </w:rPr>
            </w:pPr>
            <w:proofErr w:type="spellStart"/>
            <w:r w:rsidRPr="000D2922">
              <w:rPr>
                <w:rFonts w:asciiTheme="minorBidi" w:hAnsiTheme="minorBidi" w:cstheme="minorBidi"/>
                <w:b/>
                <w:bCs/>
                <w:sz w:val="20"/>
                <w:szCs w:val="20"/>
                <w:lang w:val="es-ES"/>
              </w:rPr>
              <w:t>Yayasan</w:t>
            </w:r>
            <w:proofErr w:type="spellEnd"/>
            <w:r w:rsidRPr="000D2922">
              <w:rPr>
                <w:rFonts w:asciiTheme="minorBidi" w:hAnsiTheme="minorBidi" w:cstheme="minorBidi"/>
                <w:b/>
                <w:bCs/>
                <w:sz w:val="20"/>
                <w:szCs w:val="20"/>
                <w:lang w:val="es-ES"/>
              </w:rPr>
              <w:t xml:space="preserve"> </w:t>
            </w:r>
            <w:proofErr w:type="spellStart"/>
            <w:r w:rsidRPr="000D2922">
              <w:rPr>
                <w:rFonts w:asciiTheme="minorBidi" w:hAnsiTheme="minorBidi" w:cstheme="minorBidi"/>
                <w:b/>
                <w:bCs/>
                <w:sz w:val="20"/>
                <w:szCs w:val="20"/>
                <w:lang w:val="es-ES"/>
              </w:rPr>
              <w:t>Toraja</w:t>
            </w:r>
            <w:proofErr w:type="spellEnd"/>
            <w:r w:rsidRPr="000D2922">
              <w:rPr>
                <w:rFonts w:asciiTheme="minorBidi" w:hAnsiTheme="minorBidi" w:cstheme="minorBidi"/>
                <w:b/>
                <w:bCs/>
                <w:sz w:val="20"/>
                <w:szCs w:val="20"/>
                <w:lang w:val="es-ES"/>
              </w:rPr>
              <w:t xml:space="preserve"> Melo</w:t>
            </w:r>
            <w:r w:rsidRPr="000D2922">
              <w:rPr>
                <w:rFonts w:asciiTheme="minorBidi" w:hAnsiTheme="minorBidi" w:cstheme="minorBidi"/>
                <w:b/>
                <w:bCs/>
                <w:sz w:val="20"/>
                <w:szCs w:val="20"/>
                <w:lang w:val="es-ES"/>
              </w:rPr>
              <w:br/>
            </w:r>
            <w:proofErr w:type="spellStart"/>
            <w:r w:rsidRPr="000D2922">
              <w:rPr>
                <w:rFonts w:asciiTheme="minorBidi" w:hAnsiTheme="minorBidi" w:cstheme="minorBidi"/>
                <w:sz w:val="20"/>
                <w:szCs w:val="20"/>
                <w:lang w:val="es-ES"/>
              </w:rPr>
              <w:t>Toraja</w:t>
            </w:r>
            <w:proofErr w:type="spellEnd"/>
            <w:r w:rsidRPr="000D2922">
              <w:rPr>
                <w:rFonts w:asciiTheme="minorBidi" w:hAnsiTheme="minorBidi" w:cstheme="minorBidi"/>
                <w:sz w:val="20"/>
                <w:szCs w:val="20"/>
                <w:lang w:val="es-ES"/>
              </w:rPr>
              <w:t xml:space="preserve"> Melo </w:t>
            </w:r>
            <w:proofErr w:type="spellStart"/>
            <w:r w:rsidRPr="000D2922">
              <w:rPr>
                <w:rFonts w:asciiTheme="minorBidi" w:hAnsiTheme="minorBidi" w:cstheme="minorBidi"/>
                <w:sz w:val="20"/>
                <w:szCs w:val="20"/>
                <w:lang w:val="es-ES"/>
              </w:rPr>
              <w:t>Foundation</w:t>
            </w:r>
            <w:proofErr w:type="spellEnd"/>
          </w:p>
        </w:tc>
        <w:tc>
          <w:tcPr>
            <w:tcW w:w="1010" w:type="pct"/>
            <w:shd w:val="clear" w:color="auto" w:fill="auto"/>
            <w:vAlign w:val="center"/>
          </w:tcPr>
          <w:p w14:paraId="4E38978F"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Indonésie</w:t>
            </w:r>
          </w:p>
        </w:tc>
        <w:tc>
          <w:tcPr>
            <w:tcW w:w="842" w:type="pct"/>
            <w:shd w:val="clear" w:color="auto" w:fill="auto"/>
            <w:vAlign w:val="center"/>
          </w:tcPr>
          <w:p w14:paraId="6C1B21A9"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NGO-90575</w:t>
            </w:r>
          </w:p>
        </w:tc>
      </w:tr>
      <w:tr w:rsidR="00DD751E" w:rsidRPr="000D358B" w14:paraId="14A1E69F" w14:textId="77777777" w:rsidTr="00A502CC">
        <w:trPr>
          <w:trHeight w:val="576"/>
        </w:trPr>
        <w:tc>
          <w:tcPr>
            <w:tcW w:w="3148" w:type="pct"/>
            <w:shd w:val="clear" w:color="auto" w:fill="DBE5F1" w:themeFill="accent1" w:themeFillTint="33"/>
            <w:vAlign w:val="center"/>
          </w:tcPr>
          <w:p w14:paraId="3067CB31" w14:textId="77777777" w:rsidR="00DD751E" w:rsidRPr="000D2922" w:rsidRDefault="00DD751E" w:rsidP="008319A4">
            <w:pPr>
              <w:contextualSpacing/>
              <w:rPr>
                <w:rFonts w:asciiTheme="minorBidi" w:hAnsiTheme="minorBidi" w:cstheme="minorBidi"/>
                <w:b/>
                <w:bCs/>
                <w:sz w:val="20"/>
                <w:szCs w:val="20"/>
              </w:rPr>
            </w:pPr>
            <w:proofErr w:type="spellStart"/>
            <w:r w:rsidRPr="000D2922">
              <w:rPr>
                <w:rFonts w:asciiTheme="minorBidi" w:hAnsiTheme="minorBidi" w:cstheme="minorBidi"/>
                <w:b/>
                <w:bCs/>
                <w:sz w:val="20"/>
                <w:szCs w:val="20"/>
                <w:lang w:val="en-GB"/>
              </w:rPr>
              <w:t>Μεσογει</w:t>
            </w:r>
            <w:proofErr w:type="spellEnd"/>
            <w:r w:rsidRPr="000D2922">
              <w:rPr>
                <w:rFonts w:asciiTheme="minorBidi" w:hAnsiTheme="minorBidi" w:cstheme="minorBidi"/>
                <w:b/>
                <w:bCs/>
                <w:sz w:val="20"/>
                <w:szCs w:val="20"/>
                <w:lang w:val="en-GB"/>
              </w:rPr>
              <w:t>ακό</w:t>
            </w:r>
            <w:r w:rsidRPr="000D2922">
              <w:rPr>
                <w:rFonts w:asciiTheme="minorBidi" w:hAnsiTheme="minorBidi" w:cstheme="minorBidi"/>
                <w:b/>
                <w:bCs/>
                <w:sz w:val="20"/>
                <w:szCs w:val="20"/>
              </w:rPr>
              <w:t xml:space="preserve"> </w:t>
            </w:r>
            <w:proofErr w:type="spellStart"/>
            <w:r w:rsidRPr="000D2922">
              <w:rPr>
                <w:rFonts w:asciiTheme="minorBidi" w:hAnsiTheme="minorBidi" w:cstheme="minorBidi"/>
                <w:b/>
                <w:bCs/>
                <w:sz w:val="20"/>
                <w:szCs w:val="20"/>
                <w:lang w:val="en-GB"/>
              </w:rPr>
              <w:t>Ινστιτούτο</w:t>
            </w:r>
            <w:proofErr w:type="spellEnd"/>
            <w:r w:rsidRPr="000D2922">
              <w:rPr>
                <w:rFonts w:asciiTheme="minorBidi" w:hAnsiTheme="minorBidi" w:cstheme="minorBidi"/>
                <w:b/>
                <w:bCs/>
                <w:sz w:val="20"/>
                <w:szCs w:val="20"/>
              </w:rPr>
              <w:t xml:space="preserve"> </w:t>
            </w:r>
            <w:proofErr w:type="spellStart"/>
            <w:r w:rsidRPr="000D2922">
              <w:rPr>
                <w:rFonts w:asciiTheme="minorBidi" w:hAnsiTheme="minorBidi" w:cstheme="minorBidi"/>
                <w:b/>
                <w:bCs/>
                <w:sz w:val="20"/>
                <w:szCs w:val="20"/>
                <w:lang w:val="en-GB"/>
              </w:rPr>
              <w:t>γι</w:t>
            </w:r>
            <w:proofErr w:type="spellEnd"/>
            <w:r w:rsidRPr="000D2922">
              <w:rPr>
                <w:rFonts w:asciiTheme="minorBidi" w:hAnsiTheme="minorBidi" w:cstheme="minorBidi"/>
                <w:b/>
                <w:bCs/>
                <w:sz w:val="20"/>
                <w:szCs w:val="20"/>
                <w:lang w:val="en-GB"/>
              </w:rPr>
              <w:t>α</w:t>
            </w:r>
            <w:r w:rsidRPr="000D2922">
              <w:rPr>
                <w:rFonts w:asciiTheme="minorBidi" w:hAnsiTheme="minorBidi" w:cstheme="minorBidi"/>
                <w:b/>
                <w:bCs/>
                <w:sz w:val="20"/>
                <w:szCs w:val="20"/>
              </w:rPr>
              <w:t xml:space="preserve"> </w:t>
            </w:r>
            <w:proofErr w:type="spellStart"/>
            <w:r w:rsidRPr="000D2922">
              <w:rPr>
                <w:rFonts w:asciiTheme="minorBidi" w:hAnsiTheme="minorBidi" w:cstheme="minorBidi"/>
                <w:b/>
                <w:bCs/>
                <w:sz w:val="20"/>
                <w:szCs w:val="20"/>
                <w:lang w:val="en-GB"/>
              </w:rPr>
              <w:t>τη</w:t>
            </w:r>
            <w:proofErr w:type="spellEnd"/>
            <w:r w:rsidRPr="000D2922">
              <w:rPr>
                <w:rFonts w:asciiTheme="minorBidi" w:hAnsiTheme="minorBidi" w:cstheme="minorBidi"/>
                <w:b/>
                <w:bCs/>
                <w:sz w:val="20"/>
                <w:szCs w:val="20"/>
              </w:rPr>
              <w:t xml:space="preserve"> </w:t>
            </w:r>
            <w:proofErr w:type="spellStart"/>
            <w:r w:rsidRPr="000D2922">
              <w:rPr>
                <w:rFonts w:asciiTheme="minorBidi" w:hAnsiTheme="minorBidi" w:cstheme="minorBidi"/>
                <w:b/>
                <w:bCs/>
                <w:sz w:val="20"/>
                <w:szCs w:val="20"/>
                <w:lang w:val="en-GB"/>
              </w:rPr>
              <w:t>Φύση</w:t>
            </w:r>
            <w:proofErr w:type="spellEnd"/>
            <w:r w:rsidRPr="000D2922">
              <w:rPr>
                <w:rFonts w:asciiTheme="minorBidi" w:hAnsiTheme="minorBidi" w:cstheme="minorBidi"/>
                <w:b/>
                <w:bCs/>
                <w:sz w:val="20"/>
                <w:szCs w:val="20"/>
              </w:rPr>
              <w:t xml:space="preserve"> </w:t>
            </w:r>
            <w:r w:rsidRPr="000D2922">
              <w:rPr>
                <w:rFonts w:asciiTheme="minorBidi" w:hAnsiTheme="minorBidi" w:cstheme="minorBidi"/>
                <w:b/>
                <w:bCs/>
                <w:sz w:val="20"/>
                <w:szCs w:val="20"/>
                <w:lang w:val="en-GB"/>
              </w:rPr>
              <w:t>και</w:t>
            </w:r>
            <w:r w:rsidRPr="000D2922">
              <w:rPr>
                <w:rFonts w:asciiTheme="minorBidi" w:hAnsiTheme="minorBidi" w:cstheme="minorBidi"/>
                <w:b/>
                <w:bCs/>
                <w:sz w:val="20"/>
                <w:szCs w:val="20"/>
              </w:rPr>
              <w:t xml:space="preserve"> </w:t>
            </w:r>
            <w:proofErr w:type="spellStart"/>
            <w:r w:rsidRPr="000D2922">
              <w:rPr>
                <w:rFonts w:asciiTheme="minorBidi" w:hAnsiTheme="minorBidi" w:cstheme="minorBidi"/>
                <w:b/>
                <w:bCs/>
                <w:sz w:val="20"/>
                <w:szCs w:val="20"/>
                <w:lang w:val="en-GB"/>
              </w:rPr>
              <w:t>τον</w:t>
            </w:r>
            <w:proofErr w:type="spellEnd"/>
            <w:r w:rsidRPr="000D2922">
              <w:rPr>
                <w:rFonts w:asciiTheme="minorBidi" w:hAnsiTheme="minorBidi" w:cstheme="minorBidi"/>
                <w:b/>
                <w:bCs/>
                <w:sz w:val="20"/>
                <w:szCs w:val="20"/>
              </w:rPr>
              <w:t xml:space="preserve"> </w:t>
            </w:r>
            <w:proofErr w:type="spellStart"/>
            <w:r w:rsidRPr="000D2922">
              <w:rPr>
                <w:rFonts w:asciiTheme="minorBidi" w:hAnsiTheme="minorBidi" w:cstheme="minorBidi"/>
                <w:b/>
                <w:bCs/>
                <w:sz w:val="20"/>
                <w:szCs w:val="20"/>
                <w:lang w:val="en-GB"/>
              </w:rPr>
              <w:t>Άνθρω</w:t>
            </w:r>
            <w:proofErr w:type="spellEnd"/>
            <w:r w:rsidRPr="000D2922">
              <w:rPr>
                <w:rFonts w:asciiTheme="minorBidi" w:hAnsiTheme="minorBidi" w:cstheme="minorBidi"/>
                <w:b/>
                <w:bCs/>
                <w:sz w:val="20"/>
                <w:szCs w:val="20"/>
                <w:lang w:val="en-GB"/>
              </w:rPr>
              <w:t>πο</w:t>
            </w:r>
            <w:r w:rsidRPr="000D2922">
              <w:rPr>
                <w:rFonts w:asciiTheme="minorBidi" w:hAnsiTheme="minorBidi" w:cstheme="minorBidi"/>
                <w:b/>
                <w:bCs/>
                <w:sz w:val="20"/>
                <w:szCs w:val="20"/>
              </w:rPr>
              <w:br/>
            </w:r>
            <w:proofErr w:type="spellStart"/>
            <w:r w:rsidRPr="000D2922">
              <w:rPr>
                <w:rFonts w:asciiTheme="minorBidi" w:hAnsiTheme="minorBidi" w:cstheme="minorBidi"/>
                <w:sz w:val="20"/>
                <w:szCs w:val="20"/>
              </w:rPr>
              <w:t>Mediterranean</w:t>
            </w:r>
            <w:proofErr w:type="spellEnd"/>
            <w:r w:rsidRPr="000D2922">
              <w:rPr>
                <w:rFonts w:asciiTheme="minorBidi" w:hAnsiTheme="minorBidi" w:cstheme="minorBidi"/>
                <w:sz w:val="20"/>
                <w:szCs w:val="20"/>
              </w:rPr>
              <w:t xml:space="preserve"> Institute for Nature and Anthropos</w:t>
            </w:r>
          </w:p>
        </w:tc>
        <w:tc>
          <w:tcPr>
            <w:tcW w:w="1010" w:type="pct"/>
            <w:shd w:val="clear" w:color="auto" w:fill="DBE5F1" w:themeFill="accent1" w:themeFillTint="33"/>
            <w:vAlign w:val="center"/>
          </w:tcPr>
          <w:p w14:paraId="18EAE661"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Grèce</w:t>
            </w:r>
          </w:p>
        </w:tc>
        <w:tc>
          <w:tcPr>
            <w:tcW w:w="842" w:type="pct"/>
            <w:shd w:val="clear" w:color="auto" w:fill="DBE5F1" w:themeFill="accent1" w:themeFillTint="33"/>
            <w:vAlign w:val="center"/>
          </w:tcPr>
          <w:p w14:paraId="0694C6F9"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NGO-90556</w:t>
            </w:r>
          </w:p>
        </w:tc>
      </w:tr>
      <w:tr w:rsidR="00DD751E" w:rsidRPr="000D358B" w14:paraId="5562F319" w14:textId="77777777" w:rsidTr="00A502CC">
        <w:trPr>
          <w:trHeight w:val="576"/>
        </w:trPr>
        <w:tc>
          <w:tcPr>
            <w:tcW w:w="3148" w:type="pct"/>
            <w:shd w:val="clear" w:color="auto" w:fill="auto"/>
            <w:vAlign w:val="center"/>
          </w:tcPr>
          <w:p w14:paraId="22192307" w14:textId="77777777" w:rsidR="00DD751E" w:rsidRPr="000D2922" w:rsidRDefault="00DD751E" w:rsidP="008319A4">
            <w:pPr>
              <w:contextualSpacing/>
              <w:rPr>
                <w:rFonts w:asciiTheme="minorBidi" w:hAnsiTheme="minorBidi" w:cstheme="minorBidi"/>
                <w:b/>
                <w:bCs/>
                <w:sz w:val="20"/>
                <w:szCs w:val="20"/>
              </w:rPr>
            </w:pPr>
            <w:proofErr w:type="spellStart"/>
            <w:r w:rsidRPr="000D2922">
              <w:rPr>
                <w:rFonts w:asciiTheme="minorBidi" w:hAnsiTheme="minorBidi" w:cstheme="minorBidi"/>
                <w:b/>
                <w:bCs/>
                <w:sz w:val="20"/>
                <w:szCs w:val="20"/>
                <w:lang w:val="en-GB"/>
              </w:rPr>
              <w:t>Ґромадська</w:t>
            </w:r>
            <w:proofErr w:type="spellEnd"/>
            <w:r w:rsidRPr="000D2922">
              <w:rPr>
                <w:rFonts w:asciiTheme="minorBidi" w:hAnsiTheme="minorBidi" w:cstheme="minorBidi"/>
                <w:b/>
                <w:bCs/>
                <w:sz w:val="20"/>
                <w:szCs w:val="20"/>
              </w:rPr>
              <w:t xml:space="preserve"> </w:t>
            </w:r>
            <w:proofErr w:type="spellStart"/>
            <w:r w:rsidRPr="000D2922">
              <w:rPr>
                <w:rFonts w:asciiTheme="minorBidi" w:hAnsiTheme="minorBidi" w:cstheme="minorBidi"/>
                <w:b/>
                <w:bCs/>
                <w:sz w:val="20"/>
                <w:szCs w:val="20"/>
                <w:lang w:val="en-GB"/>
              </w:rPr>
              <w:t>орґанізація</w:t>
            </w:r>
            <w:proofErr w:type="spellEnd"/>
            <w:r w:rsidRPr="000D2922">
              <w:rPr>
                <w:rFonts w:asciiTheme="minorBidi" w:hAnsiTheme="minorBidi" w:cstheme="minorBidi"/>
                <w:b/>
                <w:bCs/>
                <w:sz w:val="20"/>
                <w:szCs w:val="20"/>
              </w:rPr>
              <w:t xml:space="preserve"> </w:t>
            </w:r>
            <w:r w:rsidRPr="000D2922">
              <w:rPr>
                <w:rFonts w:asciiTheme="minorBidi" w:hAnsiTheme="minorBidi" w:cstheme="minorBidi"/>
                <w:b/>
                <w:bCs/>
                <w:sz w:val="20"/>
                <w:szCs w:val="20"/>
                <w:lang w:val="en-GB"/>
              </w:rPr>
              <w:t>ЖІНКИ</w:t>
            </w:r>
            <w:r w:rsidRPr="000D2922">
              <w:rPr>
                <w:rFonts w:asciiTheme="minorBidi" w:hAnsiTheme="minorBidi" w:cstheme="minorBidi"/>
                <w:b/>
                <w:bCs/>
                <w:sz w:val="20"/>
                <w:szCs w:val="20"/>
              </w:rPr>
              <w:t xml:space="preserve"> </w:t>
            </w:r>
            <w:proofErr w:type="spellStart"/>
            <w:r w:rsidRPr="000D2922">
              <w:rPr>
                <w:rFonts w:asciiTheme="minorBidi" w:hAnsiTheme="minorBidi" w:cstheme="minorBidi"/>
                <w:b/>
                <w:bCs/>
                <w:sz w:val="20"/>
                <w:szCs w:val="20"/>
                <w:lang w:val="en-GB"/>
              </w:rPr>
              <w:t>плюс</w:t>
            </w:r>
            <w:proofErr w:type="spellEnd"/>
            <w:r w:rsidRPr="000D2922">
              <w:rPr>
                <w:rFonts w:asciiTheme="minorBidi" w:hAnsiTheme="minorBidi" w:cstheme="minorBidi"/>
                <w:b/>
                <w:bCs/>
                <w:sz w:val="20"/>
                <w:szCs w:val="20"/>
              </w:rPr>
              <w:br/>
            </w:r>
            <w:r w:rsidRPr="000D2922">
              <w:rPr>
                <w:rFonts w:asciiTheme="minorBidi" w:hAnsiTheme="minorBidi" w:cstheme="minorBidi"/>
                <w:sz w:val="20"/>
                <w:szCs w:val="20"/>
              </w:rPr>
              <w:t>WOMEN plus</w:t>
            </w:r>
          </w:p>
        </w:tc>
        <w:tc>
          <w:tcPr>
            <w:tcW w:w="1010" w:type="pct"/>
            <w:shd w:val="clear" w:color="auto" w:fill="auto"/>
            <w:vAlign w:val="center"/>
          </w:tcPr>
          <w:p w14:paraId="39617F09"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Ukraine</w:t>
            </w:r>
          </w:p>
        </w:tc>
        <w:tc>
          <w:tcPr>
            <w:tcW w:w="842" w:type="pct"/>
            <w:shd w:val="clear" w:color="auto" w:fill="auto"/>
            <w:vAlign w:val="center"/>
          </w:tcPr>
          <w:p w14:paraId="6C535EA6"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NGO-90558</w:t>
            </w:r>
          </w:p>
        </w:tc>
      </w:tr>
      <w:tr w:rsidR="00DD751E" w:rsidRPr="000D358B" w14:paraId="3A510843" w14:textId="77777777" w:rsidTr="00A502CC">
        <w:trPr>
          <w:trHeight w:val="576"/>
        </w:trPr>
        <w:tc>
          <w:tcPr>
            <w:tcW w:w="3148" w:type="pct"/>
            <w:shd w:val="clear" w:color="auto" w:fill="DBE5F1" w:themeFill="accent1" w:themeFillTint="33"/>
            <w:vAlign w:val="center"/>
          </w:tcPr>
          <w:p w14:paraId="5014FC65" w14:textId="77777777" w:rsidR="00DD751E" w:rsidRPr="000D2922" w:rsidRDefault="00DD751E" w:rsidP="008319A4">
            <w:pPr>
              <w:contextualSpacing/>
              <w:rPr>
                <w:rFonts w:asciiTheme="minorBidi" w:hAnsiTheme="minorBidi" w:cstheme="minorBidi"/>
                <w:b/>
                <w:bCs/>
                <w:sz w:val="20"/>
                <w:szCs w:val="20"/>
              </w:rPr>
            </w:pPr>
            <w:proofErr w:type="spellStart"/>
            <w:r w:rsidRPr="000D2922">
              <w:rPr>
                <w:rFonts w:asciiTheme="minorBidi" w:hAnsiTheme="minorBidi" w:cstheme="minorBidi"/>
                <w:b/>
                <w:bCs/>
                <w:sz w:val="20"/>
                <w:szCs w:val="20"/>
                <w:lang w:val="en-GB"/>
              </w:rPr>
              <w:t>Фондация</w:t>
            </w:r>
            <w:proofErr w:type="spellEnd"/>
            <w:r w:rsidRPr="000D2922">
              <w:rPr>
                <w:rFonts w:asciiTheme="minorBidi" w:hAnsiTheme="minorBidi" w:cstheme="minorBidi"/>
                <w:b/>
                <w:bCs/>
                <w:sz w:val="20"/>
                <w:szCs w:val="20"/>
              </w:rPr>
              <w:t xml:space="preserve"> </w:t>
            </w:r>
            <w:proofErr w:type="spellStart"/>
            <w:r w:rsidRPr="000D2922">
              <w:rPr>
                <w:rFonts w:asciiTheme="minorBidi" w:hAnsiTheme="minorBidi" w:cstheme="minorBidi"/>
                <w:b/>
                <w:bCs/>
                <w:sz w:val="20"/>
                <w:szCs w:val="20"/>
                <w:lang w:val="en-GB"/>
              </w:rPr>
              <w:t>Стойна</w:t>
            </w:r>
            <w:proofErr w:type="spellEnd"/>
            <w:r w:rsidRPr="000D2922">
              <w:rPr>
                <w:rFonts w:asciiTheme="minorBidi" w:hAnsiTheme="minorBidi" w:cstheme="minorBidi"/>
                <w:b/>
                <w:bCs/>
                <w:sz w:val="20"/>
                <w:szCs w:val="20"/>
              </w:rPr>
              <w:t xml:space="preserve"> </w:t>
            </w:r>
            <w:proofErr w:type="spellStart"/>
            <w:r w:rsidRPr="000D2922">
              <w:rPr>
                <w:rFonts w:asciiTheme="minorBidi" w:hAnsiTheme="minorBidi" w:cstheme="minorBidi"/>
                <w:b/>
                <w:bCs/>
                <w:sz w:val="20"/>
                <w:szCs w:val="20"/>
                <w:lang w:val="en-GB"/>
              </w:rPr>
              <w:t>Кръстанова</w:t>
            </w:r>
            <w:proofErr w:type="spellEnd"/>
            <w:r w:rsidRPr="000D2922">
              <w:rPr>
                <w:rFonts w:asciiTheme="minorBidi" w:hAnsiTheme="minorBidi" w:cstheme="minorBidi"/>
                <w:b/>
                <w:bCs/>
                <w:sz w:val="20"/>
                <w:szCs w:val="20"/>
              </w:rPr>
              <w:br/>
            </w:r>
            <w:proofErr w:type="spellStart"/>
            <w:r w:rsidRPr="000D2922">
              <w:rPr>
                <w:rFonts w:asciiTheme="minorBidi" w:hAnsiTheme="minorBidi" w:cstheme="minorBidi"/>
                <w:sz w:val="20"/>
                <w:szCs w:val="20"/>
              </w:rPr>
              <w:t>Stoyna</w:t>
            </w:r>
            <w:proofErr w:type="spellEnd"/>
            <w:r w:rsidRPr="000D2922">
              <w:rPr>
                <w:rFonts w:asciiTheme="minorBidi" w:hAnsiTheme="minorBidi" w:cstheme="minorBidi"/>
                <w:sz w:val="20"/>
                <w:szCs w:val="20"/>
              </w:rPr>
              <w:t xml:space="preserve"> </w:t>
            </w:r>
            <w:proofErr w:type="spellStart"/>
            <w:r w:rsidRPr="000D2922">
              <w:rPr>
                <w:rFonts w:asciiTheme="minorBidi" w:hAnsiTheme="minorBidi" w:cstheme="minorBidi"/>
                <w:sz w:val="20"/>
                <w:szCs w:val="20"/>
              </w:rPr>
              <w:t>Krastanova</w:t>
            </w:r>
            <w:proofErr w:type="spellEnd"/>
            <w:r w:rsidRPr="000D2922">
              <w:rPr>
                <w:rFonts w:asciiTheme="minorBidi" w:hAnsiTheme="minorBidi" w:cstheme="minorBidi"/>
                <w:sz w:val="20"/>
                <w:szCs w:val="20"/>
              </w:rPr>
              <w:t xml:space="preserve"> </w:t>
            </w:r>
            <w:proofErr w:type="spellStart"/>
            <w:r w:rsidRPr="000D2922">
              <w:rPr>
                <w:rFonts w:asciiTheme="minorBidi" w:hAnsiTheme="minorBidi" w:cstheme="minorBidi"/>
                <w:sz w:val="20"/>
                <w:szCs w:val="20"/>
              </w:rPr>
              <w:t>Foundation</w:t>
            </w:r>
            <w:proofErr w:type="spellEnd"/>
          </w:p>
        </w:tc>
        <w:tc>
          <w:tcPr>
            <w:tcW w:w="1010" w:type="pct"/>
            <w:shd w:val="clear" w:color="auto" w:fill="DBE5F1" w:themeFill="accent1" w:themeFillTint="33"/>
            <w:vAlign w:val="center"/>
          </w:tcPr>
          <w:p w14:paraId="50238143"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Bulgarie</w:t>
            </w:r>
          </w:p>
        </w:tc>
        <w:tc>
          <w:tcPr>
            <w:tcW w:w="842" w:type="pct"/>
            <w:shd w:val="clear" w:color="auto" w:fill="DBE5F1" w:themeFill="accent1" w:themeFillTint="33"/>
            <w:vAlign w:val="center"/>
          </w:tcPr>
          <w:p w14:paraId="7D22C79F"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NGO-90571</w:t>
            </w:r>
          </w:p>
        </w:tc>
      </w:tr>
      <w:tr w:rsidR="00DD751E" w:rsidRPr="000D358B" w14:paraId="7F0EB2E3" w14:textId="77777777" w:rsidTr="00A502CC">
        <w:trPr>
          <w:trHeight w:val="576"/>
        </w:trPr>
        <w:tc>
          <w:tcPr>
            <w:tcW w:w="3148" w:type="pct"/>
            <w:shd w:val="clear" w:color="auto" w:fill="auto"/>
            <w:vAlign w:val="center"/>
          </w:tcPr>
          <w:p w14:paraId="51B6C296" w14:textId="77777777" w:rsidR="00DD751E" w:rsidRPr="000D2922" w:rsidRDefault="00DD751E" w:rsidP="008319A4">
            <w:pPr>
              <w:widowControl w:val="0"/>
              <w:contextualSpacing/>
              <w:rPr>
                <w:rFonts w:asciiTheme="minorBidi" w:hAnsiTheme="minorBidi" w:cstheme="minorBidi"/>
                <w:b/>
                <w:bCs/>
                <w:sz w:val="20"/>
                <w:szCs w:val="20"/>
                <w:lang w:val="en-GB"/>
              </w:rPr>
            </w:pPr>
            <w:r w:rsidRPr="000D2922">
              <w:rPr>
                <w:rFonts w:asciiTheme="minorBidi" w:hAnsiTheme="minorBidi" w:cstheme="minorBidi"/>
                <w:b/>
                <w:bCs/>
                <w:sz w:val="20"/>
                <w:szCs w:val="20"/>
                <w:rtl/>
                <w:lang w:val="en-GB"/>
              </w:rPr>
              <w:t>جمعية حرفة التعاونية</w:t>
            </w:r>
          </w:p>
          <w:p w14:paraId="6B53E2EF" w14:textId="77777777" w:rsidR="00DD751E" w:rsidRPr="00582E1B" w:rsidRDefault="00DD751E" w:rsidP="008319A4">
            <w:pPr>
              <w:contextualSpacing/>
              <w:rPr>
                <w:rFonts w:asciiTheme="minorBidi" w:hAnsiTheme="minorBidi" w:cstheme="minorBidi"/>
                <w:sz w:val="20"/>
                <w:szCs w:val="20"/>
                <w:lang w:val="en-US"/>
              </w:rPr>
            </w:pPr>
            <w:proofErr w:type="spellStart"/>
            <w:r w:rsidRPr="000D2922">
              <w:rPr>
                <w:rFonts w:asciiTheme="minorBidi" w:hAnsiTheme="minorBidi" w:cstheme="minorBidi"/>
                <w:sz w:val="20"/>
                <w:szCs w:val="20"/>
                <w:lang w:val="en-GB"/>
              </w:rPr>
              <w:t>Herfah</w:t>
            </w:r>
            <w:proofErr w:type="spellEnd"/>
            <w:r w:rsidRPr="000D2922">
              <w:rPr>
                <w:rFonts w:asciiTheme="minorBidi" w:hAnsiTheme="minorBidi" w:cstheme="minorBidi"/>
                <w:sz w:val="20"/>
                <w:szCs w:val="20"/>
                <w:lang w:val="en-GB"/>
              </w:rPr>
              <w:t xml:space="preserve"> Cooperative Association</w:t>
            </w:r>
          </w:p>
        </w:tc>
        <w:tc>
          <w:tcPr>
            <w:tcW w:w="1010" w:type="pct"/>
            <w:shd w:val="clear" w:color="auto" w:fill="auto"/>
            <w:vAlign w:val="center"/>
          </w:tcPr>
          <w:p w14:paraId="0C35E0FD"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Arabie Saoudite</w:t>
            </w:r>
          </w:p>
        </w:tc>
        <w:tc>
          <w:tcPr>
            <w:tcW w:w="842" w:type="pct"/>
            <w:shd w:val="clear" w:color="auto" w:fill="auto"/>
            <w:vAlign w:val="center"/>
          </w:tcPr>
          <w:p w14:paraId="0A050E9F"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NGO-90591</w:t>
            </w:r>
          </w:p>
        </w:tc>
      </w:tr>
      <w:tr w:rsidR="00DD751E" w:rsidRPr="000D358B" w14:paraId="42D69488" w14:textId="77777777" w:rsidTr="00A502CC">
        <w:trPr>
          <w:trHeight w:val="576"/>
        </w:trPr>
        <w:tc>
          <w:tcPr>
            <w:tcW w:w="3148" w:type="pct"/>
            <w:shd w:val="clear" w:color="auto" w:fill="DBE5F1" w:themeFill="accent1" w:themeFillTint="33"/>
            <w:vAlign w:val="center"/>
          </w:tcPr>
          <w:p w14:paraId="71F1B974" w14:textId="77777777" w:rsidR="00DD751E" w:rsidRPr="000D2922" w:rsidRDefault="00DD751E" w:rsidP="008319A4">
            <w:pPr>
              <w:contextualSpacing/>
              <w:rPr>
                <w:rFonts w:asciiTheme="minorBidi" w:hAnsiTheme="minorBidi" w:cstheme="minorBidi"/>
                <w:b/>
                <w:bCs/>
                <w:sz w:val="20"/>
                <w:szCs w:val="20"/>
                <w:lang w:val="en-GB"/>
              </w:rPr>
            </w:pPr>
            <w:bookmarkStart w:id="2" w:name="_Hlk150107361"/>
            <w:r w:rsidRPr="000D2922">
              <w:rPr>
                <w:rFonts w:asciiTheme="minorBidi" w:hAnsiTheme="minorBidi" w:cstheme="minorBidi"/>
                <w:b/>
                <w:bCs/>
                <w:sz w:val="20"/>
                <w:szCs w:val="20"/>
                <w:rtl/>
                <w:lang w:val="en-GB"/>
              </w:rPr>
              <w:t>جمعية الصعيد للتربية والتنمية</w:t>
            </w:r>
          </w:p>
          <w:p w14:paraId="6164953E" w14:textId="77777777" w:rsidR="00DD751E" w:rsidRPr="00582E1B" w:rsidRDefault="00DD751E" w:rsidP="008319A4">
            <w:pPr>
              <w:contextualSpacing/>
              <w:rPr>
                <w:rFonts w:asciiTheme="minorBidi" w:hAnsiTheme="minorBidi" w:cstheme="minorBidi"/>
                <w:sz w:val="20"/>
                <w:szCs w:val="20"/>
                <w:lang w:val="en-US"/>
              </w:rPr>
            </w:pPr>
            <w:r w:rsidRPr="000D2922">
              <w:rPr>
                <w:rFonts w:asciiTheme="minorBidi" w:hAnsiTheme="minorBidi" w:cstheme="minorBidi"/>
                <w:sz w:val="20"/>
                <w:szCs w:val="20"/>
                <w:lang w:val="en-GB"/>
              </w:rPr>
              <w:t>Association of Upper Egypt for Education and Development</w:t>
            </w:r>
          </w:p>
        </w:tc>
        <w:tc>
          <w:tcPr>
            <w:tcW w:w="1010" w:type="pct"/>
            <w:shd w:val="clear" w:color="auto" w:fill="DBE5F1" w:themeFill="accent1" w:themeFillTint="33"/>
            <w:vAlign w:val="center"/>
          </w:tcPr>
          <w:p w14:paraId="6ABE6056"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Égypte</w:t>
            </w:r>
          </w:p>
        </w:tc>
        <w:tc>
          <w:tcPr>
            <w:tcW w:w="842" w:type="pct"/>
            <w:shd w:val="clear" w:color="auto" w:fill="DBE5F1" w:themeFill="accent1" w:themeFillTint="33"/>
            <w:vAlign w:val="center"/>
          </w:tcPr>
          <w:p w14:paraId="2482A3E7" w14:textId="77777777" w:rsidR="00DD751E" w:rsidRPr="000D2922" w:rsidRDefault="00DD751E" w:rsidP="008319A4">
            <w:pPr>
              <w:pStyle w:val="Titre7"/>
              <w:jc w:val="center"/>
              <w:rPr>
                <w:rFonts w:asciiTheme="minorBidi" w:hAnsiTheme="minorBidi" w:cstheme="minorBidi"/>
                <w:i w:val="0"/>
                <w:iCs w:val="0"/>
                <w:color w:val="auto"/>
                <w:sz w:val="20"/>
                <w:szCs w:val="20"/>
              </w:rPr>
            </w:pPr>
            <w:r>
              <w:rPr>
                <w:rFonts w:asciiTheme="minorBidi" w:hAnsiTheme="minorBidi"/>
                <w:i w:val="0"/>
                <w:color w:val="auto"/>
                <w:sz w:val="20"/>
              </w:rPr>
              <w:t>NGO-90535</w:t>
            </w:r>
          </w:p>
        </w:tc>
      </w:tr>
      <w:tr w:rsidR="00DD751E" w:rsidRPr="000D358B" w14:paraId="747EBD6D" w14:textId="77777777" w:rsidTr="00582E1B">
        <w:trPr>
          <w:trHeight w:val="840"/>
        </w:trPr>
        <w:tc>
          <w:tcPr>
            <w:tcW w:w="3148" w:type="pct"/>
            <w:shd w:val="clear" w:color="auto" w:fill="auto"/>
            <w:vAlign w:val="center"/>
          </w:tcPr>
          <w:p w14:paraId="3D0D076A" w14:textId="77777777" w:rsidR="00DD751E" w:rsidRPr="000D2922" w:rsidRDefault="00DD751E" w:rsidP="008319A4">
            <w:pPr>
              <w:contextualSpacing/>
              <w:rPr>
                <w:rFonts w:asciiTheme="minorBidi" w:hAnsiTheme="minorBidi" w:cstheme="minorBidi"/>
                <w:b/>
                <w:bCs/>
                <w:sz w:val="20"/>
                <w:szCs w:val="20"/>
              </w:rPr>
            </w:pPr>
            <w:r w:rsidRPr="000D2922">
              <w:rPr>
                <w:rFonts w:asciiTheme="minorBidi" w:hAnsiTheme="minorBidi" w:cstheme="minorBidi"/>
                <w:b/>
                <w:bCs/>
                <w:sz w:val="20"/>
                <w:szCs w:val="20"/>
                <w:rtl/>
                <w:lang w:val="en-GB"/>
              </w:rPr>
              <w:t>جمعيّة صيانة القصور والمحافظة على التّراث ببني خداش</w:t>
            </w:r>
          </w:p>
          <w:p w14:paraId="37E23776" w14:textId="77777777" w:rsidR="00DD751E" w:rsidRPr="000D2922" w:rsidRDefault="00DD751E" w:rsidP="008319A4">
            <w:pPr>
              <w:contextualSpacing/>
              <w:rPr>
                <w:rFonts w:asciiTheme="minorBidi" w:hAnsiTheme="minorBidi" w:cstheme="minorBidi"/>
                <w:sz w:val="20"/>
                <w:szCs w:val="20"/>
              </w:rPr>
            </w:pPr>
            <w:r w:rsidRPr="000D2922">
              <w:rPr>
                <w:rFonts w:asciiTheme="minorBidi" w:hAnsiTheme="minorBidi" w:cstheme="minorBidi"/>
                <w:sz w:val="20"/>
                <w:szCs w:val="20"/>
              </w:rPr>
              <w:t xml:space="preserve">Association de protection de ksour et sauvegarde du patrimoine à Béni </w:t>
            </w:r>
            <w:proofErr w:type="spellStart"/>
            <w:r w:rsidRPr="000D2922">
              <w:rPr>
                <w:rFonts w:asciiTheme="minorBidi" w:hAnsiTheme="minorBidi" w:cstheme="minorBidi"/>
                <w:sz w:val="20"/>
                <w:szCs w:val="20"/>
              </w:rPr>
              <w:t>Kheddache</w:t>
            </w:r>
            <w:proofErr w:type="spellEnd"/>
          </w:p>
        </w:tc>
        <w:tc>
          <w:tcPr>
            <w:tcW w:w="1010" w:type="pct"/>
            <w:shd w:val="clear" w:color="auto" w:fill="auto"/>
            <w:vAlign w:val="center"/>
          </w:tcPr>
          <w:p w14:paraId="7C768E6B"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Tunisie</w:t>
            </w:r>
          </w:p>
        </w:tc>
        <w:tc>
          <w:tcPr>
            <w:tcW w:w="842" w:type="pct"/>
            <w:shd w:val="clear" w:color="auto" w:fill="auto"/>
            <w:vAlign w:val="center"/>
          </w:tcPr>
          <w:p w14:paraId="6B4295EE"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NGO-90534</w:t>
            </w:r>
          </w:p>
        </w:tc>
      </w:tr>
      <w:tr w:rsidR="00DD751E" w:rsidRPr="000D358B" w14:paraId="39E2D8D0" w14:textId="77777777" w:rsidTr="00A502CC">
        <w:trPr>
          <w:trHeight w:val="576"/>
        </w:trPr>
        <w:tc>
          <w:tcPr>
            <w:tcW w:w="3148" w:type="pct"/>
            <w:shd w:val="clear" w:color="auto" w:fill="DBE5F1" w:themeFill="accent1" w:themeFillTint="33"/>
            <w:vAlign w:val="center"/>
          </w:tcPr>
          <w:p w14:paraId="3D35E314" w14:textId="77777777" w:rsidR="00DD751E" w:rsidRPr="000D2922" w:rsidRDefault="00DD751E" w:rsidP="008319A4">
            <w:pPr>
              <w:contextualSpacing/>
              <w:rPr>
                <w:rFonts w:asciiTheme="minorBidi" w:hAnsiTheme="minorBidi" w:cstheme="minorBidi"/>
                <w:b/>
                <w:bCs/>
                <w:sz w:val="20"/>
                <w:szCs w:val="20"/>
                <w:lang w:val="en-GB"/>
              </w:rPr>
            </w:pPr>
            <w:r w:rsidRPr="000D2922">
              <w:rPr>
                <w:rFonts w:asciiTheme="minorBidi" w:hAnsiTheme="minorBidi" w:cstheme="minorBidi"/>
                <w:b/>
                <w:bCs/>
                <w:sz w:val="20"/>
                <w:szCs w:val="20"/>
                <w:rtl/>
                <w:lang w:val="en-GB"/>
              </w:rPr>
              <w:t xml:space="preserve">مؤسسة </w:t>
            </w:r>
            <w:proofErr w:type="spellStart"/>
            <w:r w:rsidRPr="000D2922">
              <w:rPr>
                <w:rFonts w:asciiTheme="minorBidi" w:hAnsiTheme="minorBidi" w:cstheme="minorBidi"/>
                <w:b/>
                <w:bCs/>
                <w:sz w:val="20"/>
                <w:szCs w:val="20"/>
                <w:rtl/>
                <w:lang w:val="en-GB"/>
              </w:rPr>
              <w:t>راقودة</w:t>
            </w:r>
            <w:proofErr w:type="spellEnd"/>
            <w:r w:rsidRPr="000D2922">
              <w:rPr>
                <w:rFonts w:asciiTheme="minorBidi" w:hAnsiTheme="minorBidi" w:cstheme="minorBidi"/>
                <w:b/>
                <w:bCs/>
                <w:sz w:val="20"/>
                <w:szCs w:val="20"/>
                <w:rtl/>
                <w:lang w:val="en-GB"/>
              </w:rPr>
              <w:t xml:space="preserve"> للفن والتراث</w:t>
            </w:r>
          </w:p>
          <w:p w14:paraId="57554012" w14:textId="77777777" w:rsidR="00DD751E" w:rsidRPr="00582E1B" w:rsidRDefault="00DD751E" w:rsidP="008319A4">
            <w:pPr>
              <w:contextualSpacing/>
              <w:rPr>
                <w:rFonts w:asciiTheme="minorBidi" w:hAnsiTheme="minorBidi" w:cstheme="minorBidi"/>
                <w:sz w:val="20"/>
                <w:szCs w:val="20"/>
                <w:lang w:val="en-US"/>
              </w:rPr>
            </w:pPr>
            <w:proofErr w:type="spellStart"/>
            <w:r w:rsidRPr="000D2922">
              <w:rPr>
                <w:rFonts w:asciiTheme="minorBidi" w:hAnsiTheme="minorBidi" w:cstheme="minorBidi"/>
                <w:sz w:val="20"/>
                <w:szCs w:val="20"/>
                <w:lang w:val="en-GB"/>
              </w:rPr>
              <w:t>Raquda</w:t>
            </w:r>
            <w:proofErr w:type="spellEnd"/>
            <w:r w:rsidRPr="000D2922">
              <w:rPr>
                <w:rFonts w:asciiTheme="minorBidi" w:hAnsiTheme="minorBidi" w:cstheme="minorBidi"/>
                <w:sz w:val="20"/>
                <w:szCs w:val="20"/>
                <w:lang w:val="en-GB"/>
              </w:rPr>
              <w:t xml:space="preserve"> Foundation for Art and Heritage</w:t>
            </w:r>
          </w:p>
        </w:tc>
        <w:tc>
          <w:tcPr>
            <w:tcW w:w="1010" w:type="pct"/>
            <w:shd w:val="clear" w:color="auto" w:fill="DBE5F1" w:themeFill="accent1" w:themeFillTint="33"/>
            <w:vAlign w:val="center"/>
          </w:tcPr>
          <w:p w14:paraId="7C87C927" w14:textId="77777777" w:rsidR="00DD751E" w:rsidRPr="000D2922" w:rsidRDefault="00DD751E" w:rsidP="008319A4">
            <w:pPr>
              <w:pStyle w:val="Titre7"/>
              <w:jc w:val="center"/>
              <w:rPr>
                <w:rFonts w:asciiTheme="minorBidi" w:hAnsiTheme="minorBidi" w:cstheme="minorBidi"/>
                <w:i w:val="0"/>
                <w:iCs w:val="0"/>
                <w:color w:val="auto"/>
                <w:sz w:val="20"/>
                <w:szCs w:val="20"/>
              </w:rPr>
            </w:pPr>
            <w:r>
              <w:rPr>
                <w:rFonts w:asciiTheme="minorBidi" w:hAnsiTheme="minorBidi"/>
                <w:i w:val="0"/>
                <w:color w:val="auto"/>
                <w:sz w:val="20"/>
              </w:rPr>
              <w:t>Égypte</w:t>
            </w:r>
          </w:p>
        </w:tc>
        <w:tc>
          <w:tcPr>
            <w:tcW w:w="842" w:type="pct"/>
            <w:shd w:val="clear" w:color="auto" w:fill="DBE5F1" w:themeFill="accent1" w:themeFillTint="33"/>
            <w:vAlign w:val="center"/>
          </w:tcPr>
          <w:p w14:paraId="003CDC7A"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NGO-90581</w:t>
            </w:r>
          </w:p>
        </w:tc>
      </w:tr>
      <w:tr w:rsidR="00DD751E" w:rsidRPr="000D358B" w14:paraId="58A63E81" w14:textId="77777777" w:rsidTr="00A502CC">
        <w:trPr>
          <w:trHeight w:val="576"/>
        </w:trPr>
        <w:tc>
          <w:tcPr>
            <w:tcW w:w="3148" w:type="pct"/>
            <w:shd w:val="clear" w:color="auto" w:fill="auto"/>
            <w:vAlign w:val="center"/>
          </w:tcPr>
          <w:p w14:paraId="4EA468A6" w14:textId="77777777" w:rsidR="00DD751E" w:rsidRPr="000D2922" w:rsidRDefault="00DD751E" w:rsidP="008319A4">
            <w:pPr>
              <w:contextualSpacing/>
              <w:rPr>
                <w:rFonts w:asciiTheme="minorBidi" w:hAnsiTheme="minorBidi" w:cstheme="minorBidi"/>
                <w:sz w:val="20"/>
                <w:szCs w:val="20"/>
              </w:rPr>
            </w:pPr>
            <w:r w:rsidRPr="000D2922">
              <w:rPr>
                <w:rFonts w:asciiTheme="minorBidi" w:hAnsiTheme="minorBidi" w:cstheme="minorBidi"/>
                <w:b/>
                <w:bCs/>
                <w:sz w:val="20"/>
                <w:szCs w:val="20"/>
                <w:rtl/>
                <w:lang w:val="en-GB"/>
              </w:rPr>
              <w:t xml:space="preserve">مؤسسه </w:t>
            </w:r>
            <w:proofErr w:type="spellStart"/>
            <w:r w:rsidRPr="000D2922">
              <w:rPr>
                <w:rFonts w:asciiTheme="minorBidi" w:hAnsiTheme="minorBidi" w:cstheme="minorBidi"/>
                <w:b/>
                <w:bCs/>
                <w:sz w:val="20"/>
                <w:szCs w:val="20"/>
                <w:rtl/>
                <w:lang w:val="en-GB"/>
              </w:rPr>
              <w:t>فرهنگ</w:t>
            </w:r>
            <w:r w:rsidRPr="000D2922">
              <w:rPr>
                <w:rFonts w:asciiTheme="minorBidi" w:hAnsiTheme="minorBidi" w:cstheme="minorBidi" w:hint="cs"/>
                <w:b/>
                <w:bCs/>
                <w:sz w:val="20"/>
                <w:szCs w:val="20"/>
                <w:rtl/>
                <w:lang w:val="en-GB"/>
              </w:rPr>
              <w:t>ی</w:t>
            </w:r>
            <w:proofErr w:type="spellEnd"/>
            <w:r w:rsidRPr="000D2922">
              <w:rPr>
                <w:rFonts w:asciiTheme="minorBidi" w:hAnsiTheme="minorBidi" w:cstheme="minorBidi"/>
                <w:b/>
                <w:bCs/>
                <w:sz w:val="20"/>
                <w:szCs w:val="20"/>
                <w:rtl/>
                <w:lang w:val="en-GB"/>
              </w:rPr>
              <w:t xml:space="preserve"> </w:t>
            </w:r>
            <w:proofErr w:type="spellStart"/>
            <w:r w:rsidRPr="000D2922">
              <w:rPr>
                <w:rFonts w:asciiTheme="minorBidi" w:hAnsiTheme="minorBidi" w:cstheme="minorBidi"/>
                <w:b/>
                <w:bCs/>
                <w:sz w:val="20"/>
                <w:szCs w:val="20"/>
                <w:rtl/>
                <w:lang w:val="en-GB"/>
              </w:rPr>
              <w:t>هنر</w:t>
            </w:r>
            <w:r w:rsidRPr="000D2922">
              <w:rPr>
                <w:rFonts w:asciiTheme="minorBidi" w:hAnsiTheme="minorBidi" w:cstheme="minorBidi" w:hint="cs"/>
                <w:b/>
                <w:bCs/>
                <w:sz w:val="20"/>
                <w:szCs w:val="20"/>
                <w:rtl/>
                <w:lang w:val="en-GB"/>
              </w:rPr>
              <w:t>ی</w:t>
            </w:r>
            <w:proofErr w:type="spellEnd"/>
            <w:r w:rsidRPr="000D2922">
              <w:rPr>
                <w:rFonts w:asciiTheme="minorBidi" w:hAnsiTheme="minorBidi" w:cstheme="minorBidi"/>
                <w:b/>
                <w:bCs/>
                <w:sz w:val="20"/>
                <w:szCs w:val="20"/>
                <w:rtl/>
                <w:lang w:val="en-GB"/>
              </w:rPr>
              <w:t xml:space="preserve"> مانا نقش شهاب</w:t>
            </w:r>
          </w:p>
          <w:p w14:paraId="144F7C4D" w14:textId="77777777" w:rsidR="00DD751E" w:rsidRPr="008319A4" w:rsidRDefault="00DD751E" w:rsidP="008319A4">
            <w:pPr>
              <w:contextualSpacing/>
              <w:rPr>
                <w:rFonts w:asciiTheme="minorBidi" w:hAnsiTheme="minorBidi" w:cstheme="minorBidi"/>
                <w:b/>
                <w:bCs/>
                <w:sz w:val="20"/>
                <w:szCs w:val="20"/>
                <w:lang w:val="en-US"/>
              </w:rPr>
            </w:pPr>
            <w:r w:rsidRPr="000D2922">
              <w:rPr>
                <w:rFonts w:asciiTheme="minorBidi" w:hAnsiTheme="minorBidi" w:cstheme="minorBidi"/>
                <w:sz w:val="20"/>
                <w:szCs w:val="20"/>
                <w:lang w:val="en-GB"/>
              </w:rPr>
              <w:t xml:space="preserve">Mana </w:t>
            </w:r>
            <w:proofErr w:type="spellStart"/>
            <w:r w:rsidRPr="000D2922">
              <w:rPr>
                <w:rFonts w:asciiTheme="minorBidi" w:hAnsiTheme="minorBidi" w:cstheme="minorBidi"/>
                <w:sz w:val="20"/>
                <w:szCs w:val="20"/>
                <w:lang w:val="en-GB"/>
              </w:rPr>
              <w:t>Naqsh</w:t>
            </w:r>
            <w:proofErr w:type="spellEnd"/>
            <w:r w:rsidRPr="000D2922">
              <w:rPr>
                <w:rFonts w:asciiTheme="minorBidi" w:hAnsiTheme="minorBidi" w:cstheme="minorBidi"/>
                <w:sz w:val="20"/>
                <w:szCs w:val="20"/>
                <w:lang w:val="en-GB"/>
              </w:rPr>
              <w:t xml:space="preserve"> Shahab Art &amp; Culture Institute</w:t>
            </w:r>
          </w:p>
        </w:tc>
        <w:tc>
          <w:tcPr>
            <w:tcW w:w="1010" w:type="pct"/>
            <w:shd w:val="clear" w:color="auto" w:fill="auto"/>
            <w:vAlign w:val="center"/>
          </w:tcPr>
          <w:p w14:paraId="48606133"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Iran (République islamique d’)</w:t>
            </w:r>
          </w:p>
        </w:tc>
        <w:tc>
          <w:tcPr>
            <w:tcW w:w="842" w:type="pct"/>
            <w:shd w:val="clear" w:color="auto" w:fill="auto"/>
            <w:vAlign w:val="center"/>
          </w:tcPr>
          <w:p w14:paraId="347DC974" w14:textId="77777777" w:rsidR="00DD751E" w:rsidRPr="000D2922" w:rsidRDefault="00DD751E" w:rsidP="008319A4">
            <w:pPr>
              <w:pStyle w:val="Titre7"/>
              <w:jc w:val="center"/>
              <w:rPr>
                <w:rFonts w:asciiTheme="minorBidi" w:hAnsiTheme="minorBidi" w:cstheme="minorBidi"/>
                <w:i w:val="0"/>
                <w:iCs w:val="0"/>
                <w:color w:val="auto"/>
                <w:sz w:val="20"/>
                <w:szCs w:val="20"/>
              </w:rPr>
            </w:pPr>
            <w:r>
              <w:rPr>
                <w:rFonts w:asciiTheme="minorBidi" w:hAnsiTheme="minorBidi"/>
                <w:i w:val="0"/>
                <w:color w:val="auto"/>
                <w:sz w:val="20"/>
              </w:rPr>
              <w:t>NGO-90551</w:t>
            </w:r>
          </w:p>
        </w:tc>
      </w:tr>
      <w:tr w:rsidR="00DD751E" w:rsidRPr="000D358B" w14:paraId="1769D177" w14:textId="77777777" w:rsidTr="00A502CC">
        <w:trPr>
          <w:trHeight w:val="576"/>
        </w:trPr>
        <w:tc>
          <w:tcPr>
            <w:tcW w:w="3148" w:type="pct"/>
            <w:shd w:val="clear" w:color="auto" w:fill="DBE5F1" w:themeFill="accent1" w:themeFillTint="33"/>
            <w:vAlign w:val="center"/>
          </w:tcPr>
          <w:p w14:paraId="7CB8D31F" w14:textId="77777777" w:rsidR="00DD751E" w:rsidRPr="000D2922" w:rsidRDefault="00DD751E" w:rsidP="008319A4">
            <w:pPr>
              <w:contextualSpacing/>
              <w:rPr>
                <w:rFonts w:asciiTheme="minorBidi" w:hAnsiTheme="minorBidi" w:cstheme="minorBidi"/>
                <w:b/>
                <w:bCs/>
                <w:sz w:val="20"/>
                <w:szCs w:val="20"/>
              </w:rPr>
            </w:pPr>
            <w:r w:rsidRPr="000D2922">
              <w:rPr>
                <w:rFonts w:ascii="Nirmala UI" w:hAnsi="Nirmala UI" w:cs="Nirmala UI"/>
                <w:b/>
                <w:bCs/>
                <w:sz w:val="20"/>
                <w:szCs w:val="20"/>
                <w:cs/>
                <w:lang w:val="en-GB" w:bidi="kn-IN"/>
              </w:rPr>
              <w:t>ಕರ್ನಾಟಕ</w:t>
            </w:r>
            <w:r w:rsidRPr="000D2922">
              <w:rPr>
                <w:rFonts w:asciiTheme="minorBidi" w:hAnsiTheme="minorBidi" w:cstheme="minorBidi"/>
                <w:b/>
                <w:bCs/>
                <w:sz w:val="20"/>
                <w:szCs w:val="20"/>
                <w:cs/>
                <w:lang w:val="en-GB" w:bidi="kn-IN"/>
              </w:rPr>
              <w:t xml:space="preserve"> </w:t>
            </w:r>
            <w:r w:rsidRPr="000D2922">
              <w:rPr>
                <w:rFonts w:ascii="Nirmala UI" w:hAnsi="Nirmala UI" w:cs="Nirmala UI"/>
                <w:b/>
                <w:bCs/>
                <w:sz w:val="20"/>
                <w:szCs w:val="20"/>
                <w:cs/>
                <w:lang w:val="en-GB" w:bidi="kn-IN"/>
              </w:rPr>
              <w:t>ಜಾನಪದ</w:t>
            </w:r>
            <w:r w:rsidRPr="000D2922">
              <w:rPr>
                <w:rFonts w:asciiTheme="minorBidi" w:hAnsiTheme="minorBidi" w:cstheme="minorBidi"/>
                <w:b/>
                <w:bCs/>
                <w:sz w:val="20"/>
                <w:szCs w:val="20"/>
                <w:cs/>
                <w:lang w:val="en-GB" w:bidi="kn-IN"/>
              </w:rPr>
              <w:t xml:space="preserve"> </w:t>
            </w:r>
            <w:r w:rsidRPr="000D2922">
              <w:rPr>
                <w:rFonts w:ascii="Nirmala UI" w:hAnsi="Nirmala UI" w:cs="Nirmala UI"/>
                <w:b/>
                <w:bCs/>
                <w:sz w:val="20"/>
                <w:szCs w:val="20"/>
                <w:cs/>
                <w:lang w:val="en-GB" w:bidi="kn-IN"/>
              </w:rPr>
              <w:t>ಪರಿಷತ್ತು</w:t>
            </w:r>
          </w:p>
          <w:p w14:paraId="59883A8E" w14:textId="77777777" w:rsidR="00DD751E" w:rsidRPr="000D2922" w:rsidRDefault="00DD751E" w:rsidP="008319A4">
            <w:pPr>
              <w:contextualSpacing/>
              <w:rPr>
                <w:rFonts w:asciiTheme="minorBidi" w:hAnsiTheme="minorBidi" w:cstheme="minorBidi"/>
                <w:sz w:val="20"/>
                <w:szCs w:val="20"/>
              </w:rPr>
            </w:pPr>
            <w:r w:rsidRPr="000D2922">
              <w:rPr>
                <w:rFonts w:asciiTheme="minorBidi" w:hAnsiTheme="minorBidi" w:cstheme="minorBidi"/>
                <w:sz w:val="20"/>
                <w:szCs w:val="20"/>
              </w:rPr>
              <w:t xml:space="preserve">Karnataka </w:t>
            </w:r>
            <w:proofErr w:type="spellStart"/>
            <w:r w:rsidRPr="000D2922">
              <w:rPr>
                <w:rFonts w:asciiTheme="minorBidi" w:hAnsiTheme="minorBidi" w:cstheme="minorBidi"/>
                <w:sz w:val="20"/>
                <w:szCs w:val="20"/>
              </w:rPr>
              <w:t>Janapada</w:t>
            </w:r>
            <w:proofErr w:type="spellEnd"/>
            <w:r w:rsidRPr="000D2922">
              <w:rPr>
                <w:rFonts w:asciiTheme="minorBidi" w:hAnsiTheme="minorBidi" w:cstheme="minorBidi"/>
                <w:sz w:val="20"/>
                <w:szCs w:val="20"/>
              </w:rPr>
              <w:t xml:space="preserve"> </w:t>
            </w:r>
            <w:proofErr w:type="spellStart"/>
            <w:r w:rsidRPr="000D2922">
              <w:rPr>
                <w:rFonts w:asciiTheme="minorBidi" w:hAnsiTheme="minorBidi" w:cstheme="minorBidi"/>
                <w:sz w:val="20"/>
                <w:szCs w:val="20"/>
              </w:rPr>
              <w:t>Parishath</w:t>
            </w:r>
            <w:proofErr w:type="spellEnd"/>
          </w:p>
        </w:tc>
        <w:tc>
          <w:tcPr>
            <w:tcW w:w="1010" w:type="pct"/>
            <w:shd w:val="clear" w:color="auto" w:fill="DBE5F1" w:themeFill="accent1" w:themeFillTint="33"/>
            <w:vAlign w:val="center"/>
          </w:tcPr>
          <w:p w14:paraId="5A3B41CF" w14:textId="77777777" w:rsidR="00DD751E" w:rsidRPr="000D2922" w:rsidRDefault="00DD751E" w:rsidP="008319A4">
            <w:pPr>
              <w:pStyle w:val="Titre7"/>
              <w:jc w:val="center"/>
              <w:rPr>
                <w:rFonts w:asciiTheme="minorBidi" w:hAnsiTheme="minorBidi" w:cstheme="minorBidi"/>
                <w:i w:val="0"/>
                <w:iCs w:val="0"/>
                <w:color w:val="auto"/>
                <w:sz w:val="20"/>
                <w:szCs w:val="20"/>
              </w:rPr>
            </w:pPr>
            <w:r>
              <w:rPr>
                <w:rFonts w:asciiTheme="minorBidi" w:hAnsiTheme="minorBidi"/>
                <w:i w:val="0"/>
                <w:color w:val="auto"/>
                <w:sz w:val="20"/>
              </w:rPr>
              <w:t>Inde</w:t>
            </w:r>
          </w:p>
        </w:tc>
        <w:tc>
          <w:tcPr>
            <w:tcW w:w="842" w:type="pct"/>
            <w:shd w:val="clear" w:color="auto" w:fill="DBE5F1" w:themeFill="accent1" w:themeFillTint="33"/>
            <w:vAlign w:val="center"/>
          </w:tcPr>
          <w:p w14:paraId="2E589571" w14:textId="77777777" w:rsidR="00DD751E" w:rsidRPr="000D2922" w:rsidRDefault="00DD751E" w:rsidP="008319A4">
            <w:pPr>
              <w:contextualSpacing/>
              <w:jc w:val="center"/>
              <w:rPr>
                <w:rFonts w:asciiTheme="minorBidi" w:hAnsiTheme="minorBidi" w:cstheme="minorBidi"/>
                <w:sz w:val="20"/>
                <w:szCs w:val="20"/>
              </w:rPr>
            </w:pPr>
            <w:r>
              <w:rPr>
                <w:rFonts w:asciiTheme="minorBidi" w:hAnsiTheme="minorBidi"/>
                <w:sz w:val="20"/>
              </w:rPr>
              <w:t>NGO-90550</w:t>
            </w:r>
          </w:p>
        </w:tc>
      </w:tr>
      <w:bookmarkEnd w:id="2"/>
    </w:tbl>
    <w:p w14:paraId="51958BA9" w14:textId="77777777" w:rsidR="00DD751E" w:rsidRPr="000D2922" w:rsidRDefault="00DD751E" w:rsidP="00C0269C">
      <w:pPr>
        <w:rPr>
          <w:rFonts w:asciiTheme="minorBidi" w:hAnsiTheme="minorBidi" w:cstheme="minorBidi"/>
          <w:snapToGrid w:val="0"/>
          <w:u w:val="single"/>
          <w:lang w:val="en-GB" w:eastAsia="en-US"/>
        </w:rPr>
      </w:pPr>
    </w:p>
    <w:p w14:paraId="7FFE3B45" w14:textId="77777777" w:rsidR="00897EF0" w:rsidRDefault="00897EF0" w:rsidP="00DD751E">
      <w:pPr>
        <w:pStyle w:val="COMParaDecision"/>
        <w:numPr>
          <w:ilvl w:val="0"/>
          <w:numId w:val="0"/>
        </w:numPr>
        <w:ind w:left="1134" w:hanging="567"/>
        <w:rPr>
          <w:u w:val="none"/>
          <w:lang w:val="fr-FR"/>
        </w:rPr>
        <w:sectPr w:rsidR="00897EF0" w:rsidSect="00DD751E">
          <w:headerReference w:type="even" r:id="rId16"/>
          <w:headerReference w:type="default" r:id="rId17"/>
          <w:headerReference w:type="first" r:id="rId18"/>
          <w:pgSz w:w="11906" w:h="16838" w:code="9"/>
          <w:pgMar w:top="1418" w:right="1134" w:bottom="1134" w:left="1134" w:header="397" w:footer="284" w:gutter="0"/>
          <w:cols w:space="708"/>
          <w:titlePg/>
          <w:docGrid w:linePitch="360"/>
        </w:sectPr>
      </w:pPr>
    </w:p>
    <w:p w14:paraId="76AAD6D1" w14:textId="77777777" w:rsidR="00897EF0" w:rsidRPr="008245D6" w:rsidRDefault="00897EF0" w:rsidP="00897EF0">
      <w:pPr>
        <w:spacing w:before="1440"/>
        <w:jc w:val="center"/>
        <w:rPr>
          <w:rFonts w:ascii="Arial" w:hAnsi="Arial" w:cs="Arial"/>
          <w:b/>
          <w:sz w:val="22"/>
          <w:szCs w:val="22"/>
        </w:rPr>
      </w:pPr>
      <w:r w:rsidRPr="008245D6">
        <w:rPr>
          <w:rFonts w:ascii="Arial" w:hAnsi="Arial" w:cs="Arial"/>
          <w:b/>
          <w:sz w:val="22"/>
          <w:szCs w:val="22"/>
        </w:rPr>
        <w:lastRenderedPageBreak/>
        <w:t xml:space="preserve">CONVENTION POUR LA SAUVEGARDE DU </w:t>
      </w:r>
      <w:r w:rsidRPr="008245D6">
        <w:rPr>
          <w:rFonts w:ascii="Arial" w:hAnsi="Arial" w:cs="Arial"/>
          <w:b/>
          <w:sz w:val="22"/>
          <w:szCs w:val="22"/>
        </w:rPr>
        <w:br/>
        <w:t>PATRIMOINE CULTUREL IMMATÉRIEL</w:t>
      </w:r>
    </w:p>
    <w:p w14:paraId="12FFF4EF" w14:textId="77777777" w:rsidR="00897EF0" w:rsidRPr="008245D6" w:rsidRDefault="00897EF0" w:rsidP="00897EF0">
      <w:pPr>
        <w:spacing w:before="1200"/>
        <w:jc w:val="center"/>
        <w:rPr>
          <w:rFonts w:ascii="Arial" w:hAnsi="Arial" w:cs="Arial"/>
          <w:b/>
          <w:sz w:val="22"/>
          <w:szCs w:val="22"/>
        </w:rPr>
      </w:pPr>
      <w:r w:rsidRPr="008245D6">
        <w:rPr>
          <w:rFonts w:ascii="Arial" w:hAnsi="Arial" w:cs="Arial"/>
          <w:b/>
          <w:sz w:val="22"/>
          <w:szCs w:val="22"/>
        </w:rPr>
        <w:t>ASSEMBLÉE GÉNÉRALE DES ÉTATS PARTIES À LA CONVENTION</w:t>
      </w:r>
    </w:p>
    <w:p w14:paraId="0064229C" w14:textId="77777777" w:rsidR="00897EF0" w:rsidRPr="008245D6" w:rsidRDefault="00897EF0" w:rsidP="00897EF0">
      <w:pPr>
        <w:spacing w:before="840"/>
        <w:jc w:val="center"/>
        <w:rPr>
          <w:rFonts w:ascii="Arial" w:hAnsi="Arial" w:cs="Arial"/>
          <w:b/>
          <w:sz w:val="22"/>
          <w:szCs w:val="22"/>
        </w:rPr>
      </w:pPr>
      <w:r w:rsidRPr="008245D6">
        <w:rPr>
          <w:rFonts w:ascii="Arial" w:eastAsiaTheme="minorEastAsia" w:hAnsi="Arial" w:cs="Arial"/>
          <w:b/>
          <w:sz w:val="22"/>
          <w:szCs w:val="22"/>
          <w:lang w:eastAsia="ko-KR"/>
        </w:rPr>
        <w:t xml:space="preserve">Dixième </w:t>
      </w:r>
      <w:r w:rsidRPr="008245D6">
        <w:rPr>
          <w:rFonts w:ascii="Arial" w:hAnsi="Arial" w:cs="Arial"/>
          <w:b/>
          <w:sz w:val="22"/>
          <w:szCs w:val="22"/>
        </w:rPr>
        <w:t>session</w:t>
      </w:r>
    </w:p>
    <w:p w14:paraId="1C906D7A" w14:textId="77777777" w:rsidR="00897EF0" w:rsidRPr="008245D6" w:rsidRDefault="00897EF0" w:rsidP="00897EF0">
      <w:pPr>
        <w:jc w:val="center"/>
        <w:rPr>
          <w:rFonts w:ascii="Arial" w:hAnsi="Arial" w:cs="Arial"/>
          <w:b/>
          <w:sz w:val="22"/>
          <w:szCs w:val="22"/>
        </w:rPr>
      </w:pPr>
      <w:r w:rsidRPr="008245D6">
        <w:rPr>
          <w:rFonts w:ascii="Arial" w:hAnsi="Arial" w:cs="Arial"/>
          <w:b/>
          <w:sz w:val="22"/>
          <w:szCs w:val="22"/>
        </w:rPr>
        <w:t>Siège de l</w:t>
      </w:r>
      <w:r>
        <w:rPr>
          <w:rFonts w:ascii="Arial" w:hAnsi="Arial" w:cs="Arial"/>
          <w:b/>
          <w:sz w:val="22"/>
          <w:szCs w:val="22"/>
        </w:rPr>
        <w:t>’</w:t>
      </w:r>
      <w:r w:rsidRPr="008245D6">
        <w:rPr>
          <w:rFonts w:ascii="Arial" w:hAnsi="Arial" w:cs="Arial"/>
          <w:b/>
          <w:sz w:val="22"/>
          <w:szCs w:val="22"/>
        </w:rPr>
        <w:t>UNESCO, Salle I</w:t>
      </w:r>
    </w:p>
    <w:p w14:paraId="6BC49AA4" w14:textId="77777777" w:rsidR="00897EF0" w:rsidRPr="008245D6" w:rsidRDefault="00897EF0" w:rsidP="00897EF0">
      <w:pPr>
        <w:jc w:val="center"/>
        <w:rPr>
          <w:rFonts w:ascii="Arial" w:hAnsi="Arial" w:cs="Arial"/>
          <w:b/>
          <w:sz w:val="22"/>
          <w:szCs w:val="22"/>
        </w:rPr>
      </w:pPr>
      <w:r w:rsidRPr="008245D6">
        <w:rPr>
          <w:rFonts w:ascii="Arial" w:hAnsi="Arial" w:cs="Arial"/>
          <w:b/>
          <w:sz w:val="22"/>
          <w:szCs w:val="22"/>
        </w:rPr>
        <w:t xml:space="preserve">11 </w:t>
      </w:r>
      <w:r>
        <w:rPr>
          <w:rFonts w:ascii="Arial" w:hAnsi="Arial" w:cs="Arial"/>
          <w:b/>
          <w:sz w:val="22"/>
          <w:szCs w:val="22"/>
        </w:rPr>
        <w:t>–</w:t>
      </w:r>
      <w:r w:rsidRPr="008245D6">
        <w:rPr>
          <w:rFonts w:ascii="Arial" w:hAnsi="Arial" w:cs="Arial"/>
          <w:b/>
          <w:sz w:val="22"/>
          <w:szCs w:val="22"/>
        </w:rPr>
        <w:t xml:space="preserve"> 12</w:t>
      </w:r>
      <w:r>
        <w:rPr>
          <w:rFonts w:ascii="Arial" w:hAnsi="Arial" w:cs="Arial"/>
          <w:b/>
          <w:sz w:val="22"/>
          <w:szCs w:val="22"/>
        </w:rPr>
        <w:t xml:space="preserve"> </w:t>
      </w:r>
      <w:r w:rsidRPr="008245D6">
        <w:rPr>
          <w:rFonts w:ascii="Arial" w:hAnsi="Arial" w:cs="Arial"/>
          <w:b/>
          <w:sz w:val="22"/>
          <w:szCs w:val="22"/>
        </w:rPr>
        <w:t>juin 2024</w:t>
      </w:r>
    </w:p>
    <w:p w14:paraId="706D6C14" w14:textId="77777777" w:rsidR="00897EF0" w:rsidRPr="008245D6" w:rsidRDefault="00897EF0" w:rsidP="00897EF0">
      <w:pPr>
        <w:pStyle w:val="Sansinterligne2"/>
        <w:spacing w:before="960"/>
        <w:jc w:val="center"/>
        <w:rPr>
          <w:rFonts w:ascii="Arial" w:hAnsi="Arial" w:cs="Arial"/>
          <w:b/>
          <w:sz w:val="22"/>
          <w:szCs w:val="22"/>
        </w:rPr>
      </w:pPr>
      <w:r w:rsidRPr="008245D6">
        <w:rPr>
          <w:rFonts w:ascii="Arial" w:hAnsi="Arial" w:cs="Arial"/>
          <w:b/>
          <w:sz w:val="22"/>
          <w:szCs w:val="22"/>
          <w:u w:val="single"/>
        </w:rPr>
        <w:t>Point 9 de l</w:t>
      </w:r>
      <w:r>
        <w:rPr>
          <w:rFonts w:ascii="Arial" w:hAnsi="Arial" w:cs="Arial"/>
          <w:b/>
          <w:sz w:val="22"/>
          <w:szCs w:val="22"/>
          <w:u w:val="single"/>
        </w:rPr>
        <w:t>’</w:t>
      </w:r>
      <w:r w:rsidRPr="008245D6">
        <w:rPr>
          <w:rFonts w:ascii="Arial" w:hAnsi="Arial" w:cs="Arial"/>
          <w:b/>
          <w:sz w:val="22"/>
          <w:szCs w:val="22"/>
          <w:u w:val="single"/>
        </w:rPr>
        <w:t>ordre du jour provisoire</w:t>
      </w:r>
      <w:r w:rsidRPr="00DD751E">
        <w:rPr>
          <w:rFonts w:ascii="Arial" w:hAnsi="Arial" w:cs="Arial"/>
          <w:b/>
          <w:sz w:val="22"/>
          <w:szCs w:val="22"/>
        </w:rPr>
        <w:t xml:space="preserve"> </w:t>
      </w:r>
      <w:r w:rsidRPr="008245D6">
        <w:rPr>
          <w:rFonts w:ascii="Arial" w:hAnsi="Arial" w:cs="Arial"/>
          <w:b/>
          <w:sz w:val="22"/>
          <w:szCs w:val="22"/>
        </w:rPr>
        <w:t>:</w:t>
      </w:r>
    </w:p>
    <w:p w14:paraId="30D827B0" w14:textId="77777777" w:rsidR="00897EF0" w:rsidRPr="008245D6" w:rsidRDefault="00897EF0" w:rsidP="00897EF0">
      <w:pPr>
        <w:pStyle w:val="Sansinterligne2"/>
        <w:spacing w:after="720"/>
        <w:jc w:val="center"/>
        <w:rPr>
          <w:rFonts w:asciiTheme="minorBidi" w:hAnsiTheme="minorBidi"/>
          <w:b/>
          <w:sz w:val="22"/>
        </w:rPr>
      </w:pPr>
      <w:r w:rsidRPr="00357DCE">
        <w:rPr>
          <w:rFonts w:asciiTheme="minorBidi" w:hAnsiTheme="minorBidi"/>
          <w:b/>
          <w:sz w:val="22"/>
        </w:rPr>
        <w:t>Accréditation des organisations non gouvernementales</w:t>
      </w:r>
      <w:r w:rsidRPr="008245D6">
        <w:rPr>
          <w:rFonts w:asciiTheme="minorBidi" w:hAnsiTheme="minorBidi"/>
          <w:b/>
          <w:sz w:val="22"/>
        </w:rPr>
        <w:br/>
        <w:t xml:space="preserve">à des fins </w:t>
      </w:r>
      <w:r w:rsidRPr="005252E6">
        <w:rPr>
          <w:rFonts w:ascii="Arial" w:hAnsi="Arial" w:cs="Arial"/>
          <w:b/>
          <w:sz w:val="22"/>
          <w:szCs w:val="22"/>
        </w:rPr>
        <w:t>d’assistance</w:t>
      </w:r>
      <w:r w:rsidRPr="008245D6">
        <w:rPr>
          <w:rFonts w:asciiTheme="minorBidi" w:hAnsiTheme="minorBidi"/>
          <w:b/>
          <w:sz w:val="22"/>
        </w:rPr>
        <w:t xml:space="preserve"> consultative auprès du Comité</w:t>
      </w:r>
    </w:p>
    <w:p w14:paraId="6F775E7B" w14:textId="77777777" w:rsidR="00897EF0" w:rsidRPr="008245D6" w:rsidRDefault="00897EF0" w:rsidP="00897EF0">
      <w:pPr>
        <w:pStyle w:val="Sansinterligne2"/>
        <w:spacing w:after="600"/>
        <w:jc w:val="center"/>
        <w:rPr>
          <w:rFonts w:ascii="Arial" w:hAnsi="Arial" w:cs="Arial"/>
          <w:b/>
          <w:sz w:val="22"/>
          <w:szCs w:val="22"/>
        </w:rPr>
      </w:pPr>
      <w:r w:rsidRPr="008245D6">
        <w:rPr>
          <w:rFonts w:ascii="Arial" w:hAnsi="Arial" w:cs="Arial"/>
          <w:b/>
          <w:sz w:val="22"/>
          <w:szCs w:val="22"/>
        </w:rPr>
        <w:t xml:space="preserve">Proposition visant à assurer </w:t>
      </w:r>
      <w:r>
        <w:rPr>
          <w:rFonts w:ascii="Arial" w:hAnsi="Arial" w:cs="Arial"/>
          <w:b/>
          <w:sz w:val="22"/>
          <w:szCs w:val="22"/>
        </w:rPr>
        <w:t>l’</w:t>
      </w:r>
      <w:r w:rsidRPr="008245D6">
        <w:rPr>
          <w:rFonts w:ascii="Arial" w:hAnsi="Arial" w:cs="Arial"/>
          <w:b/>
          <w:sz w:val="22"/>
          <w:szCs w:val="22"/>
        </w:rPr>
        <w:t>équilibre géographique parmi les ONG accréditées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897EF0" w:rsidRPr="008245D6" w14:paraId="7E7FCEF2" w14:textId="77777777" w:rsidTr="00443C18">
        <w:trPr>
          <w:jc w:val="center"/>
        </w:trPr>
        <w:tc>
          <w:tcPr>
            <w:tcW w:w="5670" w:type="dxa"/>
            <w:vAlign w:val="center"/>
          </w:tcPr>
          <w:p w14:paraId="517082D4" w14:textId="77777777" w:rsidR="00897EF0" w:rsidRPr="008245D6" w:rsidRDefault="00897EF0" w:rsidP="00443C18">
            <w:pPr>
              <w:pStyle w:val="Sansinterligne1"/>
              <w:spacing w:before="200" w:after="200"/>
              <w:jc w:val="center"/>
              <w:rPr>
                <w:rFonts w:ascii="Arial" w:hAnsi="Arial" w:cs="Arial"/>
                <w:b/>
                <w:sz w:val="22"/>
                <w:szCs w:val="22"/>
              </w:rPr>
            </w:pPr>
            <w:r w:rsidRPr="008245D6">
              <w:rPr>
                <w:rFonts w:ascii="Arial" w:hAnsi="Arial" w:cs="Arial"/>
                <w:b/>
                <w:sz w:val="22"/>
                <w:szCs w:val="22"/>
              </w:rPr>
              <w:t>Résumé</w:t>
            </w:r>
          </w:p>
          <w:p w14:paraId="6457D974" w14:textId="77777777" w:rsidR="00897EF0" w:rsidRPr="008245D6" w:rsidRDefault="00897EF0" w:rsidP="00443C18">
            <w:pPr>
              <w:pStyle w:val="Sansinterligne1"/>
              <w:jc w:val="both"/>
              <w:rPr>
                <w:rFonts w:ascii="Arial" w:hAnsi="Arial" w:cs="Arial"/>
                <w:bCs/>
                <w:sz w:val="22"/>
                <w:szCs w:val="22"/>
              </w:rPr>
            </w:pPr>
            <w:r>
              <w:rPr>
                <w:rFonts w:ascii="Arial" w:hAnsi="Arial" w:cs="Arial"/>
                <w:sz w:val="22"/>
                <w:szCs w:val="22"/>
              </w:rPr>
              <w:t>Cet</w:t>
            </w:r>
            <w:r w:rsidRPr="008245D6">
              <w:rPr>
                <w:rFonts w:ascii="Arial" w:hAnsi="Arial" w:cs="Arial"/>
                <w:sz w:val="22"/>
                <w:szCs w:val="22"/>
              </w:rPr>
              <w:t xml:space="preserve"> addendum contient une proposition visant à assurer l</w:t>
            </w:r>
            <w:r>
              <w:rPr>
                <w:rFonts w:ascii="Arial" w:hAnsi="Arial" w:cs="Arial"/>
                <w:sz w:val="22"/>
                <w:szCs w:val="22"/>
              </w:rPr>
              <w:t>’</w:t>
            </w:r>
            <w:r w:rsidRPr="008245D6">
              <w:rPr>
                <w:rFonts w:ascii="Arial" w:hAnsi="Arial" w:cs="Arial"/>
                <w:sz w:val="22"/>
                <w:szCs w:val="22"/>
              </w:rPr>
              <w:t xml:space="preserve">équilibre géographique parmi les ONG accréditées au titre de la </w:t>
            </w:r>
            <w:r>
              <w:rPr>
                <w:rFonts w:ascii="Arial" w:hAnsi="Arial" w:cs="Arial"/>
                <w:sz w:val="22"/>
                <w:szCs w:val="22"/>
              </w:rPr>
              <w:t>C</w:t>
            </w:r>
            <w:r w:rsidRPr="008245D6">
              <w:rPr>
                <w:rFonts w:ascii="Arial" w:hAnsi="Arial" w:cs="Arial"/>
                <w:sz w:val="22"/>
                <w:szCs w:val="22"/>
              </w:rPr>
              <w:t xml:space="preserve">onvention de 2003, en réponse à la demande formulée par la </w:t>
            </w:r>
            <w:r>
              <w:rPr>
                <w:rFonts w:ascii="Arial" w:hAnsi="Arial" w:cs="Arial"/>
                <w:sz w:val="22"/>
                <w:szCs w:val="22"/>
              </w:rPr>
              <w:t>neuvième</w:t>
            </w:r>
            <w:r w:rsidRPr="008245D6">
              <w:rPr>
                <w:rFonts w:ascii="Arial" w:hAnsi="Arial" w:cs="Arial"/>
                <w:sz w:val="22"/>
                <w:szCs w:val="22"/>
              </w:rPr>
              <w:t xml:space="preserve"> session de l</w:t>
            </w:r>
            <w:r>
              <w:rPr>
                <w:rFonts w:ascii="Arial" w:hAnsi="Arial" w:cs="Arial"/>
                <w:sz w:val="22"/>
                <w:szCs w:val="22"/>
              </w:rPr>
              <w:t>’</w:t>
            </w:r>
            <w:r w:rsidRPr="008245D6">
              <w:rPr>
                <w:rFonts w:ascii="Arial" w:hAnsi="Arial" w:cs="Arial"/>
                <w:sz w:val="22"/>
                <w:szCs w:val="22"/>
              </w:rPr>
              <w:t xml:space="preserve">Assemblée générale (résolution </w:t>
            </w:r>
            <w:hyperlink r:id="rId19" w:history="1">
              <w:r>
                <w:rPr>
                  <w:rStyle w:val="Lienhypertexte"/>
                  <w:rFonts w:ascii="Arial" w:hAnsi="Arial" w:cs="Arial"/>
                  <w:sz w:val="22"/>
                  <w:szCs w:val="22"/>
                </w:rPr>
                <w:t>9</w:t>
              </w:r>
              <w:r w:rsidRPr="008245D6">
                <w:rPr>
                  <w:rStyle w:val="Lienhypertexte"/>
                  <w:rFonts w:ascii="Arial" w:hAnsi="Arial" w:cs="Arial"/>
                  <w:sz w:val="22"/>
                  <w:szCs w:val="22"/>
                </w:rPr>
                <w:t xml:space="preserve">.GA </w:t>
              </w:r>
              <w:r>
                <w:rPr>
                  <w:rStyle w:val="Lienhypertexte"/>
                  <w:rFonts w:ascii="Arial" w:hAnsi="Arial" w:cs="Arial"/>
                  <w:sz w:val="22"/>
                  <w:szCs w:val="22"/>
                </w:rPr>
                <w:t>7</w:t>
              </w:r>
            </w:hyperlink>
            <w:r w:rsidRPr="008245D6">
              <w:rPr>
                <w:rFonts w:ascii="Arial" w:hAnsi="Arial" w:cs="Arial"/>
                <w:sz w:val="22"/>
                <w:szCs w:val="22"/>
              </w:rPr>
              <w:t>).</w:t>
            </w:r>
          </w:p>
          <w:p w14:paraId="193E1A33" w14:textId="77777777" w:rsidR="00897EF0" w:rsidRPr="00DD751E" w:rsidRDefault="00897EF0" w:rsidP="00443C18">
            <w:pPr>
              <w:pStyle w:val="Sansinterligne2"/>
              <w:spacing w:before="200" w:after="200"/>
              <w:jc w:val="both"/>
              <w:rPr>
                <w:rFonts w:ascii="Arial" w:hAnsi="Arial" w:cs="Arial"/>
                <w:b/>
                <w:sz w:val="22"/>
                <w:szCs w:val="22"/>
              </w:rPr>
            </w:pPr>
            <w:r w:rsidRPr="00DD751E">
              <w:rPr>
                <w:rFonts w:ascii="Arial" w:hAnsi="Arial" w:cs="Arial"/>
                <w:b/>
                <w:sz w:val="22"/>
                <w:szCs w:val="22"/>
              </w:rPr>
              <w:t xml:space="preserve">Décision requise : </w:t>
            </w:r>
            <w:r w:rsidRPr="00DD751E">
              <w:rPr>
                <w:rFonts w:ascii="Arial" w:hAnsi="Arial" w:cs="Arial"/>
                <w:bCs/>
                <w:sz w:val="22"/>
                <w:szCs w:val="22"/>
              </w:rPr>
              <w:t>paragraphe 15</w:t>
            </w:r>
          </w:p>
        </w:tc>
      </w:tr>
    </w:tbl>
    <w:p w14:paraId="08331181" w14:textId="77777777" w:rsidR="00897EF0" w:rsidRPr="005252E6" w:rsidRDefault="00897EF0" w:rsidP="005252E6">
      <w:pPr>
        <w:pStyle w:val="Paragraphedeliste"/>
        <w:keepLines/>
        <w:spacing w:before="240" w:after="120"/>
        <w:ind w:left="0"/>
        <w:contextualSpacing w:val="0"/>
        <w:jc w:val="both"/>
        <w:rPr>
          <w:rFonts w:ascii="Arial" w:hAnsi="Arial" w:cs="Arial"/>
          <w:b/>
          <w:bCs/>
          <w:sz w:val="22"/>
          <w:szCs w:val="22"/>
        </w:rPr>
      </w:pPr>
      <w:r w:rsidRPr="00DD751E">
        <w:br w:type="page"/>
      </w:r>
      <w:r w:rsidRPr="005252E6">
        <w:rPr>
          <w:rFonts w:ascii="Arial" w:hAnsi="Arial" w:cs="Arial"/>
          <w:b/>
          <w:bCs/>
          <w:sz w:val="22"/>
          <w:szCs w:val="22"/>
        </w:rPr>
        <w:lastRenderedPageBreak/>
        <w:t>Contexte</w:t>
      </w:r>
    </w:p>
    <w:p w14:paraId="2A333172" w14:textId="6F2235C8" w:rsidR="00897EF0" w:rsidRPr="00897EF0" w:rsidRDefault="00897EF0" w:rsidP="00897EF0">
      <w:pPr>
        <w:pStyle w:val="COMPara"/>
        <w:ind w:left="567" w:hanging="567"/>
        <w:jc w:val="both"/>
        <w:rPr>
          <w:lang w:val="fr-FR"/>
        </w:rPr>
      </w:pPr>
      <w:r w:rsidRPr="00897EF0">
        <w:rPr>
          <w:lang w:val="fr-FR"/>
        </w:rPr>
        <w:t xml:space="preserve">En </w:t>
      </w:r>
      <w:r>
        <w:rPr>
          <w:lang w:val="fr-FR"/>
        </w:rPr>
        <w:t>référence à</w:t>
      </w:r>
      <w:r w:rsidRPr="00897EF0">
        <w:rPr>
          <w:lang w:val="fr-FR"/>
        </w:rPr>
        <w:t xml:space="preserve"> l’article 9 de la Convention de 2003, les organes directeurs de la Convention ont été préoccupés par le manque persistant de représentation géographiquement équilibrée des groupes électoraux parmi les ONG accréditées pour fournir des services consultatifs au Comité. Malgré les encouragements donnés aux ONG qualifiées des régions sous-représentées pour qu’elles soumettent leurs demandes d’accréditation, la situation est restée largement inchangée au fil des années.</w:t>
      </w:r>
    </w:p>
    <w:p w14:paraId="08FCA302" w14:textId="77777777" w:rsidR="00897EF0" w:rsidRPr="00897EF0" w:rsidRDefault="00897EF0" w:rsidP="00897EF0">
      <w:pPr>
        <w:pStyle w:val="COMPara"/>
        <w:numPr>
          <w:ilvl w:val="0"/>
          <w:numId w:val="0"/>
        </w:numPr>
        <w:spacing w:before="240"/>
        <w:jc w:val="both"/>
        <w:rPr>
          <w:b/>
          <w:bCs/>
          <w:lang w:val="fr-FR"/>
        </w:rPr>
      </w:pPr>
      <w:r w:rsidRPr="00897EF0">
        <w:rPr>
          <w:b/>
          <w:bCs/>
          <w:lang w:val="fr-FR"/>
        </w:rPr>
        <w:t>Premières réflexions et ajustements</w:t>
      </w:r>
    </w:p>
    <w:p w14:paraId="5F0626DE" w14:textId="77777777" w:rsidR="00897EF0" w:rsidRPr="00897EF0" w:rsidRDefault="00897EF0" w:rsidP="00897EF0">
      <w:pPr>
        <w:pStyle w:val="COMPara"/>
        <w:ind w:left="567" w:hanging="567"/>
        <w:jc w:val="both"/>
        <w:rPr>
          <w:lang w:val="fr-FR"/>
        </w:rPr>
      </w:pPr>
      <w:r w:rsidRPr="00897EF0">
        <w:rPr>
          <w:bCs/>
          <w:lang w:val="fr-FR"/>
        </w:rPr>
        <w:t xml:space="preserve">En 2017, lors de sa douzième session, le </w:t>
      </w:r>
      <w:r w:rsidRPr="00897EF0">
        <w:rPr>
          <w:lang w:val="fr-FR"/>
        </w:rPr>
        <w:t xml:space="preserve">Comité a lancé un </w:t>
      </w:r>
      <w:r w:rsidRPr="00897EF0">
        <w:rPr>
          <w:bCs/>
          <w:lang w:val="fr-FR"/>
        </w:rPr>
        <w:t xml:space="preserve">processus de réflexion sur le rôle </w:t>
      </w:r>
      <w:r w:rsidRPr="00897EF0">
        <w:rPr>
          <w:lang w:val="fr-FR"/>
        </w:rPr>
        <w:t xml:space="preserve">consultatif </w:t>
      </w:r>
      <w:r w:rsidRPr="00897EF0">
        <w:rPr>
          <w:bCs/>
          <w:lang w:val="fr-FR"/>
        </w:rPr>
        <w:t xml:space="preserve">des ONG accréditées </w:t>
      </w:r>
      <w:r w:rsidRPr="00897EF0">
        <w:rPr>
          <w:lang w:val="fr-FR"/>
        </w:rPr>
        <w:t xml:space="preserve">(Décisions </w:t>
      </w:r>
      <w:hyperlink r:id="rId20" w:history="1">
        <w:r w:rsidRPr="00897EF0">
          <w:rPr>
            <w:rStyle w:val="Lienhypertexte"/>
            <w:lang w:val="fr-FR"/>
          </w:rPr>
          <w:t>12.COM 13</w:t>
        </w:r>
      </w:hyperlink>
      <w:r w:rsidRPr="00897EF0">
        <w:rPr>
          <w:lang w:val="fr-FR"/>
        </w:rPr>
        <w:t xml:space="preserve"> et </w:t>
      </w:r>
      <w:hyperlink r:id="rId21" w:history="1">
        <w:r w:rsidRPr="00897EF0">
          <w:rPr>
            <w:rStyle w:val="Lienhypertexte"/>
            <w:lang w:val="fr-FR"/>
          </w:rPr>
          <w:t>12.COM 17</w:t>
        </w:r>
      </w:hyperlink>
      <w:r w:rsidRPr="00897EF0">
        <w:rPr>
          <w:lang w:val="fr-FR"/>
        </w:rPr>
        <w:t xml:space="preserve">) </w:t>
      </w:r>
      <w:r w:rsidRPr="00897EF0">
        <w:rPr>
          <w:bCs/>
          <w:lang w:val="fr-FR"/>
        </w:rPr>
        <w:t xml:space="preserve">qui a également abordé la question de la </w:t>
      </w:r>
      <w:r w:rsidRPr="00897EF0">
        <w:rPr>
          <w:lang w:val="fr-FR"/>
        </w:rPr>
        <w:t>répartition géographique déséquilibrée des ONG accréditées. Au total, soixante-seize États et quatre-vingt-dix-neuf ONG accréditées ont participé à au moins une étape du processus de réflexion, qu’il s’agisse de la consultation électronique, de la réunion de consultation, du groupe de travail ad hoc informel à composition non limitée ou des débats du Comité lors de sa treizième session en 2018. La quatorzième session du Comité en 2019 a examiné les résultats de la réflexion (</w:t>
      </w:r>
      <w:hyperlink r:id="rId22" w:history="1">
        <w:r w:rsidRPr="00897EF0">
          <w:rPr>
            <w:rStyle w:val="Lienhypertexte"/>
            <w:color w:val="auto"/>
            <w:u w:val="none"/>
            <w:lang w:val="fr-FR"/>
          </w:rPr>
          <w:t xml:space="preserve">Décision </w:t>
        </w:r>
        <w:r w:rsidRPr="00897EF0">
          <w:rPr>
            <w:rStyle w:val="Lienhypertexte"/>
            <w:lang w:val="fr-FR"/>
          </w:rPr>
          <w:t>14.COM 15</w:t>
        </w:r>
      </w:hyperlink>
      <w:r w:rsidRPr="00897EF0">
        <w:rPr>
          <w:lang w:val="fr-FR"/>
        </w:rPr>
        <w:t>), y compris les points saillants suivants :</w:t>
      </w:r>
    </w:p>
    <w:p w14:paraId="0A0DF3C2" w14:textId="77777777" w:rsidR="00897EF0" w:rsidRPr="00897EF0" w:rsidRDefault="00897EF0" w:rsidP="00897EF0">
      <w:pPr>
        <w:pStyle w:val="COMPara"/>
        <w:numPr>
          <w:ilvl w:val="0"/>
          <w:numId w:val="29"/>
        </w:numPr>
        <w:jc w:val="both"/>
        <w:rPr>
          <w:lang w:val="fr-FR"/>
        </w:rPr>
      </w:pPr>
      <w:r w:rsidRPr="00897EF0">
        <w:rPr>
          <w:shd w:val="clear" w:color="auto" w:fill="FFFFFF" w:themeFill="background1"/>
          <w:lang w:val="fr-FR"/>
        </w:rPr>
        <w:t xml:space="preserve">Le processus de réflexion a conclu que </w:t>
      </w:r>
      <w:r w:rsidRPr="00897EF0">
        <w:rPr>
          <w:lang w:val="fr-FR"/>
        </w:rPr>
        <w:t>l’option consistant à établir un plafond d’ONG accréditées dans les régions surreprésentées n’était pas bien accueillie. La préférence a été donnée à des initiatives visant à sensibiliser au système d’accréditation et à renforcer les capacités des ONG des régions sous-représentées.</w:t>
      </w:r>
    </w:p>
    <w:p w14:paraId="544D1C89" w14:textId="3AD3AE0D" w:rsidR="00897EF0" w:rsidRPr="00897EF0" w:rsidRDefault="00897EF0" w:rsidP="00897EF0">
      <w:pPr>
        <w:pStyle w:val="COMPara"/>
        <w:numPr>
          <w:ilvl w:val="0"/>
          <w:numId w:val="29"/>
        </w:numPr>
        <w:jc w:val="both"/>
        <w:rPr>
          <w:lang w:val="fr-FR"/>
        </w:rPr>
      </w:pPr>
      <w:r w:rsidRPr="00897EF0">
        <w:rPr>
          <w:lang w:val="fr-FR"/>
        </w:rPr>
        <w:t xml:space="preserve">De plus, le Comité a demandé à entendre les voix des ONG par le biais d’interactions plus significatives et régulières entre le Comité et le Forum des ONG du PCI et a donc décidé d’inclure, à titre expérimental, un point spécifique sur le « Rapport du </w:t>
      </w:r>
      <w:r w:rsidR="00015A1F">
        <w:rPr>
          <w:lang w:val="fr-FR"/>
        </w:rPr>
        <w:t>f</w:t>
      </w:r>
      <w:r w:rsidRPr="00897EF0">
        <w:rPr>
          <w:lang w:val="fr-FR"/>
        </w:rPr>
        <w:t>orum des organisations non gouvernementales » lors de sa quinzième session en 2020.</w:t>
      </w:r>
    </w:p>
    <w:p w14:paraId="2D4CA36A" w14:textId="77777777" w:rsidR="00897EF0" w:rsidRPr="00897EF0" w:rsidRDefault="00897EF0" w:rsidP="00897EF0">
      <w:pPr>
        <w:pStyle w:val="COMPara"/>
        <w:numPr>
          <w:ilvl w:val="0"/>
          <w:numId w:val="29"/>
        </w:numPr>
        <w:jc w:val="both"/>
        <w:rPr>
          <w:lang w:val="fr-FR"/>
        </w:rPr>
      </w:pPr>
      <w:r w:rsidRPr="00897EF0">
        <w:rPr>
          <w:lang w:val="fr-FR"/>
        </w:rPr>
        <w:t>Le Comité a également décidé qu’il serait utile de cartographier le réseau des ONG accréditées pour faciliter leur participation à la mise en œuvre de la Convention et aux travaux du Comité. À cet égard, il a été demandé au Secrétariat de recueillir des informations pertinentes auprès des ONG accréditées afin de recenser leurs domaines d’expertise et de noter leurs capacités.</w:t>
      </w:r>
    </w:p>
    <w:p w14:paraId="7025E5B5" w14:textId="2A2D3ED0" w:rsidR="00897EF0" w:rsidRPr="00897EF0" w:rsidRDefault="00897EF0" w:rsidP="00897EF0">
      <w:pPr>
        <w:pStyle w:val="COMPara"/>
        <w:ind w:left="567" w:hanging="567"/>
        <w:jc w:val="both"/>
        <w:rPr>
          <w:lang w:val="fr-FR"/>
        </w:rPr>
      </w:pPr>
      <w:r w:rsidRPr="00897EF0">
        <w:rPr>
          <w:lang w:val="fr-FR"/>
        </w:rPr>
        <w:t xml:space="preserve">Prenant note des résultats du processus de réflexion, la huitième session de l’Assemblée générale a demandé au Secrétariat de mettre en œuvre les décisions pertinentes du Comité, en consultation et en collaboration avec le Forum des ONG du PCI (résolution </w:t>
      </w:r>
      <w:hyperlink r:id="rId23" w:history="1">
        <w:r w:rsidRPr="00897EF0">
          <w:rPr>
            <w:rStyle w:val="Lienhypertexte"/>
            <w:lang w:val="fr-FR"/>
          </w:rPr>
          <w:t>8.GA 12</w:t>
        </w:r>
      </w:hyperlink>
      <w:r w:rsidRPr="00897EF0">
        <w:rPr>
          <w:lang w:val="fr-FR"/>
        </w:rPr>
        <w:t xml:space="preserve">). À cet égard, le Comité a inclus un point autonome sur le « Rapport du </w:t>
      </w:r>
      <w:r w:rsidR="00015A1F">
        <w:rPr>
          <w:lang w:val="fr-FR"/>
        </w:rPr>
        <w:t>f</w:t>
      </w:r>
      <w:r w:rsidRPr="00897EF0">
        <w:rPr>
          <w:lang w:val="fr-FR"/>
        </w:rPr>
        <w:t xml:space="preserve">orum des organisations non gouvernementales » lors de ses seizième (2021), dix-septième (2022) et dix-huitième (2023) sessions. En outre, en 2023, le premier cycle de cartographie montrant les domaines d’expertise de soixante-cinq ONG accréditées a été achevé en coopération avec le Forum des ONG du PCI, présenté à la dix-huitième session du Comité et mis à disposition sur la </w:t>
      </w:r>
      <w:hyperlink r:id="rId24" w:history="1">
        <w:r w:rsidRPr="00897EF0">
          <w:rPr>
            <w:rStyle w:val="Lienhypertexte"/>
            <w:lang w:val="fr-FR"/>
          </w:rPr>
          <w:t>page web</w:t>
        </w:r>
      </w:hyperlink>
      <w:r w:rsidRPr="00897EF0">
        <w:rPr>
          <w:lang w:val="fr-FR"/>
        </w:rPr>
        <w:t xml:space="preserve"> de la Convention dédiée aux ONG accréditées. Le Comité a encouragé le Secrétariat à poursuivre sa collaboration avec le Forum des ONG du PCI afin de s’assurer que l’exercice de cartographie inclut toutes les ONG accréditées restantes.</w:t>
      </w:r>
    </w:p>
    <w:p w14:paraId="78EA468A" w14:textId="77777777" w:rsidR="00897EF0" w:rsidRPr="00897EF0" w:rsidRDefault="00897EF0" w:rsidP="00897EF0">
      <w:pPr>
        <w:pStyle w:val="COMPara"/>
        <w:numPr>
          <w:ilvl w:val="0"/>
          <w:numId w:val="0"/>
        </w:numPr>
        <w:spacing w:before="240"/>
        <w:jc w:val="both"/>
        <w:rPr>
          <w:b/>
          <w:bCs/>
          <w:lang w:val="fr-FR"/>
        </w:rPr>
      </w:pPr>
      <w:r w:rsidRPr="00897EF0">
        <w:rPr>
          <w:b/>
          <w:bCs/>
          <w:lang w:val="fr-FR"/>
        </w:rPr>
        <w:t>Nouvel appel à l’action</w:t>
      </w:r>
    </w:p>
    <w:p w14:paraId="4EA10AA7" w14:textId="06973B7B" w:rsidR="00897EF0" w:rsidRPr="00897EF0" w:rsidRDefault="00897EF0" w:rsidP="00897EF0">
      <w:pPr>
        <w:pStyle w:val="COMPara"/>
        <w:ind w:left="567" w:hanging="567"/>
        <w:jc w:val="both"/>
        <w:rPr>
          <w:lang w:val="fr-FR"/>
        </w:rPr>
      </w:pPr>
      <w:r w:rsidRPr="00897EF0">
        <w:rPr>
          <w:lang w:val="fr-FR"/>
        </w:rPr>
        <w:t xml:space="preserve">Dans le cadre de l’achèvement de la réflexion globale sur les mécanismes d’inscription </w:t>
      </w:r>
      <w:r w:rsidR="00015A1F">
        <w:rPr>
          <w:lang w:val="fr-FR"/>
        </w:rPr>
        <w:t xml:space="preserve">sur les listes </w:t>
      </w:r>
      <w:r w:rsidRPr="00897EF0">
        <w:rPr>
          <w:lang w:val="fr-FR"/>
        </w:rPr>
        <w:t>de la Convention de 2003 (2018</w:t>
      </w:r>
      <w:r w:rsidR="00015A1F" w:rsidRPr="005252E6">
        <w:rPr>
          <w:lang w:val="fr-FR"/>
        </w:rPr>
        <w:t>–</w:t>
      </w:r>
      <w:r w:rsidRPr="00897EF0">
        <w:rPr>
          <w:lang w:val="fr-FR"/>
        </w:rPr>
        <w:t>2</w:t>
      </w:r>
      <w:r w:rsidR="00015A1F">
        <w:rPr>
          <w:lang w:val="fr-FR"/>
        </w:rPr>
        <w:t>0</w:t>
      </w:r>
      <w:r w:rsidRPr="00897EF0">
        <w:rPr>
          <w:lang w:val="fr-FR"/>
        </w:rPr>
        <w:t xml:space="preserve">22) et de la préparation du vingtième anniversaire de la Convention en 2023, la neuvième session de l’Assemblée générale en 2022 a réexaminé la question de la représentation géographique déséquilibrée des ONG accréditées. Ayant accrédité trente-trois nouvelles ONG, la répartition régionale des ONG accréditées à l’époque était la suivante : </w:t>
      </w:r>
      <w:r w:rsidR="00015A1F">
        <w:rPr>
          <w:lang w:val="fr-FR"/>
        </w:rPr>
        <w:t>g</w:t>
      </w:r>
      <w:r w:rsidRPr="00897EF0">
        <w:rPr>
          <w:lang w:val="fr-FR"/>
        </w:rPr>
        <w:t xml:space="preserve">roupe I : 53 %, </w:t>
      </w:r>
      <w:r w:rsidR="00015A1F">
        <w:rPr>
          <w:lang w:val="fr-FR"/>
        </w:rPr>
        <w:t>g</w:t>
      </w:r>
      <w:r w:rsidRPr="00897EF0">
        <w:rPr>
          <w:lang w:val="fr-FR"/>
        </w:rPr>
        <w:t xml:space="preserve">roupe II : 10 %, </w:t>
      </w:r>
      <w:r w:rsidR="00015A1F">
        <w:rPr>
          <w:lang w:val="fr-FR"/>
        </w:rPr>
        <w:t>g</w:t>
      </w:r>
      <w:r w:rsidRPr="00897EF0">
        <w:rPr>
          <w:lang w:val="fr-FR"/>
        </w:rPr>
        <w:t xml:space="preserve">roupe III : 7 %, </w:t>
      </w:r>
      <w:r w:rsidR="00015A1F">
        <w:rPr>
          <w:lang w:val="fr-FR"/>
        </w:rPr>
        <w:t>g</w:t>
      </w:r>
      <w:r w:rsidRPr="00897EF0">
        <w:rPr>
          <w:lang w:val="fr-FR"/>
        </w:rPr>
        <w:t xml:space="preserve">roupe IV : 14 %, </w:t>
      </w:r>
      <w:r w:rsidR="00015A1F">
        <w:rPr>
          <w:lang w:val="fr-FR"/>
        </w:rPr>
        <w:t>g</w:t>
      </w:r>
      <w:r w:rsidRPr="00897EF0">
        <w:rPr>
          <w:lang w:val="fr-FR"/>
        </w:rPr>
        <w:t>roupe</w:t>
      </w:r>
      <w:r w:rsidR="00015A1F">
        <w:rPr>
          <w:lang w:val="fr-FR"/>
        </w:rPr>
        <w:t> </w:t>
      </w:r>
      <w:r w:rsidRPr="00897EF0">
        <w:rPr>
          <w:lang w:val="fr-FR"/>
        </w:rPr>
        <w:t>V</w:t>
      </w:r>
      <w:r w:rsidR="00015A1F">
        <w:rPr>
          <w:lang w:val="fr-FR"/>
        </w:rPr>
        <w:t>(</w:t>
      </w:r>
      <w:r w:rsidRPr="00897EF0">
        <w:rPr>
          <w:lang w:val="fr-FR"/>
        </w:rPr>
        <w:t>a) : 12 % et groupe V</w:t>
      </w:r>
      <w:r w:rsidR="00015A1F">
        <w:rPr>
          <w:lang w:val="fr-FR"/>
        </w:rPr>
        <w:t>(</w:t>
      </w:r>
      <w:r w:rsidRPr="00897EF0">
        <w:rPr>
          <w:lang w:val="fr-FR"/>
        </w:rPr>
        <w:t>b) : 5 %. Compte tenu du déséquilibre persistant entre les régions, une série d’actions plus ambitieuses a été jugée nécessaire pour attirer les ONG des régions sous-représentées.</w:t>
      </w:r>
    </w:p>
    <w:p w14:paraId="13227F83" w14:textId="77777777" w:rsidR="00897EF0" w:rsidRPr="00897EF0" w:rsidRDefault="00897EF0" w:rsidP="00897EF0">
      <w:pPr>
        <w:pStyle w:val="COMPara"/>
        <w:ind w:left="567" w:hanging="567"/>
        <w:jc w:val="both"/>
        <w:rPr>
          <w:lang w:val="fr-FR"/>
        </w:rPr>
      </w:pPr>
      <w:r w:rsidRPr="00897EF0">
        <w:rPr>
          <w:lang w:val="fr-FR"/>
        </w:rPr>
        <w:lastRenderedPageBreak/>
        <w:t xml:space="preserve">En conséquence, la neuvième session de l’Assemblée générale en 2022 a demandé que le Secrétariat, en consultation avec les États parties, les commissions nationales et le Forum des ONG du PCI, soumette à la dixième session de l’Assemblée générale « un plan, une stratégie et des mécanismes clairs visant à assurer l’équilibre géographique parmi les ONG accréditées » (résolution </w:t>
      </w:r>
      <w:hyperlink r:id="rId25" w:history="1">
        <w:r w:rsidRPr="00897EF0">
          <w:rPr>
            <w:rStyle w:val="Lienhypertexte"/>
            <w:lang w:val="fr-FR"/>
          </w:rPr>
          <w:t>9.GA 7</w:t>
        </w:r>
      </w:hyperlink>
      <w:r w:rsidRPr="00897EF0">
        <w:rPr>
          <w:lang w:val="fr-FR"/>
        </w:rPr>
        <w:t>).</w:t>
      </w:r>
    </w:p>
    <w:p w14:paraId="2D828C13" w14:textId="77777777" w:rsidR="00897EF0" w:rsidRPr="00897EF0" w:rsidRDefault="00897EF0" w:rsidP="00897EF0">
      <w:pPr>
        <w:pStyle w:val="COMPara"/>
        <w:numPr>
          <w:ilvl w:val="0"/>
          <w:numId w:val="0"/>
        </w:numPr>
        <w:spacing w:before="240"/>
        <w:jc w:val="both"/>
        <w:rPr>
          <w:b/>
          <w:bCs/>
          <w:lang w:val="fr-FR"/>
        </w:rPr>
      </w:pPr>
      <w:r w:rsidRPr="00897EF0">
        <w:rPr>
          <w:b/>
          <w:bCs/>
          <w:lang w:val="fr-FR"/>
        </w:rPr>
        <w:t>Vers l’établissement d’un plan</w:t>
      </w:r>
    </w:p>
    <w:p w14:paraId="04447352" w14:textId="77777777" w:rsidR="00897EF0" w:rsidRPr="00897EF0" w:rsidRDefault="00897EF0" w:rsidP="00897EF0">
      <w:pPr>
        <w:pStyle w:val="COMPara"/>
        <w:ind w:left="567" w:hanging="567"/>
        <w:jc w:val="both"/>
        <w:rPr>
          <w:lang w:val="fr-FR"/>
        </w:rPr>
      </w:pPr>
      <w:r w:rsidRPr="00897EF0">
        <w:rPr>
          <w:lang w:val="fr-FR"/>
        </w:rPr>
        <w:t>Les actions suivantes ont fourni les éléments nécessaires à l’établissement du plan demandé :</w:t>
      </w:r>
    </w:p>
    <w:p w14:paraId="5108D007" w14:textId="01E1A8BA" w:rsidR="00897EF0" w:rsidRPr="00897EF0" w:rsidRDefault="00897EF0" w:rsidP="00897EF0">
      <w:pPr>
        <w:pStyle w:val="COMPara"/>
        <w:keepNext/>
        <w:numPr>
          <w:ilvl w:val="0"/>
          <w:numId w:val="0"/>
        </w:numPr>
        <w:ind w:left="567"/>
        <w:jc w:val="both"/>
        <w:rPr>
          <w:u w:val="single"/>
          <w:lang w:val="fr-FR"/>
        </w:rPr>
      </w:pPr>
      <w:r w:rsidRPr="00897EF0">
        <w:rPr>
          <w:u w:val="single"/>
          <w:lang w:val="fr-FR"/>
        </w:rPr>
        <w:t xml:space="preserve">Forum des ONG </w:t>
      </w:r>
      <w:r w:rsidR="00015A1F">
        <w:rPr>
          <w:u w:val="single"/>
          <w:lang w:val="fr-FR"/>
        </w:rPr>
        <w:t>du PCI</w:t>
      </w:r>
      <w:r w:rsidRPr="00897EF0">
        <w:rPr>
          <w:u w:val="single"/>
          <w:lang w:val="fr-FR"/>
        </w:rPr>
        <w:t xml:space="preserve"> et centres de catégorie 2</w:t>
      </w:r>
    </w:p>
    <w:p w14:paraId="5A218212" w14:textId="4DE9B95F" w:rsidR="00897EF0" w:rsidRPr="00897EF0" w:rsidRDefault="00897EF0" w:rsidP="00897EF0">
      <w:pPr>
        <w:pStyle w:val="COMPara"/>
        <w:keepNext/>
        <w:ind w:left="567" w:hanging="567"/>
        <w:jc w:val="both"/>
        <w:rPr>
          <w:lang w:val="fr-FR"/>
        </w:rPr>
      </w:pPr>
      <w:r w:rsidRPr="00897EF0">
        <w:rPr>
          <w:lang w:val="fr-FR"/>
        </w:rPr>
        <w:t xml:space="preserve">Comme l’a apprécié la dix-huitième session du Comité en 2023, le Forum des ONG du PCI a créé un groupe de travail spécialisé pour mener des activités en 2022 visant à augmenter le nombre d’ONG basées dans des régions sous-représentées (Décision </w:t>
      </w:r>
      <w:hyperlink r:id="rId26" w:history="1">
        <w:r w:rsidRPr="00897EF0">
          <w:rPr>
            <w:rStyle w:val="Lienhypertexte"/>
            <w:lang w:val="fr-FR"/>
          </w:rPr>
          <w:t>18.COM 15</w:t>
        </w:r>
      </w:hyperlink>
      <w:r w:rsidRPr="00897EF0">
        <w:rPr>
          <w:lang w:val="fr-FR"/>
        </w:rPr>
        <w:t xml:space="preserve">). Parmi tous les points d’action énumérés, le </w:t>
      </w:r>
      <w:r w:rsidR="00015A1F">
        <w:rPr>
          <w:lang w:val="fr-FR"/>
        </w:rPr>
        <w:t>F</w:t>
      </w:r>
      <w:r w:rsidRPr="00897EF0">
        <w:rPr>
          <w:lang w:val="fr-FR"/>
        </w:rPr>
        <w:t>orum des ONG du PCI a signalé en particulier les points suivants :</w:t>
      </w:r>
    </w:p>
    <w:tbl>
      <w:tblPr>
        <w:tblStyle w:val="Grilledutableau"/>
        <w:tblW w:w="0" w:type="auto"/>
        <w:tblInd w:w="562" w:type="dxa"/>
        <w:tblLook w:val="04A0" w:firstRow="1" w:lastRow="0" w:firstColumn="1" w:lastColumn="0" w:noHBand="0" w:noVBand="1"/>
      </w:tblPr>
      <w:tblGrid>
        <w:gridCol w:w="9066"/>
      </w:tblGrid>
      <w:tr w:rsidR="00897EF0" w:rsidRPr="00897EF0" w14:paraId="6A97FB25" w14:textId="77777777" w:rsidTr="00443C18">
        <w:tc>
          <w:tcPr>
            <w:tcW w:w="9066" w:type="dxa"/>
          </w:tcPr>
          <w:p w14:paraId="5287CB19" w14:textId="77777777" w:rsidR="00897EF0" w:rsidRPr="00897EF0" w:rsidRDefault="00897EF0" w:rsidP="00443C18">
            <w:pPr>
              <w:spacing w:before="120" w:after="120"/>
              <w:jc w:val="both"/>
              <w:textAlignment w:val="baseline"/>
              <w:rPr>
                <w:rFonts w:asciiTheme="minorBidi" w:eastAsia="Georgia" w:hAnsiTheme="minorBidi" w:cstheme="minorBidi"/>
                <w:sz w:val="22"/>
                <w:szCs w:val="22"/>
              </w:rPr>
            </w:pPr>
            <w:r w:rsidRPr="00897EF0">
              <w:rPr>
                <w:rFonts w:ascii="Arial" w:hAnsi="Arial" w:cs="Arial"/>
                <w:snapToGrid w:val="0"/>
                <w:sz w:val="22"/>
                <w:szCs w:val="22"/>
                <w:lang w:eastAsia="en-US"/>
              </w:rPr>
              <w:t>« Au cours des quatre mois précédant la date limite d’accréditation du 30 avril, le Forum a organisé des ateliers en ligne et des sessions d’information dans les régions sous-représentées afin de présenter la Convention et le Forum, d’exposer les avantages de l’accréditation et de donner des instructions étape par étape sur la manière de remplir les formulaires d’accréditation. Ces événements ont eu lieu dans les GE III (Amérique latine et Caraïbes), GE IV (Asie et Pacifique), GE Va (Afrique) et GE II (Europe de l’Est). La participation à ces événements a été importante, puisque 31 ONGA y ont pris part. Les ateliers des GE II et III ont été réalisés en association avec des centres de catégorie II. »</w:t>
            </w:r>
          </w:p>
          <w:p w14:paraId="3E8760C3" w14:textId="77777777" w:rsidR="00897EF0" w:rsidRPr="00897EF0" w:rsidRDefault="00897EF0" w:rsidP="00443C18">
            <w:pPr>
              <w:spacing w:before="120" w:after="120"/>
              <w:jc w:val="right"/>
              <w:textAlignment w:val="baseline"/>
              <w:rPr>
                <w:rFonts w:asciiTheme="minorBidi" w:eastAsia="Georgia" w:hAnsiTheme="minorBidi" w:cstheme="minorBidi"/>
                <w:sz w:val="22"/>
                <w:szCs w:val="22"/>
              </w:rPr>
            </w:pPr>
            <w:r w:rsidRPr="00897EF0">
              <w:rPr>
                <w:rFonts w:asciiTheme="minorBidi" w:eastAsia="Georgia" w:hAnsiTheme="minorBidi" w:cstheme="minorBidi"/>
                <w:sz w:val="22"/>
                <w:szCs w:val="22"/>
              </w:rPr>
              <w:t>Extrait du document 18.COM 15</w:t>
            </w:r>
          </w:p>
        </w:tc>
      </w:tr>
    </w:tbl>
    <w:p w14:paraId="638AA044" w14:textId="1B3A95B9" w:rsidR="00897EF0" w:rsidRPr="00897EF0" w:rsidRDefault="00897EF0" w:rsidP="00897EF0">
      <w:pPr>
        <w:pStyle w:val="COMPara"/>
        <w:keepNext/>
        <w:spacing w:before="240"/>
        <w:ind w:left="567" w:hanging="567"/>
        <w:jc w:val="both"/>
        <w:rPr>
          <w:lang w:val="fr-FR"/>
        </w:rPr>
      </w:pPr>
      <w:r w:rsidRPr="00897EF0">
        <w:rPr>
          <w:lang w:val="fr-FR"/>
        </w:rPr>
        <w:t>Le Forum des ONG du PCI a également établi un plan d’action qui comprend : (a) la création d’une base de données des ONG non accréditées dans les régions sous-représentées ; (b)</w:t>
      </w:r>
      <w:r w:rsidR="00015A1F">
        <w:rPr>
          <w:lang w:val="fr-FR"/>
        </w:rPr>
        <w:t> </w:t>
      </w:r>
      <w:r w:rsidRPr="00897EF0">
        <w:rPr>
          <w:lang w:val="fr-FR"/>
        </w:rPr>
        <w:t xml:space="preserve">l’élaboration d’une boîte à outils contenant de courtes vidéos et des dépliants destinés à la sensibilisation ; (c) la collaboration avec les États parties dans les régions sous-représentées pour générer des demandes d’accréditation ; et (d) des activités de sensibilisation pour encourager les ONG qui sont substantiellement engagées mais non spécialisées dans la sauvegarde du patrimoine vivant, telles que les bibliothèques, les archives et les organisations culturelles. Certains des centres de catégorie 2 </w:t>
      </w:r>
      <w:r w:rsidRPr="00897EF0">
        <w:rPr>
          <w:spacing w:val="-4"/>
          <w:lang w:val="fr-FR"/>
        </w:rPr>
        <w:t xml:space="preserve">actifs dans le domaine du patrimoine culturel immatériel </w:t>
      </w:r>
      <w:r w:rsidRPr="00897EF0">
        <w:rPr>
          <w:lang w:val="fr-FR"/>
        </w:rPr>
        <w:t>ont également participé activement au renforcement des capacités des points focaux nationaux désignés pour préparer des rapports périodiques sur les questions liées à la participation des ONG pour la mise en œuvre de la Convention de 2003 au niveau national.</w:t>
      </w:r>
    </w:p>
    <w:p w14:paraId="58334B23" w14:textId="77777777" w:rsidR="00897EF0" w:rsidRPr="00897EF0" w:rsidRDefault="00897EF0" w:rsidP="00897EF0">
      <w:pPr>
        <w:pStyle w:val="COMPara"/>
        <w:keepNext/>
        <w:numPr>
          <w:ilvl w:val="0"/>
          <w:numId w:val="0"/>
        </w:numPr>
        <w:ind w:left="567"/>
        <w:jc w:val="both"/>
        <w:rPr>
          <w:u w:val="single"/>
          <w:lang w:val="fr-FR"/>
        </w:rPr>
      </w:pPr>
      <w:r w:rsidRPr="00897EF0">
        <w:rPr>
          <w:u w:val="single"/>
          <w:lang w:val="fr-FR"/>
        </w:rPr>
        <w:t>Consultation des États parties</w:t>
      </w:r>
    </w:p>
    <w:p w14:paraId="42D64FE9" w14:textId="4B1A9218" w:rsidR="00897EF0" w:rsidRPr="00897EF0" w:rsidRDefault="00897EF0" w:rsidP="00897EF0">
      <w:pPr>
        <w:pStyle w:val="COMPara"/>
        <w:keepNext/>
        <w:ind w:left="567" w:hanging="567"/>
        <w:jc w:val="both"/>
        <w:rPr>
          <w:lang w:val="fr-FR"/>
        </w:rPr>
      </w:pPr>
      <w:r w:rsidRPr="00897EF0">
        <w:rPr>
          <w:lang w:val="fr-FR"/>
        </w:rPr>
        <w:t xml:space="preserve">Le Secrétariat a invité tous les États parties (y compris les Délégations </w:t>
      </w:r>
      <w:r w:rsidR="00015A1F">
        <w:rPr>
          <w:lang w:val="fr-FR"/>
        </w:rPr>
        <w:t>p</w:t>
      </w:r>
      <w:r w:rsidRPr="00897EF0">
        <w:rPr>
          <w:lang w:val="fr-FR"/>
        </w:rPr>
        <w:t>ermanentes et les Commissions nationales) de la Convention à donner leur avis par le biais d’une enquête en ligne qui a été mise à disposition entre le 26 avril et le 15 mai 2024. Les questions de l’enquête portaient sur les mesures à prendre en priorité pour améliorer l’équilibre géographique. Les réponses reçues de trente-sept États parties peuvent être résumées comme suit :</w:t>
      </w:r>
      <w:r w:rsidRPr="00897EF0">
        <w:rPr>
          <w:lang w:val="fr-FR"/>
        </w:rPr>
        <w:br/>
      </w:r>
    </w:p>
    <w:tbl>
      <w:tblPr>
        <w:tblStyle w:val="Grilledutableau"/>
        <w:tblW w:w="0" w:type="auto"/>
        <w:tblInd w:w="562" w:type="dxa"/>
        <w:tblLook w:val="04A0" w:firstRow="1" w:lastRow="0" w:firstColumn="1" w:lastColumn="0" w:noHBand="0" w:noVBand="1"/>
      </w:tblPr>
      <w:tblGrid>
        <w:gridCol w:w="7371"/>
        <w:gridCol w:w="1695"/>
      </w:tblGrid>
      <w:tr w:rsidR="00897EF0" w:rsidRPr="00897EF0" w14:paraId="1A65ECB2" w14:textId="77777777" w:rsidTr="00443C18">
        <w:tc>
          <w:tcPr>
            <w:tcW w:w="7371" w:type="dxa"/>
            <w:shd w:val="clear" w:color="auto" w:fill="DBE5F1" w:themeFill="accent1" w:themeFillTint="33"/>
          </w:tcPr>
          <w:p w14:paraId="32C48173" w14:textId="77777777" w:rsidR="00897EF0" w:rsidRPr="00897EF0" w:rsidRDefault="00897EF0" w:rsidP="00443C18">
            <w:pPr>
              <w:rPr>
                <w:rFonts w:ascii="Arial" w:hAnsi="Arial" w:cs="Arial"/>
                <w:b/>
                <w:bCs/>
                <w:sz w:val="22"/>
                <w:szCs w:val="22"/>
              </w:rPr>
            </w:pPr>
            <w:r w:rsidRPr="00897EF0">
              <w:rPr>
                <w:rFonts w:ascii="Arial" w:hAnsi="Arial" w:cs="Arial"/>
                <w:b/>
                <w:bCs/>
                <w:sz w:val="22"/>
                <w:szCs w:val="22"/>
              </w:rPr>
              <w:t>Mesures possibles</w:t>
            </w:r>
          </w:p>
        </w:tc>
        <w:tc>
          <w:tcPr>
            <w:tcW w:w="1695" w:type="dxa"/>
            <w:shd w:val="clear" w:color="auto" w:fill="DBE5F1" w:themeFill="accent1" w:themeFillTint="33"/>
          </w:tcPr>
          <w:p w14:paraId="37A6F085" w14:textId="77777777" w:rsidR="00897EF0" w:rsidRPr="00897EF0" w:rsidRDefault="00897EF0" w:rsidP="00443C18">
            <w:pPr>
              <w:pStyle w:val="COMPara"/>
              <w:keepNext/>
              <w:numPr>
                <w:ilvl w:val="0"/>
                <w:numId w:val="0"/>
              </w:numPr>
              <w:spacing w:after="0"/>
              <w:jc w:val="both"/>
              <w:rPr>
                <w:b/>
                <w:bCs/>
                <w:lang w:val="fr-FR"/>
              </w:rPr>
            </w:pPr>
            <w:r w:rsidRPr="00897EF0">
              <w:rPr>
                <w:b/>
                <w:bCs/>
                <w:snapToGrid/>
                <w:lang w:val="fr-FR" w:eastAsia="fr-FR"/>
              </w:rPr>
              <w:t>Réponses</w:t>
            </w:r>
            <w:r w:rsidRPr="00897EF0">
              <w:rPr>
                <w:rStyle w:val="Appelnotedebasdep"/>
                <w:b/>
                <w:bCs/>
                <w:snapToGrid/>
                <w:lang w:val="fr-FR" w:eastAsia="fr-FR"/>
              </w:rPr>
              <w:footnoteReference w:id="3"/>
            </w:r>
          </w:p>
        </w:tc>
      </w:tr>
      <w:tr w:rsidR="00897EF0" w:rsidRPr="00897EF0" w14:paraId="7466655B" w14:textId="77777777" w:rsidTr="00443C18">
        <w:tc>
          <w:tcPr>
            <w:tcW w:w="7371" w:type="dxa"/>
          </w:tcPr>
          <w:p w14:paraId="53361BFD" w14:textId="0FB31348" w:rsidR="00897EF0" w:rsidRPr="00897EF0" w:rsidRDefault="0097319A" w:rsidP="00443C18">
            <w:pPr>
              <w:rPr>
                <w:rFonts w:ascii="Arial" w:hAnsi="Arial" w:cs="Arial"/>
                <w:sz w:val="22"/>
                <w:szCs w:val="22"/>
              </w:rPr>
            </w:pPr>
            <w:r>
              <w:rPr>
                <w:rFonts w:ascii="Arial" w:hAnsi="Arial" w:cs="Arial"/>
                <w:sz w:val="22"/>
                <w:szCs w:val="22"/>
              </w:rPr>
              <w:t xml:space="preserve">Mettre en œuvre des </w:t>
            </w:r>
            <w:r w:rsidR="00897EF0" w:rsidRPr="00897EF0">
              <w:rPr>
                <w:rFonts w:ascii="Arial" w:hAnsi="Arial" w:cs="Arial"/>
                <w:sz w:val="22"/>
                <w:szCs w:val="22"/>
              </w:rPr>
              <w:t>initiatives de renforcement des capacités pour les ONG accréditées et non</w:t>
            </w:r>
            <w:r>
              <w:rPr>
                <w:rFonts w:ascii="Arial" w:hAnsi="Arial" w:cs="Arial"/>
                <w:sz w:val="22"/>
                <w:szCs w:val="22"/>
              </w:rPr>
              <w:t>-</w:t>
            </w:r>
            <w:r w:rsidR="00897EF0" w:rsidRPr="00897EF0">
              <w:rPr>
                <w:rFonts w:ascii="Arial" w:hAnsi="Arial" w:cs="Arial"/>
                <w:sz w:val="22"/>
                <w:szCs w:val="22"/>
              </w:rPr>
              <w:t>accréditées des régions sous-représentées</w:t>
            </w:r>
          </w:p>
        </w:tc>
        <w:tc>
          <w:tcPr>
            <w:tcW w:w="1695" w:type="dxa"/>
          </w:tcPr>
          <w:p w14:paraId="5DDCA302" w14:textId="77777777" w:rsidR="00897EF0" w:rsidRPr="00897EF0" w:rsidRDefault="00897EF0" w:rsidP="00443C18">
            <w:pPr>
              <w:pStyle w:val="COMPara"/>
              <w:keepNext/>
              <w:numPr>
                <w:ilvl w:val="0"/>
                <w:numId w:val="0"/>
              </w:numPr>
              <w:spacing w:after="0"/>
              <w:jc w:val="both"/>
              <w:rPr>
                <w:rFonts w:cstheme="minorHAnsi"/>
                <w:lang w:val="fr-FR"/>
              </w:rPr>
            </w:pPr>
            <w:r w:rsidRPr="00897EF0">
              <w:rPr>
                <w:rFonts w:cstheme="minorHAnsi"/>
                <w:lang w:val="fr-FR"/>
              </w:rPr>
              <w:t>23 (62%)</w:t>
            </w:r>
          </w:p>
        </w:tc>
      </w:tr>
      <w:tr w:rsidR="00897EF0" w:rsidRPr="00897EF0" w14:paraId="56CFAC43" w14:textId="77777777" w:rsidTr="00443C18">
        <w:tc>
          <w:tcPr>
            <w:tcW w:w="7371" w:type="dxa"/>
          </w:tcPr>
          <w:p w14:paraId="174B47E7" w14:textId="79C83C72" w:rsidR="00897EF0" w:rsidRPr="00897EF0" w:rsidRDefault="0097319A" w:rsidP="00443C18">
            <w:pPr>
              <w:rPr>
                <w:rFonts w:ascii="Arial" w:hAnsi="Arial" w:cs="Arial"/>
                <w:sz w:val="22"/>
                <w:szCs w:val="22"/>
              </w:rPr>
            </w:pPr>
            <w:r>
              <w:rPr>
                <w:rFonts w:ascii="Arial" w:hAnsi="Arial" w:cs="Arial"/>
                <w:sz w:val="22"/>
                <w:szCs w:val="22"/>
              </w:rPr>
              <w:t xml:space="preserve">Mettre en œuvre des </w:t>
            </w:r>
            <w:r w:rsidR="00897EF0" w:rsidRPr="00897EF0">
              <w:rPr>
                <w:rFonts w:ascii="Arial" w:hAnsi="Arial" w:cs="Arial"/>
                <w:sz w:val="22"/>
                <w:szCs w:val="22"/>
              </w:rPr>
              <w:t>initiatives de sensibilisation (par exemple, sessions d’information en ligne, kit d’information) dans les régions sous-</w:t>
            </w:r>
            <w:r w:rsidR="00897EF0" w:rsidRPr="00897EF0">
              <w:rPr>
                <w:rFonts w:ascii="Arial" w:hAnsi="Arial" w:cs="Arial"/>
                <w:sz w:val="22"/>
                <w:szCs w:val="22"/>
              </w:rPr>
              <w:lastRenderedPageBreak/>
              <w:t>représentées sur le système d’accréditation et les avantages de l’accréditation.</w:t>
            </w:r>
          </w:p>
        </w:tc>
        <w:tc>
          <w:tcPr>
            <w:tcW w:w="1695" w:type="dxa"/>
          </w:tcPr>
          <w:p w14:paraId="3E121580" w14:textId="77777777" w:rsidR="00897EF0" w:rsidRPr="00897EF0" w:rsidRDefault="00897EF0" w:rsidP="00443C18">
            <w:pPr>
              <w:pStyle w:val="COMPara"/>
              <w:keepNext/>
              <w:numPr>
                <w:ilvl w:val="0"/>
                <w:numId w:val="0"/>
              </w:numPr>
              <w:spacing w:after="0"/>
              <w:jc w:val="both"/>
              <w:rPr>
                <w:lang w:val="fr-FR"/>
              </w:rPr>
            </w:pPr>
            <w:r w:rsidRPr="00897EF0">
              <w:rPr>
                <w:rFonts w:cstheme="minorHAnsi"/>
                <w:lang w:val="fr-FR"/>
              </w:rPr>
              <w:lastRenderedPageBreak/>
              <w:t>17 (46%)</w:t>
            </w:r>
          </w:p>
        </w:tc>
      </w:tr>
      <w:tr w:rsidR="00897EF0" w:rsidRPr="00897EF0" w14:paraId="6BDCBA34" w14:textId="77777777" w:rsidTr="00443C18">
        <w:tc>
          <w:tcPr>
            <w:tcW w:w="7371" w:type="dxa"/>
          </w:tcPr>
          <w:p w14:paraId="78105B3B" w14:textId="333AB272" w:rsidR="00897EF0" w:rsidRPr="00897EF0" w:rsidRDefault="00897EF0" w:rsidP="00443C18">
            <w:pPr>
              <w:rPr>
                <w:rFonts w:ascii="Arial" w:hAnsi="Arial" w:cs="Arial"/>
                <w:sz w:val="22"/>
                <w:szCs w:val="22"/>
              </w:rPr>
            </w:pPr>
            <w:r w:rsidRPr="00897EF0">
              <w:rPr>
                <w:rFonts w:ascii="Arial" w:hAnsi="Arial" w:cs="Arial"/>
                <w:sz w:val="22"/>
                <w:szCs w:val="22"/>
              </w:rPr>
              <w:t xml:space="preserve">Encourager les centres de catégorie 2, les bureaux hors-Siège de l’UNESCO et le </w:t>
            </w:r>
            <w:r w:rsidR="0097319A">
              <w:rPr>
                <w:rFonts w:ascii="Arial" w:hAnsi="Arial" w:cs="Arial"/>
                <w:sz w:val="22"/>
                <w:szCs w:val="22"/>
              </w:rPr>
              <w:t>F</w:t>
            </w:r>
            <w:r w:rsidRPr="00897EF0">
              <w:rPr>
                <w:rFonts w:ascii="Arial" w:hAnsi="Arial" w:cs="Arial"/>
                <w:sz w:val="22"/>
                <w:szCs w:val="22"/>
              </w:rPr>
              <w:t xml:space="preserve">orum des ONG du PCI à </w:t>
            </w:r>
            <w:r w:rsidR="0097319A">
              <w:rPr>
                <w:rFonts w:ascii="Arial" w:hAnsi="Arial" w:cs="Arial"/>
                <w:sz w:val="22"/>
                <w:szCs w:val="22"/>
              </w:rPr>
              <w:t>collaborer plus étroitement</w:t>
            </w:r>
            <w:r w:rsidRPr="00897EF0">
              <w:rPr>
                <w:rFonts w:ascii="Arial" w:hAnsi="Arial" w:cs="Arial"/>
                <w:sz w:val="22"/>
                <w:szCs w:val="22"/>
              </w:rPr>
              <w:t xml:space="preserve"> </w:t>
            </w:r>
            <w:r w:rsidR="0097319A">
              <w:rPr>
                <w:rFonts w:ascii="Arial" w:hAnsi="Arial" w:cs="Arial"/>
                <w:sz w:val="22"/>
                <w:szCs w:val="22"/>
              </w:rPr>
              <w:t>sur</w:t>
            </w:r>
            <w:r w:rsidRPr="00897EF0">
              <w:rPr>
                <w:rFonts w:ascii="Arial" w:hAnsi="Arial" w:cs="Arial"/>
                <w:sz w:val="22"/>
                <w:szCs w:val="22"/>
              </w:rPr>
              <w:t xml:space="preserve"> la Convention avec les ONG des régions sous-représentées.</w:t>
            </w:r>
          </w:p>
        </w:tc>
        <w:tc>
          <w:tcPr>
            <w:tcW w:w="1695" w:type="dxa"/>
          </w:tcPr>
          <w:p w14:paraId="2688DEEC" w14:textId="77777777" w:rsidR="00897EF0" w:rsidRPr="00897EF0" w:rsidRDefault="00897EF0" w:rsidP="00443C18">
            <w:pPr>
              <w:pStyle w:val="COMPara"/>
              <w:keepNext/>
              <w:numPr>
                <w:ilvl w:val="0"/>
                <w:numId w:val="0"/>
              </w:numPr>
              <w:spacing w:after="0"/>
              <w:jc w:val="both"/>
              <w:rPr>
                <w:lang w:val="fr-FR"/>
              </w:rPr>
            </w:pPr>
            <w:r w:rsidRPr="00897EF0">
              <w:rPr>
                <w:lang w:val="fr-FR"/>
              </w:rPr>
              <w:t xml:space="preserve">17 </w:t>
            </w:r>
            <w:r w:rsidRPr="00897EF0">
              <w:rPr>
                <w:rFonts w:cstheme="minorHAnsi"/>
                <w:lang w:val="fr-FR"/>
              </w:rPr>
              <w:t>(46%)</w:t>
            </w:r>
          </w:p>
        </w:tc>
      </w:tr>
      <w:tr w:rsidR="00897EF0" w:rsidRPr="00897EF0" w14:paraId="6E134781" w14:textId="77777777" w:rsidTr="00443C18">
        <w:tc>
          <w:tcPr>
            <w:tcW w:w="7371" w:type="dxa"/>
          </w:tcPr>
          <w:p w14:paraId="0DE05F1F" w14:textId="32844A73" w:rsidR="00897EF0" w:rsidRPr="00897EF0" w:rsidRDefault="00897EF0" w:rsidP="00443C18">
            <w:pPr>
              <w:rPr>
                <w:rFonts w:ascii="Arial" w:hAnsi="Arial" w:cs="Arial"/>
                <w:sz w:val="22"/>
                <w:szCs w:val="22"/>
              </w:rPr>
            </w:pPr>
            <w:r w:rsidRPr="00897EF0">
              <w:rPr>
                <w:rFonts w:ascii="Arial" w:hAnsi="Arial" w:cs="Arial"/>
                <w:sz w:val="22"/>
                <w:szCs w:val="22"/>
              </w:rPr>
              <w:t xml:space="preserve">Entreprendre des recherches </w:t>
            </w:r>
            <w:r w:rsidR="0097319A">
              <w:rPr>
                <w:rFonts w:ascii="Arial" w:hAnsi="Arial" w:cs="Arial"/>
                <w:sz w:val="22"/>
                <w:szCs w:val="22"/>
              </w:rPr>
              <w:t>afin de</w:t>
            </w:r>
            <w:r w:rsidRPr="00897EF0">
              <w:rPr>
                <w:rFonts w:ascii="Arial" w:hAnsi="Arial" w:cs="Arial"/>
                <w:sz w:val="22"/>
                <w:szCs w:val="22"/>
              </w:rPr>
              <w:t xml:space="preserve"> mieux comprendre les divers défis auxquels sont confrontées les ONG</w:t>
            </w:r>
          </w:p>
        </w:tc>
        <w:tc>
          <w:tcPr>
            <w:tcW w:w="1695" w:type="dxa"/>
          </w:tcPr>
          <w:p w14:paraId="73ADD00C" w14:textId="77777777" w:rsidR="00897EF0" w:rsidRPr="00897EF0" w:rsidRDefault="00897EF0" w:rsidP="00443C18">
            <w:pPr>
              <w:pStyle w:val="COMPara"/>
              <w:keepNext/>
              <w:numPr>
                <w:ilvl w:val="0"/>
                <w:numId w:val="0"/>
              </w:numPr>
              <w:spacing w:after="0"/>
              <w:jc w:val="both"/>
              <w:rPr>
                <w:lang w:val="fr-FR"/>
              </w:rPr>
            </w:pPr>
            <w:r w:rsidRPr="00897EF0">
              <w:rPr>
                <w:lang w:val="fr-FR"/>
              </w:rPr>
              <w:t>8 (22%)</w:t>
            </w:r>
          </w:p>
        </w:tc>
      </w:tr>
      <w:tr w:rsidR="00897EF0" w:rsidRPr="00897EF0" w14:paraId="655A3529" w14:textId="77777777" w:rsidTr="00443C18">
        <w:tc>
          <w:tcPr>
            <w:tcW w:w="7371" w:type="dxa"/>
          </w:tcPr>
          <w:p w14:paraId="74AB1679" w14:textId="5E644F50" w:rsidR="00897EF0" w:rsidRPr="00897EF0" w:rsidRDefault="00897EF0" w:rsidP="00443C18">
            <w:pPr>
              <w:rPr>
                <w:rFonts w:ascii="Arial" w:hAnsi="Arial" w:cs="Arial"/>
                <w:sz w:val="22"/>
                <w:szCs w:val="22"/>
              </w:rPr>
            </w:pPr>
            <w:r w:rsidRPr="00897EF0">
              <w:rPr>
                <w:rFonts w:ascii="Arial" w:hAnsi="Arial" w:cs="Arial"/>
                <w:sz w:val="22"/>
                <w:szCs w:val="22"/>
              </w:rPr>
              <w:t>Révis</w:t>
            </w:r>
            <w:r w:rsidR="0097319A">
              <w:rPr>
                <w:rFonts w:ascii="Arial" w:hAnsi="Arial" w:cs="Arial"/>
                <w:sz w:val="22"/>
                <w:szCs w:val="22"/>
              </w:rPr>
              <w:t>er le</w:t>
            </w:r>
            <w:r w:rsidRPr="00897EF0">
              <w:rPr>
                <w:rFonts w:ascii="Arial" w:hAnsi="Arial" w:cs="Arial"/>
                <w:sz w:val="22"/>
                <w:szCs w:val="22"/>
              </w:rPr>
              <w:t xml:space="preserve"> formulaire d’accréditation ICH-09 </w:t>
            </w:r>
            <w:r w:rsidR="0097319A">
              <w:rPr>
                <w:rFonts w:ascii="Arial" w:hAnsi="Arial" w:cs="Arial"/>
                <w:sz w:val="22"/>
                <w:szCs w:val="22"/>
              </w:rPr>
              <w:t>afin de</w:t>
            </w:r>
            <w:r w:rsidRPr="00897EF0">
              <w:rPr>
                <w:rFonts w:ascii="Arial" w:hAnsi="Arial" w:cs="Arial"/>
                <w:sz w:val="22"/>
                <w:szCs w:val="22"/>
              </w:rPr>
              <w:t xml:space="preserve"> rendre la procédure de demande plus accessible</w:t>
            </w:r>
          </w:p>
        </w:tc>
        <w:tc>
          <w:tcPr>
            <w:tcW w:w="1695" w:type="dxa"/>
          </w:tcPr>
          <w:p w14:paraId="628A0E79" w14:textId="77777777" w:rsidR="00897EF0" w:rsidRPr="00897EF0" w:rsidRDefault="00897EF0" w:rsidP="00443C18">
            <w:pPr>
              <w:pStyle w:val="COMPara"/>
              <w:keepNext/>
              <w:numPr>
                <w:ilvl w:val="0"/>
                <w:numId w:val="0"/>
              </w:numPr>
              <w:spacing w:after="0"/>
              <w:jc w:val="both"/>
              <w:rPr>
                <w:lang w:val="fr-FR"/>
              </w:rPr>
            </w:pPr>
            <w:r w:rsidRPr="00897EF0">
              <w:rPr>
                <w:lang w:val="fr-FR"/>
              </w:rPr>
              <w:t>5 (14%)</w:t>
            </w:r>
          </w:p>
        </w:tc>
      </w:tr>
      <w:tr w:rsidR="00897EF0" w:rsidRPr="00897EF0" w14:paraId="7EAED449" w14:textId="77777777" w:rsidTr="00443C18">
        <w:tc>
          <w:tcPr>
            <w:tcW w:w="7371" w:type="dxa"/>
          </w:tcPr>
          <w:p w14:paraId="50B653BD" w14:textId="77777777" w:rsidR="00897EF0" w:rsidRPr="00897EF0" w:rsidRDefault="00897EF0" w:rsidP="00443C18">
            <w:pPr>
              <w:rPr>
                <w:rFonts w:ascii="Arial" w:hAnsi="Arial" w:cs="Arial"/>
                <w:sz w:val="22"/>
                <w:szCs w:val="22"/>
              </w:rPr>
            </w:pPr>
            <w:r w:rsidRPr="00897EF0">
              <w:rPr>
                <w:rFonts w:ascii="Arial" w:hAnsi="Arial" w:cs="Arial"/>
                <w:sz w:val="22"/>
                <w:szCs w:val="22"/>
              </w:rPr>
              <w:t>Mise en place d’un système de quotas pour l’accréditation des ONG</w:t>
            </w:r>
          </w:p>
        </w:tc>
        <w:tc>
          <w:tcPr>
            <w:tcW w:w="1695" w:type="dxa"/>
          </w:tcPr>
          <w:p w14:paraId="7DB75E6F" w14:textId="77777777" w:rsidR="00897EF0" w:rsidRPr="00897EF0" w:rsidRDefault="00897EF0" w:rsidP="00443C18">
            <w:pPr>
              <w:pStyle w:val="COMPara"/>
              <w:keepNext/>
              <w:numPr>
                <w:ilvl w:val="0"/>
                <w:numId w:val="0"/>
              </w:numPr>
              <w:spacing w:after="0"/>
              <w:jc w:val="both"/>
              <w:rPr>
                <w:lang w:val="fr-FR"/>
              </w:rPr>
            </w:pPr>
            <w:r w:rsidRPr="00897EF0">
              <w:rPr>
                <w:lang w:val="fr-FR"/>
              </w:rPr>
              <w:t>3 (8%)</w:t>
            </w:r>
          </w:p>
        </w:tc>
      </w:tr>
    </w:tbl>
    <w:p w14:paraId="1413006A" w14:textId="77777777" w:rsidR="00897EF0" w:rsidRPr="00897EF0" w:rsidRDefault="00897EF0" w:rsidP="00897EF0">
      <w:pPr>
        <w:pStyle w:val="COMPara"/>
        <w:numPr>
          <w:ilvl w:val="0"/>
          <w:numId w:val="0"/>
        </w:numPr>
        <w:ind w:left="567"/>
        <w:jc w:val="both"/>
        <w:rPr>
          <w:u w:val="single"/>
          <w:lang w:val="fr-FR"/>
        </w:rPr>
      </w:pPr>
    </w:p>
    <w:p w14:paraId="38039AC8" w14:textId="77777777" w:rsidR="00897EF0" w:rsidRPr="00897EF0" w:rsidRDefault="00897EF0" w:rsidP="00897EF0">
      <w:pPr>
        <w:pStyle w:val="COMPara"/>
        <w:numPr>
          <w:ilvl w:val="0"/>
          <w:numId w:val="0"/>
        </w:numPr>
        <w:ind w:left="567"/>
        <w:jc w:val="both"/>
        <w:rPr>
          <w:u w:val="single"/>
          <w:lang w:val="fr-FR"/>
        </w:rPr>
      </w:pPr>
      <w:r w:rsidRPr="00897EF0">
        <w:rPr>
          <w:u w:val="single"/>
          <w:lang w:val="fr-FR"/>
        </w:rPr>
        <w:t>Domaines thématiques prioritaires</w:t>
      </w:r>
    </w:p>
    <w:p w14:paraId="7D55ADF0" w14:textId="5863019C" w:rsidR="00897EF0" w:rsidRPr="00897EF0" w:rsidRDefault="00897EF0" w:rsidP="00897EF0">
      <w:pPr>
        <w:pStyle w:val="COMPara"/>
        <w:ind w:left="567" w:hanging="567"/>
        <w:jc w:val="both"/>
        <w:rPr>
          <w:lang w:val="fr-FR"/>
        </w:rPr>
      </w:pPr>
      <w:r w:rsidRPr="00897EF0">
        <w:rPr>
          <w:lang w:val="fr-FR"/>
        </w:rPr>
        <w:t xml:space="preserve">L’appel à de nouvelles actions arrive à point nommé, car les domaines prioritaires à travers lesquels développer davantage la Convention de 2003 ont été clarifiés par la réflexion entreprise lors du vingtième anniversaire de la Convention de 2003, comme indiqué à la présente session de l’Assemblée générale </w:t>
      </w:r>
      <w:r w:rsidR="0097319A">
        <w:rPr>
          <w:lang w:val="fr-FR"/>
        </w:rPr>
        <w:t>dans le cadre du</w:t>
      </w:r>
      <w:r w:rsidRPr="00897EF0">
        <w:rPr>
          <w:lang w:val="fr-FR"/>
        </w:rPr>
        <w:t xml:space="preserve"> point 10 (voir le document </w:t>
      </w:r>
      <w:hyperlink r:id="rId27" w:history="1">
        <w:r w:rsidRPr="00897EF0">
          <w:rPr>
            <w:rStyle w:val="Lienhypertexte"/>
            <w:lang w:val="fr-FR"/>
          </w:rPr>
          <w:t>LHE/24/10.GA/10</w:t>
        </w:r>
      </w:hyperlink>
      <w:r w:rsidRPr="00897EF0">
        <w:rPr>
          <w:lang w:val="fr-FR"/>
        </w:rPr>
        <w:t>). Ces domaines prioritaires comprennent la sauvegarde du patrimoine vivant et les moyens de subsistance, l’action climatique et les contextes urbains, le patrimoine vivant dans les situations d’urgence, l’intégration de la culture dans l’éducation et le patrimoine vivant dans l’environnement numérique. Il serait donc pertinent de concentrer les efforts sur l’identification des ONG ayant une expertise dans ces domaines spécifiques.</w:t>
      </w:r>
    </w:p>
    <w:p w14:paraId="5AFED4BC" w14:textId="77777777" w:rsidR="00897EF0" w:rsidRPr="00897EF0" w:rsidRDefault="00897EF0" w:rsidP="00897EF0">
      <w:pPr>
        <w:pStyle w:val="COMPara"/>
        <w:numPr>
          <w:ilvl w:val="0"/>
          <w:numId w:val="0"/>
        </w:numPr>
        <w:spacing w:before="240"/>
        <w:jc w:val="both"/>
        <w:rPr>
          <w:b/>
          <w:bCs/>
          <w:lang w:val="fr-FR"/>
        </w:rPr>
      </w:pPr>
      <w:r w:rsidRPr="00897EF0">
        <w:rPr>
          <w:b/>
          <w:bCs/>
          <w:lang w:val="fr-FR"/>
        </w:rPr>
        <w:t>Plan proposé</w:t>
      </w:r>
    </w:p>
    <w:p w14:paraId="7D341692" w14:textId="77777777" w:rsidR="00897EF0" w:rsidRPr="00897EF0" w:rsidRDefault="00897EF0" w:rsidP="00897EF0">
      <w:pPr>
        <w:pStyle w:val="COMPara"/>
        <w:ind w:left="567" w:hanging="567"/>
        <w:jc w:val="both"/>
        <w:rPr>
          <w:lang w:val="fr-FR"/>
        </w:rPr>
      </w:pPr>
      <w:r w:rsidRPr="00897EF0">
        <w:rPr>
          <w:lang w:val="fr-FR"/>
        </w:rPr>
        <w:t>Sur la base de l’expérience du Forum des ONG du PCI et des centres de catégorie 2 actifs dans le domaine du patrimoine culturel immatériel, combinée avec des résultats de l’enquête, les actions suivantes sont recommandées et s’articulent autour de quatre piliers principaux :</w:t>
      </w:r>
    </w:p>
    <w:p w14:paraId="5252DCEB" w14:textId="77777777" w:rsidR="00897EF0" w:rsidRPr="00897EF0" w:rsidRDefault="00897EF0" w:rsidP="00897EF0">
      <w:pPr>
        <w:pStyle w:val="COMPara"/>
        <w:numPr>
          <w:ilvl w:val="0"/>
          <w:numId w:val="0"/>
        </w:numPr>
        <w:ind w:left="567"/>
        <w:jc w:val="both"/>
        <w:rPr>
          <w:u w:val="single"/>
          <w:lang w:val="fr-FR"/>
        </w:rPr>
      </w:pPr>
      <w:r w:rsidRPr="00897EF0">
        <w:rPr>
          <w:u w:val="single"/>
          <w:lang w:val="fr-FR"/>
        </w:rPr>
        <w:t>A : Sensibilisation et partage d’informations sur le processus d’accréditation et ses avantages, en particulier dans les mois précédant la date limite de soumission des demandes d’accréditation.</w:t>
      </w:r>
    </w:p>
    <w:p w14:paraId="4FF20334" w14:textId="77777777" w:rsidR="00897EF0" w:rsidRPr="00897EF0" w:rsidRDefault="00897EF0" w:rsidP="00897EF0">
      <w:pPr>
        <w:pStyle w:val="COMPara"/>
        <w:numPr>
          <w:ilvl w:val="0"/>
          <w:numId w:val="37"/>
        </w:numPr>
        <w:jc w:val="both"/>
        <w:rPr>
          <w:lang w:val="fr-FR"/>
        </w:rPr>
      </w:pPr>
      <w:r w:rsidRPr="00897EF0">
        <w:rPr>
          <w:lang w:val="fr-FR"/>
        </w:rPr>
        <w:t>Partage d’informations par le Secrétariat, par le biais de la page web de la Convention de 2003.</w:t>
      </w:r>
    </w:p>
    <w:p w14:paraId="1271C7F2" w14:textId="2FF80BEE" w:rsidR="00897EF0" w:rsidRPr="00897EF0" w:rsidRDefault="00897EF0" w:rsidP="00897EF0">
      <w:pPr>
        <w:pStyle w:val="COMPara"/>
        <w:numPr>
          <w:ilvl w:val="0"/>
          <w:numId w:val="37"/>
        </w:numPr>
        <w:jc w:val="both"/>
        <w:rPr>
          <w:lang w:val="fr-FR"/>
        </w:rPr>
      </w:pPr>
      <w:r w:rsidRPr="00897EF0">
        <w:rPr>
          <w:lang w:val="fr-FR"/>
        </w:rPr>
        <w:t>Sessions d’information en ligne régionales, sous-régionales et nationales pour les ONG accréditées et non</w:t>
      </w:r>
      <w:r w:rsidR="0097319A">
        <w:rPr>
          <w:lang w:val="fr-FR"/>
        </w:rPr>
        <w:t>-</w:t>
      </w:r>
      <w:r w:rsidRPr="00897EF0">
        <w:rPr>
          <w:lang w:val="fr-FR"/>
        </w:rPr>
        <w:t>accréditées, organisées par le Forum des ONG du PCI, les centres de catégorie 2 et d’autres partenaires.</w:t>
      </w:r>
    </w:p>
    <w:p w14:paraId="32105187" w14:textId="77777777" w:rsidR="00897EF0" w:rsidRPr="00897EF0" w:rsidRDefault="00897EF0" w:rsidP="00897EF0">
      <w:pPr>
        <w:pStyle w:val="COMPara"/>
        <w:numPr>
          <w:ilvl w:val="0"/>
          <w:numId w:val="37"/>
        </w:numPr>
        <w:jc w:val="both"/>
        <w:rPr>
          <w:lang w:val="fr-FR"/>
        </w:rPr>
      </w:pPr>
      <w:r w:rsidRPr="00897EF0">
        <w:rPr>
          <w:lang w:val="fr-FR"/>
        </w:rPr>
        <w:t>Élaboration d’une boîte à outils de sensibilisation (e.g. contenant des dépliants et des codes QR pour les vidéos) sur les ONG accréditées, préparée par le Forum des ONG du PCI, les centres de catégorie 2 et d’autres partenaires.</w:t>
      </w:r>
    </w:p>
    <w:p w14:paraId="37146DE1" w14:textId="77777777" w:rsidR="00897EF0" w:rsidRPr="00897EF0" w:rsidRDefault="00897EF0" w:rsidP="00897EF0">
      <w:pPr>
        <w:pStyle w:val="COMPara"/>
        <w:numPr>
          <w:ilvl w:val="0"/>
          <w:numId w:val="0"/>
        </w:numPr>
        <w:ind w:left="567"/>
        <w:jc w:val="both"/>
        <w:rPr>
          <w:u w:val="single"/>
          <w:lang w:val="fr-FR"/>
        </w:rPr>
      </w:pPr>
      <w:r w:rsidRPr="00897EF0">
        <w:rPr>
          <w:u w:val="single"/>
          <w:lang w:val="fr-FR"/>
        </w:rPr>
        <w:t>B : Mobiliser les ONG compétentes par le biais d’ateliers de renforcement des capacités.</w:t>
      </w:r>
    </w:p>
    <w:p w14:paraId="25C80F4E" w14:textId="77777777" w:rsidR="00897EF0" w:rsidRPr="00897EF0" w:rsidRDefault="00897EF0" w:rsidP="00897EF0">
      <w:pPr>
        <w:pStyle w:val="COMPara"/>
        <w:numPr>
          <w:ilvl w:val="0"/>
          <w:numId w:val="37"/>
        </w:numPr>
        <w:jc w:val="both"/>
        <w:rPr>
          <w:lang w:val="fr-FR"/>
        </w:rPr>
      </w:pPr>
      <w:r w:rsidRPr="00897EF0">
        <w:rPr>
          <w:lang w:val="fr-FR"/>
        </w:rPr>
        <w:t>Inclusion systématique de représentants d’ONG dans les activités de renforcement des capacités organisées par le Secrétariat.</w:t>
      </w:r>
    </w:p>
    <w:p w14:paraId="06FFF084" w14:textId="77777777" w:rsidR="00897EF0" w:rsidRPr="00897EF0" w:rsidRDefault="00897EF0" w:rsidP="00897EF0">
      <w:pPr>
        <w:pStyle w:val="COMPara"/>
        <w:numPr>
          <w:ilvl w:val="0"/>
          <w:numId w:val="37"/>
        </w:numPr>
        <w:jc w:val="both"/>
        <w:rPr>
          <w:lang w:val="fr-FR"/>
        </w:rPr>
      </w:pPr>
      <w:r w:rsidRPr="00897EF0">
        <w:rPr>
          <w:lang w:val="fr-FR"/>
        </w:rPr>
        <w:t>Encouragement du réseau de facilitateurs de la Convention de 2003 à promouvoir le processus d’accréditation et ses avantages dans toutes leurs activités de renforcement des capacités.</w:t>
      </w:r>
    </w:p>
    <w:p w14:paraId="23BAAEE1" w14:textId="77777777" w:rsidR="00897EF0" w:rsidRPr="00897EF0" w:rsidRDefault="00897EF0" w:rsidP="00897EF0">
      <w:pPr>
        <w:pStyle w:val="COMPara"/>
        <w:numPr>
          <w:ilvl w:val="0"/>
          <w:numId w:val="0"/>
        </w:numPr>
        <w:ind w:left="567"/>
        <w:jc w:val="both"/>
        <w:rPr>
          <w:u w:val="single"/>
          <w:lang w:val="fr-FR"/>
        </w:rPr>
      </w:pPr>
      <w:r w:rsidRPr="00897EF0">
        <w:rPr>
          <w:u w:val="single"/>
          <w:lang w:val="fr-FR"/>
        </w:rPr>
        <w:t>C : Renforcer la coopération avec le Forum des ONG du PCI et les centres de catégorie 2</w:t>
      </w:r>
    </w:p>
    <w:p w14:paraId="4BD3A6AF" w14:textId="77777777" w:rsidR="00897EF0" w:rsidRPr="00897EF0" w:rsidRDefault="00897EF0" w:rsidP="00897EF0">
      <w:pPr>
        <w:pStyle w:val="COMPara"/>
        <w:numPr>
          <w:ilvl w:val="0"/>
          <w:numId w:val="37"/>
        </w:numPr>
        <w:jc w:val="both"/>
        <w:rPr>
          <w:lang w:val="fr-FR"/>
        </w:rPr>
      </w:pPr>
      <w:r w:rsidRPr="00897EF0">
        <w:rPr>
          <w:lang w:val="fr-FR"/>
        </w:rPr>
        <w:t>Poursuite de la cartographie, en coopération avec le Forum des ONG du PCI, des domaines d’expertise des ONG accréditées restantes qui n’ont pas été couvertes par le premier cycle de l’exercice achevé en 2023.</w:t>
      </w:r>
    </w:p>
    <w:p w14:paraId="11AE6337" w14:textId="58664B5C" w:rsidR="00897EF0" w:rsidRPr="00897EF0" w:rsidRDefault="00897EF0" w:rsidP="00897EF0">
      <w:pPr>
        <w:pStyle w:val="COMPara"/>
        <w:numPr>
          <w:ilvl w:val="0"/>
          <w:numId w:val="37"/>
        </w:numPr>
        <w:jc w:val="both"/>
        <w:rPr>
          <w:lang w:val="fr-FR"/>
        </w:rPr>
      </w:pPr>
      <w:r w:rsidRPr="00897EF0">
        <w:rPr>
          <w:lang w:val="fr-FR"/>
        </w:rPr>
        <w:lastRenderedPageBreak/>
        <w:t xml:space="preserve">Consultations régulières entre le Forum des ONG du PCI, les centres de catégorie 2 et le </w:t>
      </w:r>
      <w:r w:rsidR="0097319A">
        <w:rPr>
          <w:lang w:val="fr-FR"/>
        </w:rPr>
        <w:t>S</w:t>
      </w:r>
      <w:r w:rsidRPr="00897EF0">
        <w:rPr>
          <w:lang w:val="fr-FR"/>
        </w:rPr>
        <w:t xml:space="preserve">ecrétariat sur les questions liées à la représentation déséquilibrée des ONG accréditées dans le cadre de la </w:t>
      </w:r>
      <w:r w:rsidR="0097319A">
        <w:rPr>
          <w:lang w:val="fr-FR"/>
        </w:rPr>
        <w:t>C</w:t>
      </w:r>
      <w:r w:rsidRPr="00897EF0">
        <w:rPr>
          <w:lang w:val="fr-FR"/>
        </w:rPr>
        <w:t>onvention de 2003.</w:t>
      </w:r>
    </w:p>
    <w:p w14:paraId="6A20EE13" w14:textId="77777777" w:rsidR="00897EF0" w:rsidRPr="00897EF0" w:rsidRDefault="00897EF0" w:rsidP="00897EF0">
      <w:pPr>
        <w:pStyle w:val="COMPara"/>
        <w:numPr>
          <w:ilvl w:val="0"/>
          <w:numId w:val="0"/>
        </w:numPr>
        <w:ind w:left="567"/>
        <w:jc w:val="both"/>
        <w:rPr>
          <w:u w:val="single"/>
          <w:lang w:val="fr-FR"/>
        </w:rPr>
      </w:pPr>
      <w:r w:rsidRPr="00897EF0">
        <w:rPr>
          <w:u w:val="single"/>
          <w:lang w:val="fr-FR"/>
        </w:rPr>
        <w:t>D. Cibler les ONG non accréditées dans les régions sous-représentées</w:t>
      </w:r>
    </w:p>
    <w:p w14:paraId="0C5A387B" w14:textId="77777777" w:rsidR="00897EF0" w:rsidRPr="00897EF0" w:rsidRDefault="00897EF0" w:rsidP="00897EF0">
      <w:pPr>
        <w:pStyle w:val="COMPara"/>
        <w:numPr>
          <w:ilvl w:val="0"/>
          <w:numId w:val="37"/>
        </w:numPr>
        <w:jc w:val="both"/>
        <w:rPr>
          <w:u w:val="single"/>
          <w:lang w:val="fr-FR"/>
        </w:rPr>
      </w:pPr>
      <w:r w:rsidRPr="00897EF0">
        <w:rPr>
          <w:lang w:val="fr-FR"/>
        </w:rPr>
        <w:t>Mise en place de réseaux nationaux et sous-régionaux d’ONG accréditées qui peuvent être encouragées à identifier des ONG non accréditées susceptibles de fournir des services consultatifs au Comité dans les domaines prioritaires pour le développement futur de la Convention.</w:t>
      </w:r>
    </w:p>
    <w:p w14:paraId="7C357789" w14:textId="3BB154D8" w:rsidR="00897EF0" w:rsidRPr="00897EF0" w:rsidRDefault="00897EF0" w:rsidP="00897EF0">
      <w:pPr>
        <w:pStyle w:val="COMPara"/>
        <w:numPr>
          <w:ilvl w:val="0"/>
          <w:numId w:val="37"/>
        </w:numPr>
        <w:jc w:val="both"/>
        <w:rPr>
          <w:u w:val="single"/>
          <w:lang w:val="fr-FR"/>
        </w:rPr>
      </w:pPr>
      <w:r w:rsidRPr="00897EF0">
        <w:rPr>
          <w:lang w:val="fr-FR"/>
        </w:rPr>
        <w:t>Création de bases de données nationales et sous-régionales d’ONG non</w:t>
      </w:r>
      <w:r w:rsidR="0097319A">
        <w:rPr>
          <w:lang w:val="fr-FR"/>
        </w:rPr>
        <w:t>-</w:t>
      </w:r>
      <w:r w:rsidRPr="00897EF0">
        <w:rPr>
          <w:lang w:val="fr-FR"/>
        </w:rPr>
        <w:t>accréditées susceptibles de fournir des assistances consultatives afin de les inviter à des ateliers de renforcement des capacités et à des réunions d’information sur le processus d’accréditation et ses avantages.</w:t>
      </w:r>
    </w:p>
    <w:p w14:paraId="2A37AD18" w14:textId="77777777" w:rsidR="00897EF0" w:rsidRPr="00897EF0" w:rsidRDefault="00897EF0" w:rsidP="00897EF0">
      <w:pPr>
        <w:pStyle w:val="COMPara"/>
        <w:ind w:left="567" w:hanging="567"/>
        <w:jc w:val="both"/>
        <w:rPr>
          <w:lang w:val="fr-FR"/>
        </w:rPr>
      </w:pPr>
      <w:r w:rsidRPr="00897EF0">
        <w:rPr>
          <w:lang w:val="fr-FR"/>
        </w:rPr>
        <w:t>Les actions susmentionnées pourraient se concentrer d’abord sur les groupes électoraux ayant un pourcentage plus faible d’ONG accréditées avant d’être étendues à d’autres groupes. En termes de ressources financières, certaines actions sont déjà intégrées dans les activités en cours du Secrétariat, tandis que d’autres peuvent être soutenues par différentes lignes budgétaires du Fonds du patrimoine culturel immatériel ou nécessiter la mobilisation d’un soutien supplémentaire :</w:t>
      </w:r>
    </w:p>
    <w:p w14:paraId="34F841F8" w14:textId="77777777" w:rsidR="00897EF0" w:rsidRPr="00897EF0" w:rsidRDefault="00897EF0" w:rsidP="00897EF0">
      <w:pPr>
        <w:pStyle w:val="COMPara"/>
        <w:numPr>
          <w:ilvl w:val="0"/>
          <w:numId w:val="46"/>
        </w:numPr>
        <w:jc w:val="both"/>
        <w:rPr>
          <w:lang w:val="fr-FR"/>
        </w:rPr>
      </w:pPr>
      <w:r w:rsidRPr="00897EF0">
        <w:rPr>
          <w:lang w:val="fr-FR"/>
        </w:rPr>
        <w:t>Pilier A : Couvert par la ligne budgétaire 3 « Autres fonctions du Comité » du Fonds ;</w:t>
      </w:r>
    </w:p>
    <w:p w14:paraId="33078F2D" w14:textId="39A9ADA7" w:rsidR="00897EF0" w:rsidRPr="00897EF0" w:rsidRDefault="00897EF0" w:rsidP="00897EF0">
      <w:pPr>
        <w:pStyle w:val="COMPara"/>
        <w:numPr>
          <w:ilvl w:val="0"/>
          <w:numId w:val="46"/>
        </w:numPr>
        <w:jc w:val="both"/>
        <w:rPr>
          <w:lang w:val="fr-FR"/>
        </w:rPr>
      </w:pPr>
      <w:r w:rsidRPr="00897EF0">
        <w:rPr>
          <w:lang w:val="fr-FR"/>
        </w:rPr>
        <w:t xml:space="preserve">Pilier B : Déjà </w:t>
      </w:r>
      <w:r w:rsidR="0097319A">
        <w:rPr>
          <w:lang w:val="fr-FR"/>
        </w:rPr>
        <w:t>intégrée aux</w:t>
      </w:r>
      <w:r w:rsidRPr="00897EF0">
        <w:rPr>
          <w:lang w:val="fr-FR"/>
        </w:rPr>
        <w:t xml:space="preserve"> activités de renforcement des capacités en cours soutenues par diverses sources de financement et à rendre plus systématiques ;</w:t>
      </w:r>
    </w:p>
    <w:p w14:paraId="440C8125" w14:textId="6CEC7512" w:rsidR="00897EF0" w:rsidRPr="00897EF0" w:rsidRDefault="00897EF0" w:rsidP="00897EF0">
      <w:pPr>
        <w:pStyle w:val="COMPara"/>
        <w:numPr>
          <w:ilvl w:val="0"/>
          <w:numId w:val="46"/>
        </w:numPr>
        <w:jc w:val="both"/>
        <w:rPr>
          <w:lang w:val="fr-FR"/>
        </w:rPr>
      </w:pPr>
      <w:r w:rsidRPr="00897EF0">
        <w:rPr>
          <w:lang w:val="fr-FR"/>
        </w:rPr>
        <w:t xml:space="preserve">Pilier C : Déjà </w:t>
      </w:r>
      <w:r w:rsidR="0097319A">
        <w:rPr>
          <w:lang w:val="fr-FR"/>
        </w:rPr>
        <w:t>intégrée aux</w:t>
      </w:r>
      <w:r w:rsidRPr="00897EF0">
        <w:rPr>
          <w:lang w:val="fr-FR"/>
        </w:rPr>
        <w:t xml:space="preserve"> activités de sensibilisation en cours soutenues par diverses sources de financement et à </w:t>
      </w:r>
      <w:r w:rsidR="0097319A">
        <w:rPr>
          <w:lang w:val="fr-FR"/>
        </w:rPr>
        <w:t>développer</w:t>
      </w:r>
      <w:r w:rsidRPr="00897EF0">
        <w:rPr>
          <w:lang w:val="fr-FR"/>
        </w:rPr>
        <w:t xml:space="preserve"> davantage ;</w:t>
      </w:r>
    </w:p>
    <w:p w14:paraId="2EC35371" w14:textId="77777777" w:rsidR="00897EF0" w:rsidRPr="00897EF0" w:rsidRDefault="00897EF0" w:rsidP="00897EF0">
      <w:pPr>
        <w:pStyle w:val="COMPara"/>
        <w:numPr>
          <w:ilvl w:val="0"/>
          <w:numId w:val="46"/>
        </w:numPr>
        <w:jc w:val="both"/>
        <w:rPr>
          <w:lang w:val="fr-FR"/>
        </w:rPr>
      </w:pPr>
      <w:r w:rsidRPr="00897EF0">
        <w:rPr>
          <w:lang w:val="fr-FR"/>
        </w:rPr>
        <w:t>Pilier D : Couvert par la ligne budgétaire 7 « Services consultatifs au Comité » du Fonds pour les activités initiales, et à renforcer par des contributions volontaires supplémentaires.</w:t>
      </w:r>
    </w:p>
    <w:p w14:paraId="1664D837" w14:textId="77777777" w:rsidR="00897EF0" w:rsidRPr="00897EF0" w:rsidRDefault="00897EF0" w:rsidP="00897EF0">
      <w:pPr>
        <w:pStyle w:val="COMPara"/>
        <w:ind w:left="567" w:hanging="567"/>
        <w:jc w:val="both"/>
        <w:rPr>
          <w:lang w:val="fr-FR"/>
        </w:rPr>
      </w:pPr>
      <w:r w:rsidRPr="00897EF0">
        <w:rPr>
          <w:lang w:val="fr-FR"/>
        </w:rPr>
        <w:t xml:space="preserve">De plus amples informations sur l’utilisation des ressources du Fonds du patrimoine culturel immatériel sont présentées au point 8 (document </w:t>
      </w:r>
      <w:hyperlink r:id="rId28" w:history="1">
        <w:r w:rsidRPr="00897EF0">
          <w:rPr>
            <w:rStyle w:val="Lienhypertexte"/>
            <w:lang w:val="fr-FR"/>
          </w:rPr>
          <w:t>LHE/24/10.GA/8</w:t>
        </w:r>
      </w:hyperlink>
      <w:r w:rsidRPr="00897EF0">
        <w:rPr>
          <w:lang w:val="fr-FR"/>
        </w:rPr>
        <w:t>). Les États parties peuvent également être invités à apporter un soutien financier aux actions proposées selon la modalité de leur choix. Il est en outre proposé de mettre en œuvre le plan à titre expérimental et de rendre compte des résultats à la vingtième session du Comité en 2025 et à la onzième session de l’Assemblée générale en 2026.</w:t>
      </w:r>
    </w:p>
    <w:p w14:paraId="35C7785E" w14:textId="77777777" w:rsidR="00897EF0" w:rsidRPr="00897EF0" w:rsidRDefault="00897EF0" w:rsidP="00897EF0">
      <w:pPr>
        <w:pStyle w:val="COMPara"/>
        <w:numPr>
          <w:ilvl w:val="0"/>
          <w:numId w:val="0"/>
        </w:numPr>
        <w:spacing w:before="240"/>
        <w:jc w:val="both"/>
        <w:rPr>
          <w:b/>
          <w:bCs/>
          <w:lang w:val="fr-FR"/>
        </w:rPr>
      </w:pPr>
      <w:r w:rsidRPr="00897EF0">
        <w:rPr>
          <w:b/>
          <w:bCs/>
          <w:lang w:val="fr-FR"/>
        </w:rPr>
        <w:t>Considérations</w:t>
      </w:r>
    </w:p>
    <w:p w14:paraId="40618571" w14:textId="77777777" w:rsidR="00897EF0" w:rsidRPr="00897EF0" w:rsidRDefault="00897EF0" w:rsidP="00897EF0">
      <w:pPr>
        <w:pStyle w:val="COMPara"/>
        <w:ind w:left="567" w:hanging="567"/>
        <w:jc w:val="both"/>
        <w:rPr>
          <w:lang w:val="fr-FR"/>
        </w:rPr>
      </w:pPr>
      <w:r w:rsidRPr="00897EF0">
        <w:rPr>
          <w:lang w:val="fr-FR"/>
        </w:rPr>
        <w:t>Si le déséquilibre de la répartition géographique des ONG accréditées reste très préoccupant, il convient également de noter que les tendances récentes montrent une amélioration, reflétant les efforts déployés par les parties prenantes de la Convention au cours des derniers cycles pour encourager les demandes d’accréditation émanant de régions sous-représentées. D’un point de vue statistique, si les cinquante-huit demandes d’accréditation présentées à la présente session de l’Assemblée générale sont toutes acceptées, la proportion d’ONG accréditées du groupe électoral I tombera en dessous de 50 % du nombre total d’ONG accréditées pour la première fois depuis la mise en œuvre du système d’accréditation. Les nouvelles actions à entreprendre s’appuieront sur cette situation positive.</w:t>
      </w:r>
    </w:p>
    <w:p w14:paraId="78490AFA" w14:textId="77777777" w:rsidR="00897EF0" w:rsidRPr="00897EF0" w:rsidRDefault="00897EF0" w:rsidP="00897EF0">
      <w:pPr>
        <w:pStyle w:val="COMPara"/>
        <w:ind w:left="567" w:hanging="567"/>
        <w:rPr>
          <w:lang w:val="fr-FR"/>
        </w:rPr>
      </w:pPr>
      <w:r w:rsidRPr="00897EF0">
        <w:rPr>
          <w:lang w:val="fr-FR"/>
        </w:rPr>
        <w:t>L’Assemblée générale souhaitera peut-être adopter la résolution suivante :</w:t>
      </w:r>
    </w:p>
    <w:p w14:paraId="25370B3D" w14:textId="77777777" w:rsidR="00897EF0" w:rsidRPr="00897EF0" w:rsidRDefault="00897EF0" w:rsidP="00897EF0">
      <w:pPr>
        <w:pStyle w:val="COMTitleDecision"/>
        <w:rPr>
          <w:rFonts w:eastAsia="SimSun"/>
          <w:lang w:val="fr-FR"/>
        </w:rPr>
      </w:pPr>
      <w:r w:rsidRPr="00897EF0">
        <w:rPr>
          <w:lang w:val="fr-FR"/>
        </w:rPr>
        <w:t>PROJET DE RÉSOLUTION 10.GA 9 Add.</w:t>
      </w:r>
    </w:p>
    <w:p w14:paraId="4BB6E4B9" w14:textId="77777777" w:rsidR="00897EF0" w:rsidRPr="00897EF0" w:rsidRDefault="00897EF0" w:rsidP="00897EF0">
      <w:pPr>
        <w:pStyle w:val="COMPreambulaDecisions"/>
        <w:rPr>
          <w:rFonts w:eastAsia="SimSun"/>
          <w:lang w:val="fr-FR"/>
        </w:rPr>
      </w:pPr>
      <w:r w:rsidRPr="00897EF0">
        <w:rPr>
          <w:lang w:val="fr-FR"/>
        </w:rPr>
        <w:t>L’Assemblée générale,</w:t>
      </w:r>
    </w:p>
    <w:p w14:paraId="42716493" w14:textId="77777777" w:rsidR="00897EF0" w:rsidRPr="005252E6" w:rsidRDefault="00897EF0" w:rsidP="005252E6">
      <w:pPr>
        <w:pStyle w:val="COMParaDecision"/>
        <w:numPr>
          <w:ilvl w:val="0"/>
          <w:numId w:val="49"/>
        </w:numPr>
        <w:ind w:left="1134" w:hanging="567"/>
        <w:rPr>
          <w:lang w:val="fr-FR"/>
        </w:rPr>
      </w:pPr>
      <w:r w:rsidRPr="005252E6">
        <w:rPr>
          <w:lang w:val="fr-FR"/>
        </w:rPr>
        <w:t>Ayant examiné</w:t>
      </w:r>
      <w:r w:rsidRPr="005252E6">
        <w:rPr>
          <w:u w:val="none"/>
          <w:lang w:val="fr-FR"/>
        </w:rPr>
        <w:t xml:space="preserve"> le document LHE/24/10.GA/9 Add.,</w:t>
      </w:r>
    </w:p>
    <w:p w14:paraId="132C2D4D" w14:textId="77777777" w:rsidR="00897EF0" w:rsidRPr="00897EF0" w:rsidRDefault="00897EF0" w:rsidP="00897EF0">
      <w:pPr>
        <w:pStyle w:val="COMParaDecision"/>
        <w:ind w:left="1134" w:hanging="567"/>
        <w:rPr>
          <w:lang w:val="fr-FR"/>
        </w:rPr>
      </w:pPr>
      <w:r w:rsidRPr="00897EF0">
        <w:rPr>
          <w:lang w:val="fr-FR"/>
        </w:rPr>
        <w:lastRenderedPageBreak/>
        <w:t>Rappelant</w:t>
      </w:r>
      <w:r w:rsidRPr="00897EF0">
        <w:rPr>
          <w:u w:val="none"/>
          <w:lang w:val="fr-FR"/>
        </w:rPr>
        <w:t xml:space="preserve"> les résolutions </w:t>
      </w:r>
      <w:hyperlink r:id="rId29" w:history="1">
        <w:r w:rsidRPr="00897EF0">
          <w:rPr>
            <w:rStyle w:val="Lienhypertexte"/>
            <w:lang w:val="fr-FR"/>
          </w:rPr>
          <w:t>8.GA 12</w:t>
        </w:r>
      </w:hyperlink>
      <w:r w:rsidRPr="00897EF0">
        <w:rPr>
          <w:rStyle w:val="Lienhypertexte"/>
          <w:color w:val="auto"/>
          <w:u w:val="none"/>
          <w:lang w:val="fr-FR"/>
        </w:rPr>
        <w:t xml:space="preserve"> et </w:t>
      </w:r>
      <w:hyperlink r:id="rId30" w:history="1">
        <w:r w:rsidRPr="00897EF0">
          <w:rPr>
            <w:rStyle w:val="Lienhypertexte"/>
            <w:lang w:val="fr-FR"/>
          </w:rPr>
          <w:t>9.GA 7</w:t>
        </w:r>
      </w:hyperlink>
      <w:r w:rsidRPr="00897EF0">
        <w:rPr>
          <w:u w:val="none"/>
          <w:lang w:val="fr-FR"/>
        </w:rPr>
        <w:t xml:space="preserve"> ainsi que les décisions </w:t>
      </w:r>
      <w:hyperlink r:id="rId31" w:history="1">
        <w:r w:rsidRPr="00897EF0">
          <w:rPr>
            <w:rStyle w:val="Lienhypertexte"/>
            <w:lang w:val="fr-FR"/>
          </w:rPr>
          <w:t>12.COM 13</w:t>
        </w:r>
      </w:hyperlink>
      <w:r w:rsidRPr="00897EF0">
        <w:rPr>
          <w:u w:val="none"/>
          <w:lang w:val="fr-FR"/>
        </w:rPr>
        <w:t xml:space="preserve">, </w:t>
      </w:r>
      <w:hyperlink r:id="rId32" w:history="1">
        <w:r w:rsidRPr="00897EF0">
          <w:rPr>
            <w:rStyle w:val="Lienhypertexte"/>
            <w:lang w:val="fr-FR"/>
          </w:rPr>
          <w:t>12.COM 17</w:t>
        </w:r>
      </w:hyperlink>
      <w:r w:rsidRPr="00897EF0">
        <w:rPr>
          <w:u w:val="none"/>
          <w:lang w:val="fr-FR"/>
        </w:rPr>
        <w:t xml:space="preserve">, </w:t>
      </w:r>
      <w:hyperlink r:id="rId33" w:history="1">
        <w:r w:rsidRPr="00897EF0">
          <w:rPr>
            <w:rStyle w:val="Lienhypertexte"/>
            <w:lang w:val="fr-FR"/>
          </w:rPr>
          <w:t>14.COM 15</w:t>
        </w:r>
      </w:hyperlink>
      <w:r w:rsidRPr="00897EF0">
        <w:rPr>
          <w:rStyle w:val="Lienhypertexte"/>
          <w:color w:val="auto"/>
          <w:u w:val="none"/>
          <w:lang w:val="fr-FR"/>
        </w:rPr>
        <w:t xml:space="preserve"> et </w:t>
      </w:r>
      <w:hyperlink r:id="rId34" w:history="1">
        <w:r w:rsidRPr="00897EF0">
          <w:rPr>
            <w:rStyle w:val="Lienhypertexte"/>
            <w:lang w:val="fr-FR"/>
          </w:rPr>
          <w:t>18.COM 15</w:t>
        </w:r>
      </w:hyperlink>
      <w:r w:rsidRPr="00897EF0">
        <w:rPr>
          <w:rStyle w:val="Lienhypertexte"/>
          <w:color w:val="auto"/>
          <w:u w:val="none"/>
          <w:lang w:val="fr-FR"/>
        </w:rPr>
        <w:t>,</w:t>
      </w:r>
    </w:p>
    <w:p w14:paraId="20D2AAE8" w14:textId="263B95B1" w:rsidR="00897EF0" w:rsidRPr="00897EF0" w:rsidRDefault="00897EF0" w:rsidP="00897EF0">
      <w:pPr>
        <w:pStyle w:val="COMParaDecision"/>
        <w:ind w:left="1134" w:hanging="567"/>
        <w:rPr>
          <w:u w:val="none"/>
          <w:lang w:val="fr-FR"/>
        </w:rPr>
      </w:pPr>
      <w:r w:rsidRPr="00897EF0">
        <w:rPr>
          <w:lang w:val="fr-FR"/>
        </w:rPr>
        <w:t>Prend note</w:t>
      </w:r>
      <w:r w:rsidRPr="00897EF0">
        <w:rPr>
          <w:u w:val="none"/>
          <w:lang w:val="fr-FR"/>
        </w:rPr>
        <w:t xml:space="preserve"> du plan proposé pour assurer l’équilibre géographique parmi les ONG accréditées au titre de la Convention de 2003, y compris les ressources financières pertinentes identifiées à titre expérimental, et </w:t>
      </w:r>
      <w:r w:rsidRPr="00897EF0">
        <w:rPr>
          <w:lang w:val="fr-FR"/>
        </w:rPr>
        <w:t>remercie</w:t>
      </w:r>
      <w:r w:rsidRPr="00897EF0">
        <w:rPr>
          <w:u w:val="none"/>
          <w:lang w:val="fr-FR"/>
        </w:rPr>
        <w:t xml:space="preserve"> les États parties, le Forum des ONG du PCI, les centres de catégorie 2 et les autres parties prenantes d’avoir </w:t>
      </w:r>
      <w:r w:rsidR="0097319A">
        <w:rPr>
          <w:u w:val="none"/>
          <w:lang w:val="fr-FR"/>
        </w:rPr>
        <w:t>exprimé</w:t>
      </w:r>
      <w:r w:rsidRPr="00897EF0">
        <w:rPr>
          <w:u w:val="none"/>
          <w:lang w:val="fr-FR"/>
        </w:rPr>
        <w:t xml:space="preserve"> leurs points de vue dans le cadre du processus de consultation ;</w:t>
      </w:r>
    </w:p>
    <w:p w14:paraId="4CF34825" w14:textId="5B55F751" w:rsidR="00897EF0" w:rsidRPr="00897EF0" w:rsidRDefault="00897EF0" w:rsidP="00897EF0">
      <w:pPr>
        <w:pStyle w:val="COMParaDecision"/>
        <w:ind w:left="1134" w:hanging="567"/>
        <w:rPr>
          <w:u w:val="none"/>
          <w:lang w:val="fr-FR"/>
        </w:rPr>
      </w:pPr>
      <w:r w:rsidRPr="00897EF0">
        <w:rPr>
          <w:lang w:val="fr-FR"/>
        </w:rPr>
        <w:t>Encourage</w:t>
      </w:r>
      <w:r w:rsidRPr="00897EF0">
        <w:rPr>
          <w:u w:val="none"/>
          <w:lang w:val="fr-FR"/>
        </w:rPr>
        <w:t xml:space="preserve"> le </w:t>
      </w:r>
      <w:r w:rsidR="0097319A">
        <w:rPr>
          <w:u w:val="none"/>
          <w:lang w:val="fr-FR"/>
        </w:rPr>
        <w:t>S</w:t>
      </w:r>
      <w:r w:rsidRPr="00897EF0">
        <w:rPr>
          <w:u w:val="none"/>
          <w:lang w:val="fr-FR"/>
        </w:rPr>
        <w:t>ecrétariat, le Forum des ONG du PCI, les centres de catégorie 2 et les autres parties prenantes à mettre en œuvre le plan susmentionné ;</w:t>
      </w:r>
    </w:p>
    <w:p w14:paraId="681A5B51" w14:textId="6774F547" w:rsidR="00B160C3" w:rsidRPr="00897EF0" w:rsidRDefault="00897EF0" w:rsidP="005252E6">
      <w:pPr>
        <w:pStyle w:val="COMParaDecision"/>
        <w:ind w:left="1134" w:hanging="567"/>
        <w:rPr>
          <w:u w:val="none"/>
          <w:lang w:val="fr-FR"/>
        </w:rPr>
      </w:pPr>
      <w:r w:rsidRPr="00897EF0">
        <w:rPr>
          <w:lang w:val="fr-FR"/>
        </w:rPr>
        <w:t>Demande</w:t>
      </w:r>
      <w:r w:rsidRPr="00897EF0">
        <w:rPr>
          <w:u w:val="none"/>
          <w:lang w:val="fr-FR"/>
        </w:rPr>
        <w:t xml:space="preserve"> au Secrétariat de rendre compte des résultats des actions entreprises pour examen lors de la vingtième session du Comité en 2025 et de la onzième session de l’Assemblée générale en 2026.</w:t>
      </w:r>
    </w:p>
    <w:sectPr w:rsidR="00B160C3" w:rsidRPr="00897EF0" w:rsidSect="00DD751E">
      <w:headerReference w:type="even" r:id="rId35"/>
      <w:headerReference w:type="default" r:id="rId36"/>
      <w:headerReference w:type="first" r:id="rId37"/>
      <w:footnotePr>
        <w:numRestart w:val="eachSect"/>
      </w:footnotePr>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74E34" w14:textId="77777777" w:rsidR="002609D4" w:rsidRDefault="002609D4" w:rsidP="00655736">
      <w:r>
        <w:separator/>
      </w:r>
    </w:p>
  </w:endnote>
  <w:endnote w:type="continuationSeparator" w:id="0">
    <w:p w14:paraId="5F8AD924" w14:textId="77777777" w:rsidR="002609D4" w:rsidRDefault="002609D4"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3EF81" w14:textId="77777777" w:rsidR="002609D4" w:rsidRDefault="002609D4" w:rsidP="00655736">
      <w:r>
        <w:separator/>
      </w:r>
    </w:p>
  </w:footnote>
  <w:footnote w:type="continuationSeparator" w:id="0">
    <w:p w14:paraId="45FCA03F" w14:textId="77777777" w:rsidR="002609D4" w:rsidRDefault="002609D4" w:rsidP="00655736">
      <w:r>
        <w:continuationSeparator/>
      </w:r>
    </w:p>
  </w:footnote>
  <w:footnote w:id="1">
    <w:p w14:paraId="56C84117" w14:textId="77777777" w:rsidR="00DD751E" w:rsidRPr="00757FCF" w:rsidRDefault="00DD751E" w:rsidP="00582E1B">
      <w:pPr>
        <w:pStyle w:val="Notedebasdepage"/>
        <w:tabs>
          <w:tab w:val="left" w:pos="567"/>
        </w:tabs>
        <w:ind w:left="567" w:hanging="567"/>
        <w:jc w:val="both"/>
        <w:rPr>
          <w:rFonts w:asciiTheme="minorBidi" w:hAnsiTheme="minorBidi" w:cstheme="minorBidi"/>
          <w:sz w:val="18"/>
          <w:szCs w:val="18"/>
        </w:rPr>
      </w:pPr>
      <w:r w:rsidRPr="00757FCF">
        <w:rPr>
          <w:rStyle w:val="Appelnotedebasdep"/>
          <w:rFonts w:asciiTheme="minorBidi" w:hAnsiTheme="minorBidi" w:cstheme="minorBidi"/>
          <w:sz w:val="18"/>
          <w:szCs w:val="18"/>
        </w:rPr>
        <w:footnoteRef/>
      </w:r>
      <w:r w:rsidRPr="00757FCF">
        <w:rPr>
          <w:rFonts w:asciiTheme="minorBidi" w:hAnsiTheme="minorBidi" w:cstheme="minorBidi"/>
          <w:bCs/>
          <w:snapToGrid w:val="0"/>
          <w:sz w:val="18"/>
          <w:szCs w:val="18"/>
          <w:lang w:eastAsia="en-US"/>
        </w:rPr>
        <w:t xml:space="preserve"> </w:t>
      </w:r>
      <w:r w:rsidRPr="00757FCF">
        <w:rPr>
          <w:rFonts w:asciiTheme="minorBidi" w:hAnsiTheme="minorBidi" w:cstheme="minorBidi"/>
          <w:bCs/>
          <w:snapToGrid w:val="0"/>
          <w:sz w:val="18"/>
          <w:szCs w:val="18"/>
          <w:lang w:eastAsia="en-US"/>
        </w:rPr>
        <w:tab/>
        <w:t xml:space="preserve">L'Assemblée générale a accrédité 300 organisations (97 par la </w:t>
      </w:r>
      <w:r>
        <w:rPr>
          <w:rFonts w:asciiTheme="minorBidi" w:hAnsiTheme="minorBidi" w:cstheme="minorBidi"/>
          <w:bCs/>
          <w:snapToGrid w:val="0"/>
          <w:sz w:val="18"/>
          <w:szCs w:val="18"/>
          <w:lang w:eastAsia="en-US"/>
        </w:rPr>
        <w:t>r</w:t>
      </w:r>
      <w:r w:rsidRPr="00757FCF">
        <w:rPr>
          <w:rFonts w:asciiTheme="minorBidi" w:hAnsiTheme="minorBidi" w:cstheme="minorBidi"/>
          <w:bCs/>
          <w:snapToGrid w:val="0"/>
          <w:sz w:val="18"/>
          <w:szCs w:val="18"/>
          <w:lang w:eastAsia="en-US"/>
        </w:rPr>
        <w:t xml:space="preserve">ésolution </w:t>
      </w:r>
      <w:hyperlink r:id="rId1" w:history="1">
        <w:r w:rsidRPr="00757FCF">
          <w:rPr>
            <w:rStyle w:val="Lienhypertexte"/>
            <w:rFonts w:asciiTheme="minorBidi" w:hAnsiTheme="minorBidi" w:cstheme="minorBidi"/>
            <w:bCs/>
            <w:snapToGrid w:val="0"/>
            <w:sz w:val="18"/>
            <w:szCs w:val="18"/>
            <w:lang w:eastAsia="en-US"/>
          </w:rPr>
          <w:t>3.GA 7</w:t>
        </w:r>
      </w:hyperlink>
      <w:r w:rsidRPr="00757FCF">
        <w:rPr>
          <w:rFonts w:asciiTheme="minorBidi" w:hAnsiTheme="minorBidi" w:cstheme="minorBidi"/>
          <w:bCs/>
          <w:snapToGrid w:val="0"/>
          <w:sz w:val="18"/>
          <w:szCs w:val="18"/>
          <w:lang w:eastAsia="en-US"/>
        </w:rPr>
        <w:t xml:space="preserve">, 59 par la </w:t>
      </w:r>
      <w:r>
        <w:rPr>
          <w:rFonts w:asciiTheme="minorBidi" w:hAnsiTheme="minorBidi" w:cstheme="minorBidi"/>
          <w:bCs/>
          <w:snapToGrid w:val="0"/>
          <w:sz w:val="18"/>
          <w:szCs w:val="18"/>
          <w:lang w:eastAsia="en-US"/>
        </w:rPr>
        <w:t>r</w:t>
      </w:r>
      <w:r w:rsidRPr="00757FCF">
        <w:rPr>
          <w:rFonts w:asciiTheme="minorBidi" w:hAnsiTheme="minorBidi" w:cstheme="minorBidi"/>
          <w:bCs/>
          <w:snapToGrid w:val="0"/>
          <w:sz w:val="18"/>
          <w:szCs w:val="18"/>
          <w:lang w:eastAsia="en-US"/>
        </w:rPr>
        <w:t xml:space="preserve">ésolution </w:t>
      </w:r>
      <w:hyperlink r:id="rId2" w:history="1">
        <w:r w:rsidRPr="00757FCF">
          <w:rPr>
            <w:rStyle w:val="Lienhypertexte"/>
            <w:rFonts w:asciiTheme="minorBidi" w:hAnsiTheme="minorBidi" w:cstheme="minorBidi"/>
            <w:bCs/>
            <w:snapToGrid w:val="0"/>
            <w:sz w:val="18"/>
            <w:szCs w:val="18"/>
            <w:lang w:eastAsia="en-US"/>
          </w:rPr>
          <w:t>4.GA 6</w:t>
        </w:r>
      </w:hyperlink>
      <w:r w:rsidRPr="00757FCF">
        <w:rPr>
          <w:rFonts w:asciiTheme="minorBidi" w:hAnsiTheme="minorBidi" w:cstheme="minorBidi"/>
          <w:bCs/>
          <w:snapToGrid w:val="0"/>
          <w:sz w:val="18"/>
          <w:szCs w:val="18"/>
          <w:lang w:eastAsia="en-US"/>
        </w:rPr>
        <w:t>, 22</w:t>
      </w:r>
      <w:r>
        <w:rPr>
          <w:rFonts w:asciiTheme="minorBidi" w:hAnsiTheme="minorBidi" w:cstheme="minorBidi"/>
          <w:bCs/>
          <w:snapToGrid w:val="0"/>
          <w:sz w:val="18"/>
          <w:szCs w:val="18"/>
          <w:lang w:eastAsia="en-US"/>
        </w:rPr>
        <w:t> </w:t>
      </w:r>
      <w:r w:rsidRPr="00757FCF">
        <w:rPr>
          <w:rFonts w:asciiTheme="minorBidi" w:hAnsiTheme="minorBidi" w:cstheme="minorBidi"/>
          <w:bCs/>
          <w:snapToGrid w:val="0"/>
          <w:sz w:val="18"/>
          <w:szCs w:val="18"/>
          <w:lang w:eastAsia="en-US"/>
        </w:rPr>
        <w:t xml:space="preserve">par la </w:t>
      </w:r>
      <w:r>
        <w:rPr>
          <w:rFonts w:asciiTheme="minorBidi" w:hAnsiTheme="minorBidi" w:cstheme="minorBidi"/>
          <w:bCs/>
          <w:snapToGrid w:val="0"/>
          <w:sz w:val="18"/>
          <w:szCs w:val="18"/>
          <w:lang w:eastAsia="en-US"/>
        </w:rPr>
        <w:t>r</w:t>
      </w:r>
      <w:r w:rsidRPr="00757FCF">
        <w:rPr>
          <w:rFonts w:asciiTheme="minorBidi" w:hAnsiTheme="minorBidi" w:cstheme="minorBidi"/>
          <w:bCs/>
          <w:snapToGrid w:val="0"/>
          <w:sz w:val="18"/>
          <w:szCs w:val="18"/>
          <w:lang w:eastAsia="en-US"/>
        </w:rPr>
        <w:t xml:space="preserve">ésolution </w:t>
      </w:r>
      <w:hyperlink r:id="rId3" w:history="1">
        <w:r w:rsidRPr="00757FCF">
          <w:rPr>
            <w:rStyle w:val="Lienhypertexte"/>
            <w:rFonts w:asciiTheme="minorBidi" w:hAnsiTheme="minorBidi" w:cstheme="minorBidi"/>
            <w:bCs/>
            <w:snapToGrid w:val="0"/>
            <w:sz w:val="18"/>
            <w:szCs w:val="18"/>
            <w:lang w:eastAsia="en-US"/>
          </w:rPr>
          <w:t>5.GA 6</w:t>
        </w:r>
      </w:hyperlink>
      <w:r w:rsidRPr="00757FCF">
        <w:rPr>
          <w:rFonts w:asciiTheme="minorBidi" w:hAnsiTheme="minorBidi" w:cstheme="minorBidi"/>
          <w:bCs/>
          <w:snapToGrid w:val="0"/>
          <w:sz w:val="18"/>
          <w:szCs w:val="18"/>
          <w:lang w:eastAsia="en-US"/>
        </w:rPr>
        <w:t xml:space="preserve">, 24 par la </w:t>
      </w:r>
      <w:r>
        <w:rPr>
          <w:rFonts w:asciiTheme="minorBidi" w:hAnsiTheme="minorBidi" w:cstheme="minorBidi"/>
          <w:bCs/>
          <w:snapToGrid w:val="0"/>
          <w:sz w:val="18"/>
          <w:szCs w:val="18"/>
          <w:lang w:eastAsia="en-US"/>
        </w:rPr>
        <w:t>r</w:t>
      </w:r>
      <w:r w:rsidRPr="00757FCF">
        <w:rPr>
          <w:rFonts w:asciiTheme="minorBidi" w:hAnsiTheme="minorBidi" w:cstheme="minorBidi"/>
          <w:bCs/>
          <w:snapToGrid w:val="0"/>
          <w:sz w:val="18"/>
          <w:szCs w:val="18"/>
          <w:lang w:eastAsia="en-US"/>
        </w:rPr>
        <w:t xml:space="preserve">ésolution </w:t>
      </w:r>
      <w:hyperlink r:id="rId4" w:history="1">
        <w:r w:rsidRPr="00757FCF">
          <w:rPr>
            <w:rStyle w:val="Lienhypertexte"/>
            <w:rFonts w:asciiTheme="minorBidi" w:hAnsiTheme="minorBidi" w:cstheme="minorBidi"/>
            <w:bCs/>
            <w:snapToGrid w:val="0"/>
            <w:sz w:val="18"/>
            <w:szCs w:val="18"/>
            <w:lang w:eastAsia="en-US"/>
          </w:rPr>
          <w:t>6.GA 8</w:t>
        </w:r>
      </w:hyperlink>
      <w:r w:rsidRPr="00757FCF">
        <w:rPr>
          <w:rFonts w:asciiTheme="minorBidi" w:hAnsiTheme="minorBidi" w:cstheme="minorBidi"/>
          <w:bCs/>
          <w:snapToGrid w:val="0"/>
          <w:sz w:val="18"/>
          <w:szCs w:val="18"/>
          <w:lang w:eastAsia="en-US"/>
        </w:rPr>
        <w:t xml:space="preserve">, 29 par la </w:t>
      </w:r>
      <w:r>
        <w:rPr>
          <w:rFonts w:asciiTheme="minorBidi" w:hAnsiTheme="minorBidi" w:cstheme="minorBidi"/>
          <w:bCs/>
          <w:snapToGrid w:val="0"/>
          <w:sz w:val="18"/>
          <w:szCs w:val="18"/>
          <w:lang w:eastAsia="en-US"/>
        </w:rPr>
        <w:t>r</w:t>
      </w:r>
      <w:r w:rsidRPr="00757FCF">
        <w:rPr>
          <w:rFonts w:asciiTheme="minorBidi" w:hAnsiTheme="minorBidi" w:cstheme="minorBidi"/>
          <w:bCs/>
          <w:snapToGrid w:val="0"/>
          <w:sz w:val="18"/>
          <w:szCs w:val="18"/>
          <w:lang w:eastAsia="en-US"/>
        </w:rPr>
        <w:t xml:space="preserve">ésolution </w:t>
      </w:r>
      <w:hyperlink r:id="rId5" w:history="1">
        <w:r w:rsidRPr="00757FCF">
          <w:rPr>
            <w:rStyle w:val="Lienhypertexte"/>
            <w:rFonts w:asciiTheme="minorBidi" w:hAnsiTheme="minorBidi" w:cstheme="minorBidi"/>
            <w:bCs/>
            <w:snapToGrid w:val="0"/>
            <w:sz w:val="18"/>
            <w:szCs w:val="18"/>
            <w:lang w:eastAsia="en-US"/>
          </w:rPr>
          <w:t>7.GA 11</w:t>
        </w:r>
      </w:hyperlink>
      <w:r w:rsidRPr="00757FCF">
        <w:rPr>
          <w:rFonts w:asciiTheme="minorBidi" w:hAnsiTheme="minorBidi" w:cstheme="minorBidi"/>
          <w:bCs/>
          <w:snapToGrid w:val="0"/>
          <w:sz w:val="18"/>
          <w:szCs w:val="18"/>
          <w:lang w:eastAsia="en-US"/>
        </w:rPr>
        <w:t xml:space="preserve">, 36 par la </w:t>
      </w:r>
      <w:r>
        <w:rPr>
          <w:rFonts w:asciiTheme="minorBidi" w:hAnsiTheme="minorBidi" w:cstheme="minorBidi"/>
          <w:bCs/>
          <w:snapToGrid w:val="0"/>
          <w:sz w:val="18"/>
          <w:szCs w:val="18"/>
          <w:lang w:eastAsia="en-US"/>
        </w:rPr>
        <w:t>r</w:t>
      </w:r>
      <w:r w:rsidRPr="00757FCF">
        <w:rPr>
          <w:rFonts w:asciiTheme="minorBidi" w:hAnsiTheme="minorBidi" w:cstheme="minorBidi"/>
          <w:bCs/>
          <w:snapToGrid w:val="0"/>
          <w:sz w:val="18"/>
          <w:szCs w:val="18"/>
          <w:lang w:eastAsia="en-US"/>
        </w:rPr>
        <w:t xml:space="preserve">ésolution </w:t>
      </w:r>
      <w:hyperlink r:id="rId6" w:history="1">
        <w:r w:rsidRPr="00757FCF">
          <w:rPr>
            <w:rStyle w:val="Lienhypertexte"/>
            <w:rFonts w:asciiTheme="minorBidi" w:hAnsiTheme="minorBidi" w:cstheme="minorBidi"/>
            <w:bCs/>
            <w:snapToGrid w:val="0"/>
            <w:sz w:val="18"/>
            <w:szCs w:val="18"/>
            <w:lang w:eastAsia="en-US"/>
          </w:rPr>
          <w:t>8.GA 13</w:t>
        </w:r>
      </w:hyperlink>
      <w:r w:rsidRPr="00757FCF">
        <w:rPr>
          <w:rFonts w:asciiTheme="minorBidi" w:hAnsiTheme="minorBidi" w:cstheme="minorBidi"/>
          <w:bCs/>
          <w:snapToGrid w:val="0"/>
          <w:sz w:val="18"/>
          <w:szCs w:val="18"/>
          <w:lang w:eastAsia="en-US"/>
        </w:rPr>
        <w:t xml:space="preserve">, et 33 par la </w:t>
      </w:r>
      <w:r>
        <w:rPr>
          <w:rFonts w:asciiTheme="minorBidi" w:hAnsiTheme="minorBidi" w:cstheme="minorBidi"/>
          <w:bCs/>
          <w:snapToGrid w:val="0"/>
          <w:sz w:val="18"/>
          <w:szCs w:val="18"/>
          <w:lang w:eastAsia="en-US"/>
        </w:rPr>
        <w:t>r</w:t>
      </w:r>
      <w:r w:rsidRPr="00757FCF">
        <w:rPr>
          <w:rFonts w:asciiTheme="minorBidi" w:hAnsiTheme="minorBidi" w:cstheme="minorBidi"/>
          <w:bCs/>
          <w:snapToGrid w:val="0"/>
          <w:sz w:val="18"/>
          <w:szCs w:val="18"/>
          <w:lang w:eastAsia="en-US"/>
        </w:rPr>
        <w:t xml:space="preserve">ésolution </w:t>
      </w:r>
      <w:hyperlink r:id="rId7" w:history="1">
        <w:r w:rsidRPr="00757FCF">
          <w:rPr>
            <w:rStyle w:val="Lienhypertexte"/>
            <w:rFonts w:asciiTheme="minorBidi" w:hAnsiTheme="minorBidi" w:cstheme="minorBidi"/>
            <w:bCs/>
            <w:snapToGrid w:val="0"/>
            <w:sz w:val="18"/>
            <w:szCs w:val="18"/>
            <w:lang w:eastAsia="en-US"/>
          </w:rPr>
          <w:t>9.GA 7</w:t>
        </w:r>
      </w:hyperlink>
      <w:r w:rsidRPr="00757FCF">
        <w:rPr>
          <w:rFonts w:asciiTheme="minorBidi" w:hAnsiTheme="minorBidi" w:cstheme="minorBidi"/>
          <w:bCs/>
          <w:snapToGrid w:val="0"/>
          <w:sz w:val="18"/>
          <w:szCs w:val="18"/>
          <w:lang w:eastAsia="en-US"/>
        </w:rPr>
        <w:t>).</w:t>
      </w:r>
    </w:p>
  </w:footnote>
  <w:footnote w:id="2">
    <w:p w14:paraId="5B75E466" w14:textId="77777777" w:rsidR="00DD751E" w:rsidRPr="00757FCF" w:rsidRDefault="00DD751E" w:rsidP="00582E1B">
      <w:pPr>
        <w:pStyle w:val="Notedebasdepage"/>
        <w:tabs>
          <w:tab w:val="left" w:pos="567"/>
        </w:tabs>
        <w:ind w:left="567" w:hanging="567"/>
        <w:jc w:val="both"/>
        <w:rPr>
          <w:rFonts w:asciiTheme="minorBidi" w:hAnsiTheme="minorBidi" w:cstheme="minorBidi"/>
          <w:sz w:val="18"/>
          <w:szCs w:val="18"/>
        </w:rPr>
      </w:pPr>
      <w:r w:rsidRPr="00757FCF">
        <w:rPr>
          <w:rStyle w:val="Appelnotedebasdep"/>
          <w:rFonts w:asciiTheme="minorBidi" w:hAnsiTheme="minorBidi" w:cstheme="minorBidi"/>
          <w:sz w:val="18"/>
          <w:szCs w:val="18"/>
        </w:rPr>
        <w:footnoteRef/>
      </w:r>
      <w:r w:rsidRPr="00757FCF">
        <w:rPr>
          <w:rFonts w:asciiTheme="minorBidi" w:hAnsiTheme="minorBidi" w:cstheme="minorBidi"/>
          <w:sz w:val="18"/>
          <w:szCs w:val="18"/>
        </w:rPr>
        <w:t xml:space="preserve"> </w:t>
      </w:r>
      <w:r w:rsidRPr="00757FCF">
        <w:rPr>
          <w:rFonts w:asciiTheme="minorBidi" w:hAnsiTheme="minorBidi" w:cstheme="minorBidi"/>
          <w:sz w:val="18"/>
          <w:szCs w:val="18"/>
        </w:rPr>
        <w:tab/>
      </w:r>
      <w:r w:rsidRPr="00757FCF">
        <w:rPr>
          <w:rFonts w:asciiTheme="minorBidi" w:hAnsiTheme="minorBidi" w:cstheme="minorBidi"/>
          <w:bCs/>
          <w:snapToGrid w:val="0"/>
          <w:sz w:val="18"/>
          <w:szCs w:val="18"/>
          <w:lang w:eastAsia="en-US"/>
        </w:rPr>
        <w:t xml:space="preserve">Lors de sa dixième session en 2015, le Comité a décidé de poursuivre les relations avec 59 ONG et de mettre fin à ses relations avec 38 autres (Décision </w:t>
      </w:r>
      <w:hyperlink r:id="rId8" w:history="1">
        <w:r w:rsidRPr="00757FCF">
          <w:rPr>
            <w:rStyle w:val="Lienhypertexte"/>
            <w:rFonts w:asciiTheme="minorBidi" w:hAnsiTheme="minorBidi" w:cstheme="minorBidi"/>
            <w:bCs/>
            <w:snapToGrid w:val="0"/>
            <w:sz w:val="18"/>
            <w:szCs w:val="18"/>
            <w:lang w:eastAsia="en-US"/>
          </w:rPr>
          <w:t>10.COM 16</w:t>
        </w:r>
      </w:hyperlink>
      <w:r w:rsidRPr="00757FCF">
        <w:rPr>
          <w:rFonts w:asciiTheme="minorBidi" w:hAnsiTheme="minorBidi" w:cstheme="minorBidi"/>
          <w:bCs/>
          <w:snapToGrid w:val="0"/>
          <w:sz w:val="18"/>
          <w:szCs w:val="18"/>
          <w:lang w:eastAsia="en-US"/>
        </w:rPr>
        <w:t xml:space="preserve">), toutes accréditées lors de la troisième session de l'Assemblée Générale en 2010 ; lors de sa douzième session en 2017, le Comité a décidé de poursuivre les relations avec 42 ONG et de mettre fin à ses relations avec 17 autres (Décision </w:t>
      </w:r>
      <w:hyperlink r:id="rId9" w:history="1">
        <w:r w:rsidRPr="00757FCF">
          <w:rPr>
            <w:rStyle w:val="Lienhypertexte"/>
            <w:rFonts w:asciiTheme="minorBidi" w:hAnsiTheme="minorBidi" w:cstheme="minorBidi"/>
            <w:bCs/>
            <w:snapToGrid w:val="0"/>
            <w:sz w:val="18"/>
            <w:szCs w:val="18"/>
            <w:lang w:eastAsia="en-US"/>
          </w:rPr>
          <w:t>12.COM 17</w:t>
        </w:r>
      </w:hyperlink>
      <w:r w:rsidRPr="00757FCF">
        <w:rPr>
          <w:rFonts w:asciiTheme="minorBidi" w:hAnsiTheme="minorBidi" w:cstheme="minorBidi"/>
          <w:bCs/>
          <w:snapToGrid w:val="0"/>
          <w:sz w:val="18"/>
          <w:szCs w:val="18"/>
          <w:lang w:eastAsia="en-US"/>
        </w:rPr>
        <w:t xml:space="preserve">), toutes accréditées lors de la quatrième session de l'Assemblée Générale en 2012 ; lors de sa quatorzième session en 2019, le Comité a décidé de poursuivre les relations avec 62 ONG accréditées et de mettre fin à ses relations avec 19 autres (Décision </w:t>
      </w:r>
      <w:hyperlink r:id="rId10" w:history="1">
        <w:r w:rsidRPr="00757FCF">
          <w:rPr>
            <w:rStyle w:val="Lienhypertexte"/>
            <w:rFonts w:asciiTheme="minorBidi" w:hAnsiTheme="minorBidi" w:cstheme="minorBidi"/>
            <w:bCs/>
            <w:snapToGrid w:val="0"/>
            <w:sz w:val="18"/>
            <w:szCs w:val="18"/>
            <w:lang w:eastAsia="en-US"/>
          </w:rPr>
          <w:t>14.COM 17</w:t>
        </w:r>
      </w:hyperlink>
      <w:r w:rsidRPr="00757FCF">
        <w:rPr>
          <w:rFonts w:asciiTheme="minorBidi" w:hAnsiTheme="minorBidi" w:cstheme="minorBidi"/>
          <w:bCs/>
          <w:snapToGrid w:val="0"/>
          <w:sz w:val="18"/>
          <w:szCs w:val="18"/>
          <w:lang w:eastAsia="en-US"/>
        </w:rPr>
        <w:t xml:space="preserve">), toutes accréditées lors de la cinquième session de l'Assemblée Générale ; lors de sa seizième session en 2021, le Comité a décidé de poursuivre les relations avec 57 ONG accréditées et de mettre fin à ses relations avec 9 autres (Décision </w:t>
      </w:r>
      <w:hyperlink r:id="rId11" w:history="1">
        <w:r w:rsidRPr="00757FCF">
          <w:rPr>
            <w:rStyle w:val="Lienhypertexte"/>
            <w:rFonts w:asciiTheme="minorBidi" w:hAnsiTheme="minorBidi" w:cstheme="minorBidi"/>
            <w:bCs/>
            <w:snapToGrid w:val="0"/>
            <w:sz w:val="18"/>
            <w:szCs w:val="18"/>
            <w:lang w:eastAsia="en-US"/>
          </w:rPr>
          <w:t>16.COM 15</w:t>
        </w:r>
      </w:hyperlink>
      <w:r w:rsidRPr="00757FCF">
        <w:rPr>
          <w:rFonts w:asciiTheme="minorBidi" w:hAnsiTheme="minorBidi" w:cstheme="minorBidi"/>
          <w:bCs/>
          <w:snapToGrid w:val="0"/>
          <w:sz w:val="18"/>
          <w:szCs w:val="18"/>
          <w:lang w:eastAsia="en-US"/>
        </w:rPr>
        <w:t xml:space="preserve">), toutes accréditées lors de la sixième session de l'Assemblée Générale. Lors de sa dix-huitième session en 2023, le Comité a décidé de poursuivre les relations avec 80 ONG et de mettre fin à ses relations avec 11 autres (Décision </w:t>
      </w:r>
      <w:hyperlink r:id="rId12" w:history="1">
        <w:r w:rsidRPr="00757FCF">
          <w:rPr>
            <w:rStyle w:val="Lienhypertexte"/>
            <w:rFonts w:asciiTheme="minorBidi" w:hAnsiTheme="minorBidi" w:cstheme="minorBidi"/>
            <w:bCs/>
            <w:snapToGrid w:val="0"/>
            <w:sz w:val="18"/>
            <w:szCs w:val="18"/>
            <w:lang w:eastAsia="en-US"/>
          </w:rPr>
          <w:t>18.COM 16</w:t>
        </w:r>
      </w:hyperlink>
      <w:r w:rsidRPr="00757FCF">
        <w:rPr>
          <w:rFonts w:asciiTheme="minorBidi" w:hAnsiTheme="minorBidi" w:cstheme="minorBidi"/>
          <w:bCs/>
          <w:snapToGrid w:val="0"/>
          <w:sz w:val="18"/>
          <w:szCs w:val="18"/>
          <w:lang w:eastAsia="en-US"/>
        </w:rPr>
        <w:t>).</w:t>
      </w:r>
    </w:p>
  </w:footnote>
  <w:footnote w:id="3">
    <w:p w14:paraId="68FE8B33" w14:textId="7A29D8CB" w:rsidR="00897EF0" w:rsidRPr="00DD751E" w:rsidRDefault="00897EF0" w:rsidP="005252E6">
      <w:pPr>
        <w:pStyle w:val="Notedebasdepage"/>
        <w:ind w:left="567" w:hanging="567"/>
        <w:jc w:val="both"/>
        <w:rPr>
          <w:rFonts w:asciiTheme="minorBidi" w:hAnsiTheme="minorBidi" w:cstheme="minorBidi"/>
          <w:sz w:val="18"/>
          <w:szCs w:val="18"/>
        </w:rPr>
      </w:pPr>
      <w:r w:rsidRPr="007434A9">
        <w:rPr>
          <w:rStyle w:val="Appelnotedebasdep"/>
          <w:rFonts w:asciiTheme="minorBidi" w:hAnsiTheme="minorBidi" w:cstheme="minorBidi"/>
          <w:sz w:val="18"/>
          <w:szCs w:val="18"/>
        </w:rPr>
        <w:footnoteRef/>
      </w:r>
      <w:r w:rsidRPr="00795E67">
        <w:rPr>
          <w:rFonts w:asciiTheme="minorBidi" w:hAnsiTheme="minorBidi" w:cstheme="minorBidi"/>
          <w:sz w:val="18"/>
          <w:szCs w:val="18"/>
        </w:rPr>
        <w:t xml:space="preserve"> </w:t>
      </w:r>
      <w:r w:rsidR="005252E6">
        <w:rPr>
          <w:rFonts w:asciiTheme="minorBidi" w:hAnsiTheme="minorBidi" w:cstheme="minorBidi"/>
          <w:sz w:val="18"/>
          <w:szCs w:val="18"/>
        </w:rPr>
        <w:tab/>
      </w:r>
      <w:r w:rsidRPr="00795E67">
        <w:rPr>
          <w:rFonts w:asciiTheme="minorBidi" w:hAnsiTheme="minorBidi" w:cstheme="minorBidi"/>
          <w:sz w:val="18"/>
          <w:szCs w:val="18"/>
        </w:rPr>
        <w:t xml:space="preserve">Nombre (et pourcentage) de répondants ayant choisi cette mesure </w:t>
      </w:r>
      <w:r>
        <w:rPr>
          <w:rFonts w:asciiTheme="minorBidi" w:hAnsiTheme="minorBidi" w:cstheme="minorBidi"/>
          <w:sz w:val="18"/>
          <w:szCs w:val="18"/>
        </w:rPr>
        <w:t>parmi</w:t>
      </w:r>
      <w:r w:rsidRPr="00795E67">
        <w:rPr>
          <w:rFonts w:asciiTheme="minorBidi" w:hAnsiTheme="minorBidi" w:cstheme="minorBidi"/>
          <w:sz w:val="18"/>
          <w:szCs w:val="18"/>
        </w:rPr>
        <w:t xml:space="preserve"> les trente-sept États parties participants. </w:t>
      </w:r>
      <w:r w:rsidRPr="00DD751E">
        <w:rPr>
          <w:rFonts w:asciiTheme="minorBidi" w:hAnsiTheme="minorBidi" w:cstheme="minorBidi"/>
          <w:sz w:val="18"/>
          <w:szCs w:val="18"/>
        </w:rPr>
        <w:t>Chaque Etat partie pouvait choisir jusqu'à deux mesures possibles.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FD1D" w14:textId="77777777" w:rsidR="00D95C4C" w:rsidRPr="00C23A97" w:rsidRDefault="00DD751E">
    <w:pPr>
      <w:pStyle w:val="En-tte"/>
      <w:rPr>
        <w:rFonts w:ascii="Arial" w:hAnsi="Arial" w:cs="Arial"/>
      </w:rPr>
    </w:pPr>
    <w:r>
      <w:rPr>
        <w:rFonts w:ascii="Arial" w:hAnsi="Arial"/>
        <w:sz w:val="20"/>
      </w:rPr>
      <w:t xml:space="preserve">LHE/24/10.GA/9 – page </w:t>
    </w:r>
    <w:r w:rsidR="00D95C4C" w:rsidRPr="00C23A97">
      <w:rPr>
        <w:rStyle w:val="Numrodepage"/>
        <w:rFonts w:ascii="Arial" w:hAnsi="Arial" w:cs="Arial"/>
        <w:sz w:val="20"/>
      </w:rPr>
      <w:fldChar w:fldCharType="begin"/>
    </w:r>
    <w:r w:rsidR="00D95C4C" w:rsidRPr="00C23A97">
      <w:rPr>
        <w:rStyle w:val="Numrodepage"/>
        <w:rFonts w:ascii="Arial" w:hAnsi="Arial" w:cs="Arial"/>
        <w:sz w:val="20"/>
      </w:rPr>
      <w:instrText xml:space="preserve"> PAGE </w:instrText>
    </w:r>
    <w:r w:rsidR="00D95C4C" w:rsidRPr="00C23A97">
      <w:rPr>
        <w:rStyle w:val="Numrodepage"/>
        <w:rFonts w:ascii="Arial" w:hAnsi="Arial" w:cs="Arial"/>
        <w:sz w:val="20"/>
      </w:rPr>
      <w:fldChar w:fldCharType="separate"/>
    </w:r>
    <w:r>
      <w:rPr>
        <w:rStyle w:val="Numrodepage"/>
        <w:rFonts w:ascii="Arial" w:hAnsi="Arial" w:cs="Arial"/>
        <w:sz w:val="20"/>
      </w:rPr>
      <w:t>2</w:t>
    </w:r>
    <w:r w:rsidR="00D95C4C" w:rsidRPr="00C23A97">
      <w:rPr>
        <w:rStyle w:val="Numrodepage"/>
        <w:rFonts w:ascii="Arial" w:hAnsi="Arial" w:cs="Arial"/>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BCC99" w14:textId="77777777" w:rsidR="00D95C4C" w:rsidRPr="0063300C" w:rsidRDefault="00DD751E" w:rsidP="0063300C">
    <w:pPr>
      <w:pStyle w:val="En-tte"/>
      <w:jc w:val="right"/>
      <w:rPr>
        <w:rFonts w:ascii="Arial" w:hAnsi="Arial" w:cs="Arial"/>
      </w:rPr>
    </w:pPr>
    <w:r>
      <w:rPr>
        <w:rFonts w:ascii="Arial" w:hAnsi="Arial"/>
        <w:sz w:val="20"/>
      </w:rPr>
      <w:t>LHE/24/10.GA/9 – page </w:t>
    </w:r>
    <w:r w:rsidR="004A34A0" w:rsidRPr="0063300C">
      <w:rPr>
        <w:rStyle w:val="Numrodepage"/>
        <w:rFonts w:ascii="Arial" w:hAnsi="Arial" w:cs="Arial"/>
        <w:sz w:val="20"/>
      </w:rPr>
      <w:fldChar w:fldCharType="begin"/>
    </w:r>
    <w:r w:rsidR="004A34A0" w:rsidRPr="0063300C">
      <w:rPr>
        <w:rStyle w:val="Numrodepage"/>
        <w:rFonts w:ascii="Arial" w:hAnsi="Arial" w:cs="Arial"/>
        <w:sz w:val="20"/>
      </w:rPr>
      <w:instrText xml:space="preserve"> PAGE </w:instrText>
    </w:r>
    <w:r w:rsidR="004A34A0" w:rsidRPr="0063300C">
      <w:rPr>
        <w:rStyle w:val="Numrodepage"/>
        <w:rFonts w:ascii="Arial" w:hAnsi="Arial" w:cs="Arial"/>
        <w:sz w:val="20"/>
      </w:rPr>
      <w:fldChar w:fldCharType="separate"/>
    </w:r>
    <w:r>
      <w:rPr>
        <w:rStyle w:val="Numrodepage"/>
        <w:rFonts w:ascii="Arial" w:hAnsi="Arial" w:cs="Arial"/>
        <w:sz w:val="20"/>
      </w:rPr>
      <w:t>3</w:t>
    </w:r>
    <w:r w:rsidR="004A34A0" w:rsidRPr="0063300C">
      <w:rPr>
        <w:rStyle w:val="Numrodepage"/>
        <w:rFonts w:ascii="Arial" w:hAnsi="Arial" w:cs="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0D65B" w14:textId="77777777" w:rsidR="00D95C4C" w:rsidRPr="008724E5" w:rsidRDefault="00DD751E">
    <w:pPr>
      <w:pStyle w:val="En-tte"/>
    </w:pPr>
    <w:r>
      <w:rPr>
        <w:rFonts w:ascii="Arial" w:hAnsi="Arial" w:cs="Arial"/>
        <w:b/>
        <w:noProof/>
        <w:sz w:val="44"/>
        <w:szCs w:val="44"/>
        <w:lang w:val="pt-PT"/>
      </w:rPr>
      <w:drawing>
        <wp:anchor distT="0" distB="0" distL="114300" distR="114300" simplePos="0" relativeHeight="251661312" behindDoc="0" locked="0" layoutInCell="1" allowOverlap="1" wp14:anchorId="26D9D816" wp14:editId="0E4389E7">
          <wp:simplePos x="0" y="0"/>
          <wp:positionH relativeFrom="margin">
            <wp:posOffset>63220</wp:posOffset>
          </wp:positionH>
          <wp:positionV relativeFrom="paragraph">
            <wp:posOffset>-2540</wp:posOffset>
          </wp:positionV>
          <wp:extent cx="1710000" cy="1436138"/>
          <wp:effectExtent l="0" t="0" r="5080" b="0"/>
          <wp:wrapSquare wrapText="bothSides"/>
          <wp:docPr id="300016805" name="Imag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016805" name="Imag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00" cy="14361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9C441E" w14:textId="77777777" w:rsidR="00D95C4C" w:rsidRPr="00D25762" w:rsidRDefault="00DD751E" w:rsidP="00655736">
    <w:pPr>
      <w:pStyle w:val="En-tte"/>
      <w:spacing w:after="520"/>
      <w:jc w:val="right"/>
      <w:rPr>
        <w:rFonts w:ascii="Arial" w:hAnsi="Arial" w:cs="Arial"/>
        <w:b/>
        <w:sz w:val="44"/>
        <w:szCs w:val="44"/>
      </w:rPr>
    </w:pPr>
    <w:r>
      <w:rPr>
        <w:rFonts w:ascii="Arial" w:hAnsi="Arial"/>
        <w:b/>
        <w:sz w:val="44"/>
      </w:rPr>
      <w:t>10 GA</w:t>
    </w:r>
  </w:p>
  <w:p w14:paraId="02EDEB53" w14:textId="77777777" w:rsidR="00D95C4C" w:rsidRPr="00D25762" w:rsidRDefault="00DD751E" w:rsidP="00655736">
    <w:pPr>
      <w:jc w:val="right"/>
      <w:rPr>
        <w:rFonts w:ascii="Arial" w:hAnsi="Arial" w:cs="Arial"/>
        <w:b/>
        <w:sz w:val="22"/>
        <w:szCs w:val="22"/>
      </w:rPr>
    </w:pPr>
    <w:r>
      <w:rPr>
        <w:rFonts w:ascii="Arial" w:hAnsi="Arial"/>
        <w:b/>
        <w:sz w:val="22"/>
      </w:rPr>
      <w:t>LHE/24/10.GA/</w:t>
    </w:r>
    <w:r w:rsidRPr="00582E1B">
      <w:rPr>
        <w:rFonts w:ascii="Arial" w:hAnsi="Arial"/>
        <w:b/>
        <w:sz w:val="22"/>
      </w:rPr>
      <w:t>9</w:t>
    </w:r>
  </w:p>
  <w:p w14:paraId="7C697A02" w14:textId="77777777" w:rsidR="00D95C4C" w:rsidRPr="00D25762" w:rsidRDefault="00D95C4C" w:rsidP="00655736">
    <w:pPr>
      <w:jc w:val="right"/>
      <w:rPr>
        <w:rFonts w:ascii="Arial" w:hAnsi="Arial" w:cs="Arial"/>
        <w:b/>
        <w:sz w:val="22"/>
        <w:szCs w:val="22"/>
      </w:rPr>
    </w:pPr>
    <w:r>
      <w:rPr>
        <w:rFonts w:ascii="Arial" w:hAnsi="Arial"/>
        <w:b/>
        <w:sz w:val="22"/>
      </w:rPr>
      <w:t xml:space="preserve">Paris, le </w:t>
    </w:r>
    <w:r w:rsidR="00DD751E">
      <w:rPr>
        <w:rFonts w:ascii="Arial" w:hAnsi="Arial"/>
        <w:b/>
        <w:sz w:val="22"/>
      </w:rPr>
      <w:t xml:space="preserve">13 </w:t>
    </w:r>
    <w:r>
      <w:rPr>
        <w:rFonts w:ascii="Arial" w:hAnsi="Arial"/>
        <w:b/>
        <w:sz w:val="22"/>
      </w:rPr>
      <w:t>mai 2024</w:t>
    </w:r>
  </w:p>
  <w:p w14:paraId="757A9B08" w14:textId="77777777" w:rsidR="00D95C4C" w:rsidRDefault="00D95C4C" w:rsidP="00703FBF">
    <w:pPr>
      <w:jc w:val="right"/>
      <w:rPr>
        <w:rFonts w:ascii="Arial" w:hAnsi="Arial" w:cs="Arial"/>
        <w:b/>
        <w:sz w:val="22"/>
        <w:szCs w:val="22"/>
      </w:rPr>
    </w:pPr>
    <w:r>
      <w:rPr>
        <w:rFonts w:ascii="Arial" w:hAnsi="Arial"/>
        <w:b/>
        <w:sz w:val="22"/>
      </w:rPr>
      <w:t>Original</w:t>
    </w:r>
    <w:r w:rsidR="00DD751E">
      <w:rPr>
        <w:rFonts w:ascii="Arial" w:hAnsi="Arial"/>
        <w:b/>
        <w:sz w:val="22"/>
      </w:rPr>
      <w:t xml:space="preserve"> </w:t>
    </w:r>
    <w:r>
      <w:rPr>
        <w:rFonts w:ascii="Arial" w:hAnsi="Arial"/>
        <w:b/>
        <w:sz w:val="22"/>
      </w:rPr>
      <w:t xml:space="preserve">: </w:t>
    </w:r>
    <w:r w:rsidR="00DD751E">
      <w:rPr>
        <w:rFonts w:ascii="Arial" w:hAnsi="Arial"/>
        <w:b/>
        <w:sz w:val="22"/>
      </w:rPr>
      <w:t>a</w:t>
    </w:r>
    <w:r>
      <w:rPr>
        <w:rFonts w:ascii="Arial" w:hAnsi="Arial"/>
        <w:b/>
        <w:sz w:val="22"/>
      </w:rPr>
      <w:t>nglais</w:t>
    </w:r>
  </w:p>
  <w:p w14:paraId="7B9A7FDB" w14:textId="77777777" w:rsidR="00DD751E" w:rsidRPr="00582E1B" w:rsidRDefault="00DD751E" w:rsidP="00540FE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7C486" w14:textId="7C6F5F36" w:rsidR="00897EF0" w:rsidRPr="00C23A97" w:rsidRDefault="00897EF0">
    <w:pPr>
      <w:pStyle w:val="En-tte"/>
      <w:rPr>
        <w:rFonts w:ascii="Arial" w:hAnsi="Arial" w:cs="Arial"/>
      </w:rPr>
    </w:pPr>
    <w:r>
      <w:rPr>
        <w:rFonts w:ascii="Arial" w:hAnsi="Arial"/>
        <w:sz w:val="20"/>
      </w:rPr>
      <w:t xml:space="preserve">LHE/24/10.GA/9 Add. – page </w:t>
    </w:r>
    <w:r w:rsidRPr="00C23A97">
      <w:rPr>
        <w:rStyle w:val="Numrodepage"/>
        <w:rFonts w:ascii="Arial" w:hAnsi="Arial" w:cs="Arial"/>
        <w:sz w:val="20"/>
      </w:rPr>
      <w:fldChar w:fldCharType="begin"/>
    </w:r>
    <w:r w:rsidRPr="00C23A97">
      <w:rPr>
        <w:rStyle w:val="Numrodepage"/>
        <w:rFonts w:ascii="Arial" w:hAnsi="Arial" w:cs="Arial"/>
        <w:sz w:val="20"/>
      </w:rPr>
      <w:instrText xml:space="preserve"> PAGE </w:instrText>
    </w:r>
    <w:r w:rsidRPr="00C23A97">
      <w:rPr>
        <w:rStyle w:val="Numrodepage"/>
        <w:rFonts w:ascii="Arial" w:hAnsi="Arial" w:cs="Arial"/>
        <w:sz w:val="20"/>
      </w:rPr>
      <w:fldChar w:fldCharType="separate"/>
    </w:r>
    <w:r>
      <w:rPr>
        <w:rStyle w:val="Numrodepage"/>
        <w:rFonts w:ascii="Arial" w:hAnsi="Arial" w:cs="Arial"/>
        <w:sz w:val="20"/>
      </w:rPr>
      <w:t>2</w:t>
    </w:r>
    <w:r w:rsidRPr="00C23A97">
      <w:rPr>
        <w:rStyle w:val="Numrodepage"/>
        <w:rFonts w:ascii="Arial" w:hAnsi="Arial" w:cs="Arial"/>
        <w:sz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56B01" w14:textId="59319C51" w:rsidR="00897EF0" w:rsidRPr="0063300C" w:rsidRDefault="00897EF0" w:rsidP="0063300C">
    <w:pPr>
      <w:pStyle w:val="En-tte"/>
      <w:jc w:val="right"/>
      <w:rPr>
        <w:rFonts w:ascii="Arial" w:hAnsi="Arial" w:cs="Arial"/>
      </w:rPr>
    </w:pPr>
    <w:r>
      <w:rPr>
        <w:rFonts w:ascii="Arial" w:hAnsi="Arial"/>
        <w:sz w:val="20"/>
      </w:rPr>
      <w:t>LHE/24/10.GA/9 Add. – page </w:t>
    </w:r>
    <w:r w:rsidRPr="0063300C">
      <w:rPr>
        <w:rStyle w:val="Numrodepage"/>
        <w:rFonts w:ascii="Arial" w:hAnsi="Arial" w:cs="Arial"/>
        <w:sz w:val="20"/>
      </w:rPr>
      <w:fldChar w:fldCharType="begin"/>
    </w:r>
    <w:r w:rsidRPr="0063300C">
      <w:rPr>
        <w:rStyle w:val="Numrodepage"/>
        <w:rFonts w:ascii="Arial" w:hAnsi="Arial" w:cs="Arial"/>
        <w:sz w:val="20"/>
      </w:rPr>
      <w:instrText xml:space="preserve"> PAGE </w:instrText>
    </w:r>
    <w:r w:rsidRPr="0063300C">
      <w:rPr>
        <w:rStyle w:val="Numrodepage"/>
        <w:rFonts w:ascii="Arial" w:hAnsi="Arial" w:cs="Arial"/>
        <w:sz w:val="20"/>
      </w:rPr>
      <w:fldChar w:fldCharType="separate"/>
    </w:r>
    <w:r>
      <w:rPr>
        <w:rStyle w:val="Numrodepage"/>
        <w:rFonts w:ascii="Arial" w:hAnsi="Arial" w:cs="Arial"/>
        <w:sz w:val="20"/>
      </w:rPr>
      <w:t>3</w:t>
    </w:r>
    <w:r w:rsidRPr="0063300C">
      <w:rPr>
        <w:rStyle w:val="Numrodepage"/>
        <w:rFonts w:ascii="Arial" w:hAnsi="Arial" w:cs="Arial"/>
        <w:sz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FE7F2" w14:textId="77777777" w:rsidR="00897EF0" w:rsidRPr="008724E5" w:rsidRDefault="00897EF0">
    <w:pPr>
      <w:pStyle w:val="En-tte"/>
    </w:pPr>
    <w:r>
      <w:rPr>
        <w:rFonts w:ascii="Arial" w:hAnsi="Arial" w:cs="Arial"/>
        <w:b/>
        <w:noProof/>
        <w:sz w:val="44"/>
        <w:szCs w:val="44"/>
        <w:lang w:val="pt-PT"/>
      </w:rPr>
      <w:drawing>
        <wp:anchor distT="0" distB="0" distL="114300" distR="114300" simplePos="0" relativeHeight="251663360" behindDoc="0" locked="0" layoutInCell="1" allowOverlap="1" wp14:anchorId="099C113D" wp14:editId="434E072F">
          <wp:simplePos x="0" y="0"/>
          <wp:positionH relativeFrom="margin">
            <wp:posOffset>63220</wp:posOffset>
          </wp:positionH>
          <wp:positionV relativeFrom="paragraph">
            <wp:posOffset>-2540</wp:posOffset>
          </wp:positionV>
          <wp:extent cx="1710000" cy="1436138"/>
          <wp:effectExtent l="0" t="0" r="5080" b="0"/>
          <wp:wrapSquare wrapText="bothSides"/>
          <wp:docPr id="1608076792" name="Imag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016805" name="Imag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00" cy="14361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B208E7" w14:textId="77777777" w:rsidR="00897EF0" w:rsidRPr="00D25762" w:rsidRDefault="00897EF0" w:rsidP="00655736">
    <w:pPr>
      <w:pStyle w:val="En-tte"/>
      <w:spacing w:after="520"/>
      <w:jc w:val="right"/>
      <w:rPr>
        <w:rFonts w:ascii="Arial" w:hAnsi="Arial" w:cs="Arial"/>
        <w:b/>
        <w:sz w:val="44"/>
        <w:szCs w:val="44"/>
      </w:rPr>
    </w:pPr>
    <w:r>
      <w:rPr>
        <w:rFonts w:ascii="Arial" w:hAnsi="Arial"/>
        <w:b/>
        <w:sz w:val="44"/>
      </w:rPr>
      <w:t>10 GA</w:t>
    </w:r>
  </w:p>
  <w:p w14:paraId="4D0C6587" w14:textId="0B6E7D13" w:rsidR="00897EF0" w:rsidRPr="00D25762" w:rsidRDefault="00897EF0" w:rsidP="00655736">
    <w:pPr>
      <w:jc w:val="right"/>
      <w:rPr>
        <w:rFonts w:ascii="Arial" w:hAnsi="Arial" w:cs="Arial"/>
        <w:b/>
        <w:sz w:val="22"/>
        <w:szCs w:val="22"/>
      </w:rPr>
    </w:pPr>
    <w:r>
      <w:rPr>
        <w:rFonts w:ascii="Arial" w:hAnsi="Arial"/>
        <w:b/>
        <w:sz w:val="22"/>
      </w:rPr>
      <w:t>LHE/24/10.GA/</w:t>
    </w:r>
    <w:r w:rsidRPr="00582E1B">
      <w:rPr>
        <w:rFonts w:ascii="Arial" w:hAnsi="Arial"/>
        <w:b/>
        <w:sz w:val="22"/>
      </w:rPr>
      <w:t>9</w:t>
    </w:r>
    <w:r>
      <w:rPr>
        <w:rFonts w:ascii="Arial" w:hAnsi="Arial"/>
        <w:b/>
        <w:sz w:val="22"/>
      </w:rPr>
      <w:t xml:space="preserve"> Add.</w:t>
    </w:r>
  </w:p>
  <w:p w14:paraId="6F9FBD30" w14:textId="7F5B8567" w:rsidR="00897EF0" w:rsidRPr="00D25762" w:rsidRDefault="00897EF0" w:rsidP="00655736">
    <w:pPr>
      <w:jc w:val="right"/>
      <w:rPr>
        <w:rFonts w:ascii="Arial" w:hAnsi="Arial" w:cs="Arial"/>
        <w:b/>
        <w:sz w:val="22"/>
        <w:szCs w:val="22"/>
      </w:rPr>
    </w:pPr>
    <w:r>
      <w:rPr>
        <w:rFonts w:ascii="Arial" w:hAnsi="Arial"/>
        <w:b/>
        <w:sz w:val="22"/>
      </w:rPr>
      <w:t>Paris, le 31 mai 2024</w:t>
    </w:r>
  </w:p>
  <w:p w14:paraId="5E29CFC6" w14:textId="77777777" w:rsidR="00897EF0" w:rsidRDefault="00897EF0" w:rsidP="00703FBF">
    <w:pPr>
      <w:jc w:val="right"/>
      <w:rPr>
        <w:rFonts w:ascii="Arial" w:hAnsi="Arial" w:cs="Arial"/>
        <w:b/>
        <w:sz w:val="22"/>
        <w:szCs w:val="22"/>
      </w:rPr>
    </w:pPr>
    <w:r>
      <w:rPr>
        <w:rFonts w:ascii="Arial" w:hAnsi="Arial"/>
        <w:b/>
        <w:sz w:val="22"/>
      </w:rPr>
      <w:t>Original : anglais</w:t>
    </w:r>
  </w:p>
  <w:p w14:paraId="0514CA28" w14:textId="77777777" w:rsidR="00897EF0" w:rsidRPr="00582E1B" w:rsidRDefault="00897EF0" w:rsidP="00540F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376F"/>
    <w:multiLevelType w:val="hybridMultilevel"/>
    <w:tmpl w:val="695ED68C"/>
    <w:lvl w:ilvl="0" w:tplc="5582BC92">
      <w:start w:val="1"/>
      <w:numFmt w:val="decimal"/>
      <w:lvlText w:val="%1."/>
      <w:lvlJc w:val="left"/>
      <w:pPr>
        <w:ind w:left="570" w:hanging="570"/>
      </w:pPr>
      <w:rPr>
        <w:rFonts w:ascii="Arial" w:eastAsia="Times New Roman" w:hAnsi="Arial" w:cs="Arial"/>
        <w:b w:val="0"/>
        <w:bCs/>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07766E0"/>
    <w:multiLevelType w:val="hybridMultilevel"/>
    <w:tmpl w:val="F23A1AB8"/>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3" w15:restartNumberingAfterBreak="0">
    <w:nsid w:val="18F06C69"/>
    <w:multiLevelType w:val="hybridMultilevel"/>
    <w:tmpl w:val="A09C1ED4"/>
    <w:lvl w:ilvl="0" w:tplc="040C0001">
      <w:start w:val="1"/>
      <w:numFmt w:val="bullet"/>
      <w:lvlText w:val=""/>
      <w:lvlJc w:val="left"/>
      <w:pPr>
        <w:ind w:left="1347" w:hanging="360"/>
      </w:pPr>
      <w:rPr>
        <w:rFonts w:ascii="Symbol" w:hAnsi="Symbol" w:hint="default"/>
      </w:rPr>
    </w:lvl>
    <w:lvl w:ilvl="1" w:tplc="040C0003" w:tentative="1">
      <w:start w:val="1"/>
      <w:numFmt w:val="bullet"/>
      <w:lvlText w:val="o"/>
      <w:lvlJc w:val="left"/>
      <w:pPr>
        <w:ind w:left="2067" w:hanging="360"/>
      </w:pPr>
      <w:rPr>
        <w:rFonts w:ascii="Courier New" w:hAnsi="Courier New" w:cs="Courier New" w:hint="default"/>
      </w:rPr>
    </w:lvl>
    <w:lvl w:ilvl="2" w:tplc="040C0005" w:tentative="1">
      <w:start w:val="1"/>
      <w:numFmt w:val="bullet"/>
      <w:lvlText w:val=""/>
      <w:lvlJc w:val="left"/>
      <w:pPr>
        <w:ind w:left="2787" w:hanging="360"/>
      </w:pPr>
      <w:rPr>
        <w:rFonts w:ascii="Wingdings" w:hAnsi="Wingdings" w:hint="default"/>
      </w:rPr>
    </w:lvl>
    <w:lvl w:ilvl="3" w:tplc="040C0001" w:tentative="1">
      <w:start w:val="1"/>
      <w:numFmt w:val="bullet"/>
      <w:lvlText w:val=""/>
      <w:lvlJc w:val="left"/>
      <w:pPr>
        <w:ind w:left="3507" w:hanging="360"/>
      </w:pPr>
      <w:rPr>
        <w:rFonts w:ascii="Symbol" w:hAnsi="Symbol" w:hint="default"/>
      </w:rPr>
    </w:lvl>
    <w:lvl w:ilvl="4" w:tplc="040C0003" w:tentative="1">
      <w:start w:val="1"/>
      <w:numFmt w:val="bullet"/>
      <w:lvlText w:val="o"/>
      <w:lvlJc w:val="left"/>
      <w:pPr>
        <w:ind w:left="4227" w:hanging="360"/>
      </w:pPr>
      <w:rPr>
        <w:rFonts w:ascii="Courier New" w:hAnsi="Courier New" w:cs="Courier New" w:hint="default"/>
      </w:rPr>
    </w:lvl>
    <w:lvl w:ilvl="5" w:tplc="040C0005" w:tentative="1">
      <w:start w:val="1"/>
      <w:numFmt w:val="bullet"/>
      <w:lvlText w:val=""/>
      <w:lvlJc w:val="left"/>
      <w:pPr>
        <w:ind w:left="4947" w:hanging="360"/>
      </w:pPr>
      <w:rPr>
        <w:rFonts w:ascii="Wingdings" w:hAnsi="Wingdings" w:hint="default"/>
      </w:rPr>
    </w:lvl>
    <w:lvl w:ilvl="6" w:tplc="040C0001" w:tentative="1">
      <w:start w:val="1"/>
      <w:numFmt w:val="bullet"/>
      <w:lvlText w:val=""/>
      <w:lvlJc w:val="left"/>
      <w:pPr>
        <w:ind w:left="5667" w:hanging="360"/>
      </w:pPr>
      <w:rPr>
        <w:rFonts w:ascii="Symbol" w:hAnsi="Symbol" w:hint="default"/>
      </w:rPr>
    </w:lvl>
    <w:lvl w:ilvl="7" w:tplc="040C0003" w:tentative="1">
      <w:start w:val="1"/>
      <w:numFmt w:val="bullet"/>
      <w:lvlText w:val="o"/>
      <w:lvlJc w:val="left"/>
      <w:pPr>
        <w:ind w:left="6387" w:hanging="360"/>
      </w:pPr>
      <w:rPr>
        <w:rFonts w:ascii="Courier New" w:hAnsi="Courier New" w:cs="Courier New" w:hint="default"/>
      </w:rPr>
    </w:lvl>
    <w:lvl w:ilvl="8" w:tplc="040C0005" w:tentative="1">
      <w:start w:val="1"/>
      <w:numFmt w:val="bullet"/>
      <w:lvlText w:val=""/>
      <w:lvlJc w:val="left"/>
      <w:pPr>
        <w:ind w:left="7107" w:hanging="360"/>
      </w:pPr>
      <w:rPr>
        <w:rFonts w:ascii="Wingdings" w:hAnsi="Wingdings" w:hint="default"/>
      </w:rPr>
    </w:lvl>
  </w:abstractNum>
  <w:abstractNum w:abstractNumId="4" w15:restartNumberingAfterBreak="0">
    <w:nsid w:val="1BA40D70"/>
    <w:multiLevelType w:val="hybridMultilevel"/>
    <w:tmpl w:val="FA48674E"/>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4336682"/>
    <w:multiLevelType w:val="hybridMultilevel"/>
    <w:tmpl w:val="35EAA06E"/>
    <w:lvl w:ilvl="0" w:tplc="04090017">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8" w15:restartNumberingAfterBreak="0">
    <w:nsid w:val="248B13A7"/>
    <w:multiLevelType w:val="hybridMultilevel"/>
    <w:tmpl w:val="647C72D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30515124"/>
    <w:multiLevelType w:val="hybridMultilevel"/>
    <w:tmpl w:val="93DAB1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5"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6" w15:restartNumberingAfterBreak="0">
    <w:nsid w:val="45714ECB"/>
    <w:multiLevelType w:val="hybridMultilevel"/>
    <w:tmpl w:val="220A5FB0"/>
    <w:lvl w:ilvl="0" w:tplc="040C0001">
      <w:start w:val="1"/>
      <w:numFmt w:val="bullet"/>
      <w:lvlText w:val=""/>
      <w:lvlJc w:val="left"/>
      <w:pPr>
        <w:ind w:left="1069" w:hanging="360"/>
      </w:pPr>
      <w:rPr>
        <w:rFonts w:ascii="Symbol" w:hAnsi="Symbol" w:hint="default"/>
        <w:lang w:val="en-US"/>
      </w:rPr>
    </w:lvl>
    <w:lvl w:ilvl="1" w:tplc="040C0019">
      <w:start w:val="1"/>
      <w:numFmt w:val="lowerLetter"/>
      <w:lvlText w:val="%2."/>
      <w:lvlJc w:val="left"/>
      <w:pPr>
        <w:ind w:left="1789" w:hanging="360"/>
      </w:pPr>
    </w:lvl>
    <w:lvl w:ilvl="2" w:tplc="040C001B">
      <w:start w:val="1"/>
      <w:numFmt w:val="lowerRoman"/>
      <w:lvlText w:val="%3."/>
      <w:lvlJc w:val="right"/>
      <w:pPr>
        <w:ind w:left="2509" w:hanging="180"/>
      </w:pPr>
    </w:lvl>
    <w:lvl w:ilvl="3" w:tplc="040C000F">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7" w15:restartNumberingAfterBreak="0">
    <w:nsid w:val="4A5569F2"/>
    <w:multiLevelType w:val="hybridMultilevel"/>
    <w:tmpl w:val="86A62A4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559736D2"/>
    <w:multiLevelType w:val="hybridMultilevel"/>
    <w:tmpl w:val="74F2CF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BC6DF9"/>
    <w:multiLevelType w:val="hybridMultilevel"/>
    <w:tmpl w:val="6C2E7F3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1"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822628298">
    <w:abstractNumId w:val="20"/>
  </w:num>
  <w:num w:numId="2" w16cid:durableId="699629408">
    <w:abstractNumId w:val="11"/>
  </w:num>
  <w:num w:numId="3" w16cid:durableId="164177712">
    <w:abstractNumId w:val="5"/>
  </w:num>
  <w:num w:numId="4" w16cid:durableId="1416590798">
    <w:abstractNumId w:val="22"/>
  </w:num>
  <w:num w:numId="5" w16cid:durableId="1762608160">
    <w:abstractNumId w:val="21"/>
  </w:num>
  <w:num w:numId="6" w16cid:durableId="2146270374">
    <w:abstractNumId w:val="1"/>
  </w:num>
  <w:num w:numId="7" w16cid:durableId="1113592211">
    <w:abstractNumId w:val="6"/>
  </w:num>
  <w:num w:numId="8" w16cid:durableId="1920598164">
    <w:abstractNumId w:val="15"/>
  </w:num>
  <w:num w:numId="9" w16cid:durableId="1533764642">
    <w:abstractNumId w:val="10"/>
  </w:num>
  <w:num w:numId="10" w16cid:durableId="1246129">
    <w:abstractNumId w:val="12"/>
  </w:num>
  <w:num w:numId="11" w16cid:durableId="111829808">
    <w:abstractNumId w:val="14"/>
  </w:num>
  <w:num w:numId="12" w16cid:durableId="1088770206">
    <w:abstractNumId w:val="13"/>
  </w:num>
  <w:num w:numId="13" w16cid:durableId="1263951029">
    <w:abstractNumId w:val="23"/>
  </w:num>
  <w:num w:numId="14" w16cid:durableId="395903570">
    <w:abstractNumId w:val="9"/>
  </w:num>
  <w:num w:numId="15" w16cid:durableId="1857570918">
    <w:abstractNumId w:val="10"/>
  </w:num>
  <w:num w:numId="16" w16cid:durableId="248199808">
    <w:abstractNumId w:val="10"/>
  </w:num>
  <w:num w:numId="17" w16cid:durableId="350380342">
    <w:abstractNumId w:val="10"/>
  </w:num>
  <w:num w:numId="18" w16cid:durableId="944581980">
    <w:abstractNumId w:val="10"/>
  </w:num>
  <w:num w:numId="19" w16cid:durableId="772675100">
    <w:abstractNumId w:val="10"/>
  </w:num>
  <w:num w:numId="20" w16cid:durableId="1253010311">
    <w:abstractNumId w:val="10"/>
  </w:num>
  <w:num w:numId="21" w16cid:durableId="540821319">
    <w:abstractNumId w:val="4"/>
  </w:num>
  <w:num w:numId="22" w16cid:durableId="2046514942">
    <w:abstractNumId w:val="10"/>
  </w:num>
  <w:num w:numId="23" w16cid:durableId="873926714">
    <w:abstractNumId w:val="16"/>
  </w:num>
  <w:num w:numId="24" w16cid:durableId="1031762199">
    <w:abstractNumId w:val="10"/>
  </w:num>
  <w:num w:numId="25" w16cid:durableId="781729891">
    <w:abstractNumId w:val="17"/>
  </w:num>
  <w:num w:numId="26" w16cid:durableId="2106462777">
    <w:abstractNumId w:val="10"/>
  </w:num>
  <w:num w:numId="27" w16cid:durableId="345325069">
    <w:abstractNumId w:val="10"/>
  </w:num>
  <w:num w:numId="28" w16cid:durableId="619261203">
    <w:abstractNumId w:val="10"/>
  </w:num>
  <w:num w:numId="29" w16cid:durableId="1739160644">
    <w:abstractNumId w:val="7"/>
  </w:num>
  <w:num w:numId="30" w16cid:durableId="1086654446">
    <w:abstractNumId w:val="10"/>
  </w:num>
  <w:num w:numId="31" w16cid:durableId="1997998431">
    <w:abstractNumId w:val="10"/>
  </w:num>
  <w:num w:numId="32" w16cid:durableId="1132288735">
    <w:abstractNumId w:val="10"/>
  </w:num>
  <w:num w:numId="33" w16cid:durableId="1267689419">
    <w:abstractNumId w:val="10"/>
  </w:num>
  <w:num w:numId="34" w16cid:durableId="1934313991">
    <w:abstractNumId w:val="18"/>
  </w:num>
  <w:num w:numId="35" w16cid:durableId="1091466878">
    <w:abstractNumId w:val="2"/>
  </w:num>
  <w:num w:numId="36" w16cid:durableId="840435226">
    <w:abstractNumId w:val="10"/>
  </w:num>
  <w:num w:numId="37" w16cid:durableId="1489707188">
    <w:abstractNumId w:val="19"/>
  </w:num>
  <w:num w:numId="38" w16cid:durableId="571744577">
    <w:abstractNumId w:val="10"/>
  </w:num>
  <w:num w:numId="39" w16cid:durableId="289939480">
    <w:abstractNumId w:val="10"/>
  </w:num>
  <w:num w:numId="40" w16cid:durableId="1442602331">
    <w:abstractNumId w:val="10"/>
  </w:num>
  <w:num w:numId="41" w16cid:durableId="2099132185">
    <w:abstractNumId w:val="10"/>
  </w:num>
  <w:num w:numId="42" w16cid:durableId="619608164">
    <w:abstractNumId w:val="10"/>
  </w:num>
  <w:num w:numId="43" w16cid:durableId="525169924">
    <w:abstractNumId w:val="10"/>
  </w:num>
  <w:num w:numId="44" w16cid:durableId="2510433">
    <w:abstractNumId w:val="10"/>
  </w:num>
  <w:num w:numId="45" w16cid:durableId="1070272606">
    <w:abstractNumId w:val="8"/>
  </w:num>
  <w:num w:numId="46" w16cid:durableId="1031959002">
    <w:abstractNumId w:val="3"/>
  </w:num>
  <w:num w:numId="47" w16cid:durableId="1500845527">
    <w:abstractNumId w:val="10"/>
  </w:num>
  <w:num w:numId="48" w16cid:durableId="2049720743">
    <w:abstractNumId w:val="0"/>
  </w:num>
  <w:num w:numId="49" w16cid:durableId="1375932909">
    <w:abstractNumId w:val="12"/>
    <w:lvlOverride w:ilvl="0">
      <w:startOverride w:val="1"/>
    </w:lvlOverride>
  </w:num>
  <w:num w:numId="50" w16cid:durableId="5055544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ED"/>
    <w:rsid w:val="000068BB"/>
    <w:rsid w:val="00014915"/>
    <w:rsid w:val="00015A1F"/>
    <w:rsid w:val="00036AA7"/>
    <w:rsid w:val="00041A66"/>
    <w:rsid w:val="00042D88"/>
    <w:rsid w:val="0005176E"/>
    <w:rsid w:val="0005754C"/>
    <w:rsid w:val="00057CD2"/>
    <w:rsid w:val="000765F7"/>
    <w:rsid w:val="0007725F"/>
    <w:rsid w:val="00077AB7"/>
    <w:rsid w:val="00081CD8"/>
    <w:rsid w:val="0009440C"/>
    <w:rsid w:val="000A7F0E"/>
    <w:rsid w:val="000B1C8F"/>
    <w:rsid w:val="000B2C81"/>
    <w:rsid w:val="000B48D3"/>
    <w:rsid w:val="000B5F8E"/>
    <w:rsid w:val="000C0D61"/>
    <w:rsid w:val="000C5C72"/>
    <w:rsid w:val="000F3A3F"/>
    <w:rsid w:val="000F4295"/>
    <w:rsid w:val="00102557"/>
    <w:rsid w:val="00115B39"/>
    <w:rsid w:val="0012502C"/>
    <w:rsid w:val="00127339"/>
    <w:rsid w:val="00147A38"/>
    <w:rsid w:val="00147D4A"/>
    <w:rsid w:val="00164D56"/>
    <w:rsid w:val="00166A29"/>
    <w:rsid w:val="00167B10"/>
    <w:rsid w:val="001723B5"/>
    <w:rsid w:val="0017402F"/>
    <w:rsid w:val="00186383"/>
    <w:rsid w:val="0018749E"/>
    <w:rsid w:val="00190205"/>
    <w:rsid w:val="00194D5C"/>
    <w:rsid w:val="00196C1B"/>
    <w:rsid w:val="001B0F73"/>
    <w:rsid w:val="001C2DB7"/>
    <w:rsid w:val="001C6513"/>
    <w:rsid w:val="001D14FE"/>
    <w:rsid w:val="001D4DBC"/>
    <w:rsid w:val="001D5C04"/>
    <w:rsid w:val="001F26CF"/>
    <w:rsid w:val="0020665F"/>
    <w:rsid w:val="00222A2D"/>
    <w:rsid w:val="00223029"/>
    <w:rsid w:val="002242D3"/>
    <w:rsid w:val="00234745"/>
    <w:rsid w:val="002351A6"/>
    <w:rsid w:val="002407AF"/>
    <w:rsid w:val="002408CD"/>
    <w:rsid w:val="00245501"/>
    <w:rsid w:val="00254B26"/>
    <w:rsid w:val="002609D4"/>
    <w:rsid w:val="0026221A"/>
    <w:rsid w:val="002640CA"/>
    <w:rsid w:val="002676BE"/>
    <w:rsid w:val="00267CCC"/>
    <w:rsid w:val="00271ED9"/>
    <w:rsid w:val="0027466B"/>
    <w:rsid w:val="002776A5"/>
    <w:rsid w:val="002814F6"/>
    <w:rsid w:val="002815B3"/>
    <w:rsid w:val="00282F15"/>
    <w:rsid w:val="002838A5"/>
    <w:rsid w:val="00285BB4"/>
    <w:rsid w:val="00294B56"/>
    <w:rsid w:val="002A4730"/>
    <w:rsid w:val="002C09E3"/>
    <w:rsid w:val="002C464A"/>
    <w:rsid w:val="002C6A2C"/>
    <w:rsid w:val="002D1244"/>
    <w:rsid w:val="002F2D9D"/>
    <w:rsid w:val="002F2FD6"/>
    <w:rsid w:val="00311C2F"/>
    <w:rsid w:val="00317662"/>
    <w:rsid w:val="00321199"/>
    <w:rsid w:val="00337CEB"/>
    <w:rsid w:val="00344B58"/>
    <w:rsid w:val="0034539A"/>
    <w:rsid w:val="00345CB4"/>
    <w:rsid w:val="0036036C"/>
    <w:rsid w:val="00375D42"/>
    <w:rsid w:val="00380A92"/>
    <w:rsid w:val="003A15C6"/>
    <w:rsid w:val="003A1E57"/>
    <w:rsid w:val="003B03F0"/>
    <w:rsid w:val="003B2BD4"/>
    <w:rsid w:val="003C7A91"/>
    <w:rsid w:val="003C7AEC"/>
    <w:rsid w:val="003D069C"/>
    <w:rsid w:val="003D5BC2"/>
    <w:rsid w:val="003D7646"/>
    <w:rsid w:val="003F113A"/>
    <w:rsid w:val="003F3E63"/>
    <w:rsid w:val="00403E94"/>
    <w:rsid w:val="00407480"/>
    <w:rsid w:val="00414643"/>
    <w:rsid w:val="004313C4"/>
    <w:rsid w:val="0044127D"/>
    <w:rsid w:val="004421E5"/>
    <w:rsid w:val="00452284"/>
    <w:rsid w:val="00455B10"/>
    <w:rsid w:val="00457C8E"/>
    <w:rsid w:val="00463855"/>
    <w:rsid w:val="00480175"/>
    <w:rsid w:val="004856CA"/>
    <w:rsid w:val="00487E67"/>
    <w:rsid w:val="004906B7"/>
    <w:rsid w:val="0049705E"/>
    <w:rsid w:val="004A0A1F"/>
    <w:rsid w:val="004A2875"/>
    <w:rsid w:val="004A34A0"/>
    <w:rsid w:val="004A7497"/>
    <w:rsid w:val="004B3917"/>
    <w:rsid w:val="004C7C82"/>
    <w:rsid w:val="004E3587"/>
    <w:rsid w:val="004E4F90"/>
    <w:rsid w:val="004E6783"/>
    <w:rsid w:val="005008A8"/>
    <w:rsid w:val="00511C82"/>
    <w:rsid w:val="0051475D"/>
    <w:rsid w:val="00517FD8"/>
    <w:rsid w:val="005252E6"/>
    <w:rsid w:val="00526B7B"/>
    <w:rsid w:val="005274D2"/>
    <w:rsid w:val="005308CE"/>
    <w:rsid w:val="0053318C"/>
    <w:rsid w:val="0054535F"/>
    <w:rsid w:val="00545B82"/>
    <w:rsid w:val="005517BB"/>
    <w:rsid w:val="00554D58"/>
    <w:rsid w:val="00557D04"/>
    <w:rsid w:val="00563EB2"/>
    <w:rsid w:val="0057439C"/>
    <w:rsid w:val="005960FA"/>
    <w:rsid w:val="005A7D32"/>
    <w:rsid w:val="005B0127"/>
    <w:rsid w:val="005B7A35"/>
    <w:rsid w:val="005C3D40"/>
    <w:rsid w:val="005C4B73"/>
    <w:rsid w:val="005C792B"/>
    <w:rsid w:val="005E1D2B"/>
    <w:rsid w:val="005E7074"/>
    <w:rsid w:val="005F12DC"/>
    <w:rsid w:val="005F21D8"/>
    <w:rsid w:val="005F2BAF"/>
    <w:rsid w:val="00600AC3"/>
    <w:rsid w:val="00600D93"/>
    <w:rsid w:val="0060103C"/>
    <w:rsid w:val="00616E2D"/>
    <w:rsid w:val="00624427"/>
    <w:rsid w:val="00626BEA"/>
    <w:rsid w:val="0063300C"/>
    <w:rsid w:val="00651A5B"/>
    <w:rsid w:val="00655736"/>
    <w:rsid w:val="00663B8D"/>
    <w:rsid w:val="00696C8D"/>
    <w:rsid w:val="006A2AC2"/>
    <w:rsid w:val="006A3617"/>
    <w:rsid w:val="006B4452"/>
    <w:rsid w:val="006C2A33"/>
    <w:rsid w:val="006D416D"/>
    <w:rsid w:val="006E46E4"/>
    <w:rsid w:val="006E75EB"/>
    <w:rsid w:val="0070019B"/>
    <w:rsid w:val="00717DA5"/>
    <w:rsid w:val="007333D0"/>
    <w:rsid w:val="007434A9"/>
    <w:rsid w:val="00744484"/>
    <w:rsid w:val="00745E87"/>
    <w:rsid w:val="00747566"/>
    <w:rsid w:val="00751048"/>
    <w:rsid w:val="007558CB"/>
    <w:rsid w:val="007671F8"/>
    <w:rsid w:val="00773188"/>
    <w:rsid w:val="00775D19"/>
    <w:rsid w:val="00783782"/>
    <w:rsid w:val="00784B8C"/>
    <w:rsid w:val="007879E1"/>
    <w:rsid w:val="00791C4D"/>
    <w:rsid w:val="00795E67"/>
    <w:rsid w:val="007B1590"/>
    <w:rsid w:val="007B250C"/>
    <w:rsid w:val="007C175D"/>
    <w:rsid w:val="007C26FC"/>
    <w:rsid w:val="007D3134"/>
    <w:rsid w:val="007D364F"/>
    <w:rsid w:val="007D3C14"/>
    <w:rsid w:val="007E57AA"/>
    <w:rsid w:val="007F3E44"/>
    <w:rsid w:val="008000B4"/>
    <w:rsid w:val="008108E7"/>
    <w:rsid w:val="00822BC2"/>
    <w:rsid w:val="00823A11"/>
    <w:rsid w:val="008245D6"/>
    <w:rsid w:val="00835FAC"/>
    <w:rsid w:val="00837869"/>
    <w:rsid w:val="0085405E"/>
    <w:rsid w:val="0085414A"/>
    <w:rsid w:val="00854A9C"/>
    <w:rsid w:val="00857EB9"/>
    <w:rsid w:val="0086269D"/>
    <w:rsid w:val="0086543A"/>
    <w:rsid w:val="008724E5"/>
    <w:rsid w:val="008765C9"/>
    <w:rsid w:val="008800DD"/>
    <w:rsid w:val="00884A9D"/>
    <w:rsid w:val="0088512B"/>
    <w:rsid w:val="00897EF0"/>
    <w:rsid w:val="008A2B2D"/>
    <w:rsid w:val="008A40B1"/>
    <w:rsid w:val="008A4E1E"/>
    <w:rsid w:val="008A6458"/>
    <w:rsid w:val="008C296C"/>
    <w:rsid w:val="008D4305"/>
    <w:rsid w:val="008D54EC"/>
    <w:rsid w:val="008E1A85"/>
    <w:rsid w:val="008E344F"/>
    <w:rsid w:val="008E347B"/>
    <w:rsid w:val="008E671A"/>
    <w:rsid w:val="008F5BC2"/>
    <w:rsid w:val="0090092C"/>
    <w:rsid w:val="00903C88"/>
    <w:rsid w:val="0091181B"/>
    <w:rsid w:val="009163A7"/>
    <w:rsid w:val="00937D53"/>
    <w:rsid w:val="00946D0B"/>
    <w:rsid w:val="00946FAC"/>
    <w:rsid w:val="00951336"/>
    <w:rsid w:val="00955877"/>
    <w:rsid w:val="00962034"/>
    <w:rsid w:val="0097319A"/>
    <w:rsid w:val="00981322"/>
    <w:rsid w:val="00985CD6"/>
    <w:rsid w:val="009873C0"/>
    <w:rsid w:val="009907FE"/>
    <w:rsid w:val="009A18CD"/>
    <w:rsid w:val="009A3892"/>
    <w:rsid w:val="009B2F9A"/>
    <w:rsid w:val="009C23A3"/>
    <w:rsid w:val="009D2F48"/>
    <w:rsid w:val="009D5428"/>
    <w:rsid w:val="00A0674D"/>
    <w:rsid w:val="00A12558"/>
    <w:rsid w:val="00A13903"/>
    <w:rsid w:val="00A26277"/>
    <w:rsid w:val="00A31985"/>
    <w:rsid w:val="00A34ED5"/>
    <w:rsid w:val="00A35A2C"/>
    <w:rsid w:val="00A366BE"/>
    <w:rsid w:val="00A42C49"/>
    <w:rsid w:val="00A45DBF"/>
    <w:rsid w:val="00A54625"/>
    <w:rsid w:val="00A678BD"/>
    <w:rsid w:val="00A725CF"/>
    <w:rsid w:val="00A755A2"/>
    <w:rsid w:val="00A8755A"/>
    <w:rsid w:val="00A91430"/>
    <w:rsid w:val="00A92379"/>
    <w:rsid w:val="00AA590D"/>
    <w:rsid w:val="00AA6660"/>
    <w:rsid w:val="00AB2C36"/>
    <w:rsid w:val="00AB6528"/>
    <w:rsid w:val="00AB6DDE"/>
    <w:rsid w:val="00AB70B6"/>
    <w:rsid w:val="00AC07F0"/>
    <w:rsid w:val="00AC18C1"/>
    <w:rsid w:val="00AD1A86"/>
    <w:rsid w:val="00AD3F40"/>
    <w:rsid w:val="00AD5C46"/>
    <w:rsid w:val="00AE103E"/>
    <w:rsid w:val="00AF0A07"/>
    <w:rsid w:val="00AF4AEC"/>
    <w:rsid w:val="00AF625E"/>
    <w:rsid w:val="00AF7F37"/>
    <w:rsid w:val="00B033F3"/>
    <w:rsid w:val="00B139BE"/>
    <w:rsid w:val="00B160C3"/>
    <w:rsid w:val="00B2015C"/>
    <w:rsid w:val="00B2172B"/>
    <w:rsid w:val="00B34428"/>
    <w:rsid w:val="00B3637B"/>
    <w:rsid w:val="00B52373"/>
    <w:rsid w:val="00B63A02"/>
    <w:rsid w:val="00B66348"/>
    <w:rsid w:val="00B917D2"/>
    <w:rsid w:val="00B960C4"/>
    <w:rsid w:val="00B979B4"/>
    <w:rsid w:val="00B97EB3"/>
    <w:rsid w:val="00BA241A"/>
    <w:rsid w:val="00BB04AF"/>
    <w:rsid w:val="00BB6EEC"/>
    <w:rsid w:val="00BD4C23"/>
    <w:rsid w:val="00BD52C9"/>
    <w:rsid w:val="00BE6354"/>
    <w:rsid w:val="00C1351A"/>
    <w:rsid w:val="00C138D1"/>
    <w:rsid w:val="00C21D63"/>
    <w:rsid w:val="00C23A97"/>
    <w:rsid w:val="00C24AC0"/>
    <w:rsid w:val="00C322DB"/>
    <w:rsid w:val="00C36034"/>
    <w:rsid w:val="00C52EBE"/>
    <w:rsid w:val="00C5776D"/>
    <w:rsid w:val="00C647CA"/>
    <w:rsid w:val="00C64855"/>
    <w:rsid w:val="00C70EA7"/>
    <w:rsid w:val="00C7433F"/>
    <w:rsid w:val="00C7516E"/>
    <w:rsid w:val="00C75770"/>
    <w:rsid w:val="00C761A5"/>
    <w:rsid w:val="00C84BA3"/>
    <w:rsid w:val="00CA56BB"/>
    <w:rsid w:val="00CB0542"/>
    <w:rsid w:val="00CC470C"/>
    <w:rsid w:val="00CE60FA"/>
    <w:rsid w:val="00CE69A7"/>
    <w:rsid w:val="00CF0434"/>
    <w:rsid w:val="00D00B2B"/>
    <w:rsid w:val="00D06AA7"/>
    <w:rsid w:val="00D06EB0"/>
    <w:rsid w:val="00D24877"/>
    <w:rsid w:val="00D631AD"/>
    <w:rsid w:val="00D63318"/>
    <w:rsid w:val="00D7105A"/>
    <w:rsid w:val="00D71A4E"/>
    <w:rsid w:val="00D74D86"/>
    <w:rsid w:val="00D8250F"/>
    <w:rsid w:val="00D86BB3"/>
    <w:rsid w:val="00D92335"/>
    <w:rsid w:val="00D93DB2"/>
    <w:rsid w:val="00D95C4C"/>
    <w:rsid w:val="00DA3604"/>
    <w:rsid w:val="00DA36ED"/>
    <w:rsid w:val="00DA5921"/>
    <w:rsid w:val="00DB2741"/>
    <w:rsid w:val="00DB5C2E"/>
    <w:rsid w:val="00DC49CB"/>
    <w:rsid w:val="00DD751E"/>
    <w:rsid w:val="00DE34F1"/>
    <w:rsid w:val="00DE5D5A"/>
    <w:rsid w:val="00DE6160"/>
    <w:rsid w:val="00DF2D23"/>
    <w:rsid w:val="00DF4942"/>
    <w:rsid w:val="00DF59FF"/>
    <w:rsid w:val="00E10ED7"/>
    <w:rsid w:val="00E160AA"/>
    <w:rsid w:val="00E2125F"/>
    <w:rsid w:val="00E244E1"/>
    <w:rsid w:val="00E32B84"/>
    <w:rsid w:val="00E4150C"/>
    <w:rsid w:val="00E434C0"/>
    <w:rsid w:val="00E53DAE"/>
    <w:rsid w:val="00E564DF"/>
    <w:rsid w:val="00E627B1"/>
    <w:rsid w:val="00E70169"/>
    <w:rsid w:val="00E7253D"/>
    <w:rsid w:val="00E80F26"/>
    <w:rsid w:val="00E90D10"/>
    <w:rsid w:val="00E9376C"/>
    <w:rsid w:val="00E943C7"/>
    <w:rsid w:val="00E95AE2"/>
    <w:rsid w:val="00E97074"/>
    <w:rsid w:val="00EA0F87"/>
    <w:rsid w:val="00EA335E"/>
    <w:rsid w:val="00EA528C"/>
    <w:rsid w:val="00EA580C"/>
    <w:rsid w:val="00EB025A"/>
    <w:rsid w:val="00EB26FB"/>
    <w:rsid w:val="00EB6E05"/>
    <w:rsid w:val="00EB7345"/>
    <w:rsid w:val="00EB7A59"/>
    <w:rsid w:val="00EC0F32"/>
    <w:rsid w:val="00EC6F8D"/>
    <w:rsid w:val="00ED39B2"/>
    <w:rsid w:val="00ED3C03"/>
    <w:rsid w:val="00EE49F4"/>
    <w:rsid w:val="00EF34E2"/>
    <w:rsid w:val="00EF7D3C"/>
    <w:rsid w:val="00F02274"/>
    <w:rsid w:val="00F10B01"/>
    <w:rsid w:val="00F125E2"/>
    <w:rsid w:val="00F23461"/>
    <w:rsid w:val="00F2390A"/>
    <w:rsid w:val="00F247E9"/>
    <w:rsid w:val="00F30DC6"/>
    <w:rsid w:val="00F31F96"/>
    <w:rsid w:val="00F32C23"/>
    <w:rsid w:val="00F34C6F"/>
    <w:rsid w:val="00F52486"/>
    <w:rsid w:val="00F53CAF"/>
    <w:rsid w:val="00F53DC9"/>
    <w:rsid w:val="00F53DE9"/>
    <w:rsid w:val="00F56F55"/>
    <w:rsid w:val="00F576CB"/>
    <w:rsid w:val="00F7035D"/>
    <w:rsid w:val="00F70CC5"/>
    <w:rsid w:val="00F70E7F"/>
    <w:rsid w:val="00F71A02"/>
    <w:rsid w:val="00F74DA5"/>
    <w:rsid w:val="00F81F16"/>
    <w:rsid w:val="00F92929"/>
    <w:rsid w:val="00F95DE2"/>
    <w:rsid w:val="00FA0D63"/>
    <w:rsid w:val="00FA7114"/>
    <w:rsid w:val="00FD1226"/>
    <w:rsid w:val="00FD4BC8"/>
    <w:rsid w:val="00FE0F78"/>
    <w:rsid w:val="00FF4830"/>
    <w:rsid w:val="00FF4DAC"/>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BFC06"/>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paragraph" w:styleId="Titre7">
    <w:name w:val="heading 7"/>
    <w:basedOn w:val="Normal"/>
    <w:next w:val="Normal"/>
    <w:link w:val="Titre7Car"/>
    <w:uiPriority w:val="9"/>
    <w:semiHidden/>
    <w:unhideWhenUsed/>
    <w:qFormat/>
    <w:rsid w:val="00DD751E"/>
    <w:pPr>
      <w:keepNext/>
      <w:keepLines/>
      <w:spacing w:before="40"/>
      <w:outlineLvl w:val="6"/>
    </w:pPr>
    <w:rPr>
      <w:rFonts w:asciiTheme="majorHAnsi" w:eastAsiaTheme="majorEastAsia" w:hAnsiTheme="majorHAnsi" w:cstheme="majorBidi"/>
      <w:i/>
      <w:iCs/>
      <w:color w:val="243F60" w:themeColor="accent1" w:themeShade="7F"/>
    </w:rPr>
  </w:style>
  <w:style w:type="paragraph" w:styleId="Titre9">
    <w:name w:val="heading 9"/>
    <w:basedOn w:val="Normal"/>
    <w:next w:val="Normal"/>
    <w:link w:val="Titre9Car"/>
    <w:uiPriority w:val="9"/>
    <w:semiHidden/>
    <w:unhideWhenUsed/>
    <w:qFormat/>
    <w:rsid w:val="00DD751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Grilledutableau">
    <w:name w:val="Table Grid"/>
    <w:basedOn w:val="TableauNormal"/>
    <w:uiPriority w:val="3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lang w:val="en-GB"/>
    </w:rPr>
  </w:style>
  <w:style w:type="table" w:customStyle="1" w:styleId="TableGrid1">
    <w:name w:val="Table Grid1"/>
    <w:basedOn w:val="TableauNormal"/>
    <w:next w:val="Grilledutableau"/>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4A2875"/>
    <w:pPr>
      <w:ind w:left="720"/>
      <w:contextualSpacing/>
    </w:pPr>
  </w:style>
  <w:style w:type="paragraph" w:styleId="Notedebasdepage">
    <w:name w:val="footnote text"/>
    <w:basedOn w:val="Normal"/>
    <w:link w:val="NotedebasdepageCar"/>
    <w:uiPriority w:val="99"/>
    <w:unhideWhenUsed/>
    <w:rsid w:val="004313C4"/>
    <w:rPr>
      <w:sz w:val="20"/>
      <w:szCs w:val="20"/>
    </w:rPr>
  </w:style>
  <w:style w:type="character" w:customStyle="1" w:styleId="NotedebasdepageCar">
    <w:name w:val="Note de bas de page Car"/>
    <w:basedOn w:val="Policepardfaut"/>
    <w:link w:val="Notedebasdepage"/>
    <w:uiPriority w:val="99"/>
    <w:rsid w:val="004313C4"/>
    <w:rPr>
      <w:rFonts w:ascii="Times New Roman" w:eastAsia="Times New Roman" w:hAnsi="Times New Roman"/>
    </w:rPr>
  </w:style>
  <w:style w:type="character" w:styleId="Appelnotedebasdep">
    <w:name w:val="footnote reference"/>
    <w:basedOn w:val="Policepardfaut"/>
    <w:uiPriority w:val="99"/>
    <w:semiHidden/>
    <w:unhideWhenUsed/>
    <w:rsid w:val="004313C4"/>
    <w:rPr>
      <w:vertAlign w:val="superscript"/>
    </w:rPr>
  </w:style>
  <w:style w:type="paragraph" w:customStyle="1" w:styleId="GAParaResolution">
    <w:name w:val="GA Para Resolution"/>
    <w:basedOn w:val="Normal"/>
    <w:qFormat/>
    <w:rsid w:val="005C792B"/>
    <w:pPr>
      <w:autoSpaceDE w:val="0"/>
      <w:autoSpaceDN w:val="0"/>
      <w:adjustRightInd w:val="0"/>
      <w:spacing w:after="120"/>
      <w:ind w:left="1287" w:hanging="360"/>
      <w:jc w:val="both"/>
    </w:pPr>
    <w:rPr>
      <w:rFonts w:ascii="Arial" w:eastAsia="SimSun" w:hAnsi="Arial" w:cs="Arial"/>
      <w:sz w:val="22"/>
      <w:szCs w:val="22"/>
      <w:u w:val="single"/>
      <w:lang w:val="en-GB"/>
    </w:rPr>
  </w:style>
  <w:style w:type="character" w:styleId="Lienhypertexte">
    <w:name w:val="Hyperlink"/>
    <w:aliases w:val=" Car Car3 Char, Car Car3 Char Char Char Char"/>
    <w:link w:val="CarCar3"/>
    <w:uiPriority w:val="99"/>
    <w:rsid w:val="00A35A2C"/>
    <w:rPr>
      <w:color w:val="0000FF"/>
      <w:u w:val="single"/>
    </w:rPr>
  </w:style>
  <w:style w:type="paragraph" w:customStyle="1" w:styleId="CarCar3">
    <w:name w:val="Car Car3"/>
    <w:aliases w:val=" Car Car3 Char Char"/>
    <w:basedOn w:val="Normal"/>
    <w:link w:val="Lienhypertexte"/>
    <w:rsid w:val="00A35A2C"/>
    <w:pPr>
      <w:tabs>
        <w:tab w:val="left" w:pos="510"/>
        <w:tab w:val="right" w:pos="9639"/>
      </w:tabs>
      <w:autoSpaceDE w:val="0"/>
      <w:autoSpaceDN w:val="0"/>
      <w:adjustRightInd w:val="0"/>
      <w:spacing w:after="80" w:line="220" w:lineRule="exact"/>
      <w:ind w:left="1020" w:hanging="510"/>
      <w:jc w:val="both"/>
    </w:pPr>
    <w:rPr>
      <w:rFonts w:ascii="Calibri" w:eastAsia="SimSun" w:hAnsi="Calibri"/>
      <w:color w:val="0000FF"/>
      <w:sz w:val="20"/>
      <w:szCs w:val="20"/>
      <w:u w:val="single"/>
    </w:rPr>
  </w:style>
  <w:style w:type="paragraph" w:customStyle="1" w:styleId="GAPara">
    <w:name w:val="GA Para"/>
    <w:qFormat/>
    <w:rsid w:val="00A35A2C"/>
    <w:pPr>
      <w:spacing w:after="120"/>
      <w:ind w:left="720" w:hanging="360"/>
    </w:pPr>
    <w:rPr>
      <w:rFonts w:ascii="Arial" w:eastAsia="Times New Roman" w:hAnsi="Arial" w:cs="Arial"/>
      <w:snapToGrid w:val="0"/>
      <w:sz w:val="22"/>
      <w:szCs w:val="22"/>
      <w:lang w:val="en-GB" w:eastAsia="en-US"/>
    </w:rPr>
  </w:style>
  <w:style w:type="character" w:styleId="Mentionnonrsolue">
    <w:name w:val="Unresolved Mention"/>
    <w:basedOn w:val="Policepardfaut"/>
    <w:uiPriority w:val="99"/>
    <w:semiHidden/>
    <w:unhideWhenUsed/>
    <w:rsid w:val="001D4DBC"/>
    <w:rPr>
      <w:color w:val="605E5C"/>
      <w:shd w:val="clear" w:color="auto" w:fill="E1DFDD"/>
    </w:rPr>
  </w:style>
  <w:style w:type="paragraph" w:styleId="Rvision">
    <w:name w:val="Revision"/>
    <w:hidden/>
    <w:uiPriority w:val="99"/>
    <w:semiHidden/>
    <w:rsid w:val="00854A9C"/>
    <w:rPr>
      <w:rFonts w:ascii="Times New Roman" w:eastAsia="Times New Roman" w:hAnsi="Times New Roman"/>
      <w:sz w:val="24"/>
      <w:szCs w:val="24"/>
    </w:rPr>
  </w:style>
  <w:style w:type="character" w:styleId="Lienhypertextesuivivisit">
    <w:name w:val="FollowedHyperlink"/>
    <w:basedOn w:val="Policepardfaut"/>
    <w:uiPriority w:val="99"/>
    <w:semiHidden/>
    <w:unhideWhenUsed/>
    <w:rsid w:val="00455B10"/>
    <w:rPr>
      <w:color w:val="800080" w:themeColor="followedHyperlink"/>
      <w:u w:val="single"/>
    </w:rPr>
  </w:style>
  <w:style w:type="character" w:styleId="Marquedecommentaire">
    <w:name w:val="annotation reference"/>
    <w:basedOn w:val="Policepardfaut"/>
    <w:uiPriority w:val="99"/>
    <w:semiHidden/>
    <w:unhideWhenUsed/>
    <w:rsid w:val="00B2015C"/>
    <w:rPr>
      <w:sz w:val="16"/>
      <w:szCs w:val="16"/>
    </w:rPr>
  </w:style>
  <w:style w:type="paragraph" w:styleId="Commentaire">
    <w:name w:val="annotation text"/>
    <w:basedOn w:val="Normal"/>
    <w:link w:val="CommentaireCar"/>
    <w:uiPriority w:val="99"/>
    <w:unhideWhenUsed/>
    <w:rsid w:val="00B2015C"/>
    <w:rPr>
      <w:sz w:val="20"/>
      <w:szCs w:val="20"/>
    </w:rPr>
  </w:style>
  <w:style w:type="character" w:customStyle="1" w:styleId="CommentaireCar">
    <w:name w:val="Commentaire Car"/>
    <w:basedOn w:val="Policepardfaut"/>
    <w:link w:val="Commentaire"/>
    <w:uiPriority w:val="99"/>
    <w:rsid w:val="00B2015C"/>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B2015C"/>
    <w:rPr>
      <w:b/>
      <w:bCs/>
    </w:rPr>
  </w:style>
  <w:style w:type="character" w:customStyle="1" w:styleId="ObjetducommentaireCar">
    <w:name w:val="Objet du commentaire Car"/>
    <w:basedOn w:val="CommentaireCar"/>
    <w:link w:val="Objetducommentaire"/>
    <w:uiPriority w:val="99"/>
    <w:semiHidden/>
    <w:rsid w:val="00B2015C"/>
    <w:rPr>
      <w:rFonts w:ascii="Times New Roman" w:eastAsia="Times New Roman" w:hAnsi="Times New Roman"/>
      <w:b/>
      <w:bCs/>
    </w:rPr>
  </w:style>
  <w:style w:type="character" w:customStyle="1" w:styleId="Titre7Car">
    <w:name w:val="Titre 7 Car"/>
    <w:basedOn w:val="Policepardfaut"/>
    <w:link w:val="Titre7"/>
    <w:uiPriority w:val="9"/>
    <w:semiHidden/>
    <w:rsid w:val="00DD751E"/>
    <w:rPr>
      <w:rFonts w:asciiTheme="majorHAnsi" w:eastAsiaTheme="majorEastAsia" w:hAnsiTheme="majorHAnsi" w:cstheme="majorBidi"/>
      <w:i/>
      <w:iCs/>
      <w:color w:val="243F60" w:themeColor="accent1" w:themeShade="7F"/>
      <w:sz w:val="24"/>
      <w:szCs w:val="24"/>
    </w:rPr>
  </w:style>
  <w:style w:type="character" w:customStyle="1" w:styleId="Titre9Car">
    <w:name w:val="Titre 9 Car"/>
    <w:basedOn w:val="Policepardfaut"/>
    <w:link w:val="Titre9"/>
    <w:uiPriority w:val="9"/>
    <w:semiHidden/>
    <w:rsid w:val="00DD751E"/>
    <w:rPr>
      <w:rFonts w:asciiTheme="majorHAnsi" w:eastAsiaTheme="majorEastAsia" w:hAnsiTheme="majorHAnsi" w:cstheme="majorBidi"/>
      <w:i/>
      <w:iCs/>
      <w:color w:val="272727" w:themeColor="text1" w:themeTint="D8"/>
      <w:sz w:val="21"/>
      <w:szCs w:val="21"/>
    </w:rPr>
  </w:style>
  <w:style w:type="paragraph" w:customStyle="1" w:styleId="GATitleResolution">
    <w:name w:val="GA Title Resolution"/>
    <w:basedOn w:val="Normal"/>
    <w:qFormat/>
    <w:rsid w:val="00DD751E"/>
    <w:pPr>
      <w:keepNext/>
      <w:spacing w:before="240" w:after="120"/>
      <w:ind w:left="567"/>
      <w:jc w:val="both"/>
    </w:pPr>
    <w:rPr>
      <w:rFonts w:ascii="Arial" w:hAnsi="Arial" w:cs="Arial"/>
      <w:b/>
      <w:sz w:val="22"/>
      <w:szCs w:val="22"/>
    </w:rPr>
  </w:style>
  <w:style w:type="paragraph" w:customStyle="1" w:styleId="GAPreambulaResolution">
    <w:name w:val="GA Preambula Resolution"/>
    <w:basedOn w:val="Normal"/>
    <w:qFormat/>
    <w:rsid w:val="00DD751E"/>
    <w:pPr>
      <w:keepNext/>
      <w:spacing w:after="120"/>
      <w:ind w:left="567"/>
      <w:jc w:val="both"/>
    </w:pPr>
    <w:rPr>
      <w:rFonts w:ascii="Arial" w:hAnsi="Arial" w:cs="Arial"/>
      <w:sz w:val="22"/>
      <w:szCs w:val="22"/>
    </w:rPr>
  </w:style>
  <w:style w:type="paragraph" w:customStyle="1" w:styleId="pf0">
    <w:name w:val="pf0"/>
    <w:basedOn w:val="Normal"/>
    <w:rsid w:val="00DD751E"/>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ich.unesco.org/fr/decisions/9.GA/7" TargetMode="External"/><Relationship Id="rId18" Type="http://schemas.openxmlformats.org/officeDocument/2006/relationships/header" Target="header3.xml"/><Relationship Id="rId26" Type="http://schemas.openxmlformats.org/officeDocument/2006/relationships/hyperlink" Target="https://ich.unesco.org/fr/decisions/18.COM/15"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ch.unesco.org/fr/d%C3%A9cisions/12.COM/17?dec=decisions&amp;ref_decision=12.COM" TargetMode="External"/><Relationship Id="rId34" Type="http://schemas.openxmlformats.org/officeDocument/2006/relationships/hyperlink" Target="https://ich.unesco.org/fr/decisions/18.COM/15"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2.xml"/><Relationship Id="rId25" Type="http://schemas.openxmlformats.org/officeDocument/2006/relationships/hyperlink" Target="https://ich.unesco.org/fr/decisions/9.GA/7" TargetMode="External"/><Relationship Id="rId33" Type="http://schemas.openxmlformats.org/officeDocument/2006/relationships/hyperlink" Target="https://ich.unesco.org/fr/Decisions/14.COM/15"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ich.unesco.org/fr/Decisions/12.COM/13" TargetMode="External"/><Relationship Id="rId29" Type="http://schemas.openxmlformats.org/officeDocument/2006/relationships/hyperlink" Target="https://ich.unesco.org/fr/decisions/8.GA/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ICH-09-2024-FR.doc" TargetMode="External"/><Relationship Id="rId24" Type="http://schemas.openxmlformats.org/officeDocument/2006/relationships/hyperlink" Target="https://ich.unesco.org/fr/ong-accreditees" TargetMode="External"/><Relationship Id="rId32" Type="http://schemas.openxmlformats.org/officeDocument/2006/relationships/hyperlink" Target="https://ich.unesco.org/fr/d%C3%A9cisions/12.COM/17?dec=decisions&amp;ref_decision=12.COM" TargetMode="External"/><Relationship Id="rId37"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ich.unesco.org/fr/decisions/18.COM/16" TargetMode="External"/><Relationship Id="rId23" Type="http://schemas.openxmlformats.org/officeDocument/2006/relationships/hyperlink" Target="https://ich.unesco.org/fr/decisions/8.GA/12" TargetMode="External"/><Relationship Id="rId28" Type="http://schemas.openxmlformats.org/officeDocument/2006/relationships/hyperlink" Target="https://ich.unesco.org/doc/src/LHE-24-10.GA-8_FR.docx" TargetMode="External"/><Relationship Id="rId36" Type="http://schemas.openxmlformats.org/officeDocument/2006/relationships/header" Target="header5.xml"/><Relationship Id="rId10" Type="http://schemas.openxmlformats.org/officeDocument/2006/relationships/hyperlink" Target="https://ich.unesco.org/fr/accreditation-d-ong-01352" TargetMode="External"/><Relationship Id="rId19" Type="http://schemas.openxmlformats.org/officeDocument/2006/relationships/hyperlink" Target="https://ich.unesco.org/fr/decisions/9.GA/7" TargetMode="External"/><Relationship Id="rId31" Type="http://schemas.openxmlformats.org/officeDocument/2006/relationships/hyperlink" Target="https://ich.unesco.org/fr/Decisions/12.COM/13" TargetMode="External"/><Relationship Id="rId4" Type="http://schemas.openxmlformats.org/officeDocument/2006/relationships/settings" Target="settings.xml"/><Relationship Id="rId9" Type="http://schemas.openxmlformats.org/officeDocument/2006/relationships/hyperlink" Target="https://ich.unesco.org/fr/decisions/18.COM/16" TargetMode="External"/><Relationship Id="rId14" Type="http://schemas.openxmlformats.org/officeDocument/2006/relationships/hyperlink" Target="https://ich.unesco.org/en/Decisions/9.GA/7" TargetMode="External"/><Relationship Id="rId22" Type="http://schemas.openxmlformats.org/officeDocument/2006/relationships/hyperlink" Target="https://ich.unesco.org/fr/Decisions/14.COM/15" TargetMode="External"/><Relationship Id="rId27" Type="http://schemas.openxmlformats.org/officeDocument/2006/relationships/hyperlink" Target="https://ich.unesco.org/doc/src/LHE-24-10.GA-10_FR.docx" TargetMode="External"/><Relationship Id="rId30" Type="http://schemas.openxmlformats.org/officeDocument/2006/relationships/hyperlink" Target="https://ich.unesco.org/fr/decisions/9.GA/7" TargetMode="External"/><Relationship Id="rId35"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s://ich.unesco.org/fr/Decisions/10.COM/16" TargetMode="External"/><Relationship Id="rId3" Type="http://schemas.openxmlformats.org/officeDocument/2006/relationships/hyperlink" Target="https://ich.unesco.org/fr/Resolutions/5.GA/6" TargetMode="External"/><Relationship Id="rId7" Type="http://schemas.openxmlformats.org/officeDocument/2006/relationships/hyperlink" Target="https://ich.unesco.org/fr/decisions/9.GA/7" TargetMode="External"/><Relationship Id="rId12" Type="http://schemas.openxmlformats.org/officeDocument/2006/relationships/hyperlink" Target="https://ich.unesco.org/fr/decisions/18.COM/16" TargetMode="External"/><Relationship Id="rId2" Type="http://schemas.openxmlformats.org/officeDocument/2006/relationships/hyperlink" Target="https://ich.unesco.org/fr/Resolutions/4.GA/6" TargetMode="External"/><Relationship Id="rId1" Type="http://schemas.openxmlformats.org/officeDocument/2006/relationships/hyperlink" Target="https://ich.unesco.org/fr/r%C3%A9solutions/3.GA/7" TargetMode="External"/><Relationship Id="rId6" Type="http://schemas.openxmlformats.org/officeDocument/2006/relationships/hyperlink" Target="https://ich.unesco.org/fr/Decisions/8.GA/13" TargetMode="External"/><Relationship Id="rId11" Type="http://schemas.openxmlformats.org/officeDocument/2006/relationships/hyperlink" Target="https://ich.unesco.org/fr/Decisions/16.COM/15" TargetMode="External"/><Relationship Id="rId5" Type="http://schemas.openxmlformats.org/officeDocument/2006/relationships/hyperlink" Target="https://ich.unesco.org/fr/Resolutions/7.GA/11" TargetMode="External"/><Relationship Id="rId10" Type="http://schemas.openxmlformats.org/officeDocument/2006/relationships/hyperlink" Target="https://ich.unesco.org/fr/Decisions/14.COM/17" TargetMode="External"/><Relationship Id="rId4" Type="http://schemas.openxmlformats.org/officeDocument/2006/relationships/hyperlink" Target="https://ich.unesco.org/fr/Decisions/6.GA/8" TargetMode="External"/><Relationship Id="rId9" Type="http://schemas.openxmlformats.org/officeDocument/2006/relationships/hyperlink" Target="https://ich.unesco.org/fr/Decisions/12.COM/1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200"/>
              <a:t>Graphique 1. Répartition géographique des ONG accréditées</a:t>
            </a:r>
          </a:p>
          <a:p>
            <a:pPr>
              <a:defRPr sz="1400" b="0" i="0" u="none" strike="noStrike" kern="1200" spc="0" baseline="0">
                <a:solidFill>
                  <a:schemeClr val="tx1">
                    <a:lumMod val="65000"/>
                    <a:lumOff val="35000"/>
                  </a:schemeClr>
                </a:solidFill>
                <a:latin typeface="+mn-lt"/>
                <a:ea typeface="+mn-ea"/>
                <a:cs typeface="+mn-cs"/>
              </a:defRPr>
            </a:pPr>
            <a:r>
              <a:rPr lang="fr-FR" sz="1200"/>
              <a:t>(206 au total </a:t>
            </a:r>
            <a:r>
              <a:rPr lang="fr-FR" sz="1200" b="0" i="0" u="none" strike="noStrike">
                <a:solidFill>
                  <a:sysClr val="windowText" lastClr="000000">
                    <a:lumMod val="65000"/>
                    <a:lumOff val="35000"/>
                  </a:sysClr>
                </a:solidFill>
              </a:rPr>
              <a:t>en 2023</a:t>
            </a:r>
            <a:r>
              <a:rPr lang="fr-FR" sz="1200"/>
              <a:t>)</a:t>
            </a:r>
          </a:p>
        </c:rich>
      </c:tx>
      <c:layout>
        <c:manualLayout>
          <c:xMode val="edge"/>
          <c:yMode val="edge"/>
          <c:x val="0.142140565762613"/>
          <c:y val="7.5915733535775326E-3"/>
        </c:manualLayout>
      </c:layout>
      <c:overlay val="0"/>
      <c:spPr>
        <a:noFill/>
        <a:ln>
          <a:noFill/>
        </a:ln>
        <a:effectLst/>
      </c:spPr>
    </c:title>
    <c:autoTitleDeleted val="0"/>
    <c:plotArea>
      <c:layout/>
      <c:pieChart>
        <c:varyColors val="1"/>
        <c:ser>
          <c:idx val="0"/>
          <c:order val="0"/>
          <c:tx>
            <c:strRef>
              <c:f>Sheet1!$B$1</c:f>
              <c:strCache>
                <c:ptCount val="1"/>
                <c:pt idx="0">
                  <c:v>Répartition géographique des ONG accréditées</c:v>
                </c:pt>
              </c:strCache>
            </c:strRef>
          </c:tx>
          <c:dPt>
            <c:idx val="0"/>
            <c:bubble3D val="0"/>
            <c:spPr>
              <a:pattFill prst="trellis">
                <a:fgClr>
                  <a:srgbClr val="FF0000"/>
                </a:fgClr>
                <a:bgClr>
                  <a:schemeClr val="bg1"/>
                </a:bgClr>
              </a:pattFill>
              <a:ln w="19050">
                <a:solidFill>
                  <a:schemeClr val="lt1"/>
                </a:solidFill>
              </a:ln>
              <a:effectLst/>
            </c:spPr>
            <c:extLst>
              <c:ext xmlns:c16="http://schemas.microsoft.com/office/drawing/2014/chart" uri="{C3380CC4-5D6E-409C-BE32-E72D297353CC}">
                <c16:uniqueId val="{00000001-E628-4754-ABFE-A23719613F9F}"/>
              </c:ext>
            </c:extLst>
          </c:dPt>
          <c:dPt>
            <c:idx val="1"/>
            <c:bubble3D val="0"/>
            <c:spPr>
              <a:pattFill prst="pct90">
                <a:fgClr>
                  <a:srgbClr val="00B050"/>
                </a:fgClr>
                <a:bgClr>
                  <a:schemeClr val="bg1"/>
                </a:bgClr>
              </a:pattFill>
              <a:ln w="19050">
                <a:solidFill>
                  <a:schemeClr val="lt1"/>
                </a:solidFill>
              </a:ln>
              <a:effectLst/>
            </c:spPr>
            <c:extLst>
              <c:ext xmlns:c16="http://schemas.microsoft.com/office/drawing/2014/chart" uri="{C3380CC4-5D6E-409C-BE32-E72D297353CC}">
                <c16:uniqueId val="{00000003-E628-4754-ABFE-A23719613F9F}"/>
              </c:ext>
            </c:extLst>
          </c:dPt>
          <c:dPt>
            <c:idx val="2"/>
            <c:bubble3D val="0"/>
            <c:spPr>
              <a:pattFill prst="pct60">
                <a:fgClr>
                  <a:srgbClr val="00B0F0"/>
                </a:fgClr>
                <a:bgClr>
                  <a:schemeClr val="bg1"/>
                </a:bgClr>
              </a:pattFill>
              <a:ln w="19050">
                <a:solidFill>
                  <a:schemeClr val="lt1"/>
                </a:solidFill>
              </a:ln>
              <a:effectLst/>
            </c:spPr>
            <c:extLst>
              <c:ext xmlns:c16="http://schemas.microsoft.com/office/drawing/2014/chart" uri="{C3380CC4-5D6E-409C-BE32-E72D297353CC}">
                <c16:uniqueId val="{00000005-E628-4754-ABFE-A23719613F9F}"/>
              </c:ext>
            </c:extLst>
          </c:dPt>
          <c:dPt>
            <c:idx val="3"/>
            <c:bubble3D val="0"/>
            <c:spPr>
              <a:pattFill prst="narHorz">
                <a:fgClr>
                  <a:srgbClr val="7030A0"/>
                </a:fgClr>
                <a:bgClr>
                  <a:schemeClr val="bg1"/>
                </a:bgClr>
              </a:pattFill>
              <a:ln w="19050">
                <a:solidFill>
                  <a:schemeClr val="lt1"/>
                </a:solidFill>
              </a:ln>
              <a:effectLst/>
            </c:spPr>
            <c:extLst>
              <c:ext xmlns:c16="http://schemas.microsoft.com/office/drawing/2014/chart" uri="{C3380CC4-5D6E-409C-BE32-E72D297353CC}">
                <c16:uniqueId val="{00000007-E628-4754-ABFE-A23719613F9F}"/>
              </c:ext>
            </c:extLst>
          </c:dPt>
          <c:dPt>
            <c:idx val="4"/>
            <c:bubble3D val="0"/>
            <c:spPr>
              <a:pattFill prst="pct90">
                <a:fgClr>
                  <a:srgbClr val="FFFF00"/>
                </a:fgClr>
                <a:bgClr>
                  <a:schemeClr val="bg1"/>
                </a:bgClr>
              </a:pattFill>
              <a:ln w="19050">
                <a:solidFill>
                  <a:schemeClr val="lt1"/>
                </a:solidFill>
              </a:ln>
              <a:effectLst/>
            </c:spPr>
            <c:extLst>
              <c:ext xmlns:c16="http://schemas.microsoft.com/office/drawing/2014/chart" uri="{C3380CC4-5D6E-409C-BE32-E72D297353CC}">
                <c16:uniqueId val="{00000009-E628-4754-ABFE-A23719613F9F}"/>
              </c:ext>
            </c:extLst>
          </c:dPt>
          <c:dPt>
            <c:idx val="5"/>
            <c:bubble3D val="0"/>
            <c:spPr>
              <a:pattFill prst="pct80">
                <a:fgClr>
                  <a:schemeClr val="accent6">
                    <a:lumMod val="75000"/>
                  </a:schemeClr>
                </a:fgClr>
                <a:bgClr>
                  <a:schemeClr val="bg1"/>
                </a:bgClr>
              </a:pattFill>
              <a:ln w="19050">
                <a:solidFill>
                  <a:schemeClr val="lt1"/>
                </a:solidFill>
              </a:ln>
              <a:effectLst/>
            </c:spPr>
            <c:extLst>
              <c:ext xmlns:c16="http://schemas.microsoft.com/office/drawing/2014/chart" uri="{C3380CC4-5D6E-409C-BE32-E72D297353CC}">
                <c16:uniqueId val="{0000000B-E628-4754-ABFE-A23719613F9F}"/>
              </c:ext>
            </c:extLst>
          </c:dPt>
          <c:dLbls>
            <c:dLbl>
              <c:idx val="2"/>
              <c:layout>
                <c:manualLayout>
                  <c:x val="-1.1700011700011743E-2"/>
                  <c:y val="-1.438848920863309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628-4754-ABFE-A23719613F9F}"/>
                </c:ext>
              </c:extLst>
            </c:dLbl>
            <c:dLbl>
              <c:idx val="5"/>
              <c:layout>
                <c:manualLayout>
                  <c:x val="3.0879613966616679E-2"/>
                  <c:y val="0"/>
                </c:manualLayout>
              </c:layout>
              <c:tx>
                <c:rich>
                  <a:bodyPr/>
                  <a:lstStyle/>
                  <a:p>
                    <a:r>
                      <a:rPr lang="en-US"/>
                      <a:t>Groupe V(b)</a:t>
                    </a:r>
                    <a:r>
                      <a:rPr lang="en-US" baseline="0"/>
                      <a:t>
</a:t>
                    </a:r>
                    <a:fld id="{A5B1BEE3-87DB-4944-B6BD-46F069BFA9A5}" type="PERCENTAGE">
                      <a:rPr lang="en-US" baseline="0"/>
                      <a:pPr/>
                      <a:t>[POURCENTAGE]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E628-4754-ABFE-A23719613F9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Sheet1!$A$2:$A$7</c:f>
              <c:strCache>
                <c:ptCount val="6"/>
                <c:pt idx="0">
                  <c:v>Groupe I</c:v>
                </c:pt>
                <c:pt idx="1">
                  <c:v>Groupe II</c:v>
                </c:pt>
                <c:pt idx="2">
                  <c:v>Groupe III</c:v>
                </c:pt>
                <c:pt idx="3">
                  <c:v>Groupe IV</c:v>
                </c:pt>
                <c:pt idx="4">
                  <c:v>Groupe V (a)</c:v>
                </c:pt>
                <c:pt idx="5">
                  <c:v>Groupe V (b)</c:v>
                </c:pt>
              </c:strCache>
            </c:strRef>
          </c:cat>
          <c:val>
            <c:numRef>
              <c:f>Sheet1!$B$2:$B$7</c:f>
              <c:numCache>
                <c:formatCode>General</c:formatCode>
                <c:ptCount val="6"/>
                <c:pt idx="0">
                  <c:v>108</c:v>
                </c:pt>
                <c:pt idx="1">
                  <c:v>21</c:v>
                </c:pt>
                <c:pt idx="2">
                  <c:v>14</c:v>
                </c:pt>
                <c:pt idx="3">
                  <c:v>28</c:v>
                </c:pt>
                <c:pt idx="4">
                  <c:v>25</c:v>
                </c:pt>
                <c:pt idx="5" formatCode="0">
                  <c:v>10</c:v>
                </c:pt>
              </c:numCache>
            </c:numRef>
          </c:val>
          <c:extLst>
            <c:ext xmlns:c16="http://schemas.microsoft.com/office/drawing/2014/chart" uri="{C3380CC4-5D6E-409C-BE32-E72D297353CC}">
              <c16:uniqueId val="{0000000C-E628-4754-ABFE-A23719613F9F}"/>
            </c:ext>
          </c:extLst>
        </c:ser>
        <c:dLbls>
          <c:showLegendKey val="0"/>
          <c:showVal val="0"/>
          <c:showCatName val="0"/>
          <c:showSerName val="0"/>
          <c:showPercent val="1"/>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200" b="0" i="0" u="none" strike="noStrike">
                <a:solidFill>
                  <a:sysClr val="windowText" lastClr="000000">
                    <a:lumMod val="65000"/>
                    <a:lumOff val="35000"/>
                  </a:sysClr>
                </a:solidFill>
              </a:rPr>
              <a:t>Graphique 2 : Répartition géographique des ONG recommandées pour accréditation lors de la 10.GA en 2024</a:t>
            </a:r>
          </a:p>
        </c:rich>
      </c:tx>
      <c:layout>
        <c:manualLayout>
          <c:xMode val="edge"/>
          <c:yMode val="edge"/>
          <c:x val="0.142140565762613"/>
          <c:y val="7.5915733535775326E-3"/>
        </c:manualLayout>
      </c:layout>
      <c:overlay val="0"/>
      <c:spPr>
        <a:noFill/>
        <a:ln>
          <a:noFill/>
        </a:ln>
        <a:effectLst/>
      </c:spPr>
    </c:title>
    <c:autoTitleDeleted val="0"/>
    <c:plotArea>
      <c:layout/>
      <c:pieChart>
        <c:varyColors val="1"/>
        <c:ser>
          <c:idx val="0"/>
          <c:order val="0"/>
          <c:tx>
            <c:strRef>
              <c:f>Sheet1!$B$1</c:f>
              <c:strCache>
                <c:ptCount val="1"/>
                <c:pt idx="0">
                  <c:v>Répartition géographique des ONG accréditées</c:v>
                </c:pt>
              </c:strCache>
            </c:strRef>
          </c:tx>
          <c:dPt>
            <c:idx val="0"/>
            <c:bubble3D val="0"/>
            <c:spPr>
              <a:pattFill prst="trellis">
                <a:fgClr>
                  <a:srgbClr val="FF0000"/>
                </a:fgClr>
                <a:bgClr>
                  <a:schemeClr val="bg1"/>
                </a:bgClr>
              </a:pattFill>
              <a:ln w="19050">
                <a:solidFill>
                  <a:schemeClr val="lt1"/>
                </a:solidFill>
              </a:ln>
              <a:effectLst/>
            </c:spPr>
            <c:extLst>
              <c:ext xmlns:c16="http://schemas.microsoft.com/office/drawing/2014/chart" uri="{C3380CC4-5D6E-409C-BE32-E72D297353CC}">
                <c16:uniqueId val="{00000001-6340-4B3A-BFB6-CB56F6DAABED}"/>
              </c:ext>
            </c:extLst>
          </c:dPt>
          <c:dPt>
            <c:idx val="1"/>
            <c:bubble3D val="0"/>
            <c:spPr>
              <a:pattFill prst="pct90">
                <a:fgClr>
                  <a:srgbClr val="00B050"/>
                </a:fgClr>
                <a:bgClr>
                  <a:schemeClr val="bg1"/>
                </a:bgClr>
              </a:pattFill>
              <a:ln w="19050">
                <a:solidFill>
                  <a:schemeClr val="lt1"/>
                </a:solidFill>
              </a:ln>
              <a:effectLst/>
            </c:spPr>
            <c:extLst>
              <c:ext xmlns:c16="http://schemas.microsoft.com/office/drawing/2014/chart" uri="{C3380CC4-5D6E-409C-BE32-E72D297353CC}">
                <c16:uniqueId val="{00000003-6340-4B3A-BFB6-CB56F6DAABED}"/>
              </c:ext>
            </c:extLst>
          </c:dPt>
          <c:dPt>
            <c:idx val="2"/>
            <c:bubble3D val="0"/>
            <c:spPr>
              <a:pattFill prst="pct60">
                <a:fgClr>
                  <a:srgbClr val="00B0F0"/>
                </a:fgClr>
                <a:bgClr>
                  <a:schemeClr val="bg1"/>
                </a:bgClr>
              </a:pattFill>
              <a:ln w="19050">
                <a:solidFill>
                  <a:schemeClr val="lt1"/>
                </a:solidFill>
              </a:ln>
              <a:effectLst/>
            </c:spPr>
            <c:extLst>
              <c:ext xmlns:c16="http://schemas.microsoft.com/office/drawing/2014/chart" uri="{C3380CC4-5D6E-409C-BE32-E72D297353CC}">
                <c16:uniqueId val="{00000005-6340-4B3A-BFB6-CB56F6DAABED}"/>
              </c:ext>
            </c:extLst>
          </c:dPt>
          <c:dPt>
            <c:idx val="3"/>
            <c:bubble3D val="0"/>
            <c:spPr>
              <a:pattFill prst="narHorz">
                <a:fgClr>
                  <a:srgbClr val="7030A0"/>
                </a:fgClr>
                <a:bgClr>
                  <a:schemeClr val="bg1"/>
                </a:bgClr>
              </a:pattFill>
              <a:ln w="19050">
                <a:solidFill>
                  <a:schemeClr val="lt1"/>
                </a:solidFill>
              </a:ln>
              <a:effectLst/>
            </c:spPr>
            <c:extLst>
              <c:ext xmlns:c16="http://schemas.microsoft.com/office/drawing/2014/chart" uri="{C3380CC4-5D6E-409C-BE32-E72D297353CC}">
                <c16:uniqueId val="{00000007-6340-4B3A-BFB6-CB56F6DAABED}"/>
              </c:ext>
            </c:extLst>
          </c:dPt>
          <c:dPt>
            <c:idx val="4"/>
            <c:bubble3D val="0"/>
            <c:spPr>
              <a:pattFill prst="pct90">
                <a:fgClr>
                  <a:srgbClr val="FFFF00"/>
                </a:fgClr>
                <a:bgClr>
                  <a:schemeClr val="bg1"/>
                </a:bgClr>
              </a:pattFill>
              <a:ln w="19050">
                <a:solidFill>
                  <a:schemeClr val="lt1"/>
                </a:solidFill>
              </a:ln>
              <a:effectLst/>
            </c:spPr>
            <c:extLst>
              <c:ext xmlns:c16="http://schemas.microsoft.com/office/drawing/2014/chart" uri="{C3380CC4-5D6E-409C-BE32-E72D297353CC}">
                <c16:uniqueId val="{00000009-6340-4B3A-BFB6-CB56F6DAABED}"/>
              </c:ext>
            </c:extLst>
          </c:dPt>
          <c:dPt>
            <c:idx val="5"/>
            <c:bubble3D val="0"/>
            <c:spPr>
              <a:pattFill prst="pct80">
                <a:fgClr>
                  <a:schemeClr val="accent6">
                    <a:lumMod val="75000"/>
                  </a:schemeClr>
                </a:fgClr>
                <a:bgClr>
                  <a:schemeClr val="bg1"/>
                </a:bgClr>
              </a:pattFill>
              <a:ln w="19050">
                <a:solidFill>
                  <a:schemeClr val="lt1"/>
                </a:solidFill>
              </a:ln>
              <a:effectLst/>
            </c:spPr>
            <c:extLst>
              <c:ext xmlns:c16="http://schemas.microsoft.com/office/drawing/2014/chart" uri="{C3380CC4-5D6E-409C-BE32-E72D297353CC}">
                <c16:uniqueId val="{0000000B-6340-4B3A-BFB6-CB56F6DAABED}"/>
              </c:ext>
            </c:extLst>
          </c:dPt>
          <c:dLbls>
            <c:dLbl>
              <c:idx val="2"/>
              <c:layout>
                <c:manualLayout>
                  <c:x val="-1.1700011700011743E-2"/>
                  <c:y val="-1.438848920863309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340-4B3A-BFB6-CB56F6DAABED}"/>
                </c:ext>
              </c:extLst>
            </c:dLbl>
            <c:dLbl>
              <c:idx val="4"/>
              <c:layout>
                <c:manualLayout>
                  <c:x val="-1.0011262670504317E-2"/>
                  <c:y val="4.6871338176704943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340-4B3A-BFB6-CB56F6DAABED}"/>
                </c:ext>
              </c:extLst>
            </c:dLbl>
            <c:dLbl>
              <c:idx val="5"/>
              <c:layout>
                <c:manualLayout>
                  <c:x val="5.8410593807797555E-2"/>
                  <c:y val="4.6871338176704943E-3"/>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en-US"/>
                      <a:t>Groupe V(b)</a:t>
                    </a:r>
                    <a:r>
                      <a:rPr lang="en-US" baseline="0"/>
                      <a:t>
</a:t>
                    </a:r>
                    <a:fld id="{A5B1BEE3-87DB-4944-B6BD-46F069BFA9A5}" type="PERCENTAGE">
                      <a:rPr lang="en-US" baseline="0"/>
                      <a:pPr>
                        <a:defRPr sz="900" b="0" i="0" u="none" strike="noStrike" kern="1200" baseline="0">
                          <a:solidFill>
                            <a:schemeClr val="dk1">
                              <a:lumMod val="65000"/>
                              <a:lumOff val="35000"/>
                            </a:schemeClr>
                          </a:solidFill>
                          <a:latin typeface="+mn-lt"/>
                          <a:ea typeface="+mn-ea"/>
                          <a:cs typeface="+mn-cs"/>
                        </a:defRPr>
                      </a:pPr>
                      <a:t>[POURCENTAGE]</a:t>
                    </a:fld>
                    <a:endParaRPr lang="en-US" baseline="0"/>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30485"/>
                        <a:gd name="adj2" fmla="val 65630"/>
                      </a:avLst>
                    </a:prstGeom>
                  </c15:spPr>
                  <c15:dlblFieldTable/>
                  <c15:showDataLabelsRange val="0"/>
                </c:ext>
                <c:ext xmlns:c16="http://schemas.microsoft.com/office/drawing/2014/chart" uri="{C3380CC4-5D6E-409C-BE32-E72D297353CC}">
                  <c16:uniqueId val="{0000000B-6340-4B3A-BFB6-CB56F6DAABED}"/>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Sheet1!$A$2:$A$7</c:f>
              <c:strCache>
                <c:ptCount val="6"/>
                <c:pt idx="0">
                  <c:v>Groupe I</c:v>
                </c:pt>
                <c:pt idx="1">
                  <c:v>Groupe II</c:v>
                </c:pt>
                <c:pt idx="2">
                  <c:v>Groupe III</c:v>
                </c:pt>
                <c:pt idx="3">
                  <c:v>Groupe IV</c:v>
                </c:pt>
                <c:pt idx="4">
                  <c:v>Groupe V (a)</c:v>
                </c:pt>
                <c:pt idx="5">
                  <c:v>Groupe V (b)</c:v>
                </c:pt>
              </c:strCache>
            </c:strRef>
          </c:cat>
          <c:val>
            <c:numRef>
              <c:f>Sheet1!$B$2:$B$7</c:f>
              <c:numCache>
                <c:formatCode>General</c:formatCode>
                <c:ptCount val="6"/>
                <c:pt idx="0">
                  <c:v>22</c:v>
                </c:pt>
                <c:pt idx="1">
                  <c:v>7</c:v>
                </c:pt>
                <c:pt idx="2">
                  <c:v>13</c:v>
                </c:pt>
                <c:pt idx="3">
                  <c:v>8</c:v>
                </c:pt>
                <c:pt idx="4">
                  <c:v>2</c:v>
                </c:pt>
                <c:pt idx="5" formatCode="0">
                  <c:v>6</c:v>
                </c:pt>
              </c:numCache>
            </c:numRef>
          </c:val>
          <c:extLst>
            <c:ext xmlns:c16="http://schemas.microsoft.com/office/drawing/2014/chart" uri="{C3380CC4-5D6E-409C-BE32-E72D297353CC}">
              <c16:uniqueId val="{0000000C-6340-4B3A-BFB6-CB56F6DAABED}"/>
            </c:ext>
          </c:extLst>
        </c:ser>
        <c:dLbls>
          <c:showLegendKey val="0"/>
          <c:showVal val="0"/>
          <c:showCatName val="0"/>
          <c:showSerName val="0"/>
          <c:showPercent val="1"/>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document_EN.dotx</Template>
  <TotalTime>184</TotalTime>
  <Pages>13</Pages>
  <Words>4121</Words>
  <Characters>23491</Characters>
  <Application>Microsoft Office Word</Application>
  <DocSecurity>0</DocSecurity>
  <Lines>195</Lines>
  <Paragraphs>55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27557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keywords>, docId:EB11A2B284BA4EBD3CCABA0778E23643</cp:keywords>
  <cp:lastModifiedBy>Ohinata, Fumiko</cp:lastModifiedBy>
  <cp:revision>37</cp:revision>
  <cp:lastPrinted>2011-08-06T10:22:00Z</cp:lastPrinted>
  <dcterms:created xsi:type="dcterms:W3CDTF">2024-05-30T08:46:00Z</dcterms:created>
  <dcterms:modified xsi:type="dcterms:W3CDTF">2024-05-31T18:58:00Z</dcterms:modified>
</cp:coreProperties>
</file>