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494F1" w14:textId="77777777" w:rsidR="006A315D" w:rsidRPr="00132C8D" w:rsidRDefault="006A315D" w:rsidP="00655736">
      <w:pPr>
        <w:spacing w:before="1440"/>
        <w:jc w:val="center"/>
        <w:rPr>
          <w:rFonts w:asciiTheme="minorBidi" w:hAnsiTheme="minorBidi" w:cstheme="minorBidi"/>
          <w:b/>
          <w:sz w:val="22"/>
          <w:szCs w:val="22"/>
          <w:lang w:val="en-GB"/>
        </w:rPr>
      </w:pPr>
      <w:r w:rsidRPr="00FF485B">
        <w:rPr>
          <w:rFonts w:asciiTheme="minorBidi" w:hAnsiTheme="minorBidi" w:cstheme="minorBidi"/>
          <w:b/>
          <w:sz w:val="22"/>
          <w:szCs w:val="22"/>
          <w:lang w:val="en-GB"/>
        </w:rPr>
        <w:t>CONVENTION FOR THE SAFEGUARDIN</w:t>
      </w:r>
      <w:r w:rsidRPr="00132C8D">
        <w:rPr>
          <w:rFonts w:asciiTheme="minorBidi" w:hAnsiTheme="minorBidi" w:cstheme="minorBidi"/>
          <w:b/>
          <w:sz w:val="22"/>
          <w:szCs w:val="22"/>
          <w:lang w:val="en-GB"/>
        </w:rPr>
        <w:t>G OF THE</w:t>
      </w:r>
      <w:bookmarkStart w:id="0" w:name="_Hlk105184981"/>
      <w:r w:rsidRPr="00132C8D">
        <w:rPr>
          <w:rFonts w:asciiTheme="minorBidi" w:hAnsiTheme="minorBidi" w:cstheme="minorBidi"/>
          <w:b/>
          <w:sz w:val="22"/>
          <w:szCs w:val="22"/>
          <w:lang w:val="en-GB"/>
        </w:rPr>
        <w:br/>
      </w:r>
      <w:bookmarkEnd w:id="0"/>
      <w:r w:rsidRPr="00132C8D">
        <w:rPr>
          <w:rFonts w:asciiTheme="minorBidi" w:hAnsiTheme="minorBidi" w:cstheme="minorBidi"/>
          <w:b/>
          <w:sz w:val="22"/>
          <w:szCs w:val="22"/>
          <w:lang w:val="en-GB"/>
        </w:rPr>
        <w:t>INTANGIBLE CULTURAL HERITAGE</w:t>
      </w:r>
    </w:p>
    <w:p w14:paraId="27B2C6A1" w14:textId="77777777" w:rsidR="006A315D" w:rsidRPr="00132C8D" w:rsidRDefault="006A315D" w:rsidP="00655736">
      <w:pPr>
        <w:spacing w:before="1200"/>
        <w:jc w:val="center"/>
        <w:rPr>
          <w:rFonts w:asciiTheme="minorBidi" w:hAnsiTheme="minorBidi" w:cstheme="minorBidi"/>
          <w:b/>
          <w:sz w:val="22"/>
          <w:szCs w:val="22"/>
          <w:lang w:val="en-GB"/>
        </w:rPr>
      </w:pPr>
      <w:r w:rsidRPr="00132C8D">
        <w:rPr>
          <w:rFonts w:asciiTheme="minorBidi" w:hAnsiTheme="minorBidi" w:cstheme="minorBidi"/>
          <w:b/>
          <w:sz w:val="22"/>
          <w:szCs w:val="22"/>
          <w:lang w:val="en-GB"/>
        </w:rPr>
        <w:t>GENERAL ASSEMBLY OF THE STATES PARTIES TO THE CONVENTION</w:t>
      </w:r>
    </w:p>
    <w:p w14:paraId="107AE99B" w14:textId="77777777" w:rsidR="006A315D" w:rsidRPr="00132C8D" w:rsidRDefault="006A315D" w:rsidP="00D95C4C">
      <w:pPr>
        <w:spacing w:before="840"/>
        <w:jc w:val="center"/>
        <w:rPr>
          <w:rFonts w:asciiTheme="minorBidi" w:hAnsiTheme="minorBidi" w:cstheme="minorBidi"/>
          <w:b/>
          <w:sz w:val="22"/>
          <w:szCs w:val="22"/>
          <w:lang w:val="en-GB"/>
        </w:rPr>
      </w:pPr>
      <w:r w:rsidRPr="00132C8D">
        <w:rPr>
          <w:rFonts w:asciiTheme="minorBidi" w:hAnsiTheme="minorBidi" w:cstheme="minorBidi"/>
          <w:b/>
          <w:sz w:val="22"/>
          <w:szCs w:val="22"/>
          <w:lang w:val="en-GB"/>
        </w:rPr>
        <w:t>Tenth session</w:t>
      </w:r>
    </w:p>
    <w:p w14:paraId="56608DFD" w14:textId="77777777" w:rsidR="006A315D" w:rsidRPr="00132C8D" w:rsidRDefault="006A315D" w:rsidP="00D95C4C">
      <w:pPr>
        <w:jc w:val="center"/>
        <w:rPr>
          <w:rFonts w:asciiTheme="minorBidi" w:hAnsiTheme="minorBidi" w:cstheme="minorBidi"/>
          <w:b/>
          <w:sz w:val="22"/>
          <w:szCs w:val="22"/>
          <w:lang w:val="en-GB"/>
        </w:rPr>
      </w:pPr>
      <w:r w:rsidRPr="00132C8D">
        <w:rPr>
          <w:rFonts w:asciiTheme="minorBidi" w:hAnsiTheme="minorBidi" w:cstheme="minorBidi"/>
          <w:b/>
          <w:sz w:val="22"/>
          <w:szCs w:val="22"/>
          <w:lang w:val="en-GB"/>
        </w:rPr>
        <w:t>UNESCO Headquarters, Room I</w:t>
      </w:r>
    </w:p>
    <w:p w14:paraId="513402F8" w14:textId="77777777" w:rsidR="006A315D" w:rsidRPr="00132C8D" w:rsidRDefault="006A315D" w:rsidP="00D95C4C">
      <w:pPr>
        <w:jc w:val="center"/>
        <w:rPr>
          <w:rFonts w:asciiTheme="minorBidi" w:hAnsiTheme="minorBidi" w:cstheme="minorBidi"/>
          <w:b/>
          <w:sz w:val="22"/>
          <w:szCs w:val="22"/>
          <w:lang w:val="en-GB"/>
        </w:rPr>
      </w:pPr>
      <w:r w:rsidRPr="00132C8D">
        <w:rPr>
          <w:rFonts w:asciiTheme="minorBidi" w:hAnsiTheme="minorBidi" w:cstheme="minorBidi"/>
          <w:b/>
          <w:sz w:val="22"/>
          <w:szCs w:val="22"/>
          <w:lang w:val="en-GB"/>
        </w:rPr>
        <w:t xml:space="preserve">11 to </w:t>
      </w:r>
      <w:r>
        <w:rPr>
          <w:rFonts w:asciiTheme="minorBidi" w:hAnsiTheme="minorBidi" w:cstheme="minorBidi"/>
          <w:b/>
          <w:sz w:val="22"/>
          <w:szCs w:val="22"/>
          <w:lang w:val="en-GB"/>
        </w:rPr>
        <w:t>12</w:t>
      </w:r>
      <w:r w:rsidRPr="00132C8D">
        <w:rPr>
          <w:rFonts w:asciiTheme="minorBidi" w:hAnsiTheme="minorBidi" w:cstheme="minorBidi"/>
          <w:b/>
          <w:sz w:val="22"/>
          <w:szCs w:val="22"/>
          <w:lang w:val="en-GB"/>
        </w:rPr>
        <w:t xml:space="preserve"> June 2024</w:t>
      </w:r>
    </w:p>
    <w:p w14:paraId="5362B8B0" w14:textId="77777777" w:rsidR="006A315D" w:rsidRPr="00132C8D" w:rsidRDefault="006A315D" w:rsidP="00655736">
      <w:pPr>
        <w:pStyle w:val="Sansinterligne2"/>
        <w:spacing w:before="1200"/>
        <w:jc w:val="center"/>
        <w:rPr>
          <w:rFonts w:asciiTheme="minorBidi" w:hAnsiTheme="minorBidi" w:cstheme="minorBidi"/>
          <w:b/>
          <w:sz w:val="22"/>
          <w:szCs w:val="22"/>
          <w:lang w:val="en-GB"/>
        </w:rPr>
      </w:pPr>
      <w:r w:rsidRPr="00132C8D">
        <w:rPr>
          <w:rFonts w:asciiTheme="minorBidi" w:hAnsiTheme="minorBidi" w:cstheme="minorBidi"/>
          <w:b/>
          <w:sz w:val="22"/>
          <w:szCs w:val="22"/>
          <w:u w:val="single"/>
          <w:lang w:val="en-GB"/>
        </w:rPr>
        <w:t xml:space="preserve">Item </w:t>
      </w:r>
      <w:r w:rsidRPr="00EE4B25">
        <w:rPr>
          <w:rFonts w:asciiTheme="minorBidi" w:hAnsiTheme="minorBidi" w:cstheme="minorBidi"/>
          <w:b/>
          <w:sz w:val="22"/>
          <w:szCs w:val="22"/>
          <w:u w:val="single"/>
          <w:lang w:val="en-GB"/>
        </w:rPr>
        <w:t>9</w:t>
      </w:r>
      <w:r w:rsidRPr="00132C8D">
        <w:rPr>
          <w:rFonts w:asciiTheme="minorBidi" w:hAnsiTheme="minorBidi" w:cstheme="minorBidi"/>
          <w:b/>
          <w:sz w:val="22"/>
          <w:szCs w:val="22"/>
          <w:u w:val="single"/>
          <w:lang w:val="en-GB"/>
        </w:rPr>
        <w:t xml:space="preserve"> of the provisional agenda</w:t>
      </w:r>
      <w:r w:rsidRPr="00132C8D">
        <w:rPr>
          <w:rFonts w:asciiTheme="minorBidi" w:hAnsiTheme="minorBidi" w:cstheme="minorBidi"/>
          <w:b/>
          <w:sz w:val="22"/>
          <w:szCs w:val="22"/>
          <w:lang w:val="en-GB"/>
        </w:rPr>
        <w:t>:</w:t>
      </w:r>
    </w:p>
    <w:p w14:paraId="0D54148D" w14:textId="77777777" w:rsidR="006A315D" w:rsidRPr="00132C8D" w:rsidRDefault="006A315D" w:rsidP="00141104">
      <w:pPr>
        <w:pStyle w:val="Sansinterligne2"/>
        <w:spacing w:after="1200"/>
        <w:jc w:val="center"/>
        <w:rPr>
          <w:rFonts w:asciiTheme="minorBidi" w:hAnsiTheme="minorBidi" w:cstheme="minorBidi"/>
          <w:b/>
          <w:sz w:val="22"/>
          <w:szCs w:val="22"/>
          <w:lang w:val="en-GB"/>
        </w:rPr>
      </w:pPr>
      <w:r w:rsidRPr="00132C8D">
        <w:rPr>
          <w:rFonts w:asciiTheme="minorBidi" w:hAnsiTheme="minorBidi" w:cstheme="minorBidi"/>
          <w:b/>
          <w:sz w:val="22"/>
          <w:szCs w:val="22"/>
          <w:lang w:val="en-GB"/>
        </w:rPr>
        <w:t>Accreditation of non-governmental organizations to act</w:t>
      </w:r>
      <w:r w:rsidRPr="00132C8D">
        <w:rPr>
          <w:rFonts w:asciiTheme="minorBidi" w:hAnsiTheme="minorBidi" w:cstheme="minorBidi"/>
          <w:b/>
          <w:sz w:val="22"/>
          <w:szCs w:val="22"/>
          <w:lang w:val="en-GB"/>
        </w:rPr>
        <w:br/>
        <w:t>in an advisory capacity to the Committee</w:t>
      </w:r>
    </w:p>
    <w:tbl>
      <w:tblPr>
        <w:tblW w:w="5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9"/>
      </w:tblGrid>
      <w:tr w:rsidR="006A315D" w:rsidRPr="00132C8D" w14:paraId="0EC2C3A3" w14:textId="77777777" w:rsidTr="007A6B7A">
        <w:trPr>
          <w:jc w:val="center"/>
        </w:trPr>
        <w:tc>
          <w:tcPr>
            <w:tcW w:w="5669" w:type="dxa"/>
            <w:vAlign w:val="center"/>
          </w:tcPr>
          <w:p w14:paraId="6DA52C2D" w14:textId="77777777" w:rsidR="006A315D" w:rsidRDefault="006A315D" w:rsidP="00132C8D">
            <w:pPr>
              <w:pStyle w:val="Sansinterligne1"/>
              <w:spacing w:before="120" w:after="120"/>
              <w:jc w:val="center"/>
              <w:rPr>
                <w:rFonts w:asciiTheme="minorBidi" w:hAnsiTheme="minorBidi" w:cstheme="minorBidi"/>
                <w:b/>
                <w:sz w:val="22"/>
                <w:szCs w:val="22"/>
                <w:lang w:val="en-GB"/>
              </w:rPr>
            </w:pPr>
            <w:r w:rsidRPr="00132C8D">
              <w:rPr>
                <w:rFonts w:asciiTheme="minorBidi" w:hAnsiTheme="minorBidi" w:cstheme="minorBidi"/>
                <w:b/>
                <w:sz w:val="22"/>
                <w:szCs w:val="22"/>
                <w:lang w:val="en-GB"/>
              </w:rPr>
              <w:t>Summary</w:t>
            </w:r>
          </w:p>
          <w:p w14:paraId="749CBB12" w14:textId="77777777" w:rsidR="006A315D" w:rsidRPr="00132C8D" w:rsidRDefault="006A315D" w:rsidP="00132C8D">
            <w:pPr>
              <w:pStyle w:val="pf0"/>
              <w:spacing w:before="120" w:beforeAutospacing="0" w:after="120" w:afterAutospacing="0"/>
              <w:jc w:val="both"/>
              <w:rPr>
                <w:rFonts w:asciiTheme="minorBidi" w:hAnsiTheme="minorBidi" w:cstheme="minorBidi"/>
                <w:bCs/>
                <w:sz w:val="22"/>
                <w:szCs w:val="22"/>
                <w:lang w:val="en-GB" w:eastAsia="fr-FR"/>
              </w:rPr>
            </w:pPr>
            <w:r w:rsidRPr="00132C8D">
              <w:rPr>
                <w:rFonts w:asciiTheme="minorBidi" w:hAnsiTheme="minorBidi" w:cstheme="minorBidi"/>
                <w:bCs/>
                <w:sz w:val="22"/>
                <w:szCs w:val="22"/>
                <w:lang w:val="en-GB" w:eastAsia="fr-FR"/>
              </w:rPr>
              <w:t xml:space="preserve">This document presents </w:t>
            </w:r>
            <w:r w:rsidRPr="00EE4B25">
              <w:rPr>
                <w:rFonts w:asciiTheme="minorBidi" w:hAnsiTheme="minorBidi" w:cstheme="minorBidi"/>
                <w:bCs/>
                <w:sz w:val="22"/>
                <w:szCs w:val="22"/>
                <w:lang w:val="en-GB" w:eastAsia="fr-FR"/>
              </w:rPr>
              <w:t>the fifty-eight requests</w:t>
            </w:r>
            <w:r w:rsidRPr="00132C8D">
              <w:rPr>
                <w:rFonts w:asciiTheme="minorBidi" w:hAnsiTheme="minorBidi" w:cstheme="minorBidi"/>
                <w:bCs/>
                <w:sz w:val="22"/>
                <w:szCs w:val="22"/>
                <w:lang w:val="en-GB" w:eastAsia="fr-FR"/>
              </w:rPr>
              <w:t xml:space="preserve"> from new non-governmental organizations (NGOs) to be accredited to perform advisory functions for the Committee as recommended by its eighteenth session</w:t>
            </w:r>
            <w:r>
              <w:rPr>
                <w:rFonts w:asciiTheme="minorBidi" w:hAnsiTheme="minorBidi" w:cstheme="minorBidi"/>
                <w:bCs/>
                <w:sz w:val="22"/>
                <w:szCs w:val="22"/>
                <w:lang w:val="en-GB" w:eastAsia="fr-FR"/>
              </w:rPr>
              <w:t>.</w:t>
            </w:r>
          </w:p>
          <w:p w14:paraId="3BC1A424" w14:textId="77777777" w:rsidR="006A315D" w:rsidRPr="00132C8D" w:rsidRDefault="006A315D" w:rsidP="00D97A64">
            <w:pPr>
              <w:spacing w:before="200" w:after="200"/>
              <w:jc w:val="both"/>
              <w:rPr>
                <w:rFonts w:asciiTheme="minorBidi" w:hAnsiTheme="minorBidi" w:cstheme="minorBidi"/>
                <w:b/>
                <w:sz w:val="22"/>
                <w:szCs w:val="22"/>
                <w:lang w:val="en-GB"/>
              </w:rPr>
            </w:pPr>
            <w:r w:rsidRPr="00132C8D">
              <w:rPr>
                <w:rFonts w:asciiTheme="minorBidi" w:hAnsiTheme="minorBidi" w:cstheme="minorBidi"/>
                <w:b/>
                <w:sz w:val="22"/>
                <w:szCs w:val="22"/>
                <w:lang w:val="en-GB"/>
              </w:rPr>
              <w:t xml:space="preserve">Decision required: </w:t>
            </w:r>
            <w:r w:rsidRPr="00132C8D">
              <w:rPr>
                <w:rFonts w:asciiTheme="minorBidi" w:hAnsiTheme="minorBidi" w:cstheme="minorBidi"/>
                <w:bCs/>
                <w:sz w:val="22"/>
                <w:szCs w:val="22"/>
                <w:lang w:val="en-GB"/>
              </w:rPr>
              <w:t>paragraph </w:t>
            </w:r>
            <w:r>
              <w:rPr>
                <w:rFonts w:asciiTheme="minorBidi" w:hAnsiTheme="minorBidi" w:cstheme="minorBidi"/>
                <w:bCs/>
                <w:sz w:val="22"/>
                <w:szCs w:val="22"/>
                <w:lang w:val="en-GB"/>
              </w:rPr>
              <w:t>6</w:t>
            </w:r>
          </w:p>
        </w:tc>
      </w:tr>
    </w:tbl>
    <w:p w14:paraId="60D7ED6C" w14:textId="77777777" w:rsidR="006A315D" w:rsidRPr="00345080" w:rsidRDefault="006A315D" w:rsidP="00E35D26">
      <w:pPr>
        <w:rPr>
          <w:rFonts w:asciiTheme="minorBidi" w:hAnsiTheme="minorBidi" w:cstheme="minorBidi"/>
          <w:b/>
          <w:bCs/>
          <w:sz w:val="22"/>
          <w:szCs w:val="22"/>
          <w:lang w:val="en-GB"/>
        </w:rPr>
      </w:pPr>
      <w:r w:rsidRPr="00FF485B">
        <w:rPr>
          <w:rFonts w:asciiTheme="minorBidi" w:hAnsiTheme="minorBidi" w:cstheme="minorBidi"/>
          <w:lang w:val="en-GB"/>
        </w:rPr>
        <w:br w:type="page"/>
      </w:r>
      <w:r w:rsidRPr="00345080">
        <w:rPr>
          <w:rFonts w:asciiTheme="minorBidi" w:hAnsiTheme="minorBidi" w:cstheme="minorBidi"/>
          <w:b/>
          <w:bCs/>
          <w:sz w:val="22"/>
          <w:szCs w:val="22"/>
          <w:lang w:val="en-GB"/>
        </w:rPr>
        <w:lastRenderedPageBreak/>
        <w:t>Introduction</w:t>
      </w:r>
    </w:p>
    <w:p w14:paraId="56BC44B0" w14:textId="77777777" w:rsidR="006A315D" w:rsidRPr="00E21348" w:rsidRDefault="006A315D" w:rsidP="006A315D">
      <w:pPr>
        <w:pStyle w:val="COMTitleDecision"/>
        <w:keepNext w:val="0"/>
        <w:widowControl w:val="0"/>
        <w:numPr>
          <w:ilvl w:val="0"/>
          <w:numId w:val="48"/>
        </w:numPr>
        <w:spacing w:before="120"/>
        <w:rPr>
          <w:rFonts w:asciiTheme="minorBidi" w:hAnsiTheme="minorBidi" w:cstheme="minorBidi"/>
          <w:b w:val="0"/>
        </w:rPr>
      </w:pPr>
      <w:r w:rsidRPr="00E21348">
        <w:rPr>
          <w:rFonts w:asciiTheme="minorBidi" w:hAnsiTheme="minorBidi" w:cstheme="minorBidi"/>
          <w:b w:val="0"/>
          <w:bCs/>
        </w:rPr>
        <w:t>Article 9.1 of the Convention requires that the Committee propose to the General Assembly the accreditation of non-governmental organizations (NGOs) with recognized competence in the field of intangible cultural heritage to act in an advisory capacity to the Committee. The criteria for, and modalities of, such accreditation are included in Chapter III.2.2 of the Operational Directives (paragraphs 91-99). To date, the General Assembly has accredited 300 organizations.</w:t>
      </w:r>
      <w:r w:rsidRPr="00E21348">
        <w:rPr>
          <w:rStyle w:val="Appelnotedebasdep"/>
          <w:rFonts w:asciiTheme="minorBidi" w:hAnsiTheme="minorBidi" w:cstheme="minorBidi"/>
          <w:b w:val="0"/>
          <w:snapToGrid w:val="0"/>
          <w:lang w:eastAsia="en-US"/>
        </w:rPr>
        <w:footnoteReference w:id="1"/>
      </w:r>
    </w:p>
    <w:p w14:paraId="0FA408D4" w14:textId="77777777" w:rsidR="006A315D" w:rsidRPr="00E21348" w:rsidRDefault="006A315D" w:rsidP="006A315D">
      <w:pPr>
        <w:pStyle w:val="COMTitleDecision"/>
        <w:keepNext w:val="0"/>
        <w:widowControl w:val="0"/>
        <w:numPr>
          <w:ilvl w:val="0"/>
          <w:numId w:val="48"/>
        </w:numPr>
        <w:spacing w:before="120"/>
        <w:ind w:left="567" w:hanging="567"/>
        <w:rPr>
          <w:rFonts w:asciiTheme="minorBidi" w:hAnsiTheme="minorBidi" w:cstheme="minorBidi"/>
          <w:b w:val="0"/>
        </w:rPr>
      </w:pPr>
      <w:r w:rsidRPr="00E21348">
        <w:rPr>
          <w:rFonts w:asciiTheme="minorBidi" w:hAnsiTheme="minorBidi" w:cstheme="minorBidi"/>
          <w:b w:val="0"/>
          <w:bCs/>
        </w:rPr>
        <w:t>The contribution and commitment of accredited NGOs are subject to a review by the Committee every four years following accreditation, based on the modalities and procedures determined in Chapter III.2.2 of the Operational Directives (paragraphs 92–95). As a result of such review, the Committee may decide to maintain or terminate relations with the NGOs concerned. Following the decisions of the Committee in this regard over the past cycles,</w:t>
      </w:r>
      <w:r w:rsidRPr="00E21348">
        <w:rPr>
          <w:rStyle w:val="Appelnotedebasdep"/>
          <w:rFonts w:asciiTheme="minorBidi" w:hAnsiTheme="minorBidi" w:cstheme="minorBidi"/>
          <w:b w:val="0"/>
          <w:snapToGrid w:val="0"/>
          <w:lang w:eastAsia="en-US"/>
        </w:rPr>
        <w:footnoteReference w:id="2"/>
      </w:r>
      <w:r w:rsidRPr="00E21348">
        <w:rPr>
          <w:rFonts w:asciiTheme="minorBidi" w:hAnsiTheme="minorBidi" w:cstheme="minorBidi"/>
          <w:b w:val="0"/>
          <w:bCs/>
        </w:rPr>
        <w:t xml:space="preserve"> 206</w:t>
      </w:r>
      <w:r>
        <w:rPr>
          <w:rFonts w:asciiTheme="minorBidi" w:hAnsiTheme="minorBidi" w:cstheme="minorBidi"/>
          <w:b w:val="0"/>
          <w:bCs/>
        </w:rPr>
        <w:t> </w:t>
      </w:r>
      <w:r w:rsidRPr="00E21348">
        <w:rPr>
          <w:rFonts w:asciiTheme="minorBidi" w:hAnsiTheme="minorBidi" w:cstheme="minorBidi"/>
          <w:b w:val="0"/>
          <w:bCs/>
          <w:snapToGrid w:val="0"/>
          <w:lang w:eastAsia="en-US"/>
        </w:rPr>
        <w:t>NGOs are currently accredited to perform advisory functions for the Committee. T</w:t>
      </w:r>
      <w:r w:rsidRPr="00E21348">
        <w:rPr>
          <w:rFonts w:asciiTheme="minorBidi" w:hAnsiTheme="minorBidi" w:cstheme="minorBidi"/>
          <w:b w:val="0"/>
          <w:snapToGrid w:val="0"/>
          <w:lang w:eastAsia="en-US"/>
        </w:rPr>
        <w:t xml:space="preserve">heir </w:t>
      </w:r>
      <w:r w:rsidRPr="00E21348">
        <w:rPr>
          <w:rFonts w:asciiTheme="minorBidi" w:hAnsiTheme="minorBidi" w:cstheme="minorBidi"/>
          <w:b w:val="0"/>
        </w:rPr>
        <w:t>geographical</w:t>
      </w:r>
      <w:r w:rsidRPr="00E21348">
        <w:rPr>
          <w:rFonts w:asciiTheme="minorBidi" w:hAnsiTheme="minorBidi" w:cstheme="minorBidi"/>
          <w:b w:val="0"/>
          <w:snapToGrid w:val="0"/>
          <w:lang w:eastAsia="en-US"/>
        </w:rPr>
        <w:t xml:space="preserve"> distribution is as follows: Electoral Group I - 108; Electoral Group II - 21; Electoral Group III - 14; Electoral Group IV - 28; Electoral Group V(a) - 25 and Electoral Group V(b) - 10. </w:t>
      </w:r>
    </w:p>
    <w:p w14:paraId="22F36E48" w14:textId="77777777" w:rsidR="006A315D" w:rsidRPr="00E21348" w:rsidRDefault="006A315D" w:rsidP="00F70FBF">
      <w:pPr>
        <w:pStyle w:val="COMTitleDecision"/>
        <w:keepNext w:val="0"/>
        <w:widowControl w:val="0"/>
        <w:spacing w:before="120"/>
        <w:jc w:val="center"/>
        <w:rPr>
          <w:rFonts w:asciiTheme="minorBidi" w:hAnsiTheme="minorBidi" w:cstheme="minorBidi"/>
          <w:b w:val="0"/>
        </w:rPr>
      </w:pPr>
      <w:r w:rsidRPr="00E21348">
        <w:rPr>
          <w:rFonts w:asciiTheme="minorBidi" w:hAnsiTheme="minorBidi" w:cstheme="minorBidi"/>
          <w:b w:val="0"/>
          <w:noProof/>
          <w:lang w:eastAsia="ja-JP"/>
        </w:rPr>
        <w:drawing>
          <wp:inline distT="0" distB="0" distL="0" distR="0" wp14:anchorId="183BBC10" wp14:editId="0FD9CC40">
            <wp:extent cx="5274945" cy="2876550"/>
            <wp:effectExtent l="0" t="0" r="1905"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FDA7BA6" w14:textId="77777777" w:rsidR="006A315D" w:rsidRPr="00E21348" w:rsidRDefault="006A315D" w:rsidP="00C51389">
      <w:pPr>
        <w:pStyle w:val="COMTitleDecision"/>
        <w:keepNext w:val="0"/>
        <w:widowControl w:val="0"/>
        <w:spacing w:before="120"/>
        <w:jc w:val="center"/>
        <w:rPr>
          <w:rFonts w:asciiTheme="minorBidi" w:hAnsiTheme="minorBidi" w:cstheme="minorBidi"/>
          <w:b w:val="0"/>
        </w:rPr>
      </w:pPr>
    </w:p>
    <w:p w14:paraId="2BC671B0" w14:textId="77777777" w:rsidR="006A315D" w:rsidRPr="00345080" w:rsidRDefault="006A315D" w:rsidP="00600CE2">
      <w:pPr>
        <w:spacing w:before="120" w:after="120"/>
        <w:rPr>
          <w:rFonts w:asciiTheme="minorBidi" w:hAnsiTheme="minorBidi" w:cstheme="minorBidi"/>
          <w:bCs/>
          <w:sz w:val="22"/>
          <w:szCs w:val="22"/>
          <w:lang w:val="en-GB"/>
        </w:rPr>
      </w:pPr>
      <w:r w:rsidRPr="00345080">
        <w:rPr>
          <w:rFonts w:asciiTheme="minorBidi" w:hAnsiTheme="minorBidi" w:cstheme="minorBidi"/>
          <w:b/>
          <w:bCs/>
          <w:sz w:val="22"/>
          <w:szCs w:val="22"/>
          <w:lang w:val="en-GB"/>
        </w:rPr>
        <w:t>Accreditation of NGOs recommended by the eighteenth session of the Committee</w:t>
      </w:r>
    </w:p>
    <w:p w14:paraId="77043371" w14:textId="77777777" w:rsidR="006A315D" w:rsidRPr="00132C8D" w:rsidRDefault="006A315D" w:rsidP="006A315D">
      <w:pPr>
        <w:pStyle w:val="COMTitleDecision"/>
        <w:keepNext w:val="0"/>
        <w:widowControl w:val="0"/>
        <w:numPr>
          <w:ilvl w:val="0"/>
          <w:numId w:val="48"/>
        </w:numPr>
        <w:spacing w:before="120"/>
        <w:ind w:left="567" w:hanging="567"/>
        <w:rPr>
          <w:rFonts w:asciiTheme="minorBidi" w:hAnsiTheme="minorBidi" w:cstheme="minorBidi"/>
          <w:b w:val="0"/>
        </w:rPr>
      </w:pPr>
      <w:r w:rsidRPr="00E21348">
        <w:rPr>
          <w:rFonts w:asciiTheme="minorBidi" w:hAnsiTheme="minorBidi" w:cstheme="minorBidi"/>
          <w:b w:val="0"/>
        </w:rPr>
        <w:t xml:space="preserve">At its eighteenth session in 2023, the Committee examined </w:t>
      </w:r>
      <w:r w:rsidRPr="00E21348">
        <w:rPr>
          <w:rFonts w:asciiTheme="minorBidi" w:eastAsia="SimSun" w:hAnsiTheme="minorBidi" w:cstheme="minorBidi"/>
          <w:b w:val="0"/>
          <w:bCs/>
        </w:rPr>
        <w:t xml:space="preserve">new </w:t>
      </w:r>
      <w:r w:rsidRPr="00E21348">
        <w:rPr>
          <w:rFonts w:asciiTheme="minorBidi" w:hAnsiTheme="minorBidi" w:cstheme="minorBidi"/>
          <w:b w:val="0"/>
          <w:bCs/>
        </w:rPr>
        <w:t>accreditation</w:t>
      </w:r>
      <w:r w:rsidRPr="00E21348">
        <w:rPr>
          <w:rFonts w:asciiTheme="minorBidi" w:eastAsia="SimSun" w:hAnsiTheme="minorBidi" w:cstheme="minorBidi"/>
          <w:b w:val="0"/>
          <w:bCs/>
        </w:rPr>
        <w:t xml:space="preserve"> requests from</w:t>
      </w:r>
      <w:r w:rsidRPr="00132C8D">
        <w:rPr>
          <w:rFonts w:asciiTheme="minorBidi" w:eastAsia="SimSun" w:hAnsiTheme="minorBidi" w:cstheme="minorBidi"/>
          <w:b w:val="0"/>
          <w:bCs/>
        </w:rPr>
        <w:t xml:space="preserve"> seventy-three NGOs, and recommended that the General Assembly </w:t>
      </w:r>
      <w:r w:rsidRPr="00EE4B25">
        <w:rPr>
          <w:rFonts w:asciiTheme="minorBidi" w:eastAsia="SimSun" w:hAnsiTheme="minorBidi" w:cstheme="minorBidi"/>
          <w:b w:val="0"/>
          <w:bCs/>
        </w:rPr>
        <w:t>accredit fifty-eight of</w:t>
      </w:r>
      <w:r w:rsidRPr="00132C8D">
        <w:rPr>
          <w:rFonts w:asciiTheme="minorBidi" w:eastAsia="SimSun" w:hAnsiTheme="minorBidi" w:cstheme="minorBidi"/>
          <w:b w:val="0"/>
          <w:bCs/>
        </w:rPr>
        <w:t xml:space="preserve"> them (Decision </w:t>
      </w:r>
      <w:hyperlink r:id="rId9" w:history="1">
        <w:r w:rsidRPr="00132C8D">
          <w:rPr>
            <w:rStyle w:val="Lienhypertexte"/>
            <w:rFonts w:asciiTheme="minorBidi" w:eastAsia="SimSun" w:hAnsiTheme="minorBidi" w:cstheme="minorBidi"/>
            <w:b w:val="0"/>
            <w:bCs/>
          </w:rPr>
          <w:t>18.COM</w:t>
        </w:r>
        <w:r>
          <w:rPr>
            <w:rStyle w:val="Lienhypertexte"/>
            <w:rFonts w:asciiTheme="minorBidi" w:eastAsia="SimSun" w:hAnsiTheme="minorBidi" w:cstheme="minorBidi"/>
            <w:b w:val="0"/>
            <w:bCs/>
          </w:rPr>
          <w:t> </w:t>
        </w:r>
        <w:r w:rsidRPr="00132C8D">
          <w:rPr>
            <w:rStyle w:val="Lienhypertexte"/>
            <w:rFonts w:asciiTheme="minorBidi" w:eastAsia="SimSun" w:hAnsiTheme="minorBidi" w:cstheme="minorBidi"/>
            <w:b w:val="0"/>
            <w:bCs/>
          </w:rPr>
          <w:t>16</w:t>
        </w:r>
      </w:hyperlink>
      <w:r w:rsidRPr="00132C8D">
        <w:rPr>
          <w:rFonts w:asciiTheme="minorBidi" w:eastAsia="SimSun" w:hAnsiTheme="minorBidi" w:cstheme="minorBidi"/>
          <w:b w:val="0"/>
          <w:bCs/>
        </w:rPr>
        <w:t xml:space="preserve">). These organizations are listed in </w:t>
      </w:r>
      <w:r>
        <w:rPr>
          <w:rFonts w:asciiTheme="minorBidi" w:eastAsia="SimSun" w:hAnsiTheme="minorBidi" w:cstheme="minorBidi"/>
          <w:b w:val="0"/>
          <w:bCs/>
        </w:rPr>
        <w:t xml:space="preserve">the </w:t>
      </w:r>
      <w:r w:rsidRPr="00132C8D">
        <w:rPr>
          <w:rFonts w:asciiTheme="minorBidi" w:eastAsia="SimSun" w:hAnsiTheme="minorBidi" w:cstheme="minorBidi"/>
          <w:b w:val="0"/>
          <w:bCs/>
        </w:rPr>
        <w:t xml:space="preserve">Annex. The </w:t>
      </w:r>
      <w:hyperlink r:id="rId10" w:history="1">
        <w:r w:rsidRPr="00345080">
          <w:rPr>
            <w:rStyle w:val="Lienhypertexte"/>
            <w:rFonts w:asciiTheme="minorBidi" w:hAnsiTheme="minorBidi" w:cstheme="minorBidi"/>
            <w:b w:val="0"/>
          </w:rPr>
          <w:t>webpage of the Convention</w:t>
        </w:r>
      </w:hyperlink>
      <w:r w:rsidRPr="00345080">
        <w:rPr>
          <w:rFonts w:asciiTheme="minorBidi" w:eastAsia="SimSun" w:hAnsiTheme="minorBidi" w:cstheme="minorBidi"/>
          <w:b w:val="0"/>
          <w:bCs/>
        </w:rPr>
        <w:t xml:space="preserve"> makes</w:t>
      </w:r>
      <w:r w:rsidRPr="00132C8D">
        <w:rPr>
          <w:rFonts w:asciiTheme="minorBidi" w:eastAsia="SimSun" w:hAnsiTheme="minorBidi" w:cstheme="minorBidi"/>
          <w:b w:val="0"/>
          <w:bCs/>
        </w:rPr>
        <w:t xml:space="preserve"> available all requests that were completed in time for the examination by the eighteenth session of the Committee in the language in which they were submitted, namely </w:t>
      </w:r>
      <w:r w:rsidRPr="00132C8D">
        <w:rPr>
          <w:rFonts w:asciiTheme="minorBidi" w:eastAsia="SimSun" w:hAnsiTheme="minorBidi" w:cstheme="minorBidi"/>
          <w:b w:val="0"/>
          <w:bCs/>
        </w:rPr>
        <w:lastRenderedPageBreak/>
        <w:t xml:space="preserve">Form </w:t>
      </w:r>
      <w:hyperlink r:id="rId11" w:history="1">
        <w:r w:rsidRPr="00132C8D">
          <w:rPr>
            <w:rStyle w:val="Lienhypertexte"/>
            <w:rFonts w:asciiTheme="minorBidi" w:hAnsiTheme="minorBidi" w:cstheme="minorBidi"/>
            <w:b w:val="0"/>
          </w:rPr>
          <w:t>ICH-09</w:t>
        </w:r>
      </w:hyperlink>
      <w:r w:rsidRPr="00132C8D">
        <w:rPr>
          <w:rStyle w:val="Lienhypertexte"/>
          <w:rFonts w:asciiTheme="minorBidi" w:hAnsiTheme="minorBidi" w:cstheme="minorBidi"/>
          <w:b w:val="0"/>
        </w:rPr>
        <w:t xml:space="preserve"> </w:t>
      </w:r>
      <w:r w:rsidRPr="00132C8D">
        <w:rPr>
          <w:rFonts w:asciiTheme="minorBidi" w:eastAsia="SimSun" w:hAnsiTheme="minorBidi" w:cstheme="minorBidi"/>
          <w:b w:val="0"/>
          <w:bCs/>
        </w:rPr>
        <w:t xml:space="preserve">filled by each organization, together with supplementary documents regarding items 8.a, 8.b and 8.c of that form. </w:t>
      </w:r>
      <w:r w:rsidRPr="00132C8D">
        <w:rPr>
          <w:rFonts w:asciiTheme="minorBidi" w:hAnsiTheme="minorBidi" w:cstheme="minorBidi"/>
          <w:b w:val="0"/>
          <w:snapToGrid w:val="0"/>
          <w:lang w:eastAsia="en-US"/>
        </w:rPr>
        <w:t xml:space="preserve">The </w:t>
      </w:r>
      <w:r w:rsidRPr="00132C8D">
        <w:rPr>
          <w:rFonts w:asciiTheme="minorBidi" w:hAnsiTheme="minorBidi" w:cstheme="minorBidi"/>
          <w:b w:val="0"/>
        </w:rPr>
        <w:t>geographical</w:t>
      </w:r>
      <w:r w:rsidRPr="00132C8D">
        <w:rPr>
          <w:rFonts w:asciiTheme="minorBidi" w:hAnsiTheme="minorBidi" w:cstheme="minorBidi"/>
          <w:b w:val="0"/>
          <w:snapToGrid w:val="0"/>
          <w:lang w:eastAsia="en-US"/>
        </w:rPr>
        <w:t xml:space="preserve"> distribution of the </w:t>
      </w:r>
      <w:r>
        <w:rPr>
          <w:rFonts w:asciiTheme="minorBidi" w:hAnsiTheme="minorBidi" w:cstheme="minorBidi"/>
          <w:b w:val="0"/>
          <w:snapToGrid w:val="0"/>
          <w:lang w:eastAsia="en-US"/>
        </w:rPr>
        <w:t>fifty-eight</w:t>
      </w:r>
      <w:r w:rsidRPr="00132C8D">
        <w:rPr>
          <w:rFonts w:asciiTheme="minorBidi" w:hAnsiTheme="minorBidi" w:cstheme="minorBidi"/>
          <w:b w:val="0"/>
          <w:snapToGrid w:val="0"/>
          <w:lang w:eastAsia="en-US"/>
        </w:rPr>
        <w:t xml:space="preserve"> NGOs proposed for accreditation is as follows: Electoral Group I - 22; Electoral Group II - 7; Electoral Group III - 13; Electoral Group IV - 8; Electoral Group V(a) - 2 and Electoral Group V(b) - 6.</w:t>
      </w:r>
    </w:p>
    <w:p w14:paraId="77367354" w14:textId="77777777" w:rsidR="006A315D" w:rsidRPr="00132C8D" w:rsidRDefault="006A315D" w:rsidP="00DA3996">
      <w:pPr>
        <w:pStyle w:val="COMTitleDecision"/>
        <w:spacing w:before="120"/>
        <w:ind w:left="0"/>
        <w:jc w:val="center"/>
        <w:rPr>
          <w:rFonts w:asciiTheme="minorBidi" w:hAnsiTheme="minorBidi" w:cstheme="minorBidi"/>
          <w:bCs/>
          <w:snapToGrid w:val="0"/>
          <w:lang w:eastAsia="en-US"/>
        </w:rPr>
      </w:pPr>
      <w:r w:rsidRPr="00132C8D">
        <w:rPr>
          <w:rFonts w:asciiTheme="minorBidi" w:hAnsiTheme="minorBidi" w:cstheme="minorBidi"/>
          <w:b w:val="0"/>
          <w:noProof/>
          <w:lang w:eastAsia="ja-JP"/>
        </w:rPr>
        <w:drawing>
          <wp:anchor distT="0" distB="0" distL="114300" distR="114300" simplePos="0" relativeHeight="251659264" behindDoc="0" locked="0" layoutInCell="1" allowOverlap="1" wp14:anchorId="145B1E45" wp14:editId="06A4FCE9">
            <wp:simplePos x="0" y="0"/>
            <wp:positionH relativeFrom="margin">
              <wp:posOffset>631687</wp:posOffset>
            </wp:positionH>
            <wp:positionV relativeFrom="paragraph">
              <wp:posOffset>109579</wp:posOffset>
            </wp:positionV>
            <wp:extent cx="5074285" cy="2709545"/>
            <wp:effectExtent l="0" t="0" r="12065" b="14605"/>
            <wp:wrapSquare wrapText="bothSides"/>
            <wp:docPr id="88772436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7EF35253" w14:textId="77777777" w:rsidR="006A315D" w:rsidRPr="00132C8D" w:rsidRDefault="006A315D" w:rsidP="00435CED">
      <w:pPr>
        <w:jc w:val="center"/>
        <w:rPr>
          <w:rFonts w:asciiTheme="minorBidi" w:hAnsiTheme="minorBidi" w:cstheme="minorBidi"/>
          <w:lang w:val="en-GB"/>
        </w:rPr>
      </w:pPr>
    </w:p>
    <w:p w14:paraId="57AA413F" w14:textId="77777777" w:rsidR="006A315D" w:rsidRPr="00D97A64" w:rsidRDefault="006A315D" w:rsidP="007C36FB">
      <w:pPr>
        <w:pStyle w:val="COMTitleDecision"/>
        <w:spacing w:before="120"/>
        <w:rPr>
          <w:rFonts w:asciiTheme="minorBidi" w:hAnsiTheme="minorBidi" w:cstheme="minorBidi"/>
          <w:bCs/>
          <w:snapToGrid w:val="0"/>
          <w:sz w:val="2"/>
          <w:szCs w:val="2"/>
          <w:lang w:eastAsia="en-US"/>
        </w:rPr>
      </w:pPr>
      <w:r w:rsidRPr="00132C8D">
        <w:rPr>
          <w:rFonts w:asciiTheme="minorBidi" w:hAnsiTheme="minorBidi" w:cstheme="minorBidi"/>
          <w:bCs/>
          <w:snapToGrid w:val="0"/>
          <w:lang w:eastAsia="en-US"/>
        </w:rPr>
        <w:br w:type="textWrapping" w:clear="all"/>
      </w:r>
    </w:p>
    <w:p w14:paraId="3995FAE8" w14:textId="77777777" w:rsidR="006A315D" w:rsidRDefault="006A315D" w:rsidP="006A315D">
      <w:pPr>
        <w:pStyle w:val="COMTitleDecision"/>
        <w:keepNext w:val="0"/>
        <w:keepLines/>
        <w:widowControl w:val="0"/>
        <w:numPr>
          <w:ilvl w:val="0"/>
          <w:numId w:val="48"/>
        </w:numPr>
        <w:spacing w:before="120"/>
        <w:ind w:left="567" w:hanging="567"/>
        <w:rPr>
          <w:rFonts w:eastAsia="SimSun"/>
          <w:b w:val="0"/>
          <w:bCs/>
          <w:snapToGrid w:val="0"/>
          <w:lang w:val="en-US" w:eastAsia="en-US"/>
        </w:rPr>
      </w:pPr>
      <w:r>
        <w:rPr>
          <w:rFonts w:eastAsia="SimSun"/>
          <w:b w:val="0"/>
          <w:bCs/>
          <w:snapToGrid w:val="0"/>
          <w:lang w:val="en-US" w:eastAsia="en-US"/>
        </w:rPr>
        <w:t>Requests for new accreditations and renewals are reviewed by the Secretariat of the 2003 Convention against the criteria set out in the Operational Directives. The Secretariat registers the proposals in accordance with paragraph 99 of the Operational Directives, helps the organizations to provide any missing information, if necessary, and prepares recommendations to the Committee as requested in paragraph 92 of the Operational Directives. The relevant forms and corresponding working documents are made available through the webpage of the Convention at the latest four weeks before the opening of the relevant sessions of the Committee and the General Assembly.</w:t>
      </w:r>
    </w:p>
    <w:p w14:paraId="49C77B22" w14:textId="77777777" w:rsidR="006A315D" w:rsidRDefault="006A315D" w:rsidP="006A315D">
      <w:pPr>
        <w:pStyle w:val="COMTitleDecision"/>
        <w:numPr>
          <w:ilvl w:val="0"/>
          <w:numId w:val="48"/>
        </w:numPr>
        <w:spacing w:before="0"/>
        <w:ind w:left="567" w:hanging="567"/>
        <w:rPr>
          <w:rFonts w:asciiTheme="minorBidi" w:eastAsia="SimSun" w:hAnsiTheme="minorBidi" w:cstheme="minorBidi"/>
          <w:b w:val="0"/>
          <w:bCs/>
          <w:snapToGrid w:val="0"/>
          <w:lang w:eastAsia="en-US"/>
        </w:rPr>
      </w:pPr>
      <w:r w:rsidRPr="00132C8D">
        <w:rPr>
          <w:rFonts w:asciiTheme="minorBidi" w:hAnsiTheme="minorBidi" w:cstheme="minorBidi"/>
          <w:b w:val="0"/>
          <w:snapToGrid w:val="0"/>
          <w:lang w:eastAsia="en-US"/>
        </w:rPr>
        <w:t>I</w:t>
      </w:r>
      <w:r w:rsidRPr="00132C8D">
        <w:rPr>
          <w:rFonts w:asciiTheme="minorBidi" w:hAnsiTheme="minorBidi" w:cstheme="minorBidi"/>
          <w:b w:val="0"/>
        </w:rPr>
        <w:t>n</w:t>
      </w:r>
      <w:r w:rsidRPr="00132C8D">
        <w:rPr>
          <w:rFonts w:asciiTheme="minorBidi" w:hAnsiTheme="minorBidi" w:cstheme="minorBidi"/>
          <w:b w:val="0"/>
          <w:bCs/>
        </w:rPr>
        <w:t xml:space="preserve"> line with Resolution </w:t>
      </w:r>
      <w:hyperlink r:id="rId13" w:history="1">
        <w:r w:rsidRPr="00132C8D">
          <w:rPr>
            <w:rStyle w:val="Lienhypertexte"/>
            <w:rFonts w:asciiTheme="minorBidi" w:hAnsiTheme="minorBidi" w:cstheme="minorBidi"/>
            <w:b w:val="0"/>
            <w:bCs/>
          </w:rPr>
          <w:t>9.GA 7</w:t>
        </w:r>
      </w:hyperlink>
      <w:r w:rsidRPr="00132C8D">
        <w:rPr>
          <w:rFonts w:asciiTheme="minorBidi" w:hAnsiTheme="minorBidi" w:cstheme="minorBidi"/>
          <w:b w:val="0"/>
          <w:bCs/>
        </w:rPr>
        <w:t xml:space="preserve"> adopted by the ninth session of the General Assembly in 2022, the Secretariat sought cooperation from UNESCO Field Offices in the review of newly submitted accreditation requests. The list of NGO accreditation was made available to Field Offices and a form was created to collect relevant information. </w:t>
      </w:r>
      <w:r>
        <w:rPr>
          <w:rFonts w:asciiTheme="minorBidi" w:eastAsia="SimSun" w:hAnsiTheme="minorBidi" w:cstheme="minorBidi"/>
          <w:b w:val="0"/>
          <w:bCs/>
          <w:snapToGrid w:val="0"/>
          <w:lang w:eastAsia="en-US"/>
        </w:rPr>
        <w:t>Six</w:t>
      </w:r>
      <w:r w:rsidRPr="00132C8D">
        <w:rPr>
          <w:rFonts w:asciiTheme="minorBidi" w:eastAsia="SimSun" w:hAnsiTheme="minorBidi" w:cstheme="minorBidi"/>
          <w:b w:val="0"/>
          <w:bCs/>
          <w:snapToGrid w:val="0"/>
          <w:lang w:eastAsia="en-US"/>
        </w:rPr>
        <w:t xml:space="preserve"> UNESCO Field Offices supported the process, by providing complementary information to the requests for new accreditation by the non-governmental organizations with which they interacted.</w:t>
      </w:r>
    </w:p>
    <w:p w14:paraId="04CBB3ED" w14:textId="77777777" w:rsidR="006A315D" w:rsidRPr="00132C8D" w:rsidRDefault="006A315D" w:rsidP="006A315D">
      <w:pPr>
        <w:pStyle w:val="COMTitleDecision"/>
        <w:keepNext w:val="0"/>
        <w:widowControl w:val="0"/>
        <w:numPr>
          <w:ilvl w:val="0"/>
          <w:numId w:val="48"/>
        </w:numPr>
        <w:spacing w:before="0"/>
        <w:ind w:left="547" w:hanging="576"/>
        <w:rPr>
          <w:rFonts w:asciiTheme="minorBidi" w:hAnsiTheme="minorBidi" w:cstheme="minorBidi"/>
          <w:b w:val="0"/>
        </w:rPr>
      </w:pPr>
      <w:r w:rsidRPr="00132C8D">
        <w:rPr>
          <w:rFonts w:asciiTheme="minorBidi" w:hAnsiTheme="minorBidi" w:cstheme="minorBidi"/>
          <w:b w:val="0"/>
        </w:rPr>
        <w:t xml:space="preserve">The </w:t>
      </w:r>
      <w:r w:rsidRPr="00132C8D">
        <w:rPr>
          <w:rFonts w:asciiTheme="minorBidi" w:eastAsia="SimSun" w:hAnsiTheme="minorBidi" w:cstheme="minorBidi"/>
          <w:b w:val="0"/>
          <w:bCs/>
          <w:snapToGrid w:val="0"/>
          <w:lang w:eastAsia="en-US"/>
        </w:rPr>
        <w:t>General</w:t>
      </w:r>
      <w:r w:rsidRPr="00132C8D">
        <w:rPr>
          <w:rFonts w:asciiTheme="minorBidi" w:hAnsiTheme="minorBidi" w:cstheme="minorBidi"/>
          <w:b w:val="0"/>
        </w:rPr>
        <w:t xml:space="preserve"> </w:t>
      </w:r>
      <w:r w:rsidRPr="00132C8D">
        <w:rPr>
          <w:rFonts w:asciiTheme="minorBidi" w:eastAsia="SimSun" w:hAnsiTheme="minorBidi" w:cstheme="minorBidi"/>
          <w:b w:val="0"/>
          <w:bCs/>
          <w:snapToGrid w:val="0"/>
          <w:lang w:eastAsia="en-US"/>
        </w:rPr>
        <w:t>Assembly</w:t>
      </w:r>
      <w:r w:rsidRPr="00132C8D">
        <w:rPr>
          <w:rFonts w:asciiTheme="minorBidi" w:hAnsiTheme="minorBidi" w:cstheme="minorBidi"/>
          <w:b w:val="0"/>
        </w:rPr>
        <w:t xml:space="preserve"> may wish to adopt the following resolution:</w:t>
      </w:r>
    </w:p>
    <w:p w14:paraId="15C24625" w14:textId="77777777" w:rsidR="006A315D" w:rsidRPr="00132C8D" w:rsidRDefault="006A315D" w:rsidP="004C7156">
      <w:pPr>
        <w:pStyle w:val="GATitleResolution"/>
        <w:spacing w:before="360"/>
        <w:rPr>
          <w:rFonts w:asciiTheme="minorBidi" w:hAnsiTheme="minorBidi" w:cstheme="minorBidi"/>
        </w:rPr>
      </w:pPr>
      <w:r w:rsidRPr="00132C8D">
        <w:rPr>
          <w:rFonts w:asciiTheme="minorBidi" w:hAnsiTheme="minorBidi" w:cstheme="minorBidi"/>
        </w:rPr>
        <w:t xml:space="preserve">DRAFT RESOLUTION 10.GA </w:t>
      </w:r>
      <w:r>
        <w:rPr>
          <w:rFonts w:asciiTheme="minorBidi" w:hAnsiTheme="minorBidi" w:cstheme="minorBidi"/>
        </w:rPr>
        <w:t>9</w:t>
      </w:r>
    </w:p>
    <w:p w14:paraId="5909B203" w14:textId="77777777" w:rsidR="006A315D" w:rsidRPr="00132C8D" w:rsidRDefault="006A315D" w:rsidP="008A1ED4">
      <w:pPr>
        <w:pStyle w:val="GAPreambulaResolution"/>
        <w:rPr>
          <w:rFonts w:asciiTheme="minorBidi" w:hAnsiTheme="minorBidi" w:cstheme="minorBidi"/>
        </w:rPr>
      </w:pPr>
      <w:r w:rsidRPr="00132C8D">
        <w:rPr>
          <w:rFonts w:asciiTheme="minorBidi" w:hAnsiTheme="minorBidi" w:cstheme="minorBidi"/>
        </w:rPr>
        <w:t>The General Assembly,</w:t>
      </w:r>
    </w:p>
    <w:p w14:paraId="63FEFC3F" w14:textId="77777777" w:rsidR="006A315D" w:rsidRPr="00132C8D" w:rsidRDefault="006A315D" w:rsidP="005823AB">
      <w:pPr>
        <w:pStyle w:val="COMParaDecision"/>
        <w:jc w:val="left"/>
        <w:rPr>
          <w:rFonts w:asciiTheme="minorBidi" w:hAnsiTheme="minorBidi" w:cstheme="minorBidi"/>
        </w:rPr>
      </w:pPr>
      <w:r w:rsidRPr="00132C8D">
        <w:rPr>
          <w:rFonts w:asciiTheme="minorBidi" w:hAnsiTheme="minorBidi" w:cstheme="minorBidi"/>
        </w:rPr>
        <w:t>Having examined</w:t>
      </w:r>
      <w:r w:rsidRPr="00132C8D">
        <w:rPr>
          <w:rFonts w:asciiTheme="minorBidi" w:hAnsiTheme="minorBidi" w:cstheme="minorBidi"/>
          <w:u w:val="none"/>
        </w:rPr>
        <w:t xml:space="preserve"> </w:t>
      </w:r>
      <w:r w:rsidRPr="008C5B3C">
        <w:rPr>
          <w:rFonts w:asciiTheme="minorBidi" w:hAnsiTheme="minorBidi" w:cstheme="minorBidi"/>
          <w:u w:val="none"/>
        </w:rPr>
        <w:t>document LHE/24/10.GA/9 and</w:t>
      </w:r>
      <w:r w:rsidRPr="00132C8D">
        <w:rPr>
          <w:rFonts w:asciiTheme="minorBidi" w:hAnsiTheme="minorBidi" w:cstheme="minorBidi"/>
          <w:u w:val="none"/>
        </w:rPr>
        <w:t xml:space="preserve"> its annex,</w:t>
      </w:r>
    </w:p>
    <w:p w14:paraId="481FF0F3" w14:textId="77777777" w:rsidR="006A315D" w:rsidRPr="00132C8D" w:rsidRDefault="006A315D" w:rsidP="005823AB">
      <w:pPr>
        <w:pStyle w:val="COMParaDecision"/>
        <w:rPr>
          <w:rFonts w:asciiTheme="minorBidi" w:hAnsiTheme="minorBidi" w:cstheme="minorBidi"/>
        </w:rPr>
      </w:pPr>
      <w:r w:rsidRPr="00132C8D">
        <w:rPr>
          <w:rFonts w:asciiTheme="minorBidi" w:hAnsiTheme="minorBidi" w:cstheme="minorBidi"/>
        </w:rPr>
        <w:t>Recalling</w:t>
      </w:r>
      <w:r w:rsidRPr="00132C8D">
        <w:rPr>
          <w:rFonts w:asciiTheme="minorBidi" w:hAnsiTheme="minorBidi" w:cstheme="minorBidi"/>
          <w:u w:val="none"/>
        </w:rPr>
        <w:t xml:space="preserve"> Article 9 of the Convention and paragraphs 91-99 of the Operational Directives,</w:t>
      </w:r>
    </w:p>
    <w:p w14:paraId="0C6B81FB" w14:textId="77777777" w:rsidR="006A315D" w:rsidRPr="00132C8D" w:rsidRDefault="006A315D" w:rsidP="005823AB">
      <w:pPr>
        <w:pStyle w:val="COMParaDecision"/>
        <w:rPr>
          <w:rFonts w:asciiTheme="minorBidi" w:hAnsiTheme="minorBidi" w:cstheme="minorBidi"/>
        </w:rPr>
      </w:pPr>
      <w:r w:rsidRPr="00132C8D">
        <w:rPr>
          <w:rFonts w:asciiTheme="minorBidi" w:hAnsiTheme="minorBidi" w:cstheme="minorBidi"/>
        </w:rPr>
        <w:t>Further recalling</w:t>
      </w:r>
      <w:r w:rsidRPr="00132C8D">
        <w:rPr>
          <w:rFonts w:asciiTheme="minorBidi" w:hAnsiTheme="minorBidi" w:cstheme="minorBidi"/>
          <w:u w:val="none"/>
        </w:rPr>
        <w:t xml:space="preserve"> Decision </w:t>
      </w:r>
      <w:hyperlink r:id="rId14" w:history="1">
        <w:r w:rsidRPr="00132C8D">
          <w:rPr>
            <w:rStyle w:val="Lienhypertexte"/>
            <w:rFonts w:asciiTheme="minorBidi" w:hAnsiTheme="minorBidi" w:cstheme="minorBidi"/>
          </w:rPr>
          <w:t>18.COM 16</w:t>
        </w:r>
      </w:hyperlink>
      <w:r w:rsidRPr="00132C8D">
        <w:rPr>
          <w:rStyle w:val="Lienhypertexte"/>
          <w:rFonts w:asciiTheme="minorBidi" w:hAnsiTheme="minorBidi" w:cstheme="minorBidi"/>
          <w:u w:val="none"/>
        </w:rPr>
        <w:t>,</w:t>
      </w:r>
    </w:p>
    <w:p w14:paraId="13663CA6" w14:textId="77777777" w:rsidR="006A315D" w:rsidRPr="00132C8D" w:rsidRDefault="006A315D" w:rsidP="005823AB">
      <w:pPr>
        <w:pStyle w:val="COMParaDecision"/>
        <w:rPr>
          <w:rFonts w:asciiTheme="minorBidi" w:hAnsiTheme="minorBidi" w:cstheme="minorBidi"/>
        </w:rPr>
      </w:pPr>
      <w:r w:rsidRPr="00132C8D">
        <w:rPr>
          <w:rFonts w:asciiTheme="minorBidi" w:hAnsiTheme="minorBidi" w:cstheme="minorBidi"/>
        </w:rPr>
        <w:t>Accredits</w:t>
      </w:r>
      <w:r w:rsidRPr="00132C8D">
        <w:rPr>
          <w:rFonts w:asciiTheme="minorBidi" w:hAnsiTheme="minorBidi" w:cstheme="minorBidi"/>
          <w:u w:val="none"/>
        </w:rPr>
        <w:t xml:space="preserve"> </w:t>
      </w:r>
      <w:r w:rsidRPr="00DA514B">
        <w:rPr>
          <w:rFonts w:asciiTheme="minorBidi" w:hAnsiTheme="minorBidi" w:cstheme="minorBidi"/>
          <w:u w:val="none"/>
        </w:rPr>
        <w:t>the fifty-eight NGOs</w:t>
      </w:r>
      <w:r w:rsidRPr="00132C8D">
        <w:rPr>
          <w:rFonts w:asciiTheme="minorBidi" w:hAnsiTheme="minorBidi" w:cstheme="minorBidi"/>
          <w:u w:val="none"/>
        </w:rPr>
        <w:t xml:space="preserve"> listed in </w:t>
      </w:r>
      <w:r>
        <w:rPr>
          <w:rFonts w:asciiTheme="minorBidi" w:hAnsiTheme="minorBidi" w:cstheme="minorBidi"/>
          <w:u w:val="none"/>
        </w:rPr>
        <w:t>the annex</w:t>
      </w:r>
      <w:r w:rsidRPr="00132C8D">
        <w:rPr>
          <w:rFonts w:asciiTheme="minorBidi" w:hAnsiTheme="minorBidi" w:cstheme="minorBidi"/>
          <w:u w:val="none"/>
        </w:rPr>
        <w:t xml:space="preserve"> to this resolution to act in an advisory capacity to the Committee;</w:t>
      </w:r>
    </w:p>
    <w:p w14:paraId="54316433" w14:textId="77777777" w:rsidR="006A315D" w:rsidRPr="00132C8D" w:rsidRDefault="006A315D" w:rsidP="00C003BB">
      <w:pPr>
        <w:pStyle w:val="COMParaDecision"/>
        <w:rPr>
          <w:rFonts w:asciiTheme="minorBidi" w:hAnsiTheme="minorBidi" w:cstheme="minorBidi"/>
        </w:rPr>
      </w:pPr>
      <w:r w:rsidRPr="00132C8D">
        <w:rPr>
          <w:rFonts w:asciiTheme="minorBidi" w:hAnsiTheme="minorBidi" w:cstheme="minorBidi"/>
        </w:rPr>
        <w:t>Encourages</w:t>
      </w:r>
      <w:r w:rsidRPr="00132C8D">
        <w:rPr>
          <w:rFonts w:asciiTheme="minorBidi" w:hAnsiTheme="minorBidi" w:cstheme="minorBidi"/>
          <w:u w:val="none"/>
        </w:rPr>
        <w:t xml:space="preserve"> NGOs from under-represented Electoral Groups that meet the criteria for accreditation to submit their requests for accreditation at the earliest opportunity </w:t>
      </w:r>
      <w:r>
        <w:rPr>
          <w:rFonts w:asciiTheme="minorBidi" w:hAnsiTheme="minorBidi" w:cstheme="minorBidi"/>
          <w:u w:val="none"/>
        </w:rPr>
        <w:t>to</w:t>
      </w:r>
      <w:r w:rsidRPr="00132C8D">
        <w:rPr>
          <w:rFonts w:asciiTheme="minorBidi" w:hAnsiTheme="minorBidi" w:cstheme="minorBidi"/>
          <w:u w:val="none"/>
        </w:rPr>
        <w:t xml:space="preserve"> improve the geographical distribution of accredited NGOs </w:t>
      </w:r>
      <w:bookmarkStart w:id="2" w:name="_Hlk47615881"/>
      <w:r w:rsidRPr="00132C8D">
        <w:rPr>
          <w:rFonts w:asciiTheme="minorBidi" w:hAnsiTheme="minorBidi" w:cstheme="minorBidi"/>
          <w:u w:val="none"/>
        </w:rPr>
        <w:t xml:space="preserve">and </w:t>
      </w:r>
      <w:r w:rsidRPr="00132C8D">
        <w:rPr>
          <w:rFonts w:asciiTheme="minorBidi" w:hAnsiTheme="minorBidi" w:cstheme="minorBidi"/>
        </w:rPr>
        <w:t>invites</w:t>
      </w:r>
      <w:r w:rsidRPr="00132C8D">
        <w:rPr>
          <w:rFonts w:asciiTheme="minorBidi" w:hAnsiTheme="minorBidi" w:cstheme="minorBidi"/>
          <w:u w:val="none"/>
        </w:rPr>
        <w:t xml:space="preserve"> States Parties from those Electoral Groups to make this call widely known among NGOs based within their territories;</w:t>
      </w:r>
    </w:p>
    <w:bookmarkEnd w:id="2"/>
    <w:p w14:paraId="05DDE5B4" w14:textId="77777777" w:rsidR="006A315D" w:rsidRPr="00132C8D" w:rsidRDefault="006A315D" w:rsidP="005823AB">
      <w:pPr>
        <w:pStyle w:val="COMParaDecision"/>
        <w:rPr>
          <w:rFonts w:asciiTheme="minorBidi" w:hAnsiTheme="minorBidi" w:cstheme="minorBidi"/>
        </w:rPr>
      </w:pPr>
      <w:r w:rsidRPr="00132C8D">
        <w:rPr>
          <w:rFonts w:asciiTheme="minorBidi" w:hAnsiTheme="minorBidi" w:cstheme="minorBidi"/>
        </w:rPr>
        <w:lastRenderedPageBreak/>
        <w:t>Reminds</w:t>
      </w:r>
      <w:r w:rsidRPr="00132C8D">
        <w:rPr>
          <w:rFonts w:asciiTheme="minorBidi" w:hAnsiTheme="minorBidi" w:cstheme="minorBidi"/>
          <w:u w:val="none"/>
        </w:rPr>
        <w:t xml:space="preserve"> the NGOs accredited in 20</w:t>
      </w:r>
      <w:r>
        <w:rPr>
          <w:rFonts w:asciiTheme="minorBidi" w:hAnsiTheme="minorBidi" w:cstheme="minorBidi"/>
          <w:u w:val="none"/>
        </w:rPr>
        <w:t>12</w:t>
      </w:r>
      <w:r w:rsidRPr="00132C8D">
        <w:rPr>
          <w:rFonts w:asciiTheme="minorBidi" w:hAnsiTheme="minorBidi" w:cstheme="minorBidi"/>
          <w:u w:val="none"/>
        </w:rPr>
        <w:t>, 20</w:t>
      </w:r>
      <w:r>
        <w:rPr>
          <w:rFonts w:asciiTheme="minorBidi" w:hAnsiTheme="minorBidi" w:cstheme="minorBidi"/>
          <w:u w:val="none"/>
        </w:rPr>
        <w:t>16</w:t>
      </w:r>
      <w:r w:rsidRPr="00132C8D">
        <w:rPr>
          <w:rFonts w:asciiTheme="minorBidi" w:hAnsiTheme="minorBidi" w:cstheme="minorBidi"/>
          <w:u w:val="none"/>
        </w:rPr>
        <w:t xml:space="preserve">, </w:t>
      </w:r>
      <w:r>
        <w:rPr>
          <w:rFonts w:asciiTheme="minorBidi" w:hAnsiTheme="minorBidi" w:cstheme="minorBidi"/>
          <w:u w:val="none"/>
        </w:rPr>
        <w:t xml:space="preserve">and </w:t>
      </w:r>
      <w:r w:rsidRPr="00132C8D">
        <w:rPr>
          <w:rFonts w:asciiTheme="minorBidi" w:hAnsiTheme="minorBidi" w:cstheme="minorBidi"/>
          <w:u w:val="none"/>
        </w:rPr>
        <w:t>20</w:t>
      </w:r>
      <w:r>
        <w:rPr>
          <w:rFonts w:asciiTheme="minorBidi" w:hAnsiTheme="minorBidi" w:cstheme="minorBidi"/>
          <w:u w:val="none"/>
        </w:rPr>
        <w:t>20</w:t>
      </w:r>
      <w:r w:rsidRPr="00132C8D">
        <w:rPr>
          <w:rFonts w:asciiTheme="minorBidi" w:hAnsiTheme="minorBidi" w:cstheme="minorBidi"/>
          <w:u w:val="none"/>
        </w:rPr>
        <w:t xml:space="preserve"> that they are to submit their quadrennial report to the Secretariat before the deadline of </w:t>
      </w:r>
      <w:r>
        <w:rPr>
          <w:rFonts w:asciiTheme="minorBidi" w:hAnsiTheme="minorBidi" w:cstheme="minorBidi"/>
          <w:u w:val="none"/>
        </w:rPr>
        <w:t>15 February 2025</w:t>
      </w:r>
      <w:r w:rsidRPr="00132C8D">
        <w:rPr>
          <w:rFonts w:asciiTheme="minorBidi" w:hAnsiTheme="minorBidi" w:cstheme="minorBidi"/>
          <w:u w:val="none"/>
        </w:rPr>
        <w:t xml:space="preserve"> so that the </w:t>
      </w:r>
      <w:r>
        <w:rPr>
          <w:rFonts w:asciiTheme="minorBidi" w:hAnsiTheme="minorBidi" w:cstheme="minorBidi"/>
          <w:u w:val="none"/>
        </w:rPr>
        <w:t>twentieth</w:t>
      </w:r>
      <w:r w:rsidRPr="00C0269C">
        <w:rPr>
          <w:rFonts w:asciiTheme="minorBidi" w:hAnsiTheme="minorBidi" w:cstheme="minorBidi"/>
          <w:u w:val="none"/>
        </w:rPr>
        <w:t xml:space="preserve"> </w:t>
      </w:r>
      <w:r w:rsidRPr="00132C8D">
        <w:rPr>
          <w:rFonts w:asciiTheme="minorBidi" w:hAnsiTheme="minorBidi" w:cstheme="minorBidi"/>
          <w:u w:val="none"/>
        </w:rPr>
        <w:t>session of the Committee can review the contributions and commitment of each advisory organization</w:t>
      </w:r>
      <w:r>
        <w:rPr>
          <w:rFonts w:asciiTheme="minorBidi" w:hAnsiTheme="minorBidi" w:cstheme="minorBidi"/>
          <w:u w:val="none"/>
        </w:rPr>
        <w:t>.</w:t>
      </w:r>
    </w:p>
    <w:p w14:paraId="2CC1D075" w14:textId="77777777" w:rsidR="006A315D" w:rsidRPr="000D2922" w:rsidRDefault="006A315D" w:rsidP="00D97A64">
      <w:pPr>
        <w:pStyle w:val="COMParaDecision"/>
        <w:numPr>
          <w:ilvl w:val="0"/>
          <w:numId w:val="0"/>
        </w:numPr>
        <w:spacing w:before="240" w:after="240"/>
        <w:rPr>
          <w:rFonts w:asciiTheme="minorBidi" w:hAnsiTheme="minorBidi" w:cstheme="minorBidi"/>
          <w:b/>
          <w:bCs/>
          <w:snapToGrid w:val="0"/>
          <w:u w:val="none"/>
          <w:lang w:eastAsia="en-US"/>
        </w:rPr>
      </w:pPr>
      <w:r w:rsidRPr="00132C8D">
        <w:rPr>
          <w:rFonts w:asciiTheme="minorBidi" w:hAnsiTheme="minorBidi" w:cstheme="minorBidi"/>
          <w:b/>
          <w:bCs/>
          <w:snapToGrid w:val="0"/>
          <w:u w:val="none"/>
          <w:lang w:eastAsia="en-US"/>
        </w:rPr>
        <w:br w:type="page"/>
      </w:r>
      <w:r w:rsidRPr="000D2922">
        <w:rPr>
          <w:rFonts w:asciiTheme="minorBidi" w:hAnsiTheme="minorBidi" w:cstheme="minorBidi"/>
          <w:b/>
          <w:bCs/>
          <w:snapToGrid w:val="0"/>
          <w:u w:val="none"/>
          <w:lang w:eastAsia="en-US"/>
        </w:rPr>
        <w:lastRenderedPageBreak/>
        <w:t>Annex: Fifty-eight non-governmental organizations recommended for accreditation by the eighteenth session of the Committee.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945"/>
        <w:gridCol w:w="1621"/>
      </w:tblGrid>
      <w:tr w:rsidR="006A315D" w:rsidRPr="000D358B" w14:paraId="03282BE5" w14:textId="77777777" w:rsidTr="006D5FD6">
        <w:trPr>
          <w:trHeight w:val="576"/>
        </w:trPr>
        <w:tc>
          <w:tcPr>
            <w:tcW w:w="3148" w:type="pct"/>
            <w:shd w:val="clear" w:color="auto" w:fill="4F81BD" w:themeFill="accent1"/>
            <w:vAlign w:val="center"/>
            <w:hideMark/>
          </w:tcPr>
          <w:p w14:paraId="2266D679" w14:textId="77777777" w:rsidR="006A315D" w:rsidRPr="000D2922" w:rsidRDefault="006A315D" w:rsidP="006D5FD6">
            <w:pPr>
              <w:contextualSpacing/>
              <w:jc w:val="center"/>
              <w:rPr>
                <w:rFonts w:asciiTheme="minorBidi" w:hAnsiTheme="minorBidi" w:cstheme="minorBidi"/>
                <w:b/>
                <w:bCs/>
                <w:sz w:val="20"/>
                <w:szCs w:val="20"/>
                <w:lang w:val="en-GB" w:eastAsia="ja-JP"/>
              </w:rPr>
            </w:pPr>
            <w:r w:rsidRPr="000D2922">
              <w:rPr>
                <w:rFonts w:asciiTheme="minorBidi" w:hAnsiTheme="minorBidi" w:cstheme="minorBidi"/>
                <w:b/>
                <w:bCs/>
                <w:sz w:val="20"/>
                <w:szCs w:val="20"/>
                <w:lang w:val="en-GB"/>
              </w:rPr>
              <w:t>Organization name</w:t>
            </w:r>
          </w:p>
        </w:tc>
        <w:tc>
          <w:tcPr>
            <w:tcW w:w="1010" w:type="pct"/>
            <w:shd w:val="clear" w:color="auto" w:fill="4F81BD" w:themeFill="accent1"/>
            <w:vAlign w:val="center"/>
            <w:hideMark/>
          </w:tcPr>
          <w:p w14:paraId="5E3E9BC0" w14:textId="77777777" w:rsidR="006A315D" w:rsidRPr="000D2922" w:rsidRDefault="006A315D" w:rsidP="00EA2C1A">
            <w:pPr>
              <w:contextualSpacing/>
              <w:jc w:val="center"/>
              <w:rPr>
                <w:rFonts w:asciiTheme="minorBidi" w:hAnsiTheme="minorBidi" w:cstheme="minorBidi"/>
                <w:b/>
                <w:bCs/>
                <w:sz w:val="20"/>
                <w:szCs w:val="20"/>
                <w:lang w:val="en-GB"/>
              </w:rPr>
            </w:pPr>
            <w:r w:rsidRPr="000D2922">
              <w:rPr>
                <w:rFonts w:asciiTheme="minorBidi" w:hAnsiTheme="minorBidi" w:cstheme="minorBidi"/>
                <w:b/>
                <w:bCs/>
                <w:sz w:val="20"/>
                <w:szCs w:val="20"/>
                <w:lang w:val="en-GB"/>
              </w:rPr>
              <w:t>Country of registered office</w:t>
            </w:r>
          </w:p>
        </w:tc>
        <w:tc>
          <w:tcPr>
            <w:tcW w:w="842" w:type="pct"/>
            <w:shd w:val="clear" w:color="auto" w:fill="4F81BD" w:themeFill="accent1"/>
            <w:vAlign w:val="center"/>
            <w:hideMark/>
          </w:tcPr>
          <w:p w14:paraId="22E9ECA5" w14:textId="77777777" w:rsidR="006A315D" w:rsidRPr="000D2922" w:rsidRDefault="006A315D" w:rsidP="00EA2C1A">
            <w:pPr>
              <w:contextualSpacing/>
              <w:jc w:val="center"/>
              <w:rPr>
                <w:rFonts w:asciiTheme="minorBidi" w:hAnsiTheme="minorBidi" w:cstheme="minorBidi"/>
                <w:b/>
                <w:bCs/>
                <w:sz w:val="20"/>
                <w:szCs w:val="20"/>
                <w:lang w:val="en-GB"/>
              </w:rPr>
            </w:pPr>
            <w:r w:rsidRPr="000D2922">
              <w:rPr>
                <w:rFonts w:asciiTheme="minorBidi" w:hAnsiTheme="minorBidi" w:cstheme="minorBidi"/>
                <w:b/>
                <w:bCs/>
                <w:sz w:val="20"/>
                <w:szCs w:val="20"/>
                <w:lang w:val="en-GB"/>
              </w:rPr>
              <w:t>Application number</w:t>
            </w:r>
          </w:p>
        </w:tc>
      </w:tr>
      <w:tr w:rsidR="006A315D" w:rsidRPr="000D358B" w14:paraId="25D66787" w14:textId="77777777" w:rsidTr="006D5FD6">
        <w:trPr>
          <w:trHeight w:val="576"/>
        </w:trPr>
        <w:tc>
          <w:tcPr>
            <w:tcW w:w="3148" w:type="pct"/>
            <w:vAlign w:val="center"/>
          </w:tcPr>
          <w:p w14:paraId="37289B47" w14:textId="77777777" w:rsidR="006A315D" w:rsidRPr="000D2922" w:rsidRDefault="006A315D" w:rsidP="006D5FD6">
            <w:pPr>
              <w:contextualSpacing/>
              <w:rPr>
                <w:rFonts w:asciiTheme="minorBidi" w:hAnsiTheme="minorBidi" w:cstheme="minorBidi"/>
                <w:b/>
                <w:bCs/>
                <w:sz w:val="20"/>
                <w:szCs w:val="20"/>
                <w:lang w:val="en-GB"/>
              </w:rPr>
            </w:pPr>
            <w:r w:rsidRPr="000D2922">
              <w:rPr>
                <w:rFonts w:asciiTheme="minorBidi" w:hAnsiTheme="minorBidi" w:cstheme="minorBidi"/>
                <w:b/>
                <w:bCs/>
                <w:sz w:val="20"/>
                <w:szCs w:val="20"/>
                <w:lang w:val="en-GB"/>
              </w:rPr>
              <w:t xml:space="preserve">4 Grada </w:t>
            </w:r>
            <w:proofErr w:type="spellStart"/>
            <w:r w:rsidRPr="000D2922">
              <w:rPr>
                <w:rFonts w:asciiTheme="minorBidi" w:hAnsiTheme="minorBidi" w:cstheme="minorBidi"/>
                <w:b/>
                <w:bCs/>
                <w:sz w:val="20"/>
                <w:szCs w:val="20"/>
                <w:lang w:val="en-GB"/>
              </w:rPr>
              <w:t>Dragodid</w:t>
            </w:r>
            <w:proofErr w:type="spellEnd"/>
          </w:p>
        </w:tc>
        <w:tc>
          <w:tcPr>
            <w:tcW w:w="1010" w:type="pct"/>
            <w:vAlign w:val="center"/>
          </w:tcPr>
          <w:p w14:paraId="2BD9B748" w14:textId="77777777" w:rsidR="006A315D" w:rsidRPr="000D2922" w:rsidRDefault="006A315D" w:rsidP="00EA2C1A">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Croatia</w:t>
            </w:r>
          </w:p>
        </w:tc>
        <w:tc>
          <w:tcPr>
            <w:tcW w:w="842" w:type="pct"/>
            <w:vAlign w:val="center"/>
          </w:tcPr>
          <w:p w14:paraId="5A591062" w14:textId="77777777" w:rsidR="006A315D" w:rsidRPr="000D2922" w:rsidRDefault="006A315D" w:rsidP="00EA2C1A">
            <w:pPr>
              <w:pStyle w:val="Titre7"/>
              <w:jc w:val="center"/>
              <w:rPr>
                <w:rFonts w:asciiTheme="minorBidi" w:hAnsiTheme="minorBidi" w:cstheme="minorBidi"/>
                <w:i w:val="0"/>
                <w:iCs w:val="0"/>
                <w:color w:val="auto"/>
                <w:sz w:val="20"/>
                <w:szCs w:val="20"/>
                <w:lang w:val="en-GB"/>
              </w:rPr>
            </w:pPr>
            <w:r w:rsidRPr="000D2922">
              <w:rPr>
                <w:rFonts w:asciiTheme="minorBidi" w:hAnsiTheme="minorBidi" w:cstheme="minorBidi"/>
                <w:i w:val="0"/>
                <w:iCs w:val="0"/>
                <w:color w:val="auto"/>
                <w:sz w:val="20"/>
                <w:szCs w:val="20"/>
                <w:lang w:val="en-GB"/>
              </w:rPr>
              <w:t>NGO-90566</w:t>
            </w:r>
          </w:p>
        </w:tc>
      </w:tr>
      <w:tr w:rsidR="006A315D" w:rsidRPr="000D358B" w14:paraId="1F0DF453" w14:textId="77777777" w:rsidTr="006D5FD6">
        <w:trPr>
          <w:trHeight w:val="576"/>
        </w:trPr>
        <w:tc>
          <w:tcPr>
            <w:tcW w:w="3148" w:type="pct"/>
            <w:shd w:val="clear" w:color="auto" w:fill="DBE5F1" w:themeFill="accent1" w:themeFillTint="33"/>
            <w:vAlign w:val="center"/>
          </w:tcPr>
          <w:p w14:paraId="2D4E7D69" w14:textId="77777777" w:rsidR="006A315D" w:rsidRPr="000D2922" w:rsidRDefault="006A315D" w:rsidP="006D5FD6">
            <w:pPr>
              <w:contextualSpacing/>
              <w:rPr>
                <w:rFonts w:asciiTheme="minorBidi" w:hAnsiTheme="minorBidi" w:cstheme="minorBidi"/>
                <w:b/>
                <w:bCs/>
                <w:sz w:val="20"/>
                <w:szCs w:val="20"/>
                <w:lang w:val="es-ES"/>
              </w:rPr>
            </w:pPr>
            <w:r w:rsidRPr="000D2922">
              <w:rPr>
                <w:rFonts w:asciiTheme="minorBidi" w:hAnsiTheme="minorBidi" w:cstheme="minorBidi"/>
                <w:b/>
                <w:bCs/>
                <w:sz w:val="20"/>
                <w:szCs w:val="20"/>
                <w:lang w:val="es-ES"/>
              </w:rPr>
              <w:t xml:space="preserve">Acción Cultural </w:t>
            </w:r>
            <w:proofErr w:type="spellStart"/>
            <w:r w:rsidRPr="000D2922">
              <w:rPr>
                <w:rFonts w:asciiTheme="minorBidi" w:hAnsiTheme="minorBidi" w:cstheme="minorBidi"/>
                <w:b/>
                <w:bCs/>
                <w:sz w:val="20"/>
                <w:szCs w:val="20"/>
                <w:lang w:val="es-ES"/>
              </w:rPr>
              <w:t>Ngobe</w:t>
            </w:r>
            <w:proofErr w:type="spellEnd"/>
            <w:r w:rsidRPr="000D2922">
              <w:rPr>
                <w:rFonts w:asciiTheme="minorBidi" w:hAnsiTheme="minorBidi" w:cstheme="minorBidi"/>
                <w:sz w:val="20"/>
                <w:szCs w:val="20"/>
                <w:lang w:val="es-ES"/>
              </w:rPr>
              <w:br/>
              <w:t xml:space="preserve">Ngäbe Cultural </w:t>
            </w:r>
            <w:proofErr w:type="spellStart"/>
            <w:r w:rsidRPr="000D2922">
              <w:rPr>
                <w:rFonts w:asciiTheme="minorBidi" w:hAnsiTheme="minorBidi" w:cstheme="minorBidi"/>
                <w:sz w:val="20"/>
                <w:szCs w:val="20"/>
                <w:lang w:val="es-ES"/>
              </w:rPr>
              <w:t>Action</w:t>
            </w:r>
            <w:proofErr w:type="spellEnd"/>
          </w:p>
        </w:tc>
        <w:tc>
          <w:tcPr>
            <w:tcW w:w="1010" w:type="pct"/>
            <w:shd w:val="clear" w:color="auto" w:fill="DBE5F1" w:themeFill="accent1" w:themeFillTint="33"/>
            <w:vAlign w:val="center"/>
          </w:tcPr>
          <w:p w14:paraId="372DF70B" w14:textId="77777777" w:rsidR="006A315D" w:rsidRPr="000D2922" w:rsidRDefault="006A315D" w:rsidP="00EA2C1A">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Panama</w:t>
            </w:r>
          </w:p>
        </w:tc>
        <w:tc>
          <w:tcPr>
            <w:tcW w:w="842" w:type="pct"/>
            <w:shd w:val="clear" w:color="auto" w:fill="DBE5F1" w:themeFill="accent1" w:themeFillTint="33"/>
            <w:vAlign w:val="center"/>
          </w:tcPr>
          <w:p w14:paraId="796B28ED" w14:textId="77777777" w:rsidR="006A315D" w:rsidRPr="000D2922" w:rsidRDefault="006A315D" w:rsidP="00EA2C1A">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NGO-90583</w:t>
            </w:r>
          </w:p>
        </w:tc>
      </w:tr>
      <w:tr w:rsidR="006A315D" w:rsidRPr="000D358B" w14:paraId="44242E80" w14:textId="77777777" w:rsidTr="006D5FD6">
        <w:trPr>
          <w:trHeight w:val="576"/>
        </w:trPr>
        <w:tc>
          <w:tcPr>
            <w:tcW w:w="3148" w:type="pct"/>
            <w:vAlign w:val="center"/>
          </w:tcPr>
          <w:p w14:paraId="7562E11A" w14:textId="77777777" w:rsidR="006A315D" w:rsidRPr="000D2922" w:rsidRDefault="006A315D" w:rsidP="006D5FD6">
            <w:pPr>
              <w:contextualSpacing/>
              <w:rPr>
                <w:rFonts w:asciiTheme="minorBidi" w:hAnsiTheme="minorBidi" w:cstheme="minorBidi"/>
                <w:b/>
                <w:bCs/>
                <w:sz w:val="20"/>
                <w:szCs w:val="20"/>
                <w:lang w:val="en-GB"/>
              </w:rPr>
            </w:pPr>
            <w:r w:rsidRPr="000D2922">
              <w:rPr>
                <w:rFonts w:asciiTheme="minorBidi" w:hAnsiTheme="minorBidi" w:cstheme="minorBidi"/>
                <w:b/>
                <w:bCs/>
                <w:sz w:val="20"/>
                <w:szCs w:val="20"/>
                <w:lang w:val="en-GB"/>
              </w:rPr>
              <w:t>American Folklore Society</w:t>
            </w:r>
          </w:p>
        </w:tc>
        <w:tc>
          <w:tcPr>
            <w:tcW w:w="1010" w:type="pct"/>
            <w:vAlign w:val="center"/>
          </w:tcPr>
          <w:p w14:paraId="6D629130" w14:textId="77777777" w:rsidR="006A315D" w:rsidRPr="000D2922" w:rsidRDefault="006A315D" w:rsidP="00EA2C1A">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United States of America</w:t>
            </w:r>
          </w:p>
        </w:tc>
        <w:tc>
          <w:tcPr>
            <w:tcW w:w="842" w:type="pct"/>
            <w:vAlign w:val="center"/>
          </w:tcPr>
          <w:p w14:paraId="7968CA42" w14:textId="77777777" w:rsidR="006A315D" w:rsidRPr="000D2922" w:rsidRDefault="006A315D" w:rsidP="00EA2C1A">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NGO-90563</w:t>
            </w:r>
          </w:p>
        </w:tc>
      </w:tr>
      <w:tr w:rsidR="006A315D" w:rsidRPr="000D358B" w14:paraId="5BB093DA" w14:textId="77777777" w:rsidTr="006D5FD6">
        <w:trPr>
          <w:trHeight w:val="576"/>
        </w:trPr>
        <w:tc>
          <w:tcPr>
            <w:tcW w:w="3148" w:type="pct"/>
            <w:shd w:val="clear" w:color="auto" w:fill="DBE5F1" w:themeFill="accent1" w:themeFillTint="33"/>
            <w:vAlign w:val="center"/>
          </w:tcPr>
          <w:p w14:paraId="3B18CD53" w14:textId="77777777" w:rsidR="006A315D" w:rsidRPr="000D2922" w:rsidRDefault="006A315D" w:rsidP="006D5FD6">
            <w:pPr>
              <w:contextualSpacing/>
              <w:rPr>
                <w:rFonts w:asciiTheme="minorBidi" w:hAnsiTheme="minorBidi" w:cstheme="minorBidi"/>
                <w:b/>
                <w:bCs/>
                <w:sz w:val="20"/>
                <w:szCs w:val="20"/>
                <w:lang w:val="en-GB"/>
              </w:rPr>
            </w:pPr>
            <w:r w:rsidRPr="000D2922">
              <w:rPr>
                <w:rFonts w:asciiTheme="minorBidi" w:hAnsiTheme="minorBidi" w:cstheme="minorBidi"/>
                <w:b/>
                <w:bCs/>
                <w:sz w:val="20"/>
                <w:szCs w:val="20"/>
                <w:lang w:val="en-GB"/>
              </w:rPr>
              <w:t xml:space="preserve">ART - </w:t>
            </w:r>
            <w:proofErr w:type="spellStart"/>
            <w:r w:rsidRPr="000D2922">
              <w:rPr>
                <w:rFonts w:asciiTheme="minorBidi" w:hAnsiTheme="minorBidi" w:cstheme="minorBidi"/>
                <w:b/>
                <w:bCs/>
                <w:sz w:val="20"/>
                <w:szCs w:val="20"/>
                <w:lang w:val="en-GB"/>
              </w:rPr>
              <w:t>Meșteșugurile</w:t>
            </w:r>
            <w:proofErr w:type="spellEnd"/>
            <w:r w:rsidRPr="000D2922">
              <w:rPr>
                <w:rFonts w:asciiTheme="minorBidi" w:hAnsiTheme="minorBidi" w:cstheme="minorBidi"/>
                <w:b/>
                <w:bCs/>
                <w:sz w:val="20"/>
                <w:szCs w:val="20"/>
                <w:lang w:val="en-GB"/>
              </w:rPr>
              <w:t xml:space="preserve"> </w:t>
            </w:r>
            <w:proofErr w:type="spellStart"/>
            <w:r w:rsidRPr="000D2922">
              <w:rPr>
                <w:rFonts w:asciiTheme="minorBidi" w:hAnsiTheme="minorBidi" w:cstheme="minorBidi"/>
                <w:b/>
                <w:bCs/>
                <w:sz w:val="20"/>
                <w:szCs w:val="20"/>
                <w:lang w:val="en-GB"/>
              </w:rPr>
              <w:t>Prutului</w:t>
            </w:r>
            <w:proofErr w:type="spellEnd"/>
            <w:r w:rsidRPr="000D2922">
              <w:rPr>
                <w:rFonts w:asciiTheme="minorBidi" w:hAnsiTheme="minorBidi" w:cstheme="minorBidi"/>
                <w:sz w:val="20"/>
                <w:szCs w:val="20"/>
                <w:lang w:val="en-GB"/>
              </w:rPr>
              <w:br/>
              <w:t>ART - Prut Crafts Association</w:t>
            </w:r>
          </w:p>
        </w:tc>
        <w:tc>
          <w:tcPr>
            <w:tcW w:w="1010" w:type="pct"/>
            <w:shd w:val="clear" w:color="auto" w:fill="DBE5F1" w:themeFill="accent1" w:themeFillTint="33"/>
            <w:vAlign w:val="center"/>
          </w:tcPr>
          <w:p w14:paraId="4189C76A" w14:textId="77777777" w:rsidR="006A315D" w:rsidRPr="000D2922" w:rsidRDefault="006A315D" w:rsidP="00EA2C1A">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Romania</w:t>
            </w:r>
          </w:p>
        </w:tc>
        <w:tc>
          <w:tcPr>
            <w:tcW w:w="842" w:type="pct"/>
            <w:shd w:val="clear" w:color="auto" w:fill="DBE5F1" w:themeFill="accent1" w:themeFillTint="33"/>
            <w:vAlign w:val="center"/>
          </w:tcPr>
          <w:p w14:paraId="5DB3F450" w14:textId="77777777" w:rsidR="006A315D" w:rsidRPr="000D2922" w:rsidRDefault="006A315D" w:rsidP="00EA2C1A">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NGO-90577</w:t>
            </w:r>
          </w:p>
        </w:tc>
      </w:tr>
      <w:tr w:rsidR="006A315D" w:rsidRPr="000D358B" w14:paraId="1473BC2B" w14:textId="77777777" w:rsidTr="006D5FD6">
        <w:trPr>
          <w:trHeight w:val="576"/>
        </w:trPr>
        <w:tc>
          <w:tcPr>
            <w:tcW w:w="3148" w:type="pct"/>
            <w:vAlign w:val="center"/>
          </w:tcPr>
          <w:p w14:paraId="2024F687" w14:textId="77777777" w:rsidR="006A315D" w:rsidRPr="000D2922" w:rsidRDefault="006A315D" w:rsidP="006D5FD6">
            <w:pPr>
              <w:contextualSpacing/>
              <w:rPr>
                <w:rFonts w:asciiTheme="minorBidi" w:hAnsiTheme="minorBidi" w:cstheme="minorBidi"/>
                <w:sz w:val="20"/>
                <w:szCs w:val="20"/>
                <w:lang w:val="pt-BR"/>
              </w:rPr>
            </w:pPr>
            <w:r w:rsidRPr="000D2922">
              <w:rPr>
                <w:rFonts w:asciiTheme="minorBidi" w:hAnsiTheme="minorBidi" w:cstheme="minorBidi"/>
                <w:b/>
                <w:bCs/>
                <w:sz w:val="20"/>
                <w:szCs w:val="20"/>
                <w:lang w:val="pt-BR"/>
              </w:rPr>
              <w:t>Associação Camará Capoeira</w:t>
            </w:r>
            <w:r w:rsidRPr="000D2922">
              <w:rPr>
                <w:rFonts w:asciiTheme="minorBidi" w:hAnsiTheme="minorBidi" w:cstheme="minorBidi"/>
                <w:sz w:val="20"/>
                <w:szCs w:val="20"/>
                <w:lang w:val="pt-BR"/>
              </w:rPr>
              <w:br/>
              <w:t>Camará Capoeira Association</w:t>
            </w:r>
          </w:p>
        </w:tc>
        <w:tc>
          <w:tcPr>
            <w:tcW w:w="1010" w:type="pct"/>
            <w:vAlign w:val="center"/>
          </w:tcPr>
          <w:p w14:paraId="451254D6" w14:textId="77777777" w:rsidR="006A315D" w:rsidRPr="000D2922" w:rsidRDefault="006A315D" w:rsidP="00EA2C1A">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Brazil</w:t>
            </w:r>
          </w:p>
        </w:tc>
        <w:tc>
          <w:tcPr>
            <w:tcW w:w="842" w:type="pct"/>
            <w:vAlign w:val="center"/>
          </w:tcPr>
          <w:p w14:paraId="6B4D6DA1" w14:textId="77777777" w:rsidR="006A315D" w:rsidRPr="000D2922" w:rsidRDefault="006A315D" w:rsidP="00EA2C1A">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NGO-90543</w:t>
            </w:r>
          </w:p>
        </w:tc>
      </w:tr>
      <w:tr w:rsidR="006A315D" w:rsidRPr="000D358B" w14:paraId="63E0E260" w14:textId="77777777" w:rsidTr="006D5FD6">
        <w:trPr>
          <w:trHeight w:val="576"/>
        </w:trPr>
        <w:tc>
          <w:tcPr>
            <w:tcW w:w="3148" w:type="pct"/>
            <w:shd w:val="clear" w:color="auto" w:fill="DBE5F1" w:themeFill="accent1" w:themeFillTint="33"/>
            <w:vAlign w:val="center"/>
          </w:tcPr>
          <w:p w14:paraId="370668B5" w14:textId="77777777" w:rsidR="006A315D" w:rsidRPr="000D2922" w:rsidRDefault="006A315D" w:rsidP="006D5FD6">
            <w:pPr>
              <w:contextualSpacing/>
              <w:rPr>
                <w:rFonts w:asciiTheme="minorBidi" w:hAnsiTheme="minorBidi" w:cstheme="minorBidi"/>
                <w:b/>
                <w:bCs/>
                <w:sz w:val="20"/>
                <w:szCs w:val="20"/>
                <w:lang w:val="pt-BR"/>
              </w:rPr>
            </w:pPr>
            <w:r w:rsidRPr="000D2922">
              <w:rPr>
                <w:rFonts w:asciiTheme="minorBidi" w:hAnsiTheme="minorBidi" w:cstheme="minorBidi"/>
                <w:b/>
                <w:bCs/>
                <w:sz w:val="20"/>
                <w:szCs w:val="20"/>
                <w:lang w:val="pt-BR"/>
              </w:rPr>
              <w:t>Associação Nacional das Baianas de Acarajé, Mingau, Receptivo, e Similares</w:t>
            </w:r>
            <w:r w:rsidRPr="000D2922">
              <w:rPr>
                <w:rFonts w:asciiTheme="minorBidi" w:hAnsiTheme="minorBidi" w:cstheme="minorBidi"/>
                <w:sz w:val="20"/>
                <w:szCs w:val="20"/>
                <w:lang w:val="pt-BR"/>
              </w:rPr>
              <w:br/>
              <w:t>National Association of Baianas of Acarajé, Mingau, Receptive, and Similarities</w:t>
            </w:r>
          </w:p>
        </w:tc>
        <w:tc>
          <w:tcPr>
            <w:tcW w:w="1010" w:type="pct"/>
            <w:shd w:val="clear" w:color="auto" w:fill="DBE5F1" w:themeFill="accent1" w:themeFillTint="33"/>
            <w:vAlign w:val="center"/>
          </w:tcPr>
          <w:p w14:paraId="0BEBAC3E" w14:textId="77777777" w:rsidR="006A315D" w:rsidRPr="000D2922" w:rsidRDefault="006A315D" w:rsidP="00EA2C1A">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Brazil</w:t>
            </w:r>
          </w:p>
        </w:tc>
        <w:tc>
          <w:tcPr>
            <w:tcW w:w="842" w:type="pct"/>
            <w:shd w:val="clear" w:color="auto" w:fill="DBE5F1" w:themeFill="accent1" w:themeFillTint="33"/>
            <w:vAlign w:val="center"/>
          </w:tcPr>
          <w:p w14:paraId="6B3B7ABF" w14:textId="77777777" w:rsidR="006A315D" w:rsidRPr="000D2922" w:rsidRDefault="006A315D" w:rsidP="00EA2C1A">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NGO-90580</w:t>
            </w:r>
          </w:p>
        </w:tc>
      </w:tr>
      <w:tr w:rsidR="006A315D" w:rsidRPr="000D358B" w14:paraId="11028412" w14:textId="77777777" w:rsidTr="006D5FD6">
        <w:trPr>
          <w:trHeight w:val="576"/>
        </w:trPr>
        <w:tc>
          <w:tcPr>
            <w:tcW w:w="3148" w:type="pct"/>
            <w:vAlign w:val="center"/>
          </w:tcPr>
          <w:p w14:paraId="455979C8" w14:textId="77777777" w:rsidR="006A315D" w:rsidRPr="000D2922" w:rsidRDefault="006A315D" w:rsidP="006D5FD6">
            <w:pPr>
              <w:contextualSpacing/>
              <w:rPr>
                <w:rFonts w:asciiTheme="minorBidi" w:hAnsiTheme="minorBidi" w:cstheme="minorBidi"/>
                <w:b/>
                <w:bCs/>
                <w:sz w:val="20"/>
                <w:szCs w:val="20"/>
              </w:rPr>
            </w:pPr>
            <w:r w:rsidRPr="000D2922">
              <w:rPr>
                <w:rFonts w:asciiTheme="minorBidi" w:hAnsiTheme="minorBidi" w:cstheme="minorBidi"/>
                <w:b/>
                <w:bCs/>
                <w:sz w:val="20"/>
                <w:szCs w:val="20"/>
              </w:rPr>
              <w:t xml:space="preserve">Association Al </w:t>
            </w:r>
            <w:proofErr w:type="spellStart"/>
            <w:r w:rsidRPr="000D2922">
              <w:rPr>
                <w:rFonts w:asciiTheme="minorBidi" w:hAnsiTheme="minorBidi" w:cstheme="minorBidi"/>
                <w:b/>
                <w:bCs/>
                <w:sz w:val="20"/>
                <w:szCs w:val="20"/>
              </w:rPr>
              <w:t>Muniya</w:t>
            </w:r>
            <w:proofErr w:type="spellEnd"/>
            <w:r w:rsidRPr="000D2922">
              <w:rPr>
                <w:rFonts w:asciiTheme="minorBidi" w:hAnsiTheme="minorBidi" w:cstheme="minorBidi"/>
                <w:b/>
                <w:bCs/>
                <w:sz w:val="20"/>
                <w:szCs w:val="20"/>
              </w:rPr>
              <w:t xml:space="preserve"> de Marrakech pour la revivification et la préservation du patrimoine du Royaume du Maroc</w:t>
            </w:r>
          </w:p>
        </w:tc>
        <w:tc>
          <w:tcPr>
            <w:tcW w:w="1010" w:type="pct"/>
            <w:vAlign w:val="center"/>
          </w:tcPr>
          <w:p w14:paraId="14A1BFA1" w14:textId="77777777" w:rsidR="006A315D" w:rsidRPr="000D2922" w:rsidRDefault="006A315D" w:rsidP="00EA2C1A">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Morocco</w:t>
            </w:r>
          </w:p>
        </w:tc>
        <w:tc>
          <w:tcPr>
            <w:tcW w:w="842" w:type="pct"/>
            <w:vAlign w:val="center"/>
          </w:tcPr>
          <w:p w14:paraId="1C415264" w14:textId="77777777" w:rsidR="006A315D" w:rsidRPr="000D2922" w:rsidRDefault="006A315D" w:rsidP="00EA2C1A">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NGO-90528</w:t>
            </w:r>
          </w:p>
        </w:tc>
      </w:tr>
      <w:tr w:rsidR="006A315D" w:rsidRPr="000D358B" w14:paraId="7F2EE380" w14:textId="77777777" w:rsidTr="006D5FD6">
        <w:trPr>
          <w:trHeight w:val="576"/>
        </w:trPr>
        <w:tc>
          <w:tcPr>
            <w:tcW w:w="3148" w:type="pct"/>
            <w:shd w:val="clear" w:color="auto" w:fill="DBE5F1" w:themeFill="accent1" w:themeFillTint="33"/>
            <w:vAlign w:val="center"/>
          </w:tcPr>
          <w:p w14:paraId="289173CB" w14:textId="77777777" w:rsidR="006A315D" w:rsidRPr="000D2922" w:rsidRDefault="006A315D" w:rsidP="006D5FD6">
            <w:pPr>
              <w:contextualSpacing/>
              <w:rPr>
                <w:rFonts w:asciiTheme="minorBidi" w:hAnsiTheme="minorBidi" w:cstheme="minorBidi"/>
                <w:b/>
                <w:bCs/>
                <w:sz w:val="20"/>
                <w:szCs w:val="20"/>
              </w:rPr>
            </w:pPr>
            <w:r w:rsidRPr="000D2922">
              <w:rPr>
                <w:rFonts w:asciiTheme="minorBidi" w:hAnsiTheme="minorBidi" w:cstheme="minorBidi"/>
                <w:b/>
                <w:bCs/>
                <w:sz w:val="20"/>
                <w:szCs w:val="20"/>
              </w:rPr>
              <w:t>Association Culture, Paix et Développement (CPD)</w:t>
            </w:r>
          </w:p>
        </w:tc>
        <w:tc>
          <w:tcPr>
            <w:tcW w:w="1010" w:type="pct"/>
            <w:shd w:val="clear" w:color="auto" w:fill="DBE5F1" w:themeFill="accent1" w:themeFillTint="33"/>
            <w:vAlign w:val="center"/>
          </w:tcPr>
          <w:p w14:paraId="6F13F0A2" w14:textId="77777777" w:rsidR="006A315D" w:rsidRPr="000D2922" w:rsidRDefault="006A315D" w:rsidP="00EA2C1A">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Togo</w:t>
            </w:r>
          </w:p>
        </w:tc>
        <w:tc>
          <w:tcPr>
            <w:tcW w:w="842" w:type="pct"/>
            <w:shd w:val="clear" w:color="auto" w:fill="DBE5F1" w:themeFill="accent1" w:themeFillTint="33"/>
            <w:vAlign w:val="center"/>
          </w:tcPr>
          <w:p w14:paraId="6B037866" w14:textId="77777777" w:rsidR="006A315D" w:rsidRPr="000D2922" w:rsidRDefault="006A315D" w:rsidP="00EA2C1A">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NGO-90564</w:t>
            </w:r>
          </w:p>
        </w:tc>
      </w:tr>
      <w:tr w:rsidR="006A315D" w:rsidRPr="000D358B" w14:paraId="03E7BABF" w14:textId="77777777" w:rsidTr="006D5FD6">
        <w:trPr>
          <w:trHeight w:val="576"/>
        </w:trPr>
        <w:tc>
          <w:tcPr>
            <w:tcW w:w="3148" w:type="pct"/>
            <w:vAlign w:val="center"/>
          </w:tcPr>
          <w:p w14:paraId="44DAAED8" w14:textId="77777777" w:rsidR="006A315D" w:rsidRPr="000D2922" w:rsidRDefault="006A315D" w:rsidP="006D5FD6">
            <w:pPr>
              <w:contextualSpacing/>
              <w:rPr>
                <w:rFonts w:asciiTheme="minorBidi" w:hAnsiTheme="minorBidi" w:cstheme="minorBidi"/>
                <w:b/>
                <w:bCs/>
                <w:sz w:val="20"/>
                <w:szCs w:val="20"/>
              </w:rPr>
            </w:pPr>
            <w:r w:rsidRPr="000D2922">
              <w:rPr>
                <w:rFonts w:asciiTheme="minorBidi" w:hAnsiTheme="minorBidi" w:cstheme="minorBidi"/>
                <w:b/>
                <w:bCs/>
                <w:sz w:val="20"/>
                <w:szCs w:val="20"/>
              </w:rPr>
              <w:t>Association tunisienne de sauvegarde et de valorisation du Patrimoine Culturel Immatériel tunisien</w:t>
            </w:r>
          </w:p>
        </w:tc>
        <w:tc>
          <w:tcPr>
            <w:tcW w:w="1010" w:type="pct"/>
            <w:vAlign w:val="center"/>
          </w:tcPr>
          <w:p w14:paraId="14726C5D" w14:textId="77777777" w:rsidR="006A315D" w:rsidRPr="000D2922" w:rsidRDefault="006A315D" w:rsidP="00EA2C1A">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Tunisia</w:t>
            </w:r>
          </w:p>
        </w:tc>
        <w:tc>
          <w:tcPr>
            <w:tcW w:w="842" w:type="pct"/>
            <w:vAlign w:val="center"/>
          </w:tcPr>
          <w:p w14:paraId="04B3E1BD" w14:textId="77777777" w:rsidR="006A315D" w:rsidRPr="000D2922" w:rsidRDefault="006A315D" w:rsidP="00EA2C1A">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NGO-90525</w:t>
            </w:r>
          </w:p>
        </w:tc>
      </w:tr>
      <w:tr w:rsidR="006A315D" w:rsidRPr="000D358B" w14:paraId="679259D0" w14:textId="77777777" w:rsidTr="006D5FD6">
        <w:trPr>
          <w:trHeight w:val="576"/>
        </w:trPr>
        <w:tc>
          <w:tcPr>
            <w:tcW w:w="3148" w:type="pct"/>
            <w:shd w:val="clear" w:color="auto" w:fill="DBE5F1" w:themeFill="accent1" w:themeFillTint="33"/>
            <w:vAlign w:val="center"/>
          </w:tcPr>
          <w:p w14:paraId="6BF3F5DE" w14:textId="77777777" w:rsidR="006A315D" w:rsidRPr="000D2922" w:rsidRDefault="006A315D" w:rsidP="006D5FD6">
            <w:pPr>
              <w:contextualSpacing/>
              <w:rPr>
                <w:rFonts w:asciiTheme="minorBidi" w:hAnsiTheme="minorBidi" w:cstheme="minorBidi"/>
                <w:b/>
                <w:bCs/>
                <w:sz w:val="20"/>
                <w:szCs w:val="20"/>
                <w:lang w:val="en-GB"/>
              </w:rPr>
            </w:pPr>
            <w:proofErr w:type="spellStart"/>
            <w:r w:rsidRPr="000D2922">
              <w:rPr>
                <w:rFonts w:asciiTheme="minorBidi" w:hAnsiTheme="minorBidi" w:cstheme="minorBidi"/>
                <w:b/>
                <w:bCs/>
                <w:sz w:val="20"/>
                <w:szCs w:val="20"/>
                <w:lang w:val="en-GB"/>
              </w:rPr>
              <w:t>Associazione</w:t>
            </w:r>
            <w:proofErr w:type="spellEnd"/>
            <w:r w:rsidRPr="000D2922">
              <w:rPr>
                <w:rFonts w:asciiTheme="minorBidi" w:hAnsiTheme="minorBidi" w:cstheme="minorBidi"/>
                <w:b/>
                <w:bCs/>
                <w:sz w:val="20"/>
                <w:szCs w:val="20"/>
                <w:lang w:val="en-GB"/>
              </w:rPr>
              <w:t xml:space="preserve"> Cultura </w:t>
            </w:r>
            <w:proofErr w:type="spellStart"/>
            <w:r w:rsidRPr="000D2922">
              <w:rPr>
                <w:rFonts w:asciiTheme="minorBidi" w:hAnsiTheme="minorBidi" w:cstheme="minorBidi"/>
                <w:b/>
                <w:bCs/>
                <w:sz w:val="20"/>
                <w:szCs w:val="20"/>
                <w:lang w:val="en-GB"/>
              </w:rPr>
              <w:t>Italiae</w:t>
            </w:r>
            <w:proofErr w:type="spellEnd"/>
            <w:r w:rsidRPr="000D2922">
              <w:rPr>
                <w:rFonts w:asciiTheme="minorBidi" w:hAnsiTheme="minorBidi" w:cstheme="minorBidi"/>
                <w:sz w:val="20"/>
                <w:szCs w:val="20"/>
                <w:lang w:val="en-GB"/>
              </w:rPr>
              <w:br/>
              <w:t>Association Culture of Italy</w:t>
            </w:r>
          </w:p>
        </w:tc>
        <w:tc>
          <w:tcPr>
            <w:tcW w:w="1010" w:type="pct"/>
            <w:shd w:val="clear" w:color="auto" w:fill="DBE5F1" w:themeFill="accent1" w:themeFillTint="33"/>
            <w:vAlign w:val="center"/>
          </w:tcPr>
          <w:p w14:paraId="092C469B" w14:textId="77777777" w:rsidR="006A315D" w:rsidRPr="000D2922" w:rsidRDefault="006A315D" w:rsidP="00EA2C1A">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Italy</w:t>
            </w:r>
          </w:p>
        </w:tc>
        <w:tc>
          <w:tcPr>
            <w:tcW w:w="842" w:type="pct"/>
            <w:shd w:val="clear" w:color="auto" w:fill="DBE5F1" w:themeFill="accent1" w:themeFillTint="33"/>
            <w:vAlign w:val="center"/>
          </w:tcPr>
          <w:p w14:paraId="029D4CA7" w14:textId="77777777" w:rsidR="006A315D" w:rsidRPr="000D2922" w:rsidRDefault="006A315D" w:rsidP="00EA2C1A">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NGO-90589</w:t>
            </w:r>
          </w:p>
        </w:tc>
      </w:tr>
      <w:tr w:rsidR="006A315D" w:rsidRPr="000D358B" w14:paraId="61D29B4A" w14:textId="77777777" w:rsidTr="006D5FD6">
        <w:trPr>
          <w:trHeight w:val="576"/>
        </w:trPr>
        <w:tc>
          <w:tcPr>
            <w:tcW w:w="3148" w:type="pct"/>
            <w:vAlign w:val="center"/>
          </w:tcPr>
          <w:p w14:paraId="748C74C7" w14:textId="77777777" w:rsidR="006A315D" w:rsidRPr="000D2922" w:rsidRDefault="006A315D" w:rsidP="006D5FD6">
            <w:pPr>
              <w:contextualSpacing/>
              <w:rPr>
                <w:rFonts w:asciiTheme="minorBidi" w:hAnsiTheme="minorBidi" w:cstheme="minorBidi"/>
                <w:b/>
                <w:bCs/>
                <w:sz w:val="20"/>
                <w:szCs w:val="20"/>
                <w:lang w:val="pt-BR"/>
              </w:rPr>
            </w:pPr>
            <w:r w:rsidRPr="000D2922">
              <w:rPr>
                <w:rFonts w:asciiTheme="minorBidi" w:hAnsiTheme="minorBidi" w:cstheme="minorBidi"/>
                <w:b/>
                <w:bCs/>
                <w:sz w:val="20"/>
                <w:szCs w:val="20"/>
                <w:lang w:val="pt-BR"/>
              </w:rPr>
              <w:t>Associazione Ecomuseo Casilino ad Duas Lauros</w:t>
            </w:r>
            <w:r w:rsidRPr="000D2922">
              <w:rPr>
                <w:rFonts w:asciiTheme="minorBidi" w:hAnsiTheme="minorBidi" w:cstheme="minorBidi"/>
                <w:sz w:val="20"/>
                <w:szCs w:val="20"/>
                <w:lang w:val="pt-BR"/>
              </w:rPr>
              <w:br/>
              <w:t>Ecomuseum Casilino ad Duas Lauros Association</w:t>
            </w:r>
          </w:p>
        </w:tc>
        <w:tc>
          <w:tcPr>
            <w:tcW w:w="1010" w:type="pct"/>
            <w:vAlign w:val="center"/>
          </w:tcPr>
          <w:p w14:paraId="4B68DC92" w14:textId="77777777" w:rsidR="006A315D" w:rsidRPr="000D2922" w:rsidRDefault="006A315D" w:rsidP="00EA2C1A">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Italy</w:t>
            </w:r>
          </w:p>
        </w:tc>
        <w:tc>
          <w:tcPr>
            <w:tcW w:w="842" w:type="pct"/>
            <w:vAlign w:val="center"/>
          </w:tcPr>
          <w:p w14:paraId="10E2A4A2" w14:textId="77777777" w:rsidR="006A315D" w:rsidRPr="000D2922" w:rsidRDefault="006A315D" w:rsidP="00EA2C1A">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NGO-90582</w:t>
            </w:r>
          </w:p>
        </w:tc>
      </w:tr>
      <w:tr w:rsidR="006A315D" w:rsidRPr="000D358B" w14:paraId="03AFD831" w14:textId="77777777" w:rsidTr="006D5FD6">
        <w:trPr>
          <w:trHeight w:val="576"/>
        </w:trPr>
        <w:tc>
          <w:tcPr>
            <w:tcW w:w="3148" w:type="pct"/>
            <w:shd w:val="clear" w:color="auto" w:fill="DBE5F1" w:themeFill="accent1" w:themeFillTint="33"/>
            <w:vAlign w:val="center"/>
          </w:tcPr>
          <w:p w14:paraId="679C47D0" w14:textId="77777777" w:rsidR="006A315D" w:rsidRPr="000D2922" w:rsidRDefault="006A315D" w:rsidP="006D5FD6">
            <w:pPr>
              <w:contextualSpacing/>
              <w:rPr>
                <w:rFonts w:asciiTheme="minorBidi" w:hAnsiTheme="minorBidi" w:cstheme="minorBidi"/>
                <w:b/>
                <w:bCs/>
                <w:sz w:val="20"/>
                <w:szCs w:val="20"/>
                <w:lang w:val="en-GB"/>
              </w:rPr>
            </w:pPr>
            <w:r w:rsidRPr="000D2922">
              <w:rPr>
                <w:rFonts w:asciiTheme="minorBidi" w:hAnsiTheme="minorBidi" w:cstheme="minorBidi"/>
                <w:b/>
                <w:bCs/>
                <w:sz w:val="20"/>
                <w:szCs w:val="20"/>
                <w:lang w:val="en-GB"/>
              </w:rPr>
              <w:t>Barbados Museum &amp; Historical Society</w:t>
            </w:r>
          </w:p>
        </w:tc>
        <w:tc>
          <w:tcPr>
            <w:tcW w:w="1010" w:type="pct"/>
            <w:shd w:val="clear" w:color="auto" w:fill="DBE5F1" w:themeFill="accent1" w:themeFillTint="33"/>
            <w:vAlign w:val="center"/>
          </w:tcPr>
          <w:p w14:paraId="717BDFE9" w14:textId="77777777" w:rsidR="006A315D" w:rsidRPr="000D2922" w:rsidRDefault="006A315D" w:rsidP="00EA2C1A">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Barbados</w:t>
            </w:r>
          </w:p>
        </w:tc>
        <w:tc>
          <w:tcPr>
            <w:tcW w:w="842" w:type="pct"/>
            <w:shd w:val="clear" w:color="auto" w:fill="DBE5F1" w:themeFill="accent1" w:themeFillTint="33"/>
            <w:vAlign w:val="center"/>
          </w:tcPr>
          <w:p w14:paraId="3849D652" w14:textId="77777777" w:rsidR="006A315D" w:rsidRPr="000D2922" w:rsidRDefault="006A315D" w:rsidP="00EA2C1A">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NGO-90554</w:t>
            </w:r>
          </w:p>
        </w:tc>
      </w:tr>
      <w:tr w:rsidR="006A315D" w:rsidRPr="000D358B" w14:paraId="402949A5" w14:textId="77777777" w:rsidTr="006D5FD6">
        <w:trPr>
          <w:trHeight w:val="576"/>
        </w:trPr>
        <w:tc>
          <w:tcPr>
            <w:tcW w:w="3148" w:type="pct"/>
            <w:vAlign w:val="center"/>
          </w:tcPr>
          <w:p w14:paraId="0C057F75" w14:textId="77777777" w:rsidR="006A315D" w:rsidRPr="000D2922" w:rsidRDefault="006A315D" w:rsidP="006D5FD6">
            <w:pPr>
              <w:contextualSpacing/>
              <w:rPr>
                <w:rFonts w:asciiTheme="minorBidi" w:hAnsiTheme="minorBidi" w:cstheme="minorBidi"/>
                <w:b/>
                <w:bCs/>
                <w:sz w:val="20"/>
                <w:szCs w:val="20"/>
                <w:lang w:val="en-GB"/>
              </w:rPr>
            </w:pPr>
            <w:proofErr w:type="spellStart"/>
            <w:r w:rsidRPr="000D2922">
              <w:rPr>
                <w:rFonts w:asciiTheme="minorBidi" w:hAnsiTheme="minorBidi" w:cstheme="minorBidi"/>
                <w:b/>
                <w:bCs/>
                <w:sz w:val="20"/>
                <w:szCs w:val="20"/>
                <w:lang w:val="en-GB"/>
              </w:rPr>
              <w:t>Biedrība</w:t>
            </w:r>
            <w:proofErr w:type="spellEnd"/>
            <w:r w:rsidRPr="000D2922">
              <w:rPr>
                <w:rFonts w:asciiTheme="minorBidi" w:hAnsiTheme="minorBidi" w:cstheme="minorBidi"/>
                <w:b/>
                <w:bCs/>
                <w:sz w:val="20"/>
                <w:szCs w:val="20"/>
                <w:lang w:val="en-GB"/>
              </w:rPr>
              <w:t xml:space="preserve"> « </w:t>
            </w:r>
            <w:proofErr w:type="spellStart"/>
            <w:r w:rsidRPr="000D2922">
              <w:rPr>
                <w:rFonts w:asciiTheme="minorBidi" w:hAnsiTheme="minorBidi" w:cstheme="minorBidi"/>
                <w:b/>
                <w:bCs/>
                <w:sz w:val="20"/>
                <w:szCs w:val="20"/>
                <w:lang w:val="en-GB"/>
              </w:rPr>
              <w:t>Suitu</w:t>
            </w:r>
            <w:proofErr w:type="spellEnd"/>
            <w:r w:rsidRPr="000D2922">
              <w:rPr>
                <w:rFonts w:asciiTheme="minorBidi" w:hAnsiTheme="minorBidi" w:cstheme="minorBidi"/>
                <w:b/>
                <w:bCs/>
                <w:sz w:val="20"/>
                <w:szCs w:val="20"/>
                <w:lang w:val="en-GB"/>
              </w:rPr>
              <w:t xml:space="preserve"> </w:t>
            </w:r>
            <w:proofErr w:type="spellStart"/>
            <w:r w:rsidRPr="000D2922">
              <w:rPr>
                <w:rFonts w:asciiTheme="minorBidi" w:hAnsiTheme="minorBidi" w:cstheme="minorBidi"/>
                <w:b/>
                <w:bCs/>
                <w:sz w:val="20"/>
                <w:szCs w:val="20"/>
                <w:lang w:val="en-GB"/>
              </w:rPr>
              <w:t>kultūras</w:t>
            </w:r>
            <w:proofErr w:type="spellEnd"/>
            <w:r w:rsidRPr="000D2922">
              <w:rPr>
                <w:rFonts w:asciiTheme="minorBidi" w:hAnsiTheme="minorBidi" w:cstheme="minorBidi"/>
                <w:b/>
                <w:bCs/>
                <w:sz w:val="20"/>
                <w:szCs w:val="20"/>
                <w:lang w:val="en-GB"/>
              </w:rPr>
              <w:t xml:space="preserve"> </w:t>
            </w:r>
            <w:proofErr w:type="spellStart"/>
            <w:r w:rsidRPr="000D2922">
              <w:rPr>
                <w:rFonts w:asciiTheme="minorBidi" w:hAnsiTheme="minorBidi" w:cstheme="minorBidi"/>
                <w:b/>
                <w:bCs/>
                <w:sz w:val="20"/>
                <w:szCs w:val="20"/>
                <w:lang w:val="en-GB"/>
              </w:rPr>
              <w:t>mantojums</w:t>
            </w:r>
            <w:proofErr w:type="spellEnd"/>
            <w:r w:rsidRPr="000D2922">
              <w:rPr>
                <w:rFonts w:asciiTheme="minorBidi" w:hAnsiTheme="minorBidi" w:cstheme="minorBidi"/>
                <w:b/>
                <w:bCs/>
                <w:sz w:val="20"/>
                <w:szCs w:val="20"/>
                <w:lang w:val="en-GB"/>
              </w:rPr>
              <w:t> »</w:t>
            </w:r>
            <w:r w:rsidRPr="000D2922">
              <w:rPr>
                <w:rFonts w:asciiTheme="minorBidi" w:hAnsiTheme="minorBidi" w:cstheme="minorBidi"/>
                <w:sz w:val="20"/>
                <w:szCs w:val="20"/>
                <w:lang w:val="en-GB"/>
              </w:rPr>
              <w:br/>
            </w:r>
            <w:proofErr w:type="spellStart"/>
            <w:r w:rsidRPr="000D2922">
              <w:rPr>
                <w:rFonts w:asciiTheme="minorBidi" w:hAnsiTheme="minorBidi" w:cstheme="minorBidi"/>
                <w:sz w:val="20"/>
                <w:szCs w:val="20"/>
                <w:lang w:val="en-GB"/>
              </w:rPr>
              <w:t>Suiti</w:t>
            </w:r>
            <w:proofErr w:type="spellEnd"/>
            <w:r w:rsidRPr="000D2922">
              <w:rPr>
                <w:rFonts w:asciiTheme="minorBidi" w:hAnsiTheme="minorBidi" w:cstheme="minorBidi"/>
                <w:sz w:val="20"/>
                <w:szCs w:val="20"/>
                <w:lang w:val="en-GB"/>
              </w:rPr>
              <w:t xml:space="preserve"> Cultural Heritage Foundation</w:t>
            </w:r>
          </w:p>
        </w:tc>
        <w:tc>
          <w:tcPr>
            <w:tcW w:w="1010" w:type="pct"/>
            <w:vAlign w:val="center"/>
          </w:tcPr>
          <w:p w14:paraId="49F7730F" w14:textId="77777777" w:rsidR="006A315D" w:rsidRPr="000D2922" w:rsidRDefault="006A315D" w:rsidP="00EA2C1A">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Latvia</w:t>
            </w:r>
          </w:p>
        </w:tc>
        <w:tc>
          <w:tcPr>
            <w:tcW w:w="842" w:type="pct"/>
            <w:vAlign w:val="center"/>
          </w:tcPr>
          <w:p w14:paraId="3505F232" w14:textId="77777777" w:rsidR="006A315D" w:rsidRPr="000D2922" w:rsidRDefault="006A315D" w:rsidP="00EA2C1A">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NGO-90570</w:t>
            </w:r>
          </w:p>
        </w:tc>
      </w:tr>
      <w:tr w:rsidR="006A315D" w:rsidRPr="000D358B" w14:paraId="18476828" w14:textId="77777777" w:rsidTr="006D5FD6">
        <w:trPr>
          <w:trHeight w:val="576"/>
        </w:trPr>
        <w:tc>
          <w:tcPr>
            <w:tcW w:w="3148" w:type="pct"/>
            <w:shd w:val="clear" w:color="auto" w:fill="DBE5F1" w:themeFill="accent1" w:themeFillTint="33"/>
            <w:vAlign w:val="center"/>
          </w:tcPr>
          <w:p w14:paraId="0AFB24D9" w14:textId="77777777" w:rsidR="006A315D" w:rsidRPr="000D2922" w:rsidRDefault="006A315D" w:rsidP="006D5FD6">
            <w:pPr>
              <w:contextualSpacing/>
              <w:rPr>
                <w:rFonts w:asciiTheme="minorBidi" w:hAnsiTheme="minorBidi" w:cstheme="minorBidi"/>
                <w:b/>
                <w:bCs/>
                <w:sz w:val="20"/>
                <w:szCs w:val="20"/>
                <w:lang w:val="en-GB"/>
              </w:rPr>
            </w:pPr>
            <w:r w:rsidRPr="000D2922">
              <w:rPr>
                <w:rFonts w:asciiTheme="minorBidi" w:hAnsiTheme="minorBidi" w:cstheme="minorBidi"/>
                <w:b/>
                <w:bCs/>
                <w:sz w:val="20"/>
                <w:szCs w:val="20"/>
                <w:lang w:val="en-GB"/>
              </w:rPr>
              <w:t>Blanchard House Institute</w:t>
            </w:r>
          </w:p>
        </w:tc>
        <w:tc>
          <w:tcPr>
            <w:tcW w:w="1010" w:type="pct"/>
            <w:shd w:val="clear" w:color="auto" w:fill="DBE5F1" w:themeFill="accent1" w:themeFillTint="33"/>
            <w:vAlign w:val="center"/>
          </w:tcPr>
          <w:p w14:paraId="5FC14D81" w14:textId="77777777" w:rsidR="006A315D" w:rsidRPr="000D2922" w:rsidRDefault="006A315D" w:rsidP="00EA2C1A">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United States of America</w:t>
            </w:r>
          </w:p>
        </w:tc>
        <w:tc>
          <w:tcPr>
            <w:tcW w:w="842" w:type="pct"/>
            <w:shd w:val="clear" w:color="auto" w:fill="DBE5F1" w:themeFill="accent1" w:themeFillTint="33"/>
            <w:vAlign w:val="center"/>
          </w:tcPr>
          <w:p w14:paraId="15C7424E" w14:textId="77777777" w:rsidR="006A315D" w:rsidRPr="000D2922" w:rsidRDefault="006A315D" w:rsidP="00EA2C1A">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NGO-90597</w:t>
            </w:r>
          </w:p>
        </w:tc>
      </w:tr>
      <w:tr w:rsidR="006A315D" w:rsidRPr="000D358B" w14:paraId="5E0AAE6E" w14:textId="77777777" w:rsidTr="006D5FD6">
        <w:trPr>
          <w:trHeight w:val="576"/>
        </w:trPr>
        <w:tc>
          <w:tcPr>
            <w:tcW w:w="3148" w:type="pct"/>
            <w:vAlign w:val="center"/>
          </w:tcPr>
          <w:p w14:paraId="06737464" w14:textId="77777777" w:rsidR="006A315D" w:rsidRPr="00345080" w:rsidRDefault="006A315D" w:rsidP="006D5FD6">
            <w:pPr>
              <w:contextualSpacing/>
              <w:rPr>
                <w:rFonts w:asciiTheme="minorBidi" w:hAnsiTheme="minorBidi" w:cstheme="minorBidi"/>
                <w:b/>
                <w:bCs/>
                <w:sz w:val="20"/>
                <w:szCs w:val="20"/>
                <w:lang w:val="es-ES"/>
              </w:rPr>
            </w:pPr>
            <w:r w:rsidRPr="00345080">
              <w:rPr>
                <w:rFonts w:asciiTheme="minorBidi" w:hAnsiTheme="minorBidi" w:cstheme="minorBidi"/>
                <w:b/>
                <w:bCs/>
                <w:sz w:val="20"/>
                <w:szCs w:val="20"/>
                <w:lang w:val="es-ES"/>
              </w:rPr>
              <w:t xml:space="preserve">Bursa UNESCO </w:t>
            </w:r>
            <w:proofErr w:type="spellStart"/>
            <w:r w:rsidRPr="00345080">
              <w:rPr>
                <w:rFonts w:asciiTheme="minorBidi" w:hAnsiTheme="minorBidi" w:cstheme="minorBidi"/>
                <w:b/>
                <w:bCs/>
                <w:sz w:val="20"/>
                <w:szCs w:val="20"/>
                <w:lang w:val="es-ES"/>
              </w:rPr>
              <w:t>Derenği</w:t>
            </w:r>
            <w:proofErr w:type="spellEnd"/>
            <w:r w:rsidRPr="00345080">
              <w:rPr>
                <w:rFonts w:asciiTheme="minorBidi" w:hAnsiTheme="minorBidi" w:cstheme="minorBidi"/>
                <w:sz w:val="20"/>
                <w:szCs w:val="20"/>
                <w:lang w:val="es-ES"/>
              </w:rPr>
              <w:br/>
              <w:t xml:space="preserve">Bursa UNESCO </w:t>
            </w:r>
            <w:proofErr w:type="spellStart"/>
            <w:r w:rsidRPr="00345080">
              <w:rPr>
                <w:rFonts w:asciiTheme="minorBidi" w:hAnsiTheme="minorBidi" w:cstheme="minorBidi"/>
                <w:sz w:val="20"/>
                <w:szCs w:val="20"/>
                <w:lang w:val="es-ES"/>
              </w:rPr>
              <w:t>Association</w:t>
            </w:r>
            <w:proofErr w:type="spellEnd"/>
          </w:p>
        </w:tc>
        <w:tc>
          <w:tcPr>
            <w:tcW w:w="1010" w:type="pct"/>
            <w:vAlign w:val="center"/>
          </w:tcPr>
          <w:p w14:paraId="1644DA1A" w14:textId="77777777" w:rsidR="006A315D" w:rsidRPr="000D2922" w:rsidRDefault="006A315D" w:rsidP="00EA2C1A">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Türkiye</w:t>
            </w:r>
          </w:p>
        </w:tc>
        <w:tc>
          <w:tcPr>
            <w:tcW w:w="842" w:type="pct"/>
            <w:vAlign w:val="center"/>
          </w:tcPr>
          <w:p w14:paraId="6A6FCCA4" w14:textId="77777777" w:rsidR="006A315D" w:rsidRPr="000D2922" w:rsidRDefault="006A315D" w:rsidP="00EA2C1A">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NGO-90545</w:t>
            </w:r>
          </w:p>
        </w:tc>
      </w:tr>
      <w:tr w:rsidR="006A315D" w:rsidRPr="000D358B" w14:paraId="59782456" w14:textId="77777777" w:rsidTr="006D5FD6">
        <w:trPr>
          <w:trHeight w:val="576"/>
        </w:trPr>
        <w:tc>
          <w:tcPr>
            <w:tcW w:w="3148" w:type="pct"/>
            <w:shd w:val="clear" w:color="auto" w:fill="DBE5F1" w:themeFill="accent1" w:themeFillTint="33"/>
            <w:vAlign w:val="center"/>
          </w:tcPr>
          <w:p w14:paraId="5AD29FA8" w14:textId="77777777" w:rsidR="006A315D" w:rsidRPr="000D2922" w:rsidRDefault="006A315D" w:rsidP="006D5FD6">
            <w:pPr>
              <w:contextualSpacing/>
              <w:rPr>
                <w:rFonts w:asciiTheme="minorBidi" w:hAnsiTheme="minorBidi" w:cstheme="minorBidi"/>
                <w:sz w:val="20"/>
                <w:szCs w:val="20"/>
                <w:lang w:val="pt-BR"/>
              </w:rPr>
            </w:pPr>
            <w:r w:rsidRPr="000D2922">
              <w:rPr>
                <w:rFonts w:asciiTheme="minorBidi" w:hAnsiTheme="minorBidi" w:cstheme="minorBidi"/>
                <w:b/>
                <w:bCs/>
                <w:sz w:val="20"/>
                <w:szCs w:val="20"/>
                <w:lang w:val="pt-BR"/>
              </w:rPr>
              <w:t>Clube Carbavalesco Mixto Seu Malaquias</w:t>
            </w:r>
            <w:r w:rsidRPr="000D2922">
              <w:rPr>
                <w:rFonts w:asciiTheme="minorBidi" w:hAnsiTheme="minorBidi" w:cstheme="minorBidi"/>
                <w:sz w:val="20"/>
                <w:szCs w:val="20"/>
                <w:lang w:val="pt-BR"/>
              </w:rPr>
              <w:br/>
              <w:t>Carnival Club Mixto Seu Malaquias</w:t>
            </w:r>
          </w:p>
        </w:tc>
        <w:tc>
          <w:tcPr>
            <w:tcW w:w="1010" w:type="pct"/>
            <w:shd w:val="clear" w:color="auto" w:fill="DBE5F1" w:themeFill="accent1" w:themeFillTint="33"/>
            <w:vAlign w:val="center"/>
          </w:tcPr>
          <w:p w14:paraId="5D43C6DF" w14:textId="77777777" w:rsidR="006A315D" w:rsidRPr="000D2922" w:rsidRDefault="006A315D" w:rsidP="00EA2C1A">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Brazil</w:t>
            </w:r>
          </w:p>
        </w:tc>
        <w:tc>
          <w:tcPr>
            <w:tcW w:w="842" w:type="pct"/>
            <w:shd w:val="clear" w:color="auto" w:fill="DBE5F1" w:themeFill="accent1" w:themeFillTint="33"/>
            <w:vAlign w:val="center"/>
          </w:tcPr>
          <w:p w14:paraId="0C3146DC" w14:textId="77777777" w:rsidR="006A315D" w:rsidRPr="000D2922" w:rsidRDefault="006A315D" w:rsidP="00EA2C1A">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NGO-90540</w:t>
            </w:r>
          </w:p>
        </w:tc>
      </w:tr>
      <w:tr w:rsidR="006A315D" w:rsidRPr="000D358B" w14:paraId="3516C8B7" w14:textId="77777777" w:rsidTr="006D5FD6">
        <w:trPr>
          <w:trHeight w:val="576"/>
        </w:trPr>
        <w:tc>
          <w:tcPr>
            <w:tcW w:w="3148" w:type="pct"/>
            <w:vAlign w:val="center"/>
          </w:tcPr>
          <w:p w14:paraId="7116DCD8" w14:textId="77777777" w:rsidR="006A315D" w:rsidRPr="000D2922" w:rsidRDefault="006A315D" w:rsidP="006D5FD6">
            <w:pPr>
              <w:contextualSpacing/>
              <w:rPr>
                <w:rFonts w:asciiTheme="minorBidi" w:hAnsiTheme="minorBidi" w:cstheme="minorBidi"/>
                <w:b/>
                <w:bCs/>
                <w:sz w:val="20"/>
                <w:szCs w:val="20"/>
              </w:rPr>
            </w:pPr>
            <w:r w:rsidRPr="000D2922">
              <w:rPr>
                <w:rFonts w:asciiTheme="minorBidi" w:hAnsiTheme="minorBidi" w:cstheme="minorBidi"/>
                <w:b/>
                <w:bCs/>
                <w:sz w:val="20"/>
                <w:szCs w:val="20"/>
              </w:rPr>
              <w:t>Conseil International de la Danse - CID</w:t>
            </w:r>
          </w:p>
        </w:tc>
        <w:tc>
          <w:tcPr>
            <w:tcW w:w="1010" w:type="pct"/>
            <w:vAlign w:val="center"/>
          </w:tcPr>
          <w:p w14:paraId="15233000" w14:textId="77777777" w:rsidR="006A315D" w:rsidRPr="000D2922" w:rsidRDefault="006A315D" w:rsidP="00EA2C1A">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France</w:t>
            </w:r>
          </w:p>
        </w:tc>
        <w:tc>
          <w:tcPr>
            <w:tcW w:w="842" w:type="pct"/>
            <w:vAlign w:val="center"/>
          </w:tcPr>
          <w:p w14:paraId="01F52846" w14:textId="77777777" w:rsidR="006A315D" w:rsidRPr="000D2922" w:rsidRDefault="006A315D" w:rsidP="00EA2C1A">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NGO-90538</w:t>
            </w:r>
          </w:p>
        </w:tc>
      </w:tr>
      <w:tr w:rsidR="006A315D" w:rsidRPr="000D358B" w14:paraId="22491B66" w14:textId="77777777" w:rsidTr="006D5FD6">
        <w:trPr>
          <w:trHeight w:val="576"/>
        </w:trPr>
        <w:tc>
          <w:tcPr>
            <w:tcW w:w="3148" w:type="pct"/>
            <w:shd w:val="clear" w:color="auto" w:fill="DBE5F1" w:themeFill="accent1" w:themeFillTint="33"/>
            <w:vAlign w:val="center"/>
          </w:tcPr>
          <w:p w14:paraId="461EF2AB" w14:textId="77777777" w:rsidR="006A315D" w:rsidRPr="00345080" w:rsidRDefault="006A315D" w:rsidP="006D5FD6">
            <w:pPr>
              <w:contextualSpacing/>
              <w:rPr>
                <w:rFonts w:asciiTheme="minorBidi" w:hAnsiTheme="minorBidi" w:cstheme="minorBidi"/>
                <w:b/>
                <w:bCs/>
                <w:sz w:val="20"/>
                <w:szCs w:val="20"/>
                <w:lang w:val="es-ES"/>
              </w:rPr>
            </w:pPr>
            <w:proofErr w:type="spellStart"/>
            <w:r w:rsidRPr="00345080">
              <w:rPr>
                <w:rFonts w:asciiTheme="minorBidi" w:hAnsiTheme="minorBidi" w:cstheme="minorBidi"/>
                <w:b/>
                <w:bCs/>
                <w:sz w:val="20"/>
                <w:szCs w:val="20"/>
                <w:lang w:val="es-ES"/>
              </w:rPr>
              <w:t>Corporacion</w:t>
            </w:r>
            <w:proofErr w:type="spellEnd"/>
            <w:r w:rsidRPr="00345080">
              <w:rPr>
                <w:rFonts w:asciiTheme="minorBidi" w:hAnsiTheme="minorBidi" w:cstheme="minorBidi"/>
                <w:b/>
                <w:bCs/>
                <w:sz w:val="20"/>
                <w:szCs w:val="20"/>
                <w:lang w:val="es-ES"/>
              </w:rPr>
              <w:t xml:space="preserve"> Cinemateca Municipal de Valledupar Cinemateca Vallenata</w:t>
            </w:r>
            <w:r w:rsidRPr="00345080">
              <w:rPr>
                <w:rFonts w:asciiTheme="minorBidi" w:hAnsiTheme="minorBidi" w:cstheme="minorBidi"/>
                <w:sz w:val="20"/>
                <w:szCs w:val="20"/>
                <w:lang w:val="es-ES"/>
              </w:rPr>
              <w:br/>
              <w:t xml:space="preserve">Valledupar Municipal </w:t>
            </w:r>
            <w:proofErr w:type="spellStart"/>
            <w:r w:rsidRPr="00345080">
              <w:rPr>
                <w:rFonts w:asciiTheme="minorBidi" w:hAnsiTheme="minorBidi" w:cstheme="minorBidi"/>
                <w:sz w:val="20"/>
                <w:szCs w:val="20"/>
                <w:lang w:val="es-ES"/>
              </w:rPr>
              <w:t>Cinematheque</w:t>
            </w:r>
            <w:proofErr w:type="spellEnd"/>
            <w:r w:rsidRPr="00345080">
              <w:rPr>
                <w:rFonts w:asciiTheme="minorBidi" w:hAnsiTheme="minorBidi" w:cstheme="minorBidi"/>
                <w:sz w:val="20"/>
                <w:szCs w:val="20"/>
                <w:lang w:val="es-ES"/>
              </w:rPr>
              <w:t xml:space="preserve"> </w:t>
            </w:r>
            <w:proofErr w:type="spellStart"/>
            <w:r w:rsidRPr="00345080">
              <w:rPr>
                <w:rFonts w:asciiTheme="minorBidi" w:hAnsiTheme="minorBidi" w:cstheme="minorBidi"/>
                <w:sz w:val="20"/>
                <w:szCs w:val="20"/>
                <w:lang w:val="es-ES"/>
              </w:rPr>
              <w:t>Corporation</w:t>
            </w:r>
            <w:proofErr w:type="spellEnd"/>
            <w:r w:rsidRPr="00345080">
              <w:rPr>
                <w:rFonts w:asciiTheme="minorBidi" w:hAnsiTheme="minorBidi" w:cstheme="minorBidi"/>
                <w:sz w:val="20"/>
                <w:szCs w:val="20"/>
                <w:lang w:val="es-ES"/>
              </w:rPr>
              <w:t xml:space="preserve"> Cinemateca Vallenata</w:t>
            </w:r>
          </w:p>
        </w:tc>
        <w:tc>
          <w:tcPr>
            <w:tcW w:w="1010" w:type="pct"/>
            <w:shd w:val="clear" w:color="auto" w:fill="DBE5F1" w:themeFill="accent1" w:themeFillTint="33"/>
            <w:vAlign w:val="center"/>
          </w:tcPr>
          <w:p w14:paraId="2C5060F7" w14:textId="77777777" w:rsidR="006A315D" w:rsidRPr="000D2922" w:rsidRDefault="006A315D" w:rsidP="00EA2C1A">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Colombia</w:t>
            </w:r>
          </w:p>
        </w:tc>
        <w:tc>
          <w:tcPr>
            <w:tcW w:w="842" w:type="pct"/>
            <w:shd w:val="clear" w:color="auto" w:fill="DBE5F1" w:themeFill="accent1" w:themeFillTint="33"/>
            <w:vAlign w:val="center"/>
          </w:tcPr>
          <w:p w14:paraId="22A4AB37" w14:textId="77777777" w:rsidR="006A315D" w:rsidRPr="000D2922" w:rsidRDefault="006A315D" w:rsidP="00EA2C1A">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NGO-90592</w:t>
            </w:r>
          </w:p>
        </w:tc>
      </w:tr>
      <w:tr w:rsidR="006A315D" w:rsidRPr="000D358B" w14:paraId="0C74A518" w14:textId="77777777" w:rsidTr="006D5FD6">
        <w:trPr>
          <w:trHeight w:val="576"/>
        </w:trPr>
        <w:tc>
          <w:tcPr>
            <w:tcW w:w="3148" w:type="pct"/>
            <w:vAlign w:val="center"/>
          </w:tcPr>
          <w:p w14:paraId="69ACD74B" w14:textId="77777777" w:rsidR="006A315D" w:rsidRPr="000D2922" w:rsidRDefault="006A315D" w:rsidP="006D5FD6">
            <w:pPr>
              <w:contextualSpacing/>
              <w:rPr>
                <w:rFonts w:asciiTheme="minorBidi" w:hAnsiTheme="minorBidi" w:cstheme="minorBidi"/>
                <w:b/>
                <w:bCs/>
                <w:sz w:val="20"/>
                <w:szCs w:val="20"/>
                <w:lang w:val="en-GB"/>
              </w:rPr>
            </w:pPr>
            <w:proofErr w:type="spellStart"/>
            <w:r w:rsidRPr="000D2922">
              <w:rPr>
                <w:rFonts w:asciiTheme="minorBidi" w:hAnsiTheme="minorBidi" w:cstheme="minorBidi"/>
                <w:b/>
                <w:bCs/>
                <w:sz w:val="20"/>
                <w:szCs w:val="20"/>
                <w:lang w:val="en-GB"/>
              </w:rPr>
              <w:t>Corporación</w:t>
            </w:r>
            <w:proofErr w:type="spellEnd"/>
            <w:r w:rsidRPr="000D2922">
              <w:rPr>
                <w:rFonts w:asciiTheme="minorBidi" w:hAnsiTheme="minorBidi" w:cstheme="minorBidi"/>
                <w:b/>
                <w:bCs/>
                <w:sz w:val="20"/>
                <w:szCs w:val="20"/>
                <w:lang w:val="en-GB"/>
              </w:rPr>
              <w:t xml:space="preserve"> </w:t>
            </w:r>
            <w:proofErr w:type="spellStart"/>
            <w:r w:rsidRPr="000D2922">
              <w:rPr>
                <w:rFonts w:asciiTheme="minorBidi" w:hAnsiTheme="minorBidi" w:cstheme="minorBidi"/>
                <w:b/>
                <w:bCs/>
                <w:sz w:val="20"/>
                <w:szCs w:val="20"/>
                <w:lang w:val="en-GB"/>
              </w:rPr>
              <w:t>Huiltur</w:t>
            </w:r>
            <w:proofErr w:type="spellEnd"/>
            <w:r w:rsidRPr="000D2922">
              <w:rPr>
                <w:rFonts w:asciiTheme="minorBidi" w:hAnsiTheme="minorBidi" w:cstheme="minorBidi"/>
                <w:b/>
                <w:bCs/>
                <w:sz w:val="20"/>
                <w:szCs w:val="20"/>
                <w:lang w:val="en-GB"/>
              </w:rPr>
              <w:t xml:space="preserve"> - </w:t>
            </w:r>
            <w:proofErr w:type="spellStart"/>
            <w:r w:rsidRPr="000D2922">
              <w:rPr>
                <w:rFonts w:asciiTheme="minorBidi" w:hAnsiTheme="minorBidi" w:cstheme="minorBidi"/>
                <w:b/>
                <w:bCs/>
                <w:sz w:val="20"/>
                <w:szCs w:val="20"/>
                <w:lang w:val="en-GB"/>
              </w:rPr>
              <w:t>CorpoHuiltur</w:t>
            </w:r>
            <w:proofErr w:type="spellEnd"/>
            <w:r w:rsidRPr="000D2922">
              <w:rPr>
                <w:rFonts w:asciiTheme="minorBidi" w:hAnsiTheme="minorBidi" w:cstheme="minorBidi"/>
                <w:sz w:val="20"/>
                <w:szCs w:val="20"/>
                <w:lang w:val="en-GB"/>
              </w:rPr>
              <w:br/>
            </w:r>
            <w:proofErr w:type="spellStart"/>
            <w:r w:rsidRPr="000D2922">
              <w:rPr>
                <w:rFonts w:asciiTheme="minorBidi" w:hAnsiTheme="minorBidi" w:cstheme="minorBidi"/>
                <w:sz w:val="20"/>
                <w:szCs w:val="20"/>
                <w:lang w:val="en-GB"/>
              </w:rPr>
              <w:t>Huiltur</w:t>
            </w:r>
            <w:proofErr w:type="spellEnd"/>
            <w:r w:rsidRPr="000D2922">
              <w:rPr>
                <w:rFonts w:asciiTheme="minorBidi" w:hAnsiTheme="minorBidi" w:cstheme="minorBidi"/>
                <w:sz w:val="20"/>
                <w:szCs w:val="20"/>
                <w:lang w:val="en-GB"/>
              </w:rPr>
              <w:t xml:space="preserve"> Corporation</w:t>
            </w:r>
          </w:p>
        </w:tc>
        <w:tc>
          <w:tcPr>
            <w:tcW w:w="1010" w:type="pct"/>
            <w:vAlign w:val="center"/>
          </w:tcPr>
          <w:p w14:paraId="26CC3DC7" w14:textId="77777777" w:rsidR="006A315D" w:rsidRPr="000D2922" w:rsidRDefault="006A315D" w:rsidP="00EA2C1A">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Colombia</w:t>
            </w:r>
          </w:p>
        </w:tc>
        <w:tc>
          <w:tcPr>
            <w:tcW w:w="842" w:type="pct"/>
            <w:vAlign w:val="center"/>
          </w:tcPr>
          <w:p w14:paraId="046AB37E" w14:textId="77777777" w:rsidR="006A315D" w:rsidRPr="000D2922" w:rsidRDefault="006A315D" w:rsidP="00EA2C1A">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NGO-90576</w:t>
            </w:r>
          </w:p>
        </w:tc>
      </w:tr>
      <w:tr w:rsidR="006A315D" w:rsidRPr="000D358B" w14:paraId="6C8BC45C" w14:textId="77777777" w:rsidTr="006D5FD6">
        <w:trPr>
          <w:trHeight w:val="576"/>
        </w:trPr>
        <w:tc>
          <w:tcPr>
            <w:tcW w:w="3148" w:type="pct"/>
            <w:shd w:val="clear" w:color="auto" w:fill="DBE5F1" w:themeFill="accent1" w:themeFillTint="33"/>
            <w:vAlign w:val="center"/>
          </w:tcPr>
          <w:p w14:paraId="71EE45A9" w14:textId="77777777" w:rsidR="006A315D" w:rsidRPr="000D2922" w:rsidRDefault="006A315D" w:rsidP="006D5FD6">
            <w:pPr>
              <w:contextualSpacing/>
              <w:rPr>
                <w:rFonts w:asciiTheme="minorBidi" w:hAnsiTheme="minorBidi" w:cstheme="minorBidi"/>
                <w:b/>
                <w:bCs/>
                <w:sz w:val="20"/>
                <w:szCs w:val="20"/>
                <w:lang w:val="en-GB"/>
              </w:rPr>
            </w:pPr>
            <w:proofErr w:type="spellStart"/>
            <w:r w:rsidRPr="000D2922">
              <w:rPr>
                <w:rFonts w:asciiTheme="minorBidi" w:hAnsiTheme="minorBidi" w:cstheme="minorBidi"/>
                <w:b/>
                <w:bCs/>
                <w:sz w:val="20"/>
                <w:szCs w:val="20"/>
                <w:lang w:val="en-GB"/>
              </w:rPr>
              <w:t>Corporacion</w:t>
            </w:r>
            <w:proofErr w:type="spellEnd"/>
            <w:r w:rsidRPr="000D2922">
              <w:rPr>
                <w:rFonts w:asciiTheme="minorBidi" w:hAnsiTheme="minorBidi" w:cstheme="minorBidi"/>
                <w:b/>
                <w:bCs/>
                <w:sz w:val="20"/>
                <w:szCs w:val="20"/>
                <w:lang w:val="en-GB"/>
              </w:rPr>
              <w:t xml:space="preserve"> Memoria Austral</w:t>
            </w:r>
            <w:r w:rsidRPr="000D2922">
              <w:rPr>
                <w:rFonts w:asciiTheme="minorBidi" w:hAnsiTheme="minorBidi" w:cstheme="minorBidi"/>
                <w:sz w:val="20"/>
                <w:szCs w:val="20"/>
                <w:lang w:val="en-GB"/>
              </w:rPr>
              <w:br/>
              <w:t>Memoria Austral Association</w:t>
            </w:r>
          </w:p>
        </w:tc>
        <w:tc>
          <w:tcPr>
            <w:tcW w:w="1010" w:type="pct"/>
            <w:shd w:val="clear" w:color="auto" w:fill="DBE5F1" w:themeFill="accent1" w:themeFillTint="33"/>
            <w:vAlign w:val="center"/>
          </w:tcPr>
          <w:p w14:paraId="5CF34A38" w14:textId="77777777" w:rsidR="006A315D" w:rsidRPr="000D2922" w:rsidRDefault="006A315D" w:rsidP="00EA2C1A">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Chile</w:t>
            </w:r>
          </w:p>
        </w:tc>
        <w:tc>
          <w:tcPr>
            <w:tcW w:w="842" w:type="pct"/>
            <w:shd w:val="clear" w:color="auto" w:fill="DBE5F1" w:themeFill="accent1" w:themeFillTint="33"/>
            <w:vAlign w:val="center"/>
          </w:tcPr>
          <w:p w14:paraId="7C7340D9" w14:textId="77777777" w:rsidR="006A315D" w:rsidRPr="000D2922" w:rsidRDefault="006A315D" w:rsidP="00EA2C1A">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NGO-90586</w:t>
            </w:r>
          </w:p>
        </w:tc>
      </w:tr>
      <w:tr w:rsidR="006A315D" w:rsidRPr="000D358B" w14:paraId="318E4206" w14:textId="77777777" w:rsidTr="006D5FD6">
        <w:trPr>
          <w:trHeight w:val="576"/>
        </w:trPr>
        <w:tc>
          <w:tcPr>
            <w:tcW w:w="3148" w:type="pct"/>
            <w:vAlign w:val="center"/>
          </w:tcPr>
          <w:p w14:paraId="48F8DD41" w14:textId="77777777" w:rsidR="006A315D" w:rsidRPr="000D2922" w:rsidRDefault="006A315D" w:rsidP="006D5FD6">
            <w:pPr>
              <w:contextualSpacing/>
              <w:rPr>
                <w:rFonts w:asciiTheme="minorBidi" w:hAnsiTheme="minorBidi" w:cstheme="minorBidi"/>
                <w:b/>
                <w:bCs/>
                <w:sz w:val="20"/>
                <w:szCs w:val="20"/>
              </w:rPr>
            </w:pPr>
            <w:proofErr w:type="spellStart"/>
            <w:r w:rsidRPr="000D2922">
              <w:rPr>
                <w:rFonts w:asciiTheme="minorBidi" w:hAnsiTheme="minorBidi" w:cstheme="minorBidi"/>
                <w:b/>
                <w:bCs/>
                <w:sz w:val="20"/>
                <w:szCs w:val="20"/>
              </w:rPr>
              <w:lastRenderedPageBreak/>
              <w:t>Fondazione</w:t>
            </w:r>
            <w:proofErr w:type="spellEnd"/>
            <w:r w:rsidRPr="000D2922">
              <w:rPr>
                <w:rFonts w:asciiTheme="minorBidi" w:hAnsiTheme="minorBidi" w:cstheme="minorBidi"/>
                <w:b/>
                <w:bCs/>
                <w:sz w:val="20"/>
                <w:szCs w:val="20"/>
              </w:rPr>
              <w:t xml:space="preserve"> </w:t>
            </w:r>
            <w:proofErr w:type="spellStart"/>
            <w:r w:rsidRPr="000D2922">
              <w:rPr>
                <w:rFonts w:asciiTheme="minorBidi" w:hAnsiTheme="minorBidi" w:cstheme="minorBidi"/>
                <w:b/>
                <w:bCs/>
                <w:sz w:val="20"/>
                <w:szCs w:val="20"/>
              </w:rPr>
              <w:t>Santagata</w:t>
            </w:r>
            <w:proofErr w:type="spellEnd"/>
            <w:r w:rsidRPr="000D2922">
              <w:rPr>
                <w:rFonts w:asciiTheme="minorBidi" w:hAnsiTheme="minorBidi" w:cstheme="minorBidi"/>
                <w:b/>
                <w:bCs/>
                <w:sz w:val="20"/>
                <w:szCs w:val="20"/>
              </w:rPr>
              <w:t xml:space="preserve"> per l’</w:t>
            </w:r>
            <w:proofErr w:type="spellStart"/>
            <w:r w:rsidRPr="000D2922">
              <w:rPr>
                <w:rFonts w:asciiTheme="minorBidi" w:hAnsiTheme="minorBidi" w:cstheme="minorBidi"/>
                <w:b/>
                <w:bCs/>
                <w:sz w:val="20"/>
                <w:szCs w:val="20"/>
              </w:rPr>
              <w:t>Economia</w:t>
            </w:r>
            <w:proofErr w:type="spellEnd"/>
            <w:r w:rsidRPr="000D2922">
              <w:rPr>
                <w:rFonts w:asciiTheme="minorBidi" w:hAnsiTheme="minorBidi" w:cstheme="minorBidi"/>
                <w:b/>
                <w:bCs/>
                <w:sz w:val="20"/>
                <w:szCs w:val="20"/>
              </w:rPr>
              <w:t xml:space="preserve"> </w:t>
            </w:r>
            <w:proofErr w:type="spellStart"/>
            <w:r w:rsidRPr="000D2922">
              <w:rPr>
                <w:rFonts w:asciiTheme="minorBidi" w:hAnsiTheme="minorBidi" w:cstheme="minorBidi"/>
                <w:b/>
                <w:bCs/>
                <w:sz w:val="20"/>
                <w:szCs w:val="20"/>
              </w:rPr>
              <w:t>della</w:t>
            </w:r>
            <w:proofErr w:type="spellEnd"/>
            <w:r w:rsidRPr="000D2922">
              <w:rPr>
                <w:rFonts w:asciiTheme="minorBidi" w:hAnsiTheme="minorBidi" w:cstheme="minorBidi"/>
                <w:b/>
                <w:bCs/>
                <w:sz w:val="20"/>
                <w:szCs w:val="20"/>
              </w:rPr>
              <w:t xml:space="preserve"> Cultura ETS (ente </w:t>
            </w:r>
            <w:proofErr w:type="spellStart"/>
            <w:r w:rsidRPr="000D2922">
              <w:rPr>
                <w:rFonts w:asciiTheme="minorBidi" w:hAnsiTheme="minorBidi" w:cstheme="minorBidi"/>
                <w:b/>
                <w:bCs/>
                <w:sz w:val="20"/>
                <w:szCs w:val="20"/>
              </w:rPr>
              <w:t>del</w:t>
            </w:r>
            <w:proofErr w:type="spellEnd"/>
            <w:r w:rsidRPr="000D2922">
              <w:rPr>
                <w:rFonts w:asciiTheme="minorBidi" w:hAnsiTheme="minorBidi" w:cstheme="minorBidi"/>
                <w:b/>
                <w:bCs/>
                <w:sz w:val="20"/>
                <w:szCs w:val="20"/>
              </w:rPr>
              <w:t xml:space="preserve"> </w:t>
            </w:r>
            <w:proofErr w:type="spellStart"/>
            <w:r w:rsidRPr="000D2922">
              <w:rPr>
                <w:rFonts w:asciiTheme="minorBidi" w:hAnsiTheme="minorBidi" w:cstheme="minorBidi"/>
                <w:b/>
                <w:bCs/>
                <w:sz w:val="20"/>
                <w:szCs w:val="20"/>
              </w:rPr>
              <w:t>terzo</w:t>
            </w:r>
            <w:proofErr w:type="spellEnd"/>
            <w:r w:rsidRPr="000D2922">
              <w:rPr>
                <w:rFonts w:asciiTheme="minorBidi" w:hAnsiTheme="minorBidi" w:cstheme="minorBidi"/>
                <w:b/>
                <w:bCs/>
                <w:sz w:val="20"/>
                <w:szCs w:val="20"/>
              </w:rPr>
              <w:t xml:space="preserve"> </w:t>
            </w:r>
            <w:proofErr w:type="spellStart"/>
            <w:r w:rsidRPr="000D2922">
              <w:rPr>
                <w:rFonts w:asciiTheme="minorBidi" w:hAnsiTheme="minorBidi" w:cstheme="minorBidi"/>
                <w:b/>
                <w:bCs/>
                <w:sz w:val="20"/>
                <w:szCs w:val="20"/>
              </w:rPr>
              <w:t>settore</w:t>
            </w:r>
            <w:proofErr w:type="spellEnd"/>
            <w:r w:rsidRPr="000D2922">
              <w:rPr>
                <w:rFonts w:asciiTheme="minorBidi" w:hAnsiTheme="minorBidi" w:cstheme="minorBidi"/>
                <w:b/>
                <w:bCs/>
                <w:sz w:val="20"/>
                <w:szCs w:val="20"/>
              </w:rPr>
              <w:t>)</w:t>
            </w:r>
            <w:r w:rsidRPr="000D2922">
              <w:rPr>
                <w:rFonts w:asciiTheme="minorBidi" w:hAnsiTheme="minorBidi" w:cstheme="minorBidi"/>
                <w:sz w:val="20"/>
                <w:szCs w:val="20"/>
              </w:rPr>
              <w:br/>
            </w:r>
            <w:proofErr w:type="spellStart"/>
            <w:r w:rsidRPr="000D2922">
              <w:rPr>
                <w:rFonts w:asciiTheme="minorBidi" w:hAnsiTheme="minorBidi" w:cstheme="minorBidi"/>
                <w:sz w:val="20"/>
                <w:szCs w:val="20"/>
              </w:rPr>
              <w:t>Fondazione</w:t>
            </w:r>
            <w:proofErr w:type="spellEnd"/>
            <w:r w:rsidRPr="000D2922">
              <w:rPr>
                <w:rFonts w:asciiTheme="minorBidi" w:hAnsiTheme="minorBidi" w:cstheme="minorBidi"/>
                <w:sz w:val="20"/>
                <w:szCs w:val="20"/>
              </w:rPr>
              <w:t xml:space="preserve"> </w:t>
            </w:r>
            <w:proofErr w:type="spellStart"/>
            <w:r w:rsidRPr="000D2922">
              <w:rPr>
                <w:rFonts w:asciiTheme="minorBidi" w:hAnsiTheme="minorBidi" w:cstheme="minorBidi"/>
                <w:sz w:val="20"/>
                <w:szCs w:val="20"/>
              </w:rPr>
              <w:t>Santagata</w:t>
            </w:r>
            <w:proofErr w:type="spellEnd"/>
            <w:r w:rsidRPr="000D2922">
              <w:rPr>
                <w:rFonts w:asciiTheme="minorBidi" w:hAnsiTheme="minorBidi" w:cstheme="minorBidi"/>
                <w:sz w:val="20"/>
                <w:szCs w:val="20"/>
              </w:rPr>
              <w:t xml:space="preserve"> for the </w:t>
            </w:r>
            <w:proofErr w:type="spellStart"/>
            <w:r w:rsidRPr="000D2922">
              <w:rPr>
                <w:rFonts w:asciiTheme="minorBidi" w:hAnsiTheme="minorBidi" w:cstheme="minorBidi"/>
                <w:sz w:val="20"/>
                <w:szCs w:val="20"/>
              </w:rPr>
              <w:t>Economics</w:t>
            </w:r>
            <w:proofErr w:type="spellEnd"/>
            <w:r w:rsidRPr="000D2922">
              <w:rPr>
                <w:rFonts w:asciiTheme="minorBidi" w:hAnsiTheme="minorBidi" w:cstheme="minorBidi"/>
                <w:sz w:val="20"/>
                <w:szCs w:val="20"/>
              </w:rPr>
              <w:t xml:space="preserve"> of Culture ETS (</w:t>
            </w:r>
            <w:proofErr w:type="spellStart"/>
            <w:r w:rsidRPr="000D2922">
              <w:rPr>
                <w:rFonts w:asciiTheme="minorBidi" w:hAnsiTheme="minorBidi" w:cstheme="minorBidi"/>
                <w:sz w:val="20"/>
                <w:szCs w:val="20"/>
              </w:rPr>
              <w:t>third</w:t>
            </w:r>
            <w:proofErr w:type="spellEnd"/>
            <w:r w:rsidRPr="000D2922">
              <w:rPr>
                <w:rFonts w:asciiTheme="minorBidi" w:hAnsiTheme="minorBidi" w:cstheme="minorBidi"/>
                <w:sz w:val="20"/>
                <w:szCs w:val="20"/>
              </w:rPr>
              <w:t xml:space="preserve"> </w:t>
            </w:r>
            <w:proofErr w:type="spellStart"/>
            <w:r w:rsidRPr="000D2922">
              <w:rPr>
                <w:rFonts w:asciiTheme="minorBidi" w:hAnsiTheme="minorBidi" w:cstheme="minorBidi"/>
                <w:sz w:val="20"/>
                <w:szCs w:val="20"/>
              </w:rPr>
              <w:t>sector</w:t>
            </w:r>
            <w:proofErr w:type="spellEnd"/>
            <w:r w:rsidRPr="000D2922">
              <w:rPr>
                <w:rFonts w:asciiTheme="minorBidi" w:hAnsiTheme="minorBidi" w:cstheme="minorBidi"/>
                <w:sz w:val="20"/>
                <w:szCs w:val="20"/>
              </w:rPr>
              <w:t xml:space="preserve"> </w:t>
            </w:r>
            <w:proofErr w:type="spellStart"/>
            <w:r w:rsidRPr="000D2922">
              <w:rPr>
                <w:rFonts w:asciiTheme="minorBidi" w:hAnsiTheme="minorBidi" w:cstheme="minorBidi"/>
                <w:sz w:val="20"/>
                <w:szCs w:val="20"/>
              </w:rPr>
              <w:t>entity</w:t>
            </w:r>
            <w:proofErr w:type="spellEnd"/>
            <w:r w:rsidRPr="000D2922">
              <w:rPr>
                <w:rFonts w:asciiTheme="minorBidi" w:hAnsiTheme="minorBidi" w:cstheme="minorBidi"/>
                <w:sz w:val="20"/>
                <w:szCs w:val="20"/>
              </w:rPr>
              <w:t>)</w:t>
            </w:r>
          </w:p>
        </w:tc>
        <w:tc>
          <w:tcPr>
            <w:tcW w:w="1010" w:type="pct"/>
            <w:vAlign w:val="center"/>
          </w:tcPr>
          <w:p w14:paraId="0E4CECBE" w14:textId="77777777" w:rsidR="006A315D" w:rsidRPr="000D2922" w:rsidRDefault="006A315D" w:rsidP="00EA2C1A">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Italy</w:t>
            </w:r>
          </w:p>
        </w:tc>
        <w:tc>
          <w:tcPr>
            <w:tcW w:w="842" w:type="pct"/>
            <w:vAlign w:val="center"/>
          </w:tcPr>
          <w:p w14:paraId="3822FE9B" w14:textId="77777777" w:rsidR="006A315D" w:rsidRPr="000D2922" w:rsidRDefault="006A315D" w:rsidP="00EA2C1A">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NGO-90552</w:t>
            </w:r>
          </w:p>
        </w:tc>
      </w:tr>
      <w:tr w:rsidR="006A315D" w:rsidRPr="000D358B" w14:paraId="6D424CE7" w14:textId="77777777" w:rsidTr="006D5FD6">
        <w:trPr>
          <w:trHeight w:val="576"/>
        </w:trPr>
        <w:tc>
          <w:tcPr>
            <w:tcW w:w="3148" w:type="pct"/>
            <w:shd w:val="clear" w:color="auto" w:fill="DBE5F1" w:themeFill="accent1" w:themeFillTint="33"/>
            <w:vAlign w:val="center"/>
          </w:tcPr>
          <w:p w14:paraId="39879F1F" w14:textId="77777777" w:rsidR="006A315D" w:rsidRPr="000D2922" w:rsidRDefault="006A315D" w:rsidP="006D5FD6">
            <w:pPr>
              <w:contextualSpacing/>
              <w:rPr>
                <w:rFonts w:asciiTheme="minorBidi" w:hAnsiTheme="minorBidi" w:cstheme="minorBidi"/>
                <w:b/>
                <w:bCs/>
                <w:sz w:val="20"/>
                <w:szCs w:val="20"/>
                <w:lang w:val="en-GB"/>
              </w:rPr>
            </w:pPr>
            <w:r w:rsidRPr="000D2922">
              <w:rPr>
                <w:rFonts w:asciiTheme="minorBidi" w:hAnsiTheme="minorBidi" w:cstheme="minorBidi"/>
                <w:b/>
                <w:bCs/>
                <w:sz w:val="20"/>
                <w:szCs w:val="20"/>
                <w:lang w:val="en-GB"/>
              </w:rPr>
              <w:t>Fundación Casa Taller</w:t>
            </w:r>
            <w:r w:rsidRPr="000D2922">
              <w:rPr>
                <w:rFonts w:asciiTheme="minorBidi" w:hAnsiTheme="minorBidi" w:cstheme="minorBidi"/>
                <w:sz w:val="20"/>
                <w:szCs w:val="20"/>
                <w:lang w:val="en-GB"/>
              </w:rPr>
              <w:br/>
              <w:t>Workshop Home Foundation</w:t>
            </w:r>
          </w:p>
        </w:tc>
        <w:tc>
          <w:tcPr>
            <w:tcW w:w="1010" w:type="pct"/>
            <w:shd w:val="clear" w:color="auto" w:fill="DBE5F1" w:themeFill="accent1" w:themeFillTint="33"/>
            <w:vAlign w:val="center"/>
          </w:tcPr>
          <w:p w14:paraId="22F031EB" w14:textId="77777777" w:rsidR="006A315D" w:rsidRPr="000D2922" w:rsidRDefault="006A315D" w:rsidP="00EA2C1A">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Panama</w:t>
            </w:r>
          </w:p>
        </w:tc>
        <w:tc>
          <w:tcPr>
            <w:tcW w:w="842" w:type="pct"/>
            <w:shd w:val="clear" w:color="auto" w:fill="DBE5F1" w:themeFill="accent1" w:themeFillTint="33"/>
            <w:vAlign w:val="center"/>
          </w:tcPr>
          <w:p w14:paraId="73B7CD0C" w14:textId="77777777" w:rsidR="006A315D" w:rsidRPr="000D2922" w:rsidRDefault="006A315D" w:rsidP="00EA2C1A">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NGO-90579</w:t>
            </w:r>
          </w:p>
        </w:tc>
      </w:tr>
      <w:tr w:rsidR="006A315D" w:rsidRPr="000D358B" w14:paraId="72913583" w14:textId="77777777" w:rsidTr="006D5FD6">
        <w:trPr>
          <w:trHeight w:val="576"/>
        </w:trPr>
        <w:tc>
          <w:tcPr>
            <w:tcW w:w="3148" w:type="pct"/>
            <w:vAlign w:val="center"/>
          </w:tcPr>
          <w:p w14:paraId="238D2A63" w14:textId="77777777" w:rsidR="006A315D" w:rsidRPr="000D2922" w:rsidRDefault="006A315D" w:rsidP="006D5FD6">
            <w:pPr>
              <w:contextualSpacing/>
              <w:rPr>
                <w:rFonts w:asciiTheme="minorBidi" w:hAnsiTheme="minorBidi" w:cstheme="minorBidi"/>
                <w:b/>
                <w:bCs/>
                <w:sz w:val="20"/>
                <w:szCs w:val="20"/>
                <w:lang w:val="es-ES"/>
              </w:rPr>
            </w:pPr>
            <w:r w:rsidRPr="000D2922">
              <w:rPr>
                <w:rFonts w:asciiTheme="minorBidi" w:hAnsiTheme="minorBidi" w:cstheme="minorBidi"/>
                <w:b/>
                <w:bCs/>
                <w:sz w:val="20"/>
                <w:szCs w:val="20"/>
                <w:lang w:val="es-ES"/>
              </w:rPr>
              <w:t>Fundación La Sacha</w:t>
            </w:r>
            <w:r w:rsidRPr="000D2922">
              <w:rPr>
                <w:rFonts w:asciiTheme="minorBidi" w:hAnsiTheme="minorBidi" w:cstheme="minorBidi"/>
                <w:sz w:val="20"/>
                <w:szCs w:val="20"/>
                <w:lang w:val="es-ES"/>
              </w:rPr>
              <w:br/>
              <w:t xml:space="preserve">Sacha </w:t>
            </w:r>
            <w:proofErr w:type="spellStart"/>
            <w:r w:rsidRPr="000D2922">
              <w:rPr>
                <w:rFonts w:asciiTheme="minorBidi" w:hAnsiTheme="minorBidi" w:cstheme="minorBidi"/>
                <w:sz w:val="20"/>
                <w:szCs w:val="20"/>
                <w:lang w:val="es-ES"/>
              </w:rPr>
              <w:t>Foundation</w:t>
            </w:r>
            <w:proofErr w:type="spellEnd"/>
          </w:p>
        </w:tc>
        <w:tc>
          <w:tcPr>
            <w:tcW w:w="1010" w:type="pct"/>
            <w:vAlign w:val="center"/>
          </w:tcPr>
          <w:p w14:paraId="799FE42A" w14:textId="77777777" w:rsidR="006A315D" w:rsidRPr="000D2922" w:rsidRDefault="006A315D" w:rsidP="00EA2C1A">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Argentina</w:t>
            </w:r>
          </w:p>
        </w:tc>
        <w:tc>
          <w:tcPr>
            <w:tcW w:w="842" w:type="pct"/>
            <w:vAlign w:val="center"/>
          </w:tcPr>
          <w:p w14:paraId="0601150D" w14:textId="77777777" w:rsidR="006A315D" w:rsidRPr="000D2922" w:rsidRDefault="006A315D" w:rsidP="00EA2C1A">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NGO-90546</w:t>
            </w:r>
          </w:p>
        </w:tc>
      </w:tr>
      <w:tr w:rsidR="006A315D" w:rsidRPr="000D358B" w14:paraId="24BB3D09" w14:textId="77777777" w:rsidTr="006D5FD6">
        <w:trPr>
          <w:trHeight w:val="576"/>
        </w:trPr>
        <w:tc>
          <w:tcPr>
            <w:tcW w:w="3148" w:type="pct"/>
            <w:shd w:val="clear" w:color="auto" w:fill="DBE5F1" w:themeFill="accent1" w:themeFillTint="33"/>
            <w:vAlign w:val="center"/>
          </w:tcPr>
          <w:p w14:paraId="47BEDFB8" w14:textId="77777777" w:rsidR="006A315D" w:rsidRPr="000D2922" w:rsidRDefault="006A315D" w:rsidP="006D5FD6">
            <w:pPr>
              <w:contextualSpacing/>
              <w:rPr>
                <w:rFonts w:asciiTheme="minorBidi" w:hAnsiTheme="minorBidi" w:cstheme="minorBidi"/>
                <w:b/>
                <w:bCs/>
                <w:sz w:val="20"/>
                <w:szCs w:val="20"/>
                <w:lang w:val="en-GB"/>
              </w:rPr>
            </w:pPr>
            <w:r w:rsidRPr="000D2922">
              <w:rPr>
                <w:rFonts w:asciiTheme="minorBidi" w:hAnsiTheme="minorBidi" w:cstheme="minorBidi"/>
                <w:b/>
                <w:bCs/>
                <w:sz w:val="20"/>
                <w:szCs w:val="20"/>
                <w:lang w:val="en-GB"/>
              </w:rPr>
              <w:t>Grenada National Trust</w:t>
            </w:r>
          </w:p>
        </w:tc>
        <w:tc>
          <w:tcPr>
            <w:tcW w:w="1010" w:type="pct"/>
            <w:shd w:val="clear" w:color="auto" w:fill="DBE5F1" w:themeFill="accent1" w:themeFillTint="33"/>
            <w:vAlign w:val="center"/>
          </w:tcPr>
          <w:p w14:paraId="00997CE0" w14:textId="77777777" w:rsidR="006A315D" w:rsidRPr="000D2922" w:rsidRDefault="006A315D" w:rsidP="00EA2C1A">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Grenada</w:t>
            </w:r>
          </w:p>
        </w:tc>
        <w:tc>
          <w:tcPr>
            <w:tcW w:w="842" w:type="pct"/>
            <w:shd w:val="clear" w:color="auto" w:fill="DBE5F1" w:themeFill="accent1" w:themeFillTint="33"/>
            <w:vAlign w:val="center"/>
          </w:tcPr>
          <w:p w14:paraId="1B58477D" w14:textId="77777777" w:rsidR="006A315D" w:rsidRPr="000D2922" w:rsidRDefault="006A315D" w:rsidP="00EA2C1A">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NGO-90555</w:t>
            </w:r>
          </w:p>
        </w:tc>
      </w:tr>
      <w:tr w:rsidR="006A315D" w:rsidRPr="000D358B" w14:paraId="37FFC295" w14:textId="77777777" w:rsidTr="006D5FD6">
        <w:trPr>
          <w:trHeight w:val="576"/>
        </w:trPr>
        <w:tc>
          <w:tcPr>
            <w:tcW w:w="3148" w:type="pct"/>
            <w:vAlign w:val="center"/>
          </w:tcPr>
          <w:p w14:paraId="3E215135" w14:textId="77777777" w:rsidR="006A315D" w:rsidRPr="000D2922" w:rsidRDefault="006A315D" w:rsidP="006D5FD6">
            <w:pPr>
              <w:contextualSpacing/>
              <w:rPr>
                <w:rFonts w:asciiTheme="minorBidi" w:hAnsiTheme="minorBidi" w:cstheme="minorBidi"/>
                <w:b/>
                <w:bCs/>
                <w:sz w:val="20"/>
                <w:szCs w:val="20"/>
                <w:lang w:val="en-GB"/>
              </w:rPr>
            </w:pPr>
            <w:proofErr w:type="spellStart"/>
            <w:r w:rsidRPr="000D2922">
              <w:rPr>
                <w:rFonts w:asciiTheme="minorBidi" w:hAnsiTheme="minorBidi" w:cstheme="minorBidi"/>
                <w:b/>
                <w:bCs/>
                <w:sz w:val="20"/>
                <w:szCs w:val="20"/>
                <w:lang w:val="en-GB"/>
              </w:rPr>
              <w:t>Heimilisiðnaðarfélag</w:t>
            </w:r>
            <w:proofErr w:type="spellEnd"/>
            <w:r w:rsidRPr="000D2922">
              <w:rPr>
                <w:rFonts w:asciiTheme="minorBidi" w:hAnsiTheme="minorBidi" w:cstheme="minorBidi"/>
                <w:b/>
                <w:bCs/>
                <w:sz w:val="20"/>
                <w:szCs w:val="20"/>
                <w:lang w:val="en-GB"/>
              </w:rPr>
              <w:t xml:space="preserve"> </w:t>
            </w:r>
            <w:proofErr w:type="spellStart"/>
            <w:r w:rsidRPr="000D2922">
              <w:rPr>
                <w:rFonts w:asciiTheme="minorBidi" w:hAnsiTheme="minorBidi" w:cstheme="minorBidi"/>
                <w:b/>
                <w:bCs/>
                <w:sz w:val="20"/>
                <w:szCs w:val="20"/>
                <w:lang w:val="en-GB"/>
              </w:rPr>
              <w:t>Íslands</w:t>
            </w:r>
            <w:proofErr w:type="spellEnd"/>
            <w:r w:rsidRPr="000D2922">
              <w:rPr>
                <w:rFonts w:asciiTheme="minorBidi" w:hAnsiTheme="minorBidi" w:cstheme="minorBidi"/>
                <w:sz w:val="20"/>
                <w:szCs w:val="20"/>
                <w:lang w:val="en-GB"/>
              </w:rPr>
              <w:br/>
              <w:t>Icelandic Handicraft Association</w:t>
            </w:r>
          </w:p>
        </w:tc>
        <w:tc>
          <w:tcPr>
            <w:tcW w:w="1010" w:type="pct"/>
            <w:vAlign w:val="center"/>
          </w:tcPr>
          <w:p w14:paraId="1F3532AA" w14:textId="77777777" w:rsidR="006A315D" w:rsidRPr="000D2922" w:rsidRDefault="006A315D" w:rsidP="00EA2C1A">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Iceland</w:t>
            </w:r>
          </w:p>
        </w:tc>
        <w:tc>
          <w:tcPr>
            <w:tcW w:w="842" w:type="pct"/>
            <w:vAlign w:val="center"/>
          </w:tcPr>
          <w:p w14:paraId="56E55BCE" w14:textId="77777777" w:rsidR="006A315D" w:rsidRPr="000D2922" w:rsidRDefault="006A315D" w:rsidP="00EA2C1A">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NGO-90533</w:t>
            </w:r>
          </w:p>
        </w:tc>
      </w:tr>
      <w:tr w:rsidR="006A315D" w:rsidRPr="000D358B" w14:paraId="02E3B8D9" w14:textId="77777777" w:rsidTr="006D5FD6">
        <w:trPr>
          <w:trHeight w:val="576"/>
        </w:trPr>
        <w:tc>
          <w:tcPr>
            <w:tcW w:w="3148" w:type="pct"/>
            <w:shd w:val="clear" w:color="auto" w:fill="DBE5F1" w:themeFill="accent1" w:themeFillTint="33"/>
            <w:vAlign w:val="center"/>
          </w:tcPr>
          <w:p w14:paraId="69D89250" w14:textId="77777777" w:rsidR="006A315D" w:rsidRPr="000D2922" w:rsidRDefault="006A315D" w:rsidP="006D5FD6">
            <w:pPr>
              <w:contextualSpacing/>
              <w:rPr>
                <w:rFonts w:asciiTheme="minorBidi" w:hAnsiTheme="minorBidi" w:cstheme="minorBidi"/>
                <w:b/>
                <w:bCs/>
                <w:sz w:val="20"/>
                <w:szCs w:val="20"/>
                <w:lang w:val="pt-BR"/>
              </w:rPr>
            </w:pPr>
            <w:r w:rsidRPr="000D2922">
              <w:rPr>
                <w:rFonts w:asciiTheme="minorBidi" w:hAnsiTheme="minorBidi" w:cstheme="minorBidi"/>
                <w:b/>
                <w:bCs/>
                <w:sz w:val="20"/>
                <w:szCs w:val="20"/>
                <w:lang w:val="pt-BR"/>
              </w:rPr>
              <w:t>Iepé - Instituto de Pesquisa e Formação Indígena</w:t>
            </w:r>
            <w:r w:rsidRPr="000D2922">
              <w:rPr>
                <w:rFonts w:asciiTheme="minorBidi" w:hAnsiTheme="minorBidi" w:cstheme="minorBidi"/>
                <w:sz w:val="20"/>
                <w:szCs w:val="20"/>
                <w:lang w:val="pt-BR"/>
              </w:rPr>
              <w:br/>
              <w:t>Iepé - Indigenous Research and Training Institute</w:t>
            </w:r>
          </w:p>
        </w:tc>
        <w:tc>
          <w:tcPr>
            <w:tcW w:w="1010" w:type="pct"/>
            <w:shd w:val="clear" w:color="auto" w:fill="DBE5F1" w:themeFill="accent1" w:themeFillTint="33"/>
            <w:vAlign w:val="center"/>
          </w:tcPr>
          <w:p w14:paraId="3471EC24" w14:textId="77777777" w:rsidR="006A315D" w:rsidRPr="000D2922" w:rsidRDefault="006A315D" w:rsidP="00EA2C1A">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Brazil</w:t>
            </w:r>
          </w:p>
        </w:tc>
        <w:tc>
          <w:tcPr>
            <w:tcW w:w="842" w:type="pct"/>
            <w:shd w:val="clear" w:color="auto" w:fill="DBE5F1" w:themeFill="accent1" w:themeFillTint="33"/>
            <w:vAlign w:val="center"/>
          </w:tcPr>
          <w:p w14:paraId="117CFC32" w14:textId="77777777" w:rsidR="006A315D" w:rsidRPr="000D2922" w:rsidRDefault="006A315D" w:rsidP="00EA2C1A">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NGO-90584</w:t>
            </w:r>
          </w:p>
        </w:tc>
      </w:tr>
      <w:tr w:rsidR="006A315D" w:rsidRPr="000D358B" w14:paraId="5F4BBE45" w14:textId="77777777" w:rsidTr="006D5FD6">
        <w:trPr>
          <w:trHeight w:val="576"/>
        </w:trPr>
        <w:tc>
          <w:tcPr>
            <w:tcW w:w="3148" w:type="pct"/>
            <w:vAlign w:val="center"/>
          </w:tcPr>
          <w:p w14:paraId="75371686" w14:textId="77777777" w:rsidR="006A315D" w:rsidRPr="000D2922" w:rsidRDefault="006A315D" w:rsidP="006D5FD6">
            <w:pPr>
              <w:contextualSpacing/>
              <w:rPr>
                <w:rFonts w:asciiTheme="minorBidi" w:hAnsiTheme="minorBidi" w:cstheme="minorBidi"/>
                <w:b/>
                <w:bCs/>
                <w:sz w:val="20"/>
                <w:szCs w:val="20"/>
                <w:lang w:val="en-GB"/>
              </w:rPr>
            </w:pPr>
            <w:proofErr w:type="spellStart"/>
            <w:r w:rsidRPr="000D2922">
              <w:rPr>
                <w:rFonts w:asciiTheme="minorBidi" w:hAnsiTheme="minorBidi" w:cstheme="minorBidi"/>
                <w:b/>
                <w:bCs/>
                <w:sz w:val="20"/>
                <w:szCs w:val="20"/>
                <w:lang w:val="en-GB"/>
              </w:rPr>
              <w:t>Kadın</w:t>
            </w:r>
            <w:proofErr w:type="spellEnd"/>
            <w:r w:rsidRPr="000D2922">
              <w:rPr>
                <w:rFonts w:asciiTheme="minorBidi" w:hAnsiTheme="minorBidi" w:cstheme="minorBidi"/>
                <w:b/>
                <w:bCs/>
                <w:sz w:val="20"/>
                <w:szCs w:val="20"/>
                <w:lang w:val="en-GB"/>
              </w:rPr>
              <w:t xml:space="preserve"> </w:t>
            </w:r>
            <w:proofErr w:type="spellStart"/>
            <w:r w:rsidRPr="000D2922">
              <w:rPr>
                <w:rFonts w:asciiTheme="minorBidi" w:hAnsiTheme="minorBidi" w:cstheme="minorBidi"/>
                <w:b/>
                <w:bCs/>
                <w:sz w:val="20"/>
                <w:szCs w:val="20"/>
                <w:lang w:val="en-GB"/>
              </w:rPr>
              <w:t>ve</w:t>
            </w:r>
            <w:proofErr w:type="spellEnd"/>
            <w:r w:rsidRPr="000D2922">
              <w:rPr>
                <w:rFonts w:asciiTheme="minorBidi" w:hAnsiTheme="minorBidi" w:cstheme="minorBidi"/>
                <w:b/>
                <w:bCs/>
                <w:sz w:val="20"/>
                <w:szCs w:val="20"/>
                <w:lang w:val="en-GB"/>
              </w:rPr>
              <w:t xml:space="preserve"> </w:t>
            </w:r>
            <w:proofErr w:type="spellStart"/>
            <w:r w:rsidRPr="000D2922">
              <w:rPr>
                <w:rFonts w:asciiTheme="minorBidi" w:hAnsiTheme="minorBidi" w:cstheme="minorBidi"/>
                <w:b/>
                <w:bCs/>
                <w:sz w:val="20"/>
                <w:szCs w:val="20"/>
                <w:lang w:val="en-GB"/>
              </w:rPr>
              <w:t>Demokrasi</w:t>
            </w:r>
            <w:proofErr w:type="spellEnd"/>
            <w:r w:rsidRPr="000D2922">
              <w:rPr>
                <w:rFonts w:asciiTheme="minorBidi" w:hAnsiTheme="minorBidi" w:cstheme="minorBidi"/>
                <w:b/>
                <w:bCs/>
                <w:sz w:val="20"/>
                <w:szCs w:val="20"/>
                <w:lang w:val="en-GB"/>
              </w:rPr>
              <w:t xml:space="preserve"> </w:t>
            </w:r>
            <w:proofErr w:type="spellStart"/>
            <w:r w:rsidRPr="000D2922">
              <w:rPr>
                <w:rFonts w:asciiTheme="minorBidi" w:hAnsiTheme="minorBidi" w:cstheme="minorBidi"/>
                <w:b/>
                <w:bCs/>
                <w:sz w:val="20"/>
                <w:szCs w:val="20"/>
                <w:lang w:val="en-GB"/>
              </w:rPr>
              <w:t>Vakfı</w:t>
            </w:r>
            <w:proofErr w:type="spellEnd"/>
            <w:r w:rsidRPr="000D2922">
              <w:rPr>
                <w:rFonts w:asciiTheme="minorBidi" w:hAnsiTheme="minorBidi" w:cstheme="minorBidi"/>
                <w:b/>
                <w:bCs/>
                <w:sz w:val="20"/>
                <w:szCs w:val="20"/>
                <w:lang w:val="en-GB"/>
              </w:rPr>
              <w:t xml:space="preserve"> (KADEM)</w:t>
            </w:r>
            <w:r w:rsidRPr="000D2922">
              <w:rPr>
                <w:rFonts w:asciiTheme="minorBidi" w:hAnsiTheme="minorBidi" w:cstheme="minorBidi"/>
                <w:sz w:val="20"/>
                <w:szCs w:val="20"/>
                <w:lang w:val="en-GB"/>
              </w:rPr>
              <w:br/>
              <w:t>Women and Democracy Foundation (KADEM)</w:t>
            </w:r>
          </w:p>
        </w:tc>
        <w:tc>
          <w:tcPr>
            <w:tcW w:w="1010" w:type="pct"/>
            <w:vAlign w:val="center"/>
          </w:tcPr>
          <w:p w14:paraId="5D680DA3" w14:textId="77777777" w:rsidR="006A315D" w:rsidRPr="000D2922" w:rsidRDefault="006A315D" w:rsidP="00EA2C1A">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Türkiye</w:t>
            </w:r>
          </w:p>
        </w:tc>
        <w:tc>
          <w:tcPr>
            <w:tcW w:w="842" w:type="pct"/>
            <w:vAlign w:val="center"/>
          </w:tcPr>
          <w:p w14:paraId="7BE019D3" w14:textId="77777777" w:rsidR="006A315D" w:rsidRPr="000D2922" w:rsidRDefault="006A315D" w:rsidP="00EA2C1A">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NGO-90557</w:t>
            </w:r>
          </w:p>
        </w:tc>
      </w:tr>
      <w:tr w:rsidR="006A315D" w:rsidRPr="000D358B" w14:paraId="735291ED" w14:textId="77777777" w:rsidTr="00886F82">
        <w:trPr>
          <w:trHeight w:val="576"/>
        </w:trPr>
        <w:tc>
          <w:tcPr>
            <w:tcW w:w="3148" w:type="pct"/>
            <w:shd w:val="clear" w:color="auto" w:fill="DBE5F1" w:themeFill="accent1" w:themeFillTint="33"/>
            <w:vAlign w:val="center"/>
          </w:tcPr>
          <w:p w14:paraId="77CF3867" w14:textId="77777777" w:rsidR="006A315D" w:rsidRPr="000D2922" w:rsidRDefault="006A315D" w:rsidP="006D5FD6">
            <w:pPr>
              <w:contextualSpacing/>
              <w:rPr>
                <w:rFonts w:asciiTheme="minorBidi" w:hAnsiTheme="minorBidi" w:cstheme="minorBidi"/>
                <w:b/>
                <w:bCs/>
                <w:sz w:val="20"/>
                <w:szCs w:val="20"/>
                <w:lang w:val="en-GB"/>
              </w:rPr>
            </w:pPr>
            <w:proofErr w:type="spellStart"/>
            <w:r w:rsidRPr="000D2922">
              <w:rPr>
                <w:rFonts w:asciiTheme="minorBidi" w:hAnsiTheme="minorBidi" w:cstheme="minorBidi"/>
                <w:b/>
                <w:bCs/>
                <w:sz w:val="20"/>
                <w:szCs w:val="20"/>
                <w:lang w:val="en-GB"/>
              </w:rPr>
              <w:t>Kulturno</w:t>
            </w:r>
            <w:proofErr w:type="spellEnd"/>
            <w:r w:rsidRPr="000D2922">
              <w:rPr>
                <w:rFonts w:asciiTheme="minorBidi" w:hAnsiTheme="minorBidi" w:cstheme="minorBidi"/>
                <w:b/>
                <w:bCs/>
                <w:sz w:val="20"/>
                <w:szCs w:val="20"/>
                <w:lang w:val="en-GB"/>
              </w:rPr>
              <w:t xml:space="preserve"> </w:t>
            </w:r>
            <w:proofErr w:type="spellStart"/>
            <w:r w:rsidRPr="000D2922">
              <w:rPr>
                <w:rFonts w:asciiTheme="minorBidi" w:hAnsiTheme="minorBidi" w:cstheme="minorBidi"/>
                <w:b/>
                <w:bCs/>
                <w:sz w:val="20"/>
                <w:szCs w:val="20"/>
                <w:lang w:val="en-GB"/>
              </w:rPr>
              <w:t>Umjetničko</w:t>
            </w:r>
            <w:proofErr w:type="spellEnd"/>
            <w:r w:rsidRPr="000D2922">
              <w:rPr>
                <w:rFonts w:asciiTheme="minorBidi" w:hAnsiTheme="minorBidi" w:cstheme="minorBidi"/>
                <w:b/>
                <w:bCs/>
                <w:sz w:val="20"/>
                <w:szCs w:val="20"/>
                <w:lang w:val="en-GB"/>
              </w:rPr>
              <w:t xml:space="preserve"> </w:t>
            </w:r>
            <w:proofErr w:type="spellStart"/>
            <w:r w:rsidRPr="000D2922">
              <w:rPr>
                <w:rFonts w:asciiTheme="minorBidi" w:hAnsiTheme="minorBidi" w:cstheme="minorBidi"/>
                <w:b/>
                <w:bCs/>
                <w:sz w:val="20"/>
                <w:szCs w:val="20"/>
                <w:lang w:val="en-GB"/>
              </w:rPr>
              <w:t>Društvo</w:t>
            </w:r>
            <w:proofErr w:type="spellEnd"/>
            <w:r w:rsidRPr="000D2922">
              <w:rPr>
                <w:rFonts w:asciiTheme="minorBidi" w:hAnsiTheme="minorBidi" w:cstheme="minorBidi"/>
                <w:b/>
                <w:bCs/>
                <w:sz w:val="20"/>
                <w:szCs w:val="20"/>
                <w:lang w:val="en-GB"/>
              </w:rPr>
              <w:t xml:space="preserve"> ‘</w:t>
            </w:r>
            <w:proofErr w:type="spellStart"/>
            <w:r w:rsidRPr="000D2922">
              <w:rPr>
                <w:rFonts w:asciiTheme="minorBidi" w:hAnsiTheme="minorBidi" w:cstheme="minorBidi"/>
                <w:b/>
                <w:bCs/>
                <w:sz w:val="20"/>
                <w:szCs w:val="20"/>
                <w:lang w:val="en-GB"/>
              </w:rPr>
              <w:t>Puračić</w:t>
            </w:r>
            <w:proofErr w:type="spellEnd"/>
            <w:r w:rsidRPr="000D2922">
              <w:rPr>
                <w:rFonts w:asciiTheme="minorBidi" w:hAnsiTheme="minorBidi" w:cstheme="minorBidi"/>
                <w:b/>
                <w:bCs/>
                <w:sz w:val="20"/>
                <w:szCs w:val="20"/>
                <w:lang w:val="en-GB"/>
              </w:rPr>
              <w:t>’</w:t>
            </w:r>
            <w:r w:rsidRPr="000D2922">
              <w:rPr>
                <w:rFonts w:asciiTheme="minorBidi" w:hAnsiTheme="minorBidi" w:cstheme="minorBidi"/>
                <w:sz w:val="20"/>
                <w:szCs w:val="20"/>
                <w:lang w:val="en-GB"/>
              </w:rPr>
              <w:br/>
              <w:t>Cultural Artistic Association ‘</w:t>
            </w:r>
            <w:proofErr w:type="spellStart"/>
            <w:r w:rsidRPr="000D2922">
              <w:rPr>
                <w:rFonts w:asciiTheme="minorBidi" w:hAnsiTheme="minorBidi" w:cstheme="minorBidi"/>
                <w:sz w:val="20"/>
                <w:szCs w:val="20"/>
                <w:lang w:val="en-GB"/>
              </w:rPr>
              <w:t>Puračić</w:t>
            </w:r>
            <w:proofErr w:type="spellEnd"/>
            <w:r>
              <w:rPr>
                <w:rFonts w:asciiTheme="minorBidi" w:hAnsiTheme="minorBidi" w:cstheme="minorBidi"/>
                <w:sz w:val="20"/>
                <w:szCs w:val="20"/>
                <w:lang w:val="en-GB"/>
              </w:rPr>
              <w:t>’</w:t>
            </w:r>
          </w:p>
        </w:tc>
        <w:tc>
          <w:tcPr>
            <w:tcW w:w="1010" w:type="pct"/>
            <w:shd w:val="clear" w:color="auto" w:fill="DBE5F1" w:themeFill="accent1" w:themeFillTint="33"/>
            <w:vAlign w:val="center"/>
          </w:tcPr>
          <w:p w14:paraId="63B3B15D" w14:textId="77777777" w:rsidR="006A315D" w:rsidRPr="000D2922" w:rsidRDefault="006A315D" w:rsidP="00EA2C1A">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Bosnia and Herzegovina</w:t>
            </w:r>
          </w:p>
        </w:tc>
        <w:tc>
          <w:tcPr>
            <w:tcW w:w="842" w:type="pct"/>
            <w:shd w:val="clear" w:color="auto" w:fill="DBE5F1" w:themeFill="accent1" w:themeFillTint="33"/>
            <w:vAlign w:val="center"/>
          </w:tcPr>
          <w:p w14:paraId="7FA836FD" w14:textId="77777777" w:rsidR="006A315D" w:rsidRPr="000D2922" w:rsidRDefault="006A315D" w:rsidP="00EA2C1A">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NGO-90541</w:t>
            </w:r>
          </w:p>
        </w:tc>
      </w:tr>
      <w:tr w:rsidR="006A315D" w:rsidRPr="000D358B" w14:paraId="1EC65903" w14:textId="77777777" w:rsidTr="00886F82">
        <w:trPr>
          <w:trHeight w:val="576"/>
        </w:trPr>
        <w:tc>
          <w:tcPr>
            <w:tcW w:w="3148" w:type="pct"/>
            <w:vAlign w:val="center"/>
          </w:tcPr>
          <w:p w14:paraId="41B5216A" w14:textId="77777777" w:rsidR="006A315D" w:rsidRPr="000D2922" w:rsidRDefault="006A315D" w:rsidP="006D5FD6">
            <w:pPr>
              <w:contextualSpacing/>
              <w:rPr>
                <w:rFonts w:asciiTheme="minorBidi" w:hAnsiTheme="minorBidi" w:cstheme="minorBidi"/>
                <w:b/>
                <w:bCs/>
                <w:sz w:val="20"/>
                <w:szCs w:val="20"/>
                <w:lang w:val="en-GB"/>
              </w:rPr>
            </w:pPr>
            <w:proofErr w:type="spellStart"/>
            <w:r w:rsidRPr="000D2922">
              <w:rPr>
                <w:rFonts w:asciiTheme="minorBidi" w:hAnsiTheme="minorBidi" w:cstheme="minorBidi"/>
                <w:b/>
                <w:bCs/>
                <w:sz w:val="20"/>
                <w:szCs w:val="20"/>
                <w:lang w:val="en-GB"/>
              </w:rPr>
              <w:t>L’Œuvre</w:t>
            </w:r>
            <w:proofErr w:type="spellEnd"/>
            <w:r w:rsidRPr="000D2922">
              <w:rPr>
                <w:rFonts w:asciiTheme="minorBidi" w:hAnsiTheme="minorBidi" w:cstheme="minorBidi"/>
                <w:b/>
                <w:bCs/>
                <w:sz w:val="20"/>
                <w:szCs w:val="20"/>
                <w:lang w:val="en-GB"/>
              </w:rPr>
              <w:t xml:space="preserve"> </w:t>
            </w:r>
            <w:proofErr w:type="spellStart"/>
            <w:r w:rsidRPr="000D2922">
              <w:rPr>
                <w:rFonts w:asciiTheme="minorBidi" w:hAnsiTheme="minorBidi" w:cstheme="minorBidi"/>
                <w:b/>
                <w:bCs/>
                <w:sz w:val="20"/>
                <w:szCs w:val="20"/>
                <w:lang w:val="en-GB"/>
              </w:rPr>
              <w:t>d’Orient</w:t>
            </w:r>
            <w:proofErr w:type="spellEnd"/>
          </w:p>
        </w:tc>
        <w:tc>
          <w:tcPr>
            <w:tcW w:w="1010" w:type="pct"/>
            <w:vAlign w:val="center"/>
          </w:tcPr>
          <w:p w14:paraId="5CCFC423" w14:textId="77777777" w:rsidR="006A315D" w:rsidRPr="000D2922" w:rsidRDefault="006A315D" w:rsidP="00EA2C1A">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France</w:t>
            </w:r>
          </w:p>
        </w:tc>
        <w:tc>
          <w:tcPr>
            <w:tcW w:w="842" w:type="pct"/>
            <w:vAlign w:val="center"/>
          </w:tcPr>
          <w:p w14:paraId="29A44A62" w14:textId="77777777" w:rsidR="006A315D" w:rsidRPr="000D2922" w:rsidRDefault="006A315D" w:rsidP="00EA2C1A">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NGO-90548</w:t>
            </w:r>
          </w:p>
        </w:tc>
      </w:tr>
      <w:tr w:rsidR="006A315D" w:rsidRPr="000D358B" w14:paraId="759D882D" w14:textId="77777777" w:rsidTr="00886F82">
        <w:trPr>
          <w:trHeight w:val="576"/>
        </w:trPr>
        <w:tc>
          <w:tcPr>
            <w:tcW w:w="3148" w:type="pct"/>
            <w:shd w:val="clear" w:color="auto" w:fill="DBE5F1" w:themeFill="accent1" w:themeFillTint="33"/>
            <w:vAlign w:val="center"/>
          </w:tcPr>
          <w:p w14:paraId="3A517F8A" w14:textId="77777777" w:rsidR="006A315D" w:rsidRPr="000D2922" w:rsidRDefault="006A315D" w:rsidP="006D5FD6">
            <w:pPr>
              <w:contextualSpacing/>
              <w:rPr>
                <w:rFonts w:asciiTheme="minorBidi" w:hAnsiTheme="minorBidi" w:cstheme="minorBidi"/>
                <w:b/>
                <w:bCs/>
                <w:sz w:val="20"/>
                <w:szCs w:val="20"/>
              </w:rPr>
            </w:pPr>
            <w:r w:rsidRPr="000D2922">
              <w:rPr>
                <w:rFonts w:asciiTheme="minorBidi" w:hAnsiTheme="minorBidi" w:cstheme="minorBidi"/>
                <w:b/>
                <w:bCs/>
                <w:sz w:val="20"/>
                <w:szCs w:val="20"/>
              </w:rPr>
              <w:t>Office pour le Patrimoine Immatériel - OPCI-</w:t>
            </w:r>
            <w:proofErr w:type="spellStart"/>
            <w:r w:rsidRPr="000D2922">
              <w:rPr>
                <w:rFonts w:asciiTheme="minorBidi" w:hAnsiTheme="minorBidi" w:cstheme="minorBidi"/>
                <w:b/>
                <w:bCs/>
                <w:sz w:val="20"/>
                <w:szCs w:val="20"/>
              </w:rPr>
              <w:t>Ethnodoc</w:t>
            </w:r>
            <w:proofErr w:type="spellEnd"/>
          </w:p>
        </w:tc>
        <w:tc>
          <w:tcPr>
            <w:tcW w:w="1010" w:type="pct"/>
            <w:shd w:val="clear" w:color="auto" w:fill="DBE5F1" w:themeFill="accent1" w:themeFillTint="33"/>
            <w:vAlign w:val="center"/>
          </w:tcPr>
          <w:p w14:paraId="6396947E" w14:textId="77777777" w:rsidR="006A315D" w:rsidRPr="000D2922" w:rsidRDefault="006A315D" w:rsidP="00EA2C1A">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France</w:t>
            </w:r>
          </w:p>
        </w:tc>
        <w:tc>
          <w:tcPr>
            <w:tcW w:w="842" w:type="pct"/>
            <w:shd w:val="clear" w:color="auto" w:fill="DBE5F1" w:themeFill="accent1" w:themeFillTint="33"/>
            <w:vAlign w:val="center"/>
          </w:tcPr>
          <w:p w14:paraId="22CB8AEE" w14:textId="77777777" w:rsidR="006A315D" w:rsidRPr="000D2922" w:rsidRDefault="006A315D" w:rsidP="00EA2C1A">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NGO-90536</w:t>
            </w:r>
          </w:p>
        </w:tc>
      </w:tr>
      <w:tr w:rsidR="006A315D" w:rsidRPr="000D358B" w14:paraId="537FDC60" w14:textId="77777777" w:rsidTr="00886F82">
        <w:trPr>
          <w:trHeight w:val="576"/>
        </w:trPr>
        <w:tc>
          <w:tcPr>
            <w:tcW w:w="3148" w:type="pct"/>
            <w:vAlign w:val="center"/>
          </w:tcPr>
          <w:p w14:paraId="377E1DA2" w14:textId="77777777" w:rsidR="006A315D" w:rsidRPr="000D2922" w:rsidRDefault="006A315D" w:rsidP="006D5FD6">
            <w:pPr>
              <w:contextualSpacing/>
              <w:rPr>
                <w:rFonts w:asciiTheme="minorBidi" w:hAnsiTheme="minorBidi" w:cstheme="minorBidi"/>
                <w:b/>
                <w:bCs/>
                <w:sz w:val="20"/>
                <w:szCs w:val="20"/>
                <w:lang w:val="pt-BR"/>
              </w:rPr>
            </w:pPr>
            <w:r w:rsidRPr="000D2922">
              <w:rPr>
                <w:rFonts w:asciiTheme="minorBidi" w:hAnsiTheme="minorBidi" w:cstheme="minorBidi"/>
                <w:b/>
                <w:bCs/>
                <w:sz w:val="20"/>
                <w:szCs w:val="20"/>
                <w:lang w:val="pt-BR"/>
              </w:rPr>
              <w:t>Operação Amazônia Nativa (OPAN)</w:t>
            </w:r>
            <w:r w:rsidRPr="000D2922">
              <w:rPr>
                <w:rFonts w:asciiTheme="minorBidi" w:hAnsiTheme="minorBidi" w:cstheme="minorBidi"/>
                <w:sz w:val="20"/>
                <w:szCs w:val="20"/>
                <w:lang w:val="pt-BR"/>
              </w:rPr>
              <w:br/>
              <w:t>Operation Amazon Native (OPAN)</w:t>
            </w:r>
          </w:p>
        </w:tc>
        <w:tc>
          <w:tcPr>
            <w:tcW w:w="1010" w:type="pct"/>
            <w:vAlign w:val="center"/>
          </w:tcPr>
          <w:p w14:paraId="7C43B048" w14:textId="77777777" w:rsidR="006A315D" w:rsidRPr="000D2922" w:rsidRDefault="006A315D" w:rsidP="00EA2C1A">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Brazil</w:t>
            </w:r>
          </w:p>
        </w:tc>
        <w:tc>
          <w:tcPr>
            <w:tcW w:w="842" w:type="pct"/>
            <w:vAlign w:val="center"/>
          </w:tcPr>
          <w:p w14:paraId="4BCEB197" w14:textId="77777777" w:rsidR="006A315D" w:rsidRPr="000D2922" w:rsidRDefault="006A315D" w:rsidP="00EA2C1A">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NGO-90559</w:t>
            </w:r>
          </w:p>
        </w:tc>
      </w:tr>
      <w:tr w:rsidR="006A315D" w:rsidRPr="000D358B" w14:paraId="59AA06BB" w14:textId="77777777" w:rsidTr="00886F82">
        <w:trPr>
          <w:trHeight w:val="615"/>
        </w:trPr>
        <w:tc>
          <w:tcPr>
            <w:tcW w:w="3148" w:type="pct"/>
            <w:shd w:val="clear" w:color="auto" w:fill="DBE5F1" w:themeFill="accent1" w:themeFillTint="33"/>
            <w:vAlign w:val="center"/>
          </w:tcPr>
          <w:p w14:paraId="6B3625A4" w14:textId="77777777" w:rsidR="006A315D" w:rsidRPr="001E782F" w:rsidRDefault="006A315D" w:rsidP="00886F82">
            <w:pPr>
              <w:contextualSpacing/>
              <w:rPr>
                <w:rFonts w:asciiTheme="minorBidi" w:hAnsiTheme="minorBidi" w:cstheme="minorBidi"/>
                <w:b/>
                <w:bCs/>
                <w:sz w:val="20"/>
                <w:szCs w:val="20"/>
              </w:rPr>
            </w:pPr>
            <w:r w:rsidRPr="00FD0D29">
              <w:rPr>
                <w:rFonts w:asciiTheme="minorBidi" w:hAnsiTheme="minorBidi" w:cstheme="minorBidi"/>
                <w:b/>
                <w:bCs/>
                <w:sz w:val="20"/>
                <w:szCs w:val="20"/>
                <w:lang w:val="pt-BR"/>
              </w:rPr>
              <w:t xml:space="preserve">O.R.S. Osservatorio Ricerca Sociale. </w:t>
            </w:r>
            <w:r w:rsidRPr="001E782F">
              <w:rPr>
                <w:rFonts w:asciiTheme="minorBidi" w:hAnsiTheme="minorBidi" w:cstheme="minorBidi"/>
                <w:b/>
                <w:bCs/>
                <w:sz w:val="20"/>
                <w:szCs w:val="20"/>
              </w:rPr>
              <w:t xml:space="preserve">Centro </w:t>
            </w:r>
            <w:proofErr w:type="spellStart"/>
            <w:r w:rsidRPr="001E782F">
              <w:rPr>
                <w:rFonts w:asciiTheme="minorBidi" w:hAnsiTheme="minorBidi" w:cstheme="minorBidi"/>
                <w:b/>
                <w:bCs/>
                <w:sz w:val="20"/>
                <w:szCs w:val="20"/>
              </w:rPr>
              <w:t>studi</w:t>
            </w:r>
            <w:proofErr w:type="spellEnd"/>
            <w:r w:rsidRPr="001E782F">
              <w:rPr>
                <w:rFonts w:asciiTheme="minorBidi" w:hAnsiTheme="minorBidi" w:cstheme="minorBidi"/>
                <w:b/>
                <w:bCs/>
                <w:sz w:val="20"/>
                <w:szCs w:val="20"/>
              </w:rPr>
              <w:t xml:space="preserve">, </w:t>
            </w:r>
            <w:proofErr w:type="spellStart"/>
            <w:r w:rsidRPr="001E782F">
              <w:rPr>
                <w:rFonts w:asciiTheme="minorBidi" w:hAnsiTheme="minorBidi" w:cstheme="minorBidi"/>
                <w:b/>
                <w:bCs/>
                <w:sz w:val="20"/>
                <w:szCs w:val="20"/>
              </w:rPr>
              <w:t>politiche</w:t>
            </w:r>
            <w:proofErr w:type="spellEnd"/>
            <w:r w:rsidRPr="001E782F">
              <w:rPr>
                <w:rFonts w:asciiTheme="minorBidi" w:hAnsiTheme="minorBidi" w:cstheme="minorBidi"/>
                <w:b/>
                <w:bCs/>
                <w:sz w:val="20"/>
                <w:szCs w:val="20"/>
              </w:rPr>
              <w:t xml:space="preserve"> e </w:t>
            </w:r>
            <w:proofErr w:type="spellStart"/>
            <w:r w:rsidRPr="001E782F">
              <w:rPr>
                <w:rFonts w:asciiTheme="minorBidi" w:hAnsiTheme="minorBidi" w:cstheme="minorBidi"/>
                <w:b/>
                <w:bCs/>
                <w:sz w:val="20"/>
                <w:szCs w:val="20"/>
              </w:rPr>
              <w:t>ricerche</w:t>
            </w:r>
            <w:proofErr w:type="spellEnd"/>
            <w:r w:rsidRPr="001E782F">
              <w:rPr>
                <w:rFonts w:asciiTheme="minorBidi" w:hAnsiTheme="minorBidi" w:cstheme="minorBidi"/>
                <w:b/>
                <w:bCs/>
                <w:sz w:val="20"/>
                <w:szCs w:val="20"/>
              </w:rPr>
              <w:t xml:space="preserve"> </w:t>
            </w:r>
            <w:proofErr w:type="spellStart"/>
            <w:r w:rsidRPr="001E782F">
              <w:rPr>
                <w:rFonts w:asciiTheme="minorBidi" w:hAnsiTheme="minorBidi" w:cstheme="minorBidi"/>
                <w:b/>
                <w:bCs/>
                <w:sz w:val="20"/>
                <w:szCs w:val="20"/>
              </w:rPr>
              <w:t>sociali</w:t>
            </w:r>
            <w:proofErr w:type="spellEnd"/>
            <w:r w:rsidRPr="001E782F">
              <w:rPr>
                <w:rFonts w:asciiTheme="minorBidi" w:hAnsiTheme="minorBidi" w:cstheme="minorBidi"/>
                <w:b/>
                <w:bCs/>
                <w:sz w:val="20"/>
                <w:szCs w:val="20"/>
              </w:rPr>
              <w:t xml:space="preserve"> - APS</w:t>
            </w:r>
            <w:r w:rsidRPr="001E782F">
              <w:rPr>
                <w:rFonts w:asciiTheme="minorBidi" w:hAnsiTheme="minorBidi" w:cstheme="minorBidi"/>
                <w:b/>
                <w:bCs/>
                <w:sz w:val="20"/>
                <w:szCs w:val="20"/>
              </w:rPr>
              <w:br/>
            </w:r>
            <w:r w:rsidRPr="001E782F">
              <w:rPr>
                <w:rFonts w:asciiTheme="minorBidi" w:hAnsiTheme="minorBidi" w:cstheme="minorBidi"/>
                <w:sz w:val="20"/>
                <w:szCs w:val="20"/>
              </w:rPr>
              <w:t xml:space="preserve">O.R.S. Social </w:t>
            </w:r>
            <w:proofErr w:type="spellStart"/>
            <w:r w:rsidRPr="001E782F">
              <w:rPr>
                <w:rFonts w:asciiTheme="minorBidi" w:hAnsiTheme="minorBidi" w:cstheme="minorBidi"/>
                <w:sz w:val="20"/>
                <w:szCs w:val="20"/>
              </w:rPr>
              <w:t>Research</w:t>
            </w:r>
            <w:proofErr w:type="spellEnd"/>
            <w:r w:rsidRPr="001E782F">
              <w:rPr>
                <w:rFonts w:asciiTheme="minorBidi" w:hAnsiTheme="minorBidi" w:cstheme="minorBidi"/>
                <w:sz w:val="20"/>
                <w:szCs w:val="20"/>
              </w:rPr>
              <w:t xml:space="preserve"> </w:t>
            </w:r>
            <w:proofErr w:type="spellStart"/>
            <w:r w:rsidRPr="001E782F">
              <w:rPr>
                <w:rFonts w:asciiTheme="minorBidi" w:hAnsiTheme="minorBidi" w:cstheme="minorBidi"/>
                <w:sz w:val="20"/>
                <w:szCs w:val="20"/>
              </w:rPr>
              <w:t>Observatory</w:t>
            </w:r>
            <w:proofErr w:type="spellEnd"/>
            <w:r w:rsidRPr="001E782F">
              <w:rPr>
                <w:rFonts w:asciiTheme="minorBidi" w:hAnsiTheme="minorBidi" w:cstheme="minorBidi"/>
                <w:sz w:val="20"/>
                <w:szCs w:val="20"/>
              </w:rPr>
              <w:t xml:space="preserve">. Centre </w:t>
            </w:r>
            <w:proofErr w:type="spellStart"/>
            <w:r w:rsidRPr="001E782F">
              <w:rPr>
                <w:rFonts w:asciiTheme="minorBidi" w:hAnsiTheme="minorBidi" w:cstheme="minorBidi"/>
                <w:sz w:val="20"/>
                <w:szCs w:val="20"/>
              </w:rPr>
              <w:t>studies</w:t>
            </w:r>
            <w:proofErr w:type="spellEnd"/>
            <w:r w:rsidRPr="001E782F">
              <w:rPr>
                <w:rFonts w:asciiTheme="minorBidi" w:hAnsiTheme="minorBidi" w:cstheme="minorBidi"/>
                <w:sz w:val="20"/>
                <w:szCs w:val="20"/>
              </w:rPr>
              <w:t xml:space="preserve">, </w:t>
            </w:r>
            <w:proofErr w:type="spellStart"/>
            <w:r w:rsidRPr="001E782F">
              <w:rPr>
                <w:rFonts w:asciiTheme="minorBidi" w:hAnsiTheme="minorBidi" w:cstheme="minorBidi"/>
                <w:sz w:val="20"/>
                <w:szCs w:val="20"/>
              </w:rPr>
              <w:t>policies</w:t>
            </w:r>
            <w:proofErr w:type="spellEnd"/>
            <w:r w:rsidRPr="001E782F">
              <w:rPr>
                <w:rFonts w:asciiTheme="minorBidi" w:hAnsiTheme="minorBidi" w:cstheme="minorBidi"/>
                <w:sz w:val="20"/>
                <w:szCs w:val="20"/>
              </w:rPr>
              <w:t xml:space="preserve"> and social </w:t>
            </w:r>
            <w:proofErr w:type="spellStart"/>
            <w:r w:rsidRPr="001E782F">
              <w:rPr>
                <w:rFonts w:asciiTheme="minorBidi" w:hAnsiTheme="minorBidi" w:cstheme="minorBidi"/>
                <w:sz w:val="20"/>
                <w:szCs w:val="20"/>
              </w:rPr>
              <w:t>researches</w:t>
            </w:r>
            <w:proofErr w:type="spellEnd"/>
            <w:r w:rsidRPr="001E782F">
              <w:rPr>
                <w:rFonts w:asciiTheme="minorBidi" w:hAnsiTheme="minorBidi" w:cstheme="minorBidi"/>
                <w:sz w:val="20"/>
                <w:szCs w:val="20"/>
              </w:rPr>
              <w:t xml:space="preserve"> - APS</w:t>
            </w:r>
          </w:p>
        </w:tc>
        <w:tc>
          <w:tcPr>
            <w:tcW w:w="1010" w:type="pct"/>
            <w:shd w:val="clear" w:color="auto" w:fill="DBE5F1" w:themeFill="accent1" w:themeFillTint="33"/>
            <w:vAlign w:val="center"/>
          </w:tcPr>
          <w:p w14:paraId="174EEB75" w14:textId="77777777" w:rsidR="006A315D" w:rsidRPr="000D2922" w:rsidRDefault="006A315D" w:rsidP="00886F82">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Italy</w:t>
            </w:r>
          </w:p>
        </w:tc>
        <w:tc>
          <w:tcPr>
            <w:tcW w:w="842" w:type="pct"/>
            <w:shd w:val="clear" w:color="auto" w:fill="DBE5F1" w:themeFill="accent1" w:themeFillTint="33"/>
            <w:vAlign w:val="center"/>
          </w:tcPr>
          <w:p w14:paraId="49ABAA1D" w14:textId="77777777" w:rsidR="006A315D" w:rsidRPr="000D2922" w:rsidRDefault="006A315D" w:rsidP="00886F82">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NGO-90539</w:t>
            </w:r>
          </w:p>
        </w:tc>
      </w:tr>
      <w:tr w:rsidR="006A315D" w:rsidRPr="000D358B" w14:paraId="495B4E4B" w14:textId="77777777" w:rsidTr="00A502CC">
        <w:trPr>
          <w:trHeight w:val="615"/>
        </w:trPr>
        <w:tc>
          <w:tcPr>
            <w:tcW w:w="3148" w:type="pct"/>
            <w:shd w:val="clear" w:color="auto" w:fill="auto"/>
            <w:vAlign w:val="center"/>
          </w:tcPr>
          <w:p w14:paraId="6AD118DC" w14:textId="77777777" w:rsidR="006A315D" w:rsidRPr="000D2922" w:rsidRDefault="006A315D" w:rsidP="00886F82">
            <w:pPr>
              <w:contextualSpacing/>
              <w:rPr>
                <w:rFonts w:asciiTheme="minorBidi" w:hAnsiTheme="minorBidi" w:cstheme="minorBidi"/>
                <w:b/>
                <w:bCs/>
                <w:sz w:val="20"/>
                <w:szCs w:val="20"/>
                <w:lang w:val="en-GB"/>
              </w:rPr>
            </w:pPr>
            <w:r w:rsidRPr="000D2922">
              <w:rPr>
                <w:rFonts w:asciiTheme="minorBidi" w:hAnsiTheme="minorBidi" w:cstheme="minorBidi"/>
                <w:b/>
                <w:bCs/>
                <w:sz w:val="20"/>
                <w:szCs w:val="20"/>
                <w:lang w:val="en-GB"/>
              </w:rPr>
              <w:t>International Bobbin and Needle Lace Organisation</w:t>
            </w:r>
          </w:p>
        </w:tc>
        <w:tc>
          <w:tcPr>
            <w:tcW w:w="1010" w:type="pct"/>
            <w:shd w:val="clear" w:color="auto" w:fill="auto"/>
            <w:vAlign w:val="center"/>
          </w:tcPr>
          <w:p w14:paraId="72B3A375" w14:textId="77777777" w:rsidR="006A315D" w:rsidRPr="000D2922" w:rsidRDefault="006A315D" w:rsidP="00886F82">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France</w:t>
            </w:r>
          </w:p>
        </w:tc>
        <w:tc>
          <w:tcPr>
            <w:tcW w:w="842" w:type="pct"/>
            <w:shd w:val="clear" w:color="auto" w:fill="auto"/>
            <w:vAlign w:val="center"/>
          </w:tcPr>
          <w:p w14:paraId="7092C34D" w14:textId="77777777" w:rsidR="006A315D" w:rsidRPr="000D2922" w:rsidRDefault="006A315D" w:rsidP="00886F82">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NGO-90585</w:t>
            </w:r>
          </w:p>
        </w:tc>
      </w:tr>
      <w:tr w:rsidR="006A315D" w:rsidRPr="000D358B" w14:paraId="39200EA7" w14:textId="77777777" w:rsidTr="00A502CC">
        <w:trPr>
          <w:trHeight w:val="576"/>
        </w:trPr>
        <w:tc>
          <w:tcPr>
            <w:tcW w:w="3148" w:type="pct"/>
            <w:shd w:val="clear" w:color="auto" w:fill="DBE5F1" w:themeFill="accent1" w:themeFillTint="33"/>
            <w:vAlign w:val="center"/>
          </w:tcPr>
          <w:p w14:paraId="4ED76DAF" w14:textId="77777777" w:rsidR="006A315D" w:rsidRPr="000D2922" w:rsidRDefault="006A315D" w:rsidP="00886F82">
            <w:pPr>
              <w:contextualSpacing/>
              <w:rPr>
                <w:rFonts w:asciiTheme="minorBidi" w:hAnsiTheme="minorBidi" w:cstheme="minorBidi"/>
                <w:b/>
                <w:bCs/>
                <w:sz w:val="20"/>
                <w:szCs w:val="20"/>
                <w:lang w:val="en-GB"/>
              </w:rPr>
            </w:pPr>
            <w:r w:rsidRPr="000D2922">
              <w:rPr>
                <w:rFonts w:asciiTheme="minorBidi" w:hAnsiTheme="minorBidi" w:cstheme="minorBidi"/>
                <w:b/>
                <w:bCs/>
                <w:sz w:val="20"/>
                <w:szCs w:val="20"/>
                <w:lang w:val="en-GB"/>
              </w:rPr>
              <w:t>Pearl Rhythm Foundation</w:t>
            </w:r>
          </w:p>
        </w:tc>
        <w:tc>
          <w:tcPr>
            <w:tcW w:w="1010" w:type="pct"/>
            <w:shd w:val="clear" w:color="auto" w:fill="DBE5F1" w:themeFill="accent1" w:themeFillTint="33"/>
            <w:vAlign w:val="center"/>
          </w:tcPr>
          <w:p w14:paraId="3997B5A1" w14:textId="77777777" w:rsidR="006A315D" w:rsidRPr="000D2922" w:rsidRDefault="006A315D" w:rsidP="00886F82">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Uganda</w:t>
            </w:r>
          </w:p>
        </w:tc>
        <w:tc>
          <w:tcPr>
            <w:tcW w:w="842" w:type="pct"/>
            <w:shd w:val="clear" w:color="auto" w:fill="DBE5F1" w:themeFill="accent1" w:themeFillTint="33"/>
            <w:vAlign w:val="center"/>
          </w:tcPr>
          <w:p w14:paraId="0C1FC047" w14:textId="77777777" w:rsidR="006A315D" w:rsidRPr="000D2922" w:rsidRDefault="006A315D" w:rsidP="00886F82">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NGO-90578</w:t>
            </w:r>
          </w:p>
        </w:tc>
      </w:tr>
      <w:tr w:rsidR="006A315D" w:rsidRPr="000D358B" w14:paraId="211E1DA5" w14:textId="77777777" w:rsidTr="00A502CC">
        <w:trPr>
          <w:trHeight w:val="576"/>
        </w:trPr>
        <w:tc>
          <w:tcPr>
            <w:tcW w:w="3148" w:type="pct"/>
            <w:shd w:val="clear" w:color="auto" w:fill="auto"/>
            <w:vAlign w:val="center"/>
          </w:tcPr>
          <w:p w14:paraId="1DDEF29D" w14:textId="77777777" w:rsidR="006A315D" w:rsidRPr="00345080" w:rsidRDefault="006A315D" w:rsidP="00886F82">
            <w:pPr>
              <w:contextualSpacing/>
              <w:rPr>
                <w:rFonts w:asciiTheme="minorBidi" w:hAnsiTheme="minorBidi" w:cstheme="minorBidi"/>
                <w:b/>
                <w:bCs/>
                <w:sz w:val="20"/>
                <w:szCs w:val="20"/>
                <w:lang w:val="es-ES"/>
              </w:rPr>
            </w:pPr>
            <w:proofErr w:type="spellStart"/>
            <w:r w:rsidRPr="00345080">
              <w:rPr>
                <w:rFonts w:asciiTheme="minorBidi" w:hAnsiTheme="minorBidi" w:cstheme="minorBidi"/>
                <w:b/>
                <w:bCs/>
                <w:sz w:val="20"/>
                <w:szCs w:val="20"/>
                <w:lang w:val="es-ES"/>
              </w:rPr>
              <w:t>Persatuan</w:t>
            </w:r>
            <w:proofErr w:type="spellEnd"/>
            <w:r w:rsidRPr="00345080">
              <w:rPr>
                <w:rFonts w:asciiTheme="minorBidi" w:hAnsiTheme="minorBidi" w:cstheme="minorBidi"/>
                <w:b/>
                <w:bCs/>
                <w:sz w:val="20"/>
                <w:szCs w:val="20"/>
                <w:lang w:val="es-ES"/>
              </w:rPr>
              <w:t xml:space="preserve"> </w:t>
            </w:r>
            <w:proofErr w:type="spellStart"/>
            <w:r w:rsidRPr="00345080">
              <w:rPr>
                <w:rFonts w:asciiTheme="minorBidi" w:hAnsiTheme="minorBidi" w:cstheme="minorBidi"/>
                <w:b/>
                <w:bCs/>
                <w:sz w:val="20"/>
                <w:szCs w:val="20"/>
                <w:lang w:val="es-ES"/>
              </w:rPr>
              <w:t>Penulis</w:t>
            </w:r>
            <w:proofErr w:type="spellEnd"/>
            <w:r w:rsidRPr="00345080">
              <w:rPr>
                <w:rFonts w:asciiTheme="minorBidi" w:hAnsiTheme="minorBidi" w:cstheme="minorBidi"/>
                <w:b/>
                <w:bCs/>
                <w:sz w:val="20"/>
                <w:szCs w:val="20"/>
                <w:lang w:val="es-ES"/>
              </w:rPr>
              <w:t xml:space="preserve"> </w:t>
            </w:r>
            <w:proofErr w:type="spellStart"/>
            <w:r w:rsidRPr="00345080">
              <w:rPr>
                <w:rFonts w:asciiTheme="minorBidi" w:hAnsiTheme="minorBidi" w:cstheme="minorBidi"/>
                <w:b/>
                <w:bCs/>
                <w:sz w:val="20"/>
                <w:szCs w:val="20"/>
                <w:lang w:val="es-ES"/>
              </w:rPr>
              <w:t>Nasional</w:t>
            </w:r>
            <w:proofErr w:type="spellEnd"/>
            <w:r w:rsidRPr="00345080">
              <w:rPr>
                <w:rFonts w:asciiTheme="minorBidi" w:hAnsiTheme="minorBidi" w:cstheme="minorBidi"/>
                <w:b/>
                <w:bCs/>
                <w:sz w:val="20"/>
                <w:szCs w:val="20"/>
                <w:lang w:val="es-ES"/>
              </w:rPr>
              <w:t xml:space="preserve"> Malaysia (PENA) </w:t>
            </w:r>
          </w:p>
          <w:p w14:paraId="0D0E31A0" w14:textId="77777777" w:rsidR="006A315D" w:rsidRPr="000D2922" w:rsidRDefault="006A315D" w:rsidP="00886F82">
            <w:pPr>
              <w:contextualSpacing/>
              <w:rPr>
                <w:rFonts w:asciiTheme="minorBidi" w:hAnsiTheme="minorBidi" w:cstheme="minorBidi"/>
                <w:sz w:val="20"/>
                <w:szCs w:val="20"/>
                <w:lang w:val="en-GB"/>
              </w:rPr>
            </w:pPr>
            <w:r w:rsidRPr="000D2922">
              <w:rPr>
                <w:rFonts w:asciiTheme="minorBidi" w:hAnsiTheme="minorBidi" w:cstheme="minorBidi"/>
                <w:sz w:val="20"/>
                <w:szCs w:val="20"/>
                <w:lang w:val="en-GB"/>
              </w:rPr>
              <w:t>Malaysian National Writers Association (PENA)</w:t>
            </w:r>
          </w:p>
        </w:tc>
        <w:tc>
          <w:tcPr>
            <w:tcW w:w="1010" w:type="pct"/>
            <w:shd w:val="clear" w:color="auto" w:fill="auto"/>
            <w:vAlign w:val="center"/>
          </w:tcPr>
          <w:p w14:paraId="749290A0" w14:textId="77777777" w:rsidR="006A315D" w:rsidRPr="000D2922" w:rsidRDefault="006A315D" w:rsidP="00886F82">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Malaysia</w:t>
            </w:r>
          </w:p>
        </w:tc>
        <w:tc>
          <w:tcPr>
            <w:tcW w:w="842" w:type="pct"/>
            <w:shd w:val="clear" w:color="auto" w:fill="auto"/>
            <w:vAlign w:val="center"/>
          </w:tcPr>
          <w:p w14:paraId="35C35199" w14:textId="77777777" w:rsidR="006A315D" w:rsidRPr="000D2922" w:rsidRDefault="006A315D" w:rsidP="00886F82">
            <w:pPr>
              <w:pStyle w:val="Titre9"/>
              <w:jc w:val="center"/>
              <w:rPr>
                <w:rFonts w:asciiTheme="minorBidi" w:hAnsiTheme="minorBidi" w:cstheme="minorBidi"/>
                <w:i w:val="0"/>
                <w:iCs w:val="0"/>
                <w:sz w:val="20"/>
                <w:szCs w:val="20"/>
                <w:lang w:val="en-GB"/>
              </w:rPr>
            </w:pPr>
            <w:r w:rsidRPr="000D2922">
              <w:rPr>
                <w:rFonts w:asciiTheme="minorBidi" w:hAnsiTheme="minorBidi" w:cstheme="minorBidi"/>
                <w:i w:val="0"/>
                <w:iCs w:val="0"/>
                <w:sz w:val="20"/>
                <w:szCs w:val="20"/>
                <w:lang w:val="en-GB"/>
              </w:rPr>
              <w:t>NGO-90587</w:t>
            </w:r>
          </w:p>
        </w:tc>
      </w:tr>
      <w:tr w:rsidR="006A315D" w:rsidRPr="000D358B" w14:paraId="5594CEB2" w14:textId="77777777" w:rsidTr="00A502CC">
        <w:trPr>
          <w:trHeight w:val="576"/>
        </w:trPr>
        <w:tc>
          <w:tcPr>
            <w:tcW w:w="3148" w:type="pct"/>
            <w:shd w:val="clear" w:color="auto" w:fill="DBE5F1" w:themeFill="accent1" w:themeFillTint="33"/>
            <w:vAlign w:val="center"/>
          </w:tcPr>
          <w:p w14:paraId="1B640C39" w14:textId="77777777" w:rsidR="006A315D" w:rsidRPr="000D2922" w:rsidRDefault="006A315D" w:rsidP="00886F82">
            <w:pPr>
              <w:contextualSpacing/>
              <w:rPr>
                <w:rFonts w:asciiTheme="minorBidi" w:hAnsiTheme="minorBidi" w:cstheme="minorBidi"/>
                <w:sz w:val="20"/>
                <w:szCs w:val="20"/>
                <w:lang w:val="en-GB"/>
              </w:rPr>
            </w:pPr>
            <w:proofErr w:type="spellStart"/>
            <w:r w:rsidRPr="000D2922">
              <w:rPr>
                <w:rFonts w:asciiTheme="minorBidi" w:hAnsiTheme="minorBidi" w:cstheme="minorBidi"/>
                <w:b/>
                <w:bCs/>
                <w:sz w:val="20"/>
                <w:szCs w:val="20"/>
                <w:lang w:val="en-GB"/>
              </w:rPr>
              <w:t>Pertubuhan</w:t>
            </w:r>
            <w:proofErr w:type="spellEnd"/>
            <w:r w:rsidRPr="000D2922">
              <w:rPr>
                <w:rFonts w:asciiTheme="minorBidi" w:hAnsiTheme="minorBidi" w:cstheme="minorBidi"/>
                <w:b/>
                <w:bCs/>
                <w:sz w:val="20"/>
                <w:szCs w:val="20"/>
                <w:lang w:val="en-GB"/>
              </w:rPr>
              <w:t xml:space="preserve"> Kraft Malaysia (</w:t>
            </w:r>
            <w:proofErr w:type="spellStart"/>
            <w:r w:rsidRPr="000D2922">
              <w:rPr>
                <w:rFonts w:asciiTheme="minorBidi" w:hAnsiTheme="minorBidi" w:cstheme="minorBidi"/>
                <w:b/>
                <w:bCs/>
                <w:sz w:val="20"/>
                <w:szCs w:val="20"/>
                <w:lang w:val="en-GB"/>
              </w:rPr>
              <w:t>Dikenali</w:t>
            </w:r>
            <w:proofErr w:type="spellEnd"/>
            <w:r w:rsidRPr="000D2922">
              <w:rPr>
                <w:rFonts w:asciiTheme="minorBidi" w:hAnsiTheme="minorBidi" w:cstheme="minorBidi"/>
                <w:b/>
                <w:bCs/>
                <w:sz w:val="20"/>
                <w:szCs w:val="20"/>
                <w:lang w:val="en-GB"/>
              </w:rPr>
              <w:t xml:space="preserve"> </w:t>
            </w:r>
            <w:proofErr w:type="spellStart"/>
            <w:r w:rsidRPr="000D2922">
              <w:rPr>
                <w:rFonts w:asciiTheme="minorBidi" w:hAnsiTheme="minorBidi" w:cstheme="minorBidi"/>
                <w:b/>
                <w:bCs/>
                <w:sz w:val="20"/>
                <w:szCs w:val="20"/>
                <w:lang w:val="en-GB"/>
              </w:rPr>
              <w:t>Sebagai</w:t>
            </w:r>
            <w:proofErr w:type="spellEnd"/>
            <w:r w:rsidRPr="000D2922">
              <w:rPr>
                <w:rFonts w:asciiTheme="minorBidi" w:hAnsiTheme="minorBidi" w:cstheme="minorBidi"/>
                <w:b/>
                <w:bCs/>
                <w:sz w:val="20"/>
                <w:szCs w:val="20"/>
                <w:lang w:val="en-GB"/>
              </w:rPr>
              <w:t xml:space="preserve"> Malaysian Craft Council)</w:t>
            </w:r>
            <w:r w:rsidRPr="000D2922">
              <w:rPr>
                <w:rFonts w:asciiTheme="minorBidi" w:hAnsiTheme="minorBidi" w:cstheme="minorBidi"/>
                <w:sz w:val="20"/>
                <w:szCs w:val="20"/>
                <w:lang w:val="en-GB"/>
              </w:rPr>
              <w:br/>
              <w:t>Malaysian Craft Council</w:t>
            </w:r>
          </w:p>
        </w:tc>
        <w:tc>
          <w:tcPr>
            <w:tcW w:w="1010" w:type="pct"/>
            <w:shd w:val="clear" w:color="auto" w:fill="DBE5F1" w:themeFill="accent1" w:themeFillTint="33"/>
            <w:vAlign w:val="center"/>
          </w:tcPr>
          <w:p w14:paraId="6835B2E8" w14:textId="77777777" w:rsidR="006A315D" w:rsidRPr="000D2922" w:rsidRDefault="006A315D" w:rsidP="00886F82">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Malaysia</w:t>
            </w:r>
          </w:p>
        </w:tc>
        <w:tc>
          <w:tcPr>
            <w:tcW w:w="842" w:type="pct"/>
            <w:shd w:val="clear" w:color="auto" w:fill="DBE5F1" w:themeFill="accent1" w:themeFillTint="33"/>
            <w:vAlign w:val="center"/>
          </w:tcPr>
          <w:p w14:paraId="6F1D6411" w14:textId="77777777" w:rsidR="006A315D" w:rsidRPr="000D2922" w:rsidRDefault="006A315D" w:rsidP="00886F82">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NGO-90531</w:t>
            </w:r>
          </w:p>
        </w:tc>
      </w:tr>
      <w:tr w:rsidR="006A315D" w:rsidRPr="000D358B" w14:paraId="20CC4A03" w14:textId="77777777" w:rsidTr="00A502CC">
        <w:trPr>
          <w:trHeight w:val="576"/>
        </w:trPr>
        <w:tc>
          <w:tcPr>
            <w:tcW w:w="3148" w:type="pct"/>
            <w:shd w:val="clear" w:color="auto" w:fill="auto"/>
            <w:vAlign w:val="center"/>
          </w:tcPr>
          <w:p w14:paraId="48CA5981" w14:textId="77777777" w:rsidR="006A315D" w:rsidRPr="000D2922" w:rsidRDefault="006A315D" w:rsidP="00886F82">
            <w:pPr>
              <w:contextualSpacing/>
              <w:rPr>
                <w:rFonts w:asciiTheme="minorBidi" w:hAnsiTheme="minorBidi" w:cstheme="minorBidi"/>
                <w:sz w:val="20"/>
                <w:szCs w:val="20"/>
                <w:lang w:val="en-GB"/>
              </w:rPr>
            </w:pPr>
            <w:r w:rsidRPr="000D2922">
              <w:rPr>
                <w:rFonts w:asciiTheme="minorBidi" w:hAnsiTheme="minorBidi" w:cstheme="minorBidi"/>
                <w:b/>
                <w:bCs/>
                <w:sz w:val="20"/>
                <w:szCs w:val="20"/>
                <w:lang w:val="en-GB"/>
              </w:rPr>
              <w:t xml:space="preserve">Pusat </w:t>
            </w:r>
            <w:proofErr w:type="spellStart"/>
            <w:r w:rsidRPr="000D2922">
              <w:rPr>
                <w:rFonts w:asciiTheme="minorBidi" w:hAnsiTheme="minorBidi" w:cstheme="minorBidi"/>
                <w:b/>
                <w:bCs/>
                <w:sz w:val="20"/>
                <w:szCs w:val="20"/>
                <w:lang w:val="en-GB"/>
              </w:rPr>
              <w:t>Budaya</w:t>
            </w:r>
            <w:proofErr w:type="spellEnd"/>
            <w:r w:rsidRPr="000D2922">
              <w:rPr>
                <w:rFonts w:asciiTheme="minorBidi" w:hAnsiTheme="minorBidi" w:cstheme="minorBidi"/>
                <w:b/>
                <w:bCs/>
                <w:sz w:val="20"/>
                <w:szCs w:val="20"/>
                <w:lang w:val="en-GB"/>
              </w:rPr>
              <w:t xml:space="preserve"> Pusaka SDN. BHD</w:t>
            </w:r>
            <w:r w:rsidRPr="000D2922">
              <w:rPr>
                <w:rFonts w:asciiTheme="minorBidi" w:hAnsiTheme="minorBidi" w:cstheme="minorBidi"/>
                <w:sz w:val="20"/>
                <w:szCs w:val="20"/>
                <w:lang w:val="en-GB"/>
              </w:rPr>
              <w:br/>
              <w:t>PUSAKA</w:t>
            </w:r>
          </w:p>
        </w:tc>
        <w:tc>
          <w:tcPr>
            <w:tcW w:w="1010" w:type="pct"/>
            <w:shd w:val="clear" w:color="auto" w:fill="auto"/>
            <w:vAlign w:val="center"/>
          </w:tcPr>
          <w:p w14:paraId="15D897B6" w14:textId="77777777" w:rsidR="006A315D" w:rsidRPr="000D2922" w:rsidRDefault="006A315D" w:rsidP="00886F82">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Malaysia</w:t>
            </w:r>
          </w:p>
        </w:tc>
        <w:tc>
          <w:tcPr>
            <w:tcW w:w="842" w:type="pct"/>
            <w:shd w:val="clear" w:color="auto" w:fill="auto"/>
            <w:vAlign w:val="center"/>
          </w:tcPr>
          <w:p w14:paraId="3140DF89" w14:textId="77777777" w:rsidR="006A315D" w:rsidRPr="000D2922" w:rsidRDefault="006A315D" w:rsidP="00886F82">
            <w:pPr>
              <w:pStyle w:val="Titre7"/>
              <w:jc w:val="center"/>
              <w:rPr>
                <w:rFonts w:asciiTheme="minorBidi" w:hAnsiTheme="minorBidi" w:cstheme="minorBidi"/>
                <w:i w:val="0"/>
                <w:iCs w:val="0"/>
                <w:color w:val="auto"/>
                <w:sz w:val="20"/>
                <w:szCs w:val="20"/>
                <w:lang w:val="en-GB"/>
              </w:rPr>
            </w:pPr>
            <w:r w:rsidRPr="000D2922">
              <w:rPr>
                <w:rFonts w:asciiTheme="minorBidi" w:hAnsiTheme="minorBidi" w:cstheme="minorBidi"/>
                <w:i w:val="0"/>
                <w:iCs w:val="0"/>
                <w:color w:val="auto"/>
                <w:sz w:val="20"/>
                <w:szCs w:val="20"/>
                <w:lang w:val="en-GB"/>
              </w:rPr>
              <w:t>NGO-90532</w:t>
            </w:r>
          </w:p>
        </w:tc>
      </w:tr>
      <w:tr w:rsidR="006A315D" w:rsidRPr="000D358B" w14:paraId="74228E10" w14:textId="77777777" w:rsidTr="00A502CC">
        <w:trPr>
          <w:trHeight w:val="576"/>
        </w:trPr>
        <w:tc>
          <w:tcPr>
            <w:tcW w:w="3148" w:type="pct"/>
            <w:shd w:val="clear" w:color="auto" w:fill="DBE5F1" w:themeFill="accent1" w:themeFillTint="33"/>
            <w:vAlign w:val="center"/>
          </w:tcPr>
          <w:p w14:paraId="58401441" w14:textId="77777777" w:rsidR="006A315D" w:rsidRPr="000D2922" w:rsidRDefault="006A315D" w:rsidP="00886F82">
            <w:pPr>
              <w:contextualSpacing/>
              <w:rPr>
                <w:rFonts w:asciiTheme="minorBidi" w:hAnsiTheme="minorBidi" w:cstheme="minorBidi"/>
                <w:b/>
                <w:bCs/>
                <w:sz w:val="20"/>
                <w:szCs w:val="20"/>
                <w:lang w:val="en-GB"/>
              </w:rPr>
            </w:pPr>
            <w:r w:rsidRPr="000D2922">
              <w:rPr>
                <w:rFonts w:asciiTheme="minorBidi" w:hAnsiTheme="minorBidi" w:cstheme="minorBidi"/>
                <w:b/>
                <w:bCs/>
                <w:sz w:val="20"/>
                <w:szCs w:val="20"/>
                <w:lang w:val="en-GB"/>
              </w:rPr>
              <w:t>International Repertory of Music Literature</w:t>
            </w:r>
          </w:p>
        </w:tc>
        <w:tc>
          <w:tcPr>
            <w:tcW w:w="1010" w:type="pct"/>
            <w:shd w:val="clear" w:color="auto" w:fill="DBE5F1" w:themeFill="accent1" w:themeFillTint="33"/>
            <w:vAlign w:val="center"/>
          </w:tcPr>
          <w:p w14:paraId="2D55E02D" w14:textId="77777777" w:rsidR="006A315D" w:rsidRPr="000D2922" w:rsidRDefault="006A315D" w:rsidP="00886F82">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United States of America</w:t>
            </w:r>
          </w:p>
        </w:tc>
        <w:tc>
          <w:tcPr>
            <w:tcW w:w="842" w:type="pct"/>
            <w:shd w:val="clear" w:color="auto" w:fill="DBE5F1" w:themeFill="accent1" w:themeFillTint="33"/>
            <w:vAlign w:val="center"/>
          </w:tcPr>
          <w:p w14:paraId="5285DAAA" w14:textId="77777777" w:rsidR="006A315D" w:rsidRPr="000D2922" w:rsidRDefault="006A315D" w:rsidP="00886F82">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NGO-90527</w:t>
            </w:r>
          </w:p>
        </w:tc>
      </w:tr>
      <w:tr w:rsidR="006A315D" w:rsidRPr="000D358B" w14:paraId="072C4A12" w14:textId="77777777" w:rsidTr="00A502CC">
        <w:trPr>
          <w:trHeight w:val="480"/>
        </w:trPr>
        <w:tc>
          <w:tcPr>
            <w:tcW w:w="3148" w:type="pct"/>
            <w:shd w:val="clear" w:color="auto" w:fill="auto"/>
            <w:vAlign w:val="center"/>
          </w:tcPr>
          <w:p w14:paraId="6CB0E1A3" w14:textId="77777777" w:rsidR="006A315D" w:rsidRPr="000D2922" w:rsidRDefault="006A315D" w:rsidP="00886F82">
            <w:pPr>
              <w:contextualSpacing/>
              <w:rPr>
                <w:rFonts w:asciiTheme="minorBidi" w:hAnsiTheme="minorBidi" w:cstheme="minorBidi"/>
                <w:b/>
                <w:bCs/>
                <w:sz w:val="20"/>
                <w:szCs w:val="20"/>
                <w:lang w:val="en-GB"/>
              </w:rPr>
            </w:pPr>
            <w:r w:rsidRPr="000D2922">
              <w:rPr>
                <w:rFonts w:asciiTheme="minorBidi" w:hAnsiTheme="minorBidi" w:cstheme="minorBidi"/>
                <w:b/>
                <w:bCs/>
                <w:sz w:val="20"/>
                <w:szCs w:val="20"/>
                <w:lang w:val="en-GB"/>
              </w:rPr>
              <w:t>Society of Native Nations</w:t>
            </w:r>
          </w:p>
        </w:tc>
        <w:tc>
          <w:tcPr>
            <w:tcW w:w="1010" w:type="pct"/>
            <w:shd w:val="clear" w:color="auto" w:fill="auto"/>
            <w:vAlign w:val="center"/>
          </w:tcPr>
          <w:p w14:paraId="58CD24B9" w14:textId="77777777" w:rsidR="006A315D" w:rsidRPr="000D2922" w:rsidRDefault="006A315D" w:rsidP="00886F82">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United States of America</w:t>
            </w:r>
          </w:p>
        </w:tc>
        <w:tc>
          <w:tcPr>
            <w:tcW w:w="842" w:type="pct"/>
            <w:shd w:val="clear" w:color="auto" w:fill="auto"/>
            <w:vAlign w:val="center"/>
          </w:tcPr>
          <w:p w14:paraId="5106A672" w14:textId="77777777" w:rsidR="006A315D" w:rsidRPr="000D2922" w:rsidRDefault="006A315D" w:rsidP="00886F82">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NGO-90596</w:t>
            </w:r>
          </w:p>
        </w:tc>
      </w:tr>
      <w:tr w:rsidR="006A315D" w:rsidRPr="000D358B" w14:paraId="162753DE" w14:textId="77777777" w:rsidTr="00A502CC">
        <w:trPr>
          <w:trHeight w:val="576"/>
        </w:trPr>
        <w:tc>
          <w:tcPr>
            <w:tcW w:w="3148" w:type="pct"/>
            <w:shd w:val="clear" w:color="auto" w:fill="DBE5F1" w:themeFill="accent1" w:themeFillTint="33"/>
            <w:vAlign w:val="center"/>
          </w:tcPr>
          <w:p w14:paraId="4922422C" w14:textId="77777777" w:rsidR="006A315D" w:rsidRPr="00345080" w:rsidRDefault="006A315D" w:rsidP="00345080">
            <w:pPr>
              <w:ind w:left="873" w:hanging="851"/>
              <w:contextualSpacing/>
              <w:rPr>
                <w:rFonts w:asciiTheme="minorBidi" w:hAnsiTheme="minorBidi" w:cstheme="minorBidi"/>
                <w:b/>
                <w:bCs/>
                <w:sz w:val="20"/>
                <w:szCs w:val="20"/>
                <w:lang w:val="es-ES"/>
              </w:rPr>
            </w:pPr>
            <w:r w:rsidRPr="00E21348">
              <w:rPr>
                <w:rFonts w:asciiTheme="minorBidi" w:hAnsiTheme="minorBidi" w:cstheme="minorBidi"/>
                <w:b/>
                <w:bCs/>
                <w:sz w:val="20"/>
                <w:szCs w:val="20"/>
                <w:lang w:val="es-ES"/>
              </w:rPr>
              <w:t xml:space="preserve">Sri </w:t>
            </w:r>
            <w:proofErr w:type="spellStart"/>
            <w:r w:rsidRPr="00E21348">
              <w:rPr>
                <w:rFonts w:asciiTheme="minorBidi" w:hAnsiTheme="minorBidi" w:cstheme="minorBidi"/>
                <w:b/>
                <w:bCs/>
                <w:sz w:val="20"/>
                <w:szCs w:val="20"/>
                <w:lang w:val="es-ES"/>
              </w:rPr>
              <w:t>Idagunji</w:t>
            </w:r>
            <w:proofErr w:type="spellEnd"/>
            <w:r w:rsidRPr="00E21348">
              <w:rPr>
                <w:rFonts w:asciiTheme="minorBidi" w:hAnsiTheme="minorBidi" w:cstheme="minorBidi"/>
                <w:b/>
                <w:bCs/>
                <w:sz w:val="20"/>
                <w:szCs w:val="20"/>
                <w:lang w:val="es-ES"/>
              </w:rPr>
              <w:t xml:space="preserve"> </w:t>
            </w:r>
            <w:proofErr w:type="spellStart"/>
            <w:r w:rsidRPr="00E21348">
              <w:rPr>
                <w:rFonts w:asciiTheme="minorBidi" w:hAnsiTheme="minorBidi" w:cstheme="minorBidi"/>
                <w:b/>
                <w:bCs/>
                <w:sz w:val="20"/>
                <w:szCs w:val="20"/>
                <w:lang w:val="es-ES"/>
              </w:rPr>
              <w:t>Mahaganapati</w:t>
            </w:r>
            <w:proofErr w:type="spellEnd"/>
            <w:r w:rsidRPr="00E21348">
              <w:rPr>
                <w:rFonts w:asciiTheme="minorBidi" w:hAnsiTheme="minorBidi" w:cstheme="minorBidi"/>
                <w:b/>
                <w:bCs/>
                <w:sz w:val="20"/>
                <w:szCs w:val="20"/>
                <w:lang w:val="es-ES"/>
              </w:rPr>
              <w:t xml:space="preserve"> </w:t>
            </w:r>
            <w:proofErr w:type="spellStart"/>
            <w:r w:rsidRPr="00E21348">
              <w:rPr>
                <w:rFonts w:asciiTheme="minorBidi" w:hAnsiTheme="minorBidi" w:cstheme="minorBidi"/>
                <w:b/>
                <w:bCs/>
                <w:sz w:val="20"/>
                <w:szCs w:val="20"/>
                <w:lang w:val="es-ES"/>
              </w:rPr>
              <w:t>Yakshagana</w:t>
            </w:r>
            <w:proofErr w:type="spellEnd"/>
            <w:r w:rsidRPr="00E21348">
              <w:rPr>
                <w:rFonts w:asciiTheme="minorBidi" w:hAnsiTheme="minorBidi" w:cstheme="minorBidi"/>
                <w:b/>
                <w:bCs/>
                <w:sz w:val="20"/>
                <w:szCs w:val="20"/>
                <w:lang w:val="es-ES"/>
              </w:rPr>
              <w:t xml:space="preserve"> </w:t>
            </w:r>
            <w:proofErr w:type="spellStart"/>
            <w:r w:rsidRPr="00E21348">
              <w:rPr>
                <w:rFonts w:asciiTheme="minorBidi" w:hAnsiTheme="minorBidi" w:cstheme="minorBidi"/>
                <w:b/>
                <w:bCs/>
                <w:sz w:val="20"/>
                <w:szCs w:val="20"/>
                <w:lang w:val="es-ES"/>
              </w:rPr>
              <w:t>Mandali</w:t>
            </w:r>
            <w:proofErr w:type="spellEnd"/>
            <w:r w:rsidRPr="00E21348">
              <w:rPr>
                <w:rFonts w:asciiTheme="minorBidi" w:hAnsiTheme="minorBidi" w:cstheme="minorBidi"/>
                <w:b/>
                <w:bCs/>
                <w:sz w:val="20"/>
                <w:szCs w:val="20"/>
                <w:lang w:val="es-ES"/>
              </w:rPr>
              <w:t xml:space="preserve">, </w:t>
            </w:r>
            <w:proofErr w:type="spellStart"/>
            <w:r w:rsidRPr="00E21348">
              <w:rPr>
                <w:rFonts w:asciiTheme="minorBidi" w:hAnsiTheme="minorBidi" w:cstheme="minorBidi"/>
                <w:b/>
                <w:bCs/>
                <w:sz w:val="20"/>
                <w:szCs w:val="20"/>
                <w:lang w:val="es-ES"/>
              </w:rPr>
              <w:t>Keremane</w:t>
            </w:r>
            <w:proofErr w:type="spellEnd"/>
            <w:r w:rsidRPr="00E21348">
              <w:rPr>
                <w:rFonts w:asciiTheme="minorBidi" w:hAnsiTheme="minorBidi" w:cstheme="minorBidi"/>
                <w:b/>
                <w:bCs/>
                <w:sz w:val="20"/>
                <w:szCs w:val="20"/>
                <w:lang w:val="es-ES"/>
              </w:rPr>
              <w:t xml:space="preserve"> ®</w:t>
            </w:r>
          </w:p>
        </w:tc>
        <w:tc>
          <w:tcPr>
            <w:tcW w:w="1010" w:type="pct"/>
            <w:shd w:val="clear" w:color="auto" w:fill="DBE5F1" w:themeFill="accent1" w:themeFillTint="33"/>
            <w:vAlign w:val="center"/>
          </w:tcPr>
          <w:p w14:paraId="42515D36" w14:textId="77777777" w:rsidR="006A315D" w:rsidRPr="000D2922" w:rsidRDefault="006A315D" w:rsidP="00886F82">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India</w:t>
            </w:r>
          </w:p>
        </w:tc>
        <w:tc>
          <w:tcPr>
            <w:tcW w:w="842" w:type="pct"/>
            <w:shd w:val="clear" w:color="auto" w:fill="DBE5F1" w:themeFill="accent1" w:themeFillTint="33"/>
            <w:vAlign w:val="center"/>
          </w:tcPr>
          <w:p w14:paraId="4671C88B" w14:textId="77777777" w:rsidR="006A315D" w:rsidRPr="000D2922" w:rsidRDefault="006A315D" w:rsidP="00886F82">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NGO-90568</w:t>
            </w:r>
          </w:p>
        </w:tc>
      </w:tr>
      <w:tr w:rsidR="006A315D" w:rsidRPr="000D358B" w14:paraId="3532A1BC" w14:textId="77777777" w:rsidTr="00A502CC">
        <w:trPr>
          <w:trHeight w:val="576"/>
        </w:trPr>
        <w:tc>
          <w:tcPr>
            <w:tcW w:w="3148" w:type="pct"/>
            <w:shd w:val="clear" w:color="auto" w:fill="auto"/>
            <w:vAlign w:val="center"/>
          </w:tcPr>
          <w:p w14:paraId="7DC9172E" w14:textId="77777777" w:rsidR="006A315D" w:rsidRPr="000D2922" w:rsidRDefault="006A315D" w:rsidP="00886F82">
            <w:pPr>
              <w:contextualSpacing/>
              <w:rPr>
                <w:rFonts w:asciiTheme="minorBidi" w:hAnsiTheme="minorBidi" w:cstheme="minorBidi"/>
                <w:b/>
                <w:bCs/>
                <w:sz w:val="20"/>
                <w:szCs w:val="20"/>
                <w:lang w:val="en-GB"/>
              </w:rPr>
            </w:pPr>
            <w:r w:rsidRPr="000D2922">
              <w:rPr>
                <w:rFonts w:asciiTheme="minorBidi" w:hAnsiTheme="minorBidi" w:cstheme="minorBidi"/>
                <w:b/>
                <w:bCs/>
                <w:sz w:val="20"/>
                <w:szCs w:val="20"/>
                <w:lang w:val="en-GB"/>
              </w:rPr>
              <w:t xml:space="preserve">Svenska </w:t>
            </w:r>
            <w:proofErr w:type="spellStart"/>
            <w:r w:rsidRPr="000D2922">
              <w:rPr>
                <w:rFonts w:asciiTheme="minorBidi" w:hAnsiTheme="minorBidi" w:cstheme="minorBidi"/>
                <w:b/>
                <w:bCs/>
                <w:sz w:val="20"/>
                <w:szCs w:val="20"/>
                <w:lang w:val="en-GB"/>
              </w:rPr>
              <w:t>Hemslöjdsöreningarnas</w:t>
            </w:r>
            <w:proofErr w:type="spellEnd"/>
            <w:r w:rsidRPr="000D2922">
              <w:rPr>
                <w:rFonts w:asciiTheme="minorBidi" w:hAnsiTheme="minorBidi" w:cstheme="minorBidi"/>
                <w:b/>
                <w:bCs/>
                <w:sz w:val="20"/>
                <w:szCs w:val="20"/>
                <w:lang w:val="en-GB"/>
              </w:rPr>
              <w:t xml:space="preserve"> </w:t>
            </w:r>
            <w:proofErr w:type="spellStart"/>
            <w:r w:rsidRPr="000D2922">
              <w:rPr>
                <w:rFonts w:asciiTheme="minorBidi" w:hAnsiTheme="minorBidi" w:cstheme="minorBidi"/>
                <w:b/>
                <w:bCs/>
                <w:sz w:val="20"/>
                <w:szCs w:val="20"/>
                <w:lang w:val="en-GB"/>
              </w:rPr>
              <w:t>Riksförbund</w:t>
            </w:r>
            <w:proofErr w:type="spellEnd"/>
            <w:r w:rsidRPr="000D2922">
              <w:rPr>
                <w:rFonts w:asciiTheme="minorBidi" w:hAnsiTheme="minorBidi" w:cstheme="minorBidi"/>
                <w:sz w:val="20"/>
                <w:szCs w:val="20"/>
                <w:lang w:val="en-GB"/>
              </w:rPr>
              <w:br/>
              <w:t>National Association of Swedish Handicraft Societies</w:t>
            </w:r>
          </w:p>
        </w:tc>
        <w:tc>
          <w:tcPr>
            <w:tcW w:w="1010" w:type="pct"/>
            <w:shd w:val="clear" w:color="auto" w:fill="auto"/>
            <w:vAlign w:val="center"/>
          </w:tcPr>
          <w:p w14:paraId="268B2E02" w14:textId="77777777" w:rsidR="006A315D" w:rsidRPr="000D2922" w:rsidRDefault="006A315D" w:rsidP="00886F82">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Sweden</w:t>
            </w:r>
          </w:p>
        </w:tc>
        <w:tc>
          <w:tcPr>
            <w:tcW w:w="842" w:type="pct"/>
            <w:shd w:val="clear" w:color="auto" w:fill="auto"/>
            <w:vAlign w:val="center"/>
          </w:tcPr>
          <w:p w14:paraId="4470C497" w14:textId="77777777" w:rsidR="006A315D" w:rsidRPr="000D2922" w:rsidRDefault="006A315D" w:rsidP="00886F82">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NGO-90544</w:t>
            </w:r>
          </w:p>
        </w:tc>
      </w:tr>
      <w:tr w:rsidR="006A315D" w:rsidRPr="000D358B" w14:paraId="578D012E" w14:textId="77777777" w:rsidTr="00A502CC">
        <w:trPr>
          <w:trHeight w:val="576"/>
        </w:trPr>
        <w:tc>
          <w:tcPr>
            <w:tcW w:w="3148" w:type="pct"/>
            <w:shd w:val="clear" w:color="auto" w:fill="DBE5F1" w:themeFill="accent1" w:themeFillTint="33"/>
            <w:vAlign w:val="center"/>
          </w:tcPr>
          <w:p w14:paraId="72736AB5" w14:textId="77777777" w:rsidR="006A315D" w:rsidRPr="000D2922" w:rsidRDefault="006A315D" w:rsidP="00886F82">
            <w:pPr>
              <w:contextualSpacing/>
              <w:rPr>
                <w:rFonts w:asciiTheme="minorBidi" w:hAnsiTheme="minorBidi" w:cstheme="minorBidi"/>
                <w:b/>
                <w:bCs/>
                <w:sz w:val="20"/>
                <w:szCs w:val="20"/>
                <w:lang w:val="en-GB"/>
              </w:rPr>
            </w:pPr>
            <w:r w:rsidRPr="000D2922">
              <w:rPr>
                <w:rFonts w:asciiTheme="minorBidi" w:hAnsiTheme="minorBidi" w:cstheme="minorBidi"/>
                <w:b/>
                <w:bCs/>
                <w:sz w:val="20"/>
                <w:szCs w:val="20"/>
                <w:lang w:val="en-GB"/>
              </w:rPr>
              <w:t>Dragon Dance</w:t>
            </w:r>
          </w:p>
        </w:tc>
        <w:tc>
          <w:tcPr>
            <w:tcW w:w="1010" w:type="pct"/>
            <w:shd w:val="clear" w:color="auto" w:fill="DBE5F1" w:themeFill="accent1" w:themeFillTint="33"/>
            <w:vAlign w:val="center"/>
          </w:tcPr>
          <w:p w14:paraId="50D1918C" w14:textId="77777777" w:rsidR="006A315D" w:rsidRPr="000D2922" w:rsidRDefault="006A315D" w:rsidP="00886F82">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Canada</w:t>
            </w:r>
          </w:p>
        </w:tc>
        <w:tc>
          <w:tcPr>
            <w:tcW w:w="842" w:type="pct"/>
            <w:shd w:val="clear" w:color="auto" w:fill="DBE5F1" w:themeFill="accent1" w:themeFillTint="33"/>
            <w:vAlign w:val="center"/>
          </w:tcPr>
          <w:p w14:paraId="12C98200" w14:textId="77777777" w:rsidR="006A315D" w:rsidRPr="000D2922" w:rsidRDefault="006A315D" w:rsidP="00886F82">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NGO-90549</w:t>
            </w:r>
          </w:p>
        </w:tc>
      </w:tr>
      <w:tr w:rsidR="006A315D" w:rsidRPr="000D358B" w14:paraId="796B876B" w14:textId="77777777" w:rsidTr="00A502CC">
        <w:trPr>
          <w:trHeight w:val="576"/>
        </w:trPr>
        <w:tc>
          <w:tcPr>
            <w:tcW w:w="3148" w:type="pct"/>
            <w:shd w:val="clear" w:color="auto" w:fill="auto"/>
            <w:vAlign w:val="center"/>
          </w:tcPr>
          <w:p w14:paraId="577330FA" w14:textId="77777777" w:rsidR="006A315D" w:rsidRPr="000D2922" w:rsidRDefault="006A315D" w:rsidP="00886F82">
            <w:pPr>
              <w:contextualSpacing/>
              <w:rPr>
                <w:rFonts w:asciiTheme="minorBidi" w:hAnsiTheme="minorBidi" w:cstheme="minorBidi"/>
                <w:b/>
                <w:bCs/>
                <w:sz w:val="20"/>
                <w:szCs w:val="20"/>
                <w:lang w:val="en-GB"/>
              </w:rPr>
            </w:pPr>
            <w:r w:rsidRPr="000D2922">
              <w:rPr>
                <w:rFonts w:asciiTheme="minorBidi" w:hAnsiTheme="minorBidi" w:cstheme="minorBidi"/>
                <w:b/>
                <w:bCs/>
                <w:sz w:val="20"/>
                <w:szCs w:val="20"/>
                <w:lang w:val="en-GB"/>
              </w:rPr>
              <w:lastRenderedPageBreak/>
              <w:t>Traditional Arts and Culture Scotland (TRACS)</w:t>
            </w:r>
          </w:p>
        </w:tc>
        <w:tc>
          <w:tcPr>
            <w:tcW w:w="1010" w:type="pct"/>
            <w:shd w:val="clear" w:color="auto" w:fill="auto"/>
            <w:vAlign w:val="center"/>
          </w:tcPr>
          <w:p w14:paraId="792ADCE7" w14:textId="77777777" w:rsidR="006A315D" w:rsidRPr="000D2922" w:rsidRDefault="006A315D" w:rsidP="00886F82">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United Kingdom of Great Britain and Northern Ireland</w:t>
            </w:r>
          </w:p>
        </w:tc>
        <w:tc>
          <w:tcPr>
            <w:tcW w:w="842" w:type="pct"/>
            <w:shd w:val="clear" w:color="auto" w:fill="auto"/>
            <w:vAlign w:val="center"/>
          </w:tcPr>
          <w:p w14:paraId="7C69944F" w14:textId="77777777" w:rsidR="006A315D" w:rsidRPr="000D2922" w:rsidRDefault="006A315D" w:rsidP="00886F82">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NGO-90561</w:t>
            </w:r>
          </w:p>
        </w:tc>
      </w:tr>
      <w:tr w:rsidR="006A315D" w:rsidRPr="000D358B" w14:paraId="3B18B471" w14:textId="77777777" w:rsidTr="00A502CC">
        <w:trPr>
          <w:trHeight w:val="576"/>
        </w:trPr>
        <w:tc>
          <w:tcPr>
            <w:tcW w:w="3148" w:type="pct"/>
            <w:shd w:val="clear" w:color="auto" w:fill="DBE5F1" w:themeFill="accent1" w:themeFillTint="33"/>
            <w:vAlign w:val="center"/>
          </w:tcPr>
          <w:p w14:paraId="2D37034A" w14:textId="77777777" w:rsidR="006A315D" w:rsidRPr="000D2922" w:rsidRDefault="006A315D" w:rsidP="00886F82">
            <w:pPr>
              <w:contextualSpacing/>
              <w:rPr>
                <w:rFonts w:asciiTheme="minorBidi" w:hAnsiTheme="minorBidi" w:cstheme="minorBidi"/>
                <w:b/>
                <w:bCs/>
                <w:sz w:val="20"/>
                <w:szCs w:val="20"/>
                <w:lang w:val="en-GB"/>
              </w:rPr>
            </w:pPr>
            <w:proofErr w:type="spellStart"/>
            <w:r w:rsidRPr="000D2922">
              <w:rPr>
                <w:rFonts w:asciiTheme="minorBidi" w:hAnsiTheme="minorBidi" w:cstheme="minorBidi"/>
                <w:b/>
                <w:bCs/>
                <w:sz w:val="20"/>
                <w:szCs w:val="20"/>
                <w:lang w:val="en-GB"/>
              </w:rPr>
              <w:t>Türkischer</w:t>
            </w:r>
            <w:proofErr w:type="spellEnd"/>
            <w:r w:rsidRPr="000D2922">
              <w:rPr>
                <w:rFonts w:asciiTheme="minorBidi" w:hAnsiTheme="minorBidi" w:cstheme="minorBidi"/>
                <w:b/>
                <w:bCs/>
                <w:sz w:val="20"/>
                <w:szCs w:val="20"/>
                <w:lang w:val="en-GB"/>
              </w:rPr>
              <w:t xml:space="preserve"> </w:t>
            </w:r>
            <w:proofErr w:type="spellStart"/>
            <w:r w:rsidRPr="000D2922">
              <w:rPr>
                <w:rFonts w:asciiTheme="minorBidi" w:hAnsiTheme="minorBidi" w:cstheme="minorBidi"/>
                <w:b/>
                <w:bCs/>
                <w:sz w:val="20"/>
                <w:szCs w:val="20"/>
                <w:lang w:val="en-GB"/>
              </w:rPr>
              <w:t>Klassischer</w:t>
            </w:r>
            <w:proofErr w:type="spellEnd"/>
            <w:r w:rsidRPr="000D2922">
              <w:rPr>
                <w:rFonts w:asciiTheme="minorBidi" w:hAnsiTheme="minorBidi" w:cstheme="minorBidi"/>
                <w:b/>
                <w:bCs/>
                <w:sz w:val="20"/>
                <w:szCs w:val="20"/>
                <w:lang w:val="en-GB"/>
              </w:rPr>
              <w:t xml:space="preserve"> Choir Association</w:t>
            </w:r>
            <w:r w:rsidRPr="000D2922">
              <w:rPr>
                <w:rFonts w:asciiTheme="minorBidi" w:hAnsiTheme="minorBidi" w:cstheme="minorBidi"/>
                <w:b/>
                <w:bCs/>
                <w:sz w:val="20"/>
                <w:szCs w:val="20"/>
                <w:lang w:val="en-GB"/>
              </w:rPr>
              <w:br/>
            </w:r>
            <w:r w:rsidRPr="000D2922">
              <w:rPr>
                <w:rFonts w:asciiTheme="minorBidi" w:hAnsiTheme="minorBidi" w:cstheme="minorBidi"/>
                <w:sz w:val="20"/>
                <w:szCs w:val="20"/>
                <w:lang w:val="en-GB"/>
              </w:rPr>
              <w:t>Zurich Turkish Classical Choir Association</w:t>
            </w:r>
          </w:p>
        </w:tc>
        <w:tc>
          <w:tcPr>
            <w:tcW w:w="1010" w:type="pct"/>
            <w:shd w:val="clear" w:color="auto" w:fill="DBE5F1" w:themeFill="accent1" w:themeFillTint="33"/>
            <w:vAlign w:val="center"/>
          </w:tcPr>
          <w:p w14:paraId="32860B9F" w14:textId="77777777" w:rsidR="006A315D" w:rsidRPr="000D2922" w:rsidRDefault="006A315D" w:rsidP="00886F82">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Switzerland</w:t>
            </w:r>
          </w:p>
        </w:tc>
        <w:tc>
          <w:tcPr>
            <w:tcW w:w="842" w:type="pct"/>
            <w:shd w:val="clear" w:color="auto" w:fill="DBE5F1" w:themeFill="accent1" w:themeFillTint="33"/>
            <w:vAlign w:val="center"/>
          </w:tcPr>
          <w:p w14:paraId="5B788F27" w14:textId="77777777" w:rsidR="006A315D" w:rsidRPr="000D2922" w:rsidRDefault="006A315D" w:rsidP="00886F82">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NGO-90560</w:t>
            </w:r>
          </w:p>
        </w:tc>
      </w:tr>
      <w:tr w:rsidR="006A315D" w:rsidRPr="000D358B" w14:paraId="70842157" w14:textId="77777777" w:rsidTr="00A502CC">
        <w:trPr>
          <w:trHeight w:val="576"/>
        </w:trPr>
        <w:tc>
          <w:tcPr>
            <w:tcW w:w="3148" w:type="pct"/>
            <w:shd w:val="clear" w:color="auto" w:fill="auto"/>
            <w:vAlign w:val="center"/>
          </w:tcPr>
          <w:p w14:paraId="3DCF34C2" w14:textId="77777777" w:rsidR="006A315D" w:rsidRPr="000D2922" w:rsidRDefault="006A315D" w:rsidP="00886F82">
            <w:pPr>
              <w:contextualSpacing/>
              <w:rPr>
                <w:rFonts w:asciiTheme="minorBidi" w:hAnsiTheme="minorBidi" w:cstheme="minorBidi"/>
                <w:b/>
                <w:bCs/>
                <w:sz w:val="20"/>
                <w:szCs w:val="20"/>
                <w:lang w:val="en-GB"/>
              </w:rPr>
            </w:pPr>
            <w:proofErr w:type="spellStart"/>
            <w:r w:rsidRPr="000D2922">
              <w:rPr>
                <w:rFonts w:asciiTheme="minorBidi" w:hAnsiTheme="minorBidi" w:cstheme="minorBidi"/>
                <w:b/>
                <w:bCs/>
                <w:sz w:val="20"/>
                <w:szCs w:val="20"/>
                <w:lang w:val="en-GB"/>
              </w:rPr>
              <w:t>Uluslararasi</w:t>
            </w:r>
            <w:proofErr w:type="spellEnd"/>
            <w:r w:rsidRPr="000D2922">
              <w:rPr>
                <w:rFonts w:asciiTheme="minorBidi" w:hAnsiTheme="minorBidi" w:cstheme="minorBidi"/>
                <w:b/>
                <w:bCs/>
                <w:sz w:val="20"/>
                <w:szCs w:val="20"/>
                <w:lang w:val="en-GB"/>
              </w:rPr>
              <w:t xml:space="preserve"> Mevlana </w:t>
            </w:r>
            <w:proofErr w:type="spellStart"/>
            <w:r w:rsidRPr="000D2922">
              <w:rPr>
                <w:rFonts w:asciiTheme="minorBidi" w:hAnsiTheme="minorBidi" w:cstheme="minorBidi"/>
                <w:b/>
                <w:bCs/>
                <w:sz w:val="20"/>
                <w:szCs w:val="20"/>
                <w:lang w:val="en-GB"/>
              </w:rPr>
              <w:t>Vakfi</w:t>
            </w:r>
            <w:proofErr w:type="spellEnd"/>
            <w:r w:rsidRPr="000D2922">
              <w:rPr>
                <w:rFonts w:asciiTheme="minorBidi" w:hAnsiTheme="minorBidi" w:cstheme="minorBidi"/>
                <w:b/>
                <w:bCs/>
                <w:sz w:val="20"/>
                <w:szCs w:val="20"/>
                <w:lang w:val="en-GB"/>
              </w:rPr>
              <w:br/>
            </w:r>
            <w:r w:rsidRPr="000D2922">
              <w:rPr>
                <w:rFonts w:asciiTheme="minorBidi" w:hAnsiTheme="minorBidi" w:cstheme="minorBidi"/>
                <w:sz w:val="20"/>
                <w:szCs w:val="20"/>
                <w:lang w:val="en-GB"/>
              </w:rPr>
              <w:t>International Mevlana Foundation</w:t>
            </w:r>
          </w:p>
        </w:tc>
        <w:tc>
          <w:tcPr>
            <w:tcW w:w="1010" w:type="pct"/>
            <w:shd w:val="clear" w:color="auto" w:fill="auto"/>
            <w:vAlign w:val="center"/>
          </w:tcPr>
          <w:p w14:paraId="5127CAEC" w14:textId="77777777" w:rsidR="006A315D" w:rsidRPr="000D2922" w:rsidRDefault="006A315D" w:rsidP="00886F82">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Türkiye</w:t>
            </w:r>
          </w:p>
        </w:tc>
        <w:tc>
          <w:tcPr>
            <w:tcW w:w="842" w:type="pct"/>
            <w:shd w:val="clear" w:color="auto" w:fill="auto"/>
            <w:vAlign w:val="center"/>
          </w:tcPr>
          <w:p w14:paraId="7EA08E68" w14:textId="77777777" w:rsidR="006A315D" w:rsidRPr="000D2922" w:rsidRDefault="006A315D" w:rsidP="00886F82">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NGO-90547</w:t>
            </w:r>
          </w:p>
        </w:tc>
      </w:tr>
      <w:tr w:rsidR="006A315D" w:rsidRPr="000D358B" w14:paraId="0BC9DF22" w14:textId="77777777" w:rsidTr="00A502CC">
        <w:trPr>
          <w:trHeight w:val="576"/>
        </w:trPr>
        <w:tc>
          <w:tcPr>
            <w:tcW w:w="3148" w:type="pct"/>
            <w:shd w:val="clear" w:color="auto" w:fill="DBE5F1" w:themeFill="accent1" w:themeFillTint="33"/>
            <w:vAlign w:val="center"/>
          </w:tcPr>
          <w:p w14:paraId="180006A9" w14:textId="77777777" w:rsidR="006A315D" w:rsidRPr="000D2922" w:rsidRDefault="006A315D" w:rsidP="00886F82">
            <w:pPr>
              <w:contextualSpacing/>
              <w:rPr>
                <w:rFonts w:asciiTheme="minorBidi" w:hAnsiTheme="minorBidi" w:cstheme="minorBidi"/>
                <w:b/>
                <w:bCs/>
                <w:sz w:val="20"/>
                <w:szCs w:val="20"/>
                <w:lang w:val="es-ES"/>
              </w:rPr>
            </w:pPr>
            <w:r w:rsidRPr="000D2922">
              <w:rPr>
                <w:rFonts w:asciiTheme="minorBidi" w:hAnsiTheme="minorBidi" w:cstheme="minorBidi"/>
                <w:b/>
                <w:bCs/>
                <w:sz w:val="20"/>
                <w:szCs w:val="20"/>
                <w:lang w:val="es-ES"/>
              </w:rPr>
              <w:t>UN ETXEA- Asociación del País Vasco para la UNESCO</w:t>
            </w:r>
            <w:r w:rsidRPr="000D2922">
              <w:rPr>
                <w:rFonts w:asciiTheme="minorBidi" w:hAnsiTheme="minorBidi" w:cstheme="minorBidi"/>
                <w:b/>
                <w:bCs/>
                <w:sz w:val="20"/>
                <w:szCs w:val="20"/>
                <w:lang w:val="es-ES"/>
              </w:rPr>
              <w:br/>
            </w:r>
            <w:r w:rsidRPr="000D2922">
              <w:rPr>
                <w:rFonts w:asciiTheme="minorBidi" w:hAnsiTheme="minorBidi" w:cstheme="minorBidi"/>
                <w:sz w:val="20"/>
                <w:szCs w:val="20"/>
                <w:lang w:val="es-ES"/>
              </w:rPr>
              <w:t xml:space="preserve">UN ETXEA- </w:t>
            </w:r>
            <w:proofErr w:type="spellStart"/>
            <w:r w:rsidRPr="000D2922">
              <w:rPr>
                <w:rFonts w:asciiTheme="minorBidi" w:hAnsiTheme="minorBidi" w:cstheme="minorBidi"/>
                <w:sz w:val="20"/>
                <w:szCs w:val="20"/>
                <w:lang w:val="es-ES"/>
              </w:rPr>
              <w:t>Basque</w:t>
            </w:r>
            <w:proofErr w:type="spellEnd"/>
            <w:r w:rsidRPr="000D2922">
              <w:rPr>
                <w:rFonts w:asciiTheme="minorBidi" w:hAnsiTheme="minorBidi" w:cstheme="minorBidi"/>
                <w:sz w:val="20"/>
                <w:szCs w:val="20"/>
                <w:lang w:val="es-ES"/>
              </w:rPr>
              <w:t xml:space="preserve"> Country </w:t>
            </w:r>
            <w:proofErr w:type="spellStart"/>
            <w:r w:rsidRPr="000D2922">
              <w:rPr>
                <w:rFonts w:asciiTheme="minorBidi" w:hAnsiTheme="minorBidi" w:cstheme="minorBidi"/>
                <w:sz w:val="20"/>
                <w:szCs w:val="20"/>
                <w:lang w:val="es-ES"/>
              </w:rPr>
              <w:t>Association</w:t>
            </w:r>
            <w:proofErr w:type="spellEnd"/>
            <w:r w:rsidRPr="000D2922">
              <w:rPr>
                <w:rFonts w:asciiTheme="minorBidi" w:hAnsiTheme="minorBidi" w:cstheme="minorBidi"/>
                <w:sz w:val="20"/>
                <w:szCs w:val="20"/>
                <w:lang w:val="es-ES"/>
              </w:rPr>
              <w:t xml:space="preserve"> </w:t>
            </w:r>
            <w:proofErr w:type="spellStart"/>
            <w:r w:rsidRPr="000D2922">
              <w:rPr>
                <w:rFonts w:asciiTheme="minorBidi" w:hAnsiTheme="minorBidi" w:cstheme="minorBidi"/>
                <w:sz w:val="20"/>
                <w:szCs w:val="20"/>
                <w:lang w:val="es-ES"/>
              </w:rPr>
              <w:t>for</w:t>
            </w:r>
            <w:proofErr w:type="spellEnd"/>
            <w:r w:rsidRPr="000D2922">
              <w:rPr>
                <w:rFonts w:asciiTheme="minorBidi" w:hAnsiTheme="minorBidi" w:cstheme="minorBidi"/>
                <w:sz w:val="20"/>
                <w:szCs w:val="20"/>
                <w:lang w:val="es-ES"/>
              </w:rPr>
              <w:t xml:space="preserve"> UNESCO</w:t>
            </w:r>
          </w:p>
        </w:tc>
        <w:tc>
          <w:tcPr>
            <w:tcW w:w="1010" w:type="pct"/>
            <w:shd w:val="clear" w:color="auto" w:fill="DBE5F1" w:themeFill="accent1" w:themeFillTint="33"/>
            <w:vAlign w:val="center"/>
          </w:tcPr>
          <w:p w14:paraId="540C4534" w14:textId="77777777" w:rsidR="006A315D" w:rsidRPr="000D2922" w:rsidRDefault="006A315D" w:rsidP="00886F82">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Spain</w:t>
            </w:r>
          </w:p>
        </w:tc>
        <w:tc>
          <w:tcPr>
            <w:tcW w:w="842" w:type="pct"/>
            <w:shd w:val="clear" w:color="auto" w:fill="DBE5F1" w:themeFill="accent1" w:themeFillTint="33"/>
            <w:vAlign w:val="center"/>
          </w:tcPr>
          <w:p w14:paraId="75C7C47D" w14:textId="77777777" w:rsidR="006A315D" w:rsidRPr="000D2922" w:rsidRDefault="006A315D" w:rsidP="00886F82">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NGO-90590</w:t>
            </w:r>
          </w:p>
        </w:tc>
      </w:tr>
      <w:tr w:rsidR="006A315D" w:rsidRPr="000D358B" w14:paraId="4ACC53E6" w14:textId="77777777" w:rsidTr="00A502CC">
        <w:trPr>
          <w:trHeight w:val="576"/>
        </w:trPr>
        <w:tc>
          <w:tcPr>
            <w:tcW w:w="3148" w:type="pct"/>
            <w:shd w:val="clear" w:color="auto" w:fill="auto"/>
            <w:vAlign w:val="center"/>
          </w:tcPr>
          <w:p w14:paraId="5A81C83B" w14:textId="77777777" w:rsidR="006A315D" w:rsidRPr="000D2922" w:rsidRDefault="006A315D" w:rsidP="00886F82">
            <w:pPr>
              <w:contextualSpacing/>
              <w:rPr>
                <w:rFonts w:asciiTheme="minorBidi" w:hAnsiTheme="minorBidi" w:cstheme="minorBidi"/>
                <w:b/>
                <w:bCs/>
                <w:sz w:val="20"/>
                <w:szCs w:val="20"/>
                <w:lang w:val="en-GB"/>
              </w:rPr>
            </w:pPr>
            <w:proofErr w:type="spellStart"/>
            <w:r w:rsidRPr="000D2922">
              <w:rPr>
                <w:rFonts w:asciiTheme="minorBidi" w:hAnsiTheme="minorBidi" w:cstheme="minorBidi"/>
                <w:b/>
                <w:bCs/>
                <w:sz w:val="20"/>
                <w:szCs w:val="20"/>
                <w:lang w:val="en-GB"/>
              </w:rPr>
              <w:t>Vabnagar</w:t>
            </w:r>
            <w:proofErr w:type="spellEnd"/>
            <w:r w:rsidRPr="000D2922">
              <w:rPr>
                <w:rFonts w:asciiTheme="minorBidi" w:hAnsiTheme="minorBidi" w:cstheme="minorBidi"/>
                <w:b/>
                <w:bCs/>
                <w:sz w:val="20"/>
                <w:szCs w:val="20"/>
                <w:lang w:val="en-GB"/>
              </w:rPr>
              <w:t xml:space="preserve"> Foundation</w:t>
            </w:r>
          </w:p>
        </w:tc>
        <w:tc>
          <w:tcPr>
            <w:tcW w:w="1010" w:type="pct"/>
            <w:shd w:val="clear" w:color="auto" w:fill="auto"/>
            <w:vAlign w:val="center"/>
          </w:tcPr>
          <w:p w14:paraId="3FEB7812" w14:textId="77777777" w:rsidR="006A315D" w:rsidRPr="000D2922" w:rsidRDefault="006A315D" w:rsidP="00886F82">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Bangladesh</w:t>
            </w:r>
          </w:p>
        </w:tc>
        <w:tc>
          <w:tcPr>
            <w:tcW w:w="842" w:type="pct"/>
            <w:shd w:val="clear" w:color="auto" w:fill="auto"/>
            <w:vAlign w:val="center"/>
          </w:tcPr>
          <w:p w14:paraId="476A0EF3" w14:textId="77777777" w:rsidR="006A315D" w:rsidRPr="000D2922" w:rsidRDefault="006A315D" w:rsidP="00886F82">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NGO-90526</w:t>
            </w:r>
          </w:p>
        </w:tc>
      </w:tr>
      <w:tr w:rsidR="006A315D" w:rsidRPr="000D358B" w14:paraId="66061F90" w14:textId="77777777" w:rsidTr="00A502CC">
        <w:trPr>
          <w:trHeight w:val="576"/>
        </w:trPr>
        <w:tc>
          <w:tcPr>
            <w:tcW w:w="3148" w:type="pct"/>
            <w:shd w:val="clear" w:color="auto" w:fill="DBE5F1" w:themeFill="accent1" w:themeFillTint="33"/>
            <w:vAlign w:val="center"/>
          </w:tcPr>
          <w:p w14:paraId="1BBB6D4F" w14:textId="77777777" w:rsidR="006A315D" w:rsidRPr="000D2922" w:rsidRDefault="006A315D" w:rsidP="00886F82">
            <w:pPr>
              <w:contextualSpacing/>
              <w:rPr>
                <w:rFonts w:asciiTheme="minorBidi" w:hAnsiTheme="minorBidi" w:cstheme="minorBidi"/>
                <w:b/>
                <w:bCs/>
                <w:sz w:val="20"/>
                <w:szCs w:val="20"/>
                <w:lang w:val="en-GB"/>
              </w:rPr>
            </w:pPr>
            <w:r w:rsidRPr="000D2922">
              <w:rPr>
                <w:rFonts w:asciiTheme="minorBidi" w:hAnsiTheme="minorBidi" w:cstheme="minorBidi"/>
                <w:b/>
                <w:bCs/>
                <w:sz w:val="20"/>
                <w:szCs w:val="20"/>
                <w:lang w:val="en-GB"/>
              </w:rPr>
              <w:t xml:space="preserve">World Music </w:t>
            </w:r>
            <w:proofErr w:type="spellStart"/>
            <w:r w:rsidRPr="000D2922">
              <w:rPr>
                <w:rFonts w:asciiTheme="minorBidi" w:hAnsiTheme="minorBidi" w:cstheme="minorBidi"/>
                <w:b/>
                <w:bCs/>
                <w:sz w:val="20"/>
                <w:szCs w:val="20"/>
                <w:lang w:val="en-GB"/>
              </w:rPr>
              <w:t>асоцијација</w:t>
            </w:r>
            <w:proofErr w:type="spellEnd"/>
            <w:r w:rsidRPr="000D2922">
              <w:rPr>
                <w:rFonts w:asciiTheme="minorBidi" w:hAnsiTheme="minorBidi" w:cstheme="minorBidi"/>
                <w:b/>
                <w:bCs/>
                <w:sz w:val="20"/>
                <w:szCs w:val="20"/>
                <w:lang w:val="en-GB"/>
              </w:rPr>
              <w:t xml:space="preserve"> </w:t>
            </w:r>
            <w:proofErr w:type="spellStart"/>
            <w:r w:rsidRPr="000D2922">
              <w:rPr>
                <w:rFonts w:asciiTheme="minorBidi" w:hAnsiTheme="minorBidi" w:cstheme="minorBidi"/>
                <w:b/>
                <w:bCs/>
                <w:sz w:val="20"/>
                <w:szCs w:val="20"/>
                <w:lang w:val="en-GB"/>
              </w:rPr>
              <w:t>Србије</w:t>
            </w:r>
            <w:proofErr w:type="spellEnd"/>
            <w:r w:rsidRPr="000D2922">
              <w:rPr>
                <w:rFonts w:asciiTheme="minorBidi" w:hAnsiTheme="minorBidi" w:cstheme="minorBidi"/>
                <w:b/>
                <w:bCs/>
                <w:sz w:val="20"/>
                <w:szCs w:val="20"/>
                <w:lang w:val="en-GB"/>
              </w:rPr>
              <w:br/>
            </w:r>
            <w:r w:rsidRPr="000D2922">
              <w:rPr>
                <w:rFonts w:asciiTheme="minorBidi" w:hAnsiTheme="minorBidi" w:cstheme="minorBidi"/>
                <w:sz w:val="20"/>
                <w:szCs w:val="20"/>
                <w:lang w:val="en-GB"/>
              </w:rPr>
              <w:t>World Music Association of Serbia</w:t>
            </w:r>
          </w:p>
        </w:tc>
        <w:tc>
          <w:tcPr>
            <w:tcW w:w="1010" w:type="pct"/>
            <w:shd w:val="clear" w:color="auto" w:fill="DBE5F1" w:themeFill="accent1" w:themeFillTint="33"/>
            <w:vAlign w:val="center"/>
          </w:tcPr>
          <w:p w14:paraId="005D1F82" w14:textId="77777777" w:rsidR="006A315D" w:rsidRPr="000D2922" w:rsidRDefault="006A315D" w:rsidP="00886F82">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Serbia</w:t>
            </w:r>
          </w:p>
        </w:tc>
        <w:tc>
          <w:tcPr>
            <w:tcW w:w="842" w:type="pct"/>
            <w:shd w:val="clear" w:color="auto" w:fill="DBE5F1" w:themeFill="accent1" w:themeFillTint="33"/>
            <w:vAlign w:val="center"/>
          </w:tcPr>
          <w:p w14:paraId="0F8E6D5C" w14:textId="77777777" w:rsidR="006A315D" w:rsidRPr="000D2922" w:rsidRDefault="006A315D" w:rsidP="00886F82">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NGO-90530</w:t>
            </w:r>
          </w:p>
        </w:tc>
      </w:tr>
      <w:tr w:rsidR="006A315D" w:rsidRPr="000D358B" w14:paraId="68E2ED6C" w14:textId="77777777" w:rsidTr="00A502CC">
        <w:trPr>
          <w:trHeight w:val="576"/>
        </w:trPr>
        <w:tc>
          <w:tcPr>
            <w:tcW w:w="3148" w:type="pct"/>
            <w:shd w:val="clear" w:color="auto" w:fill="auto"/>
            <w:vAlign w:val="center"/>
          </w:tcPr>
          <w:p w14:paraId="13F5C7EA" w14:textId="77777777" w:rsidR="006A315D" w:rsidRPr="000D2922" w:rsidRDefault="006A315D" w:rsidP="00886F82">
            <w:pPr>
              <w:contextualSpacing/>
              <w:rPr>
                <w:rFonts w:asciiTheme="minorBidi" w:hAnsiTheme="minorBidi" w:cstheme="minorBidi"/>
                <w:b/>
                <w:bCs/>
                <w:sz w:val="20"/>
                <w:szCs w:val="20"/>
                <w:lang w:val="es-ES"/>
              </w:rPr>
            </w:pPr>
            <w:proofErr w:type="spellStart"/>
            <w:r w:rsidRPr="000D2922">
              <w:rPr>
                <w:rFonts w:asciiTheme="minorBidi" w:hAnsiTheme="minorBidi" w:cstheme="minorBidi"/>
                <w:b/>
                <w:bCs/>
                <w:sz w:val="20"/>
                <w:szCs w:val="20"/>
                <w:lang w:val="es-ES"/>
              </w:rPr>
              <w:t>Yayasan</w:t>
            </w:r>
            <w:proofErr w:type="spellEnd"/>
            <w:r w:rsidRPr="000D2922">
              <w:rPr>
                <w:rFonts w:asciiTheme="minorBidi" w:hAnsiTheme="minorBidi" w:cstheme="minorBidi"/>
                <w:b/>
                <w:bCs/>
                <w:sz w:val="20"/>
                <w:szCs w:val="20"/>
                <w:lang w:val="es-ES"/>
              </w:rPr>
              <w:t xml:space="preserve"> </w:t>
            </w:r>
            <w:proofErr w:type="spellStart"/>
            <w:r w:rsidRPr="000D2922">
              <w:rPr>
                <w:rFonts w:asciiTheme="minorBidi" w:hAnsiTheme="minorBidi" w:cstheme="minorBidi"/>
                <w:b/>
                <w:bCs/>
                <w:sz w:val="20"/>
                <w:szCs w:val="20"/>
                <w:lang w:val="es-ES"/>
              </w:rPr>
              <w:t>Toraja</w:t>
            </w:r>
            <w:proofErr w:type="spellEnd"/>
            <w:r w:rsidRPr="000D2922">
              <w:rPr>
                <w:rFonts w:asciiTheme="minorBidi" w:hAnsiTheme="minorBidi" w:cstheme="minorBidi"/>
                <w:b/>
                <w:bCs/>
                <w:sz w:val="20"/>
                <w:szCs w:val="20"/>
                <w:lang w:val="es-ES"/>
              </w:rPr>
              <w:t xml:space="preserve"> Melo</w:t>
            </w:r>
            <w:r w:rsidRPr="000D2922">
              <w:rPr>
                <w:rFonts w:asciiTheme="minorBidi" w:hAnsiTheme="minorBidi" w:cstheme="minorBidi"/>
                <w:b/>
                <w:bCs/>
                <w:sz w:val="20"/>
                <w:szCs w:val="20"/>
                <w:lang w:val="es-ES"/>
              </w:rPr>
              <w:br/>
            </w:r>
            <w:proofErr w:type="spellStart"/>
            <w:r w:rsidRPr="000D2922">
              <w:rPr>
                <w:rFonts w:asciiTheme="minorBidi" w:hAnsiTheme="minorBidi" w:cstheme="minorBidi"/>
                <w:sz w:val="20"/>
                <w:szCs w:val="20"/>
                <w:lang w:val="es-ES"/>
              </w:rPr>
              <w:t>Toraja</w:t>
            </w:r>
            <w:proofErr w:type="spellEnd"/>
            <w:r w:rsidRPr="000D2922">
              <w:rPr>
                <w:rFonts w:asciiTheme="minorBidi" w:hAnsiTheme="minorBidi" w:cstheme="minorBidi"/>
                <w:sz w:val="20"/>
                <w:szCs w:val="20"/>
                <w:lang w:val="es-ES"/>
              </w:rPr>
              <w:t xml:space="preserve"> Melo </w:t>
            </w:r>
            <w:proofErr w:type="spellStart"/>
            <w:r w:rsidRPr="000D2922">
              <w:rPr>
                <w:rFonts w:asciiTheme="minorBidi" w:hAnsiTheme="minorBidi" w:cstheme="minorBidi"/>
                <w:sz w:val="20"/>
                <w:szCs w:val="20"/>
                <w:lang w:val="es-ES"/>
              </w:rPr>
              <w:t>Foundation</w:t>
            </w:r>
            <w:proofErr w:type="spellEnd"/>
          </w:p>
        </w:tc>
        <w:tc>
          <w:tcPr>
            <w:tcW w:w="1010" w:type="pct"/>
            <w:shd w:val="clear" w:color="auto" w:fill="auto"/>
            <w:vAlign w:val="center"/>
          </w:tcPr>
          <w:p w14:paraId="57031793" w14:textId="77777777" w:rsidR="006A315D" w:rsidRPr="000D2922" w:rsidRDefault="006A315D" w:rsidP="00886F82">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Indonesia</w:t>
            </w:r>
          </w:p>
        </w:tc>
        <w:tc>
          <w:tcPr>
            <w:tcW w:w="842" w:type="pct"/>
            <w:shd w:val="clear" w:color="auto" w:fill="auto"/>
            <w:vAlign w:val="center"/>
          </w:tcPr>
          <w:p w14:paraId="2CAC4BC1" w14:textId="77777777" w:rsidR="006A315D" w:rsidRPr="000D2922" w:rsidRDefault="006A315D" w:rsidP="00886F82">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NGO-90575</w:t>
            </w:r>
          </w:p>
        </w:tc>
      </w:tr>
      <w:tr w:rsidR="006A315D" w:rsidRPr="000D358B" w14:paraId="6FE15C2F" w14:textId="77777777" w:rsidTr="00A502CC">
        <w:trPr>
          <w:trHeight w:val="576"/>
        </w:trPr>
        <w:tc>
          <w:tcPr>
            <w:tcW w:w="3148" w:type="pct"/>
            <w:shd w:val="clear" w:color="auto" w:fill="DBE5F1" w:themeFill="accent1" w:themeFillTint="33"/>
            <w:vAlign w:val="center"/>
          </w:tcPr>
          <w:p w14:paraId="64BB3EEB" w14:textId="77777777" w:rsidR="006A315D" w:rsidRPr="000D2922" w:rsidRDefault="006A315D" w:rsidP="00886F82">
            <w:pPr>
              <w:contextualSpacing/>
              <w:rPr>
                <w:rFonts w:asciiTheme="minorBidi" w:hAnsiTheme="minorBidi" w:cstheme="minorBidi"/>
                <w:b/>
                <w:bCs/>
                <w:sz w:val="20"/>
                <w:szCs w:val="20"/>
              </w:rPr>
            </w:pPr>
            <w:proofErr w:type="spellStart"/>
            <w:r w:rsidRPr="000D2922">
              <w:rPr>
                <w:rFonts w:asciiTheme="minorBidi" w:hAnsiTheme="minorBidi" w:cstheme="minorBidi"/>
                <w:b/>
                <w:bCs/>
                <w:sz w:val="20"/>
                <w:szCs w:val="20"/>
                <w:lang w:val="en-GB"/>
              </w:rPr>
              <w:t>Μεσογει</w:t>
            </w:r>
            <w:proofErr w:type="spellEnd"/>
            <w:r w:rsidRPr="000D2922">
              <w:rPr>
                <w:rFonts w:asciiTheme="minorBidi" w:hAnsiTheme="minorBidi" w:cstheme="minorBidi"/>
                <w:b/>
                <w:bCs/>
                <w:sz w:val="20"/>
                <w:szCs w:val="20"/>
                <w:lang w:val="en-GB"/>
              </w:rPr>
              <w:t>ακό</w:t>
            </w:r>
            <w:r w:rsidRPr="000D2922">
              <w:rPr>
                <w:rFonts w:asciiTheme="minorBidi" w:hAnsiTheme="minorBidi" w:cstheme="minorBidi"/>
                <w:b/>
                <w:bCs/>
                <w:sz w:val="20"/>
                <w:szCs w:val="20"/>
              </w:rPr>
              <w:t xml:space="preserve"> </w:t>
            </w:r>
            <w:proofErr w:type="spellStart"/>
            <w:r w:rsidRPr="000D2922">
              <w:rPr>
                <w:rFonts w:asciiTheme="minorBidi" w:hAnsiTheme="minorBidi" w:cstheme="minorBidi"/>
                <w:b/>
                <w:bCs/>
                <w:sz w:val="20"/>
                <w:szCs w:val="20"/>
                <w:lang w:val="en-GB"/>
              </w:rPr>
              <w:t>Ινστιτούτο</w:t>
            </w:r>
            <w:proofErr w:type="spellEnd"/>
            <w:r w:rsidRPr="000D2922">
              <w:rPr>
                <w:rFonts w:asciiTheme="minorBidi" w:hAnsiTheme="minorBidi" w:cstheme="minorBidi"/>
                <w:b/>
                <w:bCs/>
                <w:sz w:val="20"/>
                <w:szCs w:val="20"/>
              </w:rPr>
              <w:t xml:space="preserve"> </w:t>
            </w:r>
            <w:proofErr w:type="spellStart"/>
            <w:r w:rsidRPr="000D2922">
              <w:rPr>
                <w:rFonts w:asciiTheme="minorBidi" w:hAnsiTheme="minorBidi" w:cstheme="minorBidi"/>
                <w:b/>
                <w:bCs/>
                <w:sz w:val="20"/>
                <w:szCs w:val="20"/>
                <w:lang w:val="en-GB"/>
              </w:rPr>
              <w:t>γι</w:t>
            </w:r>
            <w:proofErr w:type="spellEnd"/>
            <w:r w:rsidRPr="000D2922">
              <w:rPr>
                <w:rFonts w:asciiTheme="minorBidi" w:hAnsiTheme="minorBidi" w:cstheme="minorBidi"/>
                <w:b/>
                <w:bCs/>
                <w:sz w:val="20"/>
                <w:szCs w:val="20"/>
                <w:lang w:val="en-GB"/>
              </w:rPr>
              <w:t>α</w:t>
            </w:r>
            <w:r w:rsidRPr="000D2922">
              <w:rPr>
                <w:rFonts w:asciiTheme="minorBidi" w:hAnsiTheme="minorBidi" w:cstheme="minorBidi"/>
                <w:b/>
                <w:bCs/>
                <w:sz w:val="20"/>
                <w:szCs w:val="20"/>
              </w:rPr>
              <w:t xml:space="preserve"> </w:t>
            </w:r>
            <w:proofErr w:type="spellStart"/>
            <w:r w:rsidRPr="000D2922">
              <w:rPr>
                <w:rFonts w:asciiTheme="minorBidi" w:hAnsiTheme="minorBidi" w:cstheme="minorBidi"/>
                <w:b/>
                <w:bCs/>
                <w:sz w:val="20"/>
                <w:szCs w:val="20"/>
                <w:lang w:val="en-GB"/>
              </w:rPr>
              <w:t>τη</w:t>
            </w:r>
            <w:proofErr w:type="spellEnd"/>
            <w:r w:rsidRPr="000D2922">
              <w:rPr>
                <w:rFonts w:asciiTheme="minorBidi" w:hAnsiTheme="minorBidi" w:cstheme="minorBidi"/>
                <w:b/>
                <w:bCs/>
                <w:sz w:val="20"/>
                <w:szCs w:val="20"/>
              </w:rPr>
              <w:t xml:space="preserve"> </w:t>
            </w:r>
            <w:proofErr w:type="spellStart"/>
            <w:r w:rsidRPr="000D2922">
              <w:rPr>
                <w:rFonts w:asciiTheme="minorBidi" w:hAnsiTheme="minorBidi" w:cstheme="minorBidi"/>
                <w:b/>
                <w:bCs/>
                <w:sz w:val="20"/>
                <w:szCs w:val="20"/>
                <w:lang w:val="en-GB"/>
              </w:rPr>
              <w:t>Φύση</w:t>
            </w:r>
            <w:proofErr w:type="spellEnd"/>
            <w:r w:rsidRPr="000D2922">
              <w:rPr>
                <w:rFonts w:asciiTheme="minorBidi" w:hAnsiTheme="minorBidi" w:cstheme="minorBidi"/>
                <w:b/>
                <w:bCs/>
                <w:sz w:val="20"/>
                <w:szCs w:val="20"/>
              </w:rPr>
              <w:t xml:space="preserve"> </w:t>
            </w:r>
            <w:r w:rsidRPr="000D2922">
              <w:rPr>
                <w:rFonts w:asciiTheme="minorBidi" w:hAnsiTheme="minorBidi" w:cstheme="minorBidi"/>
                <w:b/>
                <w:bCs/>
                <w:sz w:val="20"/>
                <w:szCs w:val="20"/>
                <w:lang w:val="en-GB"/>
              </w:rPr>
              <w:t>και</w:t>
            </w:r>
            <w:r w:rsidRPr="000D2922">
              <w:rPr>
                <w:rFonts w:asciiTheme="minorBidi" w:hAnsiTheme="minorBidi" w:cstheme="minorBidi"/>
                <w:b/>
                <w:bCs/>
                <w:sz w:val="20"/>
                <w:szCs w:val="20"/>
              </w:rPr>
              <w:t xml:space="preserve"> </w:t>
            </w:r>
            <w:proofErr w:type="spellStart"/>
            <w:r w:rsidRPr="000D2922">
              <w:rPr>
                <w:rFonts w:asciiTheme="minorBidi" w:hAnsiTheme="minorBidi" w:cstheme="minorBidi"/>
                <w:b/>
                <w:bCs/>
                <w:sz w:val="20"/>
                <w:szCs w:val="20"/>
                <w:lang w:val="en-GB"/>
              </w:rPr>
              <w:t>τον</w:t>
            </w:r>
            <w:proofErr w:type="spellEnd"/>
            <w:r w:rsidRPr="000D2922">
              <w:rPr>
                <w:rFonts w:asciiTheme="minorBidi" w:hAnsiTheme="minorBidi" w:cstheme="minorBidi"/>
                <w:b/>
                <w:bCs/>
                <w:sz w:val="20"/>
                <w:szCs w:val="20"/>
              </w:rPr>
              <w:t xml:space="preserve"> </w:t>
            </w:r>
            <w:proofErr w:type="spellStart"/>
            <w:r w:rsidRPr="000D2922">
              <w:rPr>
                <w:rFonts w:asciiTheme="minorBidi" w:hAnsiTheme="minorBidi" w:cstheme="minorBidi"/>
                <w:b/>
                <w:bCs/>
                <w:sz w:val="20"/>
                <w:szCs w:val="20"/>
                <w:lang w:val="en-GB"/>
              </w:rPr>
              <w:t>Άνθρω</w:t>
            </w:r>
            <w:proofErr w:type="spellEnd"/>
            <w:r w:rsidRPr="000D2922">
              <w:rPr>
                <w:rFonts w:asciiTheme="minorBidi" w:hAnsiTheme="minorBidi" w:cstheme="minorBidi"/>
                <w:b/>
                <w:bCs/>
                <w:sz w:val="20"/>
                <w:szCs w:val="20"/>
                <w:lang w:val="en-GB"/>
              </w:rPr>
              <w:t>πο</w:t>
            </w:r>
            <w:r w:rsidRPr="000D2922">
              <w:rPr>
                <w:rFonts w:asciiTheme="minorBidi" w:hAnsiTheme="minorBidi" w:cstheme="minorBidi"/>
                <w:b/>
                <w:bCs/>
                <w:sz w:val="20"/>
                <w:szCs w:val="20"/>
              </w:rPr>
              <w:br/>
            </w:r>
            <w:proofErr w:type="spellStart"/>
            <w:r w:rsidRPr="000D2922">
              <w:rPr>
                <w:rFonts w:asciiTheme="minorBidi" w:hAnsiTheme="minorBidi" w:cstheme="minorBidi"/>
                <w:sz w:val="20"/>
                <w:szCs w:val="20"/>
              </w:rPr>
              <w:t>Mediterranean</w:t>
            </w:r>
            <w:proofErr w:type="spellEnd"/>
            <w:r w:rsidRPr="000D2922">
              <w:rPr>
                <w:rFonts w:asciiTheme="minorBidi" w:hAnsiTheme="minorBidi" w:cstheme="minorBidi"/>
                <w:sz w:val="20"/>
                <w:szCs w:val="20"/>
              </w:rPr>
              <w:t xml:space="preserve"> Institute for Nature and Anthropos</w:t>
            </w:r>
          </w:p>
        </w:tc>
        <w:tc>
          <w:tcPr>
            <w:tcW w:w="1010" w:type="pct"/>
            <w:shd w:val="clear" w:color="auto" w:fill="DBE5F1" w:themeFill="accent1" w:themeFillTint="33"/>
            <w:vAlign w:val="center"/>
          </w:tcPr>
          <w:p w14:paraId="7E69B2C8" w14:textId="77777777" w:rsidR="006A315D" w:rsidRPr="000D2922" w:rsidRDefault="006A315D" w:rsidP="00886F82">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Greece</w:t>
            </w:r>
          </w:p>
        </w:tc>
        <w:tc>
          <w:tcPr>
            <w:tcW w:w="842" w:type="pct"/>
            <w:shd w:val="clear" w:color="auto" w:fill="DBE5F1" w:themeFill="accent1" w:themeFillTint="33"/>
            <w:vAlign w:val="center"/>
          </w:tcPr>
          <w:p w14:paraId="37FC94B3" w14:textId="77777777" w:rsidR="006A315D" w:rsidRPr="000D2922" w:rsidRDefault="006A315D" w:rsidP="00886F82">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NGO-90556</w:t>
            </w:r>
          </w:p>
        </w:tc>
      </w:tr>
      <w:tr w:rsidR="006A315D" w:rsidRPr="000D358B" w14:paraId="3DAF67E1" w14:textId="77777777" w:rsidTr="00A502CC">
        <w:trPr>
          <w:trHeight w:val="576"/>
        </w:trPr>
        <w:tc>
          <w:tcPr>
            <w:tcW w:w="3148" w:type="pct"/>
            <w:shd w:val="clear" w:color="auto" w:fill="auto"/>
            <w:vAlign w:val="center"/>
          </w:tcPr>
          <w:p w14:paraId="339A6A04" w14:textId="77777777" w:rsidR="006A315D" w:rsidRPr="000D2922" w:rsidRDefault="006A315D" w:rsidP="00886F82">
            <w:pPr>
              <w:contextualSpacing/>
              <w:rPr>
                <w:rFonts w:asciiTheme="minorBidi" w:hAnsiTheme="minorBidi" w:cstheme="minorBidi"/>
                <w:b/>
                <w:bCs/>
                <w:sz w:val="20"/>
                <w:szCs w:val="20"/>
              </w:rPr>
            </w:pPr>
            <w:proofErr w:type="spellStart"/>
            <w:r w:rsidRPr="000D2922">
              <w:rPr>
                <w:rFonts w:asciiTheme="minorBidi" w:hAnsiTheme="minorBidi" w:cstheme="minorBidi"/>
                <w:b/>
                <w:bCs/>
                <w:sz w:val="20"/>
                <w:szCs w:val="20"/>
                <w:lang w:val="en-GB"/>
              </w:rPr>
              <w:t>Ґромадська</w:t>
            </w:r>
            <w:proofErr w:type="spellEnd"/>
            <w:r w:rsidRPr="000D2922">
              <w:rPr>
                <w:rFonts w:asciiTheme="minorBidi" w:hAnsiTheme="minorBidi" w:cstheme="minorBidi"/>
                <w:b/>
                <w:bCs/>
                <w:sz w:val="20"/>
                <w:szCs w:val="20"/>
              </w:rPr>
              <w:t xml:space="preserve"> </w:t>
            </w:r>
            <w:proofErr w:type="spellStart"/>
            <w:r w:rsidRPr="000D2922">
              <w:rPr>
                <w:rFonts w:asciiTheme="minorBidi" w:hAnsiTheme="minorBidi" w:cstheme="minorBidi"/>
                <w:b/>
                <w:bCs/>
                <w:sz w:val="20"/>
                <w:szCs w:val="20"/>
                <w:lang w:val="en-GB"/>
              </w:rPr>
              <w:t>орґанізація</w:t>
            </w:r>
            <w:proofErr w:type="spellEnd"/>
            <w:r w:rsidRPr="000D2922">
              <w:rPr>
                <w:rFonts w:asciiTheme="minorBidi" w:hAnsiTheme="minorBidi" w:cstheme="minorBidi"/>
                <w:b/>
                <w:bCs/>
                <w:sz w:val="20"/>
                <w:szCs w:val="20"/>
              </w:rPr>
              <w:t xml:space="preserve"> </w:t>
            </w:r>
            <w:r w:rsidRPr="000D2922">
              <w:rPr>
                <w:rFonts w:asciiTheme="minorBidi" w:hAnsiTheme="minorBidi" w:cstheme="minorBidi"/>
                <w:b/>
                <w:bCs/>
                <w:sz w:val="20"/>
                <w:szCs w:val="20"/>
                <w:lang w:val="en-GB"/>
              </w:rPr>
              <w:t>ЖІНКИ</w:t>
            </w:r>
            <w:r w:rsidRPr="000D2922">
              <w:rPr>
                <w:rFonts w:asciiTheme="minorBidi" w:hAnsiTheme="minorBidi" w:cstheme="minorBidi"/>
                <w:b/>
                <w:bCs/>
                <w:sz w:val="20"/>
                <w:szCs w:val="20"/>
              </w:rPr>
              <w:t xml:space="preserve"> </w:t>
            </w:r>
            <w:proofErr w:type="spellStart"/>
            <w:r w:rsidRPr="000D2922">
              <w:rPr>
                <w:rFonts w:asciiTheme="minorBidi" w:hAnsiTheme="minorBidi" w:cstheme="minorBidi"/>
                <w:b/>
                <w:bCs/>
                <w:sz w:val="20"/>
                <w:szCs w:val="20"/>
                <w:lang w:val="en-GB"/>
              </w:rPr>
              <w:t>плюс</w:t>
            </w:r>
            <w:proofErr w:type="spellEnd"/>
            <w:r w:rsidRPr="000D2922">
              <w:rPr>
                <w:rFonts w:asciiTheme="minorBidi" w:hAnsiTheme="minorBidi" w:cstheme="minorBidi"/>
                <w:b/>
                <w:bCs/>
                <w:sz w:val="20"/>
                <w:szCs w:val="20"/>
              </w:rPr>
              <w:br/>
            </w:r>
            <w:r w:rsidRPr="000D2922">
              <w:rPr>
                <w:rFonts w:asciiTheme="minorBidi" w:hAnsiTheme="minorBidi" w:cstheme="minorBidi"/>
                <w:sz w:val="20"/>
                <w:szCs w:val="20"/>
              </w:rPr>
              <w:t>WOMEN plus</w:t>
            </w:r>
          </w:p>
        </w:tc>
        <w:tc>
          <w:tcPr>
            <w:tcW w:w="1010" w:type="pct"/>
            <w:shd w:val="clear" w:color="auto" w:fill="auto"/>
            <w:vAlign w:val="center"/>
          </w:tcPr>
          <w:p w14:paraId="45E1E781" w14:textId="77777777" w:rsidR="006A315D" w:rsidRPr="000D2922" w:rsidRDefault="006A315D" w:rsidP="00886F82">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Ukraine</w:t>
            </w:r>
          </w:p>
        </w:tc>
        <w:tc>
          <w:tcPr>
            <w:tcW w:w="842" w:type="pct"/>
            <w:shd w:val="clear" w:color="auto" w:fill="auto"/>
            <w:vAlign w:val="center"/>
          </w:tcPr>
          <w:p w14:paraId="067B27B8" w14:textId="77777777" w:rsidR="006A315D" w:rsidRPr="000D2922" w:rsidRDefault="006A315D" w:rsidP="00886F82">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NGO-90558</w:t>
            </w:r>
          </w:p>
        </w:tc>
      </w:tr>
      <w:tr w:rsidR="006A315D" w:rsidRPr="000D358B" w14:paraId="533DD026" w14:textId="77777777" w:rsidTr="00A502CC">
        <w:trPr>
          <w:trHeight w:val="576"/>
        </w:trPr>
        <w:tc>
          <w:tcPr>
            <w:tcW w:w="3148" w:type="pct"/>
            <w:shd w:val="clear" w:color="auto" w:fill="DBE5F1" w:themeFill="accent1" w:themeFillTint="33"/>
            <w:vAlign w:val="center"/>
          </w:tcPr>
          <w:p w14:paraId="0D30F8C2" w14:textId="77777777" w:rsidR="006A315D" w:rsidRPr="000D2922" w:rsidRDefault="006A315D" w:rsidP="00886F82">
            <w:pPr>
              <w:contextualSpacing/>
              <w:rPr>
                <w:rFonts w:asciiTheme="minorBidi" w:hAnsiTheme="minorBidi" w:cstheme="minorBidi"/>
                <w:b/>
                <w:bCs/>
                <w:sz w:val="20"/>
                <w:szCs w:val="20"/>
              </w:rPr>
            </w:pPr>
            <w:proofErr w:type="spellStart"/>
            <w:r w:rsidRPr="000D2922">
              <w:rPr>
                <w:rFonts w:asciiTheme="minorBidi" w:hAnsiTheme="minorBidi" w:cstheme="minorBidi"/>
                <w:b/>
                <w:bCs/>
                <w:sz w:val="20"/>
                <w:szCs w:val="20"/>
                <w:lang w:val="en-GB"/>
              </w:rPr>
              <w:t>Фондация</w:t>
            </w:r>
            <w:proofErr w:type="spellEnd"/>
            <w:r w:rsidRPr="000D2922">
              <w:rPr>
                <w:rFonts w:asciiTheme="minorBidi" w:hAnsiTheme="minorBidi" w:cstheme="minorBidi"/>
                <w:b/>
                <w:bCs/>
                <w:sz w:val="20"/>
                <w:szCs w:val="20"/>
              </w:rPr>
              <w:t xml:space="preserve"> </w:t>
            </w:r>
            <w:proofErr w:type="spellStart"/>
            <w:r w:rsidRPr="000D2922">
              <w:rPr>
                <w:rFonts w:asciiTheme="minorBidi" w:hAnsiTheme="minorBidi" w:cstheme="minorBidi"/>
                <w:b/>
                <w:bCs/>
                <w:sz w:val="20"/>
                <w:szCs w:val="20"/>
                <w:lang w:val="en-GB"/>
              </w:rPr>
              <w:t>Стойна</w:t>
            </w:r>
            <w:proofErr w:type="spellEnd"/>
            <w:r w:rsidRPr="000D2922">
              <w:rPr>
                <w:rFonts w:asciiTheme="minorBidi" w:hAnsiTheme="minorBidi" w:cstheme="minorBidi"/>
                <w:b/>
                <w:bCs/>
                <w:sz w:val="20"/>
                <w:szCs w:val="20"/>
              </w:rPr>
              <w:t xml:space="preserve"> </w:t>
            </w:r>
            <w:proofErr w:type="spellStart"/>
            <w:r w:rsidRPr="000D2922">
              <w:rPr>
                <w:rFonts w:asciiTheme="minorBidi" w:hAnsiTheme="minorBidi" w:cstheme="minorBidi"/>
                <w:b/>
                <w:bCs/>
                <w:sz w:val="20"/>
                <w:szCs w:val="20"/>
                <w:lang w:val="en-GB"/>
              </w:rPr>
              <w:t>Кръстанова</w:t>
            </w:r>
            <w:proofErr w:type="spellEnd"/>
            <w:r w:rsidRPr="000D2922">
              <w:rPr>
                <w:rFonts w:asciiTheme="minorBidi" w:hAnsiTheme="minorBidi" w:cstheme="minorBidi"/>
                <w:b/>
                <w:bCs/>
                <w:sz w:val="20"/>
                <w:szCs w:val="20"/>
              </w:rPr>
              <w:br/>
            </w:r>
            <w:proofErr w:type="spellStart"/>
            <w:r w:rsidRPr="000D2922">
              <w:rPr>
                <w:rFonts w:asciiTheme="minorBidi" w:hAnsiTheme="minorBidi" w:cstheme="minorBidi"/>
                <w:sz w:val="20"/>
                <w:szCs w:val="20"/>
              </w:rPr>
              <w:t>Stoyna</w:t>
            </w:r>
            <w:proofErr w:type="spellEnd"/>
            <w:r w:rsidRPr="000D2922">
              <w:rPr>
                <w:rFonts w:asciiTheme="minorBidi" w:hAnsiTheme="minorBidi" w:cstheme="minorBidi"/>
                <w:sz w:val="20"/>
                <w:szCs w:val="20"/>
              </w:rPr>
              <w:t xml:space="preserve"> </w:t>
            </w:r>
            <w:proofErr w:type="spellStart"/>
            <w:r w:rsidRPr="000D2922">
              <w:rPr>
                <w:rFonts w:asciiTheme="minorBidi" w:hAnsiTheme="minorBidi" w:cstheme="minorBidi"/>
                <w:sz w:val="20"/>
                <w:szCs w:val="20"/>
              </w:rPr>
              <w:t>Krastanova</w:t>
            </w:r>
            <w:proofErr w:type="spellEnd"/>
            <w:r w:rsidRPr="000D2922">
              <w:rPr>
                <w:rFonts w:asciiTheme="minorBidi" w:hAnsiTheme="minorBidi" w:cstheme="minorBidi"/>
                <w:sz w:val="20"/>
                <w:szCs w:val="20"/>
              </w:rPr>
              <w:t xml:space="preserve"> </w:t>
            </w:r>
            <w:proofErr w:type="spellStart"/>
            <w:r w:rsidRPr="000D2922">
              <w:rPr>
                <w:rFonts w:asciiTheme="minorBidi" w:hAnsiTheme="minorBidi" w:cstheme="minorBidi"/>
                <w:sz w:val="20"/>
                <w:szCs w:val="20"/>
              </w:rPr>
              <w:t>Foundation</w:t>
            </w:r>
            <w:proofErr w:type="spellEnd"/>
          </w:p>
        </w:tc>
        <w:tc>
          <w:tcPr>
            <w:tcW w:w="1010" w:type="pct"/>
            <w:shd w:val="clear" w:color="auto" w:fill="DBE5F1" w:themeFill="accent1" w:themeFillTint="33"/>
            <w:vAlign w:val="center"/>
          </w:tcPr>
          <w:p w14:paraId="2AC3F209" w14:textId="77777777" w:rsidR="006A315D" w:rsidRPr="000D2922" w:rsidRDefault="006A315D" w:rsidP="00886F82">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Bulgaria</w:t>
            </w:r>
          </w:p>
        </w:tc>
        <w:tc>
          <w:tcPr>
            <w:tcW w:w="842" w:type="pct"/>
            <w:shd w:val="clear" w:color="auto" w:fill="DBE5F1" w:themeFill="accent1" w:themeFillTint="33"/>
            <w:vAlign w:val="center"/>
          </w:tcPr>
          <w:p w14:paraId="3A2908A7" w14:textId="77777777" w:rsidR="006A315D" w:rsidRPr="000D2922" w:rsidRDefault="006A315D" w:rsidP="00886F82">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NGO-90571</w:t>
            </w:r>
          </w:p>
        </w:tc>
      </w:tr>
      <w:tr w:rsidR="006A315D" w:rsidRPr="000D358B" w14:paraId="6FE8B5D0" w14:textId="77777777" w:rsidTr="00A502CC">
        <w:trPr>
          <w:trHeight w:val="576"/>
        </w:trPr>
        <w:tc>
          <w:tcPr>
            <w:tcW w:w="3148" w:type="pct"/>
            <w:shd w:val="clear" w:color="auto" w:fill="auto"/>
            <w:vAlign w:val="center"/>
          </w:tcPr>
          <w:p w14:paraId="056727B6" w14:textId="77777777" w:rsidR="006A315D" w:rsidRPr="000D2922" w:rsidRDefault="006A315D" w:rsidP="00886F82">
            <w:pPr>
              <w:widowControl w:val="0"/>
              <w:contextualSpacing/>
              <w:rPr>
                <w:rFonts w:asciiTheme="minorBidi" w:hAnsiTheme="minorBidi" w:cstheme="minorBidi"/>
                <w:b/>
                <w:bCs/>
                <w:sz w:val="20"/>
                <w:szCs w:val="20"/>
                <w:lang w:val="en-GB"/>
              </w:rPr>
            </w:pPr>
            <w:r w:rsidRPr="000D2922">
              <w:rPr>
                <w:rFonts w:asciiTheme="minorBidi" w:hAnsiTheme="minorBidi" w:cstheme="minorBidi"/>
                <w:b/>
                <w:bCs/>
                <w:sz w:val="20"/>
                <w:szCs w:val="20"/>
                <w:rtl/>
                <w:lang w:val="en-GB"/>
              </w:rPr>
              <w:t>جمعية حرفة التعاونية</w:t>
            </w:r>
          </w:p>
          <w:p w14:paraId="616B25CA" w14:textId="77777777" w:rsidR="006A315D" w:rsidRPr="000D2922" w:rsidRDefault="006A315D" w:rsidP="00886F82">
            <w:pPr>
              <w:contextualSpacing/>
              <w:rPr>
                <w:rFonts w:asciiTheme="minorBidi" w:hAnsiTheme="minorBidi" w:cstheme="minorBidi"/>
                <w:sz w:val="20"/>
                <w:szCs w:val="20"/>
                <w:lang w:val="en-GB"/>
              </w:rPr>
            </w:pPr>
            <w:proofErr w:type="spellStart"/>
            <w:r w:rsidRPr="000D2922">
              <w:rPr>
                <w:rFonts w:asciiTheme="minorBidi" w:hAnsiTheme="minorBidi" w:cstheme="minorBidi"/>
                <w:sz w:val="20"/>
                <w:szCs w:val="20"/>
                <w:lang w:val="en-GB"/>
              </w:rPr>
              <w:t>Herfah</w:t>
            </w:r>
            <w:proofErr w:type="spellEnd"/>
            <w:r w:rsidRPr="000D2922">
              <w:rPr>
                <w:rFonts w:asciiTheme="minorBidi" w:hAnsiTheme="minorBidi" w:cstheme="minorBidi"/>
                <w:sz w:val="20"/>
                <w:szCs w:val="20"/>
                <w:lang w:val="en-GB"/>
              </w:rPr>
              <w:t xml:space="preserve"> Cooperative Association</w:t>
            </w:r>
          </w:p>
        </w:tc>
        <w:tc>
          <w:tcPr>
            <w:tcW w:w="1010" w:type="pct"/>
            <w:shd w:val="clear" w:color="auto" w:fill="auto"/>
            <w:vAlign w:val="center"/>
          </w:tcPr>
          <w:p w14:paraId="6695AAD2" w14:textId="77777777" w:rsidR="006A315D" w:rsidRPr="000D2922" w:rsidRDefault="006A315D" w:rsidP="00886F82">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Saudi Arabia</w:t>
            </w:r>
          </w:p>
        </w:tc>
        <w:tc>
          <w:tcPr>
            <w:tcW w:w="842" w:type="pct"/>
            <w:shd w:val="clear" w:color="auto" w:fill="auto"/>
            <w:vAlign w:val="center"/>
          </w:tcPr>
          <w:p w14:paraId="16C71E79" w14:textId="77777777" w:rsidR="006A315D" w:rsidRPr="000D2922" w:rsidRDefault="006A315D" w:rsidP="00886F82">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NGO-90591</w:t>
            </w:r>
          </w:p>
        </w:tc>
      </w:tr>
      <w:tr w:rsidR="006A315D" w:rsidRPr="000D358B" w14:paraId="433FB4FC" w14:textId="77777777" w:rsidTr="00A502CC">
        <w:trPr>
          <w:trHeight w:val="576"/>
        </w:trPr>
        <w:tc>
          <w:tcPr>
            <w:tcW w:w="3148" w:type="pct"/>
            <w:shd w:val="clear" w:color="auto" w:fill="DBE5F1" w:themeFill="accent1" w:themeFillTint="33"/>
            <w:vAlign w:val="center"/>
          </w:tcPr>
          <w:p w14:paraId="4D93CCB2" w14:textId="77777777" w:rsidR="006A315D" w:rsidRPr="000D2922" w:rsidRDefault="006A315D" w:rsidP="00886F82">
            <w:pPr>
              <w:contextualSpacing/>
              <w:rPr>
                <w:rFonts w:asciiTheme="minorBidi" w:hAnsiTheme="minorBidi" w:cstheme="minorBidi"/>
                <w:b/>
                <w:bCs/>
                <w:sz w:val="20"/>
                <w:szCs w:val="20"/>
                <w:lang w:val="en-GB"/>
              </w:rPr>
            </w:pPr>
            <w:bookmarkStart w:id="3" w:name="_Hlk150107361"/>
            <w:r w:rsidRPr="000D2922">
              <w:rPr>
                <w:rFonts w:asciiTheme="minorBidi" w:hAnsiTheme="minorBidi" w:cstheme="minorBidi"/>
                <w:b/>
                <w:bCs/>
                <w:sz w:val="20"/>
                <w:szCs w:val="20"/>
                <w:rtl/>
                <w:lang w:val="en-GB"/>
              </w:rPr>
              <w:t>جمعية الصعيد للتربية والتنمية</w:t>
            </w:r>
          </w:p>
          <w:p w14:paraId="3A20A44D" w14:textId="77777777" w:rsidR="006A315D" w:rsidRPr="000D2922" w:rsidRDefault="006A315D" w:rsidP="00886F82">
            <w:pPr>
              <w:contextualSpacing/>
              <w:rPr>
                <w:rFonts w:asciiTheme="minorBidi" w:hAnsiTheme="minorBidi" w:cstheme="minorBidi"/>
                <w:sz w:val="20"/>
                <w:szCs w:val="20"/>
                <w:lang w:val="en-GB"/>
              </w:rPr>
            </w:pPr>
            <w:r w:rsidRPr="000D2922">
              <w:rPr>
                <w:rFonts w:asciiTheme="minorBidi" w:hAnsiTheme="minorBidi" w:cstheme="minorBidi"/>
                <w:sz w:val="20"/>
                <w:szCs w:val="20"/>
                <w:lang w:val="en-GB"/>
              </w:rPr>
              <w:t>Association of Upper Egypt for Education and Development</w:t>
            </w:r>
          </w:p>
        </w:tc>
        <w:tc>
          <w:tcPr>
            <w:tcW w:w="1010" w:type="pct"/>
            <w:shd w:val="clear" w:color="auto" w:fill="DBE5F1" w:themeFill="accent1" w:themeFillTint="33"/>
            <w:vAlign w:val="center"/>
          </w:tcPr>
          <w:p w14:paraId="114BFD6F" w14:textId="77777777" w:rsidR="006A315D" w:rsidRPr="000D2922" w:rsidRDefault="006A315D" w:rsidP="00886F82">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Egypt</w:t>
            </w:r>
          </w:p>
        </w:tc>
        <w:tc>
          <w:tcPr>
            <w:tcW w:w="842" w:type="pct"/>
            <w:shd w:val="clear" w:color="auto" w:fill="DBE5F1" w:themeFill="accent1" w:themeFillTint="33"/>
            <w:vAlign w:val="center"/>
          </w:tcPr>
          <w:p w14:paraId="2B464E89" w14:textId="77777777" w:rsidR="006A315D" w:rsidRPr="000D2922" w:rsidRDefault="006A315D" w:rsidP="00886F82">
            <w:pPr>
              <w:pStyle w:val="Titre7"/>
              <w:jc w:val="center"/>
              <w:rPr>
                <w:rFonts w:asciiTheme="minorBidi" w:hAnsiTheme="minorBidi" w:cstheme="minorBidi"/>
                <w:i w:val="0"/>
                <w:iCs w:val="0"/>
                <w:color w:val="auto"/>
                <w:sz w:val="20"/>
                <w:szCs w:val="20"/>
                <w:lang w:val="en-GB"/>
              </w:rPr>
            </w:pPr>
            <w:r w:rsidRPr="000D2922">
              <w:rPr>
                <w:rFonts w:asciiTheme="minorBidi" w:hAnsiTheme="minorBidi" w:cstheme="minorBidi"/>
                <w:i w:val="0"/>
                <w:iCs w:val="0"/>
                <w:color w:val="auto"/>
                <w:sz w:val="20"/>
                <w:szCs w:val="20"/>
                <w:lang w:val="en-GB"/>
              </w:rPr>
              <w:t>NGO-90535</w:t>
            </w:r>
          </w:p>
        </w:tc>
      </w:tr>
      <w:tr w:rsidR="006A315D" w:rsidRPr="000D358B" w14:paraId="48C92E7B" w14:textId="77777777" w:rsidTr="00A502CC">
        <w:trPr>
          <w:trHeight w:val="576"/>
        </w:trPr>
        <w:tc>
          <w:tcPr>
            <w:tcW w:w="3148" w:type="pct"/>
            <w:shd w:val="clear" w:color="auto" w:fill="auto"/>
            <w:vAlign w:val="center"/>
          </w:tcPr>
          <w:p w14:paraId="7E0F11DE" w14:textId="77777777" w:rsidR="006A315D" w:rsidRPr="000D2922" w:rsidRDefault="006A315D" w:rsidP="00886F82">
            <w:pPr>
              <w:contextualSpacing/>
              <w:rPr>
                <w:rFonts w:asciiTheme="minorBidi" w:hAnsiTheme="minorBidi" w:cstheme="minorBidi"/>
                <w:b/>
                <w:bCs/>
                <w:sz w:val="20"/>
                <w:szCs w:val="20"/>
              </w:rPr>
            </w:pPr>
            <w:r w:rsidRPr="000D2922">
              <w:rPr>
                <w:rFonts w:asciiTheme="minorBidi" w:hAnsiTheme="minorBidi" w:cstheme="minorBidi"/>
                <w:b/>
                <w:bCs/>
                <w:sz w:val="20"/>
                <w:szCs w:val="20"/>
                <w:rtl/>
                <w:lang w:val="en-GB"/>
              </w:rPr>
              <w:t>جمعيّة صيانة القصور والمحافظة على التّراث ببني خداش</w:t>
            </w:r>
          </w:p>
          <w:p w14:paraId="232D6830" w14:textId="77777777" w:rsidR="006A315D" w:rsidRPr="000D2922" w:rsidRDefault="006A315D" w:rsidP="00886F82">
            <w:pPr>
              <w:contextualSpacing/>
              <w:rPr>
                <w:rFonts w:asciiTheme="minorBidi" w:hAnsiTheme="minorBidi" w:cstheme="minorBidi"/>
                <w:sz w:val="20"/>
                <w:szCs w:val="20"/>
              </w:rPr>
            </w:pPr>
            <w:r w:rsidRPr="000D2922">
              <w:rPr>
                <w:rFonts w:asciiTheme="minorBidi" w:hAnsiTheme="minorBidi" w:cstheme="minorBidi"/>
                <w:sz w:val="20"/>
                <w:szCs w:val="20"/>
              </w:rPr>
              <w:t xml:space="preserve">Association de protection de ksour et sauvegarde du patrimoine à Béni </w:t>
            </w:r>
            <w:proofErr w:type="spellStart"/>
            <w:r w:rsidRPr="000D2922">
              <w:rPr>
                <w:rFonts w:asciiTheme="minorBidi" w:hAnsiTheme="minorBidi" w:cstheme="minorBidi"/>
                <w:sz w:val="20"/>
                <w:szCs w:val="20"/>
              </w:rPr>
              <w:t>Kheddache</w:t>
            </w:r>
            <w:proofErr w:type="spellEnd"/>
          </w:p>
        </w:tc>
        <w:tc>
          <w:tcPr>
            <w:tcW w:w="1010" w:type="pct"/>
            <w:shd w:val="clear" w:color="auto" w:fill="auto"/>
            <w:vAlign w:val="center"/>
          </w:tcPr>
          <w:p w14:paraId="2002BAB4" w14:textId="77777777" w:rsidR="006A315D" w:rsidRPr="000D2922" w:rsidRDefault="006A315D" w:rsidP="00886F82">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Tunisia</w:t>
            </w:r>
          </w:p>
        </w:tc>
        <w:tc>
          <w:tcPr>
            <w:tcW w:w="842" w:type="pct"/>
            <w:shd w:val="clear" w:color="auto" w:fill="auto"/>
            <w:vAlign w:val="center"/>
          </w:tcPr>
          <w:p w14:paraId="23C146E3" w14:textId="77777777" w:rsidR="006A315D" w:rsidRPr="000D2922" w:rsidRDefault="006A315D" w:rsidP="00886F82">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NGO-90534</w:t>
            </w:r>
          </w:p>
        </w:tc>
      </w:tr>
      <w:tr w:rsidR="006A315D" w:rsidRPr="000D358B" w14:paraId="2FC8DC87" w14:textId="77777777" w:rsidTr="00A502CC">
        <w:trPr>
          <w:trHeight w:val="576"/>
        </w:trPr>
        <w:tc>
          <w:tcPr>
            <w:tcW w:w="3148" w:type="pct"/>
            <w:shd w:val="clear" w:color="auto" w:fill="DBE5F1" w:themeFill="accent1" w:themeFillTint="33"/>
            <w:vAlign w:val="center"/>
          </w:tcPr>
          <w:p w14:paraId="6909117A" w14:textId="77777777" w:rsidR="006A315D" w:rsidRPr="000D2922" w:rsidRDefault="006A315D" w:rsidP="00886F82">
            <w:pPr>
              <w:contextualSpacing/>
              <w:rPr>
                <w:rFonts w:asciiTheme="minorBidi" w:hAnsiTheme="minorBidi" w:cstheme="minorBidi"/>
                <w:b/>
                <w:bCs/>
                <w:sz w:val="20"/>
                <w:szCs w:val="20"/>
                <w:lang w:val="en-GB"/>
              </w:rPr>
            </w:pPr>
            <w:r w:rsidRPr="000D2922">
              <w:rPr>
                <w:rFonts w:asciiTheme="minorBidi" w:hAnsiTheme="minorBidi" w:cstheme="minorBidi"/>
                <w:b/>
                <w:bCs/>
                <w:sz w:val="20"/>
                <w:szCs w:val="20"/>
                <w:rtl/>
                <w:lang w:val="en-GB"/>
              </w:rPr>
              <w:t xml:space="preserve">مؤسسة </w:t>
            </w:r>
            <w:proofErr w:type="spellStart"/>
            <w:r w:rsidRPr="000D2922">
              <w:rPr>
                <w:rFonts w:asciiTheme="minorBidi" w:hAnsiTheme="minorBidi" w:cstheme="minorBidi"/>
                <w:b/>
                <w:bCs/>
                <w:sz w:val="20"/>
                <w:szCs w:val="20"/>
                <w:rtl/>
                <w:lang w:val="en-GB"/>
              </w:rPr>
              <w:t>راقودة</w:t>
            </w:r>
            <w:proofErr w:type="spellEnd"/>
            <w:r w:rsidRPr="000D2922">
              <w:rPr>
                <w:rFonts w:asciiTheme="minorBidi" w:hAnsiTheme="minorBidi" w:cstheme="minorBidi"/>
                <w:b/>
                <w:bCs/>
                <w:sz w:val="20"/>
                <w:szCs w:val="20"/>
                <w:rtl/>
                <w:lang w:val="en-GB"/>
              </w:rPr>
              <w:t xml:space="preserve"> للفن والتراث</w:t>
            </w:r>
          </w:p>
          <w:p w14:paraId="1BF06BA2" w14:textId="77777777" w:rsidR="006A315D" w:rsidRPr="000D2922" w:rsidRDefault="006A315D" w:rsidP="00886F82">
            <w:pPr>
              <w:contextualSpacing/>
              <w:rPr>
                <w:rFonts w:asciiTheme="minorBidi" w:hAnsiTheme="minorBidi" w:cstheme="minorBidi"/>
                <w:sz w:val="20"/>
                <w:szCs w:val="20"/>
                <w:lang w:val="en-GB"/>
              </w:rPr>
            </w:pPr>
            <w:proofErr w:type="spellStart"/>
            <w:r w:rsidRPr="000D2922">
              <w:rPr>
                <w:rFonts w:asciiTheme="minorBidi" w:hAnsiTheme="minorBidi" w:cstheme="minorBidi"/>
                <w:sz w:val="20"/>
                <w:szCs w:val="20"/>
                <w:lang w:val="en-GB"/>
              </w:rPr>
              <w:t>Raquda</w:t>
            </w:r>
            <w:proofErr w:type="spellEnd"/>
            <w:r w:rsidRPr="000D2922">
              <w:rPr>
                <w:rFonts w:asciiTheme="minorBidi" w:hAnsiTheme="minorBidi" w:cstheme="minorBidi"/>
                <w:sz w:val="20"/>
                <w:szCs w:val="20"/>
                <w:lang w:val="en-GB"/>
              </w:rPr>
              <w:t xml:space="preserve"> Foundation for Art and Heritage</w:t>
            </w:r>
          </w:p>
        </w:tc>
        <w:tc>
          <w:tcPr>
            <w:tcW w:w="1010" w:type="pct"/>
            <w:shd w:val="clear" w:color="auto" w:fill="DBE5F1" w:themeFill="accent1" w:themeFillTint="33"/>
            <w:vAlign w:val="center"/>
          </w:tcPr>
          <w:p w14:paraId="715DF86B" w14:textId="77777777" w:rsidR="006A315D" w:rsidRPr="000D2922" w:rsidRDefault="006A315D" w:rsidP="00886F82">
            <w:pPr>
              <w:pStyle w:val="Titre7"/>
              <w:jc w:val="center"/>
              <w:rPr>
                <w:rFonts w:asciiTheme="minorBidi" w:hAnsiTheme="minorBidi" w:cstheme="minorBidi"/>
                <w:i w:val="0"/>
                <w:iCs w:val="0"/>
                <w:color w:val="auto"/>
                <w:sz w:val="20"/>
                <w:szCs w:val="20"/>
                <w:lang w:val="en-GB"/>
              </w:rPr>
            </w:pPr>
            <w:r w:rsidRPr="000D2922">
              <w:rPr>
                <w:rFonts w:asciiTheme="minorBidi" w:hAnsiTheme="minorBidi" w:cstheme="minorBidi"/>
                <w:i w:val="0"/>
                <w:iCs w:val="0"/>
                <w:color w:val="auto"/>
                <w:sz w:val="20"/>
                <w:szCs w:val="20"/>
                <w:lang w:val="en-GB"/>
              </w:rPr>
              <w:t>Egypt</w:t>
            </w:r>
          </w:p>
        </w:tc>
        <w:tc>
          <w:tcPr>
            <w:tcW w:w="842" w:type="pct"/>
            <w:shd w:val="clear" w:color="auto" w:fill="DBE5F1" w:themeFill="accent1" w:themeFillTint="33"/>
            <w:vAlign w:val="center"/>
          </w:tcPr>
          <w:p w14:paraId="3D102785" w14:textId="77777777" w:rsidR="006A315D" w:rsidRPr="000D2922" w:rsidRDefault="006A315D" w:rsidP="00886F82">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NGO-90581</w:t>
            </w:r>
          </w:p>
        </w:tc>
      </w:tr>
      <w:tr w:rsidR="006A315D" w:rsidRPr="000D358B" w14:paraId="3183834B" w14:textId="77777777" w:rsidTr="00A502CC">
        <w:trPr>
          <w:trHeight w:val="576"/>
        </w:trPr>
        <w:tc>
          <w:tcPr>
            <w:tcW w:w="3148" w:type="pct"/>
            <w:shd w:val="clear" w:color="auto" w:fill="auto"/>
            <w:vAlign w:val="center"/>
          </w:tcPr>
          <w:p w14:paraId="47C0FE42" w14:textId="77777777" w:rsidR="006A315D" w:rsidRPr="000D2922" w:rsidRDefault="006A315D" w:rsidP="00886F82">
            <w:pPr>
              <w:contextualSpacing/>
              <w:rPr>
                <w:rFonts w:asciiTheme="minorBidi" w:hAnsiTheme="minorBidi" w:cstheme="minorBidi"/>
                <w:sz w:val="20"/>
                <w:szCs w:val="20"/>
              </w:rPr>
            </w:pPr>
            <w:r w:rsidRPr="000D2922">
              <w:rPr>
                <w:rFonts w:asciiTheme="minorBidi" w:hAnsiTheme="minorBidi" w:cstheme="minorBidi"/>
                <w:b/>
                <w:bCs/>
                <w:sz w:val="20"/>
                <w:szCs w:val="20"/>
                <w:rtl/>
                <w:lang w:val="en-GB"/>
              </w:rPr>
              <w:t xml:space="preserve">مؤسسه </w:t>
            </w:r>
            <w:proofErr w:type="spellStart"/>
            <w:r w:rsidRPr="000D2922">
              <w:rPr>
                <w:rFonts w:asciiTheme="minorBidi" w:hAnsiTheme="minorBidi" w:cstheme="minorBidi"/>
                <w:b/>
                <w:bCs/>
                <w:sz w:val="20"/>
                <w:szCs w:val="20"/>
                <w:rtl/>
                <w:lang w:val="en-GB"/>
              </w:rPr>
              <w:t>فرهنگ</w:t>
            </w:r>
            <w:r w:rsidRPr="000D2922">
              <w:rPr>
                <w:rFonts w:asciiTheme="minorBidi" w:hAnsiTheme="minorBidi" w:cstheme="minorBidi" w:hint="cs"/>
                <w:b/>
                <w:bCs/>
                <w:sz w:val="20"/>
                <w:szCs w:val="20"/>
                <w:rtl/>
                <w:lang w:val="en-GB"/>
              </w:rPr>
              <w:t>ی</w:t>
            </w:r>
            <w:proofErr w:type="spellEnd"/>
            <w:r w:rsidRPr="000D2922">
              <w:rPr>
                <w:rFonts w:asciiTheme="minorBidi" w:hAnsiTheme="minorBidi" w:cstheme="minorBidi"/>
                <w:b/>
                <w:bCs/>
                <w:sz w:val="20"/>
                <w:szCs w:val="20"/>
                <w:rtl/>
                <w:lang w:val="en-GB"/>
              </w:rPr>
              <w:t xml:space="preserve"> </w:t>
            </w:r>
            <w:proofErr w:type="spellStart"/>
            <w:r w:rsidRPr="000D2922">
              <w:rPr>
                <w:rFonts w:asciiTheme="minorBidi" w:hAnsiTheme="minorBidi" w:cstheme="minorBidi"/>
                <w:b/>
                <w:bCs/>
                <w:sz w:val="20"/>
                <w:szCs w:val="20"/>
                <w:rtl/>
                <w:lang w:val="en-GB"/>
              </w:rPr>
              <w:t>هنر</w:t>
            </w:r>
            <w:r w:rsidRPr="000D2922">
              <w:rPr>
                <w:rFonts w:asciiTheme="minorBidi" w:hAnsiTheme="minorBidi" w:cstheme="minorBidi" w:hint="cs"/>
                <w:b/>
                <w:bCs/>
                <w:sz w:val="20"/>
                <w:szCs w:val="20"/>
                <w:rtl/>
                <w:lang w:val="en-GB"/>
              </w:rPr>
              <w:t>ی</w:t>
            </w:r>
            <w:proofErr w:type="spellEnd"/>
            <w:r w:rsidRPr="000D2922">
              <w:rPr>
                <w:rFonts w:asciiTheme="minorBidi" w:hAnsiTheme="minorBidi" w:cstheme="minorBidi"/>
                <w:b/>
                <w:bCs/>
                <w:sz w:val="20"/>
                <w:szCs w:val="20"/>
                <w:rtl/>
                <w:lang w:val="en-GB"/>
              </w:rPr>
              <w:t xml:space="preserve"> مانا نقش شهاب</w:t>
            </w:r>
          </w:p>
          <w:p w14:paraId="51E7144D" w14:textId="77777777" w:rsidR="006A315D" w:rsidRPr="000D2922" w:rsidRDefault="006A315D" w:rsidP="00886F82">
            <w:pPr>
              <w:contextualSpacing/>
              <w:rPr>
                <w:rFonts w:asciiTheme="minorBidi" w:hAnsiTheme="minorBidi" w:cstheme="minorBidi"/>
                <w:b/>
                <w:bCs/>
                <w:sz w:val="20"/>
                <w:szCs w:val="20"/>
                <w:lang w:val="en-GB"/>
              </w:rPr>
            </w:pPr>
            <w:r w:rsidRPr="000D2922">
              <w:rPr>
                <w:rFonts w:asciiTheme="minorBidi" w:hAnsiTheme="minorBidi" w:cstheme="minorBidi"/>
                <w:sz w:val="20"/>
                <w:szCs w:val="20"/>
                <w:lang w:val="en-GB"/>
              </w:rPr>
              <w:t xml:space="preserve">Mana </w:t>
            </w:r>
            <w:proofErr w:type="spellStart"/>
            <w:r w:rsidRPr="000D2922">
              <w:rPr>
                <w:rFonts w:asciiTheme="minorBidi" w:hAnsiTheme="minorBidi" w:cstheme="minorBidi"/>
                <w:sz w:val="20"/>
                <w:szCs w:val="20"/>
                <w:lang w:val="en-GB"/>
              </w:rPr>
              <w:t>Naqsh</w:t>
            </w:r>
            <w:proofErr w:type="spellEnd"/>
            <w:r w:rsidRPr="000D2922">
              <w:rPr>
                <w:rFonts w:asciiTheme="minorBidi" w:hAnsiTheme="minorBidi" w:cstheme="minorBidi"/>
                <w:sz w:val="20"/>
                <w:szCs w:val="20"/>
                <w:lang w:val="en-GB"/>
              </w:rPr>
              <w:t xml:space="preserve"> Shahab Art &amp; Culture Institute</w:t>
            </w:r>
          </w:p>
        </w:tc>
        <w:tc>
          <w:tcPr>
            <w:tcW w:w="1010" w:type="pct"/>
            <w:shd w:val="clear" w:color="auto" w:fill="auto"/>
            <w:vAlign w:val="center"/>
          </w:tcPr>
          <w:p w14:paraId="29029E26" w14:textId="77777777" w:rsidR="006A315D" w:rsidRPr="000D2922" w:rsidRDefault="006A315D" w:rsidP="00886F82">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Iran (Islamic Republic of)</w:t>
            </w:r>
          </w:p>
        </w:tc>
        <w:tc>
          <w:tcPr>
            <w:tcW w:w="842" w:type="pct"/>
            <w:shd w:val="clear" w:color="auto" w:fill="auto"/>
            <w:vAlign w:val="center"/>
          </w:tcPr>
          <w:p w14:paraId="6479D8EA" w14:textId="77777777" w:rsidR="006A315D" w:rsidRPr="000D2922" w:rsidRDefault="006A315D" w:rsidP="00886F82">
            <w:pPr>
              <w:pStyle w:val="Titre7"/>
              <w:jc w:val="center"/>
              <w:rPr>
                <w:rFonts w:asciiTheme="minorBidi" w:hAnsiTheme="minorBidi" w:cstheme="minorBidi"/>
                <w:i w:val="0"/>
                <w:iCs w:val="0"/>
                <w:color w:val="auto"/>
                <w:sz w:val="20"/>
                <w:szCs w:val="20"/>
                <w:lang w:val="en-GB"/>
              </w:rPr>
            </w:pPr>
            <w:r w:rsidRPr="000D2922">
              <w:rPr>
                <w:rFonts w:asciiTheme="minorBidi" w:hAnsiTheme="minorBidi" w:cstheme="minorBidi"/>
                <w:i w:val="0"/>
                <w:iCs w:val="0"/>
                <w:color w:val="auto"/>
                <w:sz w:val="20"/>
                <w:szCs w:val="20"/>
                <w:lang w:val="en-GB"/>
              </w:rPr>
              <w:t>NGO-90551</w:t>
            </w:r>
          </w:p>
        </w:tc>
      </w:tr>
      <w:tr w:rsidR="006A315D" w:rsidRPr="000D358B" w14:paraId="6E0AFE63" w14:textId="77777777" w:rsidTr="00A502CC">
        <w:trPr>
          <w:trHeight w:val="576"/>
        </w:trPr>
        <w:tc>
          <w:tcPr>
            <w:tcW w:w="3148" w:type="pct"/>
            <w:shd w:val="clear" w:color="auto" w:fill="DBE5F1" w:themeFill="accent1" w:themeFillTint="33"/>
            <w:vAlign w:val="center"/>
          </w:tcPr>
          <w:p w14:paraId="1D509882" w14:textId="77777777" w:rsidR="006A315D" w:rsidRPr="000D2922" w:rsidRDefault="006A315D" w:rsidP="00886F82">
            <w:pPr>
              <w:contextualSpacing/>
              <w:rPr>
                <w:rFonts w:asciiTheme="minorBidi" w:hAnsiTheme="minorBidi" w:cstheme="minorBidi"/>
                <w:b/>
                <w:bCs/>
                <w:sz w:val="20"/>
                <w:szCs w:val="20"/>
              </w:rPr>
            </w:pPr>
            <w:r w:rsidRPr="000D2922">
              <w:rPr>
                <w:rFonts w:ascii="Nirmala UI" w:hAnsi="Nirmala UI" w:cs="Nirmala UI"/>
                <w:b/>
                <w:bCs/>
                <w:sz w:val="20"/>
                <w:szCs w:val="20"/>
                <w:cs/>
                <w:lang w:val="en-GB" w:bidi="kn-IN"/>
              </w:rPr>
              <w:t>ಕರ್ನಾಟಕ</w:t>
            </w:r>
            <w:r w:rsidRPr="000D2922">
              <w:rPr>
                <w:rFonts w:asciiTheme="minorBidi" w:hAnsiTheme="minorBidi" w:cstheme="minorBidi"/>
                <w:b/>
                <w:bCs/>
                <w:sz w:val="20"/>
                <w:szCs w:val="20"/>
                <w:cs/>
                <w:lang w:val="en-GB" w:bidi="kn-IN"/>
              </w:rPr>
              <w:t xml:space="preserve"> </w:t>
            </w:r>
            <w:r w:rsidRPr="000D2922">
              <w:rPr>
                <w:rFonts w:ascii="Nirmala UI" w:hAnsi="Nirmala UI" w:cs="Nirmala UI"/>
                <w:b/>
                <w:bCs/>
                <w:sz w:val="20"/>
                <w:szCs w:val="20"/>
                <w:cs/>
                <w:lang w:val="en-GB" w:bidi="kn-IN"/>
              </w:rPr>
              <w:t>ಜಾನಪದ</w:t>
            </w:r>
            <w:r w:rsidRPr="000D2922">
              <w:rPr>
                <w:rFonts w:asciiTheme="minorBidi" w:hAnsiTheme="minorBidi" w:cstheme="minorBidi"/>
                <w:b/>
                <w:bCs/>
                <w:sz w:val="20"/>
                <w:szCs w:val="20"/>
                <w:cs/>
                <w:lang w:val="en-GB" w:bidi="kn-IN"/>
              </w:rPr>
              <w:t xml:space="preserve"> </w:t>
            </w:r>
            <w:r w:rsidRPr="000D2922">
              <w:rPr>
                <w:rFonts w:ascii="Nirmala UI" w:hAnsi="Nirmala UI" w:cs="Nirmala UI"/>
                <w:b/>
                <w:bCs/>
                <w:sz w:val="20"/>
                <w:szCs w:val="20"/>
                <w:cs/>
                <w:lang w:val="en-GB" w:bidi="kn-IN"/>
              </w:rPr>
              <w:t>ಪರಿಷತ್ತು</w:t>
            </w:r>
          </w:p>
          <w:p w14:paraId="37F778E9" w14:textId="77777777" w:rsidR="006A315D" w:rsidRPr="000D2922" w:rsidRDefault="006A315D" w:rsidP="00886F82">
            <w:pPr>
              <w:contextualSpacing/>
              <w:rPr>
                <w:rFonts w:asciiTheme="minorBidi" w:hAnsiTheme="minorBidi" w:cstheme="minorBidi"/>
                <w:sz w:val="20"/>
                <w:szCs w:val="20"/>
              </w:rPr>
            </w:pPr>
            <w:r w:rsidRPr="000D2922">
              <w:rPr>
                <w:rFonts w:asciiTheme="minorBidi" w:hAnsiTheme="minorBidi" w:cstheme="minorBidi"/>
                <w:sz w:val="20"/>
                <w:szCs w:val="20"/>
              </w:rPr>
              <w:t xml:space="preserve">Karnataka </w:t>
            </w:r>
            <w:proofErr w:type="spellStart"/>
            <w:r w:rsidRPr="000D2922">
              <w:rPr>
                <w:rFonts w:asciiTheme="minorBidi" w:hAnsiTheme="minorBidi" w:cstheme="minorBidi"/>
                <w:sz w:val="20"/>
                <w:szCs w:val="20"/>
              </w:rPr>
              <w:t>Janapada</w:t>
            </w:r>
            <w:proofErr w:type="spellEnd"/>
            <w:r w:rsidRPr="000D2922">
              <w:rPr>
                <w:rFonts w:asciiTheme="minorBidi" w:hAnsiTheme="minorBidi" w:cstheme="minorBidi"/>
                <w:sz w:val="20"/>
                <w:szCs w:val="20"/>
              </w:rPr>
              <w:t xml:space="preserve"> </w:t>
            </w:r>
            <w:proofErr w:type="spellStart"/>
            <w:r w:rsidRPr="000D2922">
              <w:rPr>
                <w:rFonts w:asciiTheme="minorBidi" w:hAnsiTheme="minorBidi" w:cstheme="minorBidi"/>
                <w:sz w:val="20"/>
                <w:szCs w:val="20"/>
              </w:rPr>
              <w:t>Parishath</w:t>
            </w:r>
            <w:proofErr w:type="spellEnd"/>
          </w:p>
        </w:tc>
        <w:tc>
          <w:tcPr>
            <w:tcW w:w="1010" w:type="pct"/>
            <w:shd w:val="clear" w:color="auto" w:fill="DBE5F1" w:themeFill="accent1" w:themeFillTint="33"/>
            <w:vAlign w:val="center"/>
          </w:tcPr>
          <w:p w14:paraId="2BE659A3" w14:textId="77777777" w:rsidR="006A315D" w:rsidRPr="000D2922" w:rsidRDefault="006A315D" w:rsidP="00886F82">
            <w:pPr>
              <w:pStyle w:val="Titre7"/>
              <w:jc w:val="center"/>
              <w:rPr>
                <w:rFonts w:asciiTheme="minorBidi" w:hAnsiTheme="minorBidi" w:cstheme="minorBidi"/>
                <w:i w:val="0"/>
                <w:iCs w:val="0"/>
                <w:color w:val="auto"/>
                <w:sz w:val="20"/>
                <w:szCs w:val="20"/>
                <w:lang w:val="en-GB"/>
              </w:rPr>
            </w:pPr>
            <w:r w:rsidRPr="000D2922">
              <w:rPr>
                <w:rFonts w:asciiTheme="minorBidi" w:hAnsiTheme="minorBidi" w:cstheme="minorBidi"/>
                <w:i w:val="0"/>
                <w:iCs w:val="0"/>
                <w:color w:val="auto"/>
                <w:sz w:val="20"/>
                <w:szCs w:val="20"/>
                <w:lang w:val="en-GB"/>
              </w:rPr>
              <w:t>India</w:t>
            </w:r>
          </w:p>
        </w:tc>
        <w:tc>
          <w:tcPr>
            <w:tcW w:w="842" w:type="pct"/>
            <w:shd w:val="clear" w:color="auto" w:fill="DBE5F1" w:themeFill="accent1" w:themeFillTint="33"/>
            <w:vAlign w:val="center"/>
          </w:tcPr>
          <w:p w14:paraId="3F0997A2" w14:textId="77777777" w:rsidR="006A315D" w:rsidRPr="000D2922" w:rsidRDefault="006A315D" w:rsidP="00886F82">
            <w:pPr>
              <w:contextualSpacing/>
              <w:jc w:val="center"/>
              <w:rPr>
                <w:rFonts w:asciiTheme="minorBidi" w:hAnsiTheme="minorBidi" w:cstheme="minorBidi"/>
                <w:sz w:val="20"/>
                <w:szCs w:val="20"/>
                <w:lang w:val="en-GB"/>
              </w:rPr>
            </w:pPr>
            <w:r w:rsidRPr="000D2922">
              <w:rPr>
                <w:rFonts w:asciiTheme="minorBidi" w:hAnsiTheme="minorBidi" w:cstheme="minorBidi"/>
                <w:sz w:val="20"/>
                <w:szCs w:val="20"/>
                <w:lang w:val="en-GB"/>
              </w:rPr>
              <w:t>NGO-90550</w:t>
            </w:r>
          </w:p>
        </w:tc>
      </w:tr>
      <w:bookmarkEnd w:id="3"/>
    </w:tbl>
    <w:p w14:paraId="36CE0251" w14:textId="77777777" w:rsidR="006A315D" w:rsidRPr="000D2922" w:rsidRDefault="006A315D" w:rsidP="00C0269C">
      <w:pPr>
        <w:rPr>
          <w:rFonts w:asciiTheme="minorBidi" w:hAnsiTheme="minorBidi" w:cstheme="minorBidi"/>
          <w:snapToGrid w:val="0"/>
          <w:u w:val="single"/>
          <w:lang w:val="en-GB" w:eastAsia="en-US"/>
        </w:rPr>
      </w:pPr>
    </w:p>
    <w:p w14:paraId="3B7E6599" w14:textId="77777777" w:rsidR="00D97A64" w:rsidRDefault="00D97A64" w:rsidP="006A315D">
      <w:pPr>
        <w:pStyle w:val="COMParaDecision"/>
        <w:numPr>
          <w:ilvl w:val="0"/>
          <w:numId w:val="0"/>
        </w:numPr>
        <w:rPr>
          <w:u w:val="none"/>
        </w:rPr>
        <w:sectPr w:rsidR="00D97A64" w:rsidSect="006A315D">
          <w:headerReference w:type="even" r:id="rId15"/>
          <w:headerReference w:type="default" r:id="rId16"/>
          <w:headerReference w:type="first" r:id="rId17"/>
          <w:pgSz w:w="11906" w:h="16838" w:code="9"/>
          <w:pgMar w:top="1418" w:right="1134" w:bottom="1134" w:left="1134" w:header="397" w:footer="284" w:gutter="0"/>
          <w:cols w:space="708"/>
          <w:titlePg/>
          <w:docGrid w:linePitch="360"/>
        </w:sectPr>
      </w:pPr>
    </w:p>
    <w:p w14:paraId="6518FA3D" w14:textId="77777777" w:rsidR="00D97A64" w:rsidRPr="00C84BA3" w:rsidRDefault="00D97A64" w:rsidP="00D97A64">
      <w:pPr>
        <w:spacing w:before="1440"/>
        <w:jc w:val="center"/>
        <w:rPr>
          <w:rFonts w:ascii="Arial" w:hAnsi="Arial" w:cs="Arial"/>
          <w:b/>
          <w:sz w:val="22"/>
          <w:szCs w:val="22"/>
          <w:lang w:val="en-GB"/>
        </w:rPr>
      </w:pPr>
      <w:r w:rsidRPr="00C84BA3">
        <w:rPr>
          <w:rFonts w:ascii="Arial" w:hAnsi="Arial" w:cs="Arial"/>
          <w:b/>
          <w:sz w:val="22"/>
          <w:szCs w:val="22"/>
          <w:lang w:val="en-GB"/>
        </w:rPr>
        <w:lastRenderedPageBreak/>
        <w:t>CONVENTION FOR THE SAFEGUARDING OF THE</w:t>
      </w:r>
      <w:r w:rsidRPr="00C84BA3">
        <w:rPr>
          <w:rFonts w:ascii="Arial" w:hAnsi="Arial" w:cs="Arial"/>
          <w:b/>
          <w:sz w:val="22"/>
          <w:szCs w:val="22"/>
          <w:lang w:val="en-GB"/>
        </w:rPr>
        <w:br/>
        <w:t>INTANGIBLE CULTURAL HERITAGE</w:t>
      </w:r>
    </w:p>
    <w:p w14:paraId="0A44E5BB" w14:textId="77777777" w:rsidR="00D97A64" w:rsidRPr="00C84BA3" w:rsidRDefault="00D97A64" w:rsidP="00D97A64">
      <w:pPr>
        <w:spacing w:before="1200"/>
        <w:jc w:val="center"/>
        <w:rPr>
          <w:rFonts w:ascii="Arial" w:hAnsi="Arial" w:cs="Arial"/>
          <w:b/>
          <w:sz w:val="22"/>
          <w:szCs w:val="22"/>
          <w:lang w:val="en-GB"/>
        </w:rPr>
      </w:pPr>
      <w:r w:rsidRPr="00C84BA3">
        <w:rPr>
          <w:rFonts w:ascii="Arial" w:hAnsi="Arial" w:cs="Arial"/>
          <w:b/>
          <w:sz w:val="22"/>
          <w:szCs w:val="22"/>
          <w:lang w:val="en-GB"/>
        </w:rPr>
        <w:t>GENERAL ASSEMBLY OF THE STATES PARTIES TO THE CONVENTION</w:t>
      </w:r>
    </w:p>
    <w:p w14:paraId="102DFC2C" w14:textId="77777777" w:rsidR="00D97A64" w:rsidRPr="00C84BA3" w:rsidRDefault="00D97A64" w:rsidP="00D97A64">
      <w:pPr>
        <w:spacing w:before="840"/>
        <w:jc w:val="center"/>
        <w:rPr>
          <w:rFonts w:ascii="Arial" w:hAnsi="Arial" w:cs="Arial"/>
          <w:b/>
          <w:sz w:val="22"/>
          <w:szCs w:val="22"/>
          <w:lang w:val="en-GB"/>
        </w:rPr>
      </w:pPr>
      <w:r w:rsidRPr="00C84BA3">
        <w:rPr>
          <w:rFonts w:ascii="Arial" w:eastAsiaTheme="minorEastAsia" w:hAnsi="Arial" w:cs="Arial"/>
          <w:b/>
          <w:sz w:val="22"/>
          <w:szCs w:val="22"/>
          <w:lang w:val="en-GB" w:eastAsia="ko-KR"/>
        </w:rPr>
        <w:t xml:space="preserve">Tenth </w:t>
      </w:r>
      <w:r w:rsidRPr="00C84BA3">
        <w:rPr>
          <w:rFonts w:ascii="Arial" w:hAnsi="Arial" w:cs="Arial"/>
          <w:b/>
          <w:sz w:val="22"/>
          <w:szCs w:val="22"/>
          <w:lang w:val="en-GB"/>
        </w:rPr>
        <w:t>session</w:t>
      </w:r>
    </w:p>
    <w:p w14:paraId="4F2FD12A" w14:textId="77777777" w:rsidR="00D97A64" w:rsidRPr="00C84BA3" w:rsidRDefault="00D97A64" w:rsidP="00D97A64">
      <w:pPr>
        <w:jc w:val="center"/>
        <w:rPr>
          <w:rFonts w:ascii="Arial" w:hAnsi="Arial" w:cs="Arial"/>
          <w:b/>
          <w:sz w:val="22"/>
          <w:szCs w:val="22"/>
          <w:lang w:val="en-GB"/>
        </w:rPr>
      </w:pPr>
      <w:r w:rsidRPr="00C84BA3">
        <w:rPr>
          <w:rFonts w:ascii="Arial" w:hAnsi="Arial" w:cs="Arial"/>
          <w:b/>
          <w:sz w:val="22"/>
          <w:szCs w:val="22"/>
          <w:lang w:val="en-GB"/>
        </w:rPr>
        <w:t>UNESCO Headquarters, Room I</w:t>
      </w:r>
    </w:p>
    <w:p w14:paraId="78782666" w14:textId="77777777" w:rsidR="00D97A64" w:rsidRPr="00C84BA3" w:rsidRDefault="00D97A64" w:rsidP="00D97A64">
      <w:pPr>
        <w:jc w:val="center"/>
        <w:rPr>
          <w:rFonts w:ascii="Arial" w:hAnsi="Arial" w:cs="Arial"/>
          <w:b/>
          <w:sz w:val="22"/>
          <w:szCs w:val="22"/>
          <w:lang w:val="en-GB"/>
        </w:rPr>
      </w:pPr>
      <w:r w:rsidRPr="00C84BA3">
        <w:rPr>
          <w:rFonts w:ascii="Arial" w:hAnsi="Arial" w:cs="Arial"/>
          <w:b/>
          <w:sz w:val="22"/>
          <w:szCs w:val="22"/>
          <w:lang w:val="en-GB"/>
        </w:rPr>
        <w:t>11 to 12 June 2024</w:t>
      </w:r>
    </w:p>
    <w:p w14:paraId="346617B5" w14:textId="77777777" w:rsidR="00D97A64" w:rsidRPr="00C84BA3" w:rsidRDefault="00D97A64" w:rsidP="00D97A64">
      <w:pPr>
        <w:pStyle w:val="Sansinterligne2"/>
        <w:spacing w:before="960"/>
        <w:jc w:val="center"/>
        <w:rPr>
          <w:rFonts w:ascii="Arial" w:hAnsi="Arial" w:cs="Arial"/>
          <w:b/>
          <w:sz w:val="22"/>
          <w:szCs w:val="22"/>
          <w:lang w:val="en-GB"/>
        </w:rPr>
      </w:pPr>
      <w:r w:rsidRPr="00C84BA3">
        <w:rPr>
          <w:rFonts w:ascii="Arial" w:hAnsi="Arial" w:cs="Arial"/>
          <w:b/>
          <w:sz w:val="22"/>
          <w:szCs w:val="22"/>
          <w:u w:val="single"/>
          <w:lang w:val="en-GB"/>
        </w:rPr>
        <w:t>Item 9 of the provisional agenda</w:t>
      </w:r>
      <w:r w:rsidRPr="00C84BA3">
        <w:rPr>
          <w:rFonts w:ascii="Arial" w:hAnsi="Arial" w:cs="Arial"/>
          <w:b/>
          <w:sz w:val="22"/>
          <w:szCs w:val="22"/>
          <w:lang w:val="en-GB"/>
        </w:rPr>
        <w:t>:</w:t>
      </w:r>
    </w:p>
    <w:p w14:paraId="4BA84FF2" w14:textId="77777777" w:rsidR="00D97A64" w:rsidRPr="00C84BA3" w:rsidRDefault="00D97A64" w:rsidP="00D97A64">
      <w:pPr>
        <w:pStyle w:val="Sansinterligne2"/>
        <w:jc w:val="center"/>
        <w:rPr>
          <w:rFonts w:ascii="Arial" w:hAnsi="Arial" w:cs="Arial"/>
          <w:b/>
          <w:sz w:val="22"/>
          <w:szCs w:val="22"/>
          <w:lang w:val="en-GB"/>
        </w:rPr>
      </w:pPr>
      <w:r w:rsidRPr="00C84BA3">
        <w:rPr>
          <w:rFonts w:ascii="Arial" w:hAnsi="Arial" w:cs="Arial"/>
          <w:b/>
          <w:sz w:val="22"/>
          <w:szCs w:val="22"/>
          <w:lang w:val="en-GB"/>
        </w:rPr>
        <w:t xml:space="preserve">Accreditation of non-governmental organizations to act </w:t>
      </w:r>
    </w:p>
    <w:p w14:paraId="130FE4E9" w14:textId="77777777" w:rsidR="00D97A64" w:rsidRPr="00C84BA3" w:rsidRDefault="00D97A64" w:rsidP="00D97A64">
      <w:pPr>
        <w:pStyle w:val="Sansinterligne2"/>
        <w:spacing w:after="720"/>
        <w:jc w:val="center"/>
        <w:rPr>
          <w:rFonts w:ascii="Arial" w:hAnsi="Arial" w:cs="Arial"/>
          <w:b/>
          <w:sz w:val="22"/>
          <w:szCs w:val="22"/>
          <w:lang w:val="en-GB"/>
        </w:rPr>
      </w:pPr>
      <w:r w:rsidRPr="00C84BA3">
        <w:rPr>
          <w:rFonts w:ascii="Arial" w:hAnsi="Arial" w:cs="Arial"/>
          <w:b/>
          <w:sz w:val="22"/>
          <w:szCs w:val="22"/>
          <w:lang w:val="en-GB"/>
        </w:rPr>
        <w:t>in an advisory capacity to the Committee</w:t>
      </w:r>
    </w:p>
    <w:p w14:paraId="63CD8AFF" w14:textId="77777777" w:rsidR="00D97A64" w:rsidRPr="00C84BA3" w:rsidRDefault="00D97A64" w:rsidP="00D97A64">
      <w:pPr>
        <w:pStyle w:val="Sansinterligne2"/>
        <w:spacing w:after="600"/>
        <w:jc w:val="center"/>
        <w:rPr>
          <w:rFonts w:ascii="Arial" w:hAnsi="Arial" w:cs="Arial"/>
          <w:b/>
          <w:sz w:val="22"/>
          <w:szCs w:val="22"/>
          <w:lang w:val="en-GB"/>
        </w:rPr>
      </w:pPr>
      <w:r w:rsidRPr="00C84BA3">
        <w:rPr>
          <w:rFonts w:ascii="Arial" w:hAnsi="Arial" w:cs="Arial"/>
          <w:b/>
          <w:sz w:val="22"/>
          <w:szCs w:val="22"/>
          <w:lang w:val="en-GB"/>
        </w:rPr>
        <w:t>Proposal for ensuring geographical balance amongst accredited NGOs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D97A64" w:rsidRPr="00C84BA3" w14:paraId="17F04184" w14:textId="77777777" w:rsidTr="00443C18">
        <w:trPr>
          <w:jc w:val="center"/>
        </w:trPr>
        <w:tc>
          <w:tcPr>
            <w:tcW w:w="5670" w:type="dxa"/>
            <w:vAlign w:val="center"/>
          </w:tcPr>
          <w:p w14:paraId="5F5A35FF" w14:textId="77777777" w:rsidR="00D97A64" w:rsidRPr="00C84BA3" w:rsidRDefault="00D97A64" w:rsidP="00443C18">
            <w:pPr>
              <w:pStyle w:val="Sansinterligne1"/>
              <w:spacing w:before="200" w:after="200"/>
              <w:jc w:val="center"/>
              <w:rPr>
                <w:rFonts w:ascii="Arial" w:hAnsi="Arial" w:cs="Arial"/>
                <w:b/>
                <w:sz w:val="22"/>
                <w:szCs w:val="22"/>
                <w:lang w:val="en-GB"/>
              </w:rPr>
            </w:pPr>
            <w:r w:rsidRPr="00C84BA3">
              <w:rPr>
                <w:rFonts w:ascii="Arial" w:hAnsi="Arial" w:cs="Arial"/>
                <w:b/>
                <w:sz w:val="22"/>
                <w:szCs w:val="22"/>
                <w:lang w:val="en-GB"/>
              </w:rPr>
              <w:t>Summary</w:t>
            </w:r>
          </w:p>
          <w:p w14:paraId="22D65DEA" w14:textId="77777777" w:rsidR="00D97A64" w:rsidRPr="004E1297" w:rsidRDefault="00D97A64" w:rsidP="00443C18">
            <w:pPr>
              <w:pStyle w:val="Sansinterligne1"/>
              <w:jc w:val="both"/>
              <w:rPr>
                <w:rFonts w:ascii="Arial" w:hAnsi="Arial" w:cs="Arial"/>
                <w:bCs/>
                <w:sz w:val="22"/>
                <w:szCs w:val="22"/>
                <w:lang w:val="en-GB"/>
              </w:rPr>
            </w:pPr>
            <w:r w:rsidRPr="00C84BA3">
              <w:rPr>
                <w:rFonts w:ascii="Arial" w:hAnsi="Arial" w:cs="Arial"/>
                <w:sz w:val="22"/>
                <w:szCs w:val="22"/>
                <w:lang w:val="en-GB"/>
              </w:rPr>
              <w:t>This addendum provides a proposal for ensuring geographical balance amongst accredited NGOs under the 2003 Convention</w:t>
            </w:r>
            <w:r>
              <w:rPr>
                <w:rFonts w:ascii="Arial" w:hAnsi="Arial" w:cs="Arial"/>
                <w:sz w:val="22"/>
                <w:szCs w:val="22"/>
                <w:lang w:val="en-GB"/>
              </w:rPr>
              <w:t xml:space="preserve">, in response to the request made by the ninth session of the General Assembly </w:t>
            </w:r>
            <w:r w:rsidRPr="00DB5C2E">
              <w:rPr>
                <w:rFonts w:ascii="Arial" w:hAnsi="Arial" w:cs="Arial"/>
                <w:sz w:val="22"/>
                <w:szCs w:val="22"/>
                <w:lang w:val="en-GB"/>
              </w:rPr>
              <w:t>(</w:t>
            </w:r>
            <w:r w:rsidRPr="004E1297">
              <w:rPr>
                <w:rFonts w:ascii="Arial" w:hAnsi="Arial" w:cs="Arial"/>
                <w:sz w:val="22"/>
                <w:szCs w:val="22"/>
                <w:lang w:val="en-GB"/>
              </w:rPr>
              <w:t xml:space="preserve">Resolution </w:t>
            </w:r>
            <w:hyperlink r:id="rId18" w:history="1">
              <w:r w:rsidRPr="006C6852">
                <w:rPr>
                  <w:rStyle w:val="Lienhypertexte"/>
                  <w:rFonts w:ascii="Arial" w:hAnsi="Arial" w:cs="Arial"/>
                  <w:sz w:val="22"/>
                  <w:szCs w:val="22"/>
                  <w:lang w:val="en-US"/>
                </w:rPr>
                <w:t>9.GA 7</w:t>
              </w:r>
            </w:hyperlink>
            <w:r w:rsidRPr="004E1297">
              <w:rPr>
                <w:rFonts w:ascii="Arial" w:hAnsi="Arial" w:cs="Arial"/>
                <w:sz w:val="22"/>
                <w:szCs w:val="22"/>
                <w:lang w:val="en-GB"/>
              </w:rPr>
              <w:t>).</w:t>
            </w:r>
          </w:p>
          <w:p w14:paraId="14DDB187" w14:textId="77777777" w:rsidR="00D97A64" w:rsidRPr="00C84BA3" w:rsidRDefault="00D97A64" w:rsidP="00443C18">
            <w:pPr>
              <w:pStyle w:val="Sansinterligne2"/>
              <w:spacing w:before="200" w:after="200"/>
              <w:jc w:val="both"/>
              <w:rPr>
                <w:rFonts w:ascii="Arial" w:hAnsi="Arial" w:cs="Arial"/>
                <w:b/>
                <w:sz w:val="22"/>
                <w:szCs w:val="22"/>
                <w:lang w:val="en-GB"/>
              </w:rPr>
            </w:pPr>
            <w:r w:rsidRPr="00C84BA3">
              <w:rPr>
                <w:rFonts w:ascii="Arial" w:hAnsi="Arial" w:cs="Arial"/>
                <w:b/>
                <w:sz w:val="22"/>
                <w:szCs w:val="22"/>
                <w:lang w:val="en-GB"/>
              </w:rPr>
              <w:t xml:space="preserve">Decision required: </w:t>
            </w:r>
            <w:r w:rsidRPr="00C84BA3">
              <w:rPr>
                <w:rFonts w:ascii="Arial" w:hAnsi="Arial" w:cs="Arial"/>
                <w:bCs/>
                <w:sz w:val="22"/>
                <w:szCs w:val="22"/>
                <w:lang w:val="en-GB"/>
              </w:rPr>
              <w:t>paragraph 15</w:t>
            </w:r>
          </w:p>
        </w:tc>
      </w:tr>
    </w:tbl>
    <w:p w14:paraId="770E24A4" w14:textId="77777777" w:rsidR="00D97A64" w:rsidRPr="002676BE" w:rsidRDefault="00D97A64" w:rsidP="0003789A">
      <w:pPr>
        <w:pStyle w:val="Paragraphedeliste"/>
        <w:keepLines/>
        <w:spacing w:before="240" w:after="120"/>
        <w:ind w:left="0"/>
        <w:contextualSpacing w:val="0"/>
        <w:jc w:val="both"/>
        <w:rPr>
          <w:rFonts w:ascii="Arial" w:hAnsi="Arial" w:cs="Arial"/>
          <w:b/>
          <w:bCs/>
        </w:rPr>
      </w:pPr>
      <w:r w:rsidRPr="00C84BA3">
        <w:rPr>
          <w:lang w:val="en-GB"/>
        </w:rPr>
        <w:br w:type="page"/>
      </w:r>
      <w:bookmarkStart w:id="4" w:name="_Hlk124351255"/>
      <w:r w:rsidRPr="002676BE">
        <w:rPr>
          <w:rFonts w:ascii="Arial" w:hAnsi="Arial" w:cs="Arial"/>
          <w:b/>
          <w:bCs/>
          <w:snapToGrid w:val="0"/>
          <w:sz w:val="22"/>
          <w:szCs w:val="22"/>
          <w:lang w:val="en-GB" w:eastAsia="en-US"/>
        </w:rPr>
        <w:lastRenderedPageBreak/>
        <w:t>Backgroun</w:t>
      </w:r>
      <w:r>
        <w:rPr>
          <w:rFonts w:ascii="Arial" w:hAnsi="Arial" w:cs="Arial"/>
          <w:b/>
          <w:bCs/>
          <w:snapToGrid w:val="0"/>
          <w:sz w:val="22"/>
          <w:szCs w:val="22"/>
          <w:lang w:val="en-GB" w:eastAsia="en-US"/>
        </w:rPr>
        <w:t>d</w:t>
      </w:r>
    </w:p>
    <w:bookmarkEnd w:id="4"/>
    <w:p w14:paraId="74A0908D" w14:textId="77777777" w:rsidR="00D97A64" w:rsidRPr="00C84BA3" w:rsidRDefault="00D97A64" w:rsidP="00D97A64">
      <w:pPr>
        <w:pStyle w:val="COMPara"/>
        <w:ind w:left="567" w:hanging="567"/>
        <w:jc w:val="both"/>
      </w:pPr>
      <w:r w:rsidRPr="00C84BA3">
        <w:t>With reference to Article 9 of the 2003 Convention, the governing bodies of the Convention have been concerned by the persistent lack of geographically balanced representation across the Electoral Groups amongst the NGOs accredited to provide advisory services to the Committee. Despite the encouragements given to qualified NGOs from under-represented regions to submit their requests for accreditation, the situation has remained largely unchanged</w:t>
      </w:r>
      <w:r>
        <w:t xml:space="preserve"> over the years</w:t>
      </w:r>
      <w:r w:rsidRPr="00C84BA3">
        <w:t>.</w:t>
      </w:r>
    </w:p>
    <w:p w14:paraId="4ED65D7E" w14:textId="77777777" w:rsidR="00D97A64" w:rsidRPr="00C84BA3" w:rsidRDefault="00D97A64" w:rsidP="00D97A64">
      <w:pPr>
        <w:pStyle w:val="COMPara"/>
        <w:numPr>
          <w:ilvl w:val="0"/>
          <w:numId w:val="0"/>
        </w:numPr>
        <w:spacing w:before="240"/>
        <w:jc w:val="both"/>
        <w:rPr>
          <w:b/>
          <w:bCs/>
        </w:rPr>
      </w:pPr>
      <w:r w:rsidRPr="00C84BA3">
        <w:rPr>
          <w:b/>
          <w:bCs/>
        </w:rPr>
        <w:t>Early reflections and adjustments</w:t>
      </w:r>
    </w:p>
    <w:p w14:paraId="10CD96C0" w14:textId="77777777" w:rsidR="00D97A64" w:rsidRPr="00C84BA3" w:rsidRDefault="00D97A64" w:rsidP="00D97A64">
      <w:pPr>
        <w:pStyle w:val="COMPara"/>
        <w:ind w:left="567" w:hanging="567"/>
        <w:jc w:val="both"/>
      </w:pPr>
      <w:r w:rsidRPr="00C84BA3">
        <w:rPr>
          <w:bCs/>
        </w:rPr>
        <w:t>In 2017, at its twelfth session, the</w:t>
      </w:r>
      <w:r w:rsidRPr="00C84BA3">
        <w:t xml:space="preserve"> Committee launched a</w:t>
      </w:r>
      <w:r w:rsidRPr="00C84BA3">
        <w:rPr>
          <w:bCs/>
        </w:rPr>
        <w:t xml:space="preserve"> reflection process on the </w:t>
      </w:r>
      <w:r w:rsidRPr="00C84BA3">
        <w:t>advisory</w:t>
      </w:r>
      <w:r w:rsidRPr="00C84BA3">
        <w:rPr>
          <w:bCs/>
        </w:rPr>
        <w:t xml:space="preserve"> role of accredited NGOs </w:t>
      </w:r>
      <w:r w:rsidRPr="00C84BA3">
        <w:t>(Decisions</w:t>
      </w:r>
      <w:hyperlink r:id="rId19" w:history="1">
        <w:r w:rsidRPr="00C84BA3">
          <w:rPr>
            <w:rStyle w:val="Lienhypertexte"/>
            <w:color w:val="auto"/>
            <w:u w:val="none"/>
          </w:rPr>
          <w:t xml:space="preserve"> </w:t>
        </w:r>
        <w:r w:rsidRPr="00C84BA3">
          <w:rPr>
            <w:rStyle w:val="Lienhypertexte"/>
          </w:rPr>
          <w:t>12.COM 13</w:t>
        </w:r>
      </w:hyperlink>
      <w:r w:rsidRPr="00C84BA3">
        <w:t xml:space="preserve"> and </w:t>
      </w:r>
      <w:hyperlink r:id="rId20" w:history="1">
        <w:r w:rsidRPr="00C84BA3">
          <w:rPr>
            <w:rStyle w:val="Lienhypertexte"/>
          </w:rPr>
          <w:t>12.COM 17</w:t>
        </w:r>
      </w:hyperlink>
      <w:r w:rsidRPr="00C84BA3">
        <w:t>)</w:t>
      </w:r>
      <w:r w:rsidRPr="00C84BA3">
        <w:rPr>
          <w:bCs/>
        </w:rPr>
        <w:t xml:space="preserve"> which also broached the issue of </w:t>
      </w:r>
      <w:r>
        <w:rPr>
          <w:bCs/>
        </w:rPr>
        <w:t xml:space="preserve">the </w:t>
      </w:r>
      <w:r w:rsidRPr="00C84BA3">
        <w:rPr>
          <w:bCs/>
        </w:rPr>
        <w:t>u</w:t>
      </w:r>
      <w:r w:rsidRPr="00C84BA3">
        <w:t>nbalanced geographical distribution of accredited NGOs.</w:t>
      </w:r>
      <w:r w:rsidRPr="00C84BA3">
        <w:rPr>
          <w:shd w:val="clear" w:color="auto" w:fill="FFFFFF" w:themeFill="background1"/>
        </w:rPr>
        <w:t xml:space="preserve"> </w:t>
      </w:r>
      <w:r w:rsidRPr="00C84BA3">
        <w:t>Overall, seventy-six States and ninety-nine accredited NGOs took part in at least one stage of the reflection process, be it the electronic consultation, the consultation meeting, the informal ad hoc open-ended working group or the debates of the Committee at its thirteenth session in 2018. The fourteenth session of the Committee in 2019 discussed the outcomes of the reflection (</w:t>
      </w:r>
      <w:hyperlink r:id="rId21" w:history="1">
        <w:r w:rsidRPr="00C84BA3">
          <w:rPr>
            <w:rStyle w:val="Lienhypertexte"/>
            <w:color w:val="auto"/>
            <w:u w:val="none"/>
          </w:rPr>
          <w:t xml:space="preserve">Decision </w:t>
        </w:r>
        <w:r w:rsidRPr="00C84BA3">
          <w:rPr>
            <w:rStyle w:val="Lienhypertexte"/>
          </w:rPr>
          <w:t>14.COM 15</w:t>
        </w:r>
      </w:hyperlink>
      <w:r w:rsidRPr="00C84BA3">
        <w:t>), including the following highlights:</w:t>
      </w:r>
    </w:p>
    <w:p w14:paraId="3A1CED69" w14:textId="77777777" w:rsidR="00D97A64" w:rsidRPr="00C84BA3" w:rsidRDefault="00D97A64" w:rsidP="00D97A64">
      <w:pPr>
        <w:pStyle w:val="COMPara"/>
        <w:numPr>
          <w:ilvl w:val="0"/>
          <w:numId w:val="29"/>
        </w:numPr>
        <w:jc w:val="both"/>
      </w:pPr>
      <w:r w:rsidRPr="00C84BA3">
        <w:rPr>
          <w:shd w:val="clear" w:color="auto" w:fill="FFFFFF" w:themeFill="background1"/>
        </w:rPr>
        <w:t>The reflection process concluded that</w:t>
      </w:r>
      <w:r w:rsidRPr="00C84BA3">
        <w:t xml:space="preserve"> the option of establishing a ceiling of accredited NGOs in over-represented regions was not welcomed. Instead, preference was shown for initiatives to raise awareness about the accreditation system and build capacities of NGOs from under-represented regions.</w:t>
      </w:r>
    </w:p>
    <w:p w14:paraId="02CCAEB0" w14:textId="77777777" w:rsidR="00D97A64" w:rsidRPr="00C84BA3" w:rsidRDefault="00D97A64" w:rsidP="00D97A64">
      <w:pPr>
        <w:pStyle w:val="COMPara"/>
        <w:numPr>
          <w:ilvl w:val="0"/>
          <w:numId w:val="29"/>
        </w:numPr>
        <w:jc w:val="both"/>
      </w:pPr>
      <w:r w:rsidRPr="00C84BA3">
        <w:t xml:space="preserve">Furthermore, the Committee asked to hear the voices of NGOs through more meaningful and regular interactions between the Committee and the ICH NGO Forum and therefore decided to include, on an experimental basis, a specific item on </w:t>
      </w:r>
      <w:r>
        <w:t xml:space="preserve">the </w:t>
      </w:r>
      <w:r w:rsidRPr="00C84BA3">
        <w:t xml:space="preserve">‘Report of the </w:t>
      </w:r>
      <w:r>
        <w:t>n</w:t>
      </w:r>
      <w:r w:rsidRPr="00C84BA3">
        <w:t>on-</w:t>
      </w:r>
      <w:r>
        <w:t>g</w:t>
      </w:r>
      <w:r w:rsidRPr="00C84BA3">
        <w:t xml:space="preserve">overnmental </w:t>
      </w:r>
      <w:r>
        <w:t>o</w:t>
      </w:r>
      <w:r w:rsidRPr="00C84BA3">
        <w:t xml:space="preserve">rganizations </w:t>
      </w:r>
      <w:r>
        <w:t>f</w:t>
      </w:r>
      <w:r w:rsidRPr="00C84BA3">
        <w:t xml:space="preserve">orum’ at its fifteenth session in 2020. </w:t>
      </w:r>
    </w:p>
    <w:p w14:paraId="01564BBD" w14:textId="77777777" w:rsidR="00D97A64" w:rsidRPr="00C84BA3" w:rsidRDefault="00D97A64" w:rsidP="00D97A64">
      <w:pPr>
        <w:pStyle w:val="COMPara"/>
        <w:numPr>
          <w:ilvl w:val="0"/>
          <w:numId w:val="29"/>
        </w:numPr>
        <w:jc w:val="both"/>
      </w:pPr>
      <w:r w:rsidRPr="00C84BA3">
        <w:t>The Committee also decided that mapping the network of accredited NGOs would be valuable to facilitate their involvement in the implementation of the Convention and the work of the Committee. In this regard, the Secretariat was requested to gather relevant information from accredited NGOs in order to map their areas of expertise and note their capacities.</w:t>
      </w:r>
    </w:p>
    <w:p w14:paraId="66A4552C" w14:textId="77777777" w:rsidR="00D97A64" w:rsidRPr="00C84BA3" w:rsidRDefault="00D97A64" w:rsidP="00D97A64">
      <w:pPr>
        <w:pStyle w:val="COMPara"/>
        <w:ind w:left="567" w:hanging="567"/>
        <w:jc w:val="both"/>
      </w:pPr>
      <w:r w:rsidRPr="00C84BA3">
        <w:t xml:space="preserve">Taking note of the outcomes of the reflection process, the eighth session of the General Assembly requested that the Secretariat implement the relevant decisions of the Committee, in consultation and collaboration with the ICH NGO Forum (Resolution </w:t>
      </w:r>
      <w:hyperlink r:id="rId22" w:history="1">
        <w:r w:rsidRPr="00C84BA3">
          <w:rPr>
            <w:rStyle w:val="Lienhypertexte"/>
          </w:rPr>
          <w:t>8.GA 12</w:t>
        </w:r>
      </w:hyperlink>
      <w:r w:rsidRPr="00C84BA3">
        <w:t xml:space="preserve">). In this regard, the Committee has included a stand-alone item on </w:t>
      </w:r>
      <w:r>
        <w:t xml:space="preserve">the </w:t>
      </w:r>
      <w:r w:rsidRPr="00C84BA3">
        <w:t xml:space="preserve">‘Report of the </w:t>
      </w:r>
      <w:r>
        <w:t>n</w:t>
      </w:r>
      <w:r w:rsidRPr="00C84BA3">
        <w:t>on-</w:t>
      </w:r>
      <w:r>
        <w:t>g</w:t>
      </w:r>
      <w:r w:rsidRPr="00C84BA3">
        <w:t xml:space="preserve">overnmental </w:t>
      </w:r>
      <w:r>
        <w:t>o</w:t>
      </w:r>
      <w:r w:rsidRPr="00C84BA3">
        <w:t xml:space="preserve">rganizations </w:t>
      </w:r>
      <w:r>
        <w:t>f</w:t>
      </w:r>
      <w:r w:rsidRPr="00C84BA3">
        <w:t xml:space="preserve">orum’ at its sixteenth (2021), seventeenth (2022) and eighteenth (2023) sessions. Furthermore, in 2023 the first round of mapping showing the areas of expertise of sixty-five accredited NGOs was completed in cooperation with the ICH NGO Forum, as presented to the eighteenth session of the Committee and made available through the </w:t>
      </w:r>
      <w:hyperlink r:id="rId23" w:history="1">
        <w:r w:rsidRPr="00C84BA3">
          <w:rPr>
            <w:rStyle w:val="Lienhypertexte"/>
          </w:rPr>
          <w:t>webpage</w:t>
        </w:r>
      </w:hyperlink>
      <w:r w:rsidRPr="00C84BA3">
        <w:t xml:space="preserve"> of the Convention dedicated to accredited NGOs. The Secretariat was encouraged by the Committee to continue its collaboration with the ICH NGO Forum to ensure that the mapping exercise includes all remaining accredited NGOs.</w:t>
      </w:r>
    </w:p>
    <w:p w14:paraId="49645CB5" w14:textId="77777777" w:rsidR="00D97A64" w:rsidRPr="00C84BA3" w:rsidRDefault="00D97A64" w:rsidP="00D97A64">
      <w:pPr>
        <w:pStyle w:val="COMPara"/>
        <w:numPr>
          <w:ilvl w:val="0"/>
          <w:numId w:val="0"/>
        </w:numPr>
        <w:spacing w:before="240"/>
        <w:jc w:val="both"/>
        <w:rPr>
          <w:b/>
          <w:bCs/>
        </w:rPr>
      </w:pPr>
      <w:r w:rsidRPr="00C84BA3">
        <w:rPr>
          <w:b/>
          <w:bCs/>
        </w:rPr>
        <w:t>New call for actions</w:t>
      </w:r>
    </w:p>
    <w:p w14:paraId="2A456FC9" w14:textId="2E0E65C3" w:rsidR="00D97A64" w:rsidRPr="00C84BA3" w:rsidRDefault="00D97A64" w:rsidP="00D97A64">
      <w:pPr>
        <w:pStyle w:val="COMPara"/>
        <w:ind w:left="567" w:hanging="567"/>
        <w:jc w:val="both"/>
      </w:pPr>
      <w:r w:rsidRPr="00C84BA3">
        <w:t>In the context of the completion of the global reflection of the listing mechanisms of the 2003 Convention (2018</w:t>
      </w:r>
      <w:bookmarkStart w:id="5" w:name="_Hlk168074455"/>
      <w:r w:rsidRPr="00C84BA3">
        <w:t>–</w:t>
      </w:r>
      <w:bookmarkEnd w:id="5"/>
      <w:r w:rsidRPr="00C84BA3">
        <w:t xml:space="preserve">2022) as well as of the preparation for the twentieth anniversary of the Convention in 2023, the </w:t>
      </w:r>
      <w:r w:rsidRPr="004E1297">
        <w:t>ninth session of the General Assembly in 2022 re</w:t>
      </w:r>
      <w:r w:rsidRPr="00C84BA3">
        <w:t>visited the issue of unbalanced geographical representation of accredited NGOs. Having accredited thirty-three new NGOs, the regional distribution of accredited NGOs at the time was as follows: Group I: 53 per cent, Group II: 10 per cent, Group III: 7 per cent, Group IV: 14 per cent, Group V</w:t>
      </w:r>
      <w:r w:rsidR="00914FCF">
        <w:t>(</w:t>
      </w:r>
      <w:r w:rsidRPr="00C84BA3">
        <w:t>a</w:t>
      </w:r>
      <w:r>
        <w:t>)</w:t>
      </w:r>
      <w:r w:rsidRPr="00C84BA3">
        <w:t>: 12 per cent and Group V</w:t>
      </w:r>
      <w:r w:rsidR="00914FCF">
        <w:t>(</w:t>
      </w:r>
      <w:r w:rsidRPr="00C84BA3">
        <w:t>b</w:t>
      </w:r>
      <w:r>
        <w:t>)</w:t>
      </w:r>
      <w:r w:rsidRPr="00C84BA3">
        <w:t xml:space="preserve">: 5 per cent. Given the continued imbalance across the regions, a stronger set of actions </w:t>
      </w:r>
      <w:r>
        <w:t>were</w:t>
      </w:r>
      <w:r w:rsidRPr="00C84BA3">
        <w:t xml:space="preserve"> considered necessary in order to attract NGOs from under-represented regions.</w:t>
      </w:r>
    </w:p>
    <w:p w14:paraId="44DE384D" w14:textId="77777777" w:rsidR="00D97A64" w:rsidRPr="00C84BA3" w:rsidRDefault="00D97A64" w:rsidP="00D97A64">
      <w:pPr>
        <w:pStyle w:val="COMPara"/>
        <w:ind w:left="567" w:hanging="567"/>
        <w:jc w:val="both"/>
      </w:pPr>
      <w:r w:rsidRPr="00C84BA3">
        <w:lastRenderedPageBreak/>
        <w:t xml:space="preserve">Consequently, the ninth session of the General Assembly in 2022 requested that the Secretariat, in consultation with States Parties, National Commissions and the ICH NGO Forum, submit to the tenth session of the General Assembly ‘a plan, strategy and clear mechanisms aimed at ensuring geographical balance amongst accredited NGOs’ (Resolution </w:t>
      </w:r>
      <w:hyperlink r:id="rId24" w:history="1">
        <w:r w:rsidRPr="00C84BA3">
          <w:rPr>
            <w:rStyle w:val="Lienhypertexte"/>
          </w:rPr>
          <w:t>9.GA 7</w:t>
        </w:r>
      </w:hyperlink>
      <w:r w:rsidRPr="00C84BA3">
        <w:t>).</w:t>
      </w:r>
    </w:p>
    <w:p w14:paraId="1C22CA5A" w14:textId="77777777" w:rsidR="00D97A64" w:rsidRPr="00C84BA3" w:rsidRDefault="00D97A64" w:rsidP="00D97A64">
      <w:pPr>
        <w:pStyle w:val="COMPara"/>
        <w:numPr>
          <w:ilvl w:val="0"/>
          <w:numId w:val="0"/>
        </w:numPr>
        <w:spacing w:before="240"/>
        <w:jc w:val="both"/>
        <w:rPr>
          <w:b/>
          <w:bCs/>
        </w:rPr>
      </w:pPr>
      <w:r w:rsidRPr="00C84BA3">
        <w:rPr>
          <w:b/>
          <w:bCs/>
        </w:rPr>
        <w:t>Towards the establishment of a plan</w:t>
      </w:r>
    </w:p>
    <w:p w14:paraId="7DB99324" w14:textId="77777777" w:rsidR="00D97A64" w:rsidRPr="00C84BA3" w:rsidRDefault="00D97A64" w:rsidP="00D97A64">
      <w:pPr>
        <w:pStyle w:val="COMPara"/>
        <w:ind w:left="567" w:hanging="567"/>
        <w:jc w:val="both"/>
      </w:pPr>
      <w:r w:rsidRPr="00C84BA3">
        <w:t xml:space="preserve">The following actions </w:t>
      </w:r>
      <w:r>
        <w:t>provided necessary elements for</w:t>
      </w:r>
      <w:r w:rsidRPr="00C84BA3">
        <w:t xml:space="preserve"> establish</w:t>
      </w:r>
      <w:r>
        <w:t>ing</w:t>
      </w:r>
      <w:r w:rsidRPr="00C84BA3">
        <w:t xml:space="preserve"> the requested plan:</w:t>
      </w:r>
    </w:p>
    <w:p w14:paraId="534ED1F9" w14:textId="77777777" w:rsidR="00D97A64" w:rsidRPr="00C84BA3" w:rsidRDefault="00D97A64" w:rsidP="00D97A64">
      <w:pPr>
        <w:pStyle w:val="COMPara"/>
        <w:keepNext/>
        <w:numPr>
          <w:ilvl w:val="0"/>
          <w:numId w:val="0"/>
        </w:numPr>
        <w:ind w:left="567"/>
        <w:jc w:val="both"/>
        <w:rPr>
          <w:u w:val="single"/>
        </w:rPr>
      </w:pPr>
      <w:r w:rsidRPr="00C84BA3">
        <w:rPr>
          <w:u w:val="single"/>
        </w:rPr>
        <w:t>ICH NGO Forum and Category 2 Centres</w:t>
      </w:r>
    </w:p>
    <w:p w14:paraId="11DA2E14" w14:textId="77777777" w:rsidR="00D97A64" w:rsidRPr="00C84BA3" w:rsidRDefault="00D97A64" w:rsidP="00D97A64">
      <w:pPr>
        <w:pStyle w:val="COMPara"/>
        <w:keepNext/>
        <w:ind w:left="567" w:hanging="567"/>
        <w:jc w:val="both"/>
      </w:pPr>
      <w:r w:rsidRPr="00C84BA3">
        <w:t xml:space="preserve">As appreciated by the eighteenth session of the Committee in 2023, the ICH NGO Forum established a dedicated working group to carry out activities in 2022 aimed at increasing the number of NGOs based in under-represented regions (Decision </w:t>
      </w:r>
      <w:hyperlink r:id="rId25" w:history="1">
        <w:r w:rsidRPr="00C84BA3">
          <w:rPr>
            <w:rStyle w:val="Lienhypertexte"/>
          </w:rPr>
          <w:t>18.COM 15</w:t>
        </w:r>
      </w:hyperlink>
      <w:r w:rsidRPr="00C84BA3">
        <w:t>). Of all the action points listed, the ICH NGO Forum reported in particular that:</w:t>
      </w:r>
    </w:p>
    <w:tbl>
      <w:tblPr>
        <w:tblStyle w:val="Grilledutableau"/>
        <w:tblW w:w="0" w:type="auto"/>
        <w:tblInd w:w="562" w:type="dxa"/>
        <w:tblLook w:val="04A0" w:firstRow="1" w:lastRow="0" w:firstColumn="1" w:lastColumn="0" w:noHBand="0" w:noVBand="1"/>
      </w:tblPr>
      <w:tblGrid>
        <w:gridCol w:w="9066"/>
      </w:tblGrid>
      <w:tr w:rsidR="00D97A64" w:rsidRPr="00C84BA3" w14:paraId="3FE64DCD" w14:textId="77777777" w:rsidTr="00443C18">
        <w:tc>
          <w:tcPr>
            <w:tcW w:w="9066" w:type="dxa"/>
          </w:tcPr>
          <w:p w14:paraId="7A2668F7" w14:textId="77777777" w:rsidR="00D97A64" w:rsidRPr="00C84BA3" w:rsidRDefault="00D97A64" w:rsidP="00443C18">
            <w:pPr>
              <w:spacing w:before="120" w:after="120"/>
              <w:jc w:val="both"/>
              <w:textAlignment w:val="baseline"/>
              <w:rPr>
                <w:rFonts w:asciiTheme="minorBidi" w:eastAsia="Georgia" w:hAnsiTheme="minorBidi" w:cstheme="minorBidi"/>
                <w:sz w:val="22"/>
                <w:szCs w:val="22"/>
                <w:lang w:val="en-GB"/>
              </w:rPr>
            </w:pPr>
            <w:r w:rsidRPr="00C84BA3">
              <w:rPr>
                <w:rFonts w:ascii="Arial" w:hAnsi="Arial" w:cs="Arial"/>
                <w:snapToGrid w:val="0"/>
                <w:sz w:val="22"/>
                <w:szCs w:val="22"/>
                <w:lang w:val="en-GB" w:eastAsia="en-US"/>
              </w:rPr>
              <w:t>‘During the four months preceding the accreditation deadline of April 30</w:t>
            </w:r>
            <w:r w:rsidRPr="00DB2741">
              <w:rPr>
                <w:rFonts w:ascii="Arial" w:hAnsi="Arial" w:cs="Arial"/>
                <w:snapToGrid w:val="0"/>
                <w:sz w:val="22"/>
                <w:szCs w:val="22"/>
                <w:lang w:val="en-GB" w:eastAsia="en-US"/>
              </w:rPr>
              <w:t>th</w:t>
            </w:r>
            <w:r w:rsidRPr="00C84BA3">
              <w:rPr>
                <w:rFonts w:ascii="Arial" w:hAnsi="Arial" w:cs="Arial"/>
                <w:snapToGrid w:val="0"/>
                <w:sz w:val="22"/>
                <w:szCs w:val="22"/>
                <w:lang w:val="en-GB" w:eastAsia="en-US"/>
              </w:rPr>
              <w:t xml:space="preserve"> the Forum produced online</w:t>
            </w:r>
            <w:r w:rsidRPr="00C84BA3">
              <w:rPr>
                <w:rFonts w:asciiTheme="minorBidi" w:eastAsia="Georgia" w:hAnsiTheme="minorBidi" w:cstheme="minorBidi"/>
                <w:sz w:val="22"/>
                <w:szCs w:val="22"/>
                <w:lang w:val="en-GB"/>
              </w:rPr>
              <w:t xml:space="preserve"> workshops and information sessions in underrepresented regions which introduced the Convention and Forum, outlined the benefits of accreditation and presented </w:t>
            </w:r>
            <w:r>
              <w:rPr>
                <w:rFonts w:asciiTheme="minorBidi" w:eastAsia="Georgia" w:hAnsiTheme="minorBidi" w:cstheme="minorBidi"/>
                <w:sz w:val="22"/>
                <w:szCs w:val="22"/>
                <w:lang w:val="en-GB"/>
              </w:rPr>
              <w:t>step-by-step</w:t>
            </w:r>
            <w:r w:rsidRPr="00C84BA3">
              <w:rPr>
                <w:rFonts w:asciiTheme="minorBidi" w:eastAsia="Georgia" w:hAnsiTheme="minorBidi" w:cstheme="minorBidi"/>
                <w:sz w:val="22"/>
                <w:szCs w:val="22"/>
                <w:lang w:val="en-GB"/>
              </w:rPr>
              <w:t xml:space="preserve"> instructions about how to fill out accreditation forms. These events took place in EG III (Latin America and the Caribbean), </w:t>
            </w:r>
            <w:r w:rsidRPr="00C84BA3">
              <w:rPr>
                <w:rFonts w:asciiTheme="minorBidi" w:hAnsiTheme="minorBidi" w:cstheme="minorBidi"/>
                <w:sz w:val="22"/>
                <w:szCs w:val="22"/>
                <w:lang w:val="en-GB"/>
              </w:rPr>
              <w:t xml:space="preserve">EG IV (Asia and the Pacific), </w:t>
            </w:r>
            <w:r w:rsidRPr="00C84BA3">
              <w:rPr>
                <w:rFonts w:asciiTheme="minorBidi" w:eastAsia="Georgia" w:hAnsiTheme="minorBidi" w:cstheme="minorBidi"/>
                <w:sz w:val="22"/>
                <w:szCs w:val="22"/>
                <w:lang w:val="en-GB"/>
              </w:rPr>
              <w:t>EG Va (Africa) and EG II (Eastern Europe). Attendance at these events has been robust, with as many as 31 ANGOs participating. The workshops in EG II and III were produced in association with Category II Centers.’</w:t>
            </w:r>
          </w:p>
          <w:p w14:paraId="2E95B24F" w14:textId="77777777" w:rsidR="00D97A64" w:rsidRPr="00C84BA3" w:rsidRDefault="00D97A64" w:rsidP="00443C18">
            <w:pPr>
              <w:spacing w:before="120" w:after="120"/>
              <w:jc w:val="right"/>
              <w:textAlignment w:val="baseline"/>
              <w:rPr>
                <w:rFonts w:asciiTheme="minorBidi" w:eastAsia="Georgia" w:hAnsiTheme="minorBidi" w:cstheme="minorBidi"/>
                <w:sz w:val="22"/>
                <w:szCs w:val="22"/>
                <w:lang w:val="en-GB"/>
              </w:rPr>
            </w:pPr>
            <w:r w:rsidRPr="00C84BA3">
              <w:rPr>
                <w:rFonts w:asciiTheme="minorBidi" w:eastAsia="Georgia" w:hAnsiTheme="minorBidi" w:cstheme="minorBidi"/>
                <w:sz w:val="22"/>
                <w:szCs w:val="22"/>
                <w:lang w:val="en-GB"/>
              </w:rPr>
              <w:t>Extract from document 18.COM 15</w:t>
            </w:r>
          </w:p>
        </w:tc>
      </w:tr>
    </w:tbl>
    <w:p w14:paraId="014387CB" w14:textId="77777777" w:rsidR="00D97A64" w:rsidRPr="00C84BA3" w:rsidRDefault="00D97A64" w:rsidP="00D97A64">
      <w:pPr>
        <w:pStyle w:val="COMPara"/>
        <w:keepNext/>
        <w:spacing w:before="240"/>
        <w:ind w:left="567" w:hanging="567"/>
        <w:jc w:val="both"/>
      </w:pPr>
      <w:r>
        <w:t>T</w:t>
      </w:r>
      <w:r w:rsidRPr="00C84BA3">
        <w:t xml:space="preserve">he ICH NGO Forum </w:t>
      </w:r>
      <w:r>
        <w:t xml:space="preserve">also established an action plan that </w:t>
      </w:r>
      <w:r w:rsidRPr="00C84BA3">
        <w:t>include</w:t>
      </w:r>
      <w:r>
        <w:t>s</w:t>
      </w:r>
      <w:r w:rsidRPr="00C84BA3">
        <w:t xml:space="preserve">: (a) the creation of a database of non-accredited NGOs in under-represented regions; (b) the development of a toolkit containing short videos and flyers aimed at awareness raising; (c) collaboration with States Parties in under-represented regions to generate accreditation requests; and (d) outreach activities to encourage NGOs that are substantially engaged but not specialized in living heritage safeguarding, such as libraries, archives and cultural organizations. Some of the Category 2 Centres </w:t>
      </w:r>
      <w:r w:rsidRPr="00C84BA3">
        <w:rPr>
          <w:spacing w:val="-4"/>
        </w:rPr>
        <w:t>active in the field of intangible cultural heritage</w:t>
      </w:r>
      <w:r w:rsidRPr="00C84BA3">
        <w:t xml:space="preserve"> also actively participated in the capacity building of country focal points designated to prepare periodic reports on issues related to the participation of NGOs in the implementation of the 2003 Convention at the national level.</w:t>
      </w:r>
    </w:p>
    <w:p w14:paraId="16BD33D1" w14:textId="77777777" w:rsidR="00D97A64" w:rsidRPr="00C84BA3" w:rsidRDefault="00D97A64" w:rsidP="00D97A64">
      <w:pPr>
        <w:pStyle w:val="COMPara"/>
        <w:keepNext/>
        <w:numPr>
          <w:ilvl w:val="0"/>
          <w:numId w:val="0"/>
        </w:numPr>
        <w:ind w:left="567"/>
        <w:jc w:val="both"/>
        <w:rPr>
          <w:u w:val="single"/>
        </w:rPr>
      </w:pPr>
      <w:r w:rsidRPr="00C84BA3">
        <w:rPr>
          <w:u w:val="single"/>
        </w:rPr>
        <w:t>Consultation with States Parties</w:t>
      </w:r>
    </w:p>
    <w:p w14:paraId="73798DD3" w14:textId="77777777" w:rsidR="00D97A64" w:rsidRDefault="00D97A64" w:rsidP="00D97A64">
      <w:pPr>
        <w:pStyle w:val="COMPara"/>
        <w:keepNext/>
        <w:ind w:left="567" w:hanging="567"/>
        <w:jc w:val="both"/>
      </w:pPr>
      <w:r w:rsidRPr="00C84BA3">
        <w:t>The Secretariat invited all States Parties (including Permanent Delegations and National Commissions) of the Convention to contribute their views through an online survey that was made available between 26 April and 15 May 2024. The survey questions focused on what measures should be prioritized to improve geographical balance. The responses received from thirty-seven States Parties can be summarized as follows:</w:t>
      </w:r>
    </w:p>
    <w:p w14:paraId="1942C623" w14:textId="77777777" w:rsidR="00D97A64" w:rsidRPr="00C84BA3" w:rsidRDefault="00D97A64" w:rsidP="00D97A64">
      <w:pPr>
        <w:pStyle w:val="COMPara"/>
        <w:keepNext/>
        <w:numPr>
          <w:ilvl w:val="0"/>
          <w:numId w:val="0"/>
        </w:numPr>
        <w:ind w:left="567"/>
        <w:jc w:val="both"/>
      </w:pPr>
    </w:p>
    <w:tbl>
      <w:tblPr>
        <w:tblStyle w:val="Grilledutableau"/>
        <w:tblW w:w="0" w:type="auto"/>
        <w:tblInd w:w="562" w:type="dxa"/>
        <w:tblLook w:val="04A0" w:firstRow="1" w:lastRow="0" w:firstColumn="1" w:lastColumn="0" w:noHBand="0" w:noVBand="1"/>
      </w:tblPr>
      <w:tblGrid>
        <w:gridCol w:w="7371"/>
        <w:gridCol w:w="1695"/>
      </w:tblGrid>
      <w:tr w:rsidR="00D97A64" w:rsidRPr="005116CB" w14:paraId="140911C3" w14:textId="77777777" w:rsidTr="00443C18">
        <w:tc>
          <w:tcPr>
            <w:tcW w:w="7371" w:type="dxa"/>
            <w:shd w:val="clear" w:color="auto" w:fill="DBE5F1" w:themeFill="accent1" w:themeFillTint="33"/>
          </w:tcPr>
          <w:p w14:paraId="31B7ECEE" w14:textId="77777777" w:rsidR="00D97A64" w:rsidRPr="006C6852" w:rsidRDefault="00D97A64" w:rsidP="00443C18">
            <w:pPr>
              <w:rPr>
                <w:rFonts w:ascii="Arial" w:hAnsi="Arial" w:cs="Arial"/>
                <w:b/>
                <w:bCs/>
                <w:sz w:val="22"/>
                <w:szCs w:val="22"/>
                <w:lang w:val="en-GB"/>
              </w:rPr>
            </w:pPr>
            <w:r w:rsidRPr="006C6852">
              <w:rPr>
                <w:rFonts w:ascii="Arial" w:hAnsi="Arial" w:cs="Arial"/>
                <w:b/>
                <w:bCs/>
                <w:sz w:val="22"/>
                <w:szCs w:val="22"/>
                <w:lang w:val="en-GB"/>
              </w:rPr>
              <w:t>Possible measures</w:t>
            </w:r>
          </w:p>
        </w:tc>
        <w:tc>
          <w:tcPr>
            <w:tcW w:w="1695" w:type="dxa"/>
            <w:shd w:val="clear" w:color="auto" w:fill="DBE5F1" w:themeFill="accent1" w:themeFillTint="33"/>
          </w:tcPr>
          <w:p w14:paraId="7809337C" w14:textId="77777777" w:rsidR="00D97A64" w:rsidRPr="006C6852" w:rsidRDefault="00D97A64" w:rsidP="00443C18">
            <w:pPr>
              <w:pStyle w:val="COMPara"/>
              <w:keepNext/>
              <w:numPr>
                <w:ilvl w:val="0"/>
                <w:numId w:val="0"/>
              </w:numPr>
              <w:spacing w:after="0"/>
              <w:jc w:val="both"/>
              <w:rPr>
                <w:b/>
                <w:bCs/>
              </w:rPr>
            </w:pPr>
            <w:r w:rsidRPr="006C6852">
              <w:rPr>
                <w:b/>
                <w:bCs/>
                <w:snapToGrid/>
                <w:lang w:eastAsia="fr-FR"/>
              </w:rPr>
              <w:t>Responses</w:t>
            </w:r>
            <w:r w:rsidRPr="006C6852">
              <w:rPr>
                <w:rStyle w:val="Appelnotedebasdep"/>
                <w:b/>
                <w:bCs/>
                <w:snapToGrid/>
                <w:lang w:eastAsia="fr-FR"/>
              </w:rPr>
              <w:footnoteReference w:id="3"/>
            </w:r>
            <w:r w:rsidRPr="006C6852">
              <w:rPr>
                <w:b/>
                <w:bCs/>
                <w:snapToGrid/>
                <w:lang w:eastAsia="fr-FR"/>
              </w:rPr>
              <w:t xml:space="preserve"> </w:t>
            </w:r>
          </w:p>
        </w:tc>
      </w:tr>
      <w:tr w:rsidR="00D97A64" w:rsidRPr="005116CB" w14:paraId="41B7565B" w14:textId="77777777" w:rsidTr="00443C18">
        <w:tc>
          <w:tcPr>
            <w:tcW w:w="7371" w:type="dxa"/>
          </w:tcPr>
          <w:p w14:paraId="3AFB271A" w14:textId="77777777" w:rsidR="00D97A64" w:rsidRPr="006C6852" w:rsidRDefault="00D97A64" w:rsidP="00443C18">
            <w:pPr>
              <w:rPr>
                <w:rFonts w:ascii="Arial" w:hAnsi="Arial" w:cs="Arial"/>
                <w:sz w:val="22"/>
                <w:szCs w:val="22"/>
                <w:lang w:val="en-GB"/>
              </w:rPr>
            </w:pPr>
            <w:r w:rsidRPr="006C6852">
              <w:rPr>
                <w:rFonts w:ascii="Arial" w:hAnsi="Arial" w:cs="Arial"/>
                <w:sz w:val="22"/>
                <w:szCs w:val="22"/>
                <w:lang w:val="en-GB"/>
              </w:rPr>
              <w:t>Implementing capacity-building initiatives for both accredited and non-accredited NGOs from underrepresented regions</w:t>
            </w:r>
          </w:p>
        </w:tc>
        <w:tc>
          <w:tcPr>
            <w:tcW w:w="1695" w:type="dxa"/>
          </w:tcPr>
          <w:p w14:paraId="5017F24D" w14:textId="77777777" w:rsidR="00D97A64" w:rsidRPr="006C6852" w:rsidRDefault="00D97A64" w:rsidP="00443C18">
            <w:pPr>
              <w:pStyle w:val="COMPara"/>
              <w:keepNext/>
              <w:numPr>
                <w:ilvl w:val="0"/>
                <w:numId w:val="0"/>
              </w:numPr>
              <w:spacing w:after="0"/>
              <w:jc w:val="both"/>
              <w:rPr>
                <w:rFonts w:cstheme="minorHAnsi"/>
              </w:rPr>
            </w:pPr>
            <w:r w:rsidRPr="006C6852">
              <w:rPr>
                <w:rFonts w:cstheme="minorHAnsi"/>
              </w:rPr>
              <w:t>23 (62%)</w:t>
            </w:r>
          </w:p>
        </w:tc>
      </w:tr>
      <w:tr w:rsidR="00D97A64" w:rsidRPr="005116CB" w14:paraId="2DF7F7C8" w14:textId="77777777" w:rsidTr="00443C18">
        <w:tc>
          <w:tcPr>
            <w:tcW w:w="7371" w:type="dxa"/>
          </w:tcPr>
          <w:p w14:paraId="3178A77E" w14:textId="77777777" w:rsidR="00D97A64" w:rsidRPr="006C6852" w:rsidRDefault="00D97A64" w:rsidP="00443C18">
            <w:pPr>
              <w:rPr>
                <w:rFonts w:ascii="Arial" w:hAnsi="Arial" w:cs="Arial"/>
                <w:sz w:val="22"/>
                <w:szCs w:val="22"/>
                <w:lang w:val="en-GB"/>
              </w:rPr>
            </w:pPr>
            <w:r w:rsidRPr="006C6852">
              <w:rPr>
                <w:rFonts w:ascii="Arial" w:hAnsi="Arial" w:cs="Arial"/>
                <w:sz w:val="22"/>
                <w:szCs w:val="22"/>
                <w:lang w:val="en-GB"/>
              </w:rPr>
              <w:t>Implementing awareness-raising initiatives (e.g. online information sessions, information kit) in underrepresented regions about the accreditation system and benefits of accreditation</w:t>
            </w:r>
          </w:p>
        </w:tc>
        <w:tc>
          <w:tcPr>
            <w:tcW w:w="1695" w:type="dxa"/>
          </w:tcPr>
          <w:p w14:paraId="7CBE5CB8" w14:textId="77777777" w:rsidR="00D97A64" w:rsidRPr="006C6852" w:rsidRDefault="00D97A64" w:rsidP="00443C18">
            <w:pPr>
              <w:pStyle w:val="COMPara"/>
              <w:keepNext/>
              <w:numPr>
                <w:ilvl w:val="0"/>
                <w:numId w:val="0"/>
              </w:numPr>
              <w:spacing w:after="0"/>
              <w:jc w:val="both"/>
            </w:pPr>
            <w:r w:rsidRPr="006C6852">
              <w:rPr>
                <w:rFonts w:cstheme="minorHAnsi"/>
              </w:rPr>
              <w:t>17 (46%)</w:t>
            </w:r>
          </w:p>
        </w:tc>
      </w:tr>
      <w:tr w:rsidR="00D97A64" w:rsidRPr="005116CB" w14:paraId="5ECD06F2" w14:textId="77777777" w:rsidTr="00443C18">
        <w:tc>
          <w:tcPr>
            <w:tcW w:w="7371" w:type="dxa"/>
          </w:tcPr>
          <w:p w14:paraId="1CE96DBA" w14:textId="77777777" w:rsidR="00D97A64" w:rsidRPr="006C6852" w:rsidRDefault="00D97A64" w:rsidP="00443C18">
            <w:pPr>
              <w:rPr>
                <w:rFonts w:ascii="Arial" w:hAnsi="Arial" w:cs="Arial"/>
                <w:sz w:val="22"/>
                <w:szCs w:val="22"/>
                <w:lang w:val="en-GB"/>
              </w:rPr>
            </w:pPr>
            <w:r w:rsidRPr="006C6852">
              <w:rPr>
                <w:rFonts w:ascii="Arial" w:hAnsi="Arial" w:cs="Arial"/>
                <w:sz w:val="22"/>
                <w:szCs w:val="22"/>
                <w:lang w:val="en-GB"/>
              </w:rPr>
              <w:lastRenderedPageBreak/>
              <w:t>Encouraging Category 2 Centres, UNESCO Field Offices and the ICH NGO Forum to expand engagement on the Convention with NGOs in underrepresented regions</w:t>
            </w:r>
          </w:p>
        </w:tc>
        <w:tc>
          <w:tcPr>
            <w:tcW w:w="1695" w:type="dxa"/>
          </w:tcPr>
          <w:p w14:paraId="422349A5" w14:textId="77777777" w:rsidR="00D97A64" w:rsidRPr="006C6852" w:rsidRDefault="00D97A64" w:rsidP="00443C18">
            <w:pPr>
              <w:pStyle w:val="COMPara"/>
              <w:keepNext/>
              <w:numPr>
                <w:ilvl w:val="0"/>
                <w:numId w:val="0"/>
              </w:numPr>
              <w:spacing w:after="0"/>
              <w:jc w:val="both"/>
            </w:pPr>
            <w:r w:rsidRPr="006C6852">
              <w:t xml:space="preserve">17 </w:t>
            </w:r>
            <w:r w:rsidRPr="006C6852">
              <w:rPr>
                <w:rFonts w:cstheme="minorHAnsi"/>
              </w:rPr>
              <w:t>(46%)</w:t>
            </w:r>
          </w:p>
        </w:tc>
      </w:tr>
      <w:tr w:rsidR="00D97A64" w:rsidRPr="005116CB" w14:paraId="27706753" w14:textId="77777777" w:rsidTr="00443C18">
        <w:tc>
          <w:tcPr>
            <w:tcW w:w="7371" w:type="dxa"/>
          </w:tcPr>
          <w:p w14:paraId="7A90611B" w14:textId="77777777" w:rsidR="00D97A64" w:rsidRPr="006C6852" w:rsidRDefault="00D97A64" w:rsidP="00443C18">
            <w:pPr>
              <w:rPr>
                <w:rFonts w:ascii="Arial" w:hAnsi="Arial" w:cs="Arial"/>
                <w:sz w:val="22"/>
                <w:szCs w:val="22"/>
                <w:lang w:val="en-GB"/>
              </w:rPr>
            </w:pPr>
            <w:r w:rsidRPr="006C6852">
              <w:rPr>
                <w:rFonts w:ascii="Arial" w:hAnsi="Arial" w:cs="Arial"/>
                <w:sz w:val="22"/>
                <w:szCs w:val="22"/>
                <w:lang w:val="en-GB"/>
              </w:rPr>
              <w:t>Undertaking research to better understand diverse challenges facing NGOs</w:t>
            </w:r>
          </w:p>
        </w:tc>
        <w:tc>
          <w:tcPr>
            <w:tcW w:w="1695" w:type="dxa"/>
          </w:tcPr>
          <w:p w14:paraId="0FEA37EE" w14:textId="77777777" w:rsidR="00D97A64" w:rsidRPr="006C6852" w:rsidRDefault="00D97A64" w:rsidP="00443C18">
            <w:pPr>
              <w:pStyle w:val="COMPara"/>
              <w:keepNext/>
              <w:numPr>
                <w:ilvl w:val="0"/>
                <w:numId w:val="0"/>
              </w:numPr>
              <w:spacing w:after="0"/>
              <w:jc w:val="both"/>
            </w:pPr>
            <w:r w:rsidRPr="006C6852">
              <w:t>8 (22%)</w:t>
            </w:r>
          </w:p>
        </w:tc>
      </w:tr>
      <w:tr w:rsidR="00D97A64" w:rsidRPr="005116CB" w14:paraId="67E69F37" w14:textId="77777777" w:rsidTr="00443C18">
        <w:tc>
          <w:tcPr>
            <w:tcW w:w="7371" w:type="dxa"/>
          </w:tcPr>
          <w:p w14:paraId="1E38A808" w14:textId="77777777" w:rsidR="00D97A64" w:rsidRPr="006C6852" w:rsidRDefault="00D97A64" w:rsidP="00443C18">
            <w:pPr>
              <w:rPr>
                <w:rFonts w:ascii="Arial" w:hAnsi="Arial" w:cs="Arial"/>
                <w:sz w:val="22"/>
                <w:szCs w:val="22"/>
                <w:lang w:val="en-GB"/>
              </w:rPr>
            </w:pPr>
            <w:r w:rsidRPr="006C6852">
              <w:rPr>
                <w:rFonts w:ascii="Arial" w:hAnsi="Arial" w:cs="Arial"/>
                <w:sz w:val="22"/>
                <w:szCs w:val="22"/>
                <w:lang w:val="en-GB"/>
              </w:rPr>
              <w:t>Revising accreditation Form ICH-09 to make the application process more accessible</w:t>
            </w:r>
          </w:p>
        </w:tc>
        <w:tc>
          <w:tcPr>
            <w:tcW w:w="1695" w:type="dxa"/>
          </w:tcPr>
          <w:p w14:paraId="7E92FC51" w14:textId="77777777" w:rsidR="00D97A64" w:rsidRPr="006C6852" w:rsidRDefault="00D97A64" w:rsidP="00443C18">
            <w:pPr>
              <w:pStyle w:val="COMPara"/>
              <w:keepNext/>
              <w:numPr>
                <w:ilvl w:val="0"/>
                <w:numId w:val="0"/>
              </w:numPr>
              <w:spacing w:after="0"/>
              <w:jc w:val="both"/>
            </w:pPr>
            <w:r w:rsidRPr="006C6852">
              <w:t>5 (14%)</w:t>
            </w:r>
          </w:p>
        </w:tc>
      </w:tr>
      <w:tr w:rsidR="00D97A64" w:rsidRPr="005116CB" w14:paraId="124ED558" w14:textId="77777777" w:rsidTr="00443C18">
        <w:tc>
          <w:tcPr>
            <w:tcW w:w="7371" w:type="dxa"/>
          </w:tcPr>
          <w:p w14:paraId="1577017C" w14:textId="77777777" w:rsidR="00D97A64" w:rsidRPr="006C6852" w:rsidRDefault="00D97A64" w:rsidP="00443C18">
            <w:pPr>
              <w:rPr>
                <w:rFonts w:ascii="Arial" w:hAnsi="Arial" w:cs="Arial"/>
                <w:sz w:val="22"/>
                <w:szCs w:val="22"/>
                <w:lang w:val="en-GB"/>
              </w:rPr>
            </w:pPr>
            <w:r w:rsidRPr="006C6852">
              <w:rPr>
                <w:rFonts w:ascii="Arial" w:hAnsi="Arial" w:cs="Arial"/>
                <w:sz w:val="22"/>
                <w:szCs w:val="22"/>
                <w:lang w:val="en-GB"/>
              </w:rPr>
              <w:t>Implementing a quota system for the accreditation of NGOs</w:t>
            </w:r>
          </w:p>
        </w:tc>
        <w:tc>
          <w:tcPr>
            <w:tcW w:w="1695" w:type="dxa"/>
          </w:tcPr>
          <w:p w14:paraId="1180B93B" w14:textId="77777777" w:rsidR="00D97A64" w:rsidRPr="006C6852" w:rsidRDefault="00D97A64" w:rsidP="00443C18">
            <w:pPr>
              <w:pStyle w:val="COMPara"/>
              <w:keepNext/>
              <w:numPr>
                <w:ilvl w:val="0"/>
                <w:numId w:val="0"/>
              </w:numPr>
              <w:spacing w:after="0"/>
              <w:jc w:val="both"/>
            </w:pPr>
            <w:r w:rsidRPr="006C6852">
              <w:t>3 (8%)</w:t>
            </w:r>
          </w:p>
        </w:tc>
      </w:tr>
    </w:tbl>
    <w:p w14:paraId="755B3A54" w14:textId="77777777" w:rsidR="00D97A64" w:rsidRDefault="00D97A64" w:rsidP="00D97A64">
      <w:pPr>
        <w:pStyle w:val="COMPara"/>
        <w:numPr>
          <w:ilvl w:val="0"/>
          <w:numId w:val="0"/>
        </w:numPr>
        <w:ind w:left="567"/>
        <w:jc w:val="both"/>
        <w:rPr>
          <w:u w:val="single"/>
        </w:rPr>
      </w:pPr>
    </w:p>
    <w:p w14:paraId="47D98C8B" w14:textId="77777777" w:rsidR="00D97A64" w:rsidRPr="00C84BA3" w:rsidRDefault="00D97A64" w:rsidP="00D97A64">
      <w:pPr>
        <w:pStyle w:val="COMPara"/>
        <w:numPr>
          <w:ilvl w:val="0"/>
          <w:numId w:val="0"/>
        </w:numPr>
        <w:ind w:left="567"/>
        <w:jc w:val="both"/>
        <w:rPr>
          <w:u w:val="single"/>
        </w:rPr>
      </w:pPr>
      <w:r w:rsidRPr="00C84BA3">
        <w:rPr>
          <w:u w:val="single"/>
        </w:rPr>
        <w:t>Priority thematic areas</w:t>
      </w:r>
    </w:p>
    <w:p w14:paraId="7FF19D37" w14:textId="77777777" w:rsidR="00D97A64" w:rsidRPr="00C84BA3" w:rsidRDefault="00D97A64" w:rsidP="00D97A64">
      <w:pPr>
        <w:pStyle w:val="COMPara"/>
        <w:ind w:left="567" w:hanging="567"/>
        <w:jc w:val="both"/>
      </w:pPr>
      <w:r w:rsidRPr="00C84BA3">
        <w:t>The call for new actions is timely</w:t>
      </w:r>
      <w:r>
        <w:t>,</w:t>
      </w:r>
      <w:r w:rsidRPr="00C84BA3">
        <w:t xml:space="preserve"> as the priority areas through which to further develop the 2003 Convention </w:t>
      </w:r>
      <w:r>
        <w:t>were</w:t>
      </w:r>
      <w:r w:rsidRPr="00C84BA3">
        <w:t xml:space="preserve"> clarified through the reflection undertaken during the twentieth anniversary of the 2003 Convention, as reported to the present session of the General Assembly under Item 10 (see document </w:t>
      </w:r>
      <w:hyperlink r:id="rId26" w:history="1">
        <w:r w:rsidRPr="00C84BA3">
          <w:rPr>
            <w:rStyle w:val="Lienhypertexte"/>
          </w:rPr>
          <w:t>LHE/24/10.GA/10</w:t>
        </w:r>
      </w:hyperlink>
      <w:r w:rsidRPr="00C84BA3">
        <w:t>). These</w:t>
      </w:r>
      <w:r>
        <w:t xml:space="preserve"> priority</w:t>
      </w:r>
      <w:r w:rsidRPr="00C84BA3">
        <w:t xml:space="preserve"> areas include living heritage safeguarding and livelihoods, climate action and urban contexts, living heritage in emergencies,</w:t>
      </w:r>
      <w:r>
        <w:t xml:space="preserve"> the</w:t>
      </w:r>
      <w:r w:rsidRPr="00C84BA3">
        <w:t xml:space="preserve"> integration of culture in education, and living heritage in the digital environment. It would therefore be pertinent to concentrate </w:t>
      </w:r>
      <w:r>
        <w:t>efforts on</w:t>
      </w:r>
      <w:r w:rsidRPr="00C84BA3">
        <w:t xml:space="preserve"> identify</w:t>
      </w:r>
      <w:r>
        <w:t>ing</w:t>
      </w:r>
      <w:r w:rsidRPr="00C84BA3">
        <w:t xml:space="preserve"> NGOs with </w:t>
      </w:r>
      <w:r>
        <w:t>expertise</w:t>
      </w:r>
      <w:r w:rsidRPr="00C84BA3">
        <w:t xml:space="preserve"> in th</w:t>
      </w:r>
      <w:r>
        <w:t>e</w:t>
      </w:r>
      <w:r w:rsidRPr="00C84BA3">
        <w:t xml:space="preserve">se </w:t>
      </w:r>
      <w:r>
        <w:t>specific</w:t>
      </w:r>
      <w:r w:rsidRPr="00C84BA3">
        <w:t xml:space="preserve"> areas.</w:t>
      </w:r>
    </w:p>
    <w:p w14:paraId="73293652" w14:textId="77777777" w:rsidR="00D97A64" w:rsidRPr="00C84BA3" w:rsidRDefault="00D97A64" w:rsidP="00D97A64">
      <w:pPr>
        <w:pStyle w:val="COMPara"/>
        <w:numPr>
          <w:ilvl w:val="0"/>
          <w:numId w:val="0"/>
        </w:numPr>
        <w:spacing w:before="240"/>
        <w:jc w:val="both"/>
        <w:rPr>
          <w:b/>
          <w:bCs/>
        </w:rPr>
      </w:pPr>
      <w:r w:rsidRPr="00C84BA3">
        <w:rPr>
          <w:b/>
          <w:bCs/>
        </w:rPr>
        <w:t>Proposed plan</w:t>
      </w:r>
    </w:p>
    <w:p w14:paraId="0F15E4FF" w14:textId="77777777" w:rsidR="00D97A64" w:rsidRPr="00C84BA3" w:rsidRDefault="00D97A64" w:rsidP="00D97A64">
      <w:pPr>
        <w:pStyle w:val="COMPara"/>
        <w:ind w:left="567" w:hanging="567"/>
        <w:jc w:val="both"/>
      </w:pPr>
      <w:r w:rsidRPr="00C84BA3">
        <w:t xml:space="preserve">Based on the experience of the ICH NGO Forum and Category 2 Centres active in the field of intangible cultural heritage, combined with the results of the survey, the following actions </w:t>
      </w:r>
      <w:r>
        <w:t>are recommended, structured</w:t>
      </w:r>
      <w:r w:rsidRPr="00C84BA3">
        <w:t xml:space="preserve"> around four main pillars:</w:t>
      </w:r>
    </w:p>
    <w:p w14:paraId="55FED231" w14:textId="0F36D50E" w:rsidR="00D97A64" w:rsidRPr="00C84BA3" w:rsidRDefault="00D97A64" w:rsidP="00D97A64">
      <w:pPr>
        <w:pStyle w:val="COMPara"/>
        <w:numPr>
          <w:ilvl w:val="0"/>
          <w:numId w:val="0"/>
        </w:numPr>
        <w:ind w:left="567"/>
        <w:jc w:val="both"/>
        <w:rPr>
          <w:u w:val="single"/>
        </w:rPr>
      </w:pPr>
      <w:r w:rsidRPr="00C84BA3">
        <w:rPr>
          <w:u w:val="single"/>
        </w:rPr>
        <w:t xml:space="preserve">A: </w:t>
      </w:r>
      <w:r>
        <w:rPr>
          <w:u w:val="single"/>
        </w:rPr>
        <w:t>Outreach and sharing</w:t>
      </w:r>
      <w:r w:rsidRPr="00C84BA3">
        <w:rPr>
          <w:u w:val="single"/>
        </w:rPr>
        <w:t xml:space="preserve"> </w:t>
      </w:r>
      <w:r>
        <w:rPr>
          <w:u w:val="single"/>
        </w:rPr>
        <w:t xml:space="preserve">of </w:t>
      </w:r>
      <w:r w:rsidRPr="00C84BA3">
        <w:rPr>
          <w:u w:val="single"/>
        </w:rPr>
        <w:t xml:space="preserve">information on </w:t>
      </w:r>
      <w:r>
        <w:rPr>
          <w:u w:val="single"/>
        </w:rPr>
        <w:t xml:space="preserve">the </w:t>
      </w:r>
      <w:r w:rsidRPr="00C84BA3">
        <w:rPr>
          <w:u w:val="single"/>
        </w:rPr>
        <w:t xml:space="preserve">accreditation process and </w:t>
      </w:r>
      <w:r w:rsidR="00BF39E4">
        <w:rPr>
          <w:u w:val="single"/>
        </w:rPr>
        <w:t>its</w:t>
      </w:r>
      <w:r>
        <w:rPr>
          <w:u w:val="single"/>
        </w:rPr>
        <w:t xml:space="preserve"> </w:t>
      </w:r>
      <w:r w:rsidRPr="00C84BA3">
        <w:rPr>
          <w:u w:val="single"/>
        </w:rPr>
        <w:t xml:space="preserve">benefits, </w:t>
      </w:r>
      <w:r>
        <w:rPr>
          <w:u w:val="single"/>
        </w:rPr>
        <w:t>particularly in the</w:t>
      </w:r>
      <w:r w:rsidRPr="00C84BA3">
        <w:rPr>
          <w:u w:val="single"/>
        </w:rPr>
        <w:t xml:space="preserve"> months before the submission deadline for accreditation requests</w:t>
      </w:r>
    </w:p>
    <w:p w14:paraId="2BD28D8D" w14:textId="77777777" w:rsidR="00D97A64" w:rsidRPr="00C84BA3" w:rsidRDefault="00D97A64" w:rsidP="00D97A64">
      <w:pPr>
        <w:pStyle w:val="COMPara"/>
        <w:numPr>
          <w:ilvl w:val="0"/>
          <w:numId w:val="37"/>
        </w:numPr>
        <w:jc w:val="both"/>
      </w:pPr>
      <w:r w:rsidRPr="00C84BA3">
        <w:t>Information sharing by the Secretariat</w:t>
      </w:r>
      <w:r>
        <w:t>,</w:t>
      </w:r>
      <w:r w:rsidRPr="00C84BA3">
        <w:t xml:space="preserve"> through the webpage of the 2003 Convention.</w:t>
      </w:r>
    </w:p>
    <w:p w14:paraId="478D1557" w14:textId="77777777" w:rsidR="00D97A64" w:rsidRPr="00C84BA3" w:rsidRDefault="00D97A64" w:rsidP="00D97A64">
      <w:pPr>
        <w:pStyle w:val="COMPara"/>
        <w:numPr>
          <w:ilvl w:val="0"/>
          <w:numId w:val="37"/>
        </w:numPr>
        <w:jc w:val="both"/>
      </w:pPr>
      <w:r w:rsidRPr="00C84BA3">
        <w:t>Regional</w:t>
      </w:r>
      <w:r>
        <w:t xml:space="preserve">, </w:t>
      </w:r>
      <w:r w:rsidRPr="00C84BA3">
        <w:t>sub-regional</w:t>
      </w:r>
      <w:r>
        <w:t xml:space="preserve"> and </w:t>
      </w:r>
      <w:r w:rsidRPr="00C84BA3">
        <w:t xml:space="preserve">national online information sessions for accredited and non-accredited NGOs, organised by the ICH NGO Forum, Category 2 Centres and other partners. </w:t>
      </w:r>
    </w:p>
    <w:p w14:paraId="0A789083" w14:textId="77777777" w:rsidR="00D97A64" w:rsidRPr="00C84BA3" w:rsidRDefault="00D97A64" w:rsidP="00D97A64">
      <w:pPr>
        <w:pStyle w:val="COMPara"/>
        <w:numPr>
          <w:ilvl w:val="0"/>
          <w:numId w:val="37"/>
        </w:numPr>
        <w:jc w:val="both"/>
      </w:pPr>
      <w:r w:rsidRPr="00C84BA3">
        <w:t>Development of a</w:t>
      </w:r>
      <w:r>
        <w:t>n awareness-raising</w:t>
      </w:r>
      <w:r w:rsidRPr="00C84BA3">
        <w:t xml:space="preserve"> toolkit (e.g. containing flyers and QR codes for videos) </w:t>
      </w:r>
      <w:r>
        <w:t>about</w:t>
      </w:r>
      <w:r w:rsidRPr="00C84BA3">
        <w:t xml:space="preserve"> accredited NGOs, prepared by the ICH NGO Forum, Category 2 Centres and other partners. </w:t>
      </w:r>
    </w:p>
    <w:p w14:paraId="4E4CA644" w14:textId="77777777" w:rsidR="00D97A64" w:rsidRPr="00C84BA3" w:rsidRDefault="00D97A64" w:rsidP="00D97A64">
      <w:pPr>
        <w:pStyle w:val="COMPara"/>
        <w:numPr>
          <w:ilvl w:val="0"/>
          <w:numId w:val="0"/>
        </w:numPr>
        <w:ind w:left="567"/>
        <w:jc w:val="both"/>
        <w:rPr>
          <w:u w:val="single"/>
        </w:rPr>
      </w:pPr>
      <w:r w:rsidRPr="00C84BA3">
        <w:rPr>
          <w:u w:val="single"/>
        </w:rPr>
        <w:t>B: Mobilizing competent NGOs through capacity-building workshops</w:t>
      </w:r>
    </w:p>
    <w:p w14:paraId="6D934CC7" w14:textId="77777777" w:rsidR="00D97A64" w:rsidRPr="00C84BA3" w:rsidRDefault="00D97A64" w:rsidP="00D97A64">
      <w:pPr>
        <w:pStyle w:val="COMPara"/>
        <w:numPr>
          <w:ilvl w:val="0"/>
          <w:numId w:val="37"/>
        </w:numPr>
        <w:jc w:val="both"/>
      </w:pPr>
      <w:r w:rsidRPr="00C84BA3">
        <w:t xml:space="preserve">Systematic inclusion of NGO </w:t>
      </w:r>
      <w:r>
        <w:t>representatives</w:t>
      </w:r>
      <w:r w:rsidRPr="00C84BA3">
        <w:t xml:space="preserve"> in capacity</w:t>
      </w:r>
      <w:r>
        <w:t>-</w:t>
      </w:r>
      <w:r w:rsidRPr="00C84BA3">
        <w:t>building activities organized by the Secretariat.</w:t>
      </w:r>
    </w:p>
    <w:p w14:paraId="46F55279" w14:textId="5E48C65C" w:rsidR="00D97A64" w:rsidRPr="00C84BA3" w:rsidRDefault="00D97A64" w:rsidP="00D97A64">
      <w:pPr>
        <w:pStyle w:val="COMPara"/>
        <w:numPr>
          <w:ilvl w:val="0"/>
          <w:numId w:val="37"/>
        </w:numPr>
        <w:jc w:val="both"/>
      </w:pPr>
      <w:r w:rsidRPr="00C84BA3">
        <w:t xml:space="preserve">Encouragement of the facilitators’ network under the 2003 Convention to </w:t>
      </w:r>
      <w:r>
        <w:t>promote the</w:t>
      </w:r>
      <w:r w:rsidRPr="00C84BA3">
        <w:t xml:space="preserve"> accreditation process and </w:t>
      </w:r>
      <w:r w:rsidR="00BF39E4">
        <w:t>its</w:t>
      </w:r>
      <w:r w:rsidRPr="00C84BA3">
        <w:t xml:space="preserve"> benefits in all their capacity</w:t>
      </w:r>
      <w:r>
        <w:t>-</w:t>
      </w:r>
      <w:r w:rsidRPr="00C84BA3">
        <w:t>building activities.</w:t>
      </w:r>
    </w:p>
    <w:p w14:paraId="4C69C040" w14:textId="77777777" w:rsidR="00D97A64" w:rsidRPr="00C84BA3" w:rsidRDefault="00D97A64" w:rsidP="00D97A64">
      <w:pPr>
        <w:pStyle w:val="COMPara"/>
        <w:numPr>
          <w:ilvl w:val="0"/>
          <w:numId w:val="0"/>
        </w:numPr>
        <w:ind w:left="567"/>
        <w:jc w:val="both"/>
        <w:rPr>
          <w:u w:val="single"/>
        </w:rPr>
      </w:pPr>
      <w:r w:rsidRPr="00C84BA3">
        <w:rPr>
          <w:u w:val="single"/>
        </w:rPr>
        <w:t>C: Strengthening cooperation with the ICH NGO Forum and Category 2 Centres</w:t>
      </w:r>
    </w:p>
    <w:p w14:paraId="10013E5B" w14:textId="77777777" w:rsidR="00D97A64" w:rsidRPr="00C84BA3" w:rsidRDefault="00D97A64" w:rsidP="00D97A64">
      <w:pPr>
        <w:pStyle w:val="COMPara"/>
        <w:numPr>
          <w:ilvl w:val="0"/>
          <w:numId w:val="37"/>
        </w:numPr>
        <w:jc w:val="both"/>
      </w:pPr>
      <w:r w:rsidRPr="00C84BA3">
        <w:t>Continu</w:t>
      </w:r>
      <w:r>
        <w:t>ation of</w:t>
      </w:r>
      <w:r w:rsidRPr="00C84BA3">
        <w:t xml:space="preserve"> the mapping, in cooperation with the ICH NGO Forum, of </w:t>
      </w:r>
      <w:r>
        <w:t>the areas of expertise</w:t>
      </w:r>
      <w:r w:rsidRPr="00C84BA3">
        <w:t xml:space="preserve"> of remaining accredited NGOs not covered by the first round of the exercise</w:t>
      </w:r>
      <w:r>
        <w:t xml:space="preserve"> completed</w:t>
      </w:r>
      <w:r w:rsidRPr="00C84BA3">
        <w:t xml:space="preserve"> in 2023.</w:t>
      </w:r>
    </w:p>
    <w:p w14:paraId="1AC1DA24" w14:textId="77777777" w:rsidR="00D97A64" w:rsidRPr="00C84BA3" w:rsidRDefault="00D97A64" w:rsidP="00D97A64">
      <w:pPr>
        <w:pStyle w:val="COMPara"/>
        <w:numPr>
          <w:ilvl w:val="0"/>
          <w:numId w:val="37"/>
        </w:numPr>
        <w:jc w:val="both"/>
      </w:pPr>
      <w:r w:rsidRPr="00C84BA3">
        <w:t>Regular consultations between the ICH NGO Forum</w:t>
      </w:r>
      <w:r>
        <w:t xml:space="preserve">, </w:t>
      </w:r>
      <w:r w:rsidRPr="00C84BA3">
        <w:t>Category 2 Centres and the Secretariat on issues related to unbalanced representation of accredited NGOs under the 2003 Convention.</w:t>
      </w:r>
    </w:p>
    <w:p w14:paraId="19DA4995" w14:textId="77777777" w:rsidR="00D97A64" w:rsidRPr="00C84BA3" w:rsidRDefault="00D97A64" w:rsidP="00D97A64">
      <w:pPr>
        <w:pStyle w:val="COMPara"/>
        <w:keepNext/>
        <w:numPr>
          <w:ilvl w:val="0"/>
          <w:numId w:val="0"/>
        </w:numPr>
        <w:ind w:left="567"/>
        <w:jc w:val="both"/>
        <w:rPr>
          <w:u w:val="single"/>
        </w:rPr>
      </w:pPr>
      <w:r w:rsidRPr="00C84BA3">
        <w:rPr>
          <w:u w:val="single"/>
        </w:rPr>
        <w:t xml:space="preserve">D. </w:t>
      </w:r>
      <w:r>
        <w:rPr>
          <w:u w:val="single"/>
        </w:rPr>
        <w:t>T</w:t>
      </w:r>
      <w:r w:rsidRPr="00C84BA3">
        <w:rPr>
          <w:u w:val="single"/>
        </w:rPr>
        <w:t>argeting non-accredited NGOs in under-represented regions</w:t>
      </w:r>
    </w:p>
    <w:p w14:paraId="66459CF0" w14:textId="77777777" w:rsidR="00D97A64" w:rsidRPr="00C84BA3" w:rsidRDefault="00D97A64" w:rsidP="00D97A64">
      <w:pPr>
        <w:pStyle w:val="COMPara"/>
        <w:numPr>
          <w:ilvl w:val="0"/>
          <w:numId w:val="37"/>
        </w:numPr>
        <w:jc w:val="both"/>
        <w:rPr>
          <w:u w:val="single"/>
        </w:rPr>
      </w:pPr>
      <w:r w:rsidRPr="00C84BA3">
        <w:t>Establishment of national</w:t>
      </w:r>
      <w:r>
        <w:t xml:space="preserve"> and </w:t>
      </w:r>
      <w:r w:rsidRPr="00C84BA3">
        <w:t xml:space="preserve">sub-regional networks of accredited NGOs that may be encouraged to identify non-accredited NGOs with potential for providing advisory </w:t>
      </w:r>
      <w:r w:rsidRPr="00C84BA3">
        <w:lastRenderedPageBreak/>
        <w:t>services to the Committee in the priority areas for the further development of the Convention.</w:t>
      </w:r>
    </w:p>
    <w:p w14:paraId="17A28BCA" w14:textId="77777777" w:rsidR="00D97A64" w:rsidRPr="00C84BA3" w:rsidRDefault="00D97A64" w:rsidP="00D97A64">
      <w:pPr>
        <w:pStyle w:val="COMPara"/>
        <w:numPr>
          <w:ilvl w:val="0"/>
          <w:numId w:val="37"/>
        </w:numPr>
        <w:jc w:val="both"/>
        <w:rPr>
          <w:u w:val="single"/>
        </w:rPr>
      </w:pPr>
      <w:r w:rsidRPr="00C84BA3">
        <w:t>Creation of national</w:t>
      </w:r>
      <w:r>
        <w:t xml:space="preserve"> and </w:t>
      </w:r>
      <w:r w:rsidRPr="00C84BA3">
        <w:t>sub-regional databases of non-accredited NGOs with</w:t>
      </w:r>
      <w:r>
        <w:t xml:space="preserve"> </w:t>
      </w:r>
      <w:r w:rsidRPr="00C84BA3">
        <w:t>potential for providing advisory services in order to invite them to capacity-building workshops and information meetings on the accreditation process and its benefits.</w:t>
      </w:r>
    </w:p>
    <w:p w14:paraId="51D98DBD" w14:textId="77777777" w:rsidR="00D97A64" w:rsidRPr="00C84BA3" w:rsidRDefault="00D97A64" w:rsidP="00D97A64">
      <w:pPr>
        <w:pStyle w:val="COMPara"/>
        <w:ind w:left="567" w:hanging="567"/>
        <w:jc w:val="both"/>
      </w:pPr>
      <w:r w:rsidRPr="00C84BA3">
        <w:t>The above actions may focus first on Electoral Groups with a lower percentage of accredited NGOs before</w:t>
      </w:r>
      <w:r>
        <w:t xml:space="preserve"> being</w:t>
      </w:r>
      <w:r w:rsidRPr="00C84BA3">
        <w:t xml:space="preserve"> extend</w:t>
      </w:r>
      <w:r>
        <w:t>ed</w:t>
      </w:r>
      <w:r w:rsidRPr="00C84BA3">
        <w:t xml:space="preserve"> to other groups. In terms of financial resources, some actions are already integrated in ongoing activities of the Secretariat, while others </w:t>
      </w:r>
      <w:r>
        <w:t>may</w:t>
      </w:r>
      <w:r w:rsidRPr="00C84BA3">
        <w:t xml:space="preserve"> be supported by different budget lines of the Intangible Cultural Heritage Fund or require the mobilization of additional support:</w:t>
      </w:r>
    </w:p>
    <w:p w14:paraId="221F5ED5" w14:textId="77777777" w:rsidR="00D97A64" w:rsidRPr="00C84BA3" w:rsidRDefault="00D97A64" w:rsidP="00D97A64">
      <w:pPr>
        <w:pStyle w:val="COMPara"/>
        <w:numPr>
          <w:ilvl w:val="0"/>
          <w:numId w:val="46"/>
        </w:numPr>
        <w:jc w:val="both"/>
      </w:pPr>
      <w:r w:rsidRPr="00C84BA3">
        <w:t xml:space="preserve">Pillar A: </w:t>
      </w:r>
      <w:r>
        <w:t xml:space="preserve">Covered by the </w:t>
      </w:r>
      <w:r w:rsidRPr="00C84BA3">
        <w:t>Budget line 3 ‘Other functions of the Committee’ of the Fund</w:t>
      </w:r>
      <w:r>
        <w:t>;</w:t>
      </w:r>
    </w:p>
    <w:p w14:paraId="2885DCAF" w14:textId="77777777" w:rsidR="00D97A64" w:rsidRPr="00C84BA3" w:rsidRDefault="00D97A64" w:rsidP="00D97A64">
      <w:pPr>
        <w:pStyle w:val="COMPara"/>
        <w:numPr>
          <w:ilvl w:val="0"/>
          <w:numId w:val="46"/>
        </w:numPr>
        <w:jc w:val="both"/>
      </w:pPr>
      <w:r w:rsidRPr="00C84BA3">
        <w:t>Pillar B: Already part of ongoing capacity-building activities supported by various funding sources and to be made more systematic</w:t>
      </w:r>
      <w:r>
        <w:t>;</w:t>
      </w:r>
    </w:p>
    <w:p w14:paraId="326FEE1B" w14:textId="77777777" w:rsidR="00D97A64" w:rsidRPr="006C6852" w:rsidRDefault="00D97A64" w:rsidP="00D97A64">
      <w:pPr>
        <w:pStyle w:val="COMPara"/>
        <w:numPr>
          <w:ilvl w:val="0"/>
          <w:numId w:val="46"/>
        </w:numPr>
        <w:jc w:val="both"/>
      </w:pPr>
      <w:r w:rsidRPr="006C6852">
        <w:t xml:space="preserve">Pillar C: Already part of ongoing outreach activities supported by various funding sources and </w:t>
      </w:r>
      <w:r w:rsidRPr="001E782F">
        <w:t>to be further expanded;</w:t>
      </w:r>
    </w:p>
    <w:p w14:paraId="0B0E550F" w14:textId="77777777" w:rsidR="00D97A64" w:rsidRPr="00C84BA3" w:rsidRDefault="00D97A64" w:rsidP="00D97A64">
      <w:pPr>
        <w:pStyle w:val="COMPara"/>
        <w:numPr>
          <w:ilvl w:val="0"/>
          <w:numId w:val="46"/>
        </w:numPr>
        <w:jc w:val="both"/>
      </w:pPr>
      <w:r w:rsidRPr="00C84BA3">
        <w:t xml:space="preserve">Pillar D: </w:t>
      </w:r>
      <w:r>
        <w:t xml:space="preserve">Covered by the </w:t>
      </w:r>
      <w:r w:rsidRPr="00C84BA3">
        <w:t>Budget Line 7 ‘Advisory services to the Committee’ of the Fund for initial activities</w:t>
      </w:r>
      <w:r>
        <w:t>,</w:t>
      </w:r>
      <w:r w:rsidRPr="00C84BA3">
        <w:t xml:space="preserve"> and to be further strengthened through additional voluntary contributions</w:t>
      </w:r>
      <w:r>
        <w:t>.</w:t>
      </w:r>
    </w:p>
    <w:p w14:paraId="3FE1CC5C" w14:textId="77777777" w:rsidR="00D97A64" w:rsidRPr="00C84BA3" w:rsidRDefault="00D97A64" w:rsidP="00D97A64">
      <w:pPr>
        <w:pStyle w:val="COMPara"/>
        <w:ind w:left="567" w:hanging="567"/>
        <w:jc w:val="both"/>
      </w:pPr>
      <w:r w:rsidRPr="00C84BA3">
        <w:t xml:space="preserve">More information on the use of resources of the Intangible Cultural Heritage Fund is presented under item 8 (document </w:t>
      </w:r>
      <w:hyperlink r:id="rId27" w:history="1">
        <w:r w:rsidRPr="00F02274">
          <w:rPr>
            <w:rStyle w:val="Lienhypertexte"/>
          </w:rPr>
          <w:t>LHE/24/10.GA/8</w:t>
        </w:r>
      </w:hyperlink>
      <w:r w:rsidRPr="00C84BA3">
        <w:t>). States Parti</w:t>
      </w:r>
      <w:r w:rsidRPr="006C6852">
        <w:t>es may also be called upon to</w:t>
      </w:r>
      <w:r w:rsidRPr="00C84BA3">
        <w:t xml:space="preserve"> provide financial support to the proposed actions through the modality of their choice. It is further proposed to implement the plan on an experimental basis and to report the results to the twentieth session of the Committee in 2025 and to the eleventh session of the General Assembly in 2026. </w:t>
      </w:r>
    </w:p>
    <w:p w14:paraId="5469A9D5" w14:textId="77777777" w:rsidR="00D97A64" w:rsidRPr="00C84BA3" w:rsidRDefault="00D97A64" w:rsidP="00D97A64">
      <w:pPr>
        <w:pStyle w:val="COMPara"/>
        <w:numPr>
          <w:ilvl w:val="0"/>
          <w:numId w:val="0"/>
        </w:numPr>
        <w:spacing w:before="240"/>
        <w:jc w:val="both"/>
        <w:rPr>
          <w:b/>
          <w:bCs/>
        </w:rPr>
      </w:pPr>
      <w:r w:rsidRPr="00C84BA3">
        <w:rPr>
          <w:b/>
          <w:bCs/>
        </w:rPr>
        <w:t>Considerations</w:t>
      </w:r>
    </w:p>
    <w:p w14:paraId="74A523FF" w14:textId="77777777" w:rsidR="00D97A64" w:rsidRPr="00C84BA3" w:rsidRDefault="00D97A64" w:rsidP="00D97A64">
      <w:pPr>
        <w:pStyle w:val="COMPara"/>
        <w:ind w:left="567" w:hanging="567"/>
        <w:jc w:val="both"/>
      </w:pPr>
      <w:r w:rsidRPr="00C84BA3">
        <w:t xml:space="preserve">While the </w:t>
      </w:r>
      <w:r>
        <w:t>imbalance in</w:t>
      </w:r>
      <w:r w:rsidRPr="00C84BA3">
        <w:t xml:space="preserve"> geographical distribution of accredited NGOs remains a serious concern, it must also be noted that recent trend</w:t>
      </w:r>
      <w:r>
        <w:t>s</w:t>
      </w:r>
      <w:r w:rsidRPr="00C84BA3">
        <w:t xml:space="preserve"> </w:t>
      </w:r>
      <w:r>
        <w:t>show an improvement</w:t>
      </w:r>
      <w:r w:rsidRPr="00C84BA3">
        <w:t xml:space="preserve">, reflecting efforts made by the stakeholders of the Convention in recent cycles to encourage accreditation requests from under-represented regions. Statistically speaking, if all </w:t>
      </w:r>
      <w:r>
        <w:t>fifty-eight</w:t>
      </w:r>
      <w:r w:rsidRPr="00C84BA3">
        <w:t xml:space="preserve"> accreditation requests put forward to the present session of the </w:t>
      </w:r>
      <w:r>
        <w:t>General Assembly</w:t>
      </w:r>
      <w:r w:rsidRPr="00C84BA3">
        <w:t xml:space="preserve"> are granted, the proportion of accredited NGOs from Electoral Group I will fall below 50</w:t>
      </w:r>
      <w:r>
        <w:t xml:space="preserve"> per cent</w:t>
      </w:r>
      <w:r w:rsidRPr="00C84BA3">
        <w:t xml:space="preserve"> of the overall number of accredited NGOs</w:t>
      </w:r>
      <w:r w:rsidRPr="003A15C6">
        <w:t xml:space="preserve"> </w:t>
      </w:r>
      <w:r w:rsidRPr="00C84BA3">
        <w:t xml:space="preserve">for the first time </w:t>
      </w:r>
      <w:r>
        <w:t>since</w:t>
      </w:r>
      <w:r w:rsidRPr="00C84BA3">
        <w:t xml:space="preserve"> the implementation of the accreditation system. The new actions to be undertaken would buil</w:t>
      </w:r>
      <w:r>
        <w:t>d</w:t>
      </w:r>
      <w:r w:rsidRPr="00C84BA3">
        <w:t xml:space="preserve"> on </w:t>
      </w:r>
      <w:r>
        <w:t>this</w:t>
      </w:r>
      <w:r w:rsidRPr="00C84BA3">
        <w:t xml:space="preserve"> positive </w:t>
      </w:r>
      <w:r>
        <w:t>situation</w:t>
      </w:r>
      <w:r w:rsidRPr="00C84BA3">
        <w:t>.</w:t>
      </w:r>
    </w:p>
    <w:p w14:paraId="7E62E2BF" w14:textId="77777777" w:rsidR="00D97A64" w:rsidRPr="00C84BA3" w:rsidRDefault="00D97A64" w:rsidP="00D97A64">
      <w:pPr>
        <w:pStyle w:val="COMPara"/>
        <w:ind w:left="567" w:hanging="567"/>
      </w:pPr>
      <w:r w:rsidRPr="00C84BA3">
        <w:t>The General Assembly may wish to adopt the following resolution:</w:t>
      </w:r>
    </w:p>
    <w:p w14:paraId="32A1B5FE" w14:textId="77777777" w:rsidR="00D97A64" w:rsidRPr="00C84BA3" w:rsidRDefault="00D97A64" w:rsidP="00D97A64">
      <w:pPr>
        <w:pStyle w:val="COMTitleDecision"/>
        <w:rPr>
          <w:rFonts w:eastAsia="SimSun"/>
        </w:rPr>
      </w:pPr>
      <w:r w:rsidRPr="009D1AA0">
        <w:t>DRAFT RESOLUTION 10.GA 9 Add.</w:t>
      </w:r>
    </w:p>
    <w:p w14:paraId="00CFADD0" w14:textId="77777777" w:rsidR="00D97A64" w:rsidRPr="00C84BA3" w:rsidRDefault="00D97A64" w:rsidP="00D97A64">
      <w:pPr>
        <w:pStyle w:val="COMPreambulaDecisions"/>
        <w:rPr>
          <w:rFonts w:eastAsia="SimSun"/>
        </w:rPr>
      </w:pPr>
      <w:r w:rsidRPr="00C84BA3">
        <w:t>The General Assembly,</w:t>
      </w:r>
    </w:p>
    <w:p w14:paraId="3A4BC48D" w14:textId="77777777" w:rsidR="00D97A64" w:rsidRPr="00C84BA3" w:rsidRDefault="00D97A64" w:rsidP="00D97A64">
      <w:pPr>
        <w:pStyle w:val="COMParaDecision"/>
        <w:numPr>
          <w:ilvl w:val="0"/>
          <w:numId w:val="49"/>
        </w:numPr>
        <w:ind w:left="1134" w:hanging="567"/>
      </w:pPr>
      <w:r w:rsidRPr="00C84BA3">
        <w:t>Having examined</w:t>
      </w:r>
      <w:r w:rsidRPr="00D97A64">
        <w:rPr>
          <w:u w:val="none"/>
        </w:rPr>
        <w:t xml:space="preserve"> document LHE/24/10.GA/9 Add.,</w:t>
      </w:r>
    </w:p>
    <w:p w14:paraId="07C033B6" w14:textId="77777777" w:rsidR="00D97A64" w:rsidRPr="00C84BA3" w:rsidRDefault="00D97A64" w:rsidP="00D97A64">
      <w:pPr>
        <w:pStyle w:val="COMParaDecision"/>
        <w:ind w:left="1134" w:hanging="567"/>
      </w:pPr>
      <w:r w:rsidRPr="00C84BA3">
        <w:t>Recalling</w:t>
      </w:r>
      <w:r w:rsidRPr="00C84BA3">
        <w:rPr>
          <w:u w:val="none"/>
        </w:rPr>
        <w:t xml:space="preserve"> Resolutions </w:t>
      </w:r>
      <w:hyperlink r:id="rId28" w:history="1">
        <w:r w:rsidRPr="00C84BA3">
          <w:rPr>
            <w:rStyle w:val="Lienhypertexte"/>
          </w:rPr>
          <w:t>8.GA 12</w:t>
        </w:r>
      </w:hyperlink>
      <w:r w:rsidRPr="00C84BA3">
        <w:rPr>
          <w:rStyle w:val="Lienhypertexte"/>
          <w:color w:val="auto"/>
          <w:u w:val="none"/>
        </w:rPr>
        <w:t xml:space="preserve"> and </w:t>
      </w:r>
      <w:hyperlink r:id="rId29" w:history="1">
        <w:r w:rsidRPr="00C84BA3">
          <w:rPr>
            <w:rStyle w:val="Lienhypertexte"/>
          </w:rPr>
          <w:t>9.GA 7</w:t>
        </w:r>
      </w:hyperlink>
      <w:r w:rsidRPr="006C6852">
        <w:rPr>
          <w:rStyle w:val="Lienhypertexte"/>
          <w:color w:val="auto"/>
          <w:u w:val="none"/>
        </w:rPr>
        <w:t>,</w:t>
      </w:r>
      <w:r w:rsidRPr="00C84BA3">
        <w:rPr>
          <w:u w:val="none"/>
        </w:rPr>
        <w:t xml:space="preserve"> as well as Decisions </w:t>
      </w:r>
      <w:hyperlink r:id="rId30" w:history="1">
        <w:r w:rsidRPr="00C84BA3">
          <w:rPr>
            <w:rStyle w:val="Lienhypertexte"/>
          </w:rPr>
          <w:t>12.COM 13</w:t>
        </w:r>
      </w:hyperlink>
      <w:r w:rsidRPr="00C84BA3">
        <w:rPr>
          <w:u w:val="none"/>
        </w:rPr>
        <w:t xml:space="preserve">, </w:t>
      </w:r>
      <w:hyperlink r:id="rId31" w:history="1">
        <w:r w:rsidRPr="00C84BA3">
          <w:rPr>
            <w:rStyle w:val="Lienhypertexte"/>
          </w:rPr>
          <w:t>12.COM 17</w:t>
        </w:r>
      </w:hyperlink>
      <w:r w:rsidRPr="00C84BA3">
        <w:rPr>
          <w:u w:val="none"/>
        </w:rPr>
        <w:t xml:space="preserve">, </w:t>
      </w:r>
      <w:hyperlink r:id="rId32" w:history="1">
        <w:r w:rsidRPr="00C84BA3">
          <w:rPr>
            <w:rStyle w:val="Lienhypertexte"/>
          </w:rPr>
          <w:t>14.COM 15</w:t>
        </w:r>
      </w:hyperlink>
      <w:r w:rsidRPr="00C84BA3">
        <w:rPr>
          <w:rStyle w:val="Lienhypertexte"/>
          <w:color w:val="auto"/>
          <w:u w:val="none"/>
        </w:rPr>
        <w:t xml:space="preserve"> and </w:t>
      </w:r>
      <w:hyperlink r:id="rId33" w:history="1">
        <w:r w:rsidRPr="00C84BA3">
          <w:rPr>
            <w:rStyle w:val="Lienhypertexte"/>
          </w:rPr>
          <w:t>18.COM 15</w:t>
        </w:r>
      </w:hyperlink>
      <w:r w:rsidRPr="00C84BA3">
        <w:rPr>
          <w:rStyle w:val="Lienhypertexte"/>
          <w:color w:val="auto"/>
          <w:u w:val="none"/>
        </w:rPr>
        <w:t>,</w:t>
      </w:r>
    </w:p>
    <w:p w14:paraId="738C8DED" w14:textId="77777777" w:rsidR="00D97A64" w:rsidRPr="00C84BA3" w:rsidRDefault="00D97A64" w:rsidP="00D97A64">
      <w:pPr>
        <w:pStyle w:val="COMParaDecision"/>
        <w:ind w:left="1134" w:hanging="567"/>
        <w:rPr>
          <w:u w:val="none"/>
        </w:rPr>
      </w:pPr>
      <w:r w:rsidRPr="00C84BA3">
        <w:t>Takes note</w:t>
      </w:r>
      <w:r w:rsidRPr="00C84BA3">
        <w:rPr>
          <w:u w:val="none"/>
        </w:rPr>
        <w:t xml:space="preserve"> of the proposed plan for ensuring geographical balance amongst accredited NGOs under the 2003 Convention</w:t>
      </w:r>
      <w:r>
        <w:rPr>
          <w:u w:val="none"/>
        </w:rPr>
        <w:t>,</w:t>
      </w:r>
      <w:r w:rsidRPr="00C84BA3">
        <w:rPr>
          <w:u w:val="none"/>
        </w:rPr>
        <w:t xml:space="preserve"> including relevant financial resources identified on an experimental basis, and </w:t>
      </w:r>
      <w:r w:rsidRPr="00C84BA3">
        <w:t>expresses its appreciation</w:t>
      </w:r>
      <w:r w:rsidRPr="00C84BA3">
        <w:rPr>
          <w:u w:val="none"/>
        </w:rPr>
        <w:t xml:space="preserve"> to States Parties, the ICH NGO Forum, Category 2 Centres and other stakeholders for contributing their views through the consultation process;</w:t>
      </w:r>
    </w:p>
    <w:p w14:paraId="722DC1DE" w14:textId="77777777" w:rsidR="00D97A64" w:rsidRPr="00C84BA3" w:rsidRDefault="00D97A64" w:rsidP="00D97A64">
      <w:pPr>
        <w:pStyle w:val="COMParaDecision"/>
        <w:ind w:left="1134" w:hanging="567"/>
        <w:rPr>
          <w:u w:val="none"/>
        </w:rPr>
      </w:pPr>
      <w:r w:rsidRPr="00C84BA3">
        <w:t>Encourages</w:t>
      </w:r>
      <w:r w:rsidRPr="00C84BA3">
        <w:rPr>
          <w:u w:val="none"/>
        </w:rPr>
        <w:t xml:space="preserve"> the Secretariat, the ICH NGO Forum, Category 2 Centres and other stakeholders to implement the above-mentioned plan;</w:t>
      </w:r>
    </w:p>
    <w:p w14:paraId="598316E3" w14:textId="60735CC1" w:rsidR="00745E87" w:rsidRPr="00C84BA3" w:rsidRDefault="00D97A64" w:rsidP="00D97A64">
      <w:pPr>
        <w:pStyle w:val="COMParaDecision"/>
        <w:ind w:left="1134" w:hanging="567"/>
        <w:rPr>
          <w:u w:val="none"/>
        </w:rPr>
      </w:pPr>
      <w:r w:rsidRPr="00C84BA3">
        <w:lastRenderedPageBreak/>
        <w:t>Requests</w:t>
      </w:r>
      <w:r w:rsidRPr="00C84BA3">
        <w:rPr>
          <w:u w:val="none"/>
        </w:rPr>
        <w:t xml:space="preserve"> the Secretariat to report </w:t>
      </w:r>
      <w:r>
        <w:rPr>
          <w:u w:val="none"/>
        </w:rPr>
        <w:t xml:space="preserve">on </w:t>
      </w:r>
      <w:r w:rsidRPr="00C84BA3">
        <w:rPr>
          <w:u w:val="none"/>
        </w:rPr>
        <w:t>the results of the actions taken for examination by the twentieth session of the Committee in 2025 and the eleventh session of the General Assembly in 2026.</w:t>
      </w:r>
    </w:p>
    <w:sectPr w:rsidR="00745E87" w:rsidRPr="00C84BA3" w:rsidSect="006A315D">
      <w:headerReference w:type="even" r:id="rId34"/>
      <w:headerReference w:type="default" r:id="rId35"/>
      <w:headerReference w:type="first" r:id="rId36"/>
      <w:footnotePr>
        <w:numRestart w:val="eachSect"/>
      </w:footnotePr>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5999C" w14:textId="77777777" w:rsidR="002609D4" w:rsidRDefault="002609D4" w:rsidP="00655736">
      <w:r>
        <w:separator/>
      </w:r>
    </w:p>
  </w:endnote>
  <w:endnote w:type="continuationSeparator" w:id="0">
    <w:p w14:paraId="6F6BB6ED" w14:textId="77777777" w:rsidR="002609D4" w:rsidRDefault="002609D4"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52179" w14:textId="77777777" w:rsidR="002609D4" w:rsidRDefault="002609D4" w:rsidP="00655736">
      <w:r>
        <w:separator/>
      </w:r>
    </w:p>
  </w:footnote>
  <w:footnote w:type="continuationSeparator" w:id="0">
    <w:p w14:paraId="33AF3A7D" w14:textId="77777777" w:rsidR="002609D4" w:rsidRDefault="002609D4" w:rsidP="00655736">
      <w:r>
        <w:continuationSeparator/>
      </w:r>
    </w:p>
  </w:footnote>
  <w:footnote w:id="1">
    <w:p w14:paraId="028720D5" w14:textId="77777777" w:rsidR="006A315D" w:rsidRPr="008F187F" w:rsidRDefault="006A315D" w:rsidP="004368A3">
      <w:pPr>
        <w:pStyle w:val="Notedebasdepage"/>
        <w:spacing w:after="60"/>
        <w:ind w:left="567" w:hanging="567"/>
        <w:jc w:val="both"/>
        <w:rPr>
          <w:rFonts w:asciiTheme="minorBidi" w:hAnsiTheme="minorBidi" w:cstheme="minorBidi"/>
          <w:bCs/>
          <w:sz w:val="18"/>
          <w:szCs w:val="18"/>
          <w:lang w:val="en-US"/>
        </w:rPr>
      </w:pPr>
      <w:r w:rsidRPr="00B450C4">
        <w:rPr>
          <w:rStyle w:val="Appelnotedebasdep"/>
          <w:rFonts w:asciiTheme="minorBidi" w:hAnsiTheme="minorBidi" w:cstheme="minorBidi"/>
          <w:sz w:val="18"/>
          <w:szCs w:val="18"/>
        </w:rPr>
        <w:footnoteRef/>
      </w:r>
      <w:r w:rsidRPr="00B450C4">
        <w:rPr>
          <w:rFonts w:asciiTheme="minorBidi" w:hAnsiTheme="minorBidi" w:cstheme="minorBidi"/>
          <w:sz w:val="18"/>
          <w:szCs w:val="18"/>
          <w:vertAlign w:val="superscript"/>
          <w:lang w:val="en-US"/>
        </w:rPr>
        <w:t>.</w:t>
      </w:r>
      <w:r w:rsidRPr="008F187F">
        <w:rPr>
          <w:rFonts w:asciiTheme="minorBidi" w:hAnsiTheme="minorBidi" w:cstheme="minorBidi"/>
          <w:sz w:val="18"/>
          <w:szCs w:val="18"/>
          <w:lang w:val="en-US"/>
        </w:rPr>
        <w:t xml:space="preserve"> </w:t>
      </w:r>
      <w:r w:rsidRPr="008F187F">
        <w:rPr>
          <w:rFonts w:asciiTheme="minorBidi" w:hAnsiTheme="minorBidi" w:cstheme="minorBidi"/>
          <w:sz w:val="18"/>
          <w:szCs w:val="18"/>
          <w:lang w:val="en-US"/>
        </w:rPr>
        <w:tab/>
      </w:r>
      <w:r w:rsidRPr="000B4426">
        <w:rPr>
          <w:rFonts w:asciiTheme="minorBidi" w:hAnsiTheme="minorBidi" w:cstheme="minorBidi"/>
          <w:bCs/>
          <w:snapToGrid w:val="0"/>
          <w:sz w:val="18"/>
          <w:szCs w:val="18"/>
          <w:lang w:val="en-US" w:eastAsia="en-US"/>
        </w:rPr>
        <w:t xml:space="preserve">To date, the General Assembly accredited 300 organizations </w:t>
      </w:r>
      <w:r>
        <w:rPr>
          <w:rFonts w:asciiTheme="minorBidi" w:hAnsiTheme="minorBidi" w:cstheme="minorBidi"/>
          <w:bCs/>
          <w:snapToGrid w:val="0"/>
          <w:sz w:val="18"/>
          <w:szCs w:val="18"/>
          <w:lang w:val="en-US" w:eastAsia="en-US"/>
        </w:rPr>
        <w:t>(</w:t>
      </w:r>
      <w:r w:rsidRPr="008F187F">
        <w:rPr>
          <w:rFonts w:asciiTheme="minorBidi" w:hAnsiTheme="minorBidi" w:cstheme="minorBidi"/>
          <w:bCs/>
          <w:snapToGrid w:val="0"/>
          <w:sz w:val="18"/>
          <w:szCs w:val="18"/>
          <w:lang w:val="en-US" w:eastAsia="en-US"/>
        </w:rPr>
        <w:t xml:space="preserve">97 by Resolution </w:t>
      </w:r>
      <w:hyperlink r:id="rId1" w:history="1">
        <w:r w:rsidRPr="008F187F">
          <w:rPr>
            <w:rStyle w:val="Lienhypertexte"/>
            <w:rFonts w:asciiTheme="minorBidi" w:hAnsiTheme="minorBidi" w:cstheme="minorBidi"/>
            <w:bCs/>
            <w:sz w:val="18"/>
            <w:szCs w:val="18"/>
            <w:lang w:val="en-US"/>
          </w:rPr>
          <w:t>3.GA 7</w:t>
        </w:r>
      </w:hyperlink>
      <w:r w:rsidRPr="008F187F">
        <w:rPr>
          <w:rFonts w:asciiTheme="minorBidi" w:hAnsiTheme="minorBidi" w:cstheme="minorBidi"/>
          <w:bCs/>
          <w:snapToGrid w:val="0"/>
          <w:sz w:val="18"/>
          <w:szCs w:val="18"/>
          <w:lang w:val="en-US" w:eastAsia="en-US"/>
        </w:rPr>
        <w:t xml:space="preserve">, 59 by </w:t>
      </w:r>
      <w:hyperlink r:id="rId2" w:history="1">
        <w:r w:rsidRPr="008F187F">
          <w:rPr>
            <w:rFonts w:asciiTheme="minorBidi" w:hAnsiTheme="minorBidi" w:cstheme="minorBidi"/>
            <w:bCs/>
            <w:snapToGrid w:val="0"/>
            <w:sz w:val="18"/>
            <w:szCs w:val="18"/>
            <w:lang w:val="en-US" w:eastAsia="en-US"/>
          </w:rPr>
          <w:t xml:space="preserve">Resolution </w:t>
        </w:r>
        <w:r w:rsidRPr="008F187F">
          <w:rPr>
            <w:rStyle w:val="Lienhypertexte"/>
            <w:rFonts w:asciiTheme="minorBidi" w:hAnsiTheme="minorBidi" w:cstheme="minorBidi"/>
            <w:bCs/>
            <w:sz w:val="18"/>
            <w:szCs w:val="18"/>
            <w:lang w:val="en-US"/>
          </w:rPr>
          <w:t>4.GA 6</w:t>
        </w:r>
      </w:hyperlink>
      <w:r w:rsidRPr="008F187F">
        <w:rPr>
          <w:rFonts w:asciiTheme="minorBidi" w:hAnsiTheme="minorBidi" w:cstheme="minorBidi"/>
          <w:bCs/>
          <w:snapToGrid w:val="0"/>
          <w:sz w:val="18"/>
          <w:szCs w:val="18"/>
          <w:lang w:val="en-US" w:eastAsia="en-US"/>
        </w:rPr>
        <w:t>, 22 by Resolution</w:t>
      </w:r>
      <w:hyperlink r:id="rId3" w:history="1">
        <w:r w:rsidRPr="008F187F">
          <w:rPr>
            <w:rStyle w:val="Lienhypertexte"/>
            <w:rFonts w:asciiTheme="minorBidi" w:hAnsiTheme="minorBidi" w:cstheme="minorBidi"/>
            <w:bCs/>
            <w:sz w:val="18"/>
            <w:szCs w:val="18"/>
            <w:lang w:val="en-US"/>
          </w:rPr>
          <w:t xml:space="preserve"> 5.GA 6</w:t>
        </w:r>
      </w:hyperlink>
      <w:r w:rsidRPr="008F187F">
        <w:rPr>
          <w:rFonts w:asciiTheme="minorBidi" w:hAnsiTheme="minorBidi" w:cstheme="minorBidi"/>
          <w:bCs/>
          <w:snapToGrid w:val="0"/>
          <w:sz w:val="18"/>
          <w:szCs w:val="18"/>
          <w:lang w:val="en-US" w:eastAsia="en-US"/>
        </w:rPr>
        <w:t xml:space="preserve">, 24 by </w:t>
      </w:r>
      <w:hyperlink r:id="rId4" w:history="1">
        <w:r w:rsidRPr="008F187F">
          <w:rPr>
            <w:rFonts w:asciiTheme="minorBidi" w:hAnsiTheme="minorBidi" w:cstheme="minorBidi"/>
            <w:bCs/>
            <w:snapToGrid w:val="0"/>
            <w:sz w:val="18"/>
            <w:szCs w:val="18"/>
            <w:lang w:val="en-US" w:eastAsia="en-US"/>
          </w:rPr>
          <w:t>Resolution</w:t>
        </w:r>
        <w:r w:rsidRPr="008F187F">
          <w:rPr>
            <w:rFonts w:asciiTheme="minorBidi" w:hAnsiTheme="minorBidi" w:cstheme="minorBidi"/>
            <w:sz w:val="18"/>
            <w:szCs w:val="18"/>
            <w:lang w:val="en-US"/>
          </w:rPr>
          <w:t xml:space="preserve"> </w:t>
        </w:r>
        <w:r w:rsidRPr="008F187F">
          <w:rPr>
            <w:rStyle w:val="Lienhypertexte"/>
            <w:rFonts w:asciiTheme="minorBidi" w:hAnsiTheme="minorBidi" w:cstheme="minorBidi"/>
            <w:bCs/>
            <w:sz w:val="18"/>
            <w:szCs w:val="18"/>
            <w:lang w:val="en-US"/>
          </w:rPr>
          <w:t>6.GA 8</w:t>
        </w:r>
      </w:hyperlink>
      <w:r w:rsidRPr="008F187F">
        <w:rPr>
          <w:rFonts w:asciiTheme="minorBidi" w:hAnsiTheme="minorBidi" w:cstheme="minorBidi"/>
          <w:bCs/>
          <w:snapToGrid w:val="0"/>
          <w:sz w:val="18"/>
          <w:szCs w:val="18"/>
          <w:lang w:val="en-US" w:eastAsia="en-US"/>
        </w:rPr>
        <w:t>, 29 by</w:t>
      </w:r>
      <w:r w:rsidRPr="008F187F">
        <w:rPr>
          <w:rFonts w:asciiTheme="minorBidi" w:hAnsiTheme="minorBidi" w:cstheme="minorBidi"/>
          <w:sz w:val="18"/>
          <w:szCs w:val="18"/>
          <w:lang w:val="en-US"/>
        </w:rPr>
        <w:t xml:space="preserve"> </w:t>
      </w:r>
      <w:r w:rsidRPr="008F187F">
        <w:rPr>
          <w:rFonts w:asciiTheme="minorBidi" w:hAnsiTheme="minorBidi" w:cstheme="minorBidi"/>
          <w:bCs/>
          <w:snapToGrid w:val="0"/>
          <w:sz w:val="18"/>
          <w:szCs w:val="18"/>
          <w:lang w:val="en-US" w:eastAsia="en-US"/>
        </w:rPr>
        <w:t xml:space="preserve">Resolution </w:t>
      </w:r>
      <w:hyperlink r:id="rId5" w:history="1">
        <w:r w:rsidRPr="008F187F">
          <w:rPr>
            <w:rStyle w:val="Lienhypertexte"/>
            <w:rFonts w:asciiTheme="minorBidi" w:hAnsiTheme="minorBidi" w:cstheme="minorBidi"/>
            <w:bCs/>
            <w:sz w:val="18"/>
            <w:szCs w:val="18"/>
            <w:lang w:val="en-US"/>
          </w:rPr>
          <w:t>7.GA 11</w:t>
        </w:r>
      </w:hyperlink>
      <w:r w:rsidRPr="008F187F">
        <w:rPr>
          <w:rFonts w:asciiTheme="minorBidi" w:hAnsiTheme="minorBidi" w:cstheme="minorBidi"/>
          <w:bCs/>
          <w:snapToGrid w:val="0"/>
          <w:sz w:val="18"/>
          <w:szCs w:val="18"/>
          <w:lang w:val="en-US" w:eastAsia="en-US"/>
        </w:rPr>
        <w:t>, 36 by</w:t>
      </w:r>
      <w:r w:rsidRPr="008F187F">
        <w:rPr>
          <w:rFonts w:asciiTheme="minorBidi" w:hAnsiTheme="minorBidi" w:cstheme="minorBidi"/>
          <w:sz w:val="18"/>
          <w:szCs w:val="18"/>
          <w:lang w:val="en-US"/>
        </w:rPr>
        <w:t xml:space="preserve"> </w:t>
      </w:r>
      <w:r w:rsidRPr="008F187F">
        <w:rPr>
          <w:rFonts w:asciiTheme="minorBidi" w:hAnsiTheme="minorBidi" w:cstheme="minorBidi"/>
          <w:bCs/>
          <w:snapToGrid w:val="0"/>
          <w:sz w:val="18"/>
          <w:szCs w:val="18"/>
          <w:lang w:val="en-US" w:eastAsia="en-US"/>
        </w:rPr>
        <w:t xml:space="preserve">Resolution </w:t>
      </w:r>
      <w:hyperlink r:id="rId6" w:history="1">
        <w:r w:rsidRPr="008F187F">
          <w:rPr>
            <w:rStyle w:val="Lienhypertexte"/>
            <w:rFonts w:asciiTheme="minorBidi" w:hAnsiTheme="minorBidi" w:cstheme="minorBidi"/>
            <w:bCs/>
            <w:snapToGrid w:val="0"/>
            <w:sz w:val="18"/>
            <w:szCs w:val="18"/>
            <w:lang w:val="en-US" w:eastAsia="en-US"/>
          </w:rPr>
          <w:t>8.GA 13</w:t>
        </w:r>
      </w:hyperlink>
      <w:r>
        <w:rPr>
          <w:rStyle w:val="Lienhypertexte"/>
          <w:rFonts w:asciiTheme="minorBidi" w:hAnsiTheme="minorBidi" w:cstheme="minorBidi"/>
          <w:bCs/>
          <w:snapToGrid w:val="0"/>
          <w:sz w:val="18"/>
          <w:szCs w:val="18"/>
          <w:lang w:val="en-US" w:eastAsia="en-US"/>
        </w:rPr>
        <w:t>,</w:t>
      </w:r>
      <w:r w:rsidRPr="0098641F">
        <w:rPr>
          <w:rStyle w:val="Lienhypertexte"/>
          <w:rFonts w:asciiTheme="minorBidi" w:hAnsiTheme="minorBidi" w:cstheme="minorBidi"/>
          <w:bCs/>
          <w:snapToGrid w:val="0"/>
          <w:sz w:val="18"/>
          <w:szCs w:val="18"/>
          <w:lang w:val="en-US" w:eastAsia="en-US"/>
        </w:rPr>
        <w:t xml:space="preserve"> and </w:t>
      </w:r>
      <w:r>
        <w:rPr>
          <w:rStyle w:val="Lienhypertexte"/>
          <w:rFonts w:asciiTheme="minorBidi" w:hAnsiTheme="minorBidi" w:cstheme="minorBidi"/>
          <w:bCs/>
          <w:snapToGrid w:val="0"/>
          <w:sz w:val="18"/>
          <w:szCs w:val="18"/>
          <w:lang w:val="en-US" w:eastAsia="en-US"/>
        </w:rPr>
        <w:t>33</w:t>
      </w:r>
      <w:r w:rsidRPr="0098641F">
        <w:rPr>
          <w:rStyle w:val="Lienhypertexte"/>
          <w:rFonts w:asciiTheme="minorBidi" w:hAnsiTheme="minorBidi" w:cstheme="minorBidi"/>
          <w:bCs/>
          <w:snapToGrid w:val="0"/>
          <w:sz w:val="18"/>
          <w:szCs w:val="18"/>
          <w:lang w:val="en-US" w:eastAsia="en-US"/>
        </w:rPr>
        <w:t xml:space="preserve"> by Resolution </w:t>
      </w:r>
      <w:hyperlink r:id="rId7" w:history="1">
        <w:r w:rsidRPr="0098641F">
          <w:rPr>
            <w:rStyle w:val="Lienhypertexte"/>
            <w:rFonts w:asciiTheme="minorBidi" w:hAnsiTheme="minorBidi" w:cstheme="minorBidi"/>
            <w:bCs/>
            <w:snapToGrid w:val="0"/>
            <w:sz w:val="18"/>
            <w:szCs w:val="18"/>
            <w:lang w:val="en-US" w:eastAsia="en-US"/>
          </w:rPr>
          <w:t>9.GA 7</w:t>
        </w:r>
      </w:hyperlink>
      <w:r>
        <w:rPr>
          <w:rStyle w:val="Lienhypertexte"/>
          <w:rFonts w:asciiTheme="minorBidi" w:hAnsiTheme="minorBidi" w:cstheme="minorBidi"/>
          <w:bCs/>
          <w:snapToGrid w:val="0"/>
          <w:sz w:val="18"/>
          <w:szCs w:val="18"/>
          <w:lang w:val="en-US" w:eastAsia="en-US"/>
        </w:rPr>
        <w:t>)</w:t>
      </w:r>
      <w:r w:rsidRPr="008F187F">
        <w:rPr>
          <w:rFonts w:asciiTheme="minorBidi" w:hAnsiTheme="minorBidi" w:cstheme="minorBidi"/>
          <w:bCs/>
          <w:snapToGrid w:val="0"/>
          <w:sz w:val="18"/>
          <w:szCs w:val="18"/>
          <w:lang w:val="en-US" w:eastAsia="en-US"/>
        </w:rPr>
        <w:t>.</w:t>
      </w:r>
    </w:p>
  </w:footnote>
  <w:footnote w:id="2">
    <w:p w14:paraId="150348F9" w14:textId="77777777" w:rsidR="006A315D" w:rsidRPr="008F187F" w:rsidRDefault="006A315D" w:rsidP="00C01618">
      <w:pPr>
        <w:pStyle w:val="Notedebasdepage"/>
        <w:spacing w:after="60"/>
        <w:ind w:left="567" w:hanging="567"/>
        <w:jc w:val="both"/>
        <w:rPr>
          <w:rFonts w:asciiTheme="minorBidi" w:hAnsiTheme="minorBidi" w:cstheme="minorBidi"/>
          <w:sz w:val="18"/>
          <w:szCs w:val="18"/>
          <w:lang w:val="en-US"/>
        </w:rPr>
      </w:pPr>
      <w:r w:rsidRPr="00B450C4">
        <w:rPr>
          <w:rStyle w:val="Appelnotedebasdep"/>
          <w:rFonts w:asciiTheme="minorBidi" w:hAnsiTheme="minorBidi" w:cstheme="minorBidi"/>
          <w:sz w:val="18"/>
          <w:szCs w:val="18"/>
        </w:rPr>
        <w:footnoteRef/>
      </w:r>
      <w:r w:rsidRPr="00B450C4">
        <w:rPr>
          <w:rFonts w:asciiTheme="minorBidi" w:hAnsiTheme="minorBidi" w:cstheme="minorBidi"/>
          <w:bCs/>
          <w:snapToGrid w:val="0"/>
          <w:sz w:val="18"/>
          <w:szCs w:val="18"/>
          <w:vertAlign w:val="superscript"/>
          <w:lang w:val="en-US" w:eastAsia="en-US"/>
        </w:rPr>
        <w:t>.</w:t>
      </w:r>
      <w:r w:rsidRPr="008F187F">
        <w:rPr>
          <w:rFonts w:asciiTheme="minorBidi" w:hAnsiTheme="minorBidi" w:cstheme="minorBidi"/>
          <w:bCs/>
          <w:snapToGrid w:val="0"/>
          <w:sz w:val="18"/>
          <w:szCs w:val="18"/>
          <w:lang w:val="en-US" w:eastAsia="en-US"/>
        </w:rPr>
        <w:tab/>
      </w:r>
      <w:r w:rsidRPr="00964EB5">
        <w:rPr>
          <w:rFonts w:asciiTheme="minorBidi" w:hAnsiTheme="minorBidi" w:cstheme="minorBidi"/>
          <w:bCs/>
          <w:snapToGrid w:val="0"/>
          <w:sz w:val="18"/>
          <w:szCs w:val="18"/>
          <w:lang w:val="en-US" w:eastAsia="en-US"/>
        </w:rPr>
        <w:t xml:space="preserve">At its </w:t>
      </w:r>
      <w:r w:rsidRPr="00345080">
        <w:rPr>
          <w:rFonts w:asciiTheme="minorBidi" w:hAnsiTheme="minorBidi" w:cstheme="minorBidi"/>
          <w:bCs/>
          <w:snapToGrid w:val="0"/>
          <w:sz w:val="18"/>
          <w:szCs w:val="18"/>
          <w:lang w:val="en-US" w:eastAsia="en-US"/>
        </w:rPr>
        <w:t>tenth</w:t>
      </w:r>
      <w:r w:rsidRPr="00964EB5">
        <w:rPr>
          <w:rFonts w:asciiTheme="minorBidi" w:hAnsiTheme="minorBidi" w:cstheme="minorBidi"/>
          <w:bCs/>
          <w:snapToGrid w:val="0"/>
          <w:sz w:val="18"/>
          <w:szCs w:val="18"/>
          <w:lang w:val="en-US" w:eastAsia="en-US"/>
        </w:rPr>
        <w:t xml:space="preserve"> </w:t>
      </w:r>
      <w:bookmarkStart w:id="1" w:name="_Hlk159519092"/>
      <w:r w:rsidRPr="00964EB5">
        <w:rPr>
          <w:rFonts w:asciiTheme="minorBidi" w:hAnsiTheme="minorBidi" w:cstheme="minorBidi"/>
          <w:bCs/>
          <w:snapToGrid w:val="0"/>
          <w:sz w:val="18"/>
          <w:szCs w:val="18"/>
          <w:lang w:val="en-US" w:eastAsia="en-US"/>
        </w:rPr>
        <w:t xml:space="preserve">session in 2015, the Committee decided to continue relations with 59 NGOs and to terminate relations with 38 NGOs (Decision </w:t>
      </w:r>
      <w:r w:rsidR="001E782F">
        <w:fldChar w:fldCharType="begin"/>
      </w:r>
      <w:r w:rsidR="001E782F" w:rsidRPr="001E782F">
        <w:rPr>
          <w:lang w:val="en-US"/>
        </w:rPr>
        <w:instrText>HYPERLINK "https://ich.unesco.org/en/Decisions/10.COM/16"</w:instrText>
      </w:r>
      <w:r w:rsidR="001E782F">
        <w:fldChar w:fldCharType="separate"/>
      </w:r>
      <w:r w:rsidRPr="00964EB5">
        <w:rPr>
          <w:rStyle w:val="Lienhypertexte"/>
          <w:rFonts w:asciiTheme="minorBidi" w:hAnsiTheme="minorBidi" w:cstheme="minorBidi"/>
          <w:bCs/>
          <w:snapToGrid w:val="0"/>
          <w:sz w:val="18"/>
          <w:szCs w:val="18"/>
          <w:lang w:val="en-US" w:eastAsia="en-US"/>
        </w:rPr>
        <w:t>10.COM 16</w:t>
      </w:r>
      <w:r w:rsidR="001E782F">
        <w:rPr>
          <w:rStyle w:val="Lienhypertexte"/>
          <w:rFonts w:asciiTheme="minorBidi" w:hAnsiTheme="minorBidi" w:cstheme="minorBidi"/>
          <w:bCs/>
          <w:snapToGrid w:val="0"/>
          <w:sz w:val="18"/>
          <w:szCs w:val="18"/>
          <w:lang w:val="en-US" w:eastAsia="en-US"/>
        </w:rPr>
        <w:fldChar w:fldCharType="end"/>
      </w:r>
      <w:r w:rsidRPr="00964EB5">
        <w:rPr>
          <w:rFonts w:asciiTheme="minorBidi" w:hAnsiTheme="minorBidi" w:cstheme="minorBidi"/>
          <w:bCs/>
          <w:snapToGrid w:val="0"/>
          <w:sz w:val="18"/>
          <w:szCs w:val="18"/>
          <w:lang w:val="en-US" w:eastAsia="en-US"/>
        </w:rPr>
        <w:t>),</w:t>
      </w:r>
      <w:bookmarkEnd w:id="1"/>
      <w:r w:rsidRPr="00964EB5">
        <w:rPr>
          <w:rFonts w:asciiTheme="minorBidi" w:hAnsiTheme="minorBidi" w:cstheme="minorBidi"/>
          <w:bCs/>
          <w:snapToGrid w:val="0"/>
          <w:sz w:val="18"/>
          <w:szCs w:val="18"/>
          <w:lang w:val="en-US" w:eastAsia="en-US"/>
        </w:rPr>
        <w:t xml:space="preserve"> all accredited by the third session of the General Assembly in 2010; at its </w:t>
      </w:r>
      <w:r w:rsidRPr="00345080">
        <w:rPr>
          <w:rFonts w:asciiTheme="minorBidi" w:hAnsiTheme="minorBidi" w:cstheme="minorBidi"/>
          <w:bCs/>
          <w:snapToGrid w:val="0"/>
          <w:sz w:val="18"/>
          <w:szCs w:val="18"/>
          <w:lang w:val="en-US" w:eastAsia="en-US"/>
        </w:rPr>
        <w:t>twelfth</w:t>
      </w:r>
      <w:r w:rsidRPr="00964EB5">
        <w:rPr>
          <w:rFonts w:asciiTheme="minorBidi" w:hAnsiTheme="minorBidi" w:cstheme="minorBidi"/>
          <w:bCs/>
          <w:snapToGrid w:val="0"/>
          <w:sz w:val="18"/>
          <w:szCs w:val="18"/>
          <w:lang w:val="en-US" w:eastAsia="en-US"/>
        </w:rPr>
        <w:t xml:space="preserve"> session in 2017, the Committee decided to continue relations with 42 NGOs and to terminate relations with 17 NGOs (Decision </w:t>
      </w:r>
      <w:hyperlink r:id="rId8" w:history="1">
        <w:r w:rsidRPr="00964EB5">
          <w:rPr>
            <w:rStyle w:val="Lienhypertexte"/>
            <w:rFonts w:asciiTheme="minorBidi" w:hAnsiTheme="minorBidi" w:cstheme="minorBidi"/>
            <w:bCs/>
            <w:snapToGrid w:val="0"/>
            <w:sz w:val="18"/>
            <w:szCs w:val="18"/>
            <w:lang w:val="en-US" w:eastAsia="en-US"/>
          </w:rPr>
          <w:t>12.COM 17</w:t>
        </w:r>
      </w:hyperlink>
      <w:r w:rsidRPr="00964EB5">
        <w:rPr>
          <w:rFonts w:asciiTheme="minorBidi" w:hAnsiTheme="minorBidi" w:cstheme="minorBidi"/>
          <w:bCs/>
          <w:snapToGrid w:val="0"/>
          <w:sz w:val="18"/>
          <w:szCs w:val="18"/>
          <w:lang w:val="en-US" w:eastAsia="en-US"/>
        </w:rPr>
        <w:t xml:space="preserve">), all accredited by the fourth session of the General Assembly in 2012; at its </w:t>
      </w:r>
      <w:r w:rsidRPr="00345080">
        <w:rPr>
          <w:rFonts w:asciiTheme="minorBidi" w:hAnsiTheme="minorBidi" w:cstheme="minorBidi"/>
          <w:bCs/>
          <w:snapToGrid w:val="0"/>
          <w:sz w:val="18"/>
          <w:szCs w:val="18"/>
          <w:lang w:val="en-US" w:eastAsia="en-US"/>
        </w:rPr>
        <w:t>fourteenth</w:t>
      </w:r>
      <w:r w:rsidRPr="00964EB5">
        <w:rPr>
          <w:rFonts w:asciiTheme="minorBidi" w:hAnsiTheme="minorBidi" w:cstheme="minorBidi"/>
          <w:bCs/>
          <w:snapToGrid w:val="0"/>
          <w:sz w:val="18"/>
          <w:szCs w:val="18"/>
          <w:lang w:val="en-US" w:eastAsia="en-US"/>
        </w:rPr>
        <w:t xml:space="preserve"> session in 2019, the Committee decided to continue relations with 62 accredited NGOs and to terminate relations with 19 NGOs (Decision </w:t>
      </w:r>
      <w:hyperlink r:id="rId9" w:history="1">
        <w:r w:rsidRPr="00964EB5">
          <w:rPr>
            <w:rStyle w:val="Lienhypertexte"/>
            <w:rFonts w:asciiTheme="minorBidi" w:hAnsiTheme="minorBidi" w:cstheme="minorBidi"/>
            <w:bCs/>
            <w:snapToGrid w:val="0"/>
            <w:sz w:val="18"/>
            <w:szCs w:val="18"/>
            <w:lang w:val="en-US" w:eastAsia="en-US"/>
          </w:rPr>
          <w:t>14.COM 17</w:t>
        </w:r>
      </w:hyperlink>
      <w:r w:rsidRPr="00964EB5">
        <w:rPr>
          <w:rFonts w:asciiTheme="minorBidi" w:hAnsiTheme="minorBidi" w:cstheme="minorBidi"/>
          <w:bCs/>
          <w:snapToGrid w:val="0"/>
          <w:sz w:val="18"/>
          <w:szCs w:val="18"/>
          <w:lang w:val="en-US" w:eastAsia="en-US"/>
        </w:rPr>
        <w:t xml:space="preserve">), all accredited by the fifth session of the General Assembly; at its </w:t>
      </w:r>
      <w:r w:rsidRPr="00345080">
        <w:rPr>
          <w:rFonts w:asciiTheme="minorBidi" w:hAnsiTheme="minorBidi" w:cstheme="minorBidi"/>
          <w:bCs/>
          <w:snapToGrid w:val="0"/>
          <w:sz w:val="18"/>
          <w:szCs w:val="18"/>
          <w:lang w:val="en-US" w:eastAsia="en-US"/>
        </w:rPr>
        <w:t>sixteenth</w:t>
      </w:r>
      <w:r w:rsidRPr="00964EB5">
        <w:rPr>
          <w:rFonts w:asciiTheme="minorBidi" w:hAnsiTheme="minorBidi" w:cstheme="minorBidi"/>
          <w:bCs/>
          <w:snapToGrid w:val="0"/>
          <w:sz w:val="18"/>
          <w:szCs w:val="18"/>
          <w:lang w:val="en-US" w:eastAsia="en-US"/>
        </w:rPr>
        <w:t xml:space="preserve"> session in 2021, the Committee decided to continue relations with 57 accredited NGOs and to terminate relations with 9 NGOs (Decision </w:t>
      </w:r>
      <w:hyperlink r:id="rId10" w:history="1">
        <w:r w:rsidRPr="00964EB5">
          <w:rPr>
            <w:rStyle w:val="Lienhypertexte"/>
            <w:rFonts w:asciiTheme="minorBidi" w:hAnsiTheme="minorBidi" w:cstheme="minorBidi"/>
            <w:bCs/>
            <w:snapToGrid w:val="0"/>
            <w:sz w:val="18"/>
            <w:szCs w:val="18"/>
            <w:lang w:val="en-US" w:eastAsia="en-US"/>
          </w:rPr>
          <w:t>16.COM 15</w:t>
        </w:r>
      </w:hyperlink>
      <w:r w:rsidRPr="00964EB5">
        <w:rPr>
          <w:rFonts w:asciiTheme="minorBidi" w:hAnsiTheme="minorBidi" w:cstheme="minorBidi"/>
          <w:bCs/>
          <w:snapToGrid w:val="0"/>
          <w:sz w:val="18"/>
          <w:szCs w:val="18"/>
          <w:lang w:val="en-US" w:eastAsia="en-US"/>
        </w:rPr>
        <w:t xml:space="preserve">), all accredited by the sixth session of the General Assembly. At its </w:t>
      </w:r>
      <w:r w:rsidRPr="00345080">
        <w:rPr>
          <w:rFonts w:asciiTheme="minorBidi" w:hAnsiTheme="minorBidi" w:cstheme="minorBidi"/>
          <w:bCs/>
          <w:snapToGrid w:val="0"/>
          <w:sz w:val="18"/>
          <w:szCs w:val="18"/>
          <w:lang w:val="en-US" w:eastAsia="en-US"/>
        </w:rPr>
        <w:t>eighteenth</w:t>
      </w:r>
      <w:r w:rsidRPr="00422549">
        <w:rPr>
          <w:rFonts w:asciiTheme="minorBidi" w:hAnsiTheme="minorBidi" w:cstheme="minorBidi"/>
          <w:b/>
          <w:snapToGrid w:val="0"/>
          <w:sz w:val="18"/>
          <w:szCs w:val="18"/>
          <w:lang w:val="en-US" w:eastAsia="en-US"/>
        </w:rPr>
        <w:t xml:space="preserve"> </w:t>
      </w:r>
      <w:r>
        <w:rPr>
          <w:rFonts w:asciiTheme="minorBidi" w:hAnsiTheme="minorBidi" w:cstheme="minorBidi"/>
          <w:bCs/>
          <w:snapToGrid w:val="0"/>
          <w:sz w:val="18"/>
          <w:szCs w:val="18"/>
          <w:lang w:val="en-US" w:eastAsia="en-US"/>
        </w:rPr>
        <w:t xml:space="preserve">session </w:t>
      </w:r>
      <w:r w:rsidRPr="00C7472F">
        <w:rPr>
          <w:rFonts w:asciiTheme="minorBidi" w:hAnsiTheme="minorBidi" w:cstheme="minorBidi"/>
          <w:bCs/>
          <w:snapToGrid w:val="0"/>
          <w:sz w:val="18"/>
          <w:szCs w:val="18"/>
          <w:lang w:val="en-US" w:eastAsia="en-US"/>
        </w:rPr>
        <w:t>in 20</w:t>
      </w:r>
      <w:r>
        <w:rPr>
          <w:rFonts w:asciiTheme="minorBidi" w:hAnsiTheme="minorBidi" w:cstheme="minorBidi"/>
          <w:bCs/>
          <w:snapToGrid w:val="0"/>
          <w:sz w:val="18"/>
          <w:szCs w:val="18"/>
          <w:lang w:val="en-US" w:eastAsia="en-US"/>
        </w:rPr>
        <w:t>23</w:t>
      </w:r>
      <w:r w:rsidRPr="00C7472F">
        <w:rPr>
          <w:rFonts w:asciiTheme="minorBidi" w:hAnsiTheme="minorBidi" w:cstheme="minorBidi"/>
          <w:bCs/>
          <w:snapToGrid w:val="0"/>
          <w:sz w:val="18"/>
          <w:szCs w:val="18"/>
          <w:lang w:val="en-US" w:eastAsia="en-US"/>
        </w:rPr>
        <w:t xml:space="preserve">, the Committee decided to continue relations with </w:t>
      </w:r>
      <w:r>
        <w:rPr>
          <w:rFonts w:asciiTheme="minorBidi" w:hAnsiTheme="minorBidi" w:cstheme="minorBidi"/>
          <w:bCs/>
          <w:snapToGrid w:val="0"/>
          <w:sz w:val="18"/>
          <w:szCs w:val="18"/>
          <w:lang w:val="en-US" w:eastAsia="en-US"/>
        </w:rPr>
        <w:t>80</w:t>
      </w:r>
      <w:r w:rsidRPr="00C7472F">
        <w:rPr>
          <w:rFonts w:asciiTheme="minorBidi" w:hAnsiTheme="minorBidi" w:cstheme="minorBidi"/>
          <w:bCs/>
          <w:snapToGrid w:val="0"/>
          <w:sz w:val="18"/>
          <w:szCs w:val="18"/>
          <w:lang w:val="en-US" w:eastAsia="en-US"/>
        </w:rPr>
        <w:t xml:space="preserve"> NGOs and to terminate relations with </w:t>
      </w:r>
      <w:r>
        <w:rPr>
          <w:rFonts w:asciiTheme="minorBidi" w:hAnsiTheme="minorBidi" w:cstheme="minorBidi"/>
          <w:bCs/>
          <w:snapToGrid w:val="0"/>
          <w:sz w:val="18"/>
          <w:szCs w:val="18"/>
          <w:lang w:val="en-US" w:eastAsia="en-US"/>
        </w:rPr>
        <w:t>11</w:t>
      </w:r>
      <w:r w:rsidRPr="00C7472F">
        <w:rPr>
          <w:rFonts w:asciiTheme="minorBidi" w:hAnsiTheme="minorBidi" w:cstheme="minorBidi"/>
          <w:bCs/>
          <w:snapToGrid w:val="0"/>
          <w:sz w:val="18"/>
          <w:szCs w:val="18"/>
          <w:lang w:val="en-US" w:eastAsia="en-US"/>
        </w:rPr>
        <w:t xml:space="preserve"> NGOs (Decision</w:t>
      </w:r>
      <w:r>
        <w:rPr>
          <w:rFonts w:asciiTheme="minorBidi" w:hAnsiTheme="minorBidi" w:cstheme="minorBidi"/>
          <w:bCs/>
          <w:snapToGrid w:val="0"/>
          <w:sz w:val="18"/>
          <w:szCs w:val="18"/>
          <w:lang w:val="en-US" w:eastAsia="en-US"/>
        </w:rPr>
        <w:t> </w:t>
      </w:r>
      <w:hyperlink r:id="rId11" w:history="1">
        <w:r w:rsidRPr="00422549">
          <w:rPr>
            <w:rStyle w:val="Lienhypertexte"/>
            <w:rFonts w:asciiTheme="minorBidi" w:hAnsiTheme="minorBidi" w:cstheme="minorBidi"/>
            <w:bCs/>
            <w:snapToGrid w:val="0"/>
            <w:sz w:val="18"/>
            <w:szCs w:val="18"/>
            <w:lang w:val="en-US" w:eastAsia="en-US"/>
          </w:rPr>
          <w:t>18.COM 16</w:t>
        </w:r>
      </w:hyperlink>
      <w:r w:rsidRPr="00C7472F">
        <w:rPr>
          <w:rFonts w:asciiTheme="minorBidi" w:hAnsiTheme="minorBidi" w:cstheme="minorBidi"/>
          <w:bCs/>
          <w:snapToGrid w:val="0"/>
          <w:sz w:val="18"/>
          <w:szCs w:val="18"/>
          <w:lang w:val="en-US" w:eastAsia="en-US"/>
        </w:rPr>
        <w:t>)</w:t>
      </w:r>
      <w:r>
        <w:rPr>
          <w:rFonts w:asciiTheme="minorBidi" w:hAnsiTheme="minorBidi" w:cstheme="minorBidi"/>
          <w:bCs/>
          <w:snapToGrid w:val="0"/>
          <w:sz w:val="18"/>
          <w:szCs w:val="18"/>
          <w:lang w:val="en-US" w:eastAsia="en-US"/>
        </w:rPr>
        <w:t>.</w:t>
      </w:r>
    </w:p>
  </w:footnote>
  <w:footnote w:id="3">
    <w:p w14:paraId="44BA42BC" w14:textId="1DDC0A67" w:rsidR="00D97A64" w:rsidRPr="007434A9" w:rsidRDefault="00D97A64" w:rsidP="00580916">
      <w:pPr>
        <w:pStyle w:val="Notedebasdepage"/>
        <w:ind w:left="567" w:hanging="567"/>
        <w:jc w:val="both"/>
        <w:rPr>
          <w:rFonts w:asciiTheme="minorBidi" w:hAnsiTheme="minorBidi" w:cstheme="minorBidi"/>
          <w:sz w:val="18"/>
          <w:szCs w:val="18"/>
          <w:lang w:val="en-US"/>
        </w:rPr>
      </w:pPr>
      <w:r w:rsidRPr="007434A9">
        <w:rPr>
          <w:rStyle w:val="Appelnotedebasdep"/>
          <w:rFonts w:asciiTheme="minorBidi" w:hAnsiTheme="minorBidi" w:cstheme="minorBidi"/>
          <w:sz w:val="18"/>
          <w:szCs w:val="18"/>
        </w:rPr>
        <w:footnoteRef/>
      </w:r>
      <w:r w:rsidR="00580916">
        <w:rPr>
          <w:rFonts w:asciiTheme="minorBidi" w:hAnsiTheme="minorBidi" w:cstheme="minorBidi"/>
          <w:sz w:val="18"/>
          <w:szCs w:val="18"/>
          <w:lang w:val="en-US"/>
        </w:rPr>
        <w:t xml:space="preserve"> </w:t>
      </w:r>
      <w:r w:rsidR="00580916">
        <w:rPr>
          <w:rFonts w:asciiTheme="minorBidi" w:hAnsiTheme="minorBidi" w:cstheme="minorBidi"/>
          <w:sz w:val="18"/>
          <w:szCs w:val="18"/>
          <w:lang w:val="en-US"/>
        </w:rPr>
        <w:tab/>
      </w:r>
      <w:r w:rsidRPr="007434A9">
        <w:rPr>
          <w:rFonts w:asciiTheme="minorBidi" w:hAnsiTheme="minorBidi" w:cstheme="minorBidi"/>
          <w:sz w:val="18"/>
          <w:szCs w:val="18"/>
          <w:lang w:val="en-US"/>
        </w:rPr>
        <w:t xml:space="preserve">Number (and percentage) of respondents selecting this measure out of </w:t>
      </w:r>
      <w:r>
        <w:rPr>
          <w:rFonts w:asciiTheme="minorBidi" w:hAnsiTheme="minorBidi" w:cstheme="minorBidi"/>
          <w:sz w:val="18"/>
          <w:szCs w:val="18"/>
          <w:lang w:val="en-US"/>
        </w:rPr>
        <w:t>thirty-seven participating</w:t>
      </w:r>
      <w:r w:rsidRPr="007434A9">
        <w:rPr>
          <w:rFonts w:asciiTheme="minorBidi" w:hAnsiTheme="minorBidi" w:cstheme="minorBidi"/>
          <w:sz w:val="18"/>
          <w:szCs w:val="18"/>
          <w:lang w:val="en-US"/>
        </w:rPr>
        <w:t xml:space="preserve"> States Parties.</w:t>
      </w:r>
      <w:r w:rsidR="00580916">
        <w:rPr>
          <w:rFonts w:asciiTheme="minorBidi" w:hAnsiTheme="minorBidi" w:cstheme="minorBidi"/>
          <w:sz w:val="18"/>
          <w:szCs w:val="18"/>
          <w:lang w:val="en-US"/>
        </w:rPr>
        <w:t xml:space="preserve"> </w:t>
      </w:r>
      <w:r w:rsidRPr="007434A9">
        <w:rPr>
          <w:rFonts w:asciiTheme="minorBidi" w:hAnsiTheme="minorBidi" w:cstheme="minorBidi"/>
          <w:sz w:val="18"/>
          <w:szCs w:val="18"/>
          <w:lang w:val="en-US"/>
        </w:rPr>
        <w:t>Each State Party could choose up to two possible measures.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37C6" w14:textId="1246BBA1" w:rsidR="00D95C4C" w:rsidRPr="00C23A97" w:rsidRDefault="00775F15">
    <w:pPr>
      <w:pStyle w:val="En-tte"/>
      <w:rPr>
        <w:rFonts w:ascii="Arial" w:hAnsi="Arial" w:cs="Arial"/>
        <w:lang w:val="en-GB"/>
      </w:rPr>
    </w:pPr>
    <w:r>
      <w:rPr>
        <w:rFonts w:ascii="Arial" w:hAnsi="Arial" w:cs="Arial"/>
        <w:sz w:val="20"/>
        <w:szCs w:val="20"/>
        <w:lang w:val="en-GB"/>
      </w:rPr>
      <w:t>LHE/24/10</w:t>
    </w:r>
    <w:r w:rsidR="00BB04AF" w:rsidRPr="00C23A97">
      <w:rPr>
        <w:rFonts w:ascii="Arial" w:hAnsi="Arial" w:cs="Arial"/>
        <w:sz w:val="20"/>
        <w:szCs w:val="20"/>
        <w:lang w:val="en-GB"/>
      </w:rPr>
      <w:t>.GA</w:t>
    </w:r>
    <w:r w:rsidR="00D95C4C" w:rsidRPr="00C23A97">
      <w:rPr>
        <w:rFonts w:ascii="Arial" w:hAnsi="Arial" w:cs="Arial"/>
        <w:sz w:val="20"/>
        <w:szCs w:val="20"/>
        <w:lang w:val="en-GB"/>
      </w:rPr>
      <w:t>/</w:t>
    </w:r>
    <w:r>
      <w:rPr>
        <w:rFonts w:ascii="Arial" w:hAnsi="Arial" w:cs="Arial"/>
        <w:sz w:val="20"/>
        <w:szCs w:val="20"/>
        <w:lang w:val="en-GB"/>
      </w:rPr>
      <w:t>9</w:t>
    </w:r>
    <w:r w:rsidRPr="00C23A97">
      <w:rPr>
        <w:rFonts w:ascii="Arial" w:hAnsi="Arial" w:cs="Arial"/>
        <w:sz w:val="20"/>
        <w:szCs w:val="20"/>
        <w:lang w:val="en-GB"/>
      </w:rPr>
      <w:t xml:space="preserve"> </w:t>
    </w:r>
    <w:r w:rsidR="00D95C4C" w:rsidRPr="00C23A97">
      <w:rPr>
        <w:rFonts w:ascii="Arial" w:hAnsi="Arial" w:cs="Arial"/>
        <w:sz w:val="20"/>
        <w:szCs w:val="20"/>
        <w:lang w:val="en-GB"/>
      </w:rPr>
      <w:t xml:space="preserve">– page </w:t>
    </w:r>
    <w:r w:rsidR="00D95C4C" w:rsidRPr="00C23A97">
      <w:rPr>
        <w:rStyle w:val="Numrodepage"/>
        <w:rFonts w:ascii="Arial" w:hAnsi="Arial" w:cs="Arial"/>
        <w:sz w:val="20"/>
        <w:szCs w:val="20"/>
        <w:lang w:val="en-GB"/>
      </w:rPr>
      <w:fldChar w:fldCharType="begin"/>
    </w:r>
    <w:r w:rsidR="00D95C4C" w:rsidRPr="00C23A97">
      <w:rPr>
        <w:rStyle w:val="Numrodepage"/>
        <w:rFonts w:ascii="Arial" w:hAnsi="Arial" w:cs="Arial"/>
        <w:sz w:val="20"/>
        <w:szCs w:val="20"/>
        <w:lang w:val="en-GB"/>
      </w:rPr>
      <w:instrText xml:space="preserve"> PAGE </w:instrText>
    </w:r>
    <w:r w:rsidR="00D95C4C" w:rsidRPr="00C23A97">
      <w:rPr>
        <w:rStyle w:val="Numrodepage"/>
        <w:rFonts w:ascii="Arial" w:hAnsi="Arial" w:cs="Arial"/>
        <w:sz w:val="20"/>
        <w:szCs w:val="20"/>
        <w:lang w:val="en-GB"/>
      </w:rPr>
      <w:fldChar w:fldCharType="separate"/>
    </w:r>
    <w:r>
      <w:rPr>
        <w:rStyle w:val="Numrodepage"/>
        <w:rFonts w:ascii="Arial" w:hAnsi="Arial" w:cs="Arial"/>
        <w:noProof/>
        <w:sz w:val="20"/>
        <w:szCs w:val="20"/>
        <w:lang w:val="en-GB"/>
      </w:rPr>
      <w:t>2</w:t>
    </w:r>
    <w:r w:rsidR="00D95C4C" w:rsidRPr="00C23A97">
      <w:rPr>
        <w:rStyle w:val="Numrodepage"/>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A518D" w14:textId="49C70ACB" w:rsidR="00D95C4C" w:rsidRPr="0063300C" w:rsidRDefault="00775F15" w:rsidP="0063300C">
    <w:pPr>
      <w:pStyle w:val="En-tte"/>
      <w:jc w:val="right"/>
      <w:rPr>
        <w:rFonts w:ascii="Arial" w:hAnsi="Arial" w:cs="Arial"/>
        <w:lang w:val="en-GB"/>
      </w:rPr>
    </w:pPr>
    <w:r>
      <w:rPr>
        <w:rFonts w:ascii="Arial" w:hAnsi="Arial" w:cs="Arial"/>
        <w:sz w:val="20"/>
        <w:szCs w:val="20"/>
      </w:rPr>
      <w:t xml:space="preserve">LHE/24/10.GA/9 </w:t>
    </w:r>
    <w:r w:rsidR="004A34A0" w:rsidRPr="0063300C">
      <w:rPr>
        <w:rFonts w:ascii="Arial" w:hAnsi="Arial" w:cs="Arial"/>
        <w:sz w:val="20"/>
        <w:szCs w:val="20"/>
        <w:lang w:val="en-GB"/>
      </w:rPr>
      <w:t xml:space="preserve">– page </w:t>
    </w:r>
    <w:r w:rsidR="004A34A0" w:rsidRPr="0063300C">
      <w:rPr>
        <w:rStyle w:val="Numrodepage"/>
        <w:rFonts w:ascii="Arial" w:hAnsi="Arial" w:cs="Arial"/>
        <w:sz w:val="20"/>
        <w:szCs w:val="20"/>
        <w:lang w:val="en-GB"/>
      </w:rPr>
      <w:fldChar w:fldCharType="begin"/>
    </w:r>
    <w:r w:rsidR="004A34A0" w:rsidRPr="0063300C">
      <w:rPr>
        <w:rStyle w:val="Numrodepage"/>
        <w:rFonts w:ascii="Arial" w:hAnsi="Arial" w:cs="Arial"/>
        <w:sz w:val="20"/>
        <w:szCs w:val="20"/>
        <w:lang w:val="en-GB"/>
      </w:rPr>
      <w:instrText xml:space="preserve"> PAGE </w:instrText>
    </w:r>
    <w:r w:rsidR="004A34A0" w:rsidRPr="0063300C">
      <w:rPr>
        <w:rStyle w:val="Numrodepage"/>
        <w:rFonts w:ascii="Arial" w:hAnsi="Arial" w:cs="Arial"/>
        <w:sz w:val="20"/>
        <w:szCs w:val="20"/>
        <w:lang w:val="en-GB"/>
      </w:rPr>
      <w:fldChar w:fldCharType="separate"/>
    </w:r>
    <w:r>
      <w:rPr>
        <w:rStyle w:val="Numrodepage"/>
        <w:rFonts w:ascii="Arial" w:hAnsi="Arial" w:cs="Arial"/>
        <w:noProof/>
        <w:sz w:val="20"/>
        <w:szCs w:val="20"/>
        <w:lang w:val="en-GB"/>
      </w:rPr>
      <w:t>3</w:t>
    </w:r>
    <w:r w:rsidR="004A34A0" w:rsidRPr="0063300C">
      <w:rPr>
        <w:rStyle w:val="Numrodepage"/>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705F" w14:textId="77777777" w:rsidR="00D95C4C" w:rsidRPr="008724E5" w:rsidRDefault="00775F15">
    <w:pPr>
      <w:pStyle w:val="En-tte"/>
    </w:pPr>
    <w:r w:rsidRPr="00352C08">
      <w:rPr>
        <w:noProof/>
        <w:lang w:val="en-GB"/>
      </w:rPr>
      <w:drawing>
        <wp:anchor distT="0" distB="0" distL="114300" distR="114300" simplePos="0" relativeHeight="251661312" behindDoc="0" locked="0" layoutInCell="1" allowOverlap="1" wp14:anchorId="3A91B71C" wp14:editId="032A904E">
          <wp:simplePos x="0" y="0"/>
          <wp:positionH relativeFrom="column">
            <wp:posOffset>29210</wp:posOffset>
          </wp:positionH>
          <wp:positionV relativeFrom="paragraph">
            <wp:posOffset>0</wp:posOffset>
          </wp:positionV>
          <wp:extent cx="1711325" cy="1296035"/>
          <wp:effectExtent l="0" t="0" r="3175" b="0"/>
          <wp:wrapSquare wrapText="bothSides"/>
          <wp:docPr id="133945432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D0B6C4" w14:textId="77777777" w:rsidR="00D95C4C" w:rsidRPr="00D25762" w:rsidRDefault="00775F15" w:rsidP="00655736">
    <w:pPr>
      <w:pStyle w:val="En-tte"/>
      <w:spacing w:after="520"/>
      <w:jc w:val="right"/>
      <w:rPr>
        <w:rFonts w:ascii="Arial" w:hAnsi="Arial" w:cs="Arial"/>
        <w:b/>
        <w:sz w:val="44"/>
        <w:szCs w:val="44"/>
        <w:lang w:val="pt-PT"/>
      </w:rPr>
    </w:pPr>
    <w:r>
      <w:rPr>
        <w:rFonts w:ascii="Arial" w:hAnsi="Arial" w:cs="Arial"/>
        <w:b/>
        <w:sz w:val="44"/>
        <w:szCs w:val="44"/>
        <w:lang w:val="pt-PT"/>
      </w:rPr>
      <w:t>10</w:t>
    </w:r>
    <w:r w:rsidR="00D95C4C" w:rsidRPr="00D25762">
      <w:rPr>
        <w:rFonts w:ascii="Arial" w:hAnsi="Arial" w:cs="Arial"/>
        <w:b/>
        <w:sz w:val="44"/>
        <w:szCs w:val="44"/>
        <w:lang w:val="pt-PT"/>
      </w:rPr>
      <w:t xml:space="preserve"> GA</w:t>
    </w:r>
  </w:p>
  <w:p w14:paraId="7C005743" w14:textId="3E5AD957" w:rsidR="00D95C4C" w:rsidRPr="00D25762" w:rsidRDefault="00775F15" w:rsidP="00655736">
    <w:pPr>
      <w:jc w:val="right"/>
      <w:rPr>
        <w:rFonts w:ascii="Arial" w:hAnsi="Arial" w:cs="Arial"/>
        <w:b/>
        <w:sz w:val="22"/>
        <w:szCs w:val="22"/>
        <w:lang w:val="pt-PT"/>
      </w:rPr>
    </w:pPr>
    <w:r w:rsidRPr="00D25762">
      <w:rPr>
        <w:rFonts w:ascii="Arial" w:hAnsi="Arial" w:cs="Arial"/>
        <w:b/>
        <w:sz w:val="22"/>
        <w:szCs w:val="22"/>
        <w:lang w:val="pt-PT"/>
      </w:rPr>
      <w:t>LHE/2</w:t>
    </w:r>
    <w:r>
      <w:rPr>
        <w:rFonts w:ascii="Arial" w:hAnsi="Arial" w:cs="Arial"/>
        <w:b/>
        <w:sz w:val="22"/>
        <w:szCs w:val="22"/>
        <w:lang w:val="pt-PT"/>
      </w:rPr>
      <w:t>4</w:t>
    </w:r>
    <w:r w:rsidR="00D95C4C" w:rsidRPr="00D25762">
      <w:rPr>
        <w:rFonts w:ascii="Arial" w:hAnsi="Arial" w:cs="Arial"/>
        <w:b/>
        <w:sz w:val="22"/>
        <w:szCs w:val="22"/>
        <w:lang w:val="pt-PT"/>
      </w:rPr>
      <w:t>/</w:t>
    </w:r>
    <w:r>
      <w:rPr>
        <w:rFonts w:ascii="Arial" w:hAnsi="Arial" w:cs="Arial"/>
        <w:b/>
        <w:sz w:val="22"/>
        <w:szCs w:val="22"/>
        <w:lang w:val="pt-PT"/>
      </w:rPr>
      <w:t>10.</w:t>
    </w:r>
    <w:r w:rsidR="00BB04AF" w:rsidRPr="00D25762">
      <w:rPr>
        <w:rFonts w:ascii="Arial" w:hAnsi="Arial" w:cs="Arial"/>
        <w:b/>
        <w:sz w:val="22"/>
        <w:szCs w:val="22"/>
        <w:lang w:val="pt-PT"/>
      </w:rPr>
      <w:t>GA</w:t>
    </w:r>
    <w:r w:rsidR="00D95C4C" w:rsidRPr="00D25762">
      <w:rPr>
        <w:rFonts w:ascii="Arial" w:hAnsi="Arial" w:cs="Arial"/>
        <w:b/>
        <w:sz w:val="22"/>
        <w:szCs w:val="22"/>
        <w:lang w:val="pt-PT"/>
      </w:rPr>
      <w:t>/</w:t>
    </w:r>
    <w:r w:rsidRPr="00345080">
      <w:rPr>
        <w:rFonts w:ascii="Arial" w:hAnsi="Arial" w:cs="Arial"/>
        <w:b/>
        <w:sz w:val="22"/>
        <w:szCs w:val="22"/>
        <w:lang w:val="pt-PT"/>
      </w:rPr>
      <w:t>9</w:t>
    </w:r>
  </w:p>
  <w:p w14:paraId="3420B248" w14:textId="7BB9394F" w:rsidR="00D95C4C" w:rsidRPr="00D25762" w:rsidRDefault="00D95C4C" w:rsidP="00655736">
    <w:pPr>
      <w:jc w:val="right"/>
      <w:rPr>
        <w:rFonts w:ascii="Arial" w:hAnsi="Arial" w:cs="Arial"/>
        <w:b/>
        <w:sz w:val="22"/>
        <w:szCs w:val="22"/>
        <w:lang w:val="pt-PT"/>
      </w:rPr>
    </w:pPr>
    <w:r w:rsidRPr="00D25762">
      <w:rPr>
        <w:rFonts w:ascii="Arial" w:hAnsi="Arial" w:cs="Arial"/>
        <w:b/>
        <w:sz w:val="22"/>
        <w:szCs w:val="22"/>
        <w:lang w:val="pt-PT"/>
      </w:rPr>
      <w:t xml:space="preserve">Paris, </w:t>
    </w:r>
    <w:r w:rsidR="00D97A64">
      <w:rPr>
        <w:rFonts w:ascii="Arial" w:hAnsi="Arial" w:cs="Arial"/>
        <w:b/>
        <w:sz w:val="22"/>
        <w:szCs w:val="22"/>
        <w:lang w:val="pt-PT"/>
      </w:rPr>
      <w:t>13</w:t>
    </w:r>
    <w:r w:rsidR="00775F15">
      <w:rPr>
        <w:rFonts w:ascii="Arial" w:hAnsi="Arial" w:cs="Arial"/>
        <w:b/>
        <w:sz w:val="22"/>
        <w:szCs w:val="22"/>
        <w:lang w:val="pt-PT"/>
      </w:rPr>
      <w:t xml:space="preserve"> May 2024</w:t>
    </w:r>
  </w:p>
  <w:p w14:paraId="65644141" w14:textId="77777777" w:rsidR="00D95C4C" w:rsidRDefault="00D95C4C" w:rsidP="00703FBF">
    <w:pPr>
      <w:jc w:val="right"/>
      <w:rPr>
        <w:rFonts w:ascii="Arial" w:hAnsi="Arial" w:cs="Arial"/>
        <w:b/>
        <w:sz w:val="22"/>
        <w:szCs w:val="22"/>
        <w:lang w:val="en-GB"/>
      </w:rPr>
    </w:pPr>
    <w:r w:rsidRPr="00C23A97">
      <w:rPr>
        <w:rFonts w:ascii="Arial" w:hAnsi="Arial" w:cs="Arial"/>
        <w:b/>
        <w:sz w:val="22"/>
        <w:szCs w:val="22"/>
        <w:lang w:val="en-GB"/>
      </w:rPr>
      <w:t xml:space="preserve">Original: </w:t>
    </w:r>
    <w:r w:rsidR="00775F15">
      <w:rPr>
        <w:rFonts w:ascii="Arial" w:hAnsi="Arial" w:cs="Arial"/>
        <w:b/>
        <w:sz w:val="22"/>
        <w:szCs w:val="22"/>
        <w:lang w:val="en-GB"/>
      </w:rPr>
      <w:t>English</w:t>
    </w:r>
  </w:p>
  <w:p w14:paraId="5228574B" w14:textId="77777777" w:rsidR="00775F15" w:rsidRPr="00C23A97" w:rsidRDefault="00775F15" w:rsidP="00540FE0">
    <w:pPr>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F0D43" w14:textId="2270C549" w:rsidR="00D97A64" w:rsidRPr="00C23A97" w:rsidRDefault="00D97A64">
    <w:pPr>
      <w:pStyle w:val="En-tte"/>
      <w:rPr>
        <w:rFonts w:ascii="Arial" w:hAnsi="Arial" w:cs="Arial"/>
        <w:lang w:val="en-GB"/>
      </w:rPr>
    </w:pPr>
    <w:r>
      <w:rPr>
        <w:rFonts w:ascii="Arial" w:hAnsi="Arial" w:cs="Arial"/>
        <w:sz w:val="20"/>
        <w:szCs w:val="20"/>
        <w:lang w:val="en-GB"/>
      </w:rPr>
      <w:t>LHE/24/10</w:t>
    </w:r>
    <w:r w:rsidRPr="00C23A97">
      <w:rPr>
        <w:rFonts w:ascii="Arial" w:hAnsi="Arial" w:cs="Arial"/>
        <w:sz w:val="20"/>
        <w:szCs w:val="20"/>
        <w:lang w:val="en-GB"/>
      </w:rPr>
      <w:t>.GA/</w:t>
    </w:r>
    <w:r>
      <w:rPr>
        <w:rFonts w:ascii="Arial" w:hAnsi="Arial" w:cs="Arial"/>
        <w:sz w:val="20"/>
        <w:szCs w:val="20"/>
        <w:lang w:val="en-GB"/>
      </w:rPr>
      <w:t>9 Add.</w:t>
    </w:r>
    <w:r w:rsidRPr="00C23A97">
      <w:rPr>
        <w:rFonts w:ascii="Arial" w:hAnsi="Arial" w:cs="Arial"/>
        <w:sz w:val="20"/>
        <w:szCs w:val="20"/>
        <w:lang w:val="en-GB"/>
      </w:rPr>
      <w:t xml:space="preserve"> – page </w:t>
    </w:r>
    <w:r w:rsidRPr="00C23A97">
      <w:rPr>
        <w:rStyle w:val="Numrodepage"/>
        <w:rFonts w:ascii="Arial" w:hAnsi="Arial" w:cs="Arial"/>
        <w:sz w:val="20"/>
        <w:szCs w:val="20"/>
        <w:lang w:val="en-GB"/>
      </w:rPr>
      <w:fldChar w:fldCharType="begin"/>
    </w:r>
    <w:r w:rsidRPr="00C23A97">
      <w:rPr>
        <w:rStyle w:val="Numrodepage"/>
        <w:rFonts w:ascii="Arial" w:hAnsi="Arial" w:cs="Arial"/>
        <w:sz w:val="20"/>
        <w:szCs w:val="20"/>
        <w:lang w:val="en-GB"/>
      </w:rPr>
      <w:instrText xml:space="preserve"> PAGE </w:instrText>
    </w:r>
    <w:r w:rsidRPr="00C23A97">
      <w:rPr>
        <w:rStyle w:val="Numrodepage"/>
        <w:rFonts w:ascii="Arial" w:hAnsi="Arial" w:cs="Arial"/>
        <w:sz w:val="20"/>
        <w:szCs w:val="20"/>
        <w:lang w:val="en-GB"/>
      </w:rPr>
      <w:fldChar w:fldCharType="separate"/>
    </w:r>
    <w:r>
      <w:rPr>
        <w:rStyle w:val="Numrodepage"/>
        <w:rFonts w:ascii="Arial" w:hAnsi="Arial" w:cs="Arial"/>
        <w:noProof/>
        <w:sz w:val="20"/>
        <w:szCs w:val="20"/>
        <w:lang w:val="en-GB"/>
      </w:rPr>
      <w:t>2</w:t>
    </w:r>
    <w:r w:rsidRPr="00C23A97">
      <w:rPr>
        <w:rStyle w:val="Numrodepage"/>
        <w:rFonts w:ascii="Arial" w:hAnsi="Arial" w:cs="Arial"/>
        <w:sz w:val="20"/>
        <w:szCs w:val="20"/>
        <w:lang w:val="en-GB"/>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AF360" w14:textId="1671D588" w:rsidR="00D97A64" w:rsidRPr="0063300C" w:rsidRDefault="00D97A64" w:rsidP="0063300C">
    <w:pPr>
      <w:pStyle w:val="En-tte"/>
      <w:jc w:val="right"/>
      <w:rPr>
        <w:rFonts w:ascii="Arial" w:hAnsi="Arial" w:cs="Arial"/>
        <w:lang w:val="en-GB"/>
      </w:rPr>
    </w:pPr>
    <w:r>
      <w:rPr>
        <w:rFonts w:ascii="Arial" w:hAnsi="Arial" w:cs="Arial"/>
        <w:sz w:val="20"/>
        <w:szCs w:val="20"/>
      </w:rPr>
      <w:t xml:space="preserve">LHE/24/10.GA/9 Add. </w:t>
    </w:r>
    <w:r w:rsidRPr="0063300C">
      <w:rPr>
        <w:rFonts w:ascii="Arial" w:hAnsi="Arial" w:cs="Arial"/>
        <w:sz w:val="20"/>
        <w:szCs w:val="20"/>
        <w:lang w:val="en-GB"/>
      </w:rPr>
      <w:t xml:space="preserve">– page </w:t>
    </w:r>
    <w:r w:rsidRPr="0063300C">
      <w:rPr>
        <w:rStyle w:val="Numrodepage"/>
        <w:rFonts w:ascii="Arial" w:hAnsi="Arial" w:cs="Arial"/>
        <w:sz w:val="20"/>
        <w:szCs w:val="20"/>
        <w:lang w:val="en-GB"/>
      </w:rPr>
      <w:fldChar w:fldCharType="begin"/>
    </w:r>
    <w:r w:rsidRPr="0063300C">
      <w:rPr>
        <w:rStyle w:val="Numrodepage"/>
        <w:rFonts w:ascii="Arial" w:hAnsi="Arial" w:cs="Arial"/>
        <w:sz w:val="20"/>
        <w:szCs w:val="20"/>
        <w:lang w:val="en-GB"/>
      </w:rPr>
      <w:instrText xml:space="preserve"> PAGE </w:instrText>
    </w:r>
    <w:r w:rsidRPr="0063300C">
      <w:rPr>
        <w:rStyle w:val="Numrodepage"/>
        <w:rFonts w:ascii="Arial" w:hAnsi="Arial" w:cs="Arial"/>
        <w:sz w:val="20"/>
        <w:szCs w:val="20"/>
        <w:lang w:val="en-GB"/>
      </w:rPr>
      <w:fldChar w:fldCharType="separate"/>
    </w:r>
    <w:r>
      <w:rPr>
        <w:rStyle w:val="Numrodepage"/>
        <w:rFonts w:ascii="Arial" w:hAnsi="Arial" w:cs="Arial"/>
        <w:noProof/>
        <w:sz w:val="20"/>
        <w:szCs w:val="20"/>
        <w:lang w:val="en-GB"/>
      </w:rPr>
      <w:t>3</w:t>
    </w:r>
    <w:r w:rsidRPr="0063300C">
      <w:rPr>
        <w:rStyle w:val="Numrodepage"/>
        <w:rFonts w:ascii="Arial" w:hAnsi="Arial" w:cs="Arial"/>
        <w:sz w:val="20"/>
        <w:szCs w:val="20"/>
        <w:lang w:val="en-GB"/>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E5734" w14:textId="77777777" w:rsidR="00D97A64" w:rsidRPr="008724E5" w:rsidRDefault="00D97A64">
    <w:pPr>
      <w:pStyle w:val="En-tte"/>
    </w:pPr>
    <w:r w:rsidRPr="00352C08">
      <w:rPr>
        <w:noProof/>
        <w:lang w:val="en-GB"/>
      </w:rPr>
      <w:drawing>
        <wp:anchor distT="0" distB="0" distL="114300" distR="114300" simplePos="0" relativeHeight="251663360" behindDoc="0" locked="0" layoutInCell="1" allowOverlap="1" wp14:anchorId="41E44F66" wp14:editId="6EC6CB5D">
          <wp:simplePos x="0" y="0"/>
          <wp:positionH relativeFrom="column">
            <wp:posOffset>29210</wp:posOffset>
          </wp:positionH>
          <wp:positionV relativeFrom="paragraph">
            <wp:posOffset>0</wp:posOffset>
          </wp:positionV>
          <wp:extent cx="1711325" cy="1296035"/>
          <wp:effectExtent l="0" t="0" r="3175" b="0"/>
          <wp:wrapSquare wrapText="bothSides"/>
          <wp:docPr id="38614210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E42F18" w14:textId="77777777" w:rsidR="00D97A64" w:rsidRPr="00D25762" w:rsidRDefault="00D97A64" w:rsidP="00655736">
    <w:pPr>
      <w:pStyle w:val="En-tte"/>
      <w:spacing w:after="520"/>
      <w:jc w:val="right"/>
      <w:rPr>
        <w:rFonts w:ascii="Arial" w:hAnsi="Arial" w:cs="Arial"/>
        <w:b/>
        <w:sz w:val="44"/>
        <w:szCs w:val="44"/>
        <w:lang w:val="pt-PT"/>
      </w:rPr>
    </w:pPr>
    <w:r>
      <w:rPr>
        <w:rFonts w:ascii="Arial" w:hAnsi="Arial" w:cs="Arial"/>
        <w:b/>
        <w:sz w:val="44"/>
        <w:szCs w:val="44"/>
        <w:lang w:val="pt-PT"/>
      </w:rPr>
      <w:t>10</w:t>
    </w:r>
    <w:r w:rsidRPr="00D25762">
      <w:rPr>
        <w:rFonts w:ascii="Arial" w:hAnsi="Arial" w:cs="Arial"/>
        <w:b/>
        <w:sz w:val="44"/>
        <w:szCs w:val="44"/>
        <w:lang w:val="pt-PT"/>
      </w:rPr>
      <w:t xml:space="preserve"> GA</w:t>
    </w:r>
  </w:p>
  <w:p w14:paraId="0BEF9752" w14:textId="77777777" w:rsidR="00D97A64" w:rsidRPr="00D25762" w:rsidRDefault="00D97A64" w:rsidP="00655736">
    <w:pPr>
      <w:jc w:val="right"/>
      <w:rPr>
        <w:rFonts w:ascii="Arial" w:hAnsi="Arial" w:cs="Arial"/>
        <w:b/>
        <w:sz w:val="22"/>
        <w:szCs w:val="22"/>
        <w:lang w:val="pt-PT"/>
      </w:rPr>
    </w:pPr>
    <w:r w:rsidRPr="00D25762">
      <w:rPr>
        <w:rFonts w:ascii="Arial" w:hAnsi="Arial" w:cs="Arial"/>
        <w:b/>
        <w:sz w:val="22"/>
        <w:szCs w:val="22"/>
        <w:lang w:val="pt-PT"/>
      </w:rPr>
      <w:t>LHE/2</w:t>
    </w:r>
    <w:r>
      <w:rPr>
        <w:rFonts w:ascii="Arial" w:hAnsi="Arial" w:cs="Arial"/>
        <w:b/>
        <w:sz w:val="22"/>
        <w:szCs w:val="22"/>
        <w:lang w:val="pt-PT"/>
      </w:rPr>
      <w:t>4</w:t>
    </w:r>
    <w:r w:rsidRPr="00D25762">
      <w:rPr>
        <w:rFonts w:ascii="Arial" w:hAnsi="Arial" w:cs="Arial"/>
        <w:b/>
        <w:sz w:val="22"/>
        <w:szCs w:val="22"/>
        <w:lang w:val="pt-PT"/>
      </w:rPr>
      <w:t>/</w:t>
    </w:r>
    <w:r>
      <w:rPr>
        <w:rFonts w:ascii="Arial" w:hAnsi="Arial" w:cs="Arial"/>
        <w:b/>
        <w:sz w:val="22"/>
        <w:szCs w:val="22"/>
        <w:lang w:val="pt-PT"/>
      </w:rPr>
      <w:t>10.</w:t>
    </w:r>
    <w:r w:rsidRPr="00D25762">
      <w:rPr>
        <w:rFonts w:ascii="Arial" w:hAnsi="Arial" w:cs="Arial"/>
        <w:b/>
        <w:sz w:val="22"/>
        <w:szCs w:val="22"/>
        <w:lang w:val="pt-PT"/>
      </w:rPr>
      <w:t>GA/</w:t>
    </w:r>
    <w:r w:rsidRPr="00345080">
      <w:rPr>
        <w:rFonts w:ascii="Arial" w:hAnsi="Arial" w:cs="Arial"/>
        <w:b/>
        <w:sz w:val="22"/>
        <w:szCs w:val="22"/>
        <w:lang w:val="pt-PT"/>
      </w:rPr>
      <w:t>9</w:t>
    </w:r>
    <w:r>
      <w:rPr>
        <w:rFonts w:ascii="Arial" w:hAnsi="Arial" w:cs="Arial"/>
        <w:b/>
        <w:sz w:val="22"/>
        <w:szCs w:val="22"/>
        <w:lang w:val="pt-PT"/>
      </w:rPr>
      <w:t xml:space="preserve"> Add.</w:t>
    </w:r>
  </w:p>
  <w:p w14:paraId="018CD1FA" w14:textId="77777777" w:rsidR="00D97A64" w:rsidRPr="00D25762" w:rsidRDefault="00D97A64" w:rsidP="00655736">
    <w:pPr>
      <w:jc w:val="right"/>
      <w:rPr>
        <w:rFonts w:ascii="Arial" w:hAnsi="Arial" w:cs="Arial"/>
        <w:b/>
        <w:sz w:val="22"/>
        <w:szCs w:val="22"/>
        <w:lang w:val="pt-PT"/>
      </w:rPr>
    </w:pPr>
    <w:r w:rsidRPr="00D25762">
      <w:rPr>
        <w:rFonts w:ascii="Arial" w:hAnsi="Arial" w:cs="Arial"/>
        <w:b/>
        <w:sz w:val="22"/>
        <w:szCs w:val="22"/>
        <w:lang w:val="pt-PT"/>
      </w:rPr>
      <w:t xml:space="preserve">Paris, </w:t>
    </w:r>
    <w:r>
      <w:rPr>
        <w:rFonts w:ascii="Arial" w:hAnsi="Arial" w:cs="Arial"/>
        <w:b/>
        <w:sz w:val="22"/>
        <w:szCs w:val="22"/>
        <w:lang w:val="pt-PT"/>
      </w:rPr>
      <w:t>31 May 2024</w:t>
    </w:r>
  </w:p>
  <w:p w14:paraId="1260053E" w14:textId="77777777" w:rsidR="00D97A64" w:rsidRDefault="00D97A64" w:rsidP="00703FBF">
    <w:pPr>
      <w:jc w:val="right"/>
      <w:rPr>
        <w:rFonts w:ascii="Arial" w:hAnsi="Arial" w:cs="Arial"/>
        <w:b/>
        <w:sz w:val="22"/>
        <w:szCs w:val="22"/>
        <w:lang w:val="en-GB"/>
      </w:rPr>
    </w:pPr>
    <w:r w:rsidRPr="00C23A97">
      <w:rPr>
        <w:rFonts w:ascii="Arial" w:hAnsi="Arial" w:cs="Arial"/>
        <w:b/>
        <w:sz w:val="22"/>
        <w:szCs w:val="22"/>
        <w:lang w:val="en-GB"/>
      </w:rPr>
      <w:t xml:space="preserve">Original: </w:t>
    </w:r>
    <w:r>
      <w:rPr>
        <w:rFonts w:ascii="Arial" w:hAnsi="Arial" w:cs="Arial"/>
        <w:b/>
        <w:sz w:val="22"/>
        <w:szCs w:val="22"/>
        <w:lang w:val="en-GB"/>
      </w:rPr>
      <w:t>English</w:t>
    </w:r>
  </w:p>
  <w:p w14:paraId="08B5CF74" w14:textId="77777777" w:rsidR="00D97A64" w:rsidRPr="00C23A97" w:rsidRDefault="00D97A64" w:rsidP="00540FE0">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376F"/>
    <w:multiLevelType w:val="hybridMultilevel"/>
    <w:tmpl w:val="695ED68C"/>
    <w:lvl w:ilvl="0" w:tplc="5582BC92">
      <w:start w:val="1"/>
      <w:numFmt w:val="decimal"/>
      <w:lvlText w:val="%1."/>
      <w:lvlJc w:val="left"/>
      <w:pPr>
        <w:ind w:left="570" w:hanging="570"/>
      </w:pPr>
      <w:rPr>
        <w:rFonts w:ascii="Arial" w:eastAsia="Times New Roman" w:hAnsi="Arial" w:cs="Arial"/>
        <w:b w:val="0"/>
        <w:bCs/>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07766E0"/>
    <w:multiLevelType w:val="hybridMultilevel"/>
    <w:tmpl w:val="F23A1AB8"/>
    <w:lvl w:ilvl="0" w:tplc="04090001">
      <w:start w:val="1"/>
      <w:numFmt w:val="bullet"/>
      <w:lvlText w:val=""/>
      <w:lvlJc w:val="left"/>
      <w:pPr>
        <w:ind w:left="881" w:hanging="360"/>
      </w:pPr>
      <w:rPr>
        <w:rFonts w:ascii="Symbol" w:hAnsi="Symbol"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3" w15:restartNumberingAfterBreak="0">
    <w:nsid w:val="18F06C69"/>
    <w:multiLevelType w:val="hybridMultilevel"/>
    <w:tmpl w:val="74A0ADAE"/>
    <w:lvl w:ilvl="0" w:tplc="040C0001">
      <w:start w:val="1"/>
      <w:numFmt w:val="bullet"/>
      <w:lvlText w:val=""/>
      <w:lvlJc w:val="left"/>
      <w:pPr>
        <w:ind w:left="1347" w:hanging="360"/>
      </w:pPr>
      <w:rPr>
        <w:rFonts w:ascii="Symbol" w:hAnsi="Symbol" w:hint="default"/>
      </w:rPr>
    </w:lvl>
    <w:lvl w:ilvl="1" w:tplc="040C0003" w:tentative="1">
      <w:start w:val="1"/>
      <w:numFmt w:val="bullet"/>
      <w:lvlText w:val="o"/>
      <w:lvlJc w:val="left"/>
      <w:pPr>
        <w:ind w:left="2067" w:hanging="360"/>
      </w:pPr>
      <w:rPr>
        <w:rFonts w:ascii="Courier New" w:hAnsi="Courier New" w:cs="Courier New" w:hint="default"/>
      </w:rPr>
    </w:lvl>
    <w:lvl w:ilvl="2" w:tplc="040C0005" w:tentative="1">
      <w:start w:val="1"/>
      <w:numFmt w:val="bullet"/>
      <w:lvlText w:val=""/>
      <w:lvlJc w:val="left"/>
      <w:pPr>
        <w:ind w:left="2787" w:hanging="360"/>
      </w:pPr>
      <w:rPr>
        <w:rFonts w:ascii="Wingdings" w:hAnsi="Wingdings" w:hint="default"/>
      </w:rPr>
    </w:lvl>
    <w:lvl w:ilvl="3" w:tplc="040C0001" w:tentative="1">
      <w:start w:val="1"/>
      <w:numFmt w:val="bullet"/>
      <w:lvlText w:val=""/>
      <w:lvlJc w:val="left"/>
      <w:pPr>
        <w:ind w:left="3507" w:hanging="360"/>
      </w:pPr>
      <w:rPr>
        <w:rFonts w:ascii="Symbol" w:hAnsi="Symbol" w:hint="default"/>
      </w:rPr>
    </w:lvl>
    <w:lvl w:ilvl="4" w:tplc="040C0003" w:tentative="1">
      <w:start w:val="1"/>
      <w:numFmt w:val="bullet"/>
      <w:lvlText w:val="o"/>
      <w:lvlJc w:val="left"/>
      <w:pPr>
        <w:ind w:left="4227" w:hanging="360"/>
      </w:pPr>
      <w:rPr>
        <w:rFonts w:ascii="Courier New" w:hAnsi="Courier New" w:cs="Courier New" w:hint="default"/>
      </w:rPr>
    </w:lvl>
    <w:lvl w:ilvl="5" w:tplc="040C0005" w:tentative="1">
      <w:start w:val="1"/>
      <w:numFmt w:val="bullet"/>
      <w:lvlText w:val=""/>
      <w:lvlJc w:val="left"/>
      <w:pPr>
        <w:ind w:left="4947" w:hanging="360"/>
      </w:pPr>
      <w:rPr>
        <w:rFonts w:ascii="Wingdings" w:hAnsi="Wingdings" w:hint="default"/>
      </w:rPr>
    </w:lvl>
    <w:lvl w:ilvl="6" w:tplc="040C0001" w:tentative="1">
      <w:start w:val="1"/>
      <w:numFmt w:val="bullet"/>
      <w:lvlText w:val=""/>
      <w:lvlJc w:val="left"/>
      <w:pPr>
        <w:ind w:left="5667" w:hanging="360"/>
      </w:pPr>
      <w:rPr>
        <w:rFonts w:ascii="Symbol" w:hAnsi="Symbol" w:hint="default"/>
      </w:rPr>
    </w:lvl>
    <w:lvl w:ilvl="7" w:tplc="040C0003" w:tentative="1">
      <w:start w:val="1"/>
      <w:numFmt w:val="bullet"/>
      <w:lvlText w:val="o"/>
      <w:lvlJc w:val="left"/>
      <w:pPr>
        <w:ind w:left="6387" w:hanging="360"/>
      </w:pPr>
      <w:rPr>
        <w:rFonts w:ascii="Courier New" w:hAnsi="Courier New" w:cs="Courier New" w:hint="default"/>
      </w:rPr>
    </w:lvl>
    <w:lvl w:ilvl="8" w:tplc="040C0005" w:tentative="1">
      <w:start w:val="1"/>
      <w:numFmt w:val="bullet"/>
      <w:lvlText w:val=""/>
      <w:lvlJc w:val="left"/>
      <w:pPr>
        <w:ind w:left="7107" w:hanging="360"/>
      </w:pPr>
      <w:rPr>
        <w:rFonts w:ascii="Wingdings" w:hAnsi="Wingdings" w:hint="default"/>
      </w:rPr>
    </w:lvl>
  </w:abstractNum>
  <w:abstractNum w:abstractNumId="4" w15:restartNumberingAfterBreak="0">
    <w:nsid w:val="1BA40D70"/>
    <w:multiLevelType w:val="hybridMultilevel"/>
    <w:tmpl w:val="FA48674E"/>
    <w:lvl w:ilvl="0" w:tplc="FFFFFFFF">
      <w:start w:val="1"/>
      <w:numFmt w:val="upperLetter"/>
      <w:lvlText w:val="%1."/>
      <w:lvlJc w:val="left"/>
      <w:pPr>
        <w:ind w:left="502"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4336682"/>
    <w:multiLevelType w:val="hybridMultilevel"/>
    <w:tmpl w:val="35EAA06E"/>
    <w:lvl w:ilvl="0" w:tplc="04090017">
      <w:start w:val="1"/>
      <w:numFmt w:val="lowerLetter"/>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8" w15:restartNumberingAfterBreak="0">
    <w:nsid w:val="248B13A7"/>
    <w:multiLevelType w:val="hybridMultilevel"/>
    <w:tmpl w:val="647C72D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30515124"/>
    <w:multiLevelType w:val="hybridMultilevel"/>
    <w:tmpl w:val="93DAB1A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5"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6" w15:restartNumberingAfterBreak="0">
    <w:nsid w:val="45714ECB"/>
    <w:multiLevelType w:val="hybridMultilevel"/>
    <w:tmpl w:val="220A5FB0"/>
    <w:lvl w:ilvl="0" w:tplc="040C0001">
      <w:start w:val="1"/>
      <w:numFmt w:val="bullet"/>
      <w:lvlText w:val=""/>
      <w:lvlJc w:val="left"/>
      <w:pPr>
        <w:ind w:left="1069" w:hanging="360"/>
      </w:pPr>
      <w:rPr>
        <w:rFonts w:ascii="Symbol" w:hAnsi="Symbol" w:hint="default"/>
        <w:lang w:val="en-US"/>
      </w:rPr>
    </w:lvl>
    <w:lvl w:ilvl="1" w:tplc="040C0019">
      <w:start w:val="1"/>
      <w:numFmt w:val="lowerLetter"/>
      <w:lvlText w:val="%2."/>
      <w:lvlJc w:val="left"/>
      <w:pPr>
        <w:ind w:left="1789" w:hanging="360"/>
      </w:pPr>
    </w:lvl>
    <w:lvl w:ilvl="2" w:tplc="040C001B">
      <w:start w:val="1"/>
      <w:numFmt w:val="lowerRoman"/>
      <w:lvlText w:val="%3."/>
      <w:lvlJc w:val="right"/>
      <w:pPr>
        <w:ind w:left="2509" w:hanging="180"/>
      </w:pPr>
    </w:lvl>
    <w:lvl w:ilvl="3" w:tplc="040C000F">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7" w15:restartNumberingAfterBreak="0">
    <w:nsid w:val="4A5569F2"/>
    <w:multiLevelType w:val="hybridMultilevel"/>
    <w:tmpl w:val="86A62A4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559736D2"/>
    <w:multiLevelType w:val="hybridMultilevel"/>
    <w:tmpl w:val="74F2CF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BC6DF9"/>
    <w:multiLevelType w:val="hybridMultilevel"/>
    <w:tmpl w:val="6C2E7F3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1"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C627CF4"/>
    <w:multiLevelType w:val="hybridMultilevel"/>
    <w:tmpl w:val="FA48674E"/>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822628298">
    <w:abstractNumId w:val="20"/>
  </w:num>
  <w:num w:numId="2" w16cid:durableId="699629408">
    <w:abstractNumId w:val="11"/>
  </w:num>
  <w:num w:numId="3" w16cid:durableId="164177712">
    <w:abstractNumId w:val="5"/>
  </w:num>
  <w:num w:numId="4" w16cid:durableId="1416590798">
    <w:abstractNumId w:val="22"/>
  </w:num>
  <w:num w:numId="5" w16cid:durableId="1762608160">
    <w:abstractNumId w:val="21"/>
  </w:num>
  <w:num w:numId="6" w16cid:durableId="2146270374">
    <w:abstractNumId w:val="1"/>
  </w:num>
  <w:num w:numId="7" w16cid:durableId="1113592211">
    <w:abstractNumId w:val="6"/>
  </w:num>
  <w:num w:numId="8" w16cid:durableId="1920598164">
    <w:abstractNumId w:val="15"/>
  </w:num>
  <w:num w:numId="9" w16cid:durableId="1533764642">
    <w:abstractNumId w:val="10"/>
  </w:num>
  <w:num w:numId="10" w16cid:durableId="1246129">
    <w:abstractNumId w:val="12"/>
  </w:num>
  <w:num w:numId="11" w16cid:durableId="111829808">
    <w:abstractNumId w:val="14"/>
  </w:num>
  <w:num w:numId="12" w16cid:durableId="1088770206">
    <w:abstractNumId w:val="13"/>
  </w:num>
  <w:num w:numId="13" w16cid:durableId="1263951029">
    <w:abstractNumId w:val="23"/>
  </w:num>
  <w:num w:numId="14" w16cid:durableId="395903570">
    <w:abstractNumId w:val="9"/>
  </w:num>
  <w:num w:numId="15" w16cid:durableId="1857570918">
    <w:abstractNumId w:val="10"/>
  </w:num>
  <w:num w:numId="16" w16cid:durableId="248199808">
    <w:abstractNumId w:val="10"/>
  </w:num>
  <w:num w:numId="17" w16cid:durableId="350380342">
    <w:abstractNumId w:val="10"/>
  </w:num>
  <w:num w:numId="18" w16cid:durableId="944581980">
    <w:abstractNumId w:val="10"/>
  </w:num>
  <w:num w:numId="19" w16cid:durableId="772675100">
    <w:abstractNumId w:val="10"/>
  </w:num>
  <w:num w:numId="20" w16cid:durableId="1253010311">
    <w:abstractNumId w:val="10"/>
  </w:num>
  <w:num w:numId="21" w16cid:durableId="540821319">
    <w:abstractNumId w:val="4"/>
  </w:num>
  <w:num w:numId="22" w16cid:durableId="2046514942">
    <w:abstractNumId w:val="10"/>
  </w:num>
  <w:num w:numId="23" w16cid:durableId="873926714">
    <w:abstractNumId w:val="16"/>
  </w:num>
  <w:num w:numId="24" w16cid:durableId="1031762199">
    <w:abstractNumId w:val="10"/>
  </w:num>
  <w:num w:numId="25" w16cid:durableId="781729891">
    <w:abstractNumId w:val="17"/>
  </w:num>
  <w:num w:numId="26" w16cid:durableId="2106462777">
    <w:abstractNumId w:val="10"/>
  </w:num>
  <w:num w:numId="27" w16cid:durableId="345325069">
    <w:abstractNumId w:val="10"/>
  </w:num>
  <w:num w:numId="28" w16cid:durableId="619261203">
    <w:abstractNumId w:val="10"/>
  </w:num>
  <w:num w:numId="29" w16cid:durableId="1739160644">
    <w:abstractNumId w:val="7"/>
  </w:num>
  <w:num w:numId="30" w16cid:durableId="1086654446">
    <w:abstractNumId w:val="10"/>
  </w:num>
  <w:num w:numId="31" w16cid:durableId="1997998431">
    <w:abstractNumId w:val="10"/>
  </w:num>
  <w:num w:numId="32" w16cid:durableId="1132288735">
    <w:abstractNumId w:val="10"/>
  </w:num>
  <w:num w:numId="33" w16cid:durableId="1267689419">
    <w:abstractNumId w:val="10"/>
  </w:num>
  <w:num w:numId="34" w16cid:durableId="1934313991">
    <w:abstractNumId w:val="18"/>
  </w:num>
  <w:num w:numId="35" w16cid:durableId="1091466878">
    <w:abstractNumId w:val="2"/>
  </w:num>
  <w:num w:numId="36" w16cid:durableId="840435226">
    <w:abstractNumId w:val="10"/>
  </w:num>
  <w:num w:numId="37" w16cid:durableId="1489707188">
    <w:abstractNumId w:val="19"/>
  </w:num>
  <w:num w:numId="38" w16cid:durableId="571744577">
    <w:abstractNumId w:val="10"/>
  </w:num>
  <w:num w:numId="39" w16cid:durableId="289939480">
    <w:abstractNumId w:val="10"/>
  </w:num>
  <w:num w:numId="40" w16cid:durableId="1442602331">
    <w:abstractNumId w:val="10"/>
  </w:num>
  <w:num w:numId="41" w16cid:durableId="2099132185">
    <w:abstractNumId w:val="10"/>
  </w:num>
  <w:num w:numId="42" w16cid:durableId="619608164">
    <w:abstractNumId w:val="10"/>
  </w:num>
  <w:num w:numId="43" w16cid:durableId="525169924">
    <w:abstractNumId w:val="10"/>
  </w:num>
  <w:num w:numId="44" w16cid:durableId="2510433">
    <w:abstractNumId w:val="10"/>
  </w:num>
  <w:num w:numId="45" w16cid:durableId="1070272606">
    <w:abstractNumId w:val="8"/>
  </w:num>
  <w:num w:numId="46" w16cid:durableId="1031959002">
    <w:abstractNumId w:val="3"/>
  </w:num>
  <w:num w:numId="47" w16cid:durableId="1500845527">
    <w:abstractNumId w:val="10"/>
  </w:num>
  <w:num w:numId="48" w16cid:durableId="2049720743">
    <w:abstractNumId w:val="0"/>
  </w:num>
  <w:num w:numId="49" w16cid:durableId="577440510">
    <w:abstractNumId w:val="12"/>
    <w:lvlOverride w:ilvl="0">
      <w:startOverride w:val="1"/>
    </w:lvlOverride>
  </w:num>
  <w:num w:numId="50" w16cid:durableId="5962570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068BB"/>
    <w:rsid w:val="00014915"/>
    <w:rsid w:val="00036AA7"/>
    <w:rsid w:val="0003789A"/>
    <w:rsid w:val="00041A66"/>
    <w:rsid w:val="00042D88"/>
    <w:rsid w:val="0005176E"/>
    <w:rsid w:val="0005754C"/>
    <w:rsid w:val="00057CD2"/>
    <w:rsid w:val="000765F7"/>
    <w:rsid w:val="0007725F"/>
    <w:rsid w:val="00077AB7"/>
    <w:rsid w:val="00081CD8"/>
    <w:rsid w:val="0009440C"/>
    <w:rsid w:val="000A7F0E"/>
    <w:rsid w:val="000B1C8F"/>
    <w:rsid w:val="000B2C81"/>
    <w:rsid w:val="000B48D3"/>
    <w:rsid w:val="000B5F8E"/>
    <w:rsid w:val="000C0D61"/>
    <w:rsid w:val="000F2CD9"/>
    <w:rsid w:val="000F3A3F"/>
    <w:rsid w:val="00102557"/>
    <w:rsid w:val="00115B39"/>
    <w:rsid w:val="0012502C"/>
    <w:rsid w:val="00127339"/>
    <w:rsid w:val="00147A38"/>
    <w:rsid w:val="00164D56"/>
    <w:rsid w:val="00166A29"/>
    <w:rsid w:val="00167B10"/>
    <w:rsid w:val="001723B5"/>
    <w:rsid w:val="0017402F"/>
    <w:rsid w:val="0018749E"/>
    <w:rsid w:val="00190205"/>
    <w:rsid w:val="00194D5C"/>
    <w:rsid w:val="00196C1B"/>
    <w:rsid w:val="001B0F73"/>
    <w:rsid w:val="001C2DB7"/>
    <w:rsid w:val="001C6513"/>
    <w:rsid w:val="001D14FE"/>
    <w:rsid w:val="001D4DBC"/>
    <w:rsid w:val="001D5C04"/>
    <w:rsid w:val="001E782F"/>
    <w:rsid w:val="001F26CF"/>
    <w:rsid w:val="0020665F"/>
    <w:rsid w:val="00222A2D"/>
    <w:rsid w:val="00223029"/>
    <w:rsid w:val="002242D3"/>
    <w:rsid w:val="00234745"/>
    <w:rsid w:val="002351A6"/>
    <w:rsid w:val="002407AF"/>
    <w:rsid w:val="00245501"/>
    <w:rsid w:val="00254B26"/>
    <w:rsid w:val="002609D4"/>
    <w:rsid w:val="0026221A"/>
    <w:rsid w:val="002640CA"/>
    <w:rsid w:val="002676BE"/>
    <w:rsid w:val="00267CCC"/>
    <w:rsid w:val="0027466B"/>
    <w:rsid w:val="002776A5"/>
    <w:rsid w:val="002814F6"/>
    <w:rsid w:val="002815B3"/>
    <w:rsid w:val="00282F15"/>
    <w:rsid w:val="002838A5"/>
    <w:rsid w:val="00285BB4"/>
    <w:rsid w:val="00294B56"/>
    <w:rsid w:val="002A4730"/>
    <w:rsid w:val="002C09E3"/>
    <w:rsid w:val="002C2114"/>
    <w:rsid w:val="002C464A"/>
    <w:rsid w:val="002C6A2C"/>
    <w:rsid w:val="002D1244"/>
    <w:rsid w:val="002E6676"/>
    <w:rsid w:val="002F2D9D"/>
    <w:rsid w:val="002F2FD6"/>
    <w:rsid w:val="00311C2F"/>
    <w:rsid w:val="00337CEB"/>
    <w:rsid w:val="00344B58"/>
    <w:rsid w:val="0034539A"/>
    <w:rsid w:val="00345CB4"/>
    <w:rsid w:val="00375D42"/>
    <w:rsid w:val="00380A92"/>
    <w:rsid w:val="003A15C6"/>
    <w:rsid w:val="003A1E57"/>
    <w:rsid w:val="003B03F0"/>
    <w:rsid w:val="003B2084"/>
    <w:rsid w:val="003C7AEC"/>
    <w:rsid w:val="003C7C9C"/>
    <w:rsid w:val="003D069C"/>
    <w:rsid w:val="003D5BC2"/>
    <w:rsid w:val="003D7646"/>
    <w:rsid w:val="003F113A"/>
    <w:rsid w:val="003F3E63"/>
    <w:rsid w:val="00407480"/>
    <w:rsid w:val="00414643"/>
    <w:rsid w:val="004313C4"/>
    <w:rsid w:val="0044127D"/>
    <w:rsid w:val="004421E5"/>
    <w:rsid w:val="00452284"/>
    <w:rsid w:val="00455B10"/>
    <w:rsid w:val="00457C8E"/>
    <w:rsid w:val="00463855"/>
    <w:rsid w:val="00480175"/>
    <w:rsid w:val="004850D8"/>
    <w:rsid w:val="004856CA"/>
    <w:rsid w:val="00487E67"/>
    <w:rsid w:val="004906B7"/>
    <w:rsid w:val="0049705E"/>
    <w:rsid w:val="004A2875"/>
    <w:rsid w:val="004A34A0"/>
    <w:rsid w:val="004A7497"/>
    <w:rsid w:val="004B3917"/>
    <w:rsid w:val="004C7C82"/>
    <w:rsid w:val="004E1297"/>
    <w:rsid w:val="004E3587"/>
    <w:rsid w:val="004E6783"/>
    <w:rsid w:val="005008A8"/>
    <w:rsid w:val="005116CB"/>
    <w:rsid w:val="0051475D"/>
    <w:rsid w:val="00517FD8"/>
    <w:rsid w:val="00526B7B"/>
    <w:rsid w:val="005274D2"/>
    <w:rsid w:val="005308CE"/>
    <w:rsid w:val="0053318C"/>
    <w:rsid w:val="00537366"/>
    <w:rsid w:val="0054535F"/>
    <w:rsid w:val="00545B82"/>
    <w:rsid w:val="005517BB"/>
    <w:rsid w:val="00554D58"/>
    <w:rsid w:val="00557D04"/>
    <w:rsid w:val="00563EB2"/>
    <w:rsid w:val="0057439C"/>
    <w:rsid w:val="00580916"/>
    <w:rsid w:val="005960FA"/>
    <w:rsid w:val="005B0127"/>
    <w:rsid w:val="005B7A35"/>
    <w:rsid w:val="005C4B73"/>
    <w:rsid w:val="005C792B"/>
    <w:rsid w:val="005E1D2B"/>
    <w:rsid w:val="005E7074"/>
    <w:rsid w:val="005F21D8"/>
    <w:rsid w:val="005F2BAF"/>
    <w:rsid w:val="00600AC3"/>
    <w:rsid w:val="00600D93"/>
    <w:rsid w:val="0060103C"/>
    <w:rsid w:val="00624427"/>
    <w:rsid w:val="00626BEA"/>
    <w:rsid w:val="0063300C"/>
    <w:rsid w:val="00651A5B"/>
    <w:rsid w:val="00655736"/>
    <w:rsid w:val="00663B8D"/>
    <w:rsid w:val="006844F1"/>
    <w:rsid w:val="00696C8D"/>
    <w:rsid w:val="006A2AC2"/>
    <w:rsid w:val="006A315D"/>
    <w:rsid w:val="006A3617"/>
    <w:rsid w:val="006B4452"/>
    <w:rsid w:val="006C48BB"/>
    <w:rsid w:val="006C6852"/>
    <w:rsid w:val="006D416D"/>
    <w:rsid w:val="006E46E4"/>
    <w:rsid w:val="006E75EB"/>
    <w:rsid w:val="00717DA5"/>
    <w:rsid w:val="007333D0"/>
    <w:rsid w:val="00742AAD"/>
    <w:rsid w:val="007434A9"/>
    <w:rsid w:val="00744484"/>
    <w:rsid w:val="00745E87"/>
    <w:rsid w:val="00747566"/>
    <w:rsid w:val="00751048"/>
    <w:rsid w:val="007671F8"/>
    <w:rsid w:val="00773188"/>
    <w:rsid w:val="00775D19"/>
    <w:rsid w:val="00775F15"/>
    <w:rsid w:val="00783782"/>
    <w:rsid w:val="00784B8C"/>
    <w:rsid w:val="007879E1"/>
    <w:rsid w:val="007B1590"/>
    <w:rsid w:val="007B250C"/>
    <w:rsid w:val="007C175D"/>
    <w:rsid w:val="007C26FC"/>
    <w:rsid w:val="007D3134"/>
    <w:rsid w:val="007D364F"/>
    <w:rsid w:val="007D3C14"/>
    <w:rsid w:val="007E57AA"/>
    <w:rsid w:val="008000B4"/>
    <w:rsid w:val="008108E7"/>
    <w:rsid w:val="00822BC2"/>
    <w:rsid w:val="00823A11"/>
    <w:rsid w:val="00835FAC"/>
    <w:rsid w:val="00837869"/>
    <w:rsid w:val="0085405E"/>
    <w:rsid w:val="0085414A"/>
    <w:rsid w:val="00854A9C"/>
    <w:rsid w:val="00857EB9"/>
    <w:rsid w:val="0086269D"/>
    <w:rsid w:val="0086543A"/>
    <w:rsid w:val="008724E5"/>
    <w:rsid w:val="008765C9"/>
    <w:rsid w:val="00884A9D"/>
    <w:rsid w:val="0088512B"/>
    <w:rsid w:val="008A11B8"/>
    <w:rsid w:val="008A2B2D"/>
    <w:rsid w:val="008A40B1"/>
    <w:rsid w:val="008A4E1E"/>
    <w:rsid w:val="008A6458"/>
    <w:rsid w:val="008C296C"/>
    <w:rsid w:val="008D4305"/>
    <w:rsid w:val="008D54EC"/>
    <w:rsid w:val="008E1A85"/>
    <w:rsid w:val="008E344F"/>
    <w:rsid w:val="008F5BC2"/>
    <w:rsid w:val="0090092C"/>
    <w:rsid w:val="0091181B"/>
    <w:rsid w:val="00914FCF"/>
    <w:rsid w:val="009163A7"/>
    <w:rsid w:val="00937D53"/>
    <w:rsid w:val="00946D0B"/>
    <w:rsid w:val="00946FAC"/>
    <w:rsid w:val="00951336"/>
    <w:rsid w:val="00955877"/>
    <w:rsid w:val="00962034"/>
    <w:rsid w:val="00981322"/>
    <w:rsid w:val="00985CD6"/>
    <w:rsid w:val="009873C0"/>
    <w:rsid w:val="009A18CD"/>
    <w:rsid w:val="009B2F9A"/>
    <w:rsid w:val="009D1AA0"/>
    <w:rsid w:val="009D2F48"/>
    <w:rsid w:val="009D5428"/>
    <w:rsid w:val="00A0674D"/>
    <w:rsid w:val="00A12558"/>
    <w:rsid w:val="00A13903"/>
    <w:rsid w:val="00A31985"/>
    <w:rsid w:val="00A34ED5"/>
    <w:rsid w:val="00A35A2C"/>
    <w:rsid w:val="00A366BE"/>
    <w:rsid w:val="00A42C49"/>
    <w:rsid w:val="00A45DBF"/>
    <w:rsid w:val="00A54625"/>
    <w:rsid w:val="00A678BD"/>
    <w:rsid w:val="00A725CF"/>
    <w:rsid w:val="00A755A2"/>
    <w:rsid w:val="00A8755A"/>
    <w:rsid w:val="00A91430"/>
    <w:rsid w:val="00A92379"/>
    <w:rsid w:val="00AA590D"/>
    <w:rsid w:val="00AA6660"/>
    <w:rsid w:val="00AB2C36"/>
    <w:rsid w:val="00AB6528"/>
    <w:rsid w:val="00AB6DDE"/>
    <w:rsid w:val="00AB70B6"/>
    <w:rsid w:val="00AC07F0"/>
    <w:rsid w:val="00AC18C1"/>
    <w:rsid w:val="00AD1A86"/>
    <w:rsid w:val="00AD5C46"/>
    <w:rsid w:val="00AE103E"/>
    <w:rsid w:val="00AF0A07"/>
    <w:rsid w:val="00AF4AEC"/>
    <w:rsid w:val="00AF625E"/>
    <w:rsid w:val="00AF7F37"/>
    <w:rsid w:val="00B033F3"/>
    <w:rsid w:val="00B139BE"/>
    <w:rsid w:val="00B2015C"/>
    <w:rsid w:val="00B2172B"/>
    <w:rsid w:val="00B34428"/>
    <w:rsid w:val="00B3637B"/>
    <w:rsid w:val="00B42AF5"/>
    <w:rsid w:val="00B66348"/>
    <w:rsid w:val="00B917D2"/>
    <w:rsid w:val="00B960C4"/>
    <w:rsid w:val="00B979B4"/>
    <w:rsid w:val="00B97EB3"/>
    <w:rsid w:val="00BA241A"/>
    <w:rsid w:val="00BB04AF"/>
    <w:rsid w:val="00BB3CBF"/>
    <w:rsid w:val="00BB6EEC"/>
    <w:rsid w:val="00BD4C23"/>
    <w:rsid w:val="00BD52C9"/>
    <w:rsid w:val="00BE6354"/>
    <w:rsid w:val="00BF39E4"/>
    <w:rsid w:val="00C10D44"/>
    <w:rsid w:val="00C1351A"/>
    <w:rsid w:val="00C138D1"/>
    <w:rsid w:val="00C23A97"/>
    <w:rsid w:val="00C322DB"/>
    <w:rsid w:val="00C36034"/>
    <w:rsid w:val="00C52EBE"/>
    <w:rsid w:val="00C5776D"/>
    <w:rsid w:val="00C647CA"/>
    <w:rsid w:val="00C64855"/>
    <w:rsid w:val="00C70EA7"/>
    <w:rsid w:val="00C7433F"/>
    <w:rsid w:val="00C7516E"/>
    <w:rsid w:val="00C75770"/>
    <w:rsid w:val="00C84BA3"/>
    <w:rsid w:val="00CA56BB"/>
    <w:rsid w:val="00CB0542"/>
    <w:rsid w:val="00CC470C"/>
    <w:rsid w:val="00CE60FA"/>
    <w:rsid w:val="00CE69A7"/>
    <w:rsid w:val="00CF0434"/>
    <w:rsid w:val="00D00B2B"/>
    <w:rsid w:val="00D06AA7"/>
    <w:rsid w:val="00D06EB0"/>
    <w:rsid w:val="00D24877"/>
    <w:rsid w:val="00D631AD"/>
    <w:rsid w:val="00D63318"/>
    <w:rsid w:val="00D7105A"/>
    <w:rsid w:val="00D74D86"/>
    <w:rsid w:val="00D8250F"/>
    <w:rsid w:val="00D86BB3"/>
    <w:rsid w:val="00D92335"/>
    <w:rsid w:val="00D93DB2"/>
    <w:rsid w:val="00D95C4C"/>
    <w:rsid w:val="00D97A64"/>
    <w:rsid w:val="00DA36ED"/>
    <w:rsid w:val="00DA5921"/>
    <w:rsid w:val="00DB2741"/>
    <w:rsid w:val="00DB5C2E"/>
    <w:rsid w:val="00DC0BF2"/>
    <w:rsid w:val="00DC49CB"/>
    <w:rsid w:val="00DE34F1"/>
    <w:rsid w:val="00DE5D5A"/>
    <w:rsid w:val="00DE6160"/>
    <w:rsid w:val="00DF2D23"/>
    <w:rsid w:val="00DF4942"/>
    <w:rsid w:val="00DF59FF"/>
    <w:rsid w:val="00E10ED7"/>
    <w:rsid w:val="00E2125F"/>
    <w:rsid w:val="00E244E1"/>
    <w:rsid w:val="00E32B84"/>
    <w:rsid w:val="00E4150C"/>
    <w:rsid w:val="00E434C0"/>
    <w:rsid w:val="00E53DAE"/>
    <w:rsid w:val="00E564DF"/>
    <w:rsid w:val="00E627B1"/>
    <w:rsid w:val="00E70169"/>
    <w:rsid w:val="00E7253D"/>
    <w:rsid w:val="00E80F26"/>
    <w:rsid w:val="00E905C9"/>
    <w:rsid w:val="00E9376C"/>
    <w:rsid w:val="00E95AE2"/>
    <w:rsid w:val="00E97074"/>
    <w:rsid w:val="00EA0F87"/>
    <w:rsid w:val="00EA335E"/>
    <w:rsid w:val="00EA528C"/>
    <w:rsid w:val="00EA580C"/>
    <w:rsid w:val="00EB26FB"/>
    <w:rsid w:val="00EB6E05"/>
    <w:rsid w:val="00EB7345"/>
    <w:rsid w:val="00EB7A59"/>
    <w:rsid w:val="00EC0F32"/>
    <w:rsid w:val="00EC6F8D"/>
    <w:rsid w:val="00ED39B2"/>
    <w:rsid w:val="00ED3C03"/>
    <w:rsid w:val="00EE49F4"/>
    <w:rsid w:val="00EF34E2"/>
    <w:rsid w:val="00F02274"/>
    <w:rsid w:val="00F10B01"/>
    <w:rsid w:val="00F23461"/>
    <w:rsid w:val="00F2390A"/>
    <w:rsid w:val="00F247E9"/>
    <w:rsid w:val="00F30DC6"/>
    <w:rsid w:val="00F31F96"/>
    <w:rsid w:val="00F32C23"/>
    <w:rsid w:val="00F34C6F"/>
    <w:rsid w:val="00F53CAF"/>
    <w:rsid w:val="00F53DC9"/>
    <w:rsid w:val="00F53DE9"/>
    <w:rsid w:val="00F56F55"/>
    <w:rsid w:val="00F576CB"/>
    <w:rsid w:val="00F7035D"/>
    <w:rsid w:val="00F70CC5"/>
    <w:rsid w:val="00F70E7F"/>
    <w:rsid w:val="00F71A02"/>
    <w:rsid w:val="00F74DA5"/>
    <w:rsid w:val="00F81F16"/>
    <w:rsid w:val="00F92929"/>
    <w:rsid w:val="00F95DE2"/>
    <w:rsid w:val="00FA0D63"/>
    <w:rsid w:val="00FA7114"/>
    <w:rsid w:val="00FD1226"/>
    <w:rsid w:val="00FD4BC8"/>
    <w:rsid w:val="00FE0F78"/>
    <w:rsid w:val="00FF4830"/>
    <w:rsid w:val="00FF4DAC"/>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paragraph" w:styleId="Titre7">
    <w:name w:val="heading 7"/>
    <w:basedOn w:val="Normal"/>
    <w:next w:val="Normal"/>
    <w:link w:val="Titre7Car"/>
    <w:uiPriority w:val="9"/>
    <w:semiHidden/>
    <w:unhideWhenUsed/>
    <w:qFormat/>
    <w:rsid w:val="006A315D"/>
    <w:pPr>
      <w:keepNext/>
      <w:keepLines/>
      <w:spacing w:before="40"/>
      <w:outlineLvl w:val="6"/>
    </w:pPr>
    <w:rPr>
      <w:rFonts w:asciiTheme="majorHAnsi" w:eastAsiaTheme="majorEastAsia" w:hAnsiTheme="majorHAnsi" w:cstheme="majorBidi"/>
      <w:i/>
      <w:iCs/>
      <w:color w:val="243F60" w:themeColor="accent1" w:themeShade="7F"/>
    </w:rPr>
  </w:style>
  <w:style w:type="paragraph" w:styleId="Titre9">
    <w:name w:val="heading 9"/>
    <w:basedOn w:val="Normal"/>
    <w:next w:val="Normal"/>
    <w:link w:val="Titre9Car"/>
    <w:uiPriority w:val="9"/>
    <w:semiHidden/>
    <w:unhideWhenUsed/>
    <w:qFormat/>
    <w:rsid w:val="006A315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3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4A2875"/>
    <w:pPr>
      <w:ind w:left="720"/>
      <w:contextualSpacing/>
    </w:pPr>
  </w:style>
  <w:style w:type="paragraph" w:styleId="Notedebasdepage">
    <w:name w:val="footnote text"/>
    <w:basedOn w:val="Normal"/>
    <w:link w:val="NotedebasdepageCar"/>
    <w:uiPriority w:val="99"/>
    <w:unhideWhenUsed/>
    <w:rsid w:val="004313C4"/>
    <w:rPr>
      <w:sz w:val="20"/>
      <w:szCs w:val="20"/>
    </w:rPr>
  </w:style>
  <w:style w:type="character" w:customStyle="1" w:styleId="NotedebasdepageCar">
    <w:name w:val="Note de bas de page Car"/>
    <w:basedOn w:val="Policepardfaut"/>
    <w:link w:val="Notedebasdepage"/>
    <w:uiPriority w:val="99"/>
    <w:rsid w:val="004313C4"/>
    <w:rPr>
      <w:rFonts w:ascii="Times New Roman" w:eastAsia="Times New Roman" w:hAnsi="Times New Roman"/>
    </w:rPr>
  </w:style>
  <w:style w:type="character" w:styleId="Appelnotedebasdep">
    <w:name w:val="footnote reference"/>
    <w:basedOn w:val="Policepardfaut"/>
    <w:uiPriority w:val="99"/>
    <w:semiHidden/>
    <w:unhideWhenUsed/>
    <w:rsid w:val="004313C4"/>
    <w:rPr>
      <w:vertAlign w:val="superscript"/>
    </w:rPr>
  </w:style>
  <w:style w:type="paragraph" w:customStyle="1" w:styleId="GAParaResolution">
    <w:name w:val="GA Para Resolution"/>
    <w:basedOn w:val="Normal"/>
    <w:qFormat/>
    <w:rsid w:val="005C792B"/>
    <w:pPr>
      <w:autoSpaceDE w:val="0"/>
      <w:autoSpaceDN w:val="0"/>
      <w:adjustRightInd w:val="0"/>
      <w:spacing w:after="120"/>
      <w:ind w:left="1287" w:hanging="360"/>
      <w:jc w:val="both"/>
    </w:pPr>
    <w:rPr>
      <w:rFonts w:ascii="Arial" w:eastAsia="SimSun" w:hAnsi="Arial" w:cs="Arial"/>
      <w:sz w:val="22"/>
      <w:szCs w:val="22"/>
      <w:u w:val="single"/>
      <w:lang w:val="en-GB"/>
    </w:rPr>
  </w:style>
  <w:style w:type="character" w:styleId="Lienhypertexte">
    <w:name w:val="Hyperlink"/>
    <w:aliases w:val=" Car Car3 Char, Car Car3 Char Char Char Char"/>
    <w:link w:val="CarCar3"/>
    <w:uiPriority w:val="99"/>
    <w:rsid w:val="00A35A2C"/>
    <w:rPr>
      <w:color w:val="0000FF"/>
      <w:u w:val="single"/>
    </w:rPr>
  </w:style>
  <w:style w:type="paragraph" w:customStyle="1" w:styleId="CarCar3">
    <w:name w:val="Car Car3"/>
    <w:aliases w:val=" Car Car3 Char Char"/>
    <w:basedOn w:val="Normal"/>
    <w:link w:val="Lienhypertexte"/>
    <w:uiPriority w:val="99"/>
    <w:rsid w:val="00A35A2C"/>
    <w:pPr>
      <w:tabs>
        <w:tab w:val="left" w:pos="510"/>
        <w:tab w:val="right" w:pos="9639"/>
      </w:tabs>
      <w:autoSpaceDE w:val="0"/>
      <w:autoSpaceDN w:val="0"/>
      <w:adjustRightInd w:val="0"/>
      <w:spacing w:after="80" w:line="220" w:lineRule="exact"/>
      <w:ind w:left="1020" w:hanging="510"/>
      <w:jc w:val="both"/>
    </w:pPr>
    <w:rPr>
      <w:rFonts w:ascii="Calibri" w:eastAsia="SimSun" w:hAnsi="Calibri"/>
      <w:color w:val="0000FF"/>
      <w:sz w:val="20"/>
      <w:szCs w:val="20"/>
      <w:u w:val="single"/>
    </w:rPr>
  </w:style>
  <w:style w:type="paragraph" w:customStyle="1" w:styleId="GAPara">
    <w:name w:val="GA Para"/>
    <w:qFormat/>
    <w:rsid w:val="00A35A2C"/>
    <w:pPr>
      <w:spacing w:after="120"/>
      <w:ind w:left="720" w:hanging="360"/>
    </w:pPr>
    <w:rPr>
      <w:rFonts w:ascii="Arial" w:eastAsia="Times New Roman" w:hAnsi="Arial" w:cs="Arial"/>
      <w:snapToGrid w:val="0"/>
      <w:sz w:val="22"/>
      <w:szCs w:val="22"/>
      <w:lang w:val="en-GB" w:eastAsia="en-US"/>
    </w:rPr>
  </w:style>
  <w:style w:type="character" w:styleId="Mentionnonrsolue">
    <w:name w:val="Unresolved Mention"/>
    <w:basedOn w:val="Policepardfaut"/>
    <w:uiPriority w:val="99"/>
    <w:semiHidden/>
    <w:unhideWhenUsed/>
    <w:rsid w:val="001D4DBC"/>
    <w:rPr>
      <w:color w:val="605E5C"/>
      <w:shd w:val="clear" w:color="auto" w:fill="E1DFDD"/>
    </w:rPr>
  </w:style>
  <w:style w:type="paragraph" w:styleId="Rvision">
    <w:name w:val="Revision"/>
    <w:hidden/>
    <w:uiPriority w:val="99"/>
    <w:semiHidden/>
    <w:rsid w:val="00854A9C"/>
    <w:rPr>
      <w:rFonts w:ascii="Times New Roman" w:eastAsia="Times New Roman" w:hAnsi="Times New Roman"/>
      <w:sz w:val="24"/>
      <w:szCs w:val="24"/>
    </w:rPr>
  </w:style>
  <w:style w:type="character" w:styleId="Lienhypertextesuivivisit">
    <w:name w:val="FollowedHyperlink"/>
    <w:basedOn w:val="Policepardfaut"/>
    <w:uiPriority w:val="99"/>
    <w:semiHidden/>
    <w:unhideWhenUsed/>
    <w:rsid w:val="00455B10"/>
    <w:rPr>
      <w:color w:val="800080" w:themeColor="followedHyperlink"/>
      <w:u w:val="single"/>
    </w:rPr>
  </w:style>
  <w:style w:type="character" w:styleId="Marquedecommentaire">
    <w:name w:val="annotation reference"/>
    <w:basedOn w:val="Policepardfaut"/>
    <w:uiPriority w:val="99"/>
    <w:semiHidden/>
    <w:unhideWhenUsed/>
    <w:rsid w:val="00B2015C"/>
    <w:rPr>
      <w:sz w:val="16"/>
      <w:szCs w:val="16"/>
    </w:rPr>
  </w:style>
  <w:style w:type="paragraph" w:styleId="Commentaire">
    <w:name w:val="annotation text"/>
    <w:basedOn w:val="Normal"/>
    <w:link w:val="CommentaireCar"/>
    <w:uiPriority w:val="99"/>
    <w:unhideWhenUsed/>
    <w:rsid w:val="00B2015C"/>
    <w:rPr>
      <w:sz w:val="20"/>
      <w:szCs w:val="20"/>
    </w:rPr>
  </w:style>
  <w:style w:type="character" w:customStyle="1" w:styleId="CommentaireCar">
    <w:name w:val="Commentaire Car"/>
    <w:basedOn w:val="Policepardfaut"/>
    <w:link w:val="Commentaire"/>
    <w:uiPriority w:val="99"/>
    <w:rsid w:val="00B2015C"/>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B2015C"/>
    <w:rPr>
      <w:b/>
      <w:bCs/>
    </w:rPr>
  </w:style>
  <w:style w:type="character" w:customStyle="1" w:styleId="ObjetducommentaireCar">
    <w:name w:val="Objet du commentaire Car"/>
    <w:basedOn w:val="CommentaireCar"/>
    <w:link w:val="Objetducommentaire"/>
    <w:uiPriority w:val="99"/>
    <w:semiHidden/>
    <w:rsid w:val="00B2015C"/>
    <w:rPr>
      <w:rFonts w:ascii="Times New Roman" w:eastAsia="Times New Roman" w:hAnsi="Times New Roman"/>
      <w:b/>
      <w:bCs/>
    </w:rPr>
  </w:style>
  <w:style w:type="character" w:customStyle="1" w:styleId="Titre7Car">
    <w:name w:val="Titre 7 Car"/>
    <w:basedOn w:val="Policepardfaut"/>
    <w:link w:val="Titre7"/>
    <w:uiPriority w:val="9"/>
    <w:semiHidden/>
    <w:rsid w:val="006A315D"/>
    <w:rPr>
      <w:rFonts w:asciiTheme="majorHAnsi" w:eastAsiaTheme="majorEastAsia" w:hAnsiTheme="majorHAnsi" w:cstheme="majorBidi"/>
      <w:i/>
      <w:iCs/>
      <w:color w:val="243F60" w:themeColor="accent1" w:themeShade="7F"/>
      <w:sz w:val="24"/>
      <w:szCs w:val="24"/>
    </w:rPr>
  </w:style>
  <w:style w:type="character" w:customStyle="1" w:styleId="Titre9Car">
    <w:name w:val="Titre 9 Car"/>
    <w:basedOn w:val="Policepardfaut"/>
    <w:link w:val="Titre9"/>
    <w:uiPriority w:val="9"/>
    <w:semiHidden/>
    <w:rsid w:val="006A315D"/>
    <w:rPr>
      <w:rFonts w:asciiTheme="majorHAnsi" w:eastAsiaTheme="majorEastAsia" w:hAnsiTheme="majorHAnsi" w:cstheme="majorBidi"/>
      <w:i/>
      <w:iCs/>
      <w:color w:val="272727" w:themeColor="text1" w:themeTint="D8"/>
      <w:sz w:val="21"/>
      <w:szCs w:val="21"/>
    </w:rPr>
  </w:style>
  <w:style w:type="paragraph" w:customStyle="1" w:styleId="GATitleResolution">
    <w:name w:val="GA Title Resolution"/>
    <w:basedOn w:val="Normal"/>
    <w:qFormat/>
    <w:rsid w:val="006A315D"/>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6A315D"/>
    <w:pPr>
      <w:keepNext/>
      <w:spacing w:after="120"/>
      <w:ind w:left="567"/>
      <w:jc w:val="both"/>
    </w:pPr>
    <w:rPr>
      <w:rFonts w:ascii="Arial" w:hAnsi="Arial" w:cs="Arial"/>
      <w:sz w:val="22"/>
      <w:szCs w:val="22"/>
      <w:lang w:val="en-GB"/>
    </w:rPr>
  </w:style>
  <w:style w:type="paragraph" w:customStyle="1" w:styleId="pf0">
    <w:name w:val="pf0"/>
    <w:basedOn w:val="Normal"/>
    <w:rsid w:val="006A315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ich.unesco.org/en/Decisions/9.GA/7" TargetMode="External"/><Relationship Id="rId18" Type="http://schemas.openxmlformats.org/officeDocument/2006/relationships/hyperlink" Target="https://ich.unesco.org/en/decisions/9.GA/7" TargetMode="External"/><Relationship Id="rId26" Type="http://schemas.openxmlformats.org/officeDocument/2006/relationships/hyperlink" Target="https://ich.unesco.org/doc/src/LHE-24-10.GA-10_EN.docx" TargetMode="External"/><Relationship Id="rId3" Type="http://schemas.openxmlformats.org/officeDocument/2006/relationships/styles" Target="styles.xml"/><Relationship Id="rId21" Type="http://schemas.openxmlformats.org/officeDocument/2006/relationships/hyperlink" Target="https://ich.unesco.org/en/Decisions/14.COM/15"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3.xml"/><Relationship Id="rId25" Type="http://schemas.openxmlformats.org/officeDocument/2006/relationships/hyperlink" Target="https://ich.unesco.org/en/decisions/18.COM/15" TargetMode="External"/><Relationship Id="rId33" Type="http://schemas.openxmlformats.org/officeDocument/2006/relationships/hyperlink" Target="https://ich.unesco.org/en/decisions/18.COM/15"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ich.unesco.org/en/d%C3%A9cisions/12.COM/17?dec=decisions&amp;ref_decision=12.COM" TargetMode="External"/><Relationship Id="rId29" Type="http://schemas.openxmlformats.org/officeDocument/2006/relationships/hyperlink" Target="https://ich.unesco.org/en/decisions/9.GA/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ICH-09-2024-EN.doc" TargetMode="External"/><Relationship Id="rId24" Type="http://schemas.openxmlformats.org/officeDocument/2006/relationships/hyperlink" Target="https://ich.unesco.org/en/decisions/9.GA/7" TargetMode="External"/><Relationship Id="rId32" Type="http://schemas.openxmlformats.org/officeDocument/2006/relationships/hyperlink" Target="https://ich.unesco.org/en/Decisions/14.COM/15"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ich.unesco.org/en/accredited-ngos-00331" TargetMode="External"/><Relationship Id="rId28" Type="http://schemas.openxmlformats.org/officeDocument/2006/relationships/hyperlink" Target="https://ich.unesco.org/en/decisions/8.GA/12" TargetMode="External"/><Relationship Id="rId36" Type="http://schemas.openxmlformats.org/officeDocument/2006/relationships/header" Target="header6.xml"/><Relationship Id="rId10" Type="http://schemas.openxmlformats.org/officeDocument/2006/relationships/hyperlink" Target="https://ich.unesco.org/en/accreditation-of-ngos-01352" TargetMode="External"/><Relationship Id="rId19" Type="http://schemas.openxmlformats.org/officeDocument/2006/relationships/hyperlink" Target="https://ich.unesco.org/en/Decisions/12.COM/13" TargetMode="External"/><Relationship Id="rId31" Type="http://schemas.openxmlformats.org/officeDocument/2006/relationships/hyperlink" Target="https://ich.unesco.org/en/d%C3%A9cisions/12.COM/17?dec=decisions&amp;ref_decision=12.COM" TargetMode="External"/><Relationship Id="rId4" Type="http://schemas.openxmlformats.org/officeDocument/2006/relationships/settings" Target="settings.xml"/><Relationship Id="rId9" Type="http://schemas.openxmlformats.org/officeDocument/2006/relationships/hyperlink" Target="https://ich.unesco.org/en/decisions/18.COM/16" TargetMode="External"/><Relationship Id="rId14" Type="http://schemas.openxmlformats.org/officeDocument/2006/relationships/hyperlink" Target="https://ich.unesco.org/en/decisions/18.COM/16" TargetMode="External"/><Relationship Id="rId22" Type="http://schemas.openxmlformats.org/officeDocument/2006/relationships/hyperlink" Target="https://ich.unesco.org/en/decisions/8.GA/12" TargetMode="External"/><Relationship Id="rId27" Type="http://schemas.openxmlformats.org/officeDocument/2006/relationships/hyperlink" Target="https://ich.unesco.org/doc/src/LHE-24-10.GA-8_EN.docx" TargetMode="External"/><Relationship Id="rId30" Type="http://schemas.openxmlformats.org/officeDocument/2006/relationships/hyperlink" Target="https://ich.unesco.org/en/Decisions/12.COM/13" TargetMode="External"/><Relationship Id="rId35"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https://ich.unesco.org/en/Decisions/12.COM/17" TargetMode="External"/><Relationship Id="rId3" Type="http://schemas.openxmlformats.org/officeDocument/2006/relationships/hyperlink" Target="https://ich.unesco.org/en/Resolutions/5.GA/6" TargetMode="External"/><Relationship Id="rId7" Type="http://schemas.openxmlformats.org/officeDocument/2006/relationships/hyperlink" Target="https://ich.unesco.org/en/decisions/9.GA/7" TargetMode="External"/><Relationship Id="rId2" Type="http://schemas.openxmlformats.org/officeDocument/2006/relationships/hyperlink" Target="https://ich.unesco.org/en/Resolutions/4.GA/6" TargetMode="External"/><Relationship Id="rId1" Type="http://schemas.openxmlformats.org/officeDocument/2006/relationships/hyperlink" Target="https://ich.unesco.org/en/Resolutions/3.GA/7" TargetMode="External"/><Relationship Id="rId6" Type="http://schemas.openxmlformats.org/officeDocument/2006/relationships/hyperlink" Target="https://ich.unesco.org/en/Decisions/8.GA/13" TargetMode="External"/><Relationship Id="rId11" Type="http://schemas.openxmlformats.org/officeDocument/2006/relationships/hyperlink" Target="https://ich.unesco.org/en/decisions/18.COM/16" TargetMode="External"/><Relationship Id="rId5" Type="http://schemas.openxmlformats.org/officeDocument/2006/relationships/hyperlink" Target="https://ich.unesco.org/en/Resolutions/7.GA/11" TargetMode="External"/><Relationship Id="rId10" Type="http://schemas.openxmlformats.org/officeDocument/2006/relationships/hyperlink" Target="https://ich.unesco.org/en/Decisions/16.COM/15" TargetMode="External"/><Relationship Id="rId4" Type="http://schemas.openxmlformats.org/officeDocument/2006/relationships/hyperlink" Target="https://ich.unesco.org/en/Decisions/6.GA/8" TargetMode="External"/><Relationship Id="rId9" Type="http://schemas.openxmlformats.org/officeDocument/2006/relationships/hyperlink" Target="https://ich.unesco.org/en/Decisions/14.COM/1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Figure 1. Geographical distribution of accredited NGOs</a:t>
            </a:r>
          </a:p>
          <a:p>
            <a:pPr>
              <a:defRPr sz="1400" b="0" i="0" u="none" strike="noStrike" kern="1200" spc="0" baseline="0">
                <a:solidFill>
                  <a:schemeClr val="tx1">
                    <a:lumMod val="65000"/>
                    <a:lumOff val="35000"/>
                  </a:schemeClr>
                </a:solidFill>
                <a:latin typeface="+mn-lt"/>
                <a:ea typeface="+mn-ea"/>
                <a:cs typeface="+mn-cs"/>
              </a:defRPr>
            </a:pPr>
            <a:r>
              <a:rPr lang="en-US" sz="1200"/>
              <a:t>(206 in total </a:t>
            </a:r>
            <a:r>
              <a:rPr lang="en-US" sz="1200" b="0" i="0" u="none" strike="noStrike" kern="1200" spc="0" baseline="0">
                <a:solidFill>
                  <a:sysClr val="windowText" lastClr="000000">
                    <a:lumMod val="65000"/>
                    <a:lumOff val="35000"/>
                  </a:sysClr>
                </a:solidFill>
              </a:rPr>
              <a:t>in 2023</a:t>
            </a:r>
            <a:r>
              <a:rPr lang="en-US" sz="1200"/>
              <a:t>)</a:t>
            </a:r>
          </a:p>
        </c:rich>
      </c:tx>
      <c:layout>
        <c:manualLayout>
          <c:xMode val="edge"/>
          <c:yMode val="edge"/>
          <c:x val="0.142140565762613"/>
          <c:y val="7.5915733535775326E-3"/>
        </c:manualLayout>
      </c:layout>
      <c:overlay val="0"/>
      <c:spPr>
        <a:noFill/>
        <a:ln>
          <a:noFill/>
        </a:ln>
        <a:effectLst/>
      </c:spPr>
    </c:title>
    <c:autoTitleDeleted val="0"/>
    <c:plotArea>
      <c:layout/>
      <c:pieChart>
        <c:varyColors val="1"/>
        <c:ser>
          <c:idx val="0"/>
          <c:order val="0"/>
          <c:tx>
            <c:strRef>
              <c:f>Sheet1!$B$1</c:f>
              <c:strCache>
                <c:ptCount val="1"/>
                <c:pt idx="0">
                  <c:v>Geographical distribution of accredited NGOs</c:v>
                </c:pt>
              </c:strCache>
            </c:strRef>
          </c:tx>
          <c:dPt>
            <c:idx val="0"/>
            <c:bubble3D val="0"/>
            <c:spPr>
              <a:pattFill prst="trellis">
                <a:fgClr>
                  <a:srgbClr val="FF0000"/>
                </a:fgClr>
                <a:bgClr>
                  <a:schemeClr val="bg1"/>
                </a:bgClr>
              </a:pattFill>
              <a:ln w="19050">
                <a:solidFill>
                  <a:schemeClr val="lt1"/>
                </a:solidFill>
              </a:ln>
              <a:effectLst/>
            </c:spPr>
            <c:extLst>
              <c:ext xmlns:c16="http://schemas.microsoft.com/office/drawing/2014/chart" uri="{C3380CC4-5D6E-409C-BE32-E72D297353CC}">
                <c16:uniqueId val="{00000001-E628-4754-ABFE-A23719613F9F}"/>
              </c:ext>
            </c:extLst>
          </c:dPt>
          <c:dPt>
            <c:idx val="1"/>
            <c:bubble3D val="0"/>
            <c:spPr>
              <a:pattFill prst="pct90">
                <a:fgClr>
                  <a:srgbClr val="00B050"/>
                </a:fgClr>
                <a:bgClr>
                  <a:schemeClr val="bg1"/>
                </a:bgClr>
              </a:pattFill>
              <a:ln w="19050">
                <a:solidFill>
                  <a:schemeClr val="lt1"/>
                </a:solidFill>
              </a:ln>
              <a:effectLst/>
            </c:spPr>
            <c:extLst>
              <c:ext xmlns:c16="http://schemas.microsoft.com/office/drawing/2014/chart" uri="{C3380CC4-5D6E-409C-BE32-E72D297353CC}">
                <c16:uniqueId val="{00000003-E628-4754-ABFE-A23719613F9F}"/>
              </c:ext>
            </c:extLst>
          </c:dPt>
          <c:dPt>
            <c:idx val="2"/>
            <c:bubble3D val="0"/>
            <c:spPr>
              <a:pattFill prst="pct60">
                <a:fgClr>
                  <a:srgbClr val="00B0F0"/>
                </a:fgClr>
                <a:bgClr>
                  <a:schemeClr val="bg1"/>
                </a:bgClr>
              </a:pattFill>
              <a:ln w="19050">
                <a:solidFill>
                  <a:schemeClr val="lt1"/>
                </a:solidFill>
              </a:ln>
              <a:effectLst/>
            </c:spPr>
            <c:extLst>
              <c:ext xmlns:c16="http://schemas.microsoft.com/office/drawing/2014/chart" uri="{C3380CC4-5D6E-409C-BE32-E72D297353CC}">
                <c16:uniqueId val="{00000005-E628-4754-ABFE-A23719613F9F}"/>
              </c:ext>
            </c:extLst>
          </c:dPt>
          <c:dPt>
            <c:idx val="3"/>
            <c:bubble3D val="0"/>
            <c:spPr>
              <a:pattFill prst="narHorz">
                <a:fgClr>
                  <a:srgbClr val="7030A0"/>
                </a:fgClr>
                <a:bgClr>
                  <a:schemeClr val="bg1"/>
                </a:bgClr>
              </a:pattFill>
              <a:ln w="19050">
                <a:solidFill>
                  <a:schemeClr val="lt1"/>
                </a:solidFill>
              </a:ln>
              <a:effectLst/>
            </c:spPr>
            <c:extLst>
              <c:ext xmlns:c16="http://schemas.microsoft.com/office/drawing/2014/chart" uri="{C3380CC4-5D6E-409C-BE32-E72D297353CC}">
                <c16:uniqueId val="{00000007-E628-4754-ABFE-A23719613F9F}"/>
              </c:ext>
            </c:extLst>
          </c:dPt>
          <c:dPt>
            <c:idx val="4"/>
            <c:bubble3D val="0"/>
            <c:spPr>
              <a:pattFill prst="pct90">
                <a:fgClr>
                  <a:srgbClr val="FFFF00"/>
                </a:fgClr>
                <a:bgClr>
                  <a:schemeClr val="bg1"/>
                </a:bgClr>
              </a:pattFill>
              <a:ln w="19050">
                <a:solidFill>
                  <a:schemeClr val="lt1"/>
                </a:solidFill>
              </a:ln>
              <a:effectLst/>
            </c:spPr>
            <c:extLst>
              <c:ext xmlns:c16="http://schemas.microsoft.com/office/drawing/2014/chart" uri="{C3380CC4-5D6E-409C-BE32-E72D297353CC}">
                <c16:uniqueId val="{00000009-E628-4754-ABFE-A23719613F9F}"/>
              </c:ext>
            </c:extLst>
          </c:dPt>
          <c:dPt>
            <c:idx val="5"/>
            <c:bubble3D val="0"/>
            <c:spPr>
              <a:pattFill prst="pct80">
                <a:fgClr>
                  <a:schemeClr val="accent6">
                    <a:lumMod val="75000"/>
                  </a:schemeClr>
                </a:fgClr>
                <a:bgClr>
                  <a:schemeClr val="bg1"/>
                </a:bgClr>
              </a:pattFill>
              <a:ln w="19050">
                <a:solidFill>
                  <a:schemeClr val="lt1"/>
                </a:solidFill>
              </a:ln>
              <a:effectLst/>
            </c:spPr>
            <c:extLst>
              <c:ext xmlns:c16="http://schemas.microsoft.com/office/drawing/2014/chart" uri="{C3380CC4-5D6E-409C-BE32-E72D297353CC}">
                <c16:uniqueId val="{0000000B-E628-4754-ABFE-A23719613F9F}"/>
              </c:ext>
            </c:extLst>
          </c:dPt>
          <c:dLbls>
            <c:dLbl>
              <c:idx val="1"/>
              <c:layout>
                <c:manualLayout>
                  <c:x val="0"/>
                  <c:y val="-5.8754406580493537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628-4754-ABFE-A23719613F9F}"/>
                </c:ext>
              </c:extLst>
            </c:dLbl>
            <c:dLbl>
              <c:idx val="2"/>
              <c:layout>
                <c:manualLayout>
                  <c:x val="-1.1700027204075158E-2"/>
                  <c:y val="-6.139187801289821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628-4754-ABFE-A23719613F9F}"/>
                </c:ext>
              </c:extLst>
            </c:dLbl>
            <c:dLbl>
              <c:idx val="3"/>
              <c:layout>
                <c:manualLayout>
                  <c:x val="0"/>
                  <c:y val="-4.70035252643948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628-4754-ABFE-A23719613F9F}"/>
                </c:ext>
              </c:extLst>
            </c:dLbl>
            <c:dLbl>
              <c:idx val="4"/>
              <c:layout>
                <c:manualLayout>
                  <c:x val="-7.2228241242325748E-3"/>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E628-4754-ABFE-A23719613F9F}"/>
                </c:ext>
              </c:extLst>
            </c:dLbl>
            <c:dLbl>
              <c:idx val="5"/>
              <c:layout>
                <c:manualLayout>
                  <c:x val="0.14403714161948608"/>
                  <c:y val="3.5252643948296095E-2"/>
                </c:manualLayout>
              </c:layout>
              <c:tx>
                <c:rich>
                  <a:bodyPr/>
                  <a:lstStyle/>
                  <a:p>
                    <a:r>
                      <a:rPr lang="en-US"/>
                      <a:t>Group V(b)</a:t>
                    </a:r>
                    <a:r>
                      <a:rPr lang="en-US" baseline="0"/>
                      <a:t>
</a:t>
                    </a:r>
                    <a:fld id="{A5B1BEE3-87DB-4944-B6BD-46F069BFA9A5}" type="PERCENTAGE">
                      <a:rPr lang="en-US" baseline="0"/>
                      <a:pPr/>
                      <a:t>[POURCENTAGE]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E628-4754-ABFE-A23719613F9F}"/>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Sheet1!$A$2:$A$7</c:f>
              <c:strCache>
                <c:ptCount val="6"/>
                <c:pt idx="0">
                  <c:v>Group I</c:v>
                </c:pt>
                <c:pt idx="1">
                  <c:v>Group II</c:v>
                </c:pt>
                <c:pt idx="2">
                  <c:v>Group III</c:v>
                </c:pt>
                <c:pt idx="3">
                  <c:v>Group IV</c:v>
                </c:pt>
                <c:pt idx="4">
                  <c:v>Group V(a)</c:v>
                </c:pt>
                <c:pt idx="5">
                  <c:v>Group V(b)</c:v>
                </c:pt>
              </c:strCache>
            </c:strRef>
          </c:cat>
          <c:val>
            <c:numRef>
              <c:f>Sheet1!$B$2:$B$7</c:f>
              <c:numCache>
                <c:formatCode>General</c:formatCode>
                <c:ptCount val="6"/>
                <c:pt idx="0">
                  <c:v>108</c:v>
                </c:pt>
                <c:pt idx="1">
                  <c:v>21</c:v>
                </c:pt>
                <c:pt idx="2">
                  <c:v>14</c:v>
                </c:pt>
                <c:pt idx="3">
                  <c:v>28</c:v>
                </c:pt>
                <c:pt idx="4">
                  <c:v>25</c:v>
                </c:pt>
                <c:pt idx="5" formatCode="0">
                  <c:v>10</c:v>
                </c:pt>
              </c:numCache>
            </c:numRef>
          </c:val>
          <c:extLst>
            <c:ext xmlns:c16="http://schemas.microsoft.com/office/drawing/2014/chart" uri="{C3380CC4-5D6E-409C-BE32-E72D297353CC}">
              <c16:uniqueId val="{0000000C-E628-4754-ABFE-A23719613F9F}"/>
            </c:ext>
          </c:extLst>
        </c:ser>
        <c:dLbls>
          <c:showLegendKey val="0"/>
          <c:showVal val="0"/>
          <c:showCatName val="0"/>
          <c:showSerName val="0"/>
          <c:showPercent val="1"/>
          <c:showBubbleSize val="0"/>
          <c:showLeaderLines val="0"/>
        </c:dLbls>
        <c:firstSliceAng val="0"/>
      </c:pieChart>
      <c:spPr>
        <a:noFill/>
        <a:ln>
          <a:noFill/>
        </a:ln>
        <a:effectLst/>
      </c:spPr>
    </c:plotArea>
    <c:legend>
      <c:legendPos val="b"/>
      <c:layout>
        <c:manualLayout>
          <c:xMode val="edge"/>
          <c:yMode val="edge"/>
          <c:x val="0.12319275366852166"/>
          <c:y val="0.88322492297158517"/>
          <c:w val="0.75361430308752031"/>
          <c:h val="9.91487550542668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i="0" u="none" strike="noStrike" kern="1200" spc="0" baseline="0">
                <a:solidFill>
                  <a:sysClr val="windowText" lastClr="000000">
                    <a:lumMod val="65000"/>
                    <a:lumOff val="35000"/>
                  </a:sysClr>
                </a:solidFill>
              </a:rPr>
              <a:t>Figure 2: Geographical distribution of NGOs proposed for accreditation by the 10. GA in 2024</a:t>
            </a:r>
          </a:p>
        </c:rich>
      </c:tx>
      <c:layout>
        <c:manualLayout>
          <c:xMode val="edge"/>
          <c:yMode val="edge"/>
          <c:x val="0.142140565762613"/>
          <c:y val="7.5915733535775326E-3"/>
        </c:manualLayout>
      </c:layout>
      <c:overlay val="0"/>
      <c:spPr>
        <a:noFill/>
        <a:ln>
          <a:noFill/>
        </a:ln>
        <a:effectLst/>
      </c:spPr>
    </c:title>
    <c:autoTitleDeleted val="0"/>
    <c:plotArea>
      <c:layout/>
      <c:pieChart>
        <c:varyColors val="1"/>
        <c:ser>
          <c:idx val="0"/>
          <c:order val="0"/>
          <c:tx>
            <c:strRef>
              <c:f>Sheet1!$B$1</c:f>
              <c:strCache>
                <c:ptCount val="1"/>
                <c:pt idx="0">
                  <c:v>Geographical distribution of accredited NGOs</c:v>
                </c:pt>
              </c:strCache>
            </c:strRef>
          </c:tx>
          <c:dPt>
            <c:idx val="0"/>
            <c:bubble3D val="0"/>
            <c:spPr>
              <a:pattFill prst="trellis">
                <a:fgClr>
                  <a:srgbClr val="FF0000"/>
                </a:fgClr>
                <a:bgClr>
                  <a:schemeClr val="bg1"/>
                </a:bgClr>
              </a:pattFill>
              <a:ln w="19050">
                <a:solidFill>
                  <a:schemeClr val="lt1"/>
                </a:solidFill>
              </a:ln>
              <a:effectLst/>
            </c:spPr>
            <c:extLst>
              <c:ext xmlns:c16="http://schemas.microsoft.com/office/drawing/2014/chart" uri="{C3380CC4-5D6E-409C-BE32-E72D297353CC}">
                <c16:uniqueId val="{00000001-6340-4B3A-BFB6-CB56F6DAABED}"/>
              </c:ext>
            </c:extLst>
          </c:dPt>
          <c:dPt>
            <c:idx val="1"/>
            <c:bubble3D val="0"/>
            <c:spPr>
              <a:pattFill prst="pct90">
                <a:fgClr>
                  <a:srgbClr val="00B050"/>
                </a:fgClr>
                <a:bgClr>
                  <a:schemeClr val="bg1"/>
                </a:bgClr>
              </a:pattFill>
              <a:ln w="19050">
                <a:solidFill>
                  <a:schemeClr val="lt1"/>
                </a:solidFill>
              </a:ln>
              <a:effectLst/>
            </c:spPr>
            <c:extLst>
              <c:ext xmlns:c16="http://schemas.microsoft.com/office/drawing/2014/chart" uri="{C3380CC4-5D6E-409C-BE32-E72D297353CC}">
                <c16:uniqueId val="{00000003-6340-4B3A-BFB6-CB56F6DAABED}"/>
              </c:ext>
            </c:extLst>
          </c:dPt>
          <c:dPt>
            <c:idx val="2"/>
            <c:bubble3D val="0"/>
            <c:spPr>
              <a:pattFill prst="pct60">
                <a:fgClr>
                  <a:srgbClr val="00B0F0"/>
                </a:fgClr>
                <a:bgClr>
                  <a:schemeClr val="bg1"/>
                </a:bgClr>
              </a:pattFill>
              <a:ln w="19050">
                <a:solidFill>
                  <a:schemeClr val="lt1"/>
                </a:solidFill>
              </a:ln>
              <a:effectLst/>
            </c:spPr>
            <c:extLst>
              <c:ext xmlns:c16="http://schemas.microsoft.com/office/drawing/2014/chart" uri="{C3380CC4-5D6E-409C-BE32-E72D297353CC}">
                <c16:uniqueId val="{00000005-6340-4B3A-BFB6-CB56F6DAABED}"/>
              </c:ext>
            </c:extLst>
          </c:dPt>
          <c:dPt>
            <c:idx val="3"/>
            <c:bubble3D val="0"/>
            <c:spPr>
              <a:pattFill prst="narHorz">
                <a:fgClr>
                  <a:srgbClr val="7030A0"/>
                </a:fgClr>
                <a:bgClr>
                  <a:schemeClr val="bg1"/>
                </a:bgClr>
              </a:pattFill>
              <a:ln w="19050">
                <a:solidFill>
                  <a:schemeClr val="lt1"/>
                </a:solidFill>
              </a:ln>
              <a:effectLst/>
            </c:spPr>
            <c:extLst>
              <c:ext xmlns:c16="http://schemas.microsoft.com/office/drawing/2014/chart" uri="{C3380CC4-5D6E-409C-BE32-E72D297353CC}">
                <c16:uniqueId val="{00000007-6340-4B3A-BFB6-CB56F6DAABED}"/>
              </c:ext>
            </c:extLst>
          </c:dPt>
          <c:dPt>
            <c:idx val="4"/>
            <c:bubble3D val="0"/>
            <c:spPr>
              <a:pattFill prst="pct90">
                <a:fgClr>
                  <a:srgbClr val="FFFF00"/>
                </a:fgClr>
                <a:bgClr>
                  <a:schemeClr val="bg1"/>
                </a:bgClr>
              </a:pattFill>
              <a:ln w="19050">
                <a:solidFill>
                  <a:schemeClr val="lt1"/>
                </a:solidFill>
              </a:ln>
              <a:effectLst/>
            </c:spPr>
            <c:extLst>
              <c:ext xmlns:c16="http://schemas.microsoft.com/office/drawing/2014/chart" uri="{C3380CC4-5D6E-409C-BE32-E72D297353CC}">
                <c16:uniqueId val="{00000009-6340-4B3A-BFB6-CB56F6DAABED}"/>
              </c:ext>
            </c:extLst>
          </c:dPt>
          <c:dPt>
            <c:idx val="5"/>
            <c:bubble3D val="0"/>
            <c:spPr>
              <a:pattFill prst="pct80">
                <a:fgClr>
                  <a:schemeClr val="accent6">
                    <a:lumMod val="75000"/>
                  </a:schemeClr>
                </a:fgClr>
                <a:bgClr>
                  <a:schemeClr val="bg1"/>
                </a:bgClr>
              </a:pattFill>
              <a:ln w="19050">
                <a:solidFill>
                  <a:schemeClr val="lt1"/>
                </a:solidFill>
              </a:ln>
              <a:effectLst/>
            </c:spPr>
            <c:extLst>
              <c:ext xmlns:c16="http://schemas.microsoft.com/office/drawing/2014/chart" uri="{C3380CC4-5D6E-409C-BE32-E72D297353CC}">
                <c16:uniqueId val="{0000000B-6340-4B3A-BFB6-CB56F6DAABED}"/>
              </c:ext>
            </c:extLst>
          </c:dPt>
          <c:dLbls>
            <c:dLbl>
              <c:idx val="1"/>
              <c:layout>
                <c:manualLayout>
                  <c:x val="1.7519709673382556E-2"/>
                  <c:y val="-1.874853527068197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340-4B3A-BFB6-CB56F6DAABED}"/>
                </c:ext>
              </c:extLst>
            </c:dLbl>
            <c:dLbl>
              <c:idx val="2"/>
              <c:layout>
                <c:manualLayout>
                  <c:x val="-1.1700011700011743E-2"/>
                  <c:y val="-1.438848920863309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340-4B3A-BFB6-CB56F6DAABED}"/>
                </c:ext>
              </c:extLst>
            </c:dLbl>
            <c:dLbl>
              <c:idx val="4"/>
              <c:layout>
                <c:manualLayout>
                  <c:x val="-1.0011262670504317E-2"/>
                  <c:y val="4.6871338176704943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340-4B3A-BFB6-CB56F6DAABED}"/>
                </c:ext>
              </c:extLst>
            </c:dLbl>
            <c:dLbl>
              <c:idx val="5"/>
              <c:layout>
                <c:manualLayout>
                  <c:x val="5.8410593807797555E-2"/>
                  <c:y val="4.6871338176704943E-3"/>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en-US"/>
                      <a:t>Group V(b)</a:t>
                    </a:r>
                    <a:r>
                      <a:rPr lang="en-US" baseline="0"/>
                      <a:t>
</a:t>
                    </a:r>
                    <a:fld id="{A5B1BEE3-87DB-4944-B6BD-46F069BFA9A5}" type="PERCENTAGE">
                      <a:rPr lang="en-US" baseline="0"/>
                      <a:pPr>
                        <a:defRPr sz="900" b="0" i="0" u="none" strike="noStrike" kern="1200" baseline="0">
                          <a:solidFill>
                            <a:schemeClr val="dk1">
                              <a:lumMod val="65000"/>
                              <a:lumOff val="35000"/>
                            </a:schemeClr>
                          </a:solidFill>
                          <a:latin typeface="+mn-lt"/>
                          <a:ea typeface="+mn-ea"/>
                          <a:cs typeface="+mn-cs"/>
                        </a:defRPr>
                      </a:pPr>
                      <a:t>[POURCENTAGE]</a:t>
                    </a:fld>
                    <a:endParaRPr lang="en-US" baseline="0"/>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30485"/>
                        <a:gd name="adj2" fmla="val 65630"/>
                      </a:avLst>
                    </a:prstGeom>
                  </c15:spPr>
                  <c15:dlblFieldTable/>
                  <c15:showDataLabelsRange val="0"/>
                </c:ext>
                <c:ext xmlns:c16="http://schemas.microsoft.com/office/drawing/2014/chart" uri="{C3380CC4-5D6E-409C-BE32-E72D297353CC}">
                  <c16:uniqueId val="{0000000B-6340-4B3A-BFB6-CB56F6DAABED}"/>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Sheet1!$A$2:$A$7</c:f>
              <c:strCache>
                <c:ptCount val="6"/>
                <c:pt idx="0">
                  <c:v>Group I</c:v>
                </c:pt>
                <c:pt idx="1">
                  <c:v>Group II</c:v>
                </c:pt>
                <c:pt idx="2">
                  <c:v>Group III</c:v>
                </c:pt>
                <c:pt idx="3">
                  <c:v>Group IV</c:v>
                </c:pt>
                <c:pt idx="4">
                  <c:v>Group V(a)</c:v>
                </c:pt>
                <c:pt idx="5">
                  <c:v>Group V(b)</c:v>
                </c:pt>
              </c:strCache>
            </c:strRef>
          </c:cat>
          <c:val>
            <c:numRef>
              <c:f>Sheet1!$B$2:$B$7</c:f>
              <c:numCache>
                <c:formatCode>General</c:formatCode>
                <c:ptCount val="6"/>
                <c:pt idx="0">
                  <c:v>22</c:v>
                </c:pt>
                <c:pt idx="1">
                  <c:v>7</c:v>
                </c:pt>
                <c:pt idx="2">
                  <c:v>13</c:v>
                </c:pt>
                <c:pt idx="3">
                  <c:v>8</c:v>
                </c:pt>
                <c:pt idx="4">
                  <c:v>2</c:v>
                </c:pt>
                <c:pt idx="5" formatCode="0">
                  <c:v>6</c:v>
                </c:pt>
              </c:numCache>
            </c:numRef>
          </c:val>
          <c:extLst>
            <c:ext xmlns:c16="http://schemas.microsoft.com/office/drawing/2014/chart" uri="{C3380CC4-5D6E-409C-BE32-E72D297353CC}">
              <c16:uniqueId val="{0000000C-6340-4B3A-BFB6-CB56F6DAABED}"/>
            </c:ext>
          </c:extLst>
        </c:ser>
        <c:dLbls>
          <c:showLegendKey val="0"/>
          <c:showVal val="0"/>
          <c:showCatName val="0"/>
          <c:showSerName val="0"/>
          <c:showPercent val="1"/>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document_EN.dotx</Template>
  <TotalTime>343</TotalTime>
  <Pages>13</Pages>
  <Words>3527</Words>
  <Characters>22099</Characters>
  <Application>Microsoft Office Word</Application>
  <DocSecurity>0</DocSecurity>
  <Lines>184</Lines>
  <Paragraphs>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25575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Ohinata, Fumiko</cp:lastModifiedBy>
  <cp:revision>14</cp:revision>
  <cp:lastPrinted>2011-08-06T10:22:00Z</cp:lastPrinted>
  <dcterms:created xsi:type="dcterms:W3CDTF">2024-05-30T08:50:00Z</dcterms:created>
  <dcterms:modified xsi:type="dcterms:W3CDTF">2024-05-31T18:57:00Z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1a8e3a654205bde7b5766af4f8a596725768ef881a073569e8e4036f76c1ca0e</vt:lpwstr>
  </property>
</Properties>
</file>