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0631F9" w:rsidRDefault="00EC6F8D" w:rsidP="00EC6F8D">
      <w:pPr>
        <w:spacing w:before="1440"/>
        <w:jc w:val="center"/>
        <w:rPr>
          <w:rFonts w:ascii="Arial" w:hAnsi="Arial" w:cs="Arial"/>
          <w:b/>
          <w:sz w:val="22"/>
          <w:szCs w:val="22"/>
        </w:rPr>
      </w:pPr>
      <w:r>
        <w:rPr>
          <w:rFonts w:ascii="Arial" w:hAnsi="Arial"/>
          <w:b/>
          <w:sz w:val="22"/>
        </w:rPr>
        <w:t>CONVENTION POUR LA SAUVEGARDE DU</w:t>
      </w:r>
      <w:r>
        <w:rPr>
          <w:rFonts w:ascii="Arial" w:hAnsi="Arial"/>
          <w:b/>
          <w:sz w:val="22"/>
        </w:rPr>
        <w:br/>
        <w:t>PATRIMOINE CULTUREL IMMATÉRIEL</w:t>
      </w:r>
    </w:p>
    <w:p w14:paraId="3F72B1D3" w14:textId="37133200" w:rsidR="00EC6F8D" w:rsidRPr="000631F9" w:rsidRDefault="005C792B" w:rsidP="00EC6F8D">
      <w:pPr>
        <w:spacing w:before="1200"/>
        <w:jc w:val="center"/>
        <w:rPr>
          <w:rFonts w:ascii="Arial" w:hAnsi="Arial" w:cs="Arial"/>
          <w:b/>
          <w:sz w:val="22"/>
          <w:szCs w:val="22"/>
        </w:rPr>
      </w:pPr>
      <w:r>
        <w:rPr>
          <w:rFonts w:ascii="Arial" w:hAnsi="Arial"/>
          <w:b/>
          <w:sz w:val="22"/>
        </w:rPr>
        <w:t>ASSEMBLÉE GÉNÉRALE DES ÉTATS PARTIES À LA CONVENTION</w:t>
      </w:r>
    </w:p>
    <w:p w14:paraId="2E1CD4B4" w14:textId="1F59B9D4" w:rsidR="00EC6F8D" w:rsidRPr="000631F9" w:rsidRDefault="005C792B" w:rsidP="001D14FE">
      <w:pPr>
        <w:spacing w:before="840"/>
        <w:jc w:val="center"/>
        <w:rPr>
          <w:rFonts w:ascii="Arial" w:hAnsi="Arial" w:cs="Arial"/>
          <w:b/>
          <w:sz w:val="22"/>
          <w:szCs w:val="22"/>
        </w:rPr>
      </w:pPr>
      <w:r>
        <w:rPr>
          <w:rFonts w:ascii="Arial" w:hAnsi="Arial"/>
          <w:b/>
          <w:sz w:val="22"/>
        </w:rPr>
        <w:t>Dixième session</w:t>
      </w:r>
    </w:p>
    <w:p w14:paraId="1FD89575" w14:textId="05D2C62D" w:rsidR="00B2172B" w:rsidRPr="000631F9" w:rsidRDefault="005C792B" w:rsidP="00B2172B">
      <w:pPr>
        <w:jc w:val="center"/>
        <w:rPr>
          <w:rFonts w:ascii="Arial" w:hAnsi="Arial" w:cs="Arial"/>
          <w:b/>
          <w:sz w:val="22"/>
          <w:szCs w:val="22"/>
        </w:rPr>
      </w:pPr>
      <w:r>
        <w:rPr>
          <w:rFonts w:ascii="Arial" w:hAnsi="Arial"/>
          <w:b/>
          <w:sz w:val="22"/>
        </w:rPr>
        <w:t>Siège de l’UNESCO, Salle I</w:t>
      </w:r>
    </w:p>
    <w:p w14:paraId="52EA6D50" w14:textId="5498E7A4" w:rsidR="00B2172B" w:rsidRPr="000631F9" w:rsidRDefault="0054535F" w:rsidP="00B2172B">
      <w:pPr>
        <w:jc w:val="center"/>
        <w:rPr>
          <w:rFonts w:ascii="Arial" w:hAnsi="Arial" w:cs="Arial"/>
          <w:b/>
          <w:sz w:val="22"/>
          <w:szCs w:val="22"/>
        </w:rPr>
      </w:pPr>
      <w:r>
        <w:rPr>
          <w:rFonts w:ascii="Arial" w:hAnsi="Arial"/>
          <w:b/>
          <w:sz w:val="22"/>
        </w:rPr>
        <w:t>11</w:t>
      </w:r>
      <w:r w:rsidR="000F7788">
        <w:rPr>
          <w:rFonts w:ascii="Arial" w:hAnsi="Arial"/>
          <w:b/>
          <w:sz w:val="22"/>
        </w:rPr>
        <w:t> </w:t>
      </w:r>
      <w:r>
        <w:rPr>
          <w:rFonts w:ascii="Arial" w:hAnsi="Arial"/>
          <w:b/>
          <w:sz w:val="22"/>
        </w:rPr>
        <w:t>– 1</w:t>
      </w:r>
      <w:r w:rsidR="002C56C7">
        <w:rPr>
          <w:rFonts w:ascii="Arial" w:hAnsi="Arial"/>
          <w:b/>
          <w:sz w:val="22"/>
        </w:rPr>
        <w:t>2</w:t>
      </w:r>
      <w:r>
        <w:rPr>
          <w:rFonts w:ascii="Arial" w:hAnsi="Arial"/>
          <w:b/>
          <w:sz w:val="22"/>
        </w:rPr>
        <w:t> juin 2024</w:t>
      </w:r>
    </w:p>
    <w:p w14:paraId="0365203A" w14:textId="6769D49A" w:rsidR="00EC6F8D" w:rsidRPr="000631F9" w:rsidRDefault="00EC6F8D" w:rsidP="00EC6F8D">
      <w:pPr>
        <w:pStyle w:val="Sansinterligne2"/>
        <w:spacing w:before="1200"/>
        <w:jc w:val="center"/>
        <w:rPr>
          <w:rFonts w:ascii="Arial" w:hAnsi="Arial" w:cs="Arial"/>
          <w:b/>
          <w:sz w:val="22"/>
          <w:szCs w:val="22"/>
        </w:rPr>
      </w:pPr>
      <w:r>
        <w:rPr>
          <w:rFonts w:ascii="Arial" w:hAnsi="Arial"/>
          <w:b/>
          <w:sz w:val="22"/>
          <w:u w:val="single"/>
        </w:rPr>
        <w:t>Point 7 de l’ordre du jour provisoire</w:t>
      </w:r>
      <w:r>
        <w:rPr>
          <w:rFonts w:ascii="Arial" w:hAnsi="Arial"/>
          <w:b/>
          <w:sz w:val="22"/>
        </w:rPr>
        <w:t> :</w:t>
      </w:r>
    </w:p>
    <w:p w14:paraId="59920478" w14:textId="08FB5F04" w:rsidR="004A2875" w:rsidRPr="000631F9" w:rsidRDefault="0034001C" w:rsidP="004A2875">
      <w:pPr>
        <w:pStyle w:val="Sansinterligne2"/>
        <w:spacing w:after="960"/>
        <w:jc w:val="center"/>
        <w:rPr>
          <w:rFonts w:ascii="Arial" w:hAnsi="Arial" w:cs="Arial"/>
          <w:bCs/>
          <w:sz w:val="22"/>
          <w:szCs w:val="22"/>
        </w:rPr>
      </w:pPr>
      <w:r>
        <w:rPr>
          <w:rFonts w:ascii="Arial" w:hAnsi="Arial"/>
          <w:b/>
          <w:sz w:val="22"/>
        </w:rPr>
        <w:t>Révisions proposées aux</w:t>
      </w:r>
      <w:r w:rsidR="005A74ED">
        <w:rPr>
          <w:rFonts w:ascii="Arial" w:hAnsi="Arial"/>
          <w:b/>
          <w:sz w:val="22"/>
        </w:rPr>
        <w:t xml:space="preserve"> Directives opérationnelles </w:t>
      </w:r>
      <w:r w:rsidR="005A74ED">
        <w:rPr>
          <w:rFonts w:ascii="Arial" w:hAnsi="Arial"/>
          <w:b/>
          <w:sz w:val="22"/>
        </w:rPr>
        <w:br/>
        <w:t>pour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631F9" w14:paraId="75AC6221" w14:textId="77777777" w:rsidTr="00CB4318">
        <w:trPr>
          <w:trHeight w:val="2903"/>
          <w:jc w:val="center"/>
        </w:trPr>
        <w:tc>
          <w:tcPr>
            <w:tcW w:w="5670" w:type="dxa"/>
            <w:vAlign w:val="center"/>
          </w:tcPr>
          <w:p w14:paraId="51C260A9" w14:textId="77777777" w:rsidR="00EC6F8D" w:rsidRPr="000631F9"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612E5DE6" w14:textId="6A7D5E43" w:rsidR="00BB6EEC" w:rsidRPr="00367E1F" w:rsidRDefault="00FA030C" w:rsidP="00BB6EEC">
            <w:pPr>
              <w:pStyle w:val="Sansinterligne1"/>
              <w:jc w:val="both"/>
              <w:rPr>
                <w:rFonts w:ascii="Arial" w:hAnsi="Arial" w:cs="Arial"/>
                <w:bCs/>
                <w:sz w:val="22"/>
                <w:szCs w:val="22"/>
              </w:rPr>
            </w:pPr>
            <w:r>
              <w:rPr>
                <w:rFonts w:ascii="Arial" w:hAnsi="Arial"/>
                <w:sz w:val="22"/>
              </w:rPr>
              <w:t xml:space="preserve">Il est demandé à la présente session de l’Assemblée générale d’approuver les amendements proposés aux Directives opérationnelles afin de simplifier les critères de sélection pour le Registre de bonnes pratiques de sauvegarde et d’élargir l’accès </w:t>
            </w:r>
            <w:r w:rsidRPr="00367E1F">
              <w:rPr>
                <w:rFonts w:ascii="Arial" w:hAnsi="Arial"/>
                <w:sz w:val="22"/>
              </w:rPr>
              <w:t>à l’</w:t>
            </w:r>
            <w:r w:rsidR="007760E2" w:rsidRPr="00367E1F">
              <w:rPr>
                <w:rFonts w:ascii="Arial" w:hAnsi="Arial"/>
                <w:sz w:val="22"/>
              </w:rPr>
              <w:t>a</w:t>
            </w:r>
            <w:r w:rsidRPr="00367E1F">
              <w:rPr>
                <w:rFonts w:ascii="Arial" w:hAnsi="Arial"/>
                <w:sz w:val="22"/>
              </w:rPr>
              <w:t>ssistance internationale préparatoire.</w:t>
            </w:r>
          </w:p>
          <w:p w14:paraId="290310E8" w14:textId="430F12BF" w:rsidR="00EC6F8D" w:rsidRPr="000631F9" w:rsidRDefault="00EC6F8D" w:rsidP="00CA56BB">
            <w:pPr>
              <w:pStyle w:val="Sansinterligne2"/>
              <w:spacing w:before="200" w:after="200"/>
              <w:jc w:val="both"/>
              <w:rPr>
                <w:rFonts w:ascii="Arial" w:hAnsi="Arial" w:cs="Arial"/>
                <w:b/>
                <w:sz w:val="22"/>
                <w:szCs w:val="22"/>
              </w:rPr>
            </w:pPr>
            <w:r w:rsidRPr="00367E1F">
              <w:rPr>
                <w:rFonts w:ascii="Arial" w:hAnsi="Arial"/>
                <w:b/>
                <w:sz w:val="22"/>
              </w:rPr>
              <w:t xml:space="preserve">Décision requise : </w:t>
            </w:r>
            <w:r w:rsidRPr="00367E1F">
              <w:rPr>
                <w:rFonts w:ascii="Arial" w:hAnsi="Arial"/>
                <w:sz w:val="22"/>
              </w:rPr>
              <w:t>paragraphe 16</w:t>
            </w:r>
          </w:p>
        </w:tc>
      </w:tr>
    </w:tbl>
    <w:p w14:paraId="713D819F" w14:textId="77777777" w:rsidR="004A2875" w:rsidRPr="000631F9"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rPr>
      </w:pPr>
      <w:r>
        <w:br w:type="page"/>
      </w:r>
    </w:p>
    <w:p w14:paraId="6C62585F" w14:textId="6FE6EFCA" w:rsidR="00F70CC5" w:rsidRPr="000631F9" w:rsidRDefault="002247F2" w:rsidP="00F70CC5">
      <w:pPr>
        <w:pStyle w:val="COMPara"/>
        <w:numPr>
          <w:ilvl w:val="0"/>
          <w:numId w:val="0"/>
        </w:numPr>
        <w:spacing w:before="240"/>
        <w:jc w:val="both"/>
        <w:rPr>
          <w:b/>
          <w:bCs/>
        </w:rPr>
      </w:pPr>
      <w:bookmarkStart w:id="0" w:name="_Hlk124351255"/>
      <w:r>
        <w:rPr>
          <w:b/>
        </w:rPr>
        <w:lastRenderedPageBreak/>
        <w:t>Introduction</w:t>
      </w:r>
    </w:p>
    <w:bookmarkEnd w:id="0"/>
    <w:p w14:paraId="765782DB" w14:textId="66961F88" w:rsidR="009B0335" w:rsidRPr="000631F9" w:rsidRDefault="00046A7A" w:rsidP="00C11E9A">
      <w:pPr>
        <w:pStyle w:val="COMPara"/>
        <w:ind w:left="567" w:hanging="567"/>
        <w:jc w:val="both"/>
      </w:pPr>
      <w:r>
        <w:t>Il est demandé à la présente session de l’Assemblée générale d’approuver deux séries d’amendements aux Directives opérationnelles de la Convention afin de donner suite aux résultats de la réflexion globale sur les mécanismes d’inscription de la Convention</w:t>
      </w:r>
      <w:r w:rsidR="00DA2EF5" w:rsidRPr="000631F9">
        <w:rPr>
          <w:rStyle w:val="FootnoteReference"/>
        </w:rPr>
        <w:footnoteReference w:id="1"/>
      </w:r>
      <w:r>
        <w:t xml:space="preserve"> , qui a été lancée par la treizième session du Comité en 2018 et conclue par la neuvième session de l’Assemblée générale en juillet 2022.</w:t>
      </w:r>
    </w:p>
    <w:p w14:paraId="43B4885B" w14:textId="54AFEE63" w:rsidR="00DA2EF5" w:rsidRPr="000631F9" w:rsidRDefault="00DA2EF5" w:rsidP="00DA2EF5">
      <w:pPr>
        <w:pStyle w:val="COMPara"/>
        <w:ind w:left="567" w:hanging="567"/>
        <w:jc w:val="both"/>
      </w:pPr>
      <w:r>
        <w:t xml:space="preserve">Approuvés par la dix-huitième session du Comité en décembre 2023 (document </w:t>
      </w:r>
      <w:hyperlink r:id="rId8" w:history="1">
        <w:r>
          <w:rPr>
            <w:rStyle w:val="Hyperlink"/>
          </w:rPr>
          <w:t>LHE/23/18.COM/11</w:t>
        </w:r>
      </w:hyperlink>
      <w:r>
        <w:t xml:space="preserve"> et décision </w:t>
      </w:r>
      <w:hyperlink r:id="rId9" w:history="1">
        <w:r>
          <w:rPr>
            <w:rStyle w:val="Hyperlink"/>
          </w:rPr>
          <w:t>18.COM 11</w:t>
        </w:r>
      </w:hyperlink>
      <w:r>
        <w:t>), les projets d’amendements visent à améliorer les deux aspects suivants des mécanismes de coopération internationale de la Convention :</w:t>
      </w:r>
    </w:p>
    <w:p w14:paraId="7FDFF082" w14:textId="355E0E47" w:rsidR="00DA2EF5" w:rsidRPr="000631F9" w:rsidRDefault="00DA2EF5" w:rsidP="00DA2EF5">
      <w:pPr>
        <w:pStyle w:val="COMPara"/>
        <w:numPr>
          <w:ilvl w:val="0"/>
          <w:numId w:val="36"/>
        </w:numPr>
        <w:jc w:val="both"/>
      </w:pPr>
      <w:r>
        <w:t>Simplification des critères de sélection des programmes, projets et activités qui reflètent le mieux les principes et objectifs de la Convention, notamment en ce qui concerne le Registre de bonnes pratiques de sauvegarde (</w:t>
      </w:r>
      <w:r w:rsidRPr="00652CEF">
        <w:t>partie A</w:t>
      </w:r>
      <w:r>
        <w:t>)</w:t>
      </w:r>
    </w:p>
    <w:p w14:paraId="4D1AA92E" w14:textId="3470ED4E" w:rsidR="00DA2EF5" w:rsidRPr="00367E1F" w:rsidRDefault="008E5CA9" w:rsidP="00DA2EF5">
      <w:pPr>
        <w:pStyle w:val="COMPara"/>
        <w:numPr>
          <w:ilvl w:val="0"/>
          <w:numId w:val="36"/>
        </w:numPr>
        <w:jc w:val="both"/>
      </w:pPr>
      <w:r w:rsidRPr="00367E1F">
        <w:t xml:space="preserve">Élargissement de l’accès à l’assistance préparatoire du </w:t>
      </w:r>
      <w:r w:rsidR="00367E1F" w:rsidRPr="00652CEF">
        <w:t>portefolio d’assistance</w:t>
      </w:r>
      <w:r w:rsidRPr="00367E1F">
        <w:t xml:space="preserve"> internationale du Fonds pour la sauvegarde du patrimoine culturel immatériel (</w:t>
      </w:r>
      <w:r w:rsidRPr="00652CEF">
        <w:t>partie</w:t>
      </w:r>
      <w:r w:rsidR="00367E1F" w:rsidRPr="00652CEF">
        <w:t> </w:t>
      </w:r>
      <w:r w:rsidRPr="00652CEF">
        <w:t>B</w:t>
      </w:r>
      <w:r w:rsidRPr="00367E1F">
        <w:t>)</w:t>
      </w:r>
      <w:r w:rsidR="007760E2" w:rsidRPr="00367E1F">
        <w:t>.</w:t>
      </w:r>
    </w:p>
    <w:p w14:paraId="1D9C28E1" w14:textId="1FAF9407" w:rsidR="00063D10" w:rsidRPr="000631F9" w:rsidRDefault="003E5457" w:rsidP="00063D10">
      <w:pPr>
        <w:pStyle w:val="COMPara"/>
        <w:numPr>
          <w:ilvl w:val="0"/>
          <w:numId w:val="21"/>
        </w:numPr>
        <w:spacing w:before="240"/>
        <w:ind w:left="567" w:hanging="567"/>
        <w:jc w:val="both"/>
        <w:rPr>
          <w:b/>
          <w:bCs/>
        </w:rPr>
      </w:pPr>
      <w:bookmarkStart w:id="2" w:name="PartA"/>
      <w:r>
        <w:rPr>
          <w:b/>
        </w:rPr>
        <w:t>Registre de bonnes pratiques de sauvegarde</w:t>
      </w:r>
    </w:p>
    <w:bookmarkEnd w:id="2"/>
    <w:p w14:paraId="26F1A58B" w14:textId="132044FF" w:rsidR="0010351D" w:rsidRPr="000631F9" w:rsidRDefault="001A409F" w:rsidP="00734E47">
      <w:pPr>
        <w:pStyle w:val="COMPara"/>
        <w:spacing w:before="120"/>
        <w:ind w:left="567" w:hanging="567"/>
        <w:jc w:val="both"/>
      </w:pPr>
      <w:r>
        <w:t>Avec seulement trente-sept bonnes pratiques sélectionnées (ce qui représente 5 % des 730 éléments et pratiques actuellement inclus dans l’ensemble du système d’inscription), le Registre de bonnes pratiques de sauvegarde (ci-après dénommé « le Registre »)</w:t>
      </w:r>
      <w:r w:rsidRPr="000631F9">
        <w:rPr>
          <w:vertAlign w:val="superscript"/>
        </w:rPr>
        <w:footnoteReference w:id="2"/>
      </w:r>
      <w:r>
        <w:t>, qui a été établi en 2009 en référence à l’article 18 de la Convention, a été sous-utilisé par rapport aux deux autres mécanismes d’inscription de la Convention (la Liste représentative du patrimoine culturel immatériel de l’humanité, ci-après dénommée « la Liste représentative », et la Liste du patrimoine culture</w:t>
      </w:r>
      <w:r w:rsidR="0019319F">
        <w:t>l</w:t>
      </w:r>
      <w:r>
        <w:t xml:space="preserve"> immatériel nécessitant une sauvegarde urgente, ci-après dénommée « la Liste de sauvegarde urgente »).</w:t>
      </w:r>
    </w:p>
    <w:p w14:paraId="7F37A7B6" w14:textId="3D173086" w:rsidR="006704B3" w:rsidRPr="000631F9" w:rsidRDefault="006704B3" w:rsidP="00734E47">
      <w:pPr>
        <w:pStyle w:val="COMPara"/>
        <w:spacing w:before="120"/>
        <w:ind w:left="567" w:hanging="567"/>
        <w:jc w:val="both"/>
      </w:pPr>
      <w:r>
        <w:t>Les organes directeurs de la Convention ont déjà réalisé un certain nombre d’améliorations pour l’opérationnalisation du Registre à travers la réflexion globale</w:t>
      </w:r>
      <w:r w:rsidR="006904D8">
        <w:t xml:space="preserve"> </w:t>
      </w:r>
      <w:r>
        <w:t>(</w:t>
      </w:r>
      <w:bookmarkStart w:id="3" w:name="_Hlk162366913"/>
      <w:r>
        <w:t>décision </w:t>
      </w:r>
      <w:hyperlink r:id="rId10" w:history="1">
        <w:r>
          <w:rPr>
            <w:rStyle w:val="Hyperlink"/>
          </w:rPr>
          <w:t>16.COM 14</w:t>
        </w:r>
      </w:hyperlink>
      <w:bookmarkEnd w:id="3"/>
      <w:r>
        <w:t xml:space="preserve"> et </w:t>
      </w:r>
      <w:r w:rsidR="006904D8">
        <w:t>r</w:t>
      </w:r>
      <w:r>
        <w:t>ésolution </w:t>
      </w:r>
      <w:hyperlink r:id="rId11" w:history="1">
        <w:r>
          <w:rPr>
            <w:rStyle w:val="Hyperlink"/>
          </w:rPr>
          <w:t>9.GA 9</w:t>
        </w:r>
      </w:hyperlink>
      <w:r>
        <w:t>), qui concernent : (a) la suppression du critère de sélection P.9 (paragraphe 7 des Directives opérationnelles)</w:t>
      </w:r>
      <w:r w:rsidRPr="000631F9">
        <w:rPr>
          <w:vertAlign w:val="superscript"/>
        </w:rPr>
        <w:footnoteReference w:id="3"/>
      </w:r>
      <w:r>
        <w:t xml:space="preserve"> et (b) la possibilité pour l’</w:t>
      </w:r>
      <w:r w:rsidR="007760E2">
        <w:t>O</w:t>
      </w:r>
      <w:r>
        <w:t>rgane d’évaluation de recommander l’inclusion d’expériences de sauvegarde réussies dans le Registre dans le cadre de transferts d’éléments de la Liste de sauvegarde urgente vers la Liste représentative (paragraphe 39.3 des Directives opérationnelles).</w:t>
      </w:r>
    </w:p>
    <w:p w14:paraId="1A3A3ACF" w14:textId="35E6033F" w:rsidR="00D17348" w:rsidRPr="000631F9" w:rsidRDefault="00BB4607" w:rsidP="00734E47">
      <w:pPr>
        <w:pStyle w:val="COMPara"/>
        <w:spacing w:before="120"/>
        <w:ind w:left="567" w:hanging="567"/>
        <w:jc w:val="both"/>
      </w:pPr>
      <w:r>
        <w:t xml:space="preserve">Dans le cadre du suivi de la réflexion globale sur les mécanismes d’inscription </w:t>
      </w:r>
      <w:r w:rsidR="001B17AF">
        <w:t xml:space="preserve">sur les listes </w:t>
      </w:r>
      <w:r>
        <w:t>de la Convention de 2003, la seizième session du Comité a également décidé de lancer une réflexion distincte pour explorer le plein potentiel de l’article 18 de la Convention (décision </w:t>
      </w:r>
      <w:hyperlink r:id="rId12" w:history="1">
        <w:r>
          <w:rPr>
            <w:rStyle w:val="Hyperlink"/>
          </w:rPr>
          <w:t>16.COM 14</w:t>
        </w:r>
      </w:hyperlink>
      <w:r>
        <w:t xml:space="preserve">). </w:t>
      </w:r>
      <w:r>
        <w:rPr>
          <w:rStyle w:val="hps"/>
          <w:rFonts w:asciiTheme="minorBidi" w:hAnsiTheme="minorBidi"/>
          <w:snapToGrid/>
        </w:rPr>
        <w:t>Cette nouvelle réflexion est le fruit d’une généreuse contribution du Royaume de Suède</w:t>
      </w:r>
      <w:r>
        <w:rPr>
          <w:rFonts w:asciiTheme="minorBidi" w:hAnsiTheme="minorBidi"/>
        </w:rPr>
        <w:t>.</w:t>
      </w:r>
      <w:r>
        <w:t xml:space="preserve"> </w:t>
      </w:r>
      <w:r>
        <w:rPr>
          <w:rFonts w:asciiTheme="minorBidi" w:hAnsiTheme="minorBidi"/>
        </w:rPr>
        <w:t>Les questions relevant de la réflexion sur l’article 18 ont été présentées en détail au Comité lors de sa dix-septième session en 2022, qui a alors établi les sujets de réflexion et un calendrier avec des étapes intergouvernementales pour la réflexion (document </w:t>
      </w:r>
      <w:hyperlink r:id="rId13" w:history="1">
        <w:r>
          <w:rPr>
            <w:rStyle w:val="Hyperlink"/>
            <w:rFonts w:asciiTheme="minorBidi" w:hAnsiTheme="minorBidi"/>
          </w:rPr>
          <w:t>LHE/22/17.COM/10</w:t>
        </w:r>
      </w:hyperlink>
      <w:r>
        <w:rPr>
          <w:rStyle w:val="Hyperlink"/>
          <w:rFonts w:asciiTheme="minorBidi" w:hAnsiTheme="minorBidi"/>
        </w:rPr>
        <w:t xml:space="preserve"> </w:t>
      </w:r>
      <w:r>
        <w:rPr>
          <w:rFonts w:asciiTheme="minorBidi" w:hAnsiTheme="minorBidi"/>
        </w:rPr>
        <w:t>et</w:t>
      </w:r>
      <w:r w:rsidR="002C56C7">
        <w:rPr>
          <w:rFonts w:asciiTheme="minorBidi" w:hAnsiTheme="minorBidi"/>
        </w:rPr>
        <w:t xml:space="preserve"> décision </w:t>
      </w:r>
      <w:hyperlink r:id="rId14" w:history="1">
        <w:r w:rsidR="002C56C7" w:rsidRPr="002C56C7">
          <w:rPr>
            <w:rStyle w:val="Hyperlink"/>
            <w:rFonts w:asciiTheme="minorBidi" w:hAnsiTheme="minorBidi"/>
          </w:rPr>
          <w:t>17 COM 10</w:t>
        </w:r>
      </w:hyperlink>
      <w:r>
        <w:rPr>
          <w:rFonts w:asciiTheme="minorBidi" w:hAnsiTheme="minorBidi"/>
        </w:rPr>
        <w:t>).</w:t>
      </w:r>
    </w:p>
    <w:p w14:paraId="2C9CE41E" w14:textId="08A06FC3" w:rsidR="00276DE9" w:rsidRPr="000631F9" w:rsidRDefault="001A409F" w:rsidP="00734E47">
      <w:pPr>
        <w:pStyle w:val="COMPara"/>
        <w:spacing w:before="120"/>
        <w:ind w:left="567" w:hanging="567"/>
        <w:jc w:val="both"/>
      </w:pPr>
      <w:r>
        <w:rPr>
          <w:rFonts w:asciiTheme="minorBidi" w:hAnsiTheme="minorBidi"/>
        </w:rPr>
        <w:t xml:space="preserve">L’un des principaux sujets de la nouvelle réflexion portait sur la simplification renforcée des critères de sélection du Registre, puisqu’il n’avait pas pu être pleinement traité lors de la réflexion globale sur les mécanismes d’inscription </w:t>
      </w:r>
      <w:r w:rsidR="001B17AF">
        <w:rPr>
          <w:rFonts w:asciiTheme="minorBidi" w:hAnsiTheme="minorBidi"/>
        </w:rPr>
        <w:t xml:space="preserve">sur les listes </w:t>
      </w:r>
      <w:r>
        <w:rPr>
          <w:rFonts w:asciiTheme="minorBidi" w:hAnsiTheme="minorBidi"/>
        </w:rPr>
        <w:t>de la Convention</w:t>
      </w:r>
      <w:r>
        <w:t xml:space="preserve">. L’objectif de cette simplification serait de contribuer à l’amélioration de l’accès et de la visibilité du Registre </w:t>
      </w:r>
      <w:r>
        <w:lastRenderedPageBreak/>
        <w:t>de bonnes pratiques de sauvegarde. Par conséquent, une</w:t>
      </w:r>
      <w:r>
        <w:rPr>
          <w:rFonts w:asciiTheme="minorBidi" w:hAnsiTheme="minorBidi"/>
        </w:rPr>
        <w:t xml:space="preserve"> réunion d’experts de </w:t>
      </w:r>
      <w:r w:rsidR="00F33D13">
        <w:rPr>
          <w:rFonts w:asciiTheme="minorBidi" w:hAnsiTheme="minorBidi"/>
        </w:rPr>
        <w:t>c</w:t>
      </w:r>
      <w:r>
        <w:rPr>
          <w:rFonts w:asciiTheme="minorBidi" w:hAnsiTheme="minorBidi"/>
        </w:rPr>
        <w:t>atégorie VI s’est déroulée du 19 au 21 avril 2023 (Stockholm, Suède</w:t>
      </w:r>
      <w:r>
        <w:t>).</w:t>
      </w:r>
      <w:r>
        <w:rPr>
          <w:rFonts w:asciiTheme="minorBidi" w:hAnsiTheme="minorBidi"/>
        </w:rPr>
        <w:t xml:space="preserve"> Au cours de cette réunion, vingt-et-un</w:t>
      </w:r>
      <w:r w:rsidR="00F33D13">
        <w:rPr>
          <w:rFonts w:asciiTheme="minorBidi" w:hAnsiTheme="minorBidi"/>
        </w:rPr>
        <w:t xml:space="preserve"> </w:t>
      </w:r>
      <w:r>
        <w:rPr>
          <w:rFonts w:asciiTheme="minorBidi" w:hAnsiTheme="minorBidi"/>
        </w:rPr>
        <w:t>experts ont discuté et adopté un rapport avec des recommandations qui a ensuite été présenté au groupe de travail intergouvernemental à composition non limitée (document </w:t>
      </w:r>
      <w:hyperlink r:id="rId15" w:history="1">
        <w:r>
          <w:rPr>
            <w:rStyle w:val="Hyperlink"/>
            <w:rFonts w:asciiTheme="minorBidi" w:hAnsiTheme="minorBidi"/>
          </w:rPr>
          <w:t>LHE/23/18.COM EXP/4</w:t>
        </w:r>
      </w:hyperlink>
      <w:r>
        <w:rPr>
          <w:rFonts w:asciiTheme="minorBidi" w:hAnsiTheme="minorBidi"/>
        </w:rPr>
        <w:t>).</w:t>
      </w:r>
    </w:p>
    <w:p w14:paraId="3424ACE5" w14:textId="3FF48220" w:rsidR="00276DE9" w:rsidRPr="000631F9" w:rsidRDefault="00276DE9" w:rsidP="00734E47">
      <w:pPr>
        <w:pStyle w:val="COMPara"/>
        <w:spacing w:before="120"/>
        <w:ind w:left="561" w:hanging="561"/>
        <w:jc w:val="both"/>
        <w:rPr>
          <w:rFonts w:asciiTheme="minorBidi" w:hAnsiTheme="minorBidi" w:cstheme="minorBidi"/>
        </w:rPr>
      </w:pPr>
      <w:r>
        <w:rPr>
          <w:rFonts w:asciiTheme="minorBidi" w:hAnsiTheme="minorBidi"/>
        </w:rPr>
        <w:t>Le groupe de travail intergouvernemental à composition non limitée, dans le cadre de la réflexion sur une mise en œuvre élargie de l’article 18 de la Convention, s’est réuni au siège de l’UNESCO les 4 et 5 juillet 2023</w:t>
      </w:r>
      <w:r w:rsidRPr="000631F9">
        <w:rPr>
          <w:rStyle w:val="FootnoteReference"/>
          <w:rFonts w:asciiTheme="minorBidi" w:hAnsiTheme="minorBidi" w:cstheme="minorBidi"/>
        </w:rPr>
        <w:footnoteReference w:id="4"/>
      </w:r>
      <w:r w:rsidR="00F33D13">
        <w:rPr>
          <w:rFonts w:asciiTheme="minorBidi" w:hAnsiTheme="minorBidi"/>
        </w:rPr>
        <w:t>.</w:t>
      </w:r>
      <w:r>
        <w:rPr>
          <w:rFonts w:asciiTheme="minorBidi" w:hAnsiTheme="minorBidi"/>
        </w:rPr>
        <w:t xml:space="preserve"> Le groupe de travail était présidé par M. Martin Sundin (Suède), et les cinq </w:t>
      </w:r>
      <w:r w:rsidR="0034001C">
        <w:rPr>
          <w:rFonts w:asciiTheme="minorBidi" w:hAnsiTheme="minorBidi"/>
        </w:rPr>
        <w:t xml:space="preserve">États </w:t>
      </w:r>
      <w:r>
        <w:rPr>
          <w:rFonts w:asciiTheme="minorBidi" w:hAnsiTheme="minorBidi"/>
        </w:rPr>
        <w:t xml:space="preserve">membres suivants </w:t>
      </w:r>
      <w:r w:rsidRPr="00BB6C9B">
        <w:rPr>
          <w:rFonts w:asciiTheme="minorBidi" w:hAnsiTheme="minorBidi"/>
        </w:rPr>
        <w:t xml:space="preserve">ont fait office de Bureau pour le groupe de travail : Estonie, Pérou, Philippines, Angola et Maroc. </w:t>
      </w:r>
      <w:r>
        <w:rPr>
          <w:rFonts w:asciiTheme="minorBidi" w:hAnsiTheme="minorBidi"/>
        </w:rPr>
        <w:t xml:space="preserve">Les recommandations du groupe de travail ont été soumises à la dix-huitième session du Comité en décembre 2023, telles qu’indiquées à l’annexe I du </w:t>
      </w:r>
      <w:r>
        <w:t>document </w:t>
      </w:r>
      <w:hyperlink r:id="rId16" w:history="1">
        <w:r>
          <w:rPr>
            <w:rStyle w:val="Hyperlink"/>
          </w:rPr>
          <w:t>LHE/23/18.COM/11</w:t>
        </w:r>
      </w:hyperlink>
      <w:r>
        <w:rPr>
          <w:rFonts w:asciiTheme="minorBidi" w:hAnsiTheme="minorBidi"/>
        </w:rPr>
        <w:t>.</w:t>
      </w:r>
    </w:p>
    <w:p w14:paraId="598B8939" w14:textId="01CE4F1B" w:rsidR="00240043" w:rsidRPr="000631F9" w:rsidRDefault="00240043" w:rsidP="00240043">
      <w:pPr>
        <w:pStyle w:val="COMPara"/>
        <w:ind w:left="567" w:hanging="567"/>
        <w:jc w:val="both"/>
      </w:pPr>
      <w:r>
        <w:t>Sur la base de la Recommandation 3 du groupe de travail, la dix-huitième session du Comité a envisagé de modifier le paragraphe 7 des Directives opérationnelles afin d’ajuster les critères de sélection du Registre, comme résumé ci-dessous :</w:t>
      </w:r>
    </w:p>
    <w:p w14:paraId="7891DDB8" w14:textId="77777777" w:rsidR="00940217" w:rsidRPr="000631F9" w:rsidRDefault="00940217" w:rsidP="00940217">
      <w:pPr>
        <w:pStyle w:val="COMPara"/>
        <w:numPr>
          <w:ilvl w:val="1"/>
          <w:numId w:val="9"/>
        </w:numPr>
        <w:jc w:val="both"/>
      </w:pPr>
      <w:r>
        <w:t xml:space="preserve">Modifier le « chapeau » du paragraphe 7, étant entendu que les propositions de sélection pour le Registre doivent satisfaire à </w:t>
      </w:r>
      <w:r>
        <w:rPr>
          <w:u w:val="single"/>
        </w:rPr>
        <w:t>tous</w:t>
      </w:r>
      <w:r>
        <w:t xml:space="preserve"> les critères de sélection ;</w:t>
      </w:r>
    </w:p>
    <w:p w14:paraId="591C23ED" w14:textId="2A839F26" w:rsidR="00240043" w:rsidRPr="000631F9" w:rsidRDefault="00240043" w:rsidP="004A55F2">
      <w:pPr>
        <w:pStyle w:val="COMPara"/>
        <w:numPr>
          <w:ilvl w:val="1"/>
          <w:numId w:val="9"/>
        </w:numPr>
        <w:jc w:val="both"/>
      </w:pPr>
      <w:r>
        <w:t>Simplifier les critères de sélection, impliquant de supprimer les critères P.2 et P.8 ainsi que de fusionner les critères P.1/P.3 et P.6/P.7 ;</w:t>
      </w:r>
    </w:p>
    <w:p w14:paraId="04708200" w14:textId="55248B18" w:rsidR="00240043" w:rsidRPr="000631F9" w:rsidRDefault="00240043" w:rsidP="004A55F2">
      <w:pPr>
        <w:pStyle w:val="COMPara"/>
        <w:numPr>
          <w:ilvl w:val="1"/>
          <w:numId w:val="9"/>
        </w:numPr>
        <w:jc w:val="both"/>
      </w:pPr>
      <w:r>
        <w:t>Renommer les critères G.1, G.2, G.3 et ainsi de suite (au lieu de P.1, P.2, P.3 et ainsi de suite) afin de distinguer ce nouvel ensemble de critères de sélection du système précédent.</w:t>
      </w:r>
    </w:p>
    <w:p w14:paraId="246EC49C" w14:textId="3951AE9A" w:rsidR="007A78BD" w:rsidRPr="000631F9" w:rsidRDefault="007A78BD" w:rsidP="007A78BD">
      <w:pPr>
        <w:pStyle w:val="COMPara"/>
        <w:keepNext/>
        <w:ind w:left="567" w:hanging="567"/>
        <w:jc w:val="both"/>
      </w:pPr>
      <w:r>
        <w:t xml:space="preserve">Ces ajustements ont pris en compte les considérations suivantes, telles qu’elles ont été formulées lors de la consultation d’experts susmentionnée </w:t>
      </w:r>
      <w:r>
        <w:rPr>
          <w:rFonts w:asciiTheme="minorBidi" w:hAnsiTheme="minorBidi"/>
        </w:rPr>
        <w:t>(document</w:t>
      </w:r>
      <w:r w:rsidR="001B17AF">
        <w:rPr>
          <w:rFonts w:asciiTheme="minorBidi" w:hAnsiTheme="minorBidi"/>
        </w:rPr>
        <w:t xml:space="preserve"> </w:t>
      </w:r>
      <w:hyperlink r:id="rId17" w:history="1">
        <w:r>
          <w:rPr>
            <w:rStyle w:val="Hyperlink"/>
            <w:rFonts w:asciiTheme="minorBidi" w:hAnsiTheme="minorBidi"/>
          </w:rPr>
          <w:t>LHE/23/18.COM</w:t>
        </w:r>
        <w:r w:rsidR="00B8135D">
          <w:rPr>
            <w:rStyle w:val="Hyperlink"/>
            <w:rFonts w:asciiTheme="minorBidi" w:hAnsiTheme="minorBidi"/>
          </w:rPr>
          <w:t> </w:t>
        </w:r>
        <w:r>
          <w:rPr>
            <w:rStyle w:val="Hyperlink"/>
            <w:rFonts w:asciiTheme="minorBidi" w:hAnsiTheme="minorBidi"/>
          </w:rPr>
          <w:t>EXP/4</w:t>
        </w:r>
      </w:hyperlink>
      <w:r>
        <w:rPr>
          <w:rFonts w:asciiTheme="minorBidi" w:hAnsiTheme="minorBidi"/>
        </w:rPr>
        <w:t>)</w:t>
      </w:r>
      <w:r>
        <w:t> :</w:t>
      </w:r>
    </w:p>
    <w:p w14:paraId="487950C4" w14:textId="27D3905B" w:rsidR="007A78BD" w:rsidRPr="000631F9" w:rsidRDefault="007A78BD" w:rsidP="009472DE">
      <w:pPr>
        <w:pStyle w:val="COMPara"/>
        <w:numPr>
          <w:ilvl w:val="0"/>
          <w:numId w:val="41"/>
        </w:numPr>
        <w:ind w:left="1418" w:hanging="284"/>
        <w:jc w:val="both"/>
      </w:pPr>
      <w:r>
        <w:t>Les critères devraient se concentrer sur la description du programme, projet ou activité au sens de l’article 2.3 de la Convention, sur les références aux mesures de sauvegarde dans les Directives opérationnelles, sur les principes et objectifs de la Convention et sur les Principes éthiques pour la sauvegarde du patrimoine culturel immatériel (les critères P.1 et P.3 qui devraient être combinés).</w:t>
      </w:r>
    </w:p>
    <w:p w14:paraId="711C3C9A" w14:textId="6F87C285" w:rsidR="007A78BD" w:rsidRPr="000631F9" w:rsidRDefault="007A78BD" w:rsidP="009472DE">
      <w:pPr>
        <w:pStyle w:val="COMPara"/>
        <w:numPr>
          <w:ilvl w:val="0"/>
          <w:numId w:val="41"/>
        </w:numPr>
        <w:ind w:left="1418" w:hanging="284"/>
        <w:jc w:val="both"/>
      </w:pPr>
      <w:r>
        <w:t xml:space="preserve">La participation des communautés concernées doit être </w:t>
      </w:r>
      <w:r w:rsidRPr="00F33D13">
        <w:t>une exigence majeure</w:t>
      </w:r>
      <w:r>
        <w:t xml:space="preserve"> (les critères P.5 et partiellement P.7 avec l’inclusion du principe éthique 4).</w:t>
      </w:r>
    </w:p>
    <w:p w14:paraId="634DD222" w14:textId="77F32345" w:rsidR="007A78BD" w:rsidRPr="000631F9" w:rsidRDefault="008725A6" w:rsidP="009472DE">
      <w:pPr>
        <w:pStyle w:val="COMPara"/>
        <w:numPr>
          <w:ilvl w:val="0"/>
          <w:numId w:val="41"/>
        </w:numPr>
        <w:ind w:left="1418" w:hanging="284"/>
        <w:jc w:val="both"/>
      </w:pPr>
      <w:r>
        <w:t>Il doit être nécessaire de démontrer l’efficacité du programme, du projet ou de l’activité ; cependant, cela pourrait rendre redondante l’exigence d’évaluation des résultats (le critère P.4 pourrait ainsi être maintenu et le critère P.8 supprimé).</w:t>
      </w:r>
    </w:p>
    <w:p w14:paraId="3B835BA9" w14:textId="0BD98B0A" w:rsidR="007A78BD" w:rsidRPr="000631F9" w:rsidRDefault="007A78BD" w:rsidP="009472DE">
      <w:pPr>
        <w:pStyle w:val="COMPara"/>
        <w:numPr>
          <w:ilvl w:val="0"/>
          <w:numId w:val="41"/>
        </w:numPr>
        <w:ind w:left="1418" w:hanging="284"/>
        <w:jc w:val="both"/>
      </w:pPr>
      <w:r>
        <w:t>Le critère P.7 pourrait être ajusté pour mentionner les « bonnes pratiques » au lieu des « meilleures pratiques ».</w:t>
      </w:r>
    </w:p>
    <w:p w14:paraId="39603F28" w14:textId="7ECCF35E" w:rsidR="007A78BD" w:rsidRPr="000631F9" w:rsidRDefault="007A78BD" w:rsidP="009472DE">
      <w:pPr>
        <w:pStyle w:val="COMPara"/>
        <w:numPr>
          <w:ilvl w:val="0"/>
          <w:numId w:val="41"/>
        </w:numPr>
        <w:ind w:left="1418" w:hanging="284"/>
        <w:jc w:val="both"/>
      </w:pPr>
      <w:r>
        <w:t>La possibilité d’utilisation les bonnes pratiques de sauvegarde en tant que modèle (P.6) pourrait être incluse dans le critère combiné P.1 et P.3, mais ne devrait pas être limitée au niveau international, étant donné que certains modèles peuvent être utiles au niveau national.</w:t>
      </w:r>
    </w:p>
    <w:p w14:paraId="3C63B66D" w14:textId="5F8C5423" w:rsidR="007A78BD" w:rsidRPr="000631F9" w:rsidRDefault="007A78BD" w:rsidP="009472DE">
      <w:pPr>
        <w:pStyle w:val="COMPara"/>
        <w:numPr>
          <w:ilvl w:val="0"/>
          <w:numId w:val="41"/>
        </w:numPr>
        <w:ind w:left="1418" w:hanging="284"/>
        <w:jc w:val="both"/>
      </w:pPr>
      <w:r>
        <w:t xml:space="preserve">Certaines bonnes pratiques de sauvegarde peuvent </w:t>
      </w:r>
      <w:r w:rsidR="00F33D13">
        <w:t xml:space="preserve">être </w:t>
      </w:r>
      <w:r>
        <w:t>limit</w:t>
      </w:r>
      <w:r w:rsidR="00F33D13">
        <w:t>ées</w:t>
      </w:r>
      <w:r>
        <w:t xml:space="preserve"> à des activités locales et, dans la mesure où il restreint inutilement la diversité du Registre, le critère P.2 pourrait être supprimé.</w:t>
      </w:r>
    </w:p>
    <w:p w14:paraId="69BED676" w14:textId="3713FE2A" w:rsidR="00C46770" w:rsidRPr="000631F9" w:rsidRDefault="008222B5" w:rsidP="00734E47">
      <w:pPr>
        <w:pStyle w:val="COMPara"/>
        <w:spacing w:before="120"/>
        <w:ind w:left="567" w:hanging="567"/>
        <w:jc w:val="both"/>
      </w:pPr>
      <w:r>
        <w:lastRenderedPageBreak/>
        <w:t>Conformément à la décision </w:t>
      </w:r>
      <w:hyperlink r:id="rId18" w:history="1">
        <w:r>
          <w:rPr>
            <w:rStyle w:val="Hyperlink"/>
          </w:rPr>
          <w:t>18.COM 11</w:t>
        </w:r>
      </w:hyperlink>
      <w:r>
        <w:t xml:space="preserve"> de la dix-huitième session du Comité, il est demandé à l’Assemblée générale d’examiner la proposition d’amendement du paragraphe 7 des Directives opérationnelles figurant à la </w:t>
      </w:r>
      <w:hyperlink w:anchor="SectionI" w:history="1">
        <w:r w:rsidRPr="00652CEF">
          <w:rPr>
            <w:rStyle w:val="Hyperlink"/>
          </w:rPr>
          <w:t>se</w:t>
        </w:r>
        <w:r w:rsidRPr="00652CEF">
          <w:rPr>
            <w:rStyle w:val="Hyperlink"/>
          </w:rPr>
          <w:t>c</w:t>
        </w:r>
        <w:r w:rsidRPr="00652CEF">
          <w:rPr>
            <w:rStyle w:val="Hyperlink"/>
          </w:rPr>
          <w:t>ti</w:t>
        </w:r>
        <w:r w:rsidRPr="00652CEF">
          <w:rPr>
            <w:rStyle w:val="Hyperlink"/>
          </w:rPr>
          <w:t>o</w:t>
        </w:r>
        <w:r w:rsidRPr="00652CEF">
          <w:rPr>
            <w:rStyle w:val="Hyperlink"/>
          </w:rPr>
          <w:t>n I</w:t>
        </w:r>
      </w:hyperlink>
      <w:r w:rsidRPr="00D81188">
        <w:t xml:space="preserve"> de l’</w:t>
      </w:r>
      <w:r>
        <w:t xml:space="preserve">annexe du présent document. </w:t>
      </w:r>
    </w:p>
    <w:p w14:paraId="31F3B4D2" w14:textId="2584B3C9" w:rsidR="008222B5" w:rsidRPr="000631F9" w:rsidRDefault="00240043" w:rsidP="00734E47">
      <w:pPr>
        <w:pStyle w:val="COMPara"/>
        <w:spacing w:before="120"/>
        <w:ind w:left="567" w:hanging="567"/>
        <w:jc w:val="both"/>
      </w:pPr>
      <w:r>
        <w:t>Une fois l’amendement approuvé, le formulaire ICH-03 doit être ajusté pour illustrer les critères de sélection révisés. Conformément à la Recommandation 3 du groupe de travail, le formulaire révisé doit inclure des références aux dispositions pertinentes des Directives opérationnelles et des Principes éthiques pour la sauvegarde du patrimoine culturel immatériel. Le formulaire ICH-03 ajusté sera alors disponible après la présente session de l’Assemblée générale et à temps pour préparer les propositions du cycle de 2026, en vue de leur sélection pour le Registre de bonnes pratiques de sauvegarde, dont la prochaine date limite de soumission est le 31 mars 2025, puis tous les ans.</w:t>
      </w:r>
    </w:p>
    <w:p w14:paraId="123B6521" w14:textId="70D5F6FE" w:rsidR="00F70CC5" w:rsidRPr="000631F9" w:rsidRDefault="00046A7A" w:rsidP="00AC18C1">
      <w:pPr>
        <w:pStyle w:val="COMPara"/>
        <w:numPr>
          <w:ilvl w:val="0"/>
          <w:numId w:val="21"/>
        </w:numPr>
        <w:spacing w:before="240"/>
        <w:ind w:left="567" w:hanging="567"/>
        <w:jc w:val="both"/>
        <w:rPr>
          <w:b/>
          <w:bCs/>
        </w:rPr>
      </w:pPr>
      <w:r>
        <w:rPr>
          <w:b/>
        </w:rPr>
        <w:t>Assistance internationale</w:t>
      </w:r>
    </w:p>
    <w:p w14:paraId="6BDBEA04" w14:textId="3D9A36CD" w:rsidR="00146E40" w:rsidRPr="000631F9" w:rsidRDefault="00146E40" w:rsidP="00146E40">
      <w:pPr>
        <w:pStyle w:val="COMPara"/>
        <w:ind w:left="567" w:hanging="567"/>
        <w:jc w:val="both"/>
      </w:pPr>
      <w:r>
        <w:t>Grâce à la réflexion globale sur les mécanismes d’inscription, le champ d’action de l’assistance préparatoire a été élargi pour inclure l’assistance à la préparation des « (c) demandes de transfert d’un élément d’une liste à l’autre, et (d) dossiers de candidature, qu’elle soit étendue ou réduite, d’éléments déjà inscrits » (</w:t>
      </w:r>
      <w:r w:rsidR="006904D8">
        <w:t>r</w:t>
      </w:r>
      <w:r>
        <w:t>ésolution </w:t>
      </w:r>
      <w:hyperlink r:id="rId19" w:history="1">
        <w:r>
          <w:rPr>
            <w:rStyle w:val="Hyperlink"/>
          </w:rPr>
          <w:t>9.GA 9</w:t>
        </w:r>
      </w:hyperlink>
      <w:r>
        <w:t>). Ces ajouts ont complété l’assistance préparatoire qui avait déjà été fournie pour soutenir la préparation (a) des dossiers de candidature sur la Liste de sauvegarde urgente et (b) des propositions de programmes, projets et activités pour la sélection dans le Registre de bonnes pratiques de sauvegarde (chapitre I.7 des Directives opérationnelles).</w:t>
      </w:r>
    </w:p>
    <w:p w14:paraId="07D5AFDE" w14:textId="734641D6" w:rsidR="006704B3" w:rsidRPr="000631F9" w:rsidRDefault="00146E40" w:rsidP="009D3AB5">
      <w:pPr>
        <w:pStyle w:val="COMPara"/>
        <w:ind w:left="567" w:hanging="567"/>
        <w:jc w:val="both"/>
      </w:pPr>
      <w:r>
        <w:t>La dix-septième session du Comité a envisagé d’élargir à nouveau le champ d’action de l’assistance préparatoire et a demandé au Secrétariat « d’élaborer une proposition de</w:t>
      </w:r>
      <w:r w:rsidR="009D3AB5">
        <w:t xml:space="preserve"> modifications des</w:t>
      </w:r>
      <w:r>
        <w:t xml:space="preserve"> Directives opérationnelles afin de permettre aux États membres </w:t>
      </w:r>
      <w:r w:rsidR="009D3AB5">
        <w:t>n’ayant pas</w:t>
      </w:r>
      <w:r>
        <w:t xml:space="preserve"> d’éléments </w:t>
      </w:r>
      <w:r w:rsidR="009D3AB5" w:rsidRPr="009D3AB5">
        <w:t> précédemment inscrits</w:t>
      </w:r>
      <w:r w:rsidR="009D3AB5">
        <w:t xml:space="preserve"> </w:t>
      </w:r>
      <w:r>
        <w:t>sur la Liste représentative du patrimoine culturel immatériel de l’humanité de demander une assistance internationale pour la préparation de leur première candidature »</w:t>
      </w:r>
      <w:r>
        <w:rPr>
          <w:rFonts w:ascii="Times New Roman" w:hAnsi="Times New Roman"/>
          <w:snapToGrid/>
          <w:sz w:val="24"/>
        </w:rPr>
        <w:t xml:space="preserve"> </w:t>
      </w:r>
      <w:r>
        <w:rPr>
          <w:snapToGrid/>
        </w:rPr>
        <w:t>(</w:t>
      </w:r>
      <w:r w:rsidR="006904D8">
        <w:rPr>
          <w:snapToGrid/>
        </w:rPr>
        <w:t>d</w:t>
      </w:r>
      <w:r>
        <w:rPr>
          <w:snapToGrid/>
        </w:rPr>
        <w:t>écision </w:t>
      </w:r>
      <w:hyperlink r:id="rId20" w:history="1">
        <w:r>
          <w:rPr>
            <w:rStyle w:val="Hyperlink"/>
          </w:rPr>
          <w:t>17.COM 7</w:t>
        </w:r>
      </w:hyperlink>
      <w:r>
        <w:t xml:space="preserve">). Cette proposition a été faite en référence à l’article 20 (d) de la Convention, qui prévoit que l’assistance internationale peut être accordée pour « tout autre objectif que le Comité jugerait nécessaire ». Elle est également conforme à l’esprit de la Convention, qui vise à assurer une représentation géographique équitable dans tous les aspects de sa mise en œuvre, en particulier pour les mécanismes d’inscription sur </w:t>
      </w:r>
      <w:r w:rsidR="00DE73A1">
        <w:t xml:space="preserve">les </w:t>
      </w:r>
      <w:r>
        <w:t>liste</w:t>
      </w:r>
      <w:r w:rsidR="00DE73A1">
        <w:t>s</w:t>
      </w:r>
      <w:r>
        <w:t>.</w:t>
      </w:r>
    </w:p>
    <w:p w14:paraId="1F7B9780" w14:textId="52CB91F6" w:rsidR="00063D10" w:rsidRPr="000631F9" w:rsidRDefault="00146E40" w:rsidP="00E75091">
      <w:pPr>
        <w:pStyle w:val="COMPara"/>
        <w:spacing w:before="240"/>
        <w:ind w:left="567" w:hanging="567"/>
        <w:jc w:val="both"/>
      </w:pPr>
      <w:r>
        <w:t xml:space="preserve">Il est entendu que l’assistance préparatoire serait ouverte aux États qui n’ont pas d’élément national inscrit sur la Liste représentative, qu’ils aient ou non des éléments multinationaux déjà inscrits. Conformément à la pratique de la Convention, la priorité peut être accordée aux États qui reçoivent </w:t>
      </w:r>
      <w:r w:rsidR="00DE73A1">
        <w:t>l’A</w:t>
      </w:r>
      <w:r>
        <w:t xml:space="preserve">ide </w:t>
      </w:r>
      <w:r w:rsidR="00DE73A1">
        <w:t>P</w:t>
      </w:r>
      <w:r>
        <w:t xml:space="preserve">ublique au </w:t>
      </w:r>
      <w:r w:rsidR="00DE73A1">
        <w:t>D</w:t>
      </w:r>
      <w:r>
        <w:t>éveloppement. De même, les demandes des États parties du Groupe électoral I (trois États sans aucun élément national inscrit) ne seront pas traitées en priorité. En l’état actuel des inscriptions, quarante-sept États au total pourraient bénéficier d’une assistance préparatoire, répartis géographiquement de la manière suivante :</w:t>
      </w:r>
    </w:p>
    <w:tbl>
      <w:tblPr>
        <w:tblStyle w:val="TableGrid"/>
        <w:tblW w:w="0" w:type="auto"/>
        <w:tblInd w:w="567" w:type="dxa"/>
        <w:tblLook w:val="04A0" w:firstRow="1" w:lastRow="0" w:firstColumn="1" w:lastColumn="0" w:noHBand="0" w:noVBand="1"/>
      </w:tblPr>
      <w:tblGrid>
        <w:gridCol w:w="1511"/>
        <w:gridCol w:w="1510"/>
        <w:gridCol w:w="1510"/>
        <w:gridCol w:w="1510"/>
        <w:gridCol w:w="1510"/>
        <w:gridCol w:w="1510"/>
      </w:tblGrid>
      <w:tr w:rsidR="00D974AC" w:rsidRPr="000631F9" w14:paraId="64561F8E" w14:textId="77777777" w:rsidTr="00772CF0">
        <w:tc>
          <w:tcPr>
            <w:tcW w:w="1511" w:type="dxa"/>
            <w:shd w:val="clear" w:color="auto" w:fill="F2F2F2" w:themeFill="background1" w:themeFillShade="F2"/>
          </w:tcPr>
          <w:p w14:paraId="3D290DF3"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w:t>
            </w:r>
          </w:p>
        </w:tc>
        <w:tc>
          <w:tcPr>
            <w:tcW w:w="1510" w:type="dxa"/>
            <w:shd w:val="clear" w:color="auto" w:fill="F2F2F2" w:themeFill="background1" w:themeFillShade="F2"/>
          </w:tcPr>
          <w:p w14:paraId="6B08F180"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II</w:t>
            </w:r>
          </w:p>
        </w:tc>
        <w:tc>
          <w:tcPr>
            <w:tcW w:w="1510" w:type="dxa"/>
            <w:shd w:val="clear" w:color="auto" w:fill="F2F2F2" w:themeFill="background1" w:themeFillShade="F2"/>
          </w:tcPr>
          <w:p w14:paraId="5125AD9D"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III</w:t>
            </w:r>
          </w:p>
        </w:tc>
        <w:tc>
          <w:tcPr>
            <w:tcW w:w="1510" w:type="dxa"/>
            <w:shd w:val="clear" w:color="auto" w:fill="F2F2F2" w:themeFill="background1" w:themeFillShade="F2"/>
          </w:tcPr>
          <w:p w14:paraId="2D825274"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IV</w:t>
            </w:r>
          </w:p>
        </w:tc>
        <w:tc>
          <w:tcPr>
            <w:tcW w:w="1510" w:type="dxa"/>
            <w:shd w:val="clear" w:color="auto" w:fill="F2F2F2" w:themeFill="background1" w:themeFillShade="F2"/>
          </w:tcPr>
          <w:p w14:paraId="7BA1EDA0"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V(a)</w:t>
            </w:r>
          </w:p>
        </w:tc>
        <w:tc>
          <w:tcPr>
            <w:tcW w:w="1510" w:type="dxa"/>
            <w:shd w:val="clear" w:color="auto" w:fill="F2F2F2" w:themeFill="background1" w:themeFillShade="F2"/>
          </w:tcPr>
          <w:p w14:paraId="0E2609E4"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V(b)</w:t>
            </w:r>
          </w:p>
        </w:tc>
      </w:tr>
      <w:tr w:rsidR="00D974AC" w:rsidRPr="000631F9" w14:paraId="25D65EA7" w14:textId="77777777" w:rsidTr="00772CF0">
        <w:tc>
          <w:tcPr>
            <w:tcW w:w="1511" w:type="dxa"/>
          </w:tcPr>
          <w:p w14:paraId="57057F79" w14:textId="7492F790" w:rsidR="00D974AC" w:rsidRPr="000631F9" w:rsidRDefault="008451D0" w:rsidP="00772CF0">
            <w:pPr>
              <w:jc w:val="both"/>
              <w:rPr>
                <w:rFonts w:ascii="Arial" w:hAnsi="Arial" w:cs="Arial"/>
                <w:snapToGrid w:val="0"/>
                <w:sz w:val="22"/>
                <w:szCs w:val="22"/>
              </w:rPr>
            </w:pPr>
            <w:r>
              <w:rPr>
                <w:rFonts w:ascii="Arial" w:hAnsi="Arial"/>
                <w:snapToGrid w:val="0"/>
                <w:sz w:val="22"/>
              </w:rPr>
              <w:t>3</w:t>
            </w:r>
            <w:r w:rsidR="00D20D37" w:rsidRPr="000631F9">
              <w:rPr>
                <w:rStyle w:val="FootnoteReference"/>
                <w:rFonts w:ascii="Arial" w:hAnsi="Arial" w:cs="Arial"/>
                <w:snapToGrid w:val="0"/>
                <w:sz w:val="22"/>
                <w:szCs w:val="22"/>
                <w:lang w:val="en-GB" w:eastAsia="en-US"/>
              </w:rPr>
              <w:footnoteReference w:id="5"/>
            </w:r>
          </w:p>
        </w:tc>
        <w:tc>
          <w:tcPr>
            <w:tcW w:w="1510" w:type="dxa"/>
          </w:tcPr>
          <w:p w14:paraId="08F82C96"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0</w:t>
            </w:r>
          </w:p>
        </w:tc>
        <w:tc>
          <w:tcPr>
            <w:tcW w:w="1510" w:type="dxa"/>
          </w:tcPr>
          <w:p w14:paraId="33D331FC"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12</w:t>
            </w:r>
          </w:p>
        </w:tc>
        <w:tc>
          <w:tcPr>
            <w:tcW w:w="1510" w:type="dxa"/>
          </w:tcPr>
          <w:p w14:paraId="483172ED"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15</w:t>
            </w:r>
          </w:p>
        </w:tc>
        <w:tc>
          <w:tcPr>
            <w:tcW w:w="1510" w:type="dxa"/>
          </w:tcPr>
          <w:p w14:paraId="2C12DAE5"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19</w:t>
            </w:r>
          </w:p>
        </w:tc>
        <w:tc>
          <w:tcPr>
            <w:tcW w:w="1510" w:type="dxa"/>
          </w:tcPr>
          <w:p w14:paraId="6A645323"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w:t>
            </w:r>
          </w:p>
        </w:tc>
      </w:tr>
      <w:tr w:rsidR="00D974AC" w:rsidRPr="002E0E56" w14:paraId="2D0FF1FE" w14:textId="77777777" w:rsidTr="00772CF0">
        <w:tc>
          <w:tcPr>
            <w:tcW w:w="9061" w:type="dxa"/>
            <w:gridSpan w:val="6"/>
          </w:tcPr>
          <w:p w14:paraId="2BF9E697" w14:textId="21894DE6" w:rsidR="00D974AC" w:rsidRPr="000631F9" w:rsidRDefault="00D974AC" w:rsidP="00772CF0">
            <w:pPr>
              <w:jc w:val="both"/>
              <w:rPr>
                <w:rFonts w:ascii="Arial" w:hAnsi="Arial" w:cs="Arial"/>
                <w:snapToGrid w:val="0"/>
                <w:sz w:val="22"/>
                <w:szCs w:val="22"/>
              </w:rPr>
            </w:pPr>
            <w:r>
              <w:rPr>
                <w:rFonts w:ascii="Arial" w:hAnsi="Arial"/>
                <w:snapToGrid w:val="0"/>
                <w:sz w:val="22"/>
              </w:rPr>
              <w:t>Total : 47 États hors Groupe électoral I</w:t>
            </w:r>
          </w:p>
        </w:tc>
      </w:tr>
    </w:tbl>
    <w:p w14:paraId="190A24E1" w14:textId="53FB867D" w:rsidR="00063D10" w:rsidRPr="000631F9" w:rsidRDefault="00063D10" w:rsidP="00903F5C">
      <w:pPr>
        <w:pStyle w:val="COMPara"/>
        <w:spacing w:before="240"/>
        <w:ind w:left="567" w:hanging="567"/>
        <w:jc w:val="both"/>
      </w:pPr>
      <w:bookmarkStart w:id="4" w:name="_Hlk162358093"/>
      <w:r>
        <w:t>Conformément à la décision </w:t>
      </w:r>
      <w:hyperlink r:id="rId21" w:history="1">
        <w:r>
          <w:rPr>
            <w:rStyle w:val="Hyperlink"/>
          </w:rPr>
          <w:t>18.COM 10</w:t>
        </w:r>
      </w:hyperlink>
      <w:r>
        <w:t xml:space="preserve">, il est demandé à l’Assemblée générale d’examiner la proposition d’amendement du paragraphe 21 des Directives opérationnelles figurant à la </w:t>
      </w:r>
      <w:hyperlink w:anchor="SectionII" w:history="1">
        <w:r w:rsidR="00D62128" w:rsidRPr="00991BB2">
          <w:rPr>
            <w:rStyle w:val="Hyperlink"/>
          </w:rPr>
          <w:t>se</w:t>
        </w:r>
        <w:r w:rsidR="00D62128" w:rsidRPr="00991BB2">
          <w:rPr>
            <w:rStyle w:val="Hyperlink"/>
          </w:rPr>
          <w:t>c</w:t>
        </w:r>
        <w:r w:rsidR="00D62128" w:rsidRPr="00991BB2">
          <w:rPr>
            <w:rStyle w:val="Hyperlink"/>
          </w:rPr>
          <w:t>t</w:t>
        </w:r>
        <w:r w:rsidR="00D62128" w:rsidRPr="00991BB2">
          <w:rPr>
            <w:rStyle w:val="Hyperlink"/>
          </w:rPr>
          <w:t>i</w:t>
        </w:r>
        <w:r w:rsidR="00D62128" w:rsidRPr="00991BB2">
          <w:rPr>
            <w:rStyle w:val="Hyperlink"/>
          </w:rPr>
          <w:t>on</w:t>
        </w:r>
        <w:r w:rsidR="00D62128" w:rsidRPr="00991BB2">
          <w:rPr>
            <w:rStyle w:val="Hyperlink"/>
          </w:rPr>
          <w:t xml:space="preserve"> </w:t>
        </w:r>
        <w:r w:rsidR="00D62128" w:rsidRPr="00991BB2">
          <w:rPr>
            <w:rStyle w:val="Hyperlink"/>
          </w:rPr>
          <w:t>I</w:t>
        </w:r>
        <w:r w:rsidR="00D62128" w:rsidRPr="00991BB2">
          <w:rPr>
            <w:rStyle w:val="Hyperlink"/>
          </w:rPr>
          <w:t>I</w:t>
        </w:r>
      </w:hyperlink>
      <w:r>
        <w:t xml:space="preserve"> de l’annexe du présent document. La date limite de soumission et le processus d’examen, tels que décrits à la section I.15 des Directives opérationnelles, resteront inchangés, de même que le montant demandé, qui se situe généralement entre 5 000 et 10 000 dollars des États-Unis. Une fois l’amendement approuvé, le formulaire ICH-05 sera révisé et mis à disposition après la présente session de l’Assemblée générale, afin de permettre aux États parties n’ayant pas d’élément national inscrit sur la Liste représentative </w:t>
      </w:r>
      <w:r>
        <w:lastRenderedPageBreak/>
        <w:t>de demander une assistance préparatoire avant la prochaine date limite, le 31 mars 2025, puis tous les ans.</w:t>
      </w:r>
    </w:p>
    <w:bookmarkEnd w:id="4"/>
    <w:p w14:paraId="50D3EAFF" w14:textId="3A349EC1" w:rsidR="00D95C4C" w:rsidRPr="000631F9" w:rsidRDefault="005C792B" w:rsidP="005C792B">
      <w:pPr>
        <w:pStyle w:val="COMPara"/>
        <w:ind w:left="567" w:hanging="567"/>
      </w:pPr>
      <w:r>
        <w:t>L’Assemblée générale souhaitera peut-être adopter la résolution suivante :</w:t>
      </w:r>
    </w:p>
    <w:p w14:paraId="6CEB1E9D" w14:textId="63EF66D0" w:rsidR="00D95C4C" w:rsidRPr="000631F9" w:rsidRDefault="004A34A0" w:rsidP="001D14FE">
      <w:pPr>
        <w:pStyle w:val="COMTitleDecision"/>
        <w:rPr>
          <w:rFonts w:eastAsia="SimSun"/>
        </w:rPr>
      </w:pPr>
      <w:r>
        <w:t>PROJET DE RÉSOLUTION 10.GA 7</w:t>
      </w:r>
    </w:p>
    <w:p w14:paraId="13024F0B" w14:textId="3A166F64" w:rsidR="00D95C4C" w:rsidRPr="000631F9" w:rsidRDefault="005C792B" w:rsidP="00285BB4">
      <w:pPr>
        <w:pStyle w:val="COMPreambulaDecisions"/>
        <w:rPr>
          <w:rFonts w:eastAsia="SimSun"/>
        </w:rPr>
      </w:pPr>
      <w:r>
        <w:t>L’Assemblée générale,</w:t>
      </w:r>
    </w:p>
    <w:p w14:paraId="5A9F22F3" w14:textId="0FFF6B26" w:rsidR="0057439C" w:rsidRPr="000631F9" w:rsidRDefault="00D95C4C" w:rsidP="004A2875">
      <w:pPr>
        <w:pStyle w:val="COMParaDecision"/>
      </w:pPr>
      <w:r>
        <w:t>Ayant examiné</w:t>
      </w:r>
      <w:r>
        <w:rPr>
          <w:u w:val="none"/>
        </w:rPr>
        <w:t xml:space="preserve"> le document LHE/24/10.GA/7 et son annexe,</w:t>
      </w:r>
    </w:p>
    <w:p w14:paraId="260CA8D5" w14:textId="05A2CBE3" w:rsidR="0057439C" w:rsidRPr="000631F9" w:rsidRDefault="00D3202B" w:rsidP="00B8135D">
      <w:pPr>
        <w:pStyle w:val="COMParaDecision"/>
      </w:pPr>
      <w:r>
        <w:t>Rappelant</w:t>
      </w:r>
      <w:r>
        <w:rPr>
          <w:u w:val="none"/>
        </w:rPr>
        <w:t xml:space="preserve"> la résolution </w:t>
      </w:r>
      <w:hyperlink r:id="rId22" w:history="1">
        <w:r>
          <w:rPr>
            <w:rStyle w:val="Hyperlink"/>
          </w:rPr>
          <w:t>9.GA 9</w:t>
        </w:r>
      </w:hyperlink>
      <w:r>
        <w:rPr>
          <w:u w:val="none"/>
        </w:rPr>
        <w:t xml:space="preserve"> ainsi que les décisions </w:t>
      </w:r>
      <w:hyperlink r:id="rId23" w:history="1">
        <w:r>
          <w:rPr>
            <w:rStyle w:val="Hyperlink"/>
          </w:rPr>
          <w:t>16.COM 14</w:t>
        </w:r>
      </w:hyperlink>
      <w:r>
        <w:rPr>
          <w:u w:val="none"/>
        </w:rPr>
        <w:t xml:space="preserve">, </w:t>
      </w:r>
      <w:hyperlink r:id="rId24" w:history="1">
        <w:r>
          <w:rPr>
            <w:rStyle w:val="Hyperlink"/>
          </w:rPr>
          <w:t>17.COM 7</w:t>
        </w:r>
      </w:hyperlink>
      <w:r>
        <w:rPr>
          <w:u w:val="none"/>
        </w:rPr>
        <w:t xml:space="preserve">, </w:t>
      </w:r>
      <w:hyperlink r:id="rId25" w:history="1">
        <w:r>
          <w:rPr>
            <w:rStyle w:val="Hyperlink"/>
          </w:rPr>
          <w:t>18.COM 10</w:t>
        </w:r>
      </w:hyperlink>
      <w:r>
        <w:rPr>
          <w:rStyle w:val="Hyperlink"/>
          <w:u w:val="none"/>
        </w:rPr>
        <w:t xml:space="preserve"> </w:t>
      </w:r>
      <w:r>
        <w:rPr>
          <w:u w:val="none"/>
        </w:rPr>
        <w:t xml:space="preserve">et </w:t>
      </w:r>
      <w:hyperlink r:id="rId26" w:history="1">
        <w:r>
          <w:rPr>
            <w:rStyle w:val="Hyperlink"/>
          </w:rPr>
          <w:t>18.COM 11</w:t>
        </w:r>
      </w:hyperlink>
      <w:r w:rsidR="00B8135D" w:rsidRPr="00652CEF">
        <w:rPr>
          <w:rStyle w:val="Hyperlink"/>
          <w:color w:val="auto"/>
          <w:u w:val="none"/>
        </w:rPr>
        <w:t xml:space="preserve">, </w:t>
      </w:r>
    </w:p>
    <w:p w14:paraId="61F026F1" w14:textId="51748148" w:rsidR="003E5457" w:rsidRPr="000631F9" w:rsidRDefault="003E5457" w:rsidP="00293DF9">
      <w:pPr>
        <w:pStyle w:val="COMParaDecision"/>
        <w:keepNext/>
        <w:numPr>
          <w:ilvl w:val="0"/>
          <w:numId w:val="0"/>
        </w:numPr>
        <w:spacing w:before="240"/>
        <w:ind w:left="1134"/>
        <w:rPr>
          <w:b/>
          <w:bCs/>
          <w:u w:val="none"/>
        </w:rPr>
      </w:pPr>
      <w:r>
        <w:rPr>
          <w:b/>
          <w:u w:val="none"/>
        </w:rPr>
        <w:t>Registre de bonnes pratiques de sauvegarde</w:t>
      </w:r>
    </w:p>
    <w:p w14:paraId="25B87CDB" w14:textId="7D907B5F" w:rsidR="000B6FE4" w:rsidRPr="000631F9" w:rsidRDefault="000B6FE4" w:rsidP="00293DF9">
      <w:pPr>
        <w:pStyle w:val="COMParaDecision"/>
        <w:keepNext/>
      </w:pPr>
      <w:r>
        <w:t>Prend note</w:t>
      </w:r>
      <w:r>
        <w:rPr>
          <w:u w:val="none"/>
        </w:rPr>
        <w:t xml:space="preserve"> des amendements proposés aux Directives opérationnelles concernant les critères de sélection pour le Registre de bonnes pratiques de sauvegarde, approuvés par la dix-huitième session du Comité, </w:t>
      </w:r>
      <w:proofErr w:type="gramStart"/>
      <w:r>
        <w:rPr>
          <w:u w:val="none"/>
        </w:rPr>
        <w:t>suite aux</w:t>
      </w:r>
      <w:proofErr w:type="gramEnd"/>
      <w:r>
        <w:rPr>
          <w:u w:val="none"/>
        </w:rPr>
        <w:t xml:space="preserve"> recommandations du groupe de travail intergouvernemental à composition non limitée ;</w:t>
      </w:r>
    </w:p>
    <w:p w14:paraId="7B022736" w14:textId="09BC2653" w:rsidR="000B6FE4" w:rsidRPr="000631F9" w:rsidRDefault="000B6FE4" w:rsidP="00954835">
      <w:pPr>
        <w:pStyle w:val="COMParaDecision"/>
      </w:pPr>
      <w:r>
        <w:t>Remercie</w:t>
      </w:r>
      <w:r>
        <w:rPr>
          <w:u w:val="none"/>
        </w:rPr>
        <w:t xml:space="preserve"> la Suède d’avoir soutenu la réflexion sur une mise en œuvre plus large de l’article 18 de la Convention ;</w:t>
      </w:r>
    </w:p>
    <w:p w14:paraId="7EFF2009" w14:textId="2AD9F202" w:rsidR="007B6D03" w:rsidRPr="000631F9" w:rsidRDefault="007B6D03" w:rsidP="007B6D03">
      <w:pPr>
        <w:pStyle w:val="COMParaDecision"/>
        <w:rPr>
          <w:sz w:val="24"/>
          <w:szCs w:val="24"/>
          <w:u w:val="none"/>
        </w:rPr>
      </w:pPr>
      <w:r>
        <w:t>Exprime ses remerciements</w:t>
      </w:r>
      <w:r>
        <w:rPr>
          <w:u w:val="none"/>
        </w:rPr>
        <w:t xml:space="preserve"> au groupe de travail intergouvernemental à composition non limitée et aux experts qui ont participé à la consultation pour leur travail et leur réflexion sur la manière d’améliorer l’accès et d’augmenter la visibilité du Registre de bonnes pratiques de sauvegarde ;</w:t>
      </w:r>
    </w:p>
    <w:p w14:paraId="45ED87D3" w14:textId="7D9B593E" w:rsidR="0073772F" w:rsidRPr="000631F9" w:rsidRDefault="0073772F" w:rsidP="0073772F">
      <w:pPr>
        <w:pStyle w:val="COMParaDecision"/>
      </w:pPr>
      <w:r>
        <w:t>Approuve</w:t>
      </w:r>
      <w:r>
        <w:rPr>
          <w:u w:val="none"/>
        </w:rPr>
        <w:t xml:space="preserve"> les amendements aux Directives opérationnelles tels qu’ils figurent à la section I de l’annexe de la présente </w:t>
      </w:r>
      <w:r w:rsidR="0034001C">
        <w:rPr>
          <w:u w:val="none"/>
        </w:rPr>
        <w:t>r</w:t>
      </w:r>
      <w:r>
        <w:rPr>
          <w:u w:val="none"/>
        </w:rPr>
        <w:t>ésolution ;</w:t>
      </w:r>
    </w:p>
    <w:p w14:paraId="34926A55" w14:textId="6A630D72" w:rsidR="003E5457" w:rsidRPr="00652CEF" w:rsidRDefault="003E5457" w:rsidP="00573ED2">
      <w:pPr>
        <w:pStyle w:val="COMParaDecision"/>
        <w:numPr>
          <w:ilvl w:val="0"/>
          <w:numId w:val="0"/>
        </w:numPr>
        <w:spacing w:before="240"/>
        <w:ind w:left="1134"/>
        <w:rPr>
          <w:b/>
          <w:bCs/>
          <w:u w:val="none"/>
        </w:rPr>
      </w:pPr>
      <w:r w:rsidRPr="00652CEF">
        <w:rPr>
          <w:b/>
          <w:u w:val="none"/>
        </w:rPr>
        <w:t>Assistance internationale</w:t>
      </w:r>
    </w:p>
    <w:p w14:paraId="20ED9DFF" w14:textId="4BBB8919" w:rsidR="00AD50A7" w:rsidRPr="000631F9" w:rsidRDefault="003E5457" w:rsidP="00381294">
      <w:pPr>
        <w:pStyle w:val="COMParaDecision"/>
        <w:rPr>
          <w:sz w:val="24"/>
          <w:szCs w:val="24"/>
          <w:u w:val="none"/>
        </w:rPr>
      </w:pPr>
      <w:r>
        <w:t>Prend note</w:t>
      </w:r>
      <w:r>
        <w:rPr>
          <w:u w:val="none"/>
        </w:rPr>
        <w:t xml:space="preserve"> des amendements proposés aux Directives opérationnelles afin d’élargir le champ d’action de l’</w:t>
      </w:r>
      <w:r w:rsidR="004F43C5">
        <w:rPr>
          <w:u w:val="none"/>
        </w:rPr>
        <w:t>a</w:t>
      </w:r>
      <w:r>
        <w:rPr>
          <w:u w:val="none"/>
        </w:rPr>
        <w:t>ssistance internationale préparatoire, approuvés par la dix-huitième session du Comité </w:t>
      </w:r>
      <w:r w:rsidRPr="00652CEF">
        <w:rPr>
          <w:u w:val="none"/>
        </w:rPr>
        <w:t>;</w:t>
      </w:r>
    </w:p>
    <w:p w14:paraId="3AF68D50" w14:textId="154A041F" w:rsidR="00381294" w:rsidRPr="000631F9" w:rsidRDefault="0073772F" w:rsidP="00381294">
      <w:pPr>
        <w:pStyle w:val="COMParaDecision"/>
        <w:rPr>
          <w:sz w:val="24"/>
          <w:szCs w:val="24"/>
          <w:u w:val="none"/>
        </w:rPr>
      </w:pPr>
      <w:r>
        <w:t>Encourage</w:t>
      </w:r>
      <w:r>
        <w:rPr>
          <w:u w:val="none"/>
        </w:rPr>
        <w:t xml:space="preserve"> les </w:t>
      </w:r>
      <w:r>
        <w:rPr>
          <w:rStyle w:val="Aucun"/>
          <w:u w:val="none"/>
        </w:rPr>
        <w:t xml:space="preserve">États parties </w:t>
      </w:r>
      <w:r>
        <w:rPr>
          <w:u w:val="none"/>
        </w:rPr>
        <w:t>éligibles n’ayant aucun élément national inscrit sur les listes de la Convention</w:t>
      </w:r>
      <w:r w:rsidR="00C51B03">
        <w:rPr>
          <w:u w:val="none"/>
        </w:rPr>
        <w:t xml:space="preserve"> à </w:t>
      </w:r>
      <w:r w:rsidR="009464A4" w:rsidRPr="00652CEF">
        <w:rPr>
          <w:u w:val="none"/>
        </w:rPr>
        <w:t xml:space="preserve">soumettre une demande </w:t>
      </w:r>
      <w:r w:rsidRPr="009464A4">
        <w:rPr>
          <w:u w:val="none"/>
        </w:rPr>
        <w:t xml:space="preserve">au Fonds </w:t>
      </w:r>
      <w:r w:rsidR="009464A4" w:rsidRPr="00652CEF">
        <w:rPr>
          <w:u w:val="none"/>
        </w:rPr>
        <w:t>pour</w:t>
      </w:r>
      <w:r w:rsidRPr="009464A4">
        <w:rPr>
          <w:u w:val="none"/>
        </w:rPr>
        <w:t xml:space="preserve"> préparer leur premier</w:t>
      </w:r>
      <w:r>
        <w:rPr>
          <w:u w:val="none"/>
        </w:rPr>
        <w:t xml:space="preserve"> dossier de candidature nationale à la Liste représentative du patrimoine culturel immatériel de l’humanité</w:t>
      </w:r>
      <w:r>
        <w:rPr>
          <w:rStyle w:val="Aucun"/>
          <w:u w:val="none"/>
        </w:rPr>
        <w:t xml:space="preserve">, en gardant à l’esprit la prochaine date limite du </w:t>
      </w:r>
      <w:r>
        <w:rPr>
          <w:u w:val="none"/>
        </w:rPr>
        <w:t>31 mars 2025, puis tous les ans ;</w:t>
      </w:r>
    </w:p>
    <w:p w14:paraId="1EAB2934" w14:textId="34FB349F" w:rsidR="00014915" w:rsidRPr="000631F9" w:rsidRDefault="00807F3A" w:rsidP="00A66747">
      <w:pPr>
        <w:pStyle w:val="COMParaDecision"/>
      </w:pPr>
      <w:r>
        <w:t>Approuve</w:t>
      </w:r>
      <w:r>
        <w:rPr>
          <w:u w:val="none"/>
        </w:rPr>
        <w:t xml:space="preserve"> les amendements aux Directives opérationnelles tels qu’ils figurent à la section II de l’annexe de la présente </w:t>
      </w:r>
      <w:r w:rsidR="0034001C">
        <w:rPr>
          <w:u w:val="none"/>
        </w:rPr>
        <w:t>r</w:t>
      </w:r>
      <w:r>
        <w:rPr>
          <w:u w:val="none"/>
        </w:rPr>
        <w:t>ésolution</w:t>
      </w:r>
      <w:r w:rsidR="001B17AF">
        <w:rPr>
          <w:u w:val="none"/>
        </w:rPr>
        <w:t>.</w:t>
      </w:r>
    </w:p>
    <w:p w14:paraId="772F8E42" w14:textId="4E2EF8F7" w:rsidR="007B6D03" w:rsidRPr="000631F9" w:rsidRDefault="00937D53" w:rsidP="002E0E56">
      <w:pPr>
        <w:rPr>
          <w:rFonts w:ascii="Arial" w:eastAsia="SimSun" w:hAnsi="Arial" w:cs="Arial"/>
          <w:sz w:val="22"/>
          <w:szCs w:val="22"/>
          <w:u w:val="single"/>
        </w:rPr>
        <w:sectPr w:rsidR="007B6D03" w:rsidRPr="000631F9" w:rsidSect="00B33004">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r>
        <w:br w:type="page"/>
      </w:r>
    </w:p>
    <w:p w14:paraId="28A0C42F" w14:textId="77777777" w:rsidR="002C56C7" w:rsidRPr="002C56C7" w:rsidRDefault="002C56C7" w:rsidP="002C56C7">
      <w:pPr>
        <w:spacing w:after="160" w:line="259" w:lineRule="auto"/>
        <w:jc w:val="center"/>
        <w:rPr>
          <w:rFonts w:ascii="Arial" w:eastAsia="DengXian" w:hAnsi="Arial" w:cs="Arial"/>
          <w:b/>
          <w:bCs/>
          <w:kern w:val="2"/>
          <w:sz w:val="22"/>
          <w:szCs w:val="22"/>
          <w:lang w:eastAsia="zh-CN"/>
          <w14:ligatures w14:val="standardContextual"/>
        </w:rPr>
      </w:pPr>
      <w:r w:rsidRPr="002C56C7">
        <w:rPr>
          <w:rFonts w:ascii="Arial" w:eastAsia="DengXian" w:hAnsi="Arial" w:cs="Arial"/>
          <w:b/>
          <w:bCs/>
          <w:kern w:val="2"/>
          <w:sz w:val="22"/>
          <w:szCs w:val="22"/>
          <w:lang w:eastAsia="zh-CN"/>
          <w14:ligatures w14:val="standardContextual"/>
        </w:rPr>
        <w:lastRenderedPageBreak/>
        <w:t>ANNEXE</w:t>
      </w:r>
    </w:p>
    <w:p w14:paraId="3A931445" w14:textId="77777777" w:rsidR="002C56C7" w:rsidRDefault="002C56C7" w:rsidP="001B17AF">
      <w:pPr>
        <w:spacing w:after="360" w:line="259" w:lineRule="auto"/>
        <w:jc w:val="center"/>
        <w:rPr>
          <w:rFonts w:ascii="Arial" w:eastAsia="DengXian" w:hAnsi="Arial" w:cs="Arial"/>
          <w:b/>
          <w:bCs/>
          <w:kern w:val="2"/>
          <w:sz w:val="22"/>
          <w:szCs w:val="22"/>
          <w:lang w:val="fr-CM" w:eastAsia="zh-CN"/>
          <w14:ligatures w14:val="standardContextual"/>
        </w:rPr>
      </w:pPr>
      <w:r w:rsidRPr="002C56C7">
        <w:rPr>
          <w:rFonts w:ascii="Arial" w:eastAsia="DengXian" w:hAnsi="Arial" w:cs="Arial"/>
          <w:b/>
          <w:bCs/>
          <w:kern w:val="2"/>
          <w:sz w:val="22"/>
          <w:szCs w:val="22"/>
          <w:lang w:val="fr-CM" w:eastAsia="ko-KR"/>
          <w14:ligatures w14:val="standardContextual"/>
        </w:rPr>
        <w:t>Propositions</w:t>
      </w:r>
      <w:r w:rsidRPr="002C56C7">
        <w:rPr>
          <w:rFonts w:ascii="Arial" w:eastAsia="DengXian" w:hAnsi="Arial" w:cs="Arial"/>
          <w:b/>
          <w:bCs/>
          <w:kern w:val="2"/>
          <w:sz w:val="22"/>
          <w:szCs w:val="22"/>
          <w:lang w:val="fr-CM" w:eastAsia="zh-CN"/>
          <w14:ligatures w14:val="standardContextual"/>
        </w:rPr>
        <w:t xml:space="preserve"> d’amendements aux Directives opérationnelles pour la mise en œuvre de la Convention</w:t>
      </w:r>
    </w:p>
    <w:p w14:paraId="60403961" w14:textId="77777777" w:rsidR="002C56C7" w:rsidRPr="002C56C7" w:rsidRDefault="002C56C7" w:rsidP="001B17AF">
      <w:pPr>
        <w:numPr>
          <w:ilvl w:val="0"/>
          <w:numId w:val="42"/>
        </w:numPr>
        <w:spacing w:before="360" w:after="160" w:line="259" w:lineRule="auto"/>
        <w:ind w:left="1077"/>
        <w:contextualSpacing/>
        <w:rPr>
          <w:rFonts w:ascii="Arial" w:hAnsi="Arial"/>
          <w:b/>
          <w:bCs/>
          <w:sz w:val="22"/>
          <w:szCs w:val="22"/>
          <w:u w:val="single"/>
          <w:lang w:val="fr-CM"/>
        </w:rPr>
      </w:pPr>
      <w:bookmarkStart w:id="5" w:name="PartB"/>
      <w:bookmarkStart w:id="6" w:name="SectionI"/>
      <w:r w:rsidRPr="002C56C7">
        <w:rPr>
          <w:rFonts w:ascii="Arial" w:hAnsi="Arial"/>
          <w:b/>
          <w:bCs/>
          <w:sz w:val="22"/>
          <w:szCs w:val="22"/>
          <w:u w:val="single"/>
          <w:lang w:val="fr-CM"/>
        </w:rPr>
        <w:t>Critères pour la sélection des programmes, projets et activités reflétant le mieux les principes et objectifs de la Convention</w:t>
      </w:r>
    </w:p>
    <w:bookmarkEnd w:id="5"/>
    <w:bookmarkEnd w:id="6"/>
    <w:p w14:paraId="1AE61B9A" w14:textId="77777777" w:rsidR="002C56C7" w:rsidRPr="002C56C7" w:rsidRDefault="002C56C7" w:rsidP="002C56C7">
      <w:pPr>
        <w:ind w:left="1080"/>
        <w:contextualSpacing/>
        <w:rPr>
          <w:rFonts w:ascii="Arial" w:hAnsi="Arial"/>
          <w:b/>
          <w:bCs/>
          <w:sz w:val="22"/>
          <w:szCs w:val="22"/>
          <w:u w:val="single"/>
          <w:lang w:val="fr-CM"/>
        </w:rPr>
      </w:pPr>
    </w:p>
    <w:tbl>
      <w:tblPr>
        <w:tblStyle w:val="Grilledutableau2"/>
        <w:tblW w:w="14312" w:type="dxa"/>
        <w:tblLayout w:type="fixed"/>
        <w:tblLook w:val="04A0" w:firstRow="1" w:lastRow="0" w:firstColumn="1" w:lastColumn="0" w:noHBand="0" w:noVBand="1"/>
      </w:tblPr>
      <w:tblGrid>
        <w:gridCol w:w="562"/>
        <w:gridCol w:w="6521"/>
        <w:gridCol w:w="567"/>
        <w:gridCol w:w="6662"/>
      </w:tblGrid>
      <w:tr w:rsidR="002C56C7" w:rsidRPr="002C56C7" w14:paraId="02FA0D86" w14:textId="77777777" w:rsidTr="002C56C7">
        <w:tc>
          <w:tcPr>
            <w:tcW w:w="7083" w:type="dxa"/>
            <w:gridSpan w:val="2"/>
            <w:shd w:val="clear" w:color="auto" w:fill="D9E2F3"/>
          </w:tcPr>
          <w:p w14:paraId="08BDA2DD" w14:textId="77777777" w:rsidR="002C56C7" w:rsidRPr="002C56C7" w:rsidRDefault="002C56C7" w:rsidP="002C56C7">
            <w:pPr>
              <w:spacing w:before="120" w:after="120"/>
              <w:jc w:val="center"/>
              <w:rPr>
                <w:rFonts w:ascii="Arial" w:eastAsia="Yu Mincho" w:hAnsi="Arial"/>
                <w:b/>
                <w:bCs/>
                <w:sz w:val="22"/>
                <w:szCs w:val="22"/>
                <w:lang w:val="fr-CM"/>
              </w:rPr>
            </w:pPr>
            <w:r w:rsidRPr="002C56C7">
              <w:rPr>
                <w:rFonts w:ascii="Arial" w:eastAsia="Yu Mincho" w:hAnsi="Arial"/>
                <w:b/>
                <w:bCs/>
                <w:sz w:val="22"/>
                <w:szCs w:val="22"/>
                <w:lang w:val="fr-CM"/>
              </w:rPr>
              <w:t>Directives opérationnelles (édition 2022)</w:t>
            </w:r>
          </w:p>
        </w:tc>
        <w:tc>
          <w:tcPr>
            <w:tcW w:w="7229" w:type="dxa"/>
            <w:gridSpan w:val="2"/>
            <w:shd w:val="clear" w:color="auto" w:fill="8EAADB"/>
          </w:tcPr>
          <w:p w14:paraId="6E1DA970" w14:textId="77777777" w:rsidR="002C56C7" w:rsidRPr="002C56C7" w:rsidRDefault="002C56C7" w:rsidP="002C56C7">
            <w:pPr>
              <w:spacing w:before="120" w:after="120"/>
              <w:jc w:val="center"/>
              <w:rPr>
                <w:rFonts w:ascii="Arial" w:eastAsia="Yu Mincho" w:hAnsi="Arial"/>
                <w:b/>
                <w:bCs/>
                <w:sz w:val="22"/>
                <w:szCs w:val="22"/>
                <w:lang w:val="fr-CM"/>
              </w:rPr>
            </w:pPr>
            <w:r w:rsidRPr="002C56C7">
              <w:rPr>
                <w:rFonts w:ascii="Arial" w:eastAsia="Yu Mincho" w:hAnsi="Arial"/>
                <w:b/>
                <w:bCs/>
                <w:sz w:val="22"/>
                <w:szCs w:val="22"/>
                <w:lang w:val="fr-CM"/>
              </w:rPr>
              <w:t>Amendements proposés</w:t>
            </w:r>
          </w:p>
        </w:tc>
      </w:tr>
      <w:tr w:rsidR="002C56C7" w:rsidRPr="002C56C7" w14:paraId="0624CD4F" w14:textId="77777777" w:rsidTr="00C27BB3">
        <w:tc>
          <w:tcPr>
            <w:tcW w:w="562" w:type="dxa"/>
            <w:shd w:val="clear" w:color="auto" w:fill="F2F2F2"/>
          </w:tcPr>
          <w:p w14:paraId="4DE58D71" w14:textId="77777777" w:rsidR="002C56C7" w:rsidRPr="002C56C7" w:rsidRDefault="002C56C7" w:rsidP="002C56C7">
            <w:pPr>
              <w:keepNext/>
              <w:keepLines/>
              <w:spacing w:before="120" w:after="120"/>
              <w:rPr>
                <w:rFonts w:ascii="Arial" w:eastAsia="Yu Mincho" w:hAnsi="Arial"/>
                <w:b/>
                <w:bCs/>
                <w:color w:val="1F4E79"/>
                <w:sz w:val="22"/>
                <w:szCs w:val="22"/>
                <w:lang w:val="fr-CM"/>
              </w:rPr>
            </w:pPr>
            <w:r w:rsidRPr="002C56C7">
              <w:rPr>
                <w:rFonts w:ascii="Arial" w:eastAsia="Yu Mincho" w:hAnsi="Arial"/>
                <w:b/>
                <w:bCs/>
                <w:color w:val="1F4E79"/>
                <w:sz w:val="22"/>
                <w:szCs w:val="22"/>
                <w:lang w:val="fr-CM"/>
              </w:rPr>
              <w:t>I.3</w:t>
            </w:r>
          </w:p>
        </w:tc>
        <w:tc>
          <w:tcPr>
            <w:tcW w:w="6521" w:type="dxa"/>
            <w:shd w:val="clear" w:color="auto" w:fill="F2F2F2"/>
          </w:tcPr>
          <w:p w14:paraId="7A7017FE" w14:textId="77777777" w:rsidR="002C56C7" w:rsidRPr="002C56C7" w:rsidRDefault="002C56C7" w:rsidP="002C56C7">
            <w:pPr>
              <w:keepNext/>
              <w:keepLines/>
              <w:spacing w:before="120" w:after="120"/>
              <w:rPr>
                <w:rFonts w:ascii="Arial" w:eastAsia="Yu Mincho" w:hAnsi="Arial"/>
                <w:b/>
                <w:bCs/>
                <w:color w:val="1F4E79"/>
                <w:sz w:val="22"/>
                <w:szCs w:val="22"/>
                <w:lang w:val="fr-CM"/>
              </w:rPr>
            </w:pPr>
            <w:r w:rsidRPr="002C56C7">
              <w:rPr>
                <w:rFonts w:ascii="Arial" w:eastAsia="Yu Mincho" w:hAnsi="Arial"/>
                <w:b/>
                <w:bCs/>
                <w:color w:val="1F4E79"/>
                <w:sz w:val="22"/>
                <w:szCs w:val="22"/>
                <w:lang w:val="fr-CM"/>
              </w:rPr>
              <w:t>Critères pour la sélection des programmes, projets et activités reflétant le mieux les principes et objectifs de la Convention</w:t>
            </w:r>
          </w:p>
        </w:tc>
        <w:tc>
          <w:tcPr>
            <w:tcW w:w="567" w:type="dxa"/>
            <w:shd w:val="clear" w:color="auto" w:fill="F2F2F2"/>
          </w:tcPr>
          <w:p w14:paraId="39556A5A" w14:textId="77777777" w:rsidR="002C56C7" w:rsidRPr="002C56C7" w:rsidRDefault="002C56C7" w:rsidP="002C56C7">
            <w:pPr>
              <w:keepNext/>
              <w:keepLines/>
              <w:spacing w:before="120" w:after="120"/>
              <w:rPr>
                <w:rFonts w:ascii="Arial" w:eastAsia="Yu Mincho" w:hAnsi="Arial"/>
                <w:b/>
                <w:bCs/>
                <w:sz w:val="22"/>
                <w:szCs w:val="22"/>
                <w:lang w:val="fr-CM"/>
              </w:rPr>
            </w:pPr>
            <w:r w:rsidRPr="002C56C7">
              <w:rPr>
                <w:rFonts w:ascii="Arial" w:eastAsia="Yu Mincho" w:hAnsi="Arial"/>
                <w:b/>
                <w:bCs/>
                <w:color w:val="1F4E79"/>
                <w:sz w:val="22"/>
                <w:szCs w:val="22"/>
                <w:lang w:val="fr-CM"/>
              </w:rPr>
              <w:t>I.3</w:t>
            </w:r>
          </w:p>
        </w:tc>
        <w:tc>
          <w:tcPr>
            <w:tcW w:w="6662" w:type="dxa"/>
            <w:shd w:val="clear" w:color="auto" w:fill="F2F2F2"/>
          </w:tcPr>
          <w:p w14:paraId="1CDDDAEF" w14:textId="77777777" w:rsidR="002C56C7" w:rsidRPr="002C56C7" w:rsidRDefault="002C56C7" w:rsidP="002C56C7">
            <w:pPr>
              <w:keepNext/>
              <w:keepLines/>
              <w:spacing w:before="120" w:after="120"/>
              <w:rPr>
                <w:rFonts w:ascii="Arial" w:eastAsia="Yu Mincho" w:hAnsi="Arial"/>
                <w:sz w:val="22"/>
                <w:szCs w:val="22"/>
                <w:lang w:val="fr-CM"/>
              </w:rPr>
            </w:pPr>
            <w:r w:rsidRPr="002C56C7">
              <w:rPr>
                <w:rFonts w:ascii="Arial" w:eastAsia="Yu Mincho" w:hAnsi="Arial"/>
                <w:sz w:val="22"/>
                <w:szCs w:val="22"/>
                <w:lang w:val="fr-CM"/>
              </w:rPr>
              <w:t>[Pas de changement].</w:t>
            </w:r>
          </w:p>
        </w:tc>
      </w:tr>
      <w:tr w:rsidR="002C56C7" w:rsidRPr="002C56C7" w14:paraId="0730635E" w14:textId="77777777" w:rsidTr="00C27BB3">
        <w:tc>
          <w:tcPr>
            <w:tcW w:w="562" w:type="dxa"/>
          </w:tcPr>
          <w:p w14:paraId="4CE4F1F1" w14:textId="77777777" w:rsidR="002C56C7" w:rsidRPr="002C56C7" w:rsidRDefault="002C56C7" w:rsidP="002C56C7">
            <w:pPr>
              <w:spacing w:before="60" w:after="60"/>
              <w:rPr>
                <w:rFonts w:ascii="Arial" w:eastAsia="Yu Mincho" w:hAnsi="Arial"/>
                <w:sz w:val="22"/>
                <w:szCs w:val="22"/>
                <w:lang w:val="fr-CM"/>
              </w:rPr>
            </w:pPr>
            <w:r w:rsidRPr="002C56C7">
              <w:rPr>
                <w:rFonts w:ascii="Arial" w:eastAsia="Yu Mincho" w:hAnsi="Arial"/>
                <w:sz w:val="22"/>
                <w:szCs w:val="22"/>
                <w:lang w:val="fr-CM"/>
              </w:rPr>
              <w:t>7.</w:t>
            </w:r>
          </w:p>
        </w:tc>
        <w:tc>
          <w:tcPr>
            <w:tcW w:w="6521" w:type="dxa"/>
          </w:tcPr>
          <w:p w14:paraId="062284C5"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Le Comité sélectionne parmi les programmes, projets ou activités qui lui sont proposés ceux qui répondent le mieux à tous les critères suivants :</w:t>
            </w:r>
          </w:p>
          <w:p w14:paraId="754C215A"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P.1 Le programme, le projet ou l’activité implique une sauvegarde telle que définie à l’article 2.3 de la Convention.</w:t>
            </w:r>
          </w:p>
          <w:p w14:paraId="04A864D9"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P.2 Le programme, le projet ou l’activité aide à la coordination des efforts de sauvegarde du patrimoine culturel immatériel au niveau régional, sous-régional et/ou international.</w:t>
            </w:r>
          </w:p>
          <w:p w14:paraId="4B3182B7"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P.3 Le programme, le projet ou l’activité reflète les principes et les objectifs de la Convention.</w:t>
            </w:r>
          </w:p>
          <w:p w14:paraId="457094ED"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P.4 Le programme, le projet ou l’activité a fait preuve d’efficacité en termes de contribution à la viabilité du patrimoine culturel immatériel concerné.</w:t>
            </w:r>
          </w:p>
          <w:p w14:paraId="0B0E17E6"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P.5 Le programme, le projet ou l’activité est ou a été mis en œuvre avec la participation de la communauté, du groupe ou, le cas échéant, des individus concernés, et avec leur consentement libre, préalable et éclairé.</w:t>
            </w:r>
          </w:p>
          <w:p w14:paraId="36B79731"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P.6 Le programme, le projet ou l’activité peut servir de modèle, selon le cas sous- régional, régional ou international, à des activités de sauvegarde.</w:t>
            </w:r>
          </w:p>
          <w:p w14:paraId="3C2FF4F7"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 xml:space="preserve">P.7 L’(es) État(s) partie(s) soumissionnaire(s), l’(es) organe(s) </w:t>
            </w:r>
            <w:r w:rsidRPr="002C56C7">
              <w:rPr>
                <w:rFonts w:ascii="Arial" w:eastAsia="Calibri" w:hAnsi="Arial"/>
                <w:color w:val="231F20"/>
                <w:sz w:val="22"/>
                <w:szCs w:val="22"/>
                <w:lang w:val="fr-CM" w:eastAsia="en-US"/>
              </w:rPr>
              <w:lastRenderedPageBreak/>
              <w:t>chargé(s) de la mise en œuvre et la communauté, le groupe ou, le cas échéant, les individus concernés sont d’accord pour coopérer à la diffusion de meilleures pratiques si leur programme, leur projet ou leur activité est sélectionné.</w:t>
            </w:r>
          </w:p>
          <w:p w14:paraId="16D56A1F"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P.8 Le programme, le projet ou l’activité réunit des expériences qui sont susceptibles d’être évaluées sur leurs résultats.</w:t>
            </w:r>
          </w:p>
        </w:tc>
        <w:tc>
          <w:tcPr>
            <w:tcW w:w="567" w:type="dxa"/>
          </w:tcPr>
          <w:p w14:paraId="1454D831" w14:textId="77777777" w:rsidR="002C56C7" w:rsidRPr="002C56C7" w:rsidRDefault="002C56C7" w:rsidP="002C56C7">
            <w:pPr>
              <w:spacing w:before="60" w:after="60"/>
              <w:rPr>
                <w:rFonts w:ascii="Arial" w:eastAsia="Yu Mincho" w:hAnsi="Arial"/>
                <w:sz w:val="22"/>
                <w:szCs w:val="22"/>
                <w:lang w:val="fr-CM"/>
              </w:rPr>
            </w:pPr>
            <w:r w:rsidRPr="002C56C7">
              <w:rPr>
                <w:rFonts w:ascii="Arial" w:eastAsia="Yu Mincho" w:hAnsi="Arial"/>
                <w:sz w:val="22"/>
                <w:szCs w:val="22"/>
                <w:lang w:val="fr-CM"/>
              </w:rPr>
              <w:lastRenderedPageBreak/>
              <w:t>7.</w:t>
            </w:r>
          </w:p>
        </w:tc>
        <w:tc>
          <w:tcPr>
            <w:tcW w:w="6662" w:type="dxa"/>
            <w:shd w:val="clear" w:color="auto" w:fill="auto"/>
          </w:tcPr>
          <w:p w14:paraId="15F69ABB"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 xml:space="preserve">Le Comité sélectionne parmi les programmes, projets ou activités qui lui sont proposés ceux qui répondent </w:t>
            </w:r>
            <w:r w:rsidRPr="002C56C7">
              <w:rPr>
                <w:rFonts w:ascii="Arial" w:eastAsia="Calibri" w:hAnsi="Arial"/>
                <w:strike/>
                <w:color w:val="231F20"/>
                <w:sz w:val="22"/>
                <w:szCs w:val="22"/>
                <w:lang w:val="fr-CM" w:eastAsia="en-US"/>
              </w:rPr>
              <w:t>le mieux</w:t>
            </w:r>
            <w:r w:rsidRPr="002C56C7">
              <w:rPr>
                <w:rFonts w:ascii="Arial" w:eastAsia="Calibri" w:hAnsi="Arial"/>
                <w:color w:val="231F20"/>
                <w:sz w:val="22"/>
                <w:szCs w:val="22"/>
                <w:lang w:val="fr-CM" w:eastAsia="en-US"/>
              </w:rPr>
              <w:t xml:space="preserve"> à tous les critères suivants :</w:t>
            </w:r>
          </w:p>
          <w:p w14:paraId="309AC3FD"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1"/>
                <w:szCs w:val="21"/>
                <w:lang w:val="fr-CM" w:eastAsia="en-US"/>
              </w:rPr>
            </w:pPr>
            <w:r w:rsidRPr="002C56C7">
              <w:rPr>
                <w:rFonts w:ascii="Arial" w:eastAsia="Calibri" w:hAnsi="Arial"/>
                <w:strike/>
                <w:color w:val="231F20"/>
                <w:sz w:val="22"/>
                <w:szCs w:val="22"/>
                <w:lang w:val="fr-CM" w:eastAsia="en-US"/>
              </w:rPr>
              <w:t xml:space="preserve">P.1 </w:t>
            </w:r>
            <w:r w:rsidRPr="002C56C7">
              <w:rPr>
                <w:rFonts w:ascii="Arial" w:eastAsia="Calibri" w:hAnsi="Arial"/>
                <w:color w:val="231F20"/>
                <w:sz w:val="22"/>
                <w:szCs w:val="22"/>
                <w:u w:val="single"/>
                <w:lang w:val="fr-CM" w:eastAsia="en-US"/>
              </w:rPr>
              <w:t xml:space="preserve">G.1 </w:t>
            </w:r>
            <w:r w:rsidRPr="002C56C7">
              <w:rPr>
                <w:rFonts w:ascii="Arial" w:eastAsia="Calibri" w:hAnsi="Arial"/>
                <w:color w:val="231F20"/>
                <w:sz w:val="22"/>
                <w:szCs w:val="22"/>
                <w:lang w:val="fr-CM" w:eastAsia="en-US"/>
              </w:rPr>
              <w:t>Le programme, le projet ou l’activité implique une sauvegarde telle que définie à l’article 2.3 de la Convention</w:t>
            </w:r>
            <w:r w:rsidRPr="002C56C7">
              <w:rPr>
                <w:rFonts w:ascii="Arial" w:eastAsia="Calibri" w:hAnsi="Arial"/>
                <w:color w:val="231F20"/>
                <w:sz w:val="22"/>
                <w:szCs w:val="22"/>
                <w:u w:val="single"/>
                <w:lang w:val="fr-CM" w:eastAsia="en-US"/>
              </w:rPr>
              <w:t xml:space="preserve">, </w:t>
            </w:r>
            <w:r w:rsidRPr="002C56C7">
              <w:rPr>
                <w:rFonts w:ascii="Arial" w:eastAsia="Yu Mincho" w:hAnsi="Arial"/>
                <w:sz w:val="22"/>
                <w:szCs w:val="22"/>
                <w:u w:val="single"/>
                <w:lang w:val="fr-CM"/>
              </w:rPr>
              <w:t>reflétant les principes et les objectifs de la Convention</w:t>
            </w:r>
            <w:r w:rsidRPr="002C56C7">
              <w:rPr>
                <w:rFonts w:ascii="Arial" w:eastAsia="Yu Mincho" w:hAnsi="Arial"/>
                <w:sz w:val="21"/>
                <w:szCs w:val="21"/>
                <w:lang w:val="fr-CM"/>
              </w:rPr>
              <w:t>.</w:t>
            </w:r>
          </w:p>
          <w:p w14:paraId="3C5D8266"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strike/>
                <w:color w:val="231F20"/>
                <w:sz w:val="22"/>
                <w:szCs w:val="22"/>
                <w:lang w:val="fr-CM" w:eastAsia="en-US"/>
              </w:rPr>
            </w:pPr>
            <w:r w:rsidRPr="002C56C7">
              <w:rPr>
                <w:rFonts w:ascii="Arial" w:eastAsia="Calibri" w:hAnsi="Arial"/>
                <w:strike/>
                <w:color w:val="231F20"/>
                <w:sz w:val="22"/>
                <w:szCs w:val="22"/>
                <w:lang w:val="fr-CM" w:eastAsia="en-US"/>
              </w:rPr>
              <w:t>P.2 Le programme, le projet ou l’activité aide à la coordination des efforts de sauvegarde du patrimoine culturel immatériel au niveau régional, sous-régional et/ou international.</w:t>
            </w:r>
          </w:p>
          <w:p w14:paraId="6A605373"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strike/>
                <w:color w:val="231F20"/>
                <w:sz w:val="22"/>
                <w:szCs w:val="22"/>
                <w:lang w:val="fr-CM" w:eastAsia="en-US"/>
              </w:rPr>
            </w:pPr>
            <w:r w:rsidRPr="002C56C7">
              <w:rPr>
                <w:rFonts w:ascii="Arial" w:eastAsia="Calibri" w:hAnsi="Arial"/>
                <w:strike/>
                <w:color w:val="231F20"/>
                <w:sz w:val="22"/>
                <w:szCs w:val="22"/>
                <w:lang w:val="fr-CM" w:eastAsia="en-US"/>
              </w:rPr>
              <w:t>P.3 Le programme, le projet ou l’activité reflète les principes et les objectifs de la Convention.</w:t>
            </w:r>
          </w:p>
          <w:p w14:paraId="0C6E5F29"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strike/>
                <w:color w:val="231F20"/>
                <w:sz w:val="22"/>
                <w:szCs w:val="22"/>
                <w:lang w:val="fr-CM" w:eastAsia="en-US"/>
              </w:rPr>
              <w:t xml:space="preserve">P.4 </w:t>
            </w:r>
            <w:r w:rsidRPr="002C56C7">
              <w:rPr>
                <w:rFonts w:ascii="Arial" w:eastAsia="Calibri" w:hAnsi="Arial"/>
                <w:color w:val="231F20"/>
                <w:sz w:val="22"/>
                <w:szCs w:val="22"/>
                <w:u w:val="single"/>
                <w:lang w:val="fr-CM" w:eastAsia="en-US"/>
              </w:rPr>
              <w:t xml:space="preserve">G.2 </w:t>
            </w:r>
            <w:r w:rsidRPr="002C56C7">
              <w:rPr>
                <w:rFonts w:ascii="Arial" w:eastAsia="Calibri" w:hAnsi="Arial"/>
                <w:color w:val="231F20"/>
                <w:sz w:val="22"/>
                <w:szCs w:val="22"/>
                <w:lang w:val="fr-CM" w:eastAsia="en-US"/>
              </w:rPr>
              <w:t>Le programme, le projet ou l’activité a fait preuve d’efficacité en termes de contribution à la viabilité du patrimoine culturel immatériel concerné.</w:t>
            </w:r>
          </w:p>
          <w:p w14:paraId="01456F75"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strike/>
                <w:color w:val="231F20"/>
                <w:sz w:val="22"/>
                <w:szCs w:val="22"/>
                <w:lang w:val="fr-CM" w:eastAsia="en-US"/>
              </w:rPr>
              <w:t xml:space="preserve">P.5 </w:t>
            </w:r>
            <w:r w:rsidRPr="002C56C7">
              <w:rPr>
                <w:rFonts w:ascii="Arial" w:eastAsia="Calibri" w:hAnsi="Arial"/>
                <w:color w:val="231F20"/>
                <w:sz w:val="22"/>
                <w:szCs w:val="22"/>
                <w:u w:val="single"/>
                <w:lang w:val="fr-CM" w:eastAsia="en-US"/>
              </w:rPr>
              <w:t xml:space="preserve">G.3 </w:t>
            </w:r>
            <w:r w:rsidRPr="002C56C7">
              <w:rPr>
                <w:rFonts w:ascii="Arial" w:eastAsia="Calibri" w:hAnsi="Arial"/>
                <w:color w:val="231F20"/>
                <w:sz w:val="22"/>
                <w:szCs w:val="22"/>
                <w:lang w:val="fr-CM" w:eastAsia="en-US"/>
              </w:rPr>
              <w:t xml:space="preserve">Le programme, le projet ou l’activité est ou a été mis en œuvre avec la participation de la communauté, du groupe ou, le cas échéant, des individus concernés, et avec leur consentement libre, préalable, </w:t>
            </w:r>
            <w:r w:rsidRPr="002C56C7">
              <w:rPr>
                <w:rFonts w:ascii="Arial" w:eastAsia="Calibri" w:hAnsi="Arial"/>
                <w:color w:val="231F20"/>
                <w:sz w:val="22"/>
                <w:szCs w:val="22"/>
                <w:u w:val="single"/>
                <w:lang w:val="fr-CM" w:eastAsia="en-US"/>
              </w:rPr>
              <w:t>durable</w:t>
            </w:r>
            <w:r w:rsidRPr="002C56C7">
              <w:rPr>
                <w:rFonts w:ascii="Arial" w:eastAsia="Calibri" w:hAnsi="Arial"/>
                <w:color w:val="231F20"/>
                <w:sz w:val="22"/>
                <w:szCs w:val="22"/>
                <w:lang w:val="fr-CM" w:eastAsia="en-US"/>
              </w:rPr>
              <w:t xml:space="preserve"> et éclairé.</w:t>
            </w:r>
          </w:p>
          <w:p w14:paraId="5FD17A86"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strike/>
                <w:color w:val="231F20"/>
                <w:sz w:val="22"/>
                <w:szCs w:val="22"/>
                <w:lang w:val="fr-CM" w:eastAsia="en-US"/>
              </w:rPr>
            </w:pPr>
            <w:r w:rsidRPr="002C56C7">
              <w:rPr>
                <w:rFonts w:ascii="Arial" w:eastAsia="Calibri" w:hAnsi="Arial"/>
                <w:strike/>
                <w:color w:val="231F20"/>
                <w:sz w:val="22"/>
                <w:szCs w:val="22"/>
                <w:lang w:val="fr-CM" w:eastAsia="en-US"/>
              </w:rPr>
              <w:t>P.6 Le programme, le projet ou l’activité peut servir de modèle, selon le cas sous- régional, régional ou international, à des activités de sauvegarde.</w:t>
            </w:r>
          </w:p>
          <w:p w14:paraId="0256482B"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strike/>
                <w:color w:val="231F20"/>
                <w:sz w:val="22"/>
                <w:szCs w:val="22"/>
                <w:lang w:val="fr-CM" w:eastAsia="en-US"/>
              </w:rPr>
              <w:lastRenderedPageBreak/>
              <w:t xml:space="preserve">P.7 </w:t>
            </w:r>
            <w:r w:rsidRPr="002C56C7">
              <w:rPr>
                <w:rFonts w:ascii="Arial" w:eastAsia="Calibri" w:hAnsi="Arial"/>
                <w:color w:val="231F20"/>
                <w:sz w:val="22"/>
                <w:szCs w:val="22"/>
                <w:u w:val="single"/>
                <w:lang w:val="fr-CM" w:eastAsia="en-US"/>
              </w:rPr>
              <w:t xml:space="preserve">G.4 </w:t>
            </w:r>
            <w:r w:rsidRPr="002C56C7">
              <w:rPr>
                <w:rFonts w:ascii="Arial" w:eastAsia="Calibri" w:hAnsi="Arial"/>
                <w:color w:val="231F20"/>
                <w:sz w:val="22"/>
                <w:szCs w:val="22"/>
                <w:lang w:val="fr-CM" w:eastAsia="en-US"/>
              </w:rPr>
              <w:t xml:space="preserve">L’(es) État(s) partie(s) soumissionnaire(s), l’(es) organe(s) chargé(s) de la mise en œuvre et la communauté, le groupe ou, le cas échéant, les individus concernés sont d’accord </w:t>
            </w:r>
            <w:r w:rsidRPr="002C56C7">
              <w:rPr>
                <w:rFonts w:ascii="Arial" w:eastAsia="Calibri" w:hAnsi="Arial"/>
                <w:color w:val="231F20"/>
                <w:sz w:val="22"/>
                <w:szCs w:val="22"/>
                <w:u w:val="single"/>
                <w:lang w:val="fr-CM" w:eastAsia="en-US"/>
              </w:rPr>
              <w:t>pour coordonner et</w:t>
            </w:r>
            <w:r w:rsidRPr="002C56C7">
              <w:rPr>
                <w:rFonts w:ascii="Arial" w:eastAsia="Calibri" w:hAnsi="Arial"/>
                <w:color w:val="231F20"/>
                <w:sz w:val="22"/>
                <w:szCs w:val="22"/>
                <w:lang w:val="fr-CM" w:eastAsia="en-US"/>
              </w:rPr>
              <w:t xml:space="preserve"> pour coopérer à la diffusion de </w:t>
            </w:r>
            <w:r w:rsidRPr="002C56C7">
              <w:rPr>
                <w:rFonts w:ascii="Arial" w:eastAsia="Calibri" w:hAnsi="Arial"/>
                <w:strike/>
                <w:color w:val="231F20"/>
                <w:sz w:val="22"/>
                <w:szCs w:val="22"/>
                <w:lang w:val="fr-CM" w:eastAsia="en-US"/>
              </w:rPr>
              <w:t xml:space="preserve">meilleures </w:t>
            </w:r>
            <w:r w:rsidRPr="002C56C7">
              <w:rPr>
                <w:rFonts w:ascii="Arial" w:eastAsia="Calibri" w:hAnsi="Arial"/>
                <w:color w:val="231F20"/>
                <w:sz w:val="22"/>
                <w:szCs w:val="22"/>
                <w:u w:val="single"/>
                <w:lang w:val="fr-CM" w:eastAsia="en-US"/>
              </w:rPr>
              <w:t>bonnes</w:t>
            </w:r>
            <w:r w:rsidRPr="002C56C7">
              <w:rPr>
                <w:rFonts w:ascii="Arial" w:eastAsia="Calibri" w:hAnsi="Arial"/>
                <w:color w:val="231F20"/>
                <w:sz w:val="22"/>
                <w:szCs w:val="22"/>
                <w:lang w:val="fr-CM" w:eastAsia="en-US"/>
              </w:rPr>
              <w:t xml:space="preserve"> pratiques si leur programme, leur projet ou leur activité est sélectionné</w:t>
            </w:r>
            <w:r w:rsidRPr="002C56C7">
              <w:rPr>
                <w:rFonts w:ascii="Arial" w:eastAsia="Calibri" w:hAnsi="Arial"/>
                <w:color w:val="231F20"/>
                <w:sz w:val="22"/>
                <w:szCs w:val="22"/>
                <w:u w:val="single"/>
                <w:lang w:val="fr-CM" w:eastAsia="en-US"/>
              </w:rPr>
              <w:t xml:space="preserve">. </w:t>
            </w:r>
            <w:r w:rsidRPr="002C56C7">
              <w:rPr>
                <w:rFonts w:ascii="Arial" w:eastAsia="Yu Mincho" w:hAnsi="Arial"/>
                <w:sz w:val="22"/>
                <w:szCs w:val="22"/>
                <w:u w:val="single"/>
                <w:lang w:val="fr-CM"/>
              </w:rPr>
              <w:t>Ils peuvent servir de source d’inspiration aux niveaux local, sous-régional, régional ou international, selon le cas, pour des activités de sauvegarde</w:t>
            </w:r>
            <w:r w:rsidRPr="002C56C7">
              <w:rPr>
                <w:rFonts w:ascii="Arial" w:eastAsia="Calibri" w:hAnsi="Arial"/>
                <w:color w:val="231F20"/>
                <w:sz w:val="22"/>
                <w:szCs w:val="22"/>
                <w:lang w:val="fr-CM" w:eastAsia="en-US"/>
              </w:rPr>
              <w:t>.</w:t>
            </w:r>
          </w:p>
          <w:p w14:paraId="431B3E43" w14:textId="77777777" w:rsidR="002C56C7" w:rsidRPr="002C56C7" w:rsidRDefault="002C56C7" w:rsidP="002C56C7">
            <w:pPr>
              <w:spacing w:before="60" w:after="60"/>
              <w:rPr>
                <w:rFonts w:ascii="Arial" w:eastAsia="Yu Mincho" w:hAnsi="Arial"/>
                <w:strike/>
                <w:sz w:val="22"/>
                <w:szCs w:val="22"/>
                <w:lang w:val="fr-CM"/>
              </w:rPr>
            </w:pPr>
            <w:r w:rsidRPr="002C56C7">
              <w:rPr>
                <w:rFonts w:ascii="Arial" w:eastAsia="Calibri" w:hAnsi="Arial"/>
                <w:strike/>
                <w:color w:val="231F20"/>
                <w:sz w:val="22"/>
                <w:szCs w:val="22"/>
                <w:lang w:val="fr-CM" w:eastAsia="en-US"/>
              </w:rPr>
              <w:t>P.8 Le programme, le projet ou l’activité réunit des expériences qui sont susceptibles d’être évaluées sur leurs résultats.</w:t>
            </w:r>
          </w:p>
        </w:tc>
      </w:tr>
    </w:tbl>
    <w:p w14:paraId="4013BE75" w14:textId="77777777" w:rsidR="00502DEA" w:rsidRDefault="00502DEA" w:rsidP="00652CEF">
      <w:pPr>
        <w:spacing w:before="240" w:after="160" w:line="259" w:lineRule="auto"/>
        <w:ind w:left="1080"/>
        <w:contextualSpacing/>
        <w:rPr>
          <w:rFonts w:ascii="Arial" w:hAnsi="Arial"/>
          <w:b/>
          <w:bCs/>
          <w:sz w:val="22"/>
          <w:szCs w:val="22"/>
          <w:u w:val="single"/>
          <w:lang w:val="fr-CM"/>
        </w:rPr>
      </w:pPr>
    </w:p>
    <w:p w14:paraId="27F8B53D" w14:textId="6F87995F" w:rsidR="002C56C7" w:rsidRDefault="002C56C7" w:rsidP="00502DEA">
      <w:pPr>
        <w:numPr>
          <w:ilvl w:val="0"/>
          <w:numId w:val="42"/>
        </w:numPr>
        <w:spacing w:before="240" w:after="160" w:line="259" w:lineRule="auto"/>
        <w:contextualSpacing/>
        <w:rPr>
          <w:rFonts w:ascii="Arial" w:hAnsi="Arial"/>
          <w:b/>
          <w:bCs/>
          <w:sz w:val="22"/>
          <w:szCs w:val="22"/>
          <w:u w:val="single"/>
          <w:lang w:val="fr-CM"/>
        </w:rPr>
      </w:pPr>
      <w:bookmarkStart w:id="7" w:name="SectionII"/>
      <w:r w:rsidRPr="002C56C7">
        <w:rPr>
          <w:rFonts w:ascii="Arial" w:hAnsi="Arial"/>
          <w:b/>
          <w:bCs/>
          <w:sz w:val="22"/>
          <w:szCs w:val="22"/>
          <w:u w:val="single"/>
          <w:lang w:val="fr-CM"/>
        </w:rPr>
        <w:t>Soumission des dossiers</w:t>
      </w:r>
    </w:p>
    <w:bookmarkEnd w:id="7"/>
    <w:p w14:paraId="7F46D4E3" w14:textId="77777777" w:rsidR="00502DEA" w:rsidRPr="002C56C7" w:rsidRDefault="00502DEA" w:rsidP="00652CEF">
      <w:pPr>
        <w:spacing w:before="240" w:after="160" w:line="259" w:lineRule="auto"/>
        <w:ind w:left="1080"/>
        <w:contextualSpacing/>
        <w:rPr>
          <w:rFonts w:ascii="Arial" w:hAnsi="Arial"/>
          <w:b/>
          <w:bCs/>
          <w:sz w:val="22"/>
          <w:szCs w:val="22"/>
          <w:u w:val="single"/>
          <w:lang w:val="fr-CM"/>
        </w:rPr>
      </w:pPr>
    </w:p>
    <w:tbl>
      <w:tblPr>
        <w:tblStyle w:val="Grilledutableau2"/>
        <w:tblW w:w="14317" w:type="dxa"/>
        <w:tblInd w:w="-5" w:type="dxa"/>
        <w:tblLayout w:type="fixed"/>
        <w:tblLook w:val="04A0" w:firstRow="1" w:lastRow="0" w:firstColumn="1" w:lastColumn="0" w:noHBand="0" w:noVBand="1"/>
      </w:tblPr>
      <w:tblGrid>
        <w:gridCol w:w="562"/>
        <w:gridCol w:w="6526"/>
        <w:gridCol w:w="567"/>
        <w:gridCol w:w="6662"/>
      </w:tblGrid>
      <w:tr w:rsidR="00DA1801" w:rsidRPr="002C56C7" w14:paraId="38B86CAA" w14:textId="77777777" w:rsidTr="00652CEF">
        <w:tc>
          <w:tcPr>
            <w:tcW w:w="7088" w:type="dxa"/>
            <w:gridSpan w:val="2"/>
            <w:shd w:val="clear" w:color="auto" w:fill="D9E2F3"/>
          </w:tcPr>
          <w:p w14:paraId="64794AA6" w14:textId="77777777" w:rsidR="00DA1801" w:rsidRPr="002C56C7" w:rsidRDefault="00DA1801" w:rsidP="00AE190D">
            <w:pPr>
              <w:spacing w:before="120" w:after="120"/>
              <w:jc w:val="center"/>
              <w:rPr>
                <w:rFonts w:ascii="Arial" w:eastAsia="Yu Mincho" w:hAnsi="Arial"/>
                <w:b/>
                <w:bCs/>
                <w:sz w:val="22"/>
                <w:szCs w:val="22"/>
                <w:lang w:val="fr-CM"/>
              </w:rPr>
            </w:pPr>
            <w:r w:rsidRPr="002C56C7">
              <w:rPr>
                <w:rFonts w:ascii="Arial" w:eastAsia="Yu Mincho" w:hAnsi="Arial"/>
                <w:b/>
                <w:bCs/>
                <w:sz w:val="22"/>
                <w:szCs w:val="22"/>
                <w:lang w:val="fr-CM"/>
              </w:rPr>
              <w:t>Directives opérationnelles (édition 2022)</w:t>
            </w:r>
          </w:p>
        </w:tc>
        <w:tc>
          <w:tcPr>
            <w:tcW w:w="7229" w:type="dxa"/>
            <w:gridSpan w:val="2"/>
            <w:shd w:val="clear" w:color="auto" w:fill="8EAADB"/>
          </w:tcPr>
          <w:p w14:paraId="1C31ACA1" w14:textId="77777777" w:rsidR="00DA1801" w:rsidRPr="002C56C7" w:rsidRDefault="00DA1801" w:rsidP="00AE190D">
            <w:pPr>
              <w:spacing w:before="120" w:after="120"/>
              <w:jc w:val="center"/>
              <w:rPr>
                <w:rFonts w:ascii="Arial" w:eastAsia="Yu Mincho" w:hAnsi="Arial"/>
                <w:b/>
                <w:bCs/>
                <w:sz w:val="22"/>
                <w:szCs w:val="22"/>
                <w:lang w:val="fr-CM"/>
              </w:rPr>
            </w:pPr>
            <w:r w:rsidRPr="002C56C7">
              <w:rPr>
                <w:rFonts w:ascii="Arial" w:eastAsia="Yu Mincho" w:hAnsi="Arial"/>
                <w:b/>
                <w:bCs/>
                <w:sz w:val="22"/>
                <w:szCs w:val="22"/>
                <w:lang w:val="fr-CM"/>
              </w:rPr>
              <w:t>Amendements proposés</w:t>
            </w:r>
          </w:p>
        </w:tc>
      </w:tr>
      <w:tr w:rsidR="002C56C7" w:rsidRPr="002C56C7" w14:paraId="23D90B25" w14:textId="77777777" w:rsidTr="00652CEF">
        <w:tc>
          <w:tcPr>
            <w:tcW w:w="562" w:type="dxa"/>
            <w:shd w:val="clear" w:color="auto" w:fill="F2F2F2"/>
          </w:tcPr>
          <w:p w14:paraId="3FAB1FEC" w14:textId="77777777" w:rsidR="002C56C7" w:rsidRPr="002C56C7" w:rsidRDefault="002C56C7" w:rsidP="002C56C7">
            <w:pPr>
              <w:keepNext/>
              <w:keepLines/>
              <w:spacing w:before="120" w:after="120"/>
              <w:rPr>
                <w:rFonts w:ascii="Arial" w:eastAsia="Yu Mincho" w:hAnsi="Arial"/>
                <w:b/>
                <w:bCs/>
                <w:color w:val="1F4E79"/>
                <w:sz w:val="22"/>
                <w:szCs w:val="22"/>
                <w:lang w:val="fr-CM"/>
              </w:rPr>
            </w:pPr>
            <w:r w:rsidRPr="002C56C7">
              <w:rPr>
                <w:rFonts w:ascii="Arial" w:eastAsia="Yu Mincho" w:hAnsi="Arial"/>
                <w:b/>
                <w:bCs/>
                <w:color w:val="1F4E79"/>
                <w:sz w:val="22"/>
                <w:szCs w:val="22"/>
                <w:lang w:val="fr-CM"/>
              </w:rPr>
              <w:t>I.7</w:t>
            </w:r>
          </w:p>
        </w:tc>
        <w:tc>
          <w:tcPr>
            <w:tcW w:w="6526" w:type="dxa"/>
            <w:shd w:val="clear" w:color="auto" w:fill="F2F2F2"/>
          </w:tcPr>
          <w:p w14:paraId="22F48763" w14:textId="77777777" w:rsidR="002C56C7" w:rsidRPr="002C56C7" w:rsidRDefault="002C56C7" w:rsidP="002C56C7">
            <w:pPr>
              <w:keepNext/>
              <w:keepLines/>
              <w:spacing w:before="120" w:after="120"/>
              <w:rPr>
                <w:rFonts w:ascii="Arial" w:eastAsia="Yu Mincho" w:hAnsi="Arial"/>
                <w:b/>
                <w:bCs/>
                <w:color w:val="1F4E79"/>
                <w:sz w:val="22"/>
                <w:szCs w:val="22"/>
                <w:lang w:val="fr-CM"/>
              </w:rPr>
            </w:pPr>
            <w:r w:rsidRPr="002C56C7">
              <w:rPr>
                <w:rFonts w:ascii="Arial" w:eastAsia="Yu Mincho" w:hAnsi="Arial"/>
                <w:b/>
                <w:bCs/>
                <w:color w:val="1F4E79"/>
                <w:sz w:val="22"/>
                <w:szCs w:val="22"/>
                <w:lang w:val="fr-CM"/>
              </w:rPr>
              <w:t>Soumission des dossiers</w:t>
            </w:r>
          </w:p>
        </w:tc>
        <w:tc>
          <w:tcPr>
            <w:tcW w:w="567" w:type="dxa"/>
            <w:shd w:val="clear" w:color="auto" w:fill="F2F2F2"/>
          </w:tcPr>
          <w:p w14:paraId="19FAB4F6" w14:textId="77777777" w:rsidR="002C56C7" w:rsidRPr="002C56C7" w:rsidRDefault="002C56C7" w:rsidP="002C56C7">
            <w:pPr>
              <w:keepNext/>
              <w:keepLines/>
              <w:spacing w:before="120" w:after="120"/>
              <w:rPr>
                <w:rFonts w:ascii="Arial" w:eastAsia="Yu Mincho" w:hAnsi="Arial"/>
                <w:b/>
                <w:bCs/>
                <w:color w:val="1F4E79"/>
                <w:sz w:val="22"/>
                <w:szCs w:val="22"/>
                <w:lang w:val="fr-CM"/>
              </w:rPr>
            </w:pPr>
            <w:r w:rsidRPr="002C56C7">
              <w:rPr>
                <w:rFonts w:ascii="Arial" w:eastAsia="Yu Mincho" w:hAnsi="Arial"/>
                <w:b/>
                <w:bCs/>
                <w:color w:val="1F4E79"/>
                <w:sz w:val="22"/>
                <w:szCs w:val="22"/>
                <w:lang w:val="fr-CM"/>
              </w:rPr>
              <w:t>I.7</w:t>
            </w:r>
          </w:p>
        </w:tc>
        <w:tc>
          <w:tcPr>
            <w:tcW w:w="6662" w:type="dxa"/>
            <w:shd w:val="clear" w:color="auto" w:fill="F2F2F2"/>
          </w:tcPr>
          <w:p w14:paraId="41FD0C98" w14:textId="77777777" w:rsidR="002C56C7" w:rsidRPr="002C56C7" w:rsidRDefault="002C56C7" w:rsidP="002C56C7">
            <w:pPr>
              <w:keepNext/>
              <w:keepLines/>
              <w:spacing w:before="120" w:after="120"/>
              <w:rPr>
                <w:rFonts w:ascii="Arial" w:eastAsia="Yu Mincho" w:hAnsi="Arial"/>
                <w:color w:val="1F4E79"/>
                <w:sz w:val="22"/>
                <w:szCs w:val="22"/>
                <w:lang w:val="fr-CM"/>
              </w:rPr>
            </w:pPr>
            <w:r w:rsidRPr="002C56C7">
              <w:rPr>
                <w:rFonts w:ascii="Arial" w:eastAsia="Yu Mincho" w:hAnsi="Arial"/>
                <w:sz w:val="22"/>
                <w:szCs w:val="22"/>
                <w:lang w:val="fr-CM"/>
              </w:rPr>
              <w:t>[Pas de changement]</w:t>
            </w:r>
          </w:p>
        </w:tc>
      </w:tr>
      <w:tr w:rsidR="002C56C7" w:rsidRPr="002C56C7" w14:paraId="1FA7DAA3" w14:textId="77777777" w:rsidTr="00652CEF">
        <w:tc>
          <w:tcPr>
            <w:tcW w:w="562" w:type="dxa"/>
          </w:tcPr>
          <w:p w14:paraId="588D61CE" w14:textId="77777777" w:rsidR="002C56C7" w:rsidRPr="002C56C7" w:rsidRDefault="002C56C7" w:rsidP="002C56C7">
            <w:pPr>
              <w:widowControl w:val="0"/>
              <w:tabs>
                <w:tab w:val="left" w:pos="2127"/>
                <w:tab w:val="left" w:pos="2176"/>
              </w:tabs>
              <w:autoSpaceDE w:val="0"/>
              <w:autoSpaceDN w:val="0"/>
              <w:spacing w:before="60" w:after="6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21.</w:t>
            </w:r>
          </w:p>
        </w:tc>
        <w:tc>
          <w:tcPr>
            <w:tcW w:w="6526" w:type="dxa"/>
          </w:tcPr>
          <w:p w14:paraId="42EE1419" w14:textId="77777777" w:rsidR="002C56C7" w:rsidRPr="002C56C7" w:rsidRDefault="002C56C7" w:rsidP="002C56C7">
            <w:pPr>
              <w:widowControl w:val="0"/>
              <w:tabs>
                <w:tab w:val="left" w:pos="2127"/>
                <w:tab w:val="left" w:pos="2176"/>
              </w:tabs>
              <w:autoSpaceDE w:val="0"/>
              <w:autoSpaceDN w:val="0"/>
              <w:snapToGrid w:val="0"/>
              <w:spacing w:before="120" w:after="12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Les États parties peuvent demander une assistance préparatoire, en consultation avec les communautés, groupes et, le cas échéant, individus concernés pour l’élaboration de :</w:t>
            </w:r>
          </w:p>
          <w:p w14:paraId="4285CB03" w14:textId="77777777" w:rsidR="002C56C7" w:rsidRPr="002C56C7" w:rsidRDefault="002C56C7" w:rsidP="002C56C7">
            <w:pPr>
              <w:widowControl w:val="0"/>
              <w:tabs>
                <w:tab w:val="left" w:pos="2127"/>
                <w:tab w:val="left" w:pos="2176"/>
              </w:tabs>
              <w:autoSpaceDE w:val="0"/>
              <w:autoSpaceDN w:val="0"/>
              <w:snapToGrid w:val="0"/>
              <w:spacing w:before="120" w:after="120"/>
              <w:ind w:left="422" w:hanging="422"/>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(a)</w:t>
            </w:r>
            <w:r w:rsidRPr="002C56C7">
              <w:rPr>
                <w:rFonts w:ascii="Arial" w:eastAsia="Calibri" w:hAnsi="Arial"/>
                <w:color w:val="231F20"/>
                <w:sz w:val="22"/>
                <w:szCs w:val="22"/>
                <w:lang w:val="fr-CM" w:eastAsia="en-US"/>
              </w:rPr>
              <w:tab/>
              <w:t xml:space="preserve">dossiers de candidatures à la Liste du patrimoine culturel immatériel nécessitant une sauvegarde urgente, </w:t>
            </w:r>
          </w:p>
          <w:p w14:paraId="21CA1A51" w14:textId="77777777" w:rsidR="002C56C7" w:rsidRPr="002C56C7" w:rsidRDefault="002C56C7" w:rsidP="002C56C7">
            <w:pPr>
              <w:widowControl w:val="0"/>
              <w:tabs>
                <w:tab w:val="left" w:pos="2127"/>
                <w:tab w:val="left" w:pos="2176"/>
              </w:tabs>
              <w:autoSpaceDE w:val="0"/>
              <w:autoSpaceDN w:val="0"/>
              <w:snapToGrid w:val="0"/>
              <w:spacing w:before="120" w:after="120"/>
              <w:ind w:left="422" w:hanging="422"/>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(b)</w:t>
            </w:r>
            <w:r w:rsidRPr="002C56C7">
              <w:rPr>
                <w:rFonts w:ascii="Arial" w:eastAsia="Calibri" w:hAnsi="Arial"/>
                <w:color w:val="231F20"/>
                <w:sz w:val="22"/>
                <w:szCs w:val="22"/>
                <w:lang w:val="fr-CM" w:eastAsia="en-US"/>
              </w:rPr>
              <w:tab/>
              <w:t>proposition de programmes, projets et activités reflétant le mieux les principes et objectifs de la Convention,</w:t>
            </w:r>
          </w:p>
          <w:p w14:paraId="6160624D" w14:textId="77777777" w:rsidR="002C56C7" w:rsidRPr="002C56C7" w:rsidRDefault="002C56C7" w:rsidP="002C56C7">
            <w:pPr>
              <w:widowControl w:val="0"/>
              <w:tabs>
                <w:tab w:val="left" w:pos="2127"/>
                <w:tab w:val="left" w:pos="2176"/>
              </w:tabs>
              <w:autoSpaceDE w:val="0"/>
              <w:autoSpaceDN w:val="0"/>
              <w:snapToGrid w:val="0"/>
              <w:spacing w:before="120" w:after="120"/>
              <w:ind w:left="422" w:hanging="422"/>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(c)</w:t>
            </w:r>
            <w:r w:rsidRPr="002C56C7">
              <w:rPr>
                <w:rFonts w:ascii="Arial" w:eastAsia="Calibri" w:hAnsi="Arial"/>
                <w:color w:val="231F20"/>
                <w:sz w:val="22"/>
                <w:szCs w:val="22"/>
                <w:lang w:val="fr-CM" w:eastAsia="en-US"/>
              </w:rPr>
              <w:tab/>
              <w:t xml:space="preserve">demandes de transfert d’un élément d’une liste à l’autre, et </w:t>
            </w:r>
          </w:p>
          <w:p w14:paraId="49A80BC0" w14:textId="77777777" w:rsidR="002C56C7" w:rsidRPr="002C56C7" w:rsidRDefault="002C56C7" w:rsidP="002C56C7">
            <w:pPr>
              <w:widowControl w:val="0"/>
              <w:tabs>
                <w:tab w:val="left" w:pos="2127"/>
                <w:tab w:val="left" w:pos="2176"/>
              </w:tabs>
              <w:autoSpaceDE w:val="0"/>
              <w:autoSpaceDN w:val="0"/>
              <w:snapToGrid w:val="0"/>
              <w:spacing w:before="120" w:after="120"/>
              <w:ind w:left="422" w:hanging="422"/>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 xml:space="preserve">(d) </w:t>
            </w:r>
            <w:r w:rsidRPr="002C56C7">
              <w:rPr>
                <w:rFonts w:ascii="Arial" w:eastAsia="Calibri" w:hAnsi="Arial"/>
                <w:color w:val="231F20"/>
                <w:sz w:val="22"/>
                <w:szCs w:val="22"/>
                <w:lang w:val="fr-CM" w:eastAsia="en-US"/>
              </w:rPr>
              <w:tab/>
              <w:t>dossiers de candidatures sur une base élargie ou réduite d’éléments déjà inscrits.</w:t>
            </w:r>
          </w:p>
        </w:tc>
        <w:tc>
          <w:tcPr>
            <w:tcW w:w="567" w:type="dxa"/>
          </w:tcPr>
          <w:p w14:paraId="4ED78E2E" w14:textId="77777777" w:rsidR="002C56C7" w:rsidRPr="002C56C7" w:rsidRDefault="002C56C7" w:rsidP="002C56C7">
            <w:pPr>
              <w:widowControl w:val="0"/>
              <w:tabs>
                <w:tab w:val="left" w:pos="2127"/>
                <w:tab w:val="left" w:pos="2176"/>
              </w:tabs>
              <w:autoSpaceDE w:val="0"/>
              <w:autoSpaceDN w:val="0"/>
              <w:snapToGrid w:val="0"/>
              <w:spacing w:before="120" w:after="12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21.</w:t>
            </w:r>
          </w:p>
        </w:tc>
        <w:tc>
          <w:tcPr>
            <w:tcW w:w="6662" w:type="dxa"/>
          </w:tcPr>
          <w:p w14:paraId="3E7654DA" w14:textId="77777777" w:rsidR="002C56C7" w:rsidRPr="002C56C7" w:rsidRDefault="002C56C7" w:rsidP="002C56C7">
            <w:pPr>
              <w:widowControl w:val="0"/>
              <w:tabs>
                <w:tab w:val="left" w:pos="2127"/>
                <w:tab w:val="left" w:pos="2176"/>
              </w:tabs>
              <w:autoSpaceDE w:val="0"/>
              <w:autoSpaceDN w:val="0"/>
              <w:snapToGrid w:val="0"/>
              <w:spacing w:before="120" w:after="120"/>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Les États parties peuvent demander une assistance préparatoire, en consultation avec les communautés, groupes et, le cas échéant, individus concernés pour l’élaboration de :</w:t>
            </w:r>
          </w:p>
          <w:p w14:paraId="5CA1F660" w14:textId="77777777" w:rsidR="002C56C7" w:rsidRPr="002C56C7" w:rsidRDefault="002C56C7" w:rsidP="002C56C7">
            <w:pPr>
              <w:widowControl w:val="0"/>
              <w:numPr>
                <w:ilvl w:val="0"/>
                <w:numId w:val="43"/>
              </w:numPr>
              <w:tabs>
                <w:tab w:val="left" w:pos="2127"/>
                <w:tab w:val="left" w:pos="2176"/>
              </w:tabs>
              <w:autoSpaceDE w:val="0"/>
              <w:autoSpaceDN w:val="0"/>
              <w:snapToGrid w:val="0"/>
              <w:spacing w:before="120" w:after="120"/>
              <w:ind w:left="459" w:hanging="425"/>
              <w:jc w:val="both"/>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dossiers de candidatures à la Liste du patrimoine culturel immatériel nécessitant une sauvegarde urgente,</w:t>
            </w:r>
          </w:p>
          <w:p w14:paraId="4C75B025" w14:textId="77777777" w:rsidR="002C56C7" w:rsidRPr="002C56C7" w:rsidRDefault="002C56C7" w:rsidP="002C56C7">
            <w:pPr>
              <w:widowControl w:val="0"/>
              <w:numPr>
                <w:ilvl w:val="0"/>
                <w:numId w:val="43"/>
              </w:numPr>
              <w:tabs>
                <w:tab w:val="left" w:pos="2127"/>
                <w:tab w:val="left" w:pos="2176"/>
              </w:tabs>
              <w:autoSpaceDE w:val="0"/>
              <w:autoSpaceDN w:val="0"/>
              <w:snapToGrid w:val="0"/>
              <w:spacing w:before="120" w:after="120"/>
              <w:ind w:left="459" w:hanging="425"/>
              <w:jc w:val="both"/>
              <w:rPr>
                <w:rFonts w:ascii="Arial" w:eastAsia="Calibri" w:hAnsi="Arial"/>
                <w:color w:val="231F20"/>
                <w:sz w:val="22"/>
                <w:szCs w:val="22"/>
                <w:u w:val="single"/>
                <w:lang w:val="fr-CM" w:eastAsia="en-US"/>
              </w:rPr>
            </w:pPr>
            <w:r w:rsidRPr="002C56C7">
              <w:rPr>
                <w:rFonts w:ascii="Arial" w:eastAsia="Calibri" w:hAnsi="Arial"/>
                <w:color w:val="231F20"/>
                <w:sz w:val="22"/>
                <w:szCs w:val="22"/>
                <w:u w:val="single"/>
                <w:lang w:val="fr-CM" w:eastAsia="en-US"/>
              </w:rPr>
              <w:t xml:space="preserve">dossiers de candidature à la Liste représentative (uniquement pour les États parties n’ayant pas d’éléments nationaux inscrits sur cette Liste), </w:t>
            </w:r>
          </w:p>
          <w:p w14:paraId="59F34B2A" w14:textId="77777777" w:rsidR="002C56C7" w:rsidRPr="002C56C7" w:rsidRDefault="002C56C7" w:rsidP="002C56C7">
            <w:pPr>
              <w:widowControl w:val="0"/>
              <w:numPr>
                <w:ilvl w:val="0"/>
                <w:numId w:val="43"/>
              </w:numPr>
              <w:tabs>
                <w:tab w:val="left" w:pos="2127"/>
                <w:tab w:val="left" w:pos="2176"/>
              </w:tabs>
              <w:autoSpaceDE w:val="0"/>
              <w:autoSpaceDN w:val="0"/>
              <w:snapToGrid w:val="0"/>
              <w:spacing w:before="120" w:after="120"/>
              <w:ind w:left="459" w:hanging="425"/>
              <w:jc w:val="both"/>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propositions de programme, projet ou activité reflétant le mieux les principes et objectifs de la Convention,</w:t>
            </w:r>
          </w:p>
          <w:p w14:paraId="65976E49" w14:textId="77777777" w:rsidR="002C56C7" w:rsidRPr="002C56C7" w:rsidRDefault="002C56C7" w:rsidP="002C56C7">
            <w:pPr>
              <w:widowControl w:val="0"/>
              <w:numPr>
                <w:ilvl w:val="0"/>
                <w:numId w:val="43"/>
              </w:numPr>
              <w:tabs>
                <w:tab w:val="left" w:pos="2127"/>
                <w:tab w:val="left" w:pos="2176"/>
              </w:tabs>
              <w:autoSpaceDE w:val="0"/>
              <w:autoSpaceDN w:val="0"/>
              <w:snapToGrid w:val="0"/>
              <w:spacing w:before="120" w:after="120"/>
              <w:ind w:left="459" w:hanging="425"/>
              <w:jc w:val="both"/>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demandes de transfert d’un élément d’une liste à l’autre, et</w:t>
            </w:r>
          </w:p>
          <w:p w14:paraId="7D6ED32A" w14:textId="77777777" w:rsidR="002C56C7" w:rsidRPr="002C56C7" w:rsidRDefault="002C56C7" w:rsidP="002C56C7">
            <w:pPr>
              <w:widowControl w:val="0"/>
              <w:numPr>
                <w:ilvl w:val="0"/>
                <w:numId w:val="43"/>
              </w:numPr>
              <w:tabs>
                <w:tab w:val="left" w:pos="2127"/>
                <w:tab w:val="left" w:pos="2176"/>
              </w:tabs>
              <w:autoSpaceDE w:val="0"/>
              <w:autoSpaceDN w:val="0"/>
              <w:snapToGrid w:val="0"/>
              <w:spacing w:before="120" w:after="120"/>
              <w:ind w:left="457" w:hanging="425"/>
              <w:contextualSpacing/>
              <w:jc w:val="both"/>
              <w:rPr>
                <w:rFonts w:ascii="Arial" w:eastAsia="Calibri" w:hAnsi="Arial"/>
                <w:color w:val="231F20"/>
                <w:sz w:val="22"/>
                <w:szCs w:val="22"/>
                <w:lang w:val="fr-CM" w:eastAsia="en-US"/>
              </w:rPr>
            </w:pPr>
            <w:r w:rsidRPr="002C56C7">
              <w:rPr>
                <w:rFonts w:ascii="Arial" w:eastAsia="Calibri" w:hAnsi="Arial"/>
                <w:color w:val="231F20"/>
                <w:sz w:val="22"/>
                <w:szCs w:val="22"/>
                <w:lang w:val="fr-CM" w:eastAsia="en-US"/>
              </w:rPr>
              <w:t>dossiers de candidatures sur une base élargie ou réduite d’éléments déjà inscrits.</w:t>
            </w:r>
          </w:p>
        </w:tc>
      </w:tr>
    </w:tbl>
    <w:p w14:paraId="1B9CFAA9" w14:textId="77777777" w:rsidR="00063D10" w:rsidRPr="00652CEF" w:rsidRDefault="00063D10" w:rsidP="002E0E56">
      <w:pPr>
        <w:spacing w:after="160" w:line="259" w:lineRule="auto"/>
        <w:rPr>
          <w:rFonts w:ascii="Arial" w:eastAsia="SimSun" w:hAnsi="Arial" w:cs="Arial"/>
          <w:sz w:val="22"/>
          <w:szCs w:val="22"/>
          <w:u w:val="single"/>
          <w:lang w:val="fr-CM"/>
        </w:rPr>
      </w:pPr>
    </w:p>
    <w:sectPr w:rsidR="00063D10" w:rsidRPr="00652CEF" w:rsidSect="00502DE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C32F" w14:textId="77777777" w:rsidR="00B33004" w:rsidRDefault="00B33004" w:rsidP="00655736">
      <w:r>
        <w:separator/>
      </w:r>
    </w:p>
  </w:endnote>
  <w:endnote w:type="continuationSeparator" w:id="0">
    <w:p w14:paraId="53BAE047" w14:textId="77777777" w:rsidR="00B33004" w:rsidRDefault="00B3300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B425" w14:textId="77777777" w:rsidR="00B33004" w:rsidRDefault="00B33004" w:rsidP="00655736">
      <w:r>
        <w:separator/>
      </w:r>
    </w:p>
  </w:footnote>
  <w:footnote w:type="continuationSeparator" w:id="0">
    <w:p w14:paraId="503F3C5C" w14:textId="77777777" w:rsidR="00B33004" w:rsidRDefault="00B33004" w:rsidP="00655736">
      <w:r>
        <w:continuationSeparator/>
      </w:r>
    </w:p>
  </w:footnote>
  <w:footnote w:id="1">
    <w:p w14:paraId="5D19F4E5" w14:textId="01B1CFB5" w:rsidR="00DA2EF5" w:rsidRPr="006904D8" w:rsidRDefault="00DA2EF5" w:rsidP="00293DF9">
      <w:pPr>
        <w:pStyle w:val="FootnoteText"/>
        <w:ind w:left="180" w:hanging="180"/>
        <w:rPr>
          <w:rFonts w:asciiTheme="minorBidi" w:hAnsiTheme="minorBidi" w:cstheme="minorBidi"/>
          <w:sz w:val="18"/>
          <w:szCs w:val="18"/>
        </w:rPr>
      </w:pPr>
      <w:bookmarkStart w:id="1" w:name="_Hlk124351068"/>
      <w:r w:rsidRPr="006904D8">
        <w:rPr>
          <w:rStyle w:val="FootnoteReference"/>
          <w:rFonts w:asciiTheme="minorBidi" w:hAnsiTheme="minorBidi" w:cstheme="minorBidi"/>
          <w:sz w:val="18"/>
          <w:szCs w:val="18"/>
          <w:lang w:val="en-GB"/>
        </w:rPr>
        <w:footnoteRef/>
      </w:r>
      <w:r w:rsidRPr="006904D8">
        <w:rPr>
          <w:rFonts w:asciiTheme="minorBidi" w:hAnsiTheme="minorBidi" w:cstheme="minorBidi"/>
          <w:sz w:val="18"/>
          <w:szCs w:val="18"/>
        </w:rPr>
        <w:tab/>
        <w:t>Voir également la page web dédiée à la réflexion globale :</w:t>
      </w:r>
      <w:bookmarkEnd w:id="1"/>
      <w:r w:rsidR="00B8135D" w:rsidRPr="006904D8">
        <w:rPr>
          <w:rFonts w:asciiTheme="minorBidi" w:hAnsiTheme="minorBidi" w:cstheme="minorBidi"/>
          <w:sz w:val="18"/>
          <w:szCs w:val="18"/>
        </w:rPr>
        <w:t xml:space="preserve"> </w:t>
      </w:r>
      <w:hyperlink r:id="rId1" w:history="1">
        <w:r w:rsidR="00B8135D" w:rsidRPr="006904D8">
          <w:rPr>
            <w:rStyle w:val="Hyperlink"/>
            <w:rFonts w:asciiTheme="minorBidi" w:hAnsiTheme="minorBidi" w:cstheme="minorBidi"/>
            <w:sz w:val="18"/>
            <w:szCs w:val="18"/>
          </w:rPr>
          <w:t>https://ich.unesco.org/fr/rflexion-globale-sur-les-mcanismes-dinscription-sur-les-listes-01164</w:t>
        </w:r>
      </w:hyperlink>
      <w:r w:rsidR="00B8135D" w:rsidRPr="006904D8">
        <w:rPr>
          <w:rFonts w:asciiTheme="minorBidi" w:hAnsiTheme="minorBidi" w:cstheme="minorBidi"/>
          <w:sz w:val="18"/>
          <w:szCs w:val="18"/>
        </w:rPr>
        <w:t xml:space="preserve">. </w:t>
      </w:r>
    </w:p>
  </w:footnote>
  <w:footnote w:id="2">
    <w:p w14:paraId="1C04FB5A" w14:textId="1D79F3CD" w:rsidR="001A409F" w:rsidRPr="006904D8" w:rsidRDefault="001A409F" w:rsidP="00293DF9">
      <w:pPr>
        <w:pStyle w:val="FootnoteText"/>
        <w:ind w:left="180" w:hanging="180"/>
        <w:jc w:val="both"/>
        <w:rPr>
          <w:rFonts w:asciiTheme="minorBidi" w:hAnsiTheme="minorBidi" w:cstheme="minorBidi"/>
          <w:sz w:val="18"/>
          <w:szCs w:val="18"/>
        </w:rPr>
      </w:pPr>
      <w:r w:rsidRPr="006904D8">
        <w:rPr>
          <w:rStyle w:val="FootnoteReference"/>
          <w:rFonts w:asciiTheme="minorBidi" w:hAnsiTheme="minorBidi" w:cstheme="minorBidi"/>
          <w:sz w:val="18"/>
          <w:szCs w:val="18"/>
          <w:lang w:val="en-GB"/>
        </w:rPr>
        <w:footnoteRef/>
      </w:r>
      <w:r w:rsidRPr="006904D8">
        <w:rPr>
          <w:rFonts w:asciiTheme="minorBidi" w:hAnsiTheme="minorBidi" w:cstheme="minorBidi"/>
          <w:sz w:val="18"/>
          <w:szCs w:val="18"/>
        </w:rPr>
        <w:t xml:space="preserve"> </w:t>
      </w:r>
      <w:r w:rsidRPr="006904D8">
        <w:rPr>
          <w:rFonts w:asciiTheme="minorBidi" w:hAnsiTheme="minorBidi" w:cstheme="minorBidi"/>
          <w:sz w:val="18"/>
          <w:szCs w:val="18"/>
        </w:rPr>
        <w:tab/>
        <w:t>Selon l’article 18 de la Convention de 2003, « le Comité sélectionne périodiquement et fait la promotion des programmes, projets et activités de caractère national, sous-régional ou régional de sauvegarde du patrimoine qu’il estime refléter le mieux les principes et objectifs de la présente Convention, en tenant compte des besoins particuliers des pays en développement ». Afin de mettre en œuvre cette disposition, le Registre de bonnes pratiques de sauvegarde a été créé en 2009.</w:t>
      </w:r>
    </w:p>
  </w:footnote>
  <w:footnote w:id="3">
    <w:p w14:paraId="1B75B3C7" w14:textId="742A723A" w:rsidR="006704B3" w:rsidRPr="006904D8" w:rsidRDefault="006704B3" w:rsidP="00293DF9">
      <w:pPr>
        <w:pStyle w:val="FootnoteText"/>
        <w:ind w:left="180" w:hanging="180"/>
        <w:jc w:val="both"/>
        <w:rPr>
          <w:rFonts w:asciiTheme="minorBidi" w:hAnsiTheme="minorBidi" w:cstheme="minorBidi"/>
          <w:sz w:val="18"/>
          <w:szCs w:val="18"/>
        </w:rPr>
      </w:pPr>
      <w:r w:rsidRPr="006904D8">
        <w:rPr>
          <w:rStyle w:val="FootnoteReference"/>
          <w:rFonts w:asciiTheme="minorBidi" w:hAnsiTheme="minorBidi" w:cstheme="minorBidi"/>
          <w:sz w:val="18"/>
          <w:szCs w:val="18"/>
          <w:lang w:val="en-GB"/>
        </w:rPr>
        <w:footnoteRef/>
      </w:r>
      <w:r w:rsidRPr="006904D8">
        <w:rPr>
          <w:rFonts w:asciiTheme="minorBidi" w:hAnsiTheme="minorBidi" w:cstheme="minorBidi"/>
          <w:sz w:val="18"/>
          <w:szCs w:val="18"/>
        </w:rPr>
        <w:t xml:space="preserve"> </w:t>
      </w:r>
      <w:r w:rsidRPr="006904D8">
        <w:rPr>
          <w:rFonts w:asciiTheme="minorBidi" w:hAnsiTheme="minorBidi" w:cstheme="minorBidi"/>
          <w:sz w:val="18"/>
          <w:szCs w:val="18"/>
        </w:rPr>
        <w:tab/>
        <w:t>Avant sa suppression, le critère P.9 stipulait ce qui suit : « le programme, le projet ou l’activité est parfaitement applicable aux besoins particuliers des pays en développement ».</w:t>
      </w:r>
    </w:p>
  </w:footnote>
  <w:footnote w:id="4">
    <w:p w14:paraId="7E09A3A8" w14:textId="430FA5F0" w:rsidR="00276DE9" w:rsidRPr="006904D8" w:rsidRDefault="00276DE9" w:rsidP="00293DF9">
      <w:pPr>
        <w:pStyle w:val="FootnoteText"/>
        <w:spacing w:after="120"/>
        <w:ind w:left="180" w:hanging="207"/>
        <w:jc w:val="both"/>
        <w:rPr>
          <w:rFonts w:asciiTheme="minorBidi" w:hAnsiTheme="minorBidi" w:cstheme="minorBidi"/>
          <w:sz w:val="18"/>
          <w:szCs w:val="18"/>
        </w:rPr>
      </w:pPr>
      <w:r w:rsidRPr="006904D8">
        <w:rPr>
          <w:rStyle w:val="FootnoteReference"/>
          <w:rFonts w:asciiTheme="minorBidi" w:hAnsiTheme="minorBidi" w:cstheme="minorBidi"/>
          <w:sz w:val="18"/>
          <w:szCs w:val="18"/>
          <w:lang w:val="en-GB"/>
        </w:rPr>
        <w:footnoteRef/>
      </w:r>
      <w:r w:rsidRPr="006904D8">
        <w:rPr>
          <w:rFonts w:asciiTheme="minorBidi" w:hAnsiTheme="minorBidi" w:cstheme="minorBidi"/>
          <w:sz w:val="18"/>
          <w:szCs w:val="18"/>
        </w:rPr>
        <w:tab/>
        <w:t xml:space="preserve">Voir la </w:t>
      </w:r>
      <w:hyperlink r:id="rId2" w:history="1">
        <w:r w:rsidRPr="006904D8">
          <w:rPr>
            <w:rStyle w:val="Hyperlink"/>
            <w:rFonts w:asciiTheme="minorBidi" w:hAnsiTheme="minorBidi" w:cstheme="minorBidi"/>
            <w:sz w:val="18"/>
            <w:szCs w:val="18"/>
          </w:rPr>
          <w:t>page web dédiée</w:t>
        </w:r>
      </w:hyperlink>
      <w:r w:rsidRPr="006904D8">
        <w:rPr>
          <w:rFonts w:asciiTheme="minorBidi" w:hAnsiTheme="minorBidi" w:cstheme="minorBidi"/>
          <w:sz w:val="18"/>
          <w:szCs w:val="18"/>
        </w:rPr>
        <w:t xml:space="preserve"> pour la réunion du groupe de travail, y compris l’ordre du jour et le calendrier ainsi que d’autres documents de travail.</w:t>
      </w:r>
    </w:p>
  </w:footnote>
  <w:footnote w:id="5">
    <w:p w14:paraId="45304613" w14:textId="32B67286" w:rsidR="00D20D37" w:rsidRPr="006904D8" w:rsidRDefault="00D20D37" w:rsidP="006904D8">
      <w:pPr>
        <w:pStyle w:val="FootnoteText"/>
        <w:spacing w:after="120"/>
        <w:ind w:left="284" w:hanging="284"/>
        <w:jc w:val="both"/>
        <w:rPr>
          <w:rFonts w:asciiTheme="minorBidi" w:hAnsiTheme="minorBidi" w:cstheme="minorBidi"/>
          <w:sz w:val="18"/>
          <w:szCs w:val="18"/>
        </w:rPr>
      </w:pPr>
      <w:r w:rsidRPr="006904D8">
        <w:rPr>
          <w:rStyle w:val="FootnoteReference"/>
          <w:rFonts w:asciiTheme="minorBidi" w:hAnsiTheme="minorBidi" w:cstheme="minorBidi"/>
          <w:sz w:val="18"/>
          <w:szCs w:val="18"/>
          <w:lang w:val="en-GB"/>
        </w:rPr>
        <w:footnoteRef/>
      </w:r>
      <w:r w:rsidR="006904D8" w:rsidRPr="006904D8">
        <w:rPr>
          <w:rFonts w:asciiTheme="minorBidi" w:hAnsiTheme="minorBidi" w:cstheme="minorBidi"/>
          <w:sz w:val="18"/>
          <w:szCs w:val="18"/>
        </w:rPr>
        <w:tab/>
      </w:r>
      <w:r w:rsidRPr="006904D8">
        <w:rPr>
          <w:rFonts w:asciiTheme="minorBidi" w:hAnsiTheme="minorBidi" w:cstheme="minorBidi"/>
          <w:sz w:val="18"/>
          <w:szCs w:val="18"/>
        </w:rPr>
        <w:t xml:space="preserve">Le Royaume-Uni de Grande-Bretagne et d’Irlande du Nord a déposé son instrument de ratification le 8 mars 2024 </w:t>
      </w:r>
      <w:r w:rsidRPr="006904D8">
        <w:rPr>
          <w:rFonts w:asciiTheme="minorBidi" w:hAnsiTheme="minorBidi" w:cstheme="minorBidi"/>
          <w:color w:val="000000"/>
          <w:sz w:val="18"/>
          <w:szCs w:val="18"/>
          <w:shd w:val="clear" w:color="auto" w:fill="FFFFFF"/>
        </w:rPr>
        <w:t>et deviendra le 183</w:t>
      </w:r>
      <w:r w:rsidRPr="006904D8">
        <w:rPr>
          <w:rFonts w:asciiTheme="minorBidi" w:hAnsiTheme="minorBidi" w:cstheme="minorBidi"/>
          <w:color w:val="000000"/>
          <w:sz w:val="18"/>
          <w:szCs w:val="18"/>
          <w:shd w:val="clear" w:color="auto" w:fill="FFFFFF"/>
          <w:vertAlign w:val="superscript"/>
        </w:rPr>
        <w:t>e</w:t>
      </w:r>
      <w:r w:rsidRPr="006904D8">
        <w:rPr>
          <w:rFonts w:asciiTheme="minorBidi" w:hAnsiTheme="minorBidi" w:cstheme="minorBidi"/>
          <w:color w:val="000000"/>
          <w:sz w:val="18"/>
          <w:szCs w:val="18"/>
          <w:shd w:val="clear" w:color="auto" w:fill="FFFFFF"/>
        </w:rPr>
        <w:t xml:space="preserve"> État à adhérer à la Convention de 2003, le 8 juin 2024</w:t>
      </w:r>
      <w:r w:rsidRPr="006904D8">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AF74224" w:rsidR="00D95C4C" w:rsidRPr="00C23A97" w:rsidRDefault="00C5776D" w:rsidP="00C5776D">
    <w:pPr>
      <w:pStyle w:val="Header"/>
      <w:rPr>
        <w:rFonts w:ascii="Arial" w:hAnsi="Arial" w:cs="Arial"/>
      </w:rPr>
    </w:pPr>
    <w:r>
      <w:rPr>
        <w:rFonts w:ascii="Arial" w:hAnsi="Arial"/>
        <w:sz w:val="20"/>
      </w:rPr>
      <w:t xml:space="preserve">LHE/24/10.GA/7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C6B7864" w:rsidR="00D95C4C" w:rsidRPr="0063300C" w:rsidRDefault="00C5776D" w:rsidP="00C5776D">
    <w:pPr>
      <w:pStyle w:val="Header"/>
      <w:jc w:val="right"/>
      <w:rPr>
        <w:rFonts w:ascii="Arial" w:hAnsi="Arial" w:cs="Arial"/>
      </w:rPr>
    </w:pPr>
    <w:r>
      <w:rPr>
        <w:rFonts w:ascii="Arial" w:hAnsi="Arial"/>
        <w:sz w:val="20"/>
      </w:rPr>
      <w:t xml:space="preserve">LHE/24/10.GA/7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6169545" w:rsidR="00D95C4C" w:rsidRPr="00E95AE2" w:rsidRDefault="002C56C7">
    <w:pPr>
      <w:pStyle w:val="Header"/>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323E9A8B" wp14:editId="4EFB4DDD">
          <wp:simplePos x="0" y="0"/>
          <wp:positionH relativeFrom="column">
            <wp:posOffset>32893</wp:posOffset>
          </wp:positionH>
          <wp:positionV relativeFrom="paragraph">
            <wp:posOffset>76073</wp:posOffset>
          </wp:positionV>
          <wp:extent cx="1657350" cy="1391920"/>
          <wp:effectExtent l="0" t="0" r="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2444A5AF" w:rsidR="00D95C4C" w:rsidRPr="00D7105A" w:rsidRDefault="005C792B" w:rsidP="00C5776D">
    <w:pPr>
      <w:pStyle w:val="Header"/>
      <w:spacing w:after="520"/>
      <w:jc w:val="right"/>
      <w:rPr>
        <w:rFonts w:ascii="Arial" w:hAnsi="Arial" w:cs="Arial"/>
        <w:b/>
        <w:sz w:val="44"/>
        <w:szCs w:val="44"/>
      </w:rPr>
    </w:pPr>
    <w:r>
      <w:rPr>
        <w:rFonts w:ascii="Arial" w:hAnsi="Arial"/>
        <w:b/>
        <w:sz w:val="44"/>
      </w:rPr>
      <w:t>10 GA</w:t>
    </w:r>
  </w:p>
  <w:p w14:paraId="306484B8" w14:textId="4087694F" w:rsidR="00D95C4C" w:rsidRPr="00D7105A" w:rsidRDefault="00C5776D" w:rsidP="00C5776D">
    <w:pPr>
      <w:jc w:val="right"/>
      <w:rPr>
        <w:rFonts w:ascii="Arial" w:hAnsi="Arial" w:cs="Arial"/>
        <w:b/>
        <w:sz w:val="22"/>
        <w:szCs w:val="22"/>
      </w:rPr>
    </w:pPr>
    <w:r>
      <w:rPr>
        <w:rFonts w:ascii="Arial" w:hAnsi="Arial"/>
        <w:b/>
        <w:sz w:val="22"/>
      </w:rPr>
      <w:t>LHE/24/10.GA/7</w:t>
    </w:r>
  </w:p>
  <w:p w14:paraId="1B4446C3" w14:textId="3361FFFD" w:rsidR="00D95C4C" w:rsidRPr="00D7105A" w:rsidRDefault="00D95C4C" w:rsidP="00655736">
    <w:pPr>
      <w:jc w:val="right"/>
      <w:rPr>
        <w:rFonts w:ascii="Arial" w:eastAsiaTheme="minorEastAsia" w:hAnsi="Arial" w:cs="Arial"/>
        <w:b/>
        <w:sz w:val="22"/>
        <w:szCs w:val="22"/>
      </w:rPr>
    </w:pPr>
    <w:r w:rsidRPr="00652CEF">
      <w:rPr>
        <w:rFonts w:ascii="Arial" w:hAnsi="Arial"/>
        <w:b/>
        <w:sz w:val="22"/>
      </w:rPr>
      <w:t>Paris, le 13 mai 2024</w:t>
    </w:r>
  </w:p>
  <w:p w14:paraId="255B57FF" w14:textId="55BBC762" w:rsidR="00D95C4C" w:rsidRPr="005A74ED" w:rsidRDefault="00D95C4C" w:rsidP="00962034">
    <w:pPr>
      <w:spacing w:after="120"/>
      <w:jc w:val="right"/>
      <w:rPr>
        <w:rFonts w:ascii="Arial" w:hAnsi="Arial" w:cs="Arial"/>
        <w:b/>
        <w:sz w:val="22"/>
        <w:szCs w:val="22"/>
      </w:rPr>
    </w:pPr>
    <w:r>
      <w:rPr>
        <w:rFonts w:ascii="Arial" w:hAnsi="Arial"/>
        <w:b/>
        <w:sz w:val="22"/>
      </w:rPr>
      <w:t xml:space="preserve">Original : </w:t>
    </w:r>
    <w:r w:rsidR="000F7788">
      <w:rPr>
        <w:rFonts w:ascii="Arial" w:hAnsi="Arial"/>
        <w:b/>
        <w:sz w:val="22"/>
      </w:rPr>
      <w:t>a</w:t>
    </w:r>
    <w:r>
      <w:rPr>
        <w:rFonts w:ascii="Arial" w:hAnsi="Arial"/>
        <w:b/>
        <w:sz w:val="22"/>
      </w:rPr>
      <w:t>nglais</w:t>
    </w:r>
  </w:p>
  <w:p w14:paraId="3C4B8B1B" w14:textId="77777777" w:rsidR="00D95C4C" w:rsidRPr="005A74ED"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33ED1"/>
    <w:multiLevelType w:val="hybridMultilevel"/>
    <w:tmpl w:val="291A2D54"/>
    <w:lvl w:ilvl="0" w:tplc="6EA08B20">
      <w:start w:val="1"/>
      <w:numFmt w:val="lowerLetter"/>
      <w:lvlText w:val="(%1)"/>
      <w:lvlJc w:val="left"/>
      <w:pPr>
        <w:ind w:left="720" w:hanging="360"/>
      </w:pPr>
      <w:rPr>
        <w:rFonts w:asciiTheme="minorBidi" w:eastAsia="Yu Mincho" w:hAnsiTheme="minorBid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2F7ABB"/>
    <w:multiLevelType w:val="hybridMultilevel"/>
    <w:tmpl w:val="81949B26"/>
    <w:lvl w:ilvl="0" w:tplc="040C0001">
      <w:start w:val="1"/>
      <w:numFmt w:val="bullet"/>
      <w:lvlText w:val=""/>
      <w:lvlJc w:val="left"/>
      <w:pPr>
        <w:ind w:left="1429" w:hanging="360"/>
      </w:pPr>
      <w:rPr>
        <w:rFonts w:ascii="Symbol" w:hAnsi="Symbol"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B7B0B"/>
    <w:multiLevelType w:val="hybridMultilevel"/>
    <w:tmpl w:val="0F1890A8"/>
    <w:lvl w:ilvl="0" w:tplc="0409001B">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933BF"/>
    <w:multiLevelType w:val="multilevel"/>
    <w:tmpl w:val="C6E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07BFE"/>
    <w:multiLevelType w:val="hybridMultilevel"/>
    <w:tmpl w:val="BC66347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2B5538"/>
    <w:multiLevelType w:val="hybridMultilevel"/>
    <w:tmpl w:val="2B76B6C6"/>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2E1ABD"/>
    <w:multiLevelType w:val="hybridMultilevel"/>
    <w:tmpl w:val="D1A06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CA76E18"/>
    <w:multiLevelType w:val="hybridMultilevel"/>
    <w:tmpl w:val="44DAEB5A"/>
    <w:lvl w:ilvl="0" w:tplc="8E584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4833242"/>
    <w:multiLevelType w:val="hybridMultilevel"/>
    <w:tmpl w:val="291A2D54"/>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6F4E0E"/>
    <w:multiLevelType w:val="hybridMultilevel"/>
    <w:tmpl w:val="12C6B15C"/>
    <w:lvl w:ilvl="0" w:tplc="738A04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734E58C1"/>
    <w:multiLevelType w:val="hybridMultilevel"/>
    <w:tmpl w:val="BA7828D0"/>
    <w:lvl w:ilvl="0" w:tplc="61A68470">
      <w:start w:val="1"/>
      <w:numFmt w:val="lowerLetter"/>
      <w:lvlText w:val="%1)"/>
      <w:lvlJc w:val="left"/>
      <w:pPr>
        <w:ind w:left="720" w:hanging="360"/>
      </w:pPr>
      <w:rPr>
        <w:rFonts w:asciiTheme="minorBidi" w:eastAsia="Times New Roman" w:hAnsiTheme="minorBidi" w:cstheme="minorBidi"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22628298">
    <w:abstractNumId w:val="21"/>
  </w:num>
  <w:num w:numId="2" w16cid:durableId="699629408">
    <w:abstractNumId w:val="12"/>
  </w:num>
  <w:num w:numId="3" w16cid:durableId="164177712">
    <w:abstractNumId w:val="6"/>
  </w:num>
  <w:num w:numId="4" w16cid:durableId="1416590798">
    <w:abstractNumId w:val="27"/>
  </w:num>
  <w:num w:numId="5" w16cid:durableId="1762608160">
    <w:abstractNumId w:val="23"/>
  </w:num>
  <w:num w:numId="6" w16cid:durableId="2146270374">
    <w:abstractNumId w:val="3"/>
  </w:num>
  <w:num w:numId="7" w16cid:durableId="1113592211">
    <w:abstractNumId w:val="7"/>
  </w:num>
  <w:num w:numId="8" w16cid:durableId="1920598164">
    <w:abstractNumId w:val="18"/>
  </w:num>
  <w:num w:numId="9" w16cid:durableId="1533764642">
    <w:abstractNumId w:val="11"/>
  </w:num>
  <w:num w:numId="10" w16cid:durableId="1246129">
    <w:abstractNumId w:val="13"/>
  </w:num>
  <w:num w:numId="11" w16cid:durableId="111829808">
    <w:abstractNumId w:val="17"/>
  </w:num>
  <w:num w:numId="12" w16cid:durableId="1088770206">
    <w:abstractNumId w:val="15"/>
  </w:num>
  <w:num w:numId="13" w16cid:durableId="1263951029">
    <w:abstractNumId w:val="28"/>
  </w:num>
  <w:num w:numId="14" w16cid:durableId="395903570">
    <w:abstractNumId w:val="8"/>
  </w:num>
  <w:num w:numId="15" w16cid:durableId="1857570918">
    <w:abstractNumId w:val="11"/>
  </w:num>
  <w:num w:numId="16" w16cid:durableId="248199808">
    <w:abstractNumId w:val="11"/>
  </w:num>
  <w:num w:numId="17" w16cid:durableId="350380342">
    <w:abstractNumId w:val="11"/>
  </w:num>
  <w:num w:numId="18" w16cid:durableId="944581980">
    <w:abstractNumId w:val="11"/>
  </w:num>
  <w:num w:numId="19" w16cid:durableId="772675100">
    <w:abstractNumId w:val="11"/>
  </w:num>
  <w:num w:numId="20" w16cid:durableId="1253010311">
    <w:abstractNumId w:val="11"/>
  </w:num>
  <w:num w:numId="21" w16cid:durableId="540821319">
    <w:abstractNumId w:val="5"/>
  </w:num>
  <w:num w:numId="22" w16cid:durableId="2046514942">
    <w:abstractNumId w:val="11"/>
  </w:num>
  <w:num w:numId="23" w16cid:durableId="2013603031">
    <w:abstractNumId w:val="2"/>
  </w:num>
  <w:num w:numId="24" w16cid:durableId="228002203">
    <w:abstractNumId w:val="10"/>
  </w:num>
  <w:num w:numId="25" w16cid:durableId="680619780">
    <w:abstractNumId w:val="25"/>
  </w:num>
  <w:num w:numId="26" w16cid:durableId="1347095167">
    <w:abstractNumId w:val="11"/>
    <w:lvlOverride w:ilvl="0">
      <w:startOverride w:val="1"/>
    </w:lvlOverride>
  </w:num>
  <w:num w:numId="27" w16cid:durableId="565459000">
    <w:abstractNumId w:val="11"/>
    <w:lvlOverride w:ilvl="0">
      <w:startOverride w:val="1"/>
    </w:lvlOverride>
  </w:num>
  <w:num w:numId="28" w16cid:durableId="458453169">
    <w:abstractNumId w:val="11"/>
  </w:num>
  <w:num w:numId="29" w16cid:durableId="334380643">
    <w:abstractNumId w:val="11"/>
  </w:num>
  <w:num w:numId="30" w16cid:durableId="1019117349">
    <w:abstractNumId w:val="22"/>
  </w:num>
  <w:num w:numId="31" w16cid:durableId="2141457937">
    <w:abstractNumId w:val="19"/>
  </w:num>
  <w:num w:numId="32" w16cid:durableId="1347245547">
    <w:abstractNumId w:val="29"/>
  </w:num>
  <w:num w:numId="33" w16cid:durableId="1061052330">
    <w:abstractNumId w:val="20"/>
  </w:num>
  <w:num w:numId="34" w16cid:durableId="974944852">
    <w:abstractNumId w:val="4"/>
  </w:num>
  <w:num w:numId="35" w16cid:durableId="1830368694">
    <w:abstractNumId w:val="0"/>
  </w:num>
  <w:num w:numId="36" w16cid:durableId="1793017941">
    <w:abstractNumId w:val="16"/>
  </w:num>
  <w:num w:numId="37" w16cid:durableId="1669088779">
    <w:abstractNumId w:val="11"/>
  </w:num>
  <w:num w:numId="38" w16cid:durableId="1031341962">
    <w:abstractNumId w:val="11"/>
  </w:num>
  <w:num w:numId="39" w16cid:durableId="1924873158">
    <w:abstractNumId w:val="1"/>
  </w:num>
  <w:num w:numId="40" w16cid:durableId="1065565423">
    <w:abstractNumId w:val="26"/>
  </w:num>
  <w:num w:numId="41" w16cid:durableId="763845828">
    <w:abstractNumId w:val="9"/>
  </w:num>
  <w:num w:numId="42" w16cid:durableId="1282955655">
    <w:abstractNumId w:val="24"/>
  </w:num>
  <w:num w:numId="43" w16cid:durableId="383218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4CE0"/>
    <w:rsid w:val="00041A66"/>
    <w:rsid w:val="00042D88"/>
    <w:rsid w:val="00046A7A"/>
    <w:rsid w:val="0005176E"/>
    <w:rsid w:val="000631F9"/>
    <w:rsid w:val="00063D10"/>
    <w:rsid w:val="00063F63"/>
    <w:rsid w:val="00071766"/>
    <w:rsid w:val="000765F7"/>
    <w:rsid w:val="0007725F"/>
    <w:rsid w:val="00077AB7"/>
    <w:rsid w:val="00081CD8"/>
    <w:rsid w:val="000A7F0E"/>
    <w:rsid w:val="000B1C8F"/>
    <w:rsid w:val="000B6FE4"/>
    <w:rsid w:val="000C0D61"/>
    <w:rsid w:val="000C319C"/>
    <w:rsid w:val="000D7577"/>
    <w:rsid w:val="000E2AD4"/>
    <w:rsid w:val="000F3A3F"/>
    <w:rsid w:val="000F7788"/>
    <w:rsid w:val="00102557"/>
    <w:rsid w:val="0010351D"/>
    <w:rsid w:val="00135E87"/>
    <w:rsid w:val="00146E40"/>
    <w:rsid w:val="00147A38"/>
    <w:rsid w:val="00164D56"/>
    <w:rsid w:val="00167B10"/>
    <w:rsid w:val="0017402F"/>
    <w:rsid w:val="00190205"/>
    <w:rsid w:val="00190D9E"/>
    <w:rsid w:val="0019319F"/>
    <w:rsid w:val="001945CF"/>
    <w:rsid w:val="00196C1B"/>
    <w:rsid w:val="001A409F"/>
    <w:rsid w:val="001B0F73"/>
    <w:rsid w:val="001B17AF"/>
    <w:rsid w:val="001B4B7E"/>
    <w:rsid w:val="001C2DB7"/>
    <w:rsid w:val="001D14FE"/>
    <w:rsid w:val="001D5C04"/>
    <w:rsid w:val="001F26CF"/>
    <w:rsid w:val="001F6286"/>
    <w:rsid w:val="00207D6A"/>
    <w:rsid w:val="002175DF"/>
    <w:rsid w:val="00222A2D"/>
    <w:rsid w:val="00223029"/>
    <w:rsid w:val="002247F2"/>
    <w:rsid w:val="00234745"/>
    <w:rsid w:val="002351A6"/>
    <w:rsid w:val="002354AB"/>
    <w:rsid w:val="002379EC"/>
    <w:rsid w:val="00240043"/>
    <w:rsid w:val="002407AF"/>
    <w:rsid w:val="00245501"/>
    <w:rsid w:val="00254B26"/>
    <w:rsid w:val="0026221A"/>
    <w:rsid w:val="00267D64"/>
    <w:rsid w:val="0027466B"/>
    <w:rsid w:val="00276DE9"/>
    <w:rsid w:val="002814F6"/>
    <w:rsid w:val="002838A5"/>
    <w:rsid w:val="00285BB4"/>
    <w:rsid w:val="00293DF9"/>
    <w:rsid w:val="002C09E3"/>
    <w:rsid w:val="002C56C7"/>
    <w:rsid w:val="002C6A2C"/>
    <w:rsid w:val="002D1244"/>
    <w:rsid w:val="002D5023"/>
    <w:rsid w:val="002E0E56"/>
    <w:rsid w:val="002E1F29"/>
    <w:rsid w:val="00337CEB"/>
    <w:rsid w:val="0034001C"/>
    <w:rsid w:val="00344B58"/>
    <w:rsid w:val="0034539A"/>
    <w:rsid w:val="00345CB4"/>
    <w:rsid w:val="00367E1F"/>
    <w:rsid w:val="00375D42"/>
    <w:rsid w:val="003779BF"/>
    <w:rsid w:val="00381294"/>
    <w:rsid w:val="003A219E"/>
    <w:rsid w:val="003C2707"/>
    <w:rsid w:val="003D069C"/>
    <w:rsid w:val="003D1600"/>
    <w:rsid w:val="003D7646"/>
    <w:rsid w:val="003E5457"/>
    <w:rsid w:val="003F113A"/>
    <w:rsid w:val="003F138E"/>
    <w:rsid w:val="003F3E63"/>
    <w:rsid w:val="00407480"/>
    <w:rsid w:val="00414643"/>
    <w:rsid w:val="0042269F"/>
    <w:rsid w:val="00424E74"/>
    <w:rsid w:val="004313C4"/>
    <w:rsid w:val="0043793C"/>
    <w:rsid w:val="004421E5"/>
    <w:rsid w:val="00446602"/>
    <w:rsid w:val="00452284"/>
    <w:rsid w:val="00457C8E"/>
    <w:rsid w:val="00480175"/>
    <w:rsid w:val="004830F4"/>
    <w:rsid w:val="00483D98"/>
    <w:rsid w:val="004856CA"/>
    <w:rsid w:val="00487E67"/>
    <w:rsid w:val="004906B7"/>
    <w:rsid w:val="0049705E"/>
    <w:rsid w:val="004A2875"/>
    <w:rsid w:val="004A34A0"/>
    <w:rsid w:val="004A55F2"/>
    <w:rsid w:val="004C7C82"/>
    <w:rsid w:val="004E78CB"/>
    <w:rsid w:val="004F43C5"/>
    <w:rsid w:val="005008A8"/>
    <w:rsid w:val="00502DEA"/>
    <w:rsid w:val="00510B85"/>
    <w:rsid w:val="00510E6E"/>
    <w:rsid w:val="00517FD8"/>
    <w:rsid w:val="00520981"/>
    <w:rsid w:val="00525F72"/>
    <w:rsid w:val="00526B7B"/>
    <w:rsid w:val="005274D2"/>
    <w:rsid w:val="005308CE"/>
    <w:rsid w:val="0053318C"/>
    <w:rsid w:val="0054535F"/>
    <w:rsid w:val="00561CF6"/>
    <w:rsid w:val="00566DC0"/>
    <w:rsid w:val="005734A4"/>
    <w:rsid w:val="00573ED2"/>
    <w:rsid w:val="0057439C"/>
    <w:rsid w:val="0059118D"/>
    <w:rsid w:val="005960FA"/>
    <w:rsid w:val="005A6703"/>
    <w:rsid w:val="005A74ED"/>
    <w:rsid w:val="005B0127"/>
    <w:rsid w:val="005B7A35"/>
    <w:rsid w:val="005C4B73"/>
    <w:rsid w:val="005C792B"/>
    <w:rsid w:val="005E1D2B"/>
    <w:rsid w:val="005E7074"/>
    <w:rsid w:val="005F2BAF"/>
    <w:rsid w:val="005F5AC5"/>
    <w:rsid w:val="00600D93"/>
    <w:rsid w:val="00602A43"/>
    <w:rsid w:val="00605157"/>
    <w:rsid w:val="00611325"/>
    <w:rsid w:val="00626BEA"/>
    <w:rsid w:val="0063300C"/>
    <w:rsid w:val="0064071E"/>
    <w:rsid w:val="006452A1"/>
    <w:rsid w:val="00651A5B"/>
    <w:rsid w:val="00652CEF"/>
    <w:rsid w:val="00655736"/>
    <w:rsid w:val="00657F05"/>
    <w:rsid w:val="00663B8D"/>
    <w:rsid w:val="006704B3"/>
    <w:rsid w:val="006904D8"/>
    <w:rsid w:val="00696C8D"/>
    <w:rsid w:val="006A2AC2"/>
    <w:rsid w:val="006A3617"/>
    <w:rsid w:val="006B4452"/>
    <w:rsid w:val="006C6625"/>
    <w:rsid w:val="006D2DF9"/>
    <w:rsid w:val="006E46E4"/>
    <w:rsid w:val="006E75EB"/>
    <w:rsid w:val="00717DA5"/>
    <w:rsid w:val="00731CC4"/>
    <w:rsid w:val="007333D0"/>
    <w:rsid w:val="00734E47"/>
    <w:rsid w:val="0073772F"/>
    <w:rsid w:val="007407CE"/>
    <w:rsid w:val="00744484"/>
    <w:rsid w:val="00747566"/>
    <w:rsid w:val="00773188"/>
    <w:rsid w:val="0077591C"/>
    <w:rsid w:val="007760E2"/>
    <w:rsid w:val="007821B3"/>
    <w:rsid w:val="00783782"/>
    <w:rsid w:val="00784B8C"/>
    <w:rsid w:val="007879E1"/>
    <w:rsid w:val="007A2408"/>
    <w:rsid w:val="007A78BD"/>
    <w:rsid w:val="007B6D03"/>
    <w:rsid w:val="007C7B15"/>
    <w:rsid w:val="007E57AA"/>
    <w:rsid w:val="00807F3A"/>
    <w:rsid w:val="008222B5"/>
    <w:rsid w:val="00823A11"/>
    <w:rsid w:val="0083535B"/>
    <w:rsid w:val="008451D0"/>
    <w:rsid w:val="008520A6"/>
    <w:rsid w:val="0085405E"/>
    <w:rsid w:val="0085414A"/>
    <w:rsid w:val="008567D8"/>
    <w:rsid w:val="00857EB9"/>
    <w:rsid w:val="0086269D"/>
    <w:rsid w:val="0086543A"/>
    <w:rsid w:val="008724E5"/>
    <w:rsid w:val="008725A6"/>
    <w:rsid w:val="008765C9"/>
    <w:rsid w:val="00884A9D"/>
    <w:rsid w:val="0088512B"/>
    <w:rsid w:val="00890CD4"/>
    <w:rsid w:val="008A289D"/>
    <w:rsid w:val="008A2B2D"/>
    <w:rsid w:val="008A4E1E"/>
    <w:rsid w:val="008A6458"/>
    <w:rsid w:val="008B3861"/>
    <w:rsid w:val="008C296C"/>
    <w:rsid w:val="008C75F1"/>
    <w:rsid w:val="008D4305"/>
    <w:rsid w:val="008D45F4"/>
    <w:rsid w:val="008E1A85"/>
    <w:rsid w:val="008E344F"/>
    <w:rsid w:val="008E5CA9"/>
    <w:rsid w:val="00901307"/>
    <w:rsid w:val="00903443"/>
    <w:rsid w:val="00903F5C"/>
    <w:rsid w:val="009163A7"/>
    <w:rsid w:val="00937D53"/>
    <w:rsid w:val="00940217"/>
    <w:rsid w:val="009464A4"/>
    <w:rsid w:val="00946D0B"/>
    <w:rsid w:val="009472DE"/>
    <w:rsid w:val="00955877"/>
    <w:rsid w:val="00962034"/>
    <w:rsid w:val="0096526A"/>
    <w:rsid w:val="00972E5B"/>
    <w:rsid w:val="00991BB2"/>
    <w:rsid w:val="009A18CD"/>
    <w:rsid w:val="009B0335"/>
    <w:rsid w:val="009C35E6"/>
    <w:rsid w:val="009D3AB5"/>
    <w:rsid w:val="009D52DC"/>
    <w:rsid w:val="009D5428"/>
    <w:rsid w:val="00A12558"/>
    <w:rsid w:val="00A13903"/>
    <w:rsid w:val="00A32A66"/>
    <w:rsid w:val="00A34ED5"/>
    <w:rsid w:val="00A40B82"/>
    <w:rsid w:val="00A45DBF"/>
    <w:rsid w:val="00A64F7D"/>
    <w:rsid w:val="00A725CF"/>
    <w:rsid w:val="00A755A2"/>
    <w:rsid w:val="00A91430"/>
    <w:rsid w:val="00AA1AF5"/>
    <w:rsid w:val="00AA590D"/>
    <w:rsid w:val="00AA6660"/>
    <w:rsid w:val="00AA70D8"/>
    <w:rsid w:val="00AB2C36"/>
    <w:rsid w:val="00AB6DDE"/>
    <w:rsid w:val="00AB70B6"/>
    <w:rsid w:val="00AC18C1"/>
    <w:rsid w:val="00AD1A86"/>
    <w:rsid w:val="00AD50A7"/>
    <w:rsid w:val="00AD5C46"/>
    <w:rsid w:val="00AE103E"/>
    <w:rsid w:val="00AF0A07"/>
    <w:rsid w:val="00AF4AEC"/>
    <w:rsid w:val="00AF625E"/>
    <w:rsid w:val="00B139BE"/>
    <w:rsid w:val="00B2172B"/>
    <w:rsid w:val="00B33004"/>
    <w:rsid w:val="00B34428"/>
    <w:rsid w:val="00B37BB9"/>
    <w:rsid w:val="00B65409"/>
    <w:rsid w:val="00B8062D"/>
    <w:rsid w:val="00B8135D"/>
    <w:rsid w:val="00B917D2"/>
    <w:rsid w:val="00B92063"/>
    <w:rsid w:val="00B97EB3"/>
    <w:rsid w:val="00BA241A"/>
    <w:rsid w:val="00BA5FB6"/>
    <w:rsid w:val="00BB04AF"/>
    <w:rsid w:val="00BB4607"/>
    <w:rsid w:val="00BB6C9B"/>
    <w:rsid w:val="00BB6EEC"/>
    <w:rsid w:val="00BC5703"/>
    <w:rsid w:val="00BD52C9"/>
    <w:rsid w:val="00BE6354"/>
    <w:rsid w:val="00C11E9A"/>
    <w:rsid w:val="00C138D1"/>
    <w:rsid w:val="00C20EA2"/>
    <w:rsid w:val="00C23A97"/>
    <w:rsid w:val="00C46770"/>
    <w:rsid w:val="00C51B03"/>
    <w:rsid w:val="00C52EBE"/>
    <w:rsid w:val="00C5776D"/>
    <w:rsid w:val="00C64855"/>
    <w:rsid w:val="00C70EA7"/>
    <w:rsid w:val="00C7433F"/>
    <w:rsid w:val="00C7516E"/>
    <w:rsid w:val="00C75770"/>
    <w:rsid w:val="00CA56BB"/>
    <w:rsid w:val="00CB0542"/>
    <w:rsid w:val="00CB4318"/>
    <w:rsid w:val="00CC7F90"/>
    <w:rsid w:val="00CD437B"/>
    <w:rsid w:val="00D00B2B"/>
    <w:rsid w:val="00D17348"/>
    <w:rsid w:val="00D20D37"/>
    <w:rsid w:val="00D24877"/>
    <w:rsid w:val="00D27E95"/>
    <w:rsid w:val="00D3202B"/>
    <w:rsid w:val="00D62128"/>
    <w:rsid w:val="00D63318"/>
    <w:rsid w:val="00D7105A"/>
    <w:rsid w:val="00D81188"/>
    <w:rsid w:val="00D8250F"/>
    <w:rsid w:val="00D86BB3"/>
    <w:rsid w:val="00D937DE"/>
    <w:rsid w:val="00D95C4C"/>
    <w:rsid w:val="00D974AC"/>
    <w:rsid w:val="00DA1801"/>
    <w:rsid w:val="00DA2EF5"/>
    <w:rsid w:val="00DA36ED"/>
    <w:rsid w:val="00DA76A4"/>
    <w:rsid w:val="00DC49CB"/>
    <w:rsid w:val="00DE34F1"/>
    <w:rsid w:val="00DE6160"/>
    <w:rsid w:val="00DE73A1"/>
    <w:rsid w:val="00DF032F"/>
    <w:rsid w:val="00DF4942"/>
    <w:rsid w:val="00E2125F"/>
    <w:rsid w:val="00E244E1"/>
    <w:rsid w:val="00E271C5"/>
    <w:rsid w:val="00E4150C"/>
    <w:rsid w:val="00E627B1"/>
    <w:rsid w:val="00E70169"/>
    <w:rsid w:val="00E9376C"/>
    <w:rsid w:val="00E95AE2"/>
    <w:rsid w:val="00EA335E"/>
    <w:rsid w:val="00EA528C"/>
    <w:rsid w:val="00EA580C"/>
    <w:rsid w:val="00EB4C96"/>
    <w:rsid w:val="00EC6F8D"/>
    <w:rsid w:val="00ED3519"/>
    <w:rsid w:val="00ED39B2"/>
    <w:rsid w:val="00EE49F4"/>
    <w:rsid w:val="00EF34E2"/>
    <w:rsid w:val="00F24FD6"/>
    <w:rsid w:val="00F30DC6"/>
    <w:rsid w:val="00F31F96"/>
    <w:rsid w:val="00F32C23"/>
    <w:rsid w:val="00F33D13"/>
    <w:rsid w:val="00F53DE9"/>
    <w:rsid w:val="00F576CB"/>
    <w:rsid w:val="00F7035D"/>
    <w:rsid w:val="00F70CC5"/>
    <w:rsid w:val="00F71A02"/>
    <w:rsid w:val="00FA030C"/>
    <w:rsid w:val="00FA0D63"/>
    <w:rsid w:val="00FB724D"/>
    <w:rsid w:val="00FC5A33"/>
    <w:rsid w:val="00FD1226"/>
    <w:rsid w:val="00FD4BC8"/>
    <w:rsid w:val="00FE216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unhideWhenUsed/>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Hyperlink">
    <w:name w:val="Hyperlink"/>
    <w:aliases w:val=" Car Car3 Char, Car Car3 Char Char Char Char"/>
    <w:basedOn w:val="DefaultParagraphFont"/>
    <w:link w:val="CarCar3"/>
    <w:uiPriority w:val="99"/>
    <w:unhideWhenUsed/>
    <w:rsid w:val="0043793C"/>
    <w:rPr>
      <w:color w:val="0000FF" w:themeColor="hyperlink"/>
      <w:u w:val="single"/>
    </w:rPr>
  </w:style>
  <w:style w:type="character" w:styleId="UnresolvedMention">
    <w:name w:val="Unresolved Mention"/>
    <w:basedOn w:val="DefaultParagraphFont"/>
    <w:uiPriority w:val="99"/>
    <w:semiHidden/>
    <w:unhideWhenUsed/>
    <w:rsid w:val="0043793C"/>
    <w:rPr>
      <w:color w:val="605E5C"/>
      <w:shd w:val="clear" w:color="auto" w:fill="E1DFDD"/>
    </w:rPr>
  </w:style>
  <w:style w:type="character" w:styleId="FollowedHyperlink">
    <w:name w:val="FollowedHyperlink"/>
    <w:basedOn w:val="DefaultParagraphFont"/>
    <w:uiPriority w:val="99"/>
    <w:semiHidden/>
    <w:unhideWhenUsed/>
    <w:rsid w:val="007B6D03"/>
    <w:rPr>
      <w:color w:val="800080" w:themeColor="followedHyperlink"/>
      <w:u w:val="single"/>
    </w:rPr>
  </w:style>
  <w:style w:type="table" w:customStyle="1" w:styleId="Grilledutableau2">
    <w:name w:val="Grille du tableau2"/>
    <w:basedOn w:val="TableNormal"/>
    <w:next w:val="TableGrid"/>
    <w:uiPriority w:val="39"/>
    <w:rsid w:val="007B6D03"/>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ara">
    <w:name w:val="GA Para"/>
    <w:qFormat/>
    <w:rsid w:val="00046A7A"/>
    <w:pPr>
      <w:spacing w:after="120"/>
      <w:ind w:left="720" w:hanging="360"/>
    </w:pPr>
    <w:rPr>
      <w:rFonts w:ascii="Arial" w:eastAsia="Times New Roman" w:hAnsi="Arial" w:cs="Arial"/>
      <w:snapToGrid w:val="0"/>
      <w:sz w:val="22"/>
      <w:szCs w:val="22"/>
      <w:lang w:eastAsia="en-US"/>
    </w:rPr>
  </w:style>
  <w:style w:type="paragraph" w:customStyle="1" w:styleId="CarCar3">
    <w:name w:val="Car Car3"/>
    <w:aliases w:val=" Car Car3 Char Char"/>
    <w:basedOn w:val="Normal"/>
    <w:link w:val="Hyperlink"/>
    <w:uiPriority w:val="99"/>
    <w:rsid w:val="00046A7A"/>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paragraph" w:customStyle="1" w:styleId="Style1">
    <w:name w:val="Style1"/>
    <w:basedOn w:val="Normal"/>
    <w:rsid w:val="00146E40"/>
    <w:pPr>
      <w:pBdr>
        <w:top w:val="nil"/>
        <w:left w:val="nil"/>
        <w:bottom w:val="nil"/>
        <w:right w:val="nil"/>
        <w:between w:val="nil"/>
        <w:bar w:val="nil"/>
      </w:pBdr>
      <w:spacing w:before="120" w:after="240"/>
      <w:ind w:left="567" w:hanging="567"/>
      <w:jc w:val="both"/>
    </w:pPr>
    <w:rPr>
      <w:rFonts w:ascii="Arial" w:hAnsi="Arial" w:cs="Arial"/>
      <w:snapToGrid w:val="0"/>
      <w:sz w:val="22"/>
      <w:szCs w:val="22"/>
      <w:lang w:eastAsia="en-US"/>
    </w:rPr>
  </w:style>
  <w:style w:type="paragraph" w:styleId="Revision">
    <w:name w:val="Revision"/>
    <w:hidden/>
    <w:uiPriority w:val="99"/>
    <w:semiHidden/>
    <w:rsid w:val="000D7577"/>
    <w:rPr>
      <w:rFonts w:ascii="Times New Roman" w:eastAsia="Times New Roman" w:hAnsi="Times New Roman"/>
      <w:sz w:val="24"/>
      <w:szCs w:val="24"/>
    </w:rPr>
  </w:style>
  <w:style w:type="character" w:customStyle="1" w:styleId="Aucun">
    <w:name w:val="Aucun"/>
    <w:rsid w:val="00381294"/>
    <w:rPr>
      <w:lang w:val="fr-FR"/>
    </w:rPr>
  </w:style>
  <w:style w:type="character" w:styleId="CommentReference">
    <w:name w:val="annotation reference"/>
    <w:basedOn w:val="DefaultParagraphFont"/>
    <w:uiPriority w:val="99"/>
    <w:semiHidden/>
    <w:unhideWhenUsed/>
    <w:rsid w:val="007C7B15"/>
    <w:rPr>
      <w:sz w:val="16"/>
      <w:szCs w:val="16"/>
    </w:rPr>
  </w:style>
  <w:style w:type="paragraph" w:styleId="CommentText">
    <w:name w:val="annotation text"/>
    <w:basedOn w:val="Normal"/>
    <w:link w:val="CommentTextChar"/>
    <w:uiPriority w:val="99"/>
    <w:unhideWhenUsed/>
    <w:rsid w:val="007C7B15"/>
    <w:rPr>
      <w:sz w:val="20"/>
      <w:szCs w:val="20"/>
    </w:rPr>
  </w:style>
  <w:style w:type="character" w:customStyle="1" w:styleId="CommentTextChar">
    <w:name w:val="Comment Text Char"/>
    <w:basedOn w:val="DefaultParagraphFont"/>
    <w:link w:val="CommentText"/>
    <w:uiPriority w:val="99"/>
    <w:rsid w:val="007C7B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7B15"/>
    <w:rPr>
      <w:b/>
      <w:bCs/>
    </w:rPr>
  </w:style>
  <w:style w:type="character" w:customStyle="1" w:styleId="CommentSubjectChar">
    <w:name w:val="Comment Subject Char"/>
    <w:basedOn w:val="CommentTextChar"/>
    <w:link w:val="CommentSubject"/>
    <w:uiPriority w:val="99"/>
    <w:semiHidden/>
    <w:rsid w:val="007C7B15"/>
    <w:rPr>
      <w:rFonts w:ascii="Times New Roman" w:eastAsia="Times New Roman" w:hAnsi="Times New Roman"/>
      <w:b/>
      <w:bCs/>
    </w:rPr>
  </w:style>
  <w:style w:type="character" w:customStyle="1" w:styleId="hps">
    <w:name w:val="hps"/>
    <w:rsid w:val="006C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4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87245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884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11_FR.docx" TargetMode="External"/><Relationship Id="rId13" Type="http://schemas.openxmlformats.org/officeDocument/2006/relationships/hyperlink" Target="https://ich.unesco.org/doc/src/LHE-22-17.COM-10-FR.docx" TargetMode="External"/><Relationship Id="rId18" Type="http://schemas.openxmlformats.org/officeDocument/2006/relationships/hyperlink" Target="https://ich.unesco.org/fr/decisions/18.COM/11" TargetMode="External"/><Relationship Id="rId26" Type="http://schemas.openxmlformats.org/officeDocument/2006/relationships/hyperlink" Target="https://ich.unesco.org/fr/decisions/18.COM/11" TargetMode="External"/><Relationship Id="rId3" Type="http://schemas.openxmlformats.org/officeDocument/2006/relationships/styles" Target="styles.xml"/><Relationship Id="rId21" Type="http://schemas.openxmlformats.org/officeDocument/2006/relationships/hyperlink" Target="https://ich.unesco.org/fr/decisions/18.COM/10" TargetMode="External"/><Relationship Id="rId7" Type="http://schemas.openxmlformats.org/officeDocument/2006/relationships/endnotes" Target="endnotes.xml"/><Relationship Id="rId12" Type="http://schemas.openxmlformats.org/officeDocument/2006/relationships/hyperlink" Target="https://ich.unesco.org/fr/Decisions/16.COM/14" TargetMode="External"/><Relationship Id="rId17" Type="http://schemas.openxmlformats.org/officeDocument/2006/relationships/hyperlink" Target="https://ich.unesco.org/doc/src/LHE-23-EXP_ART18-4_FR.docx" TargetMode="External"/><Relationship Id="rId25" Type="http://schemas.openxmlformats.org/officeDocument/2006/relationships/hyperlink" Target="https://ich.unesco.org/fr/decisions/18.COM/10" TargetMode="External"/><Relationship Id="rId2" Type="http://schemas.openxmlformats.org/officeDocument/2006/relationships/numbering" Target="numbering.xml"/><Relationship Id="rId16" Type="http://schemas.openxmlformats.org/officeDocument/2006/relationships/hyperlink" Target="https://ich.unesco.org/doc/src/LHE-23-18.COM-11_FR.docx" TargetMode="External"/><Relationship Id="rId20" Type="http://schemas.openxmlformats.org/officeDocument/2006/relationships/hyperlink" Target="https://ich.unesco.org/fr/decisions/17.COM/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9.GA/9" TargetMode="External"/><Relationship Id="rId24" Type="http://schemas.openxmlformats.org/officeDocument/2006/relationships/hyperlink" Target="https://ich.unesco.org/fr/decisions/17.COM/7" TargetMode="External"/><Relationship Id="rId5" Type="http://schemas.openxmlformats.org/officeDocument/2006/relationships/webSettings" Target="webSettings.xml"/><Relationship Id="rId15" Type="http://schemas.openxmlformats.org/officeDocument/2006/relationships/hyperlink" Target="https://ich.unesco.org/doc/src/LHE-23-EXP_ART18-4_FR.docx" TargetMode="External"/><Relationship Id="rId23" Type="http://schemas.openxmlformats.org/officeDocument/2006/relationships/hyperlink" Target="https://ich.unesco.org/fr/decisions/16.COM/14" TargetMode="External"/><Relationship Id="rId28" Type="http://schemas.openxmlformats.org/officeDocument/2006/relationships/header" Target="header2.xml"/><Relationship Id="rId10" Type="http://schemas.openxmlformats.org/officeDocument/2006/relationships/hyperlink" Target="https://ich.unesco.org/fr/Decisions/16.COM/14" TargetMode="External"/><Relationship Id="rId19" Type="http://schemas.openxmlformats.org/officeDocument/2006/relationships/hyperlink" Target="https://ich.unesco.org/fr/Decisions/9.GA/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8.COM/11" TargetMode="External"/><Relationship Id="rId14" Type="http://schemas.openxmlformats.org/officeDocument/2006/relationships/hyperlink" Target="https://ich.unesco.org/fr/Decisions/17.COM/10" TargetMode="External"/><Relationship Id="rId22" Type="http://schemas.openxmlformats.org/officeDocument/2006/relationships/hyperlink" Target="https://ich.unesco.org/fr/Decisions/9.GA/9"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fr/reunion-d-experts-categorie-vi-01306" TargetMode="External"/><Relationship Id="rId1" Type="http://schemas.openxmlformats.org/officeDocument/2006/relationships/hyperlink" Target="https://ich.unesco.org/fr/rflexion-globale-sur-les-mcanismes-dinscription-sur-les-liste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132</TotalTime>
  <Pages>7</Pages>
  <Words>2950</Words>
  <Characters>16818</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Iturralde Agirre, Beñat</cp:lastModifiedBy>
  <cp:revision>16</cp:revision>
  <cp:lastPrinted>2024-03-27T09:41:00Z</cp:lastPrinted>
  <dcterms:created xsi:type="dcterms:W3CDTF">2024-05-10T08:20:00Z</dcterms:created>
  <dcterms:modified xsi:type="dcterms:W3CDTF">2024-05-13T14:54:00Z</dcterms:modified>
</cp:coreProperties>
</file>