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0631F9" w:rsidRDefault="00EC6F8D" w:rsidP="00EC6F8D">
      <w:pPr>
        <w:spacing w:before="1440"/>
        <w:jc w:val="center"/>
        <w:rPr>
          <w:rFonts w:ascii="Arial" w:hAnsi="Arial" w:cs="Arial"/>
          <w:b/>
          <w:sz w:val="22"/>
          <w:szCs w:val="22"/>
          <w:lang w:val="en-GB"/>
        </w:rPr>
      </w:pPr>
      <w:r w:rsidRPr="000631F9">
        <w:rPr>
          <w:rFonts w:ascii="Arial" w:hAnsi="Arial" w:cs="Arial"/>
          <w:b/>
          <w:sz w:val="22"/>
          <w:szCs w:val="22"/>
          <w:lang w:val="en-GB"/>
        </w:rPr>
        <w:t>CONVENTION FOR THE SAFEGUARDING OF THE</w:t>
      </w:r>
      <w:r w:rsidRPr="000631F9">
        <w:rPr>
          <w:rFonts w:ascii="Arial" w:hAnsi="Arial" w:cs="Arial"/>
          <w:b/>
          <w:sz w:val="22"/>
          <w:szCs w:val="22"/>
          <w:lang w:val="en-GB"/>
        </w:rPr>
        <w:br/>
        <w:t>INTANGIBLE CULTURAL HERITAGE</w:t>
      </w:r>
    </w:p>
    <w:p w14:paraId="3F72B1D3" w14:textId="37133200" w:rsidR="00EC6F8D" w:rsidRPr="000631F9" w:rsidRDefault="005C792B" w:rsidP="00EC6F8D">
      <w:pPr>
        <w:spacing w:before="1200"/>
        <w:jc w:val="center"/>
        <w:rPr>
          <w:rFonts w:ascii="Arial" w:hAnsi="Arial" w:cs="Arial"/>
          <w:b/>
          <w:sz w:val="22"/>
          <w:szCs w:val="22"/>
          <w:lang w:val="en-GB"/>
        </w:rPr>
      </w:pPr>
      <w:r w:rsidRPr="000631F9">
        <w:rPr>
          <w:rFonts w:ascii="Arial" w:hAnsi="Arial" w:cs="Arial"/>
          <w:b/>
          <w:sz w:val="22"/>
          <w:szCs w:val="22"/>
          <w:lang w:val="en-GB"/>
        </w:rPr>
        <w:t>GENERAL ASSEMBLY OF THE STATES PARTIES TO THE CONVENTION</w:t>
      </w:r>
    </w:p>
    <w:p w14:paraId="2E1CD4B4" w14:textId="1F59B9D4" w:rsidR="00EC6F8D" w:rsidRPr="000631F9" w:rsidRDefault="005C792B" w:rsidP="001D14FE">
      <w:pPr>
        <w:spacing w:before="840"/>
        <w:jc w:val="center"/>
        <w:rPr>
          <w:rFonts w:ascii="Arial" w:hAnsi="Arial" w:cs="Arial"/>
          <w:b/>
          <w:sz w:val="22"/>
          <w:szCs w:val="22"/>
          <w:lang w:val="en-GB"/>
        </w:rPr>
      </w:pPr>
      <w:r w:rsidRPr="000631F9">
        <w:rPr>
          <w:rFonts w:ascii="Arial" w:eastAsiaTheme="minorEastAsia" w:hAnsi="Arial" w:cs="Arial"/>
          <w:b/>
          <w:sz w:val="22"/>
          <w:szCs w:val="22"/>
          <w:lang w:val="en-GB" w:eastAsia="ko-KR"/>
        </w:rPr>
        <w:t>Tenth</w:t>
      </w:r>
      <w:r w:rsidR="00B2172B" w:rsidRPr="000631F9">
        <w:rPr>
          <w:rFonts w:ascii="Arial" w:eastAsiaTheme="minorEastAsia" w:hAnsi="Arial" w:cs="Arial"/>
          <w:b/>
          <w:sz w:val="22"/>
          <w:szCs w:val="22"/>
          <w:lang w:val="en-GB" w:eastAsia="ko-KR"/>
        </w:rPr>
        <w:t xml:space="preserve"> </w:t>
      </w:r>
      <w:r w:rsidR="00EC6F8D" w:rsidRPr="000631F9">
        <w:rPr>
          <w:rFonts w:ascii="Arial" w:hAnsi="Arial" w:cs="Arial"/>
          <w:b/>
          <w:sz w:val="22"/>
          <w:szCs w:val="22"/>
          <w:lang w:val="en-GB"/>
        </w:rPr>
        <w:t>session</w:t>
      </w:r>
    </w:p>
    <w:p w14:paraId="1FD89575" w14:textId="05D2C62D" w:rsidR="00B2172B" w:rsidRPr="000631F9" w:rsidRDefault="005C792B" w:rsidP="00B2172B">
      <w:pPr>
        <w:jc w:val="center"/>
        <w:rPr>
          <w:rFonts w:ascii="Arial" w:hAnsi="Arial" w:cs="Arial"/>
          <w:b/>
          <w:sz w:val="22"/>
          <w:szCs w:val="22"/>
          <w:lang w:val="en-GB"/>
        </w:rPr>
      </w:pPr>
      <w:r w:rsidRPr="000631F9">
        <w:rPr>
          <w:rFonts w:ascii="Arial" w:hAnsi="Arial" w:cs="Arial"/>
          <w:b/>
          <w:sz w:val="22"/>
          <w:szCs w:val="22"/>
          <w:lang w:val="en-GB"/>
        </w:rPr>
        <w:t>UNESCO Headquarters, Room I</w:t>
      </w:r>
    </w:p>
    <w:p w14:paraId="52EA6D50" w14:textId="11AF33ED" w:rsidR="00B2172B" w:rsidRPr="000631F9" w:rsidRDefault="0054535F" w:rsidP="00B2172B">
      <w:pPr>
        <w:jc w:val="center"/>
        <w:rPr>
          <w:rFonts w:ascii="Arial" w:hAnsi="Arial" w:cs="Arial"/>
          <w:b/>
          <w:sz w:val="22"/>
          <w:szCs w:val="22"/>
          <w:lang w:val="en-GB"/>
        </w:rPr>
      </w:pPr>
      <w:r w:rsidRPr="000631F9">
        <w:rPr>
          <w:rFonts w:ascii="Arial" w:hAnsi="Arial" w:cs="Arial"/>
          <w:b/>
          <w:sz w:val="22"/>
          <w:szCs w:val="22"/>
          <w:lang w:val="en-GB"/>
        </w:rPr>
        <w:t>11</w:t>
      </w:r>
      <w:r w:rsidR="0026221A" w:rsidRPr="000631F9">
        <w:rPr>
          <w:rFonts w:ascii="Arial" w:hAnsi="Arial" w:cs="Arial"/>
          <w:b/>
          <w:sz w:val="22"/>
          <w:szCs w:val="22"/>
          <w:lang w:val="en-GB"/>
        </w:rPr>
        <w:t xml:space="preserve"> to </w:t>
      </w:r>
      <w:r w:rsidR="00C84CCD">
        <w:rPr>
          <w:rFonts w:ascii="Arial" w:hAnsi="Arial" w:cs="Arial"/>
          <w:b/>
          <w:sz w:val="22"/>
          <w:szCs w:val="22"/>
          <w:lang w:val="en-GB"/>
        </w:rPr>
        <w:t>12</w:t>
      </w:r>
      <w:r w:rsidR="00C84CCD" w:rsidRPr="000631F9">
        <w:rPr>
          <w:rFonts w:ascii="Arial" w:hAnsi="Arial" w:cs="Arial"/>
          <w:b/>
          <w:sz w:val="22"/>
          <w:szCs w:val="22"/>
          <w:lang w:val="en-GB"/>
        </w:rPr>
        <w:t xml:space="preserve"> </w:t>
      </w:r>
      <w:r w:rsidRPr="000631F9">
        <w:rPr>
          <w:rFonts w:ascii="Arial" w:hAnsi="Arial" w:cs="Arial"/>
          <w:b/>
          <w:sz w:val="22"/>
          <w:szCs w:val="22"/>
          <w:lang w:val="en-GB"/>
        </w:rPr>
        <w:t>June</w:t>
      </w:r>
      <w:r w:rsidR="00B2172B" w:rsidRPr="000631F9">
        <w:rPr>
          <w:rFonts w:ascii="Arial" w:hAnsi="Arial" w:cs="Arial"/>
          <w:b/>
          <w:sz w:val="22"/>
          <w:szCs w:val="22"/>
          <w:lang w:val="en-GB"/>
        </w:rPr>
        <w:t xml:space="preserve"> 202</w:t>
      </w:r>
      <w:r w:rsidR="005C792B" w:rsidRPr="000631F9">
        <w:rPr>
          <w:rFonts w:ascii="Arial" w:hAnsi="Arial" w:cs="Arial"/>
          <w:b/>
          <w:sz w:val="22"/>
          <w:szCs w:val="22"/>
          <w:lang w:val="en-GB"/>
        </w:rPr>
        <w:t>4</w:t>
      </w:r>
    </w:p>
    <w:p w14:paraId="0365203A" w14:textId="6769D49A" w:rsidR="00EC6F8D" w:rsidRPr="000631F9" w:rsidRDefault="00EC6F8D" w:rsidP="00EC6F8D">
      <w:pPr>
        <w:pStyle w:val="Sansinterligne2"/>
        <w:spacing w:before="1200"/>
        <w:jc w:val="center"/>
        <w:rPr>
          <w:rFonts w:ascii="Arial" w:hAnsi="Arial" w:cs="Arial"/>
          <w:b/>
          <w:sz w:val="22"/>
          <w:szCs w:val="22"/>
          <w:lang w:val="en-GB"/>
        </w:rPr>
      </w:pPr>
      <w:r w:rsidRPr="000631F9">
        <w:rPr>
          <w:rFonts w:ascii="Arial" w:hAnsi="Arial" w:cs="Arial"/>
          <w:b/>
          <w:sz w:val="22"/>
          <w:szCs w:val="22"/>
          <w:u w:val="single"/>
          <w:lang w:val="en-GB"/>
        </w:rPr>
        <w:t xml:space="preserve">Item </w:t>
      </w:r>
      <w:r w:rsidR="005A74ED" w:rsidRPr="000631F9">
        <w:rPr>
          <w:rFonts w:ascii="Arial" w:hAnsi="Arial" w:cs="Arial"/>
          <w:b/>
          <w:sz w:val="22"/>
          <w:szCs w:val="22"/>
          <w:u w:val="single"/>
          <w:lang w:val="en-GB"/>
        </w:rPr>
        <w:t>7</w:t>
      </w:r>
      <w:r w:rsidR="004A55F2" w:rsidRPr="000631F9">
        <w:rPr>
          <w:rFonts w:ascii="Arial" w:hAnsi="Arial" w:cs="Arial"/>
          <w:b/>
          <w:sz w:val="22"/>
          <w:szCs w:val="22"/>
          <w:u w:val="single"/>
          <w:lang w:val="en-GB"/>
        </w:rPr>
        <w:t xml:space="preserve"> </w:t>
      </w:r>
      <w:r w:rsidRPr="000631F9">
        <w:rPr>
          <w:rFonts w:ascii="Arial" w:hAnsi="Arial" w:cs="Arial"/>
          <w:b/>
          <w:sz w:val="22"/>
          <w:szCs w:val="22"/>
          <w:u w:val="single"/>
          <w:lang w:val="en-GB"/>
        </w:rPr>
        <w:t xml:space="preserve">of the </w:t>
      </w:r>
      <w:r w:rsidR="00937D53" w:rsidRPr="000631F9">
        <w:rPr>
          <w:rFonts w:ascii="Arial" w:hAnsi="Arial" w:cs="Arial"/>
          <w:b/>
          <w:sz w:val="22"/>
          <w:szCs w:val="22"/>
          <w:u w:val="single"/>
          <w:lang w:val="en-GB"/>
        </w:rPr>
        <w:t>p</w:t>
      </w:r>
      <w:r w:rsidRPr="000631F9">
        <w:rPr>
          <w:rFonts w:ascii="Arial" w:hAnsi="Arial" w:cs="Arial"/>
          <w:b/>
          <w:sz w:val="22"/>
          <w:szCs w:val="22"/>
          <w:u w:val="single"/>
          <w:lang w:val="en-GB"/>
        </w:rPr>
        <w:t xml:space="preserve">rovisional </w:t>
      </w:r>
      <w:r w:rsidR="00937D53" w:rsidRPr="000631F9">
        <w:rPr>
          <w:rFonts w:ascii="Arial" w:hAnsi="Arial" w:cs="Arial"/>
          <w:b/>
          <w:sz w:val="22"/>
          <w:szCs w:val="22"/>
          <w:u w:val="single"/>
          <w:lang w:val="en-GB"/>
        </w:rPr>
        <w:t>a</w:t>
      </w:r>
      <w:r w:rsidRPr="000631F9">
        <w:rPr>
          <w:rFonts w:ascii="Arial" w:hAnsi="Arial" w:cs="Arial"/>
          <w:b/>
          <w:sz w:val="22"/>
          <w:szCs w:val="22"/>
          <w:u w:val="single"/>
          <w:lang w:val="en-GB"/>
        </w:rPr>
        <w:t>genda</w:t>
      </w:r>
      <w:r w:rsidRPr="000631F9">
        <w:rPr>
          <w:rFonts w:ascii="Arial" w:hAnsi="Arial" w:cs="Arial"/>
          <w:b/>
          <w:sz w:val="22"/>
          <w:szCs w:val="22"/>
          <w:lang w:val="en-GB"/>
        </w:rPr>
        <w:t>:</w:t>
      </w:r>
    </w:p>
    <w:p w14:paraId="59920478" w14:textId="1C2EDCCD" w:rsidR="004A2875" w:rsidRPr="000631F9" w:rsidRDefault="005A74ED" w:rsidP="004A2875">
      <w:pPr>
        <w:pStyle w:val="Sansinterligne2"/>
        <w:spacing w:after="960"/>
        <w:jc w:val="center"/>
        <w:rPr>
          <w:rFonts w:ascii="Arial" w:hAnsi="Arial" w:cs="Arial"/>
          <w:bCs/>
          <w:sz w:val="22"/>
          <w:szCs w:val="22"/>
          <w:lang w:val="en-GB"/>
        </w:rPr>
      </w:pPr>
      <w:r w:rsidRPr="000631F9">
        <w:rPr>
          <w:rFonts w:ascii="Arial" w:hAnsi="Arial" w:cs="Arial"/>
          <w:b/>
          <w:sz w:val="22"/>
          <w:szCs w:val="22"/>
          <w:lang w:val="en-GB"/>
        </w:rPr>
        <w:t xml:space="preserve">Proposed revisions to the Operational Directives </w:t>
      </w:r>
      <w:r w:rsidRPr="000631F9">
        <w:rPr>
          <w:rFonts w:ascii="Arial" w:hAnsi="Arial" w:cs="Arial"/>
          <w:b/>
          <w:sz w:val="22"/>
          <w:szCs w:val="22"/>
          <w:lang w:val="en-GB"/>
        </w:rPr>
        <w:br/>
        <w:t>for the implementation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631F9" w14:paraId="75AC6221" w14:textId="77777777" w:rsidTr="00CB4318">
        <w:trPr>
          <w:trHeight w:val="2903"/>
          <w:jc w:val="center"/>
        </w:trPr>
        <w:tc>
          <w:tcPr>
            <w:tcW w:w="5670" w:type="dxa"/>
            <w:vAlign w:val="center"/>
          </w:tcPr>
          <w:p w14:paraId="51C260A9" w14:textId="77777777" w:rsidR="00EC6F8D" w:rsidRPr="000631F9" w:rsidRDefault="00EC6F8D" w:rsidP="00CA56BB">
            <w:pPr>
              <w:pStyle w:val="Sansinterligne1"/>
              <w:spacing w:before="200" w:after="200"/>
              <w:jc w:val="center"/>
              <w:rPr>
                <w:rFonts w:ascii="Arial" w:hAnsi="Arial" w:cs="Arial"/>
                <w:b/>
                <w:sz w:val="22"/>
                <w:szCs w:val="22"/>
                <w:lang w:val="en-GB"/>
              </w:rPr>
            </w:pPr>
            <w:r w:rsidRPr="000631F9">
              <w:rPr>
                <w:rFonts w:ascii="Arial" w:hAnsi="Arial" w:cs="Arial"/>
                <w:b/>
                <w:sz w:val="22"/>
                <w:szCs w:val="22"/>
                <w:lang w:val="en-GB"/>
              </w:rPr>
              <w:t>Summary</w:t>
            </w:r>
          </w:p>
          <w:p w14:paraId="612E5DE6" w14:textId="35B3291A" w:rsidR="00BB6EEC" w:rsidRPr="000631F9" w:rsidRDefault="00FA030C" w:rsidP="00BB6EEC">
            <w:pPr>
              <w:pStyle w:val="Sansinterligne1"/>
              <w:jc w:val="both"/>
              <w:rPr>
                <w:rFonts w:ascii="Arial" w:hAnsi="Arial" w:cs="Arial"/>
                <w:bCs/>
                <w:sz w:val="22"/>
                <w:szCs w:val="22"/>
                <w:lang w:val="en-GB"/>
              </w:rPr>
            </w:pPr>
            <w:r w:rsidRPr="000631F9">
              <w:rPr>
                <w:rFonts w:ascii="Arial" w:hAnsi="Arial" w:cs="Arial"/>
                <w:sz w:val="22"/>
                <w:szCs w:val="22"/>
                <w:lang w:val="en-GB"/>
              </w:rPr>
              <w:t xml:space="preserve">The present session of the General Assembly is requested to approve the proposed amendments to the Operational Directives </w:t>
            </w:r>
            <w:r w:rsidR="008E5CA9" w:rsidRPr="000631F9">
              <w:rPr>
                <w:rFonts w:ascii="Arial" w:hAnsi="Arial" w:cs="Arial"/>
                <w:sz w:val="22"/>
                <w:szCs w:val="22"/>
                <w:lang w:val="en-GB"/>
              </w:rPr>
              <w:t xml:space="preserve">in order to simplify </w:t>
            </w:r>
            <w:r w:rsidRPr="000631F9">
              <w:rPr>
                <w:rFonts w:ascii="Arial" w:hAnsi="Arial" w:cs="Arial"/>
                <w:sz w:val="22"/>
                <w:szCs w:val="22"/>
                <w:lang w:val="en-GB"/>
              </w:rPr>
              <w:t xml:space="preserve">the </w:t>
            </w:r>
            <w:r w:rsidR="008E5CA9" w:rsidRPr="000631F9">
              <w:rPr>
                <w:rFonts w:ascii="Arial" w:hAnsi="Arial" w:cs="Arial"/>
                <w:sz w:val="22"/>
                <w:szCs w:val="22"/>
                <w:lang w:val="en-GB"/>
              </w:rPr>
              <w:t xml:space="preserve">selection criteria for the </w:t>
            </w:r>
            <w:r w:rsidRPr="000631F9">
              <w:rPr>
                <w:rFonts w:ascii="Arial" w:hAnsi="Arial" w:cs="Arial"/>
                <w:sz w:val="22"/>
                <w:szCs w:val="22"/>
                <w:lang w:val="en-GB"/>
              </w:rPr>
              <w:t>Register of Good Safeguarding Practices a</w:t>
            </w:r>
            <w:r w:rsidR="008E5CA9" w:rsidRPr="000631F9">
              <w:rPr>
                <w:rFonts w:ascii="Arial" w:hAnsi="Arial" w:cs="Arial"/>
                <w:sz w:val="22"/>
                <w:szCs w:val="22"/>
                <w:lang w:val="en-GB"/>
              </w:rPr>
              <w:t>s well as to enlarge the access to preparatory</w:t>
            </w:r>
            <w:r w:rsidRPr="000631F9">
              <w:rPr>
                <w:rFonts w:ascii="Arial" w:hAnsi="Arial" w:cs="Arial"/>
                <w:sz w:val="22"/>
                <w:szCs w:val="22"/>
                <w:lang w:val="en-GB"/>
              </w:rPr>
              <w:t xml:space="preserve"> </w:t>
            </w:r>
            <w:r w:rsidR="008E5CA9" w:rsidRPr="000631F9">
              <w:rPr>
                <w:rFonts w:ascii="Arial" w:hAnsi="Arial" w:cs="Arial"/>
                <w:sz w:val="22"/>
                <w:szCs w:val="22"/>
                <w:lang w:val="en-GB"/>
              </w:rPr>
              <w:t>International Assistance</w:t>
            </w:r>
            <w:r w:rsidRPr="000631F9">
              <w:rPr>
                <w:rFonts w:ascii="Arial" w:hAnsi="Arial" w:cs="Arial"/>
                <w:sz w:val="22"/>
                <w:szCs w:val="22"/>
                <w:lang w:val="en-GB"/>
              </w:rPr>
              <w:t>.</w:t>
            </w:r>
          </w:p>
          <w:p w14:paraId="290310E8" w14:textId="430F12BF" w:rsidR="00EC6F8D" w:rsidRPr="000631F9" w:rsidRDefault="00EC6F8D" w:rsidP="00CA56BB">
            <w:pPr>
              <w:pStyle w:val="Sansinterligne2"/>
              <w:spacing w:before="200" w:after="200"/>
              <w:jc w:val="both"/>
              <w:rPr>
                <w:rFonts w:ascii="Arial" w:hAnsi="Arial" w:cs="Arial"/>
                <w:b/>
                <w:sz w:val="22"/>
                <w:szCs w:val="22"/>
                <w:lang w:val="en-GB"/>
              </w:rPr>
            </w:pPr>
            <w:r w:rsidRPr="000631F9">
              <w:rPr>
                <w:rFonts w:ascii="Arial" w:hAnsi="Arial" w:cs="Arial"/>
                <w:b/>
                <w:sz w:val="22"/>
                <w:szCs w:val="22"/>
                <w:lang w:val="en-GB"/>
              </w:rPr>
              <w:t xml:space="preserve">Decision required: </w:t>
            </w:r>
            <w:r w:rsidRPr="00293DF9">
              <w:rPr>
                <w:rFonts w:ascii="Arial" w:hAnsi="Arial" w:cs="Arial"/>
                <w:bCs/>
                <w:sz w:val="22"/>
                <w:szCs w:val="22"/>
                <w:lang w:val="en-GB"/>
              </w:rPr>
              <w:t xml:space="preserve">paragraph </w:t>
            </w:r>
            <w:r w:rsidR="001945CF" w:rsidRPr="00293DF9">
              <w:rPr>
                <w:rFonts w:ascii="Arial" w:hAnsi="Arial" w:cs="Arial"/>
                <w:bCs/>
                <w:sz w:val="22"/>
                <w:szCs w:val="22"/>
                <w:lang w:val="en-GB"/>
              </w:rPr>
              <w:t>1</w:t>
            </w:r>
            <w:r w:rsidR="00510E6E" w:rsidRPr="00293DF9">
              <w:rPr>
                <w:rFonts w:ascii="Arial" w:hAnsi="Arial" w:cs="Arial"/>
                <w:bCs/>
                <w:sz w:val="22"/>
                <w:szCs w:val="22"/>
                <w:lang w:val="en-GB"/>
              </w:rPr>
              <w:t>6</w:t>
            </w:r>
          </w:p>
        </w:tc>
      </w:tr>
    </w:tbl>
    <w:p w14:paraId="713D819F" w14:textId="77777777" w:rsidR="004A2875" w:rsidRPr="000631F9"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0631F9">
        <w:rPr>
          <w:lang w:val="en-GB"/>
        </w:rPr>
        <w:br w:type="page"/>
      </w:r>
    </w:p>
    <w:p w14:paraId="6C62585F" w14:textId="6FE6EFCA" w:rsidR="00F70CC5" w:rsidRPr="000631F9" w:rsidRDefault="002247F2" w:rsidP="00F70CC5">
      <w:pPr>
        <w:pStyle w:val="COMPara"/>
        <w:numPr>
          <w:ilvl w:val="0"/>
          <w:numId w:val="0"/>
        </w:numPr>
        <w:spacing w:before="240"/>
        <w:jc w:val="both"/>
        <w:rPr>
          <w:b/>
          <w:bCs/>
        </w:rPr>
      </w:pPr>
      <w:bookmarkStart w:id="0" w:name="_Hlk124351255"/>
      <w:r w:rsidRPr="000631F9">
        <w:rPr>
          <w:b/>
          <w:bCs/>
        </w:rPr>
        <w:lastRenderedPageBreak/>
        <w:t>Introduction</w:t>
      </w:r>
    </w:p>
    <w:bookmarkEnd w:id="0"/>
    <w:p w14:paraId="765782DB" w14:textId="4F384D25" w:rsidR="009B0335" w:rsidRPr="000631F9" w:rsidRDefault="00046A7A" w:rsidP="00C11E9A">
      <w:pPr>
        <w:pStyle w:val="COMPara"/>
        <w:ind w:left="567" w:hanging="567"/>
        <w:jc w:val="both"/>
      </w:pPr>
      <w:r w:rsidRPr="000631F9">
        <w:t xml:space="preserve">The </w:t>
      </w:r>
      <w:r w:rsidR="007C7B15" w:rsidRPr="000631F9">
        <w:t xml:space="preserve">present session of the </w:t>
      </w:r>
      <w:r w:rsidRPr="000631F9">
        <w:t xml:space="preserve">General Assembly is requested to approve </w:t>
      </w:r>
      <w:r w:rsidR="007407CE" w:rsidRPr="000631F9">
        <w:t>two sets of</w:t>
      </w:r>
      <w:r w:rsidR="008B3861" w:rsidRPr="000631F9">
        <w:t xml:space="preserve"> </w:t>
      </w:r>
      <w:r w:rsidR="007407CE" w:rsidRPr="000631F9">
        <w:t>amendments</w:t>
      </w:r>
      <w:r w:rsidR="00DF032F" w:rsidRPr="000631F9">
        <w:t xml:space="preserve"> </w:t>
      </w:r>
      <w:r w:rsidR="00014CE0" w:rsidRPr="000631F9">
        <w:t xml:space="preserve">to </w:t>
      </w:r>
      <w:r w:rsidR="007407CE" w:rsidRPr="000631F9">
        <w:t xml:space="preserve">the </w:t>
      </w:r>
      <w:r w:rsidRPr="000631F9">
        <w:t xml:space="preserve">Operational Directives </w:t>
      </w:r>
      <w:r w:rsidR="007407CE" w:rsidRPr="000631F9">
        <w:t xml:space="preserve">of the Convention </w:t>
      </w:r>
      <w:r w:rsidR="002379EC" w:rsidRPr="000631F9">
        <w:t>in order to follow up</w:t>
      </w:r>
      <w:r w:rsidR="000631F9">
        <w:t xml:space="preserve"> on</w:t>
      </w:r>
      <w:r w:rsidR="002379EC" w:rsidRPr="000631F9">
        <w:t xml:space="preserve"> the results of </w:t>
      </w:r>
      <w:r w:rsidRPr="000631F9">
        <w:t>the global reflection on the listing mechanisms of the Convention</w:t>
      </w:r>
      <w:r w:rsidR="000631F9">
        <w:t>,</w:t>
      </w:r>
      <w:r w:rsidR="00DA2EF5" w:rsidRPr="000631F9">
        <w:rPr>
          <w:rStyle w:val="Appelnotedebasdep"/>
        </w:rPr>
        <w:footnoteReference w:id="1"/>
      </w:r>
      <w:r w:rsidR="004E78CB" w:rsidRPr="000631F9">
        <w:t xml:space="preserve"> </w:t>
      </w:r>
      <w:r w:rsidR="002379EC" w:rsidRPr="000631F9">
        <w:t xml:space="preserve">which was </w:t>
      </w:r>
      <w:r w:rsidR="007C7B15" w:rsidRPr="000631F9">
        <w:t xml:space="preserve">launched by the thirteenth session of the Committee in 2018 </w:t>
      </w:r>
      <w:r w:rsidR="0042269F" w:rsidRPr="000631F9">
        <w:t>and</w:t>
      </w:r>
      <w:r w:rsidR="004E78CB" w:rsidRPr="000631F9">
        <w:t xml:space="preserve"> concluded by the ninth session of the General Assembly in July 2022</w:t>
      </w:r>
      <w:r w:rsidR="009B0335" w:rsidRPr="000631F9">
        <w:t>.</w:t>
      </w:r>
    </w:p>
    <w:p w14:paraId="43B4885B" w14:textId="07A5EA39" w:rsidR="00DA2EF5" w:rsidRPr="000631F9" w:rsidRDefault="00DA2EF5" w:rsidP="00DA2EF5">
      <w:pPr>
        <w:pStyle w:val="COMPara"/>
        <w:ind w:left="567" w:hanging="567"/>
        <w:jc w:val="both"/>
      </w:pPr>
      <w:r w:rsidRPr="000631F9">
        <w:t>Endorsed by the eighteenth session of the Committee in December 2023</w:t>
      </w:r>
      <w:r w:rsidR="00D937DE" w:rsidRPr="000631F9">
        <w:t xml:space="preserve"> (</w:t>
      </w:r>
      <w:r w:rsidR="00ED3519" w:rsidRPr="000631F9">
        <w:t xml:space="preserve">document </w:t>
      </w:r>
      <w:hyperlink r:id="rId8" w:history="1">
        <w:r w:rsidR="00ED3519" w:rsidRPr="000631F9">
          <w:rPr>
            <w:rStyle w:val="Lienhypertexte"/>
          </w:rPr>
          <w:t>LHE/23/18.COM/11</w:t>
        </w:r>
      </w:hyperlink>
      <w:r w:rsidR="00ED3519" w:rsidRPr="000631F9">
        <w:t xml:space="preserve"> and D</w:t>
      </w:r>
      <w:r w:rsidR="00D937DE" w:rsidRPr="000631F9">
        <w:t>ecision</w:t>
      </w:r>
      <w:r w:rsidR="00ED3519" w:rsidRPr="000631F9">
        <w:t xml:space="preserve"> </w:t>
      </w:r>
      <w:hyperlink r:id="rId9" w:history="1">
        <w:r w:rsidR="00ED3519" w:rsidRPr="000631F9">
          <w:rPr>
            <w:rStyle w:val="Lienhypertexte"/>
          </w:rPr>
          <w:t>18.COM 11</w:t>
        </w:r>
      </w:hyperlink>
      <w:r w:rsidR="00D937DE" w:rsidRPr="000631F9">
        <w:t>)</w:t>
      </w:r>
      <w:r w:rsidRPr="000631F9">
        <w:t xml:space="preserve">, the draft amendments aim to improve </w:t>
      </w:r>
      <w:r w:rsidR="007A2408" w:rsidRPr="000631F9">
        <w:t xml:space="preserve">the following </w:t>
      </w:r>
      <w:r w:rsidRPr="000631F9">
        <w:t xml:space="preserve">two </w:t>
      </w:r>
      <w:r w:rsidR="007A2408" w:rsidRPr="000631F9">
        <w:t xml:space="preserve">aspects of the </w:t>
      </w:r>
      <w:r w:rsidRPr="000631F9">
        <w:t>international cooperation mechanism</w:t>
      </w:r>
      <w:r w:rsidR="007A2408" w:rsidRPr="000631F9">
        <w:t>s</w:t>
      </w:r>
      <w:r w:rsidRPr="000631F9">
        <w:t xml:space="preserve"> of the Convention:</w:t>
      </w:r>
    </w:p>
    <w:p w14:paraId="7FDFF082" w14:textId="773E56C3" w:rsidR="00DA2EF5" w:rsidRPr="000631F9" w:rsidRDefault="00DA2EF5" w:rsidP="00DA2EF5">
      <w:pPr>
        <w:pStyle w:val="COMPara"/>
        <w:numPr>
          <w:ilvl w:val="0"/>
          <w:numId w:val="36"/>
        </w:numPr>
        <w:jc w:val="both"/>
      </w:pPr>
      <w:r w:rsidRPr="000631F9">
        <w:t>Simplification of the selection criteria for programmes, project and activities that best reflect the principles and objectives of the Convention</w:t>
      </w:r>
      <w:r w:rsidR="007821B3" w:rsidRPr="000631F9">
        <w:t>, notably as regards the Register of Good Safeguarding Practices</w:t>
      </w:r>
      <w:r w:rsidRPr="000631F9">
        <w:t xml:space="preserve"> (Part A)</w:t>
      </w:r>
    </w:p>
    <w:p w14:paraId="4D1AA92E" w14:textId="06F2D438" w:rsidR="00DA2EF5" w:rsidRPr="000631F9" w:rsidRDefault="008E5CA9" w:rsidP="00DA2EF5">
      <w:pPr>
        <w:pStyle w:val="COMPara"/>
        <w:numPr>
          <w:ilvl w:val="0"/>
          <w:numId w:val="36"/>
        </w:numPr>
        <w:jc w:val="both"/>
      </w:pPr>
      <w:r w:rsidRPr="000631F9">
        <w:t>Enlargement</w:t>
      </w:r>
      <w:r w:rsidR="00DA2EF5" w:rsidRPr="000631F9">
        <w:t xml:space="preserve"> of the access to preparatory assistance under the International Assistance portfolio of the Fund </w:t>
      </w:r>
      <w:r w:rsidRPr="000631F9">
        <w:t xml:space="preserve">for the Safeguarding of the Intangible Cultural Heritage </w:t>
      </w:r>
      <w:r w:rsidR="00DA2EF5" w:rsidRPr="000631F9">
        <w:t>(Part B)</w:t>
      </w:r>
    </w:p>
    <w:p w14:paraId="1D9C28E1" w14:textId="3229D456" w:rsidR="00063D10" w:rsidRPr="000631F9" w:rsidRDefault="003E5457" w:rsidP="00063D10">
      <w:pPr>
        <w:pStyle w:val="COMPara"/>
        <w:numPr>
          <w:ilvl w:val="0"/>
          <w:numId w:val="21"/>
        </w:numPr>
        <w:spacing w:before="240"/>
        <w:ind w:left="567" w:hanging="567"/>
        <w:jc w:val="both"/>
        <w:rPr>
          <w:b/>
          <w:bCs/>
        </w:rPr>
      </w:pPr>
      <w:r w:rsidRPr="000631F9">
        <w:rPr>
          <w:b/>
          <w:bCs/>
        </w:rPr>
        <w:t>Register of Good Safeguarding Practices</w:t>
      </w:r>
    </w:p>
    <w:p w14:paraId="26F1A58B" w14:textId="7C21054D" w:rsidR="0010351D" w:rsidRPr="000631F9" w:rsidRDefault="001A409F" w:rsidP="00734E47">
      <w:pPr>
        <w:pStyle w:val="COMPara"/>
        <w:spacing w:before="120"/>
        <w:ind w:left="567" w:hanging="567"/>
        <w:jc w:val="both"/>
      </w:pPr>
      <w:r w:rsidRPr="000631F9">
        <w:rPr>
          <w:rFonts w:eastAsia="MS Mincho"/>
          <w:lang w:eastAsia="ja-JP"/>
        </w:rPr>
        <w:t>With only thirty-seven good practices selected (which represents 5</w:t>
      </w:r>
      <w:r w:rsidR="000631F9">
        <w:rPr>
          <w:rFonts w:eastAsia="MS Mincho"/>
          <w:lang w:eastAsia="ja-JP"/>
        </w:rPr>
        <w:t xml:space="preserve"> per</w:t>
      </w:r>
      <w:r w:rsidR="00DD007F">
        <w:rPr>
          <w:rFonts w:eastAsia="MS Mincho"/>
          <w:lang w:eastAsia="ja-JP"/>
        </w:rPr>
        <w:t xml:space="preserve"> </w:t>
      </w:r>
      <w:r w:rsidR="000631F9">
        <w:rPr>
          <w:rFonts w:eastAsia="MS Mincho"/>
          <w:lang w:eastAsia="ja-JP"/>
        </w:rPr>
        <w:t>cent</w:t>
      </w:r>
      <w:r w:rsidR="000631F9" w:rsidRPr="000631F9">
        <w:rPr>
          <w:rFonts w:eastAsia="MS Mincho"/>
          <w:lang w:eastAsia="ja-JP"/>
        </w:rPr>
        <w:t xml:space="preserve"> </w:t>
      </w:r>
      <w:r w:rsidRPr="000631F9">
        <w:rPr>
          <w:rFonts w:eastAsia="MS Mincho"/>
          <w:lang w:eastAsia="ja-JP"/>
        </w:rPr>
        <w:t>of</w:t>
      </w:r>
      <w:r w:rsidR="000631F9">
        <w:rPr>
          <w:rFonts w:eastAsia="MS Mincho"/>
          <w:lang w:eastAsia="ja-JP"/>
        </w:rPr>
        <w:t xml:space="preserve"> the</w:t>
      </w:r>
      <w:r w:rsidRPr="000631F9">
        <w:rPr>
          <w:rFonts w:eastAsia="MS Mincho"/>
          <w:lang w:eastAsia="ja-JP"/>
        </w:rPr>
        <w:t xml:space="preserve"> 730</w:t>
      </w:r>
      <w:r w:rsidR="003574FA">
        <w:rPr>
          <w:rFonts w:eastAsia="MS Mincho"/>
          <w:lang w:eastAsia="ja-JP"/>
        </w:rPr>
        <w:t> </w:t>
      </w:r>
      <w:r w:rsidRPr="000631F9">
        <w:rPr>
          <w:rFonts w:eastAsia="MS Mincho"/>
          <w:lang w:eastAsia="ja-JP"/>
        </w:rPr>
        <w:t xml:space="preserve">elements and practices </w:t>
      </w:r>
      <w:r w:rsidR="003F138E" w:rsidRPr="000631F9">
        <w:rPr>
          <w:rFonts w:eastAsia="MS Mincho"/>
          <w:lang w:eastAsia="ja-JP"/>
        </w:rPr>
        <w:t xml:space="preserve">currently </w:t>
      </w:r>
      <w:r w:rsidRPr="000631F9">
        <w:rPr>
          <w:rFonts w:eastAsia="MS Mincho"/>
          <w:lang w:eastAsia="ja-JP"/>
        </w:rPr>
        <w:t>included in the listing system as a whole), t</w:t>
      </w:r>
      <w:r w:rsidR="0010351D" w:rsidRPr="000631F9">
        <w:t>he Register of Good Safeguarding Practices</w:t>
      </w:r>
      <w:r w:rsidR="002E1F29" w:rsidRPr="000631F9">
        <w:t xml:space="preserve"> (hereinafter ‘the Register’)</w:t>
      </w:r>
      <w:r w:rsidRPr="000631F9">
        <w:rPr>
          <w:vertAlign w:val="superscript"/>
        </w:rPr>
        <w:footnoteReference w:id="2"/>
      </w:r>
      <w:r w:rsidR="007821B3" w:rsidRPr="000631F9">
        <w:t>, which was established in 2009 with reference to Article 18 of the Convention,</w:t>
      </w:r>
      <w:r w:rsidR="0010351D" w:rsidRPr="000631F9">
        <w:t xml:space="preserve"> has been underutilized compared to the other two listing mechanisms of the Convention (the Representative List</w:t>
      </w:r>
      <w:r w:rsidR="000631F9">
        <w:t xml:space="preserve"> of the Intangible Cultural Heritage of Humanity, hereinafter ‘the Representative List’</w:t>
      </w:r>
      <w:r w:rsidR="0010351D" w:rsidRPr="000631F9">
        <w:t xml:space="preserve"> and the</w:t>
      </w:r>
      <w:r w:rsidR="000631F9">
        <w:t xml:space="preserve"> List of Intangible Cultural Heritage</w:t>
      </w:r>
      <w:r w:rsidR="0010351D" w:rsidRPr="000631F9">
        <w:t xml:space="preserve"> </w:t>
      </w:r>
      <w:r w:rsidR="00DD007F">
        <w:t xml:space="preserve">in Need of </w:t>
      </w:r>
      <w:r w:rsidR="0010351D" w:rsidRPr="000631F9">
        <w:t>Urgent Safeguarding</w:t>
      </w:r>
      <w:r w:rsidR="000631F9">
        <w:t>, hereinafter ‘the Urgent Safeguarding List’</w:t>
      </w:r>
      <w:r w:rsidR="0010351D" w:rsidRPr="000631F9">
        <w:t>).</w:t>
      </w:r>
    </w:p>
    <w:p w14:paraId="7F37A7B6" w14:textId="7ABE8A25" w:rsidR="006704B3" w:rsidRPr="000631F9" w:rsidRDefault="006704B3" w:rsidP="00734E47">
      <w:pPr>
        <w:pStyle w:val="COMPara"/>
        <w:spacing w:before="120"/>
        <w:ind w:left="567" w:hanging="567"/>
        <w:jc w:val="both"/>
      </w:pPr>
      <w:r w:rsidRPr="000631F9">
        <w:t>The governing bodies of the Convention have already accomplished a certain number of improvements for the operationalization of the Register through the global reflection (</w:t>
      </w:r>
      <w:bookmarkStart w:id="2" w:name="_Hlk162366913"/>
      <w:r w:rsidRPr="000631F9">
        <w:t xml:space="preserve">Decision </w:t>
      </w:r>
      <w:hyperlink r:id="rId10" w:history="1">
        <w:r w:rsidRPr="000631F9">
          <w:rPr>
            <w:rStyle w:val="Lienhypertexte"/>
          </w:rPr>
          <w:t>16.COM 14</w:t>
        </w:r>
      </w:hyperlink>
      <w:bookmarkEnd w:id="2"/>
      <w:r w:rsidRPr="000631F9">
        <w:t xml:space="preserve"> and Resolution </w:t>
      </w:r>
      <w:hyperlink r:id="rId11" w:history="1">
        <w:r w:rsidRPr="000631F9">
          <w:rPr>
            <w:rStyle w:val="Lienhypertexte"/>
          </w:rPr>
          <w:t>9.GA 9</w:t>
        </w:r>
      </w:hyperlink>
      <w:r w:rsidRPr="000631F9">
        <w:t xml:space="preserve">), which </w:t>
      </w:r>
      <w:r w:rsidR="00D937DE" w:rsidRPr="000631F9">
        <w:t>concern</w:t>
      </w:r>
      <w:r w:rsidRPr="000631F9">
        <w:t xml:space="preserve">: </w:t>
      </w:r>
      <w:r w:rsidR="000631F9">
        <w:t>(</w:t>
      </w:r>
      <w:r w:rsidRPr="000631F9">
        <w:t>a)</w:t>
      </w:r>
      <w:r w:rsidR="003F138E" w:rsidRPr="000631F9">
        <w:t> </w:t>
      </w:r>
      <w:r w:rsidR="00D937DE" w:rsidRPr="000631F9">
        <w:t xml:space="preserve">the </w:t>
      </w:r>
      <w:r w:rsidR="00063F63" w:rsidRPr="000631F9">
        <w:t xml:space="preserve">deletion </w:t>
      </w:r>
      <w:r w:rsidRPr="000631F9">
        <w:t xml:space="preserve">of </w:t>
      </w:r>
      <w:r w:rsidR="003F138E" w:rsidRPr="000631F9">
        <w:t xml:space="preserve">selection </w:t>
      </w:r>
      <w:r w:rsidRPr="000631F9">
        <w:t>criterion P.9 (paragraph 7 of the Operational Directives)</w:t>
      </w:r>
      <w:r w:rsidRPr="000631F9">
        <w:rPr>
          <w:vertAlign w:val="superscript"/>
        </w:rPr>
        <w:footnoteReference w:id="3"/>
      </w:r>
      <w:r w:rsidRPr="000631F9">
        <w:t xml:space="preserve"> and </w:t>
      </w:r>
      <w:r w:rsidR="000631F9">
        <w:t>(</w:t>
      </w:r>
      <w:r w:rsidRPr="000631F9">
        <w:t>b)</w:t>
      </w:r>
      <w:r w:rsidR="000631F9">
        <w:t xml:space="preserve"> the</w:t>
      </w:r>
      <w:r w:rsidR="003F138E" w:rsidRPr="000631F9">
        <w:t> </w:t>
      </w:r>
      <w:r w:rsidR="00BB4607" w:rsidRPr="000631F9">
        <w:t>p</w:t>
      </w:r>
      <w:r w:rsidR="0010351D" w:rsidRPr="000631F9">
        <w:t>ossibility for the Evaluation Body to recommend the inclusion of successful safeguarding experiences in the Register in the context of transfers of elements from the Urgent Safeguarding List to the Representative List (Paragraph 39.3 of the Operational Directives).</w:t>
      </w:r>
    </w:p>
    <w:p w14:paraId="1A3A3ACF" w14:textId="19D54E24" w:rsidR="00D17348" w:rsidRPr="000631F9" w:rsidRDefault="00BB4607" w:rsidP="00734E47">
      <w:pPr>
        <w:pStyle w:val="COMPara"/>
        <w:spacing w:before="120"/>
        <w:ind w:left="567" w:hanging="567"/>
        <w:jc w:val="both"/>
      </w:pPr>
      <w:r w:rsidRPr="000631F9">
        <w:t xml:space="preserve">As </w:t>
      </w:r>
      <w:r w:rsidR="00731CC4" w:rsidRPr="000631F9">
        <w:t xml:space="preserve">a </w:t>
      </w:r>
      <w:r w:rsidR="00FC5A33" w:rsidRPr="000631F9">
        <w:t xml:space="preserve">follow up to </w:t>
      </w:r>
      <w:r w:rsidRPr="000631F9">
        <w:t>the global reflection on the listing mechanisms of the 2003 Convention, the sixteenth session of the Committee also decided to launch a</w:t>
      </w:r>
      <w:r w:rsidR="00D937DE" w:rsidRPr="000631F9">
        <w:t xml:space="preserve"> separate</w:t>
      </w:r>
      <w:r w:rsidRPr="000631F9">
        <w:t xml:space="preserve"> reflection to explore the full potential of Article 18 of the Convention</w:t>
      </w:r>
      <w:r w:rsidR="00BC5703" w:rsidRPr="000631F9">
        <w:t xml:space="preserve"> (Decision </w:t>
      </w:r>
      <w:hyperlink r:id="rId12" w:history="1">
        <w:r w:rsidR="00BC5703" w:rsidRPr="000631F9">
          <w:rPr>
            <w:rStyle w:val="Lienhypertexte"/>
          </w:rPr>
          <w:t>16.COM 14</w:t>
        </w:r>
      </w:hyperlink>
      <w:r w:rsidR="00BC5703" w:rsidRPr="000631F9">
        <w:t>)</w:t>
      </w:r>
      <w:r w:rsidRPr="000631F9">
        <w:t>.</w:t>
      </w:r>
      <w:r w:rsidR="006C6625" w:rsidRPr="000631F9">
        <w:t xml:space="preserve"> </w:t>
      </w:r>
      <w:r w:rsidR="006C6625" w:rsidRPr="000631F9">
        <w:rPr>
          <w:rFonts w:asciiTheme="minorBidi" w:hAnsiTheme="minorBidi" w:cstheme="minorBidi"/>
        </w:rPr>
        <w:t>T</w:t>
      </w:r>
      <w:r w:rsidR="006C6625" w:rsidRPr="000631F9">
        <w:rPr>
          <w:rStyle w:val="hps"/>
          <w:rFonts w:asciiTheme="minorBidi" w:hAnsiTheme="minorBidi" w:cstheme="minorBidi"/>
          <w:snapToGrid/>
        </w:rPr>
        <w:t>his new reflection was made possible thanks to a generous contribution by the Kingdom of Sweden</w:t>
      </w:r>
      <w:r w:rsidR="006C6625" w:rsidRPr="000631F9">
        <w:rPr>
          <w:rFonts w:asciiTheme="minorBidi" w:hAnsiTheme="minorBidi" w:cstheme="minorBidi"/>
        </w:rPr>
        <w:t>.</w:t>
      </w:r>
      <w:r w:rsidRPr="000631F9">
        <w:t xml:space="preserve"> </w:t>
      </w:r>
      <w:r w:rsidR="00D17348" w:rsidRPr="000631F9">
        <w:rPr>
          <w:rFonts w:asciiTheme="minorBidi" w:hAnsiTheme="minorBidi" w:cstheme="minorBidi"/>
        </w:rPr>
        <w:t>The issues under the reflection on Article 18 were presented in detail to the Committee at its seventeenth session in 2022, which in turn established the reflection topics and a timeline with intergovernmental steps for the reflection (document </w:t>
      </w:r>
      <w:hyperlink r:id="rId13" w:history="1">
        <w:r w:rsidR="00D17348" w:rsidRPr="000631F9">
          <w:rPr>
            <w:rStyle w:val="Lienhypertexte"/>
            <w:rFonts w:asciiTheme="minorBidi" w:eastAsiaTheme="minorEastAsia" w:hAnsiTheme="minorBidi" w:cstheme="minorBidi"/>
          </w:rPr>
          <w:t>LHE/22/17.COM/10</w:t>
        </w:r>
      </w:hyperlink>
      <w:r w:rsidR="000631F9">
        <w:rPr>
          <w:rStyle w:val="Lienhypertexte"/>
          <w:rFonts w:asciiTheme="minorBidi" w:eastAsiaTheme="minorEastAsia" w:hAnsiTheme="minorBidi" w:cstheme="minorBidi"/>
        </w:rPr>
        <w:t xml:space="preserve"> </w:t>
      </w:r>
      <w:r w:rsidR="00D17348" w:rsidRPr="000631F9">
        <w:rPr>
          <w:rFonts w:asciiTheme="minorBidi" w:hAnsiTheme="minorBidi" w:cstheme="minorBidi"/>
        </w:rPr>
        <w:t>and</w:t>
      </w:r>
      <w:r w:rsidR="000631F9">
        <w:rPr>
          <w:rFonts w:asciiTheme="minorBidi" w:hAnsiTheme="minorBidi" w:cstheme="minorBidi"/>
        </w:rPr>
        <w:t xml:space="preserve"> </w:t>
      </w:r>
      <w:r w:rsidR="00DD007F">
        <w:rPr>
          <w:rFonts w:asciiTheme="minorBidi" w:hAnsiTheme="minorBidi" w:cstheme="minorBidi"/>
        </w:rPr>
        <w:t xml:space="preserve">Decision </w:t>
      </w:r>
      <w:hyperlink r:id="rId14" w:history="1">
        <w:r w:rsidR="00D17348" w:rsidRPr="000631F9">
          <w:rPr>
            <w:rStyle w:val="Lienhypertexte"/>
            <w:rFonts w:asciiTheme="minorBidi" w:hAnsiTheme="minorBidi" w:cstheme="minorBidi"/>
          </w:rPr>
          <w:t>17.COM 10</w:t>
        </w:r>
      </w:hyperlink>
      <w:r w:rsidR="00D17348" w:rsidRPr="000631F9">
        <w:rPr>
          <w:rFonts w:asciiTheme="minorBidi" w:hAnsiTheme="minorBidi" w:cstheme="minorBidi"/>
        </w:rPr>
        <w:t>).</w:t>
      </w:r>
    </w:p>
    <w:p w14:paraId="2C9CE41E" w14:textId="27237599" w:rsidR="00276DE9" w:rsidRPr="000631F9" w:rsidRDefault="001A409F" w:rsidP="00734E47">
      <w:pPr>
        <w:pStyle w:val="COMPara"/>
        <w:spacing w:before="120"/>
        <w:ind w:left="567" w:hanging="567"/>
        <w:jc w:val="both"/>
      </w:pPr>
      <w:r w:rsidRPr="000631F9">
        <w:rPr>
          <w:rFonts w:asciiTheme="minorBidi" w:hAnsiTheme="minorBidi" w:cstheme="minorBidi"/>
        </w:rPr>
        <w:t>One of the</w:t>
      </w:r>
      <w:r w:rsidR="007A2408" w:rsidRPr="000631F9">
        <w:rPr>
          <w:rFonts w:asciiTheme="minorBidi" w:hAnsiTheme="minorBidi" w:cstheme="minorBidi"/>
        </w:rPr>
        <w:t xml:space="preserve"> main </w:t>
      </w:r>
      <w:r w:rsidR="002E1F29" w:rsidRPr="000631F9">
        <w:rPr>
          <w:rFonts w:asciiTheme="minorBidi" w:hAnsiTheme="minorBidi" w:cstheme="minorBidi"/>
        </w:rPr>
        <w:t xml:space="preserve">topics of the new </w:t>
      </w:r>
      <w:r w:rsidR="007A2408" w:rsidRPr="000631F9">
        <w:rPr>
          <w:rFonts w:asciiTheme="minorBidi" w:hAnsiTheme="minorBidi" w:cstheme="minorBidi"/>
        </w:rPr>
        <w:t xml:space="preserve">reflection </w:t>
      </w:r>
      <w:r w:rsidR="002E1F29" w:rsidRPr="000631F9">
        <w:rPr>
          <w:rFonts w:asciiTheme="minorBidi" w:hAnsiTheme="minorBidi" w:cstheme="minorBidi"/>
        </w:rPr>
        <w:t xml:space="preserve">concerned the </w:t>
      </w:r>
      <w:r w:rsidR="00940217" w:rsidRPr="000631F9">
        <w:rPr>
          <w:rFonts w:asciiTheme="minorBidi" w:hAnsiTheme="minorBidi" w:cstheme="minorBidi"/>
        </w:rPr>
        <w:t xml:space="preserve">further </w:t>
      </w:r>
      <w:r w:rsidR="002E1F29" w:rsidRPr="000631F9">
        <w:rPr>
          <w:rFonts w:asciiTheme="minorBidi" w:hAnsiTheme="minorBidi" w:cstheme="minorBidi"/>
        </w:rPr>
        <w:t>simplification of the selection criteria for the Register</w:t>
      </w:r>
      <w:r w:rsidR="0096526A" w:rsidRPr="000631F9">
        <w:rPr>
          <w:rFonts w:asciiTheme="minorBidi" w:hAnsiTheme="minorBidi" w:cstheme="minorBidi"/>
        </w:rPr>
        <w:t>,</w:t>
      </w:r>
      <w:r w:rsidR="002E1F29" w:rsidRPr="000631F9">
        <w:rPr>
          <w:rFonts w:asciiTheme="minorBidi" w:hAnsiTheme="minorBidi" w:cstheme="minorBidi"/>
        </w:rPr>
        <w:t xml:space="preserve"> </w:t>
      </w:r>
      <w:r w:rsidR="005A6703">
        <w:rPr>
          <w:rFonts w:asciiTheme="minorBidi" w:hAnsiTheme="minorBidi" w:cstheme="minorBidi"/>
        </w:rPr>
        <w:t xml:space="preserve">as it could not be dealt with fully </w:t>
      </w:r>
      <w:r w:rsidR="002E1F29" w:rsidRPr="000631F9">
        <w:rPr>
          <w:rFonts w:asciiTheme="minorBidi" w:hAnsiTheme="minorBidi" w:cstheme="minorBidi"/>
        </w:rPr>
        <w:t>during the global reflection on the listing mechanisms of the Convention</w:t>
      </w:r>
      <w:r w:rsidR="002E1F29" w:rsidRPr="000631F9">
        <w:t>.</w:t>
      </w:r>
      <w:r w:rsidR="00D17348" w:rsidRPr="000631F9">
        <w:t xml:space="preserve"> </w:t>
      </w:r>
      <w:r w:rsidR="0096526A" w:rsidRPr="000631F9">
        <w:t xml:space="preserve">The purpose of </w:t>
      </w:r>
      <w:r w:rsidR="000631F9">
        <w:t>the</w:t>
      </w:r>
      <w:r w:rsidR="000631F9" w:rsidRPr="000631F9">
        <w:t xml:space="preserve"> </w:t>
      </w:r>
      <w:r w:rsidR="0096526A" w:rsidRPr="000631F9">
        <w:t xml:space="preserve">simplification </w:t>
      </w:r>
      <w:r w:rsidR="000631F9">
        <w:t>would be</w:t>
      </w:r>
      <w:r w:rsidR="000631F9" w:rsidRPr="000631F9">
        <w:t xml:space="preserve"> </w:t>
      </w:r>
      <w:r w:rsidR="0096526A" w:rsidRPr="000631F9">
        <w:t xml:space="preserve">to contribute to improving the access to and increasing the visibility of the Register of Good Safeguarding Practices. </w:t>
      </w:r>
      <w:r w:rsidR="00276DE9" w:rsidRPr="000631F9">
        <w:t>Accordingly, a</w:t>
      </w:r>
      <w:r w:rsidR="00276DE9" w:rsidRPr="000631F9">
        <w:rPr>
          <w:rFonts w:asciiTheme="minorBidi" w:hAnsiTheme="minorBidi" w:cstheme="minorBidi"/>
        </w:rPr>
        <w:t xml:space="preserve"> </w:t>
      </w:r>
      <w:r w:rsidR="00DD007F">
        <w:rPr>
          <w:rFonts w:asciiTheme="minorBidi" w:hAnsiTheme="minorBidi" w:cstheme="minorBidi"/>
        </w:rPr>
        <w:t>C</w:t>
      </w:r>
      <w:r w:rsidR="00276DE9" w:rsidRPr="000631F9">
        <w:rPr>
          <w:rFonts w:asciiTheme="minorBidi" w:hAnsiTheme="minorBidi" w:cstheme="minorBidi"/>
        </w:rPr>
        <w:t>ategory VI meeting of experts took place from 19 to 21 April 2023 (Stockholm, Sweden)</w:t>
      </w:r>
      <w:r w:rsidR="008725A6">
        <w:rPr>
          <w:rFonts w:asciiTheme="minorBidi" w:hAnsiTheme="minorBidi" w:cstheme="minorBidi"/>
        </w:rPr>
        <w:t>. D</w:t>
      </w:r>
      <w:r w:rsidR="00276DE9" w:rsidRPr="000631F9">
        <w:rPr>
          <w:rFonts w:asciiTheme="minorBidi" w:hAnsiTheme="minorBidi" w:cstheme="minorBidi"/>
        </w:rPr>
        <w:t xml:space="preserve">uring </w:t>
      </w:r>
      <w:r w:rsidR="008725A6">
        <w:rPr>
          <w:rFonts w:asciiTheme="minorBidi" w:hAnsiTheme="minorBidi" w:cstheme="minorBidi"/>
        </w:rPr>
        <w:t>this meeting,</w:t>
      </w:r>
      <w:r w:rsidR="00276DE9" w:rsidRPr="000631F9">
        <w:rPr>
          <w:rFonts w:asciiTheme="minorBidi" w:hAnsiTheme="minorBidi" w:cstheme="minorBidi"/>
        </w:rPr>
        <w:t xml:space="preserve"> twenty-one experts discussed and adopted a report </w:t>
      </w:r>
      <w:r w:rsidR="00276DE9" w:rsidRPr="000631F9">
        <w:rPr>
          <w:rFonts w:asciiTheme="minorBidi" w:hAnsiTheme="minorBidi" w:cstheme="minorBidi"/>
        </w:rPr>
        <w:lastRenderedPageBreak/>
        <w:t>with recommendations which was</w:t>
      </w:r>
      <w:r w:rsidR="008725A6">
        <w:rPr>
          <w:rFonts w:asciiTheme="minorBidi" w:hAnsiTheme="minorBidi" w:cstheme="minorBidi"/>
        </w:rPr>
        <w:t xml:space="preserve"> then</w:t>
      </w:r>
      <w:r w:rsidR="00276DE9" w:rsidRPr="000631F9">
        <w:rPr>
          <w:rFonts w:asciiTheme="minorBidi" w:hAnsiTheme="minorBidi" w:cstheme="minorBidi"/>
        </w:rPr>
        <w:t xml:space="preserve"> put forward to the Open-ended intergovernmental working group (document </w:t>
      </w:r>
      <w:hyperlink r:id="rId15" w:history="1">
        <w:r w:rsidR="00276DE9" w:rsidRPr="000631F9">
          <w:rPr>
            <w:rStyle w:val="Lienhypertexte"/>
            <w:rFonts w:asciiTheme="minorBidi" w:hAnsiTheme="minorBidi" w:cstheme="minorBidi"/>
          </w:rPr>
          <w:t>LHE/23/18.COM EXP/4</w:t>
        </w:r>
      </w:hyperlink>
      <w:r w:rsidR="00276DE9" w:rsidRPr="000631F9">
        <w:rPr>
          <w:rFonts w:asciiTheme="minorBidi" w:hAnsiTheme="minorBidi" w:cstheme="minorBidi"/>
        </w:rPr>
        <w:t>).</w:t>
      </w:r>
    </w:p>
    <w:p w14:paraId="3424ACE5" w14:textId="1663431B" w:rsidR="00276DE9" w:rsidRPr="000631F9" w:rsidRDefault="00276DE9" w:rsidP="00734E47">
      <w:pPr>
        <w:pStyle w:val="COMPara"/>
        <w:spacing w:before="120"/>
        <w:ind w:left="561" w:hanging="561"/>
        <w:jc w:val="both"/>
        <w:rPr>
          <w:rFonts w:asciiTheme="minorBidi" w:hAnsiTheme="minorBidi" w:cstheme="minorBidi"/>
        </w:rPr>
      </w:pPr>
      <w:r w:rsidRPr="000631F9">
        <w:rPr>
          <w:rFonts w:asciiTheme="minorBidi" w:hAnsiTheme="minorBidi" w:cstheme="minorBidi"/>
        </w:rPr>
        <w:t xml:space="preserve">The </w:t>
      </w:r>
      <w:r w:rsidRPr="000631F9">
        <w:rPr>
          <w:rFonts w:asciiTheme="minorBidi" w:hAnsiTheme="minorBidi" w:cstheme="minorBidi"/>
          <w:bCs/>
        </w:rPr>
        <w:t>Open-ended intergovernmental working group in the framework of the reflection on a broader implementation of Article 18 of the Convention</w:t>
      </w:r>
      <w:r w:rsidRPr="000631F9">
        <w:rPr>
          <w:rFonts w:asciiTheme="minorBidi" w:hAnsiTheme="minorBidi" w:cstheme="minorBidi"/>
        </w:rPr>
        <w:t xml:space="preserve"> met at UNESCO Headquarters on 4 and 5 July 2023</w:t>
      </w:r>
      <w:r w:rsidR="008725A6">
        <w:rPr>
          <w:rFonts w:asciiTheme="minorBidi" w:hAnsiTheme="minorBidi" w:cstheme="minorBidi"/>
        </w:rPr>
        <w:t>.</w:t>
      </w:r>
      <w:r w:rsidRPr="000631F9">
        <w:rPr>
          <w:rStyle w:val="Appelnotedebasdep"/>
          <w:rFonts w:asciiTheme="minorBidi" w:hAnsiTheme="minorBidi" w:cstheme="minorBidi"/>
        </w:rPr>
        <w:footnoteReference w:id="4"/>
      </w:r>
      <w:r w:rsidRPr="000631F9">
        <w:rPr>
          <w:rFonts w:asciiTheme="minorBidi" w:hAnsiTheme="minorBidi" w:cstheme="minorBidi"/>
        </w:rPr>
        <w:t xml:space="preserve"> </w:t>
      </w:r>
      <w:r w:rsidR="008725A6">
        <w:rPr>
          <w:rFonts w:asciiTheme="minorBidi" w:hAnsiTheme="minorBidi" w:cstheme="minorBidi"/>
        </w:rPr>
        <w:t>The working group was c</w:t>
      </w:r>
      <w:r w:rsidRPr="000631F9">
        <w:rPr>
          <w:rFonts w:asciiTheme="minorBidi" w:hAnsiTheme="minorBidi" w:cstheme="minorBidi"/>
        </w:rPr>
        <w:t xml:space="preserve">haired by Mr Martin Sundin (Sweden), </w:t>
      </w:r>
      <w:r w:rsidR="008725A6">
        <w:rPr>
          <w:rFonts w:asciiTheme="minorBidi" w:hAnsiTheme="minorBidi" w:cstheme="minorBidi"/>
        </w:rPr>
        <w:t xml:space="preserve">and the following </w:t>
      </w:r>
      <w:r w:rsidRPr="000631F9">
        <w:rPr>
          <w:rFonts w:asciiTheme="minorBidi" w:hAnsiTheme="minorBidi" w:cstheme="minorBidi"/>
        </w:rPr>
        <w:t xml:space="preserve">five </w:t>
      </w:r>
      <w:r w:rsidR="005B1997">
        <w:rPr>
          <w:rFonts w:asciiTheme="minorBidi" w:hAnsiTheme="minorBidi" w:cstheme="minorBidi"/>
        </w:rPr>
        <w:t xml:space="preserve">Member States </w:t>
      </w:r>
      <w:r w:rsidRPr="000631F9">
        <w:rPr>
          <w:rFonts w:asciiTheme="minorBidi" w:hAnsiTheme="minorBidi" w:cstheme="minorBidi"/>
        </w:rPr>
        <w:t xml:space="preserve">acted as the Bureau for the working group: Estonia, Peru, Philippines, Angola and Morocco. The recommendations of the working group </w:t>
      </w:r>
      <w:r w:rsidR="00566DC0" w:rsidRPr="000631F9">
        <w:rPr>
          <w:rFonts w:asciiTheme="minorBidi" w:hAnsiTheme="minorBidi" w:cstheme="minorBidi"/>
        </w:rPr>
        <w:t>were submitted to the eighteenth session of the Committee in December 2023</w:t>
      </w:r>
      <w:r w:rsidR="008725A6">
        <w:rPr>
          <w:rFonts w:asciiTheme="minorBidi" w:hAnsiTheme="minorBidi" w:cstheme="minorBidi"/>
        </w:rPr>
        <w:t>,</w:t>
      </w:r>
      <w:r w:rsidR="00566DC0" w:rsidRPr="000631F9">
        <w:rPr>
          <w:rFonts w:asciiTheme="minorBidi" w:hAnsiTheme="minorBidi" w:cstheme="minorBidi"/>
        </w:rPr>
        <w:t xml:space="preserve"> as </w:t>
      </w:r>
      <w:r w:rsidRPr="000631F9">
        <w:rPr>
          <w:rFonts w:asciiTheme="minorBidi" w:hAnsiTheme="minorBidi" w:cstheme="minorBidi"/>
        </w:rPr>
        <w:t xml:space="preserve">contained in </w:t>
      </w:r>
      <w:r w:rsidRPr="00B65409">
        <w:rPr>
          <w:rFonts w:asciiTheme="minorBidi" w:hAnsiTheme="minorBidi" w:cstheme="minorBidi"/>
        </w:rPr>
        <w:t>Annex I</w:t>
      </w:r>
      <w:r w:rsidRPr="000631F9">
        <w:rPr>
          <w:rFonts w:asciiTheme="minorBidi" w:hAnsiTheme="minorBidi" w:cstheme="minorBidi"/>
        </w:rPr>
        <w:t xml:space="preserve"> of </w:t>
      </w:r>
      <w:r w:rsidRPr="000631F9">
        <w:t xml:space="preserve">document </w:t>
      </w:r>
      <w:hyperlink r:id="rId16" w:history="1">
        <w:r w:rsidRPr="000631F9">
          <w:rPr>
            <w:rStyle w:val="Lienhypertexte"/>
          </w:rPr>
          <w:t>LHE/23/18.COM/11</w:t>
        </w:r>
      </w:hyperlink>
      <w:r w:rsidRPr="000631F9">
        <w:rPr>
          <w:rFonts w:asciiTheme="minorBidi" w:hAnsiTheme="minorBidi" w:cstheme="minorBidi"/>
        </w:rPr>
        <w:t>.</w:t>
      </w:r>
    </w:p>
    <w:p w14:paraId="598B8939" w14:textId="28975E86" w:rsidR="00240043" w:rsidRPr="000631F9" w:rsidRDefault="00240043" w:rsidP="00240043">
      <w:pPr>
        <w:pStyle w:val="COMPara"/>
        <w:ind w:left="567" w:hanging="567"/>
        <w:jc w:val="both"/>
      </w:pPr>
      <w:r w:rsidRPr="000631F9">
        <w:t xml:space="preserve">Based on Recommendation 3 of the working group, the </w:t>
      </w:r>
      <w:r w:rsidR="004A55F2" w:rsidRPr="000631F9">
        <w:t xml:space="preserve">eighteenth session of the </w:t>
      </w:r>
      <w:r w:rsidRPr="000631F9">
        <w:t>Committee considered amending paragraph 7 of the Operational Directives in order to adjust the selection criteria for the Register, as summari</w:t>
      </w:r>
      <w:r w:rsidR="008725A6">
        <w:t>z</w:t>
      </w:r>
      <w:r w:rsidRPr="000631F9">
        <w:t>ed below:</w:t>
      </w:r>
    </w:p>
    <w:p w14:paraId="7891DDB8" w14:textId="77777777" w:rsidR="00940217" w:rsidRPr="000631F9" w:rsidRDefault="00940217" w:rsidP="00940217">
      <w:pPr>
        <w:pStyle w:val="COMPara"/>
        <w:numPr>
          <w:ilvl w:val="1"/>
          <w:numId w:val="9"/>
        </w:numPr>
        <w:jc w:val="both"/>
      </w:pPr>
      <w:r w:rsidRPr="000631F9">
        <w:t xml:space="preserve">Changes to the ‘chapeau’ of paragraph 7, with the understanding that the proposals for selection to the Register should satisfy </w:t>
      </w:r>
      <w:r w:rsidRPr="000631F9">
        <w:rPr>
          <w:u w:val="single"/>
        </w:rPr>
        <w:t>all</w:t>
      </w:r>
      <w:r w:rsidRPr="000631F9">
        <w:t xml:space="preserve"> of the selection criteria;</w:t>
      </w:r>
    </w:p>
    <w:p w14:paraId="591C23ED" w14:textId="2A839F26" w:rsidR="00240043" w:rsidRPr="000631F9" w:rsidRDefault="00240043" w:rsidP="004A55F2">
      <w:pPr>
        <w:pStyle w:val="COMPara"/>
        <w:numPr>
          <w:ilvl w:val="1"/>
          <w:numId w:val="9"/>
        </w:numPr>
        <w:jc w:val="both"/>
      </w:pPr>
      <w:r w:rsidRPr="000631F9">
        <w:t>Simplification of the selection criteria, implying the deletion of criteria P.2 and P.8 as well as the merging of criteria P.1/P.3 and P.6/P.7;</w:t>
      </w:r>
    </w:p>
    <w:p w14:paraId="04708200" w14:textId="55248B18" w:rsidR="00240043" w:rsidRPr="000631F9" w:rsidRDefault="00240043" w:rsidP="004A55F2">
      <w:pPr>
        <w:pStyle w:val="COMPara"/>
        <w:numPr>
          <w:ilvl w:val="1"/>
          <w:numId w:val="9"/>
        </w:numPr>
        <w:jc w:val="both"/>
      </w:pPr>
      <w:r w:rsidRPr="000631F9">
        <w:t>Renam</w:t>
      </w:r>
      <w:r w:rsidR="008725A6">
        <w:t>ing of</w:t>
      </w:r>
      <w:r w:rsidRPr="000631F9">
        <w:t xml:space="preserve"> the criteria as G.1, G.2, G.3 and so on (instead of P.1, P.2, P.3 and so on) in order to distinguish this new set of selection criteria from the previous system.</w:t>
      </w:r>
    </w:p>
    <w:p w14:paraId="246EC49C" w14:textId="5A28FBC3" w:rsidR="007A78BD" w:rsidRPr="000631F9" w:rsidRDefault="007A78BD" w:rsidP="007A78BD">
      <w:pPr>
        <w:pStyle w:val="COMPara"/>
        <w:keepNext/>
        <w:ind w:left="567" w:hanging="567"/>
        <w:jc w:val="both"/>
      </w:pPr>
      <w:r w:rsidRPr="000631F9">
        <w:t xml:space="preserve">These adjustments </w:t>
      </w:r>
      <w:proofErr w:type="gramStart"/>
      <w:r w:rsidRPr="000631F9">
        <w:t>took into account</w:t>
      </w:r>
      <w:proofErr w:type="gramEnd"/>
      <w:r w:rsidRPr="000631F9">
        <w:t xml:space="preserve"> the following</w:t>
      </w:r>
      <w:r w:rsidR="00A64F7D" w:rsidRPr="000631F9">
        <w:t xml:space="preserve"> considerations</w:t>
      </w:r>
      <w:r w:rsidR="009472DE" w:rsidRPr="000631F9">
        <w:t xml:space="preserve"> as put forward through the above-mentioned expert consultation</w:t>
      </w:r>
      <w:r w:rsidR="0083535B" w:rsidRPr="000631F9">
        <w:t xml:space="preserve"> </w:t>
      </w:r>
      <w:r w:rsidR="0083535B" w:rsidRPr="000631F9">
        <w:rPr>
          <w:rFonts w:asciiTheme="minorBidi" w:hAnsiTheme="minorBidi" w:cstheme="minorBidi"/>
        </w:rPr>
        <w:t xml:space="preserve">(document </w:t>
      </w:r>
      <w:hyperlink r:id="rId17" w:history="1">
        <w:r w:rsidR="0083535B" w:rsidRPr="000631F9">
          <w:rPr>
            <w:rStyle w:val="Lienhypertexte"/>
            <w:rFonts w:asciiTheme="minorBidi" w:hAnsiTheme="minorBidi" w:cstheme="minorBidi"/>
          </w:rPr>
          <w:t>LHE/23/18.COM EXP/4</w:t>
        </w:r>
      </w:hyperlink>
      <w:r w:rsidR="0083535B" w:rsidRPr="000631F9">
        <w:rPr>
          <w:rFonts w:asciiTheme="minorBidi" w:hAnsiTheme="minorBidi" w:cstheme="minorBidi"/>
        </w:rPr>
        <w:t>)</w:t>
      </w:r>
      <w:r w:rsidRPr="000631F9">
        <w:t>:</w:t>
      </w:r>
    </w:p>
    <w:p w14:paraId="487950C4" w14:textId="27D3905B" w:rsidR="007A78BD" w:rsidRPr="000631F9" w:rsidRDefault="007A78BD" w:rsidP="009472DE">
      <w:pPr>
        <w:pStyle w:val="COMPara"/>
        <w:numPr>
          <w:ilvl w:val="0"/>
          <w:numId w:val="41"/>
        </w:numPr>
        <w:ind w:left="1418" w:hanging="284"/>
        <w:jc w:val="both"/>
      </w:pPr>
      <w:r w:rsidRPr="000631F9">
        <w:t xml:space="preserve">Criteria should focus on the description of the programme, project or activity in the sense of Article 2.3 of the Convention, references to safeguarding measures in the Operational Directives, </w:t>
      </w:r>
      <w:r w:rsidR="008725A6">
        <w:t>and</w:t>
      </w:r>
      <w:r w:rsidRPr="000631F9">
        <w:t xml:space="preserve"> the principles and objectives of the Convention and the Ethical Principles for Safeguarding Intangible Cultural Heritage (criteria P.1 and P.3, which can be merged).</w:t>
      </w:r>
    </w:p>
    <w:p w14:paraId="711C3C9A" w14:textId="6F87C285" w:rsidR="007A78BD" w:rsidRPr="000631F9" w:rsidRDefault="007A78BD" w:rsidP="009472DE">
      <w:pPr>
        <w:pStyle w:val="COMPara"/>
        <w:numPr>
          <w:ilvl w:val="0"/>
          <w:numId w:val="41"/>
        </w:numPr>
        <w:ind w:left="1418" w:hanging="284"/>
        <w:jc w:val="both"/>
      </w:pPr>
      <w:r w:rsidRPr="000631F9">
        <w:t>The participation of the communities concerned should be an important requirement (criteria P.5 and partly P.7</w:t>
      </w:r>
      <w:r w:rsidR="00CC7F90">
        <w:t>,</w:t>
      </w:r>
      <w:r w:rsidRPr="000631F9">
        <w:t xml:space="preserve"> with the inclusion of Ethical Principle 4).</w:t>
      </w:r>
    </w:p>
    <w:p w14:paraId="634DD222" w14:textId="77F32345" w:rsidR="007A78BD" w:rsidRPr="000631F9" w:rsidRDefault="008725A6" w:rsidP="009472DE">
      <w:pPr>
        <w:pStyle w:val="COMPara"/>
        <w:numPr>
          <w:ilvl w:val="0"/>
          <w:numId w:val="41"/>
        </w:numPr>
        <w:ind w:left="1418" w:hanging="284"/>
        <w:jc w:val="both"/>
      </w:pPr>
      <w:r>
        <w:t>A</w:t>
      </w:r>
      <w:r w:rsidR="007A78BD" w:rsidRPr="000631F9">
        <w:t xml:space="preserve"> demonstration of the effectiveness of the programme, project or activity is necessary, but this may make the requirement to carry out an assessment of the results redundant (criterion P.4 could be therefore kept and criteria P.8 deleted).</w:t>
      </w:r>
    </w:p>
    <w:p w14:paraId="3B835BA9" w14:textId="0BD98B0A" w:rsidR="007A78BD" w:rsidRPr="000631F9" w:rsidRDefault="007A78BD" w:rsidP="009472DE">
      <w:pPr>
        <w:pStyle w:val="COMPara"/>
        <w:numPr>
          <w:ilvl w:val="0"/>
          <w:numId w:val="41"/>
        </w:numPr>
        <w:ind w:left="1418" w:hanging="284"/>
        <w:jc w:val="both"/>
      </w:pPr>
      <w:r w:rsidRPr="000631F9">
        <w:t xml:space="preserve">Criterion P.7 may be adjusted to use ‘good practices’ instead of ‘best </w:t>
      </w:r>
      <w:proofErr w:type="gramStart"/>
      <w:r w:rsidRPr="000631F9">
        <w:t>practices’</w:t>
      </w:r>
      <w:proofErr w:type="gramEnd"/>
      <w:r w:rsidRPr="000631F9">
        <w:t>.</w:t>
      </w:r>
    </w:p>
    <w:p w14:paraId="39603F28" w14:textId="7ECCF35E" w:rsidR="007A78BD" w:rsidRPr="000631F9" w:rsidRDefault="007A78BD" w:rsidP="009472DE">
      <w:pPr>
        <w:pStyle w:val="COMPara"/>
        <w:numPr>
          <w:ilvl w:val="0"/>
          <w:numId w:val="41"/>
        </w:numPr>
        <w:ind w:left="1418" w:hanging="284"/>
        <w:jc w:val="both"/>
      </w:pPr>
      <w:r w:rsidRPr="000631F9">
        <w:t xml:space="preserve">Reference to the possibility of using the good safeguarding practices as a model (P.6) may be included in the combined criterion for P.1 and P.3, but should not be limited to </w:t>
      </w:r>
      <w:r w:rsidR="008725A6">
        <w:t xml:space="preserve">the </w:t>
      </w:r>
      <w:r w:rsidRPr="000631F9">
        <w:t xml:space="preserve">international level, as some models may be relevant at </w:t>
      </w:r>
      <w:r w:rsidR="00CC7F90">
        <w:t xml:space="preserve">the </w:t>
      </w:r>
      <w:r w:rsidRPr="000631F9">
        <w:t>national level.</w:t>
      </w:r>
    </w:p>
    <w:p w14:paraId="3C63B66D" w14:textId="629F770A" w:rsidR="007A78BD" w:rsidRPr="000631F9" w:rsidRDefault="007A78BD" w:rsidP="009472DE">
      <w:pPr>
        <w:pStyle w:val="COMPara"/>
        <w:numPr>
          <w:ilvl w:val="0"/>
          <w:numId w:val="41"/>
        </w:numPr>
        <w:ind w:left="1418" w:hanging="284"/>
        <w:jc w:val="both"/>
      </w:pPr>
      <w:r w:rsidRPr="000631F9">
        <w:t>Some good safeguarding practices may be limited to local activities and criterion P.2 may therefore unnecessarily limit the diversity of the Register and could be deleted.</w:t>
      </w:r>
    </w:p>
    <w:p w14:paraId="69BED676" w14:textId="728DEC3D" w:rsidR="00C46770" w:rsidRPr="000631F9" w:rsidRDefault="008222B5" w:rsidP="00734E47">
      <w:pPr>
        <w:pStyle w:val="COMPara"/>
        <w:spacing w:before="120"/>
        <w:ind w:left="567" w:hanging="567"/>
        <w:jc w:val="both"/>
      </w:pPr>
      <w:r w:rsidRPr="000631F9">
        <w:t xml:space="preserve">In accordance with Decision </w:t>
      </w:r>
      <w:hyperlink r:id="rId18" w:history="1">
        <w:r w:rsidRPr="000631F9">
          <w:rPr>
            <w:rStyle w:val="Lienhypertexte"/>
          </w:rPr>
          <w:t>18.COM 11</w:t>
        </w:r>
      </w:hyperlink>
      <w:r w:rsidR="00C46770" w:rsidRPr="000631F9">
        <w:t xml:space="preserve"> of the eighteenth session of the Committee,</w:t>
      </w:r>
      <w:r w:rsidRPr="000631F9">
        <w:t xml:space="preserve"> the General Assembly is hereby requested to examine the proposed amendment to paragraph 7 of the Operational Directives included i</w:t>
      </w:r>
      <w:r w:rsidR="00C46770" w:rsidRPr="000631F9">
        <w:t xml:space="preserve">n </w:t>
      </w:r>
      <w:hyperlink w:anchor="PartI" w:history="1">
        <w:r w:rsidR="00C46770" w:rsidRPr="00E251C6">
          <w:rPr>
            <w:rStyle w:val="Lienhypertexte"/>
          </w:rPr>
          <w:t>Section I</w:t>
        </w:r>
      </w:hyperlink>
      <w:r w:rsidR="00C46770" w:rsidRPr="000631F9">
        <w:t xml:space="preserve"> </w:t>
      </w:r>
      <w:r w:rsidRPr="000631F9">
        <w:t xml:space="preserve">of the Annex </w:t>
      </w:r>
      <w:r w:rsidR="00071766" w:rsidRPr="000631F9">
        <w:t>to</w:t>
      </w:r>
      <w:r w:rsidRPr="000631F9">
        <w:t xml:space="preserve"> the present document. </w:t>
      </w:r>
    </w:p>
    <w:p w14:paraId="31F3B4D2" w14:textId="0AEB246E" w:rsidR="008222B5" w:rsidRPr="000631F9" w:rsidRDefault="00240043" w:rsidP="00734E47">
      <w:pPr>
        <w:pStyle w:val="COMPara"/>
        <w:spacing w:before="120"/>
        <w:ind w:left="567" w:hanging="567"/>
        <w:jc w:val="both"/>
      </w:pPr>
      <w:r w:rsidRPr="000631F9">
        <w:t>Once</w:t>
      </w:r>
      <w:r w:rsidR="003D1600" w:rsidRPr="000631F9">
        <w:t xml:space="preserve"> the amendment is </w:t>
      </w:r>
      <w:r w:rsidRPr="000631F9">
        <w:t>approved, Form ICH-03 shall be adjusted to reflect the revised selection criteria</w:t>
      </w:r>
      <w:r w:rsidR="006D2DF9" w:rsidRPr="000631F9">
        <w:t>. As per Recommendation 3 of the working group</w:t>
      </w:r>
      <w:r w:rsidR="00EB4C96" w:rsidRPr="000631F9">
        <w:t>,</w:t>
      </w:r>
      <w:r w:rsidR="006D2DF9" w:rsidRPr="000631F9">
        <w:t xml:space="preserve"> the revised form shall </w:t>
      </w:r>
      <w:r w:rsidRPr="000631F9">
        <w:t xml:space="preserve">include references to </w:t>
      </w:r>
      <w:r w:rsidR="00CD437B" w:rsidRPr="000631F9">
        <w:t xml:space="preserve">the relevant provisions of the Operational Directives and </w:t>
      </w:r>
      <w:r w:rsidRPr="000631F9">
        <w:t xml:space="preserve">the Ethical Principles </w:t>
      </w:r>
      <w:r w:rsidR="008725A6">
        <w:t>f</w:t>
      </w:r>
      <w:r w:rsidRPr="000631F9">
        <w:t xml:space="preserve">or Safeguarding Intangible Cultural Heritage. The adjusted Form ICH-03 </w:t>
      </w:r>
      <w:r w:rsidR="00EB4C96" w:rsidRPr="000631F9">
        <w:t xml:space="preserve">will then be made </w:t>
      </w:r>
      <w:r w:rsidRPr="000631F9">
        <w:t xml:space="preserve">available </w:t>
      </w:r>
      <w:r w:rsidR="00267D64" w:rsidRPr="000631F9">
        <w:t xml:space="preserve">after the present session of the General Assembly and </w:t>
      </w:r>
      <w:r w:rsidR="00EB4C96" w:rsidRPr="000631F9">
        <w:t xml:space="preserve">in time to prepare </w:t>
      </w:r>
      <w:r w:rsidRPr="000631F9">
        <w:t xml:space="preserve">the 2026 cycle’s proposals for selection to the Register of Good Safeguarding Practices, for which the </w:t>
      </w:r>
      <w:r w:rsidR="00071766" w:rsidRPr="000631F9">
        <w:t xml:space="preserve">next </w:t>
      </w:r>
      <w:r w:rsidRPr="000631F9">
        <w:t xml:space="preserve">submission deadline is </w:t>
      </w:r>
      <w:r w:rsidR="00731CC4" w:rsidRPr="000631F9">
        <w:t>on 31</w:t>
      </w:r>
      <w:r w:rsidRPr="000631F9">
        <w:t xml:space="preserve"> March 2025</w:t>
      </w:r>
      <w:r w:rsidR="00573ED2" w:rsidRPr="000631F9">
        <w:t xml:space="preserve"> and yearly thereafter</w:t>
      </w:r>
      <w:r w:rsidRPr="000631F9">
        <w:t>.</w:t>
      </w:r>
    </w:p>
    <w:p w14:paraId="123B6521" w14:textId="70D5F6FE" w:rsidR="00F70CC5" w:rsidRPr="000631F9" w:rsidRDefault="00046A7A" w:rsidP="00AC18C1">
      <w:pPr>
        <w:pStyle w:val="COMPara"/>
        <w:numPr>
          <w:ilvl w:val="0"/>
          <w:numId w:val="21"/>
        </w:numPr>
        <w:spacing w:before="240"/>
        <w:ind w:left="567" w:hanging="567"/>
        <w:jc w:val="both"/>
        <w:rPr>
          <w:b/>
          <w:bCs/>
        </w:rPr>
      </w:pPr>
      <w:bookmarkStart w:id="3" w:name="PartB"/>
      <w:r w:rsidRPr="000631F9">
        <w:rPr>
          <w:b/>
          <w:bCs/>
        </w:rPr>
        <w:lastRenderedPageBreak/>
        <w:t>International Assistance</w:t>
      </w:r>
    </w:p>
    <w:bookmarkEnd w:id="3"/>
    <w:p w14:paraId="6BDBEA04" w14:textId="167D3339" w:rsidR="00146E40" w:rsidRPr="000631F9" w:rsidRDefault="00146E40" w:rsidP="00146E40">
      <w:pPr>
        <w:pStyle w:val="COMPara"/>
        <w:ind w:left="567" w:hanging="567"/>
        <w:jc w:val="both"/>
      </w:pPr>
      <w:r w:rsidRPr="000631F9">
        <w:t xml:space="preserve">Through the global reflection on the listing mechanisms, the scope of preparatory assistance was enlarged to include assistance for the preparation of ‘(c) requests for the transfer of an element from one List to another, and (d) nomination files on an extended or reduced basis of already inscribed elements’ (Resolution </w:t>
      </w:r>
      <w:hyperlink r:id="rId19" w:history="1">
        <w:r w:rsidRPr="000631F9">
          <w:rPr>
            <w:rStyle w:val="Lienhypertexte"/>
          </w:rPr>
          <w:t>9.GA 9</w:t>
        </w:r>
      </w:hyperlink>
      <w:r w:rsidRPr="000631F9">
        <w:t xml:space="preserve">). These additions complemented the preparatory assistance which had already been provided to support the preparation of </w:t>
      </w:r>
      <w:r w:rsidR="008C75F1" w:rsidRPr="000631F9">
        <w:t>(</w:t>
      </w:r>
      <w:r w:rsidRPr="000631F9">
        <w:t xml:space="preserve">a) nomination files to the Urgent Safeguarding List and </w:t>
      </w:r>
      <w:r w:rsidR="008C75F1" w:rsidRPr="000631F9">
        <w:t>(</w:t>
      </w:r>
      <w:r w:rsidRPr="000631F9">
        <w:t>b) proposals of programmes, projects, and activities for selection in the Register of Good Safeguarding Practices</w:t>
      </w:r>
      <w:r w:rsidR="008222B5" w:rsidRPr="000631F9">
        <w:t xml:space="preserve"> (Chapter I.7 of the Operational Directives)</w:t>
      </w:r>
      <w:r w:rsidRPr="000631F9">
        <w:t>.</w:t>
      </w:r>
    </w:p>
    <w:p w14:paraId="07D5AFDE" w14:textId="601E789D" w:rsidR="006704B3" w:rsidRPr="000631F9" w:rsidRDefault="00146E40" w:rsidP="006704B3">
      <w:pPr>
        <w:pStyle w:val="COMPara"/>
        <w:ind w:left="567" w:hanging="567"/>
        <w:jc w:val="both"/>
      </w:pPr>
      <w:r w:rsidRPr="000631F9">
        <w:t xml:space="preserve">The seventeenth session of the Committee considered </w:t>
      </w:r>
      <w:r w:rsidR="00D27E95" w:rsidRPr="000631F9">
        <w:t>broadening</w:t>
      </w:r>
      <w:r w:rsidRPr="000631F9">
        <w:t xml:space="preserve"> the scope of preparatory assistance once again and requested that the Secretariat ‘elaborate a proposal </w:t>
      </w:r>
      <w:r w:rsidR="00975B5A">
        <w:t xml:space="preserve">for changes </w:t>
      </w:r>
      <w:r w:rsidRPr="000631F9">
        <w:t>to the Operational Directives in order to make</w:t>
      </w:r>
      <w:r w:rsidR="00972E5B">
        <w:t xml:space="preserve"> it</w:t>
      </w:r>
      <w:r w:rsidRPr="000631F9">
        <w:t xml:space="preserve"> possible for Member States with no previous elements inscribed on the Representative List of the Intangible Cultural Heritage of Humanity to request International Assistance for the preparation of their first nomination thereon’</w:t>
      </w:r>
      <w:r w:rsidRPr="000631F9">
        <w:rPr>
          <w:rFonts w:ascii="Times New Roman" w:hAnsi="Times New Roman" w:cs="Times New Roman"/>
          <w:snapToGrid/>
          <w:sz w:val="24"/>
          <w:szCs w:val="24"/>
          <w:lang w:eastAsia="fr-FR"/>
        </w:rPr>
        <w:t xml:space="preserve"> </w:t>
      </w:r>
      <w:r w:rsidRPr="000631F9">
        <w:rPr>
          <w:snapToGrid/>
          <w:lang w:eastAsia="fr-FR"/>
        </w:rPr>
        <w:t>(D</w:t>
      </w:r>
      <w:r w:rsidRPr="000631F9">
        <w:t xml:space="preserve">ecision </w:t>
      </w:r>
      <w:hyperlink r:id="rId20" w:history="1">
        <w:r w:rsidRPr="000631F9">
          <w:rPr>
            <w:rStyle w:val="Lienhypertexte"/>
          </w:rPr>
          <w:t>17.COM 7</w:t>
        </w:r>
      </w:hyperlink>
      <w:r w:rsidRPr="000631F9">
        <w:t>). This proposal was made with reference to Article 20 (d) of the Convention, which foresees that International Assistance may be granted for ‘any other purpose the Committee may deem necessary’.</w:t>
      </w:r>
      <w:r w:rsidR="004A55F2" w:rsidRPr="000631F9">
        <w:t xml:space="preserve"> It is also in line with the spir</w:t>
      </w:r>
      <w:r w:rsidR="005734A4" w:rsidRPr="000631F9">
        <w:t>i</w:t>
      </w:r>
      <w:r w:rsidR="004A55F2" w:rsidRPr="000631F9">
        <w:t>t of the Convention, which aims to ensure equitable geographical representation in all aspects of its implementation, particularly for the listing mechanisms.</w:t>
      </w:r>
    </w:p>
    <w:p w14:paraId="1F7B9780" w14:textId="2DF0462A" w:rsidR="00063D10" w:rsidRPr="000631F9" w:rsidRDefault="00146E40" w:rsidP="00E75091">
      <w:pPr>
        <w:pStyle w:val="COMPara"/>
        <w:spacing w:before="240"/>
        <w:ind w:left="567" w:hanging="567"/>
        <w:jc w:val="both"/>
      </w:pPr>
      <w:r w:rsidRPr="000631F9">
        <w:t xml:space="preserve">It is understood that preparatory assistance would be open to States with no national element inscribed on the Representative List, regardless of whether or not they have any multinational </w:t>
      </w:r>
      <w:r w:rsidR="00972E5B">
        <w:t xml:space="preserve">elements </w:t>
      </w:r>
      <w:r w:rsidR="005734A4" w:rsidRPr="000631F9">
        <w:t xml:space="preserve">already </w:t>
      </w:r>
      <w:r w:rsidRPr="000631F9">
        <w:t>inscribed. As per the practice of the Convention, priority may be given to those States which receive Official Development Assistance</w:t>
      </w:r>
      <w:r w:rsidR="00972E5B">
        <w:t>.</w:t>
      </w:r>
      <w:r w:rsidRPr="000631F9">
        <w:t xml:space="preserve"> </w:t>
      </w:r>
      <w:r w:rsidR="00972E5B">
        <w:t>A</w:t>
      </w:r>
      <w:r w:rsidRPr="000631F9">
        <w:t>t the same time, requests from States Parties in Electoral Group I (</w:t>
      </w:r>
      <w:r w:rsidR="00063D10" w:rsidRPr="000631F9">
        <w:t>three</w:t>
      </w:r>
      <w:r w:rsidRPr="000631F9">
        <w:t xml:space="preserve"> States without any national </w:t>
      </w:r>
      <w:r w:rsidR="005734A4" w:rsidRPr="000631F9">
        <w:t xml:space="preserve">elements </w:t>
      </w:r>
      <w:r w:rsidRPr="000631F9">
        <w:t>inscribed) would not be treated as a priority. With the current inscription status, a total of forty-</w:t>
      </w:r>
      <w:r w:rsidR="00063D10" w:rsidRPr="000631F9">
        <w:t>seven</w:t>
      </w:r>
      <w:r w:rsidRPr="000631F9">
        <w:t xml:space="preserve"> S</w:t>
      </w:r>
      <w:r w:rsidR="00E87BA8">
        <w:t>t</w:t>
      </w:r>
      <w:r w:rsidRPr="000631F9">
        <w:t xml:space="preserve">ates could benefit from preparatory assistance, with the geographical breakdown as </w:t>
      </w:r>
      <w:r w:rsidR="00972E5B">
        <w:t>follows</w:t>
      </w:r>
      <w:r w:rsidR="008451D0" w:rsidRPr="000631F9">
        <w:t>:</w:t>
      </w:r>
    </w:p>
    <w:tbl>
      <w:tblPr>
        <w:tblStyle w:val="Grilledutableau"/>
        <w:tblW w:w="0" w:type="auto"/>
        <w:tblInd w:w="567" w:type="dxa"/>
        <w:tblLook w:val="04A0" w:firstRow="1" w:lastRow="0" w:firstColumn="1" w:lastColumn="0" w:noHBand="0" w:noVBand="1"/>
      </w:tblPr>
      <w:tblGrid>
        <w:gridCol w:w="1511"/>
        <w:gridCol w:w="1510"/>
        <w:gridCol w:w="1510"/>
        <w:gridCol w:w="1510"/>
        <w:gridCol w:w="1510"/>
        <w:gridCol w:w="1510"/>
      </w:tblGrid>
      <w:tr w:rsidR="00D974AC" w:rsidRPr="000631F9" w14:paraId="64561F8E" w14:textId="77777777" w:rsidTr="00772CF0">
        <w:tc>
          <w:tcPr>
            <w:tcW w:w="1511" w:type="dxa"/>
            <w:shd w:val="clear" w:color="auto" w:fill="F2F2F2" w:themeFill="background1" w:themeFillShade="F2"/>
          </w:tcPr>
          <w:p w14:paraId="3D290DF3"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E.G. I</w:t>
            </w:r>
          </w:p>
        </w:tc>
        <w:tc>
          <w:tcPr>
            <w:tcW w:w="1510" w:type="dxa"/>
            <w:shd w:val="clear" w:color="auto" w:fill="F2F2F2" w:themeFill="background1" w:themeFillShade="F2"/>
          </w:tcPr>
          <w:p w14:paraId="6B08F180"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E.G. II</w:t>
            </w:r>
          </w:p>
        </w:tc>
        <w:tc>
          <w:tcPr>
            <w:tcW w:w="1510" w:type="dxa"/>
            <w:shd w:val="clear" w:color="auto" w:fill="F2F2F2" w:themeFill="background1" w:themeFillShade="F2"/>
          </w:tcPr>
          <w:p w14:paraId="5125AD9D"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E.G. III</w:t>
            </w:r>
          </w:p>
        </w:tc>
        <w:tc>
          <w:tcPr>
            <w:tcW w:w="1510" w:type="dxa"/>
            <w:shd w:val="clear" w:color="auto" w:fill="F2F2F2" w:themeFill="background1" w:themeFillShade="F2"/>
          </w:tcPr>
          <w:p w14:paraId="2D825274"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E.G. IV</w:t>
            </w:r>
          </w:p>
        </w:tc>
        <w:tc>
          <w:tcPr>
            <w:tcW w:w="1510" w:type="dxa"/>
            <w:shd w:val="clear" w:color="auto" w:fill="F2F2F2" w:themeFill="background1" w:themeFillShade="F2"/>
          </w:tcPr>
          <w:p w14:paraId="7BA1EDA0"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E.G. V(a)</w:t>
            </w:r>
          </w:p>
        </w:tc>
        <w:tc>
          <w:tcPr>
            <w:tcW w:w="1510" w:type="dxa"/>
            <w:shd w:val="clear" w:color="auto" w:fill="F2F2F2" w:themeFill="background1" w:themeFillShade="F2"/>
          </w:tcPr>
          <w:p w14:paraId="0E2609E4"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E.G. V(b)</w:t>
            </w:r>
          </w:p>
        </w:tc>
      </w:tr>
      <w:tr w:rsidR="00D974AC" w:rsidRPr="000631F9" w14:paraId="25D65EA7" w14:textId="77777777" w:rsidTr="00772CF0">
        <w:tc>
          <w:tcPr>
            <w:tcW w:w="1511" w:type="dxa"/>
          </w:tcPr>
          <w:p w14:paraId="57057F79" w14:textId="7492F790" w:rsidR="00D974AC" w:rsidRPr="000631F9" w:rsidRDefault="008451D0"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3</w:t>
            </w:r>
            <w:r w:rsidR="00D20D37" w:rsidRPr="000631F9">
              <w:rPr>
                <w:rStyle w:val="Appelnotedebasdep"/>
                <w:rFonts w:ascii="Arial" w:hAnsi="Arial" w:cs="Arial"/>
                <w:snapToGrid w:val="0"/>
                <w:sz w:val="22"/>
                <w:szCs w:val="22"/>
                <w:lang w:val="en-GB" w:eastAsia="en-US"/>
              </w:rPr>
              <w:footnoteReference w:id="5"/>
            </w:r>
          </w:p>
        </w:tc>
        <w:tc>
          <w:tcPr>
            <w:tcW w:w="1510" w:type="dxa"/>
          </w:tcPr>
          <w:p w14:paraId="08F82C96"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0</w:t>
            </w:r>
          </w:p>
        </w:tc>
        <w:tc>
          <w:tcPr>
            <w:tcW w:w="1510" w:type="dxa"/>
          </w:tcPr>
          <w:p w14:paraId="33D331FC"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12</w:t>
            </w:r>
          </w:p>
        </w:tc>
        <w:tc>
          <w:tcPr>
            <w:tcW w:w="1510" w:type="dxa"/>
          </w:tcPr>
          <w:p w14:paraId="483172ED"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15</w:t>
            </w:r>
          </w:p>
        </w:tc>
        <w:tc>
          <w:tcPr>
            <w:tcW w:w="1510" w:type="dxa"/>
          </w:tcPr>
          <w:p w14:paraId="2C12DAE5"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19</w:t>
            </w:r>
          </w:p>
        </w:tc>
        <w:tc>
          <w:tcPr>
            <w:tcW w:w="1510" w:type="dxa"/>
          </w:tcPr>
          <w:p w14:paraId="6A645323" w14:textId="77777777"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1</w:t>
            </w:r>
          </w:p>
        </w:tc>
      </w:tr>
      <w:tr w:rsidR="00D974AC" w:rsidRPr="004D566A" w14:paraId="2D0FF1FE" w14:textId="77777777" w:rsidTr="00772CF0">
        <w:tc>
          <w:tcPr>
            <w:tcW w:w="9061" w:type="dxa"/>
            <w:gridSpan w:val="6"/>
          </w:tcPr>
          <w:p w14:paraId="2BF9E697" w14:textId="21894DE6" w:rsidR="00D974AC" w:rsidRPr="000631F9" w:rsidRDefault="00D974AC" w:rsidP="00772CF0">
            <w:pPr>
              <w:jc w:val="both"/>
              <w:rPr>
                <w:rFonts w:ascii="Arial" w:hAnsi="Arial" w:cs="Arial"/>
                <w:snapToGrid w:val="0"/>
                <w:sz w:val="22"/>
                <w:szCs w:val="22"/>
                <w:lang w:val="en-GB" w:eastAsia="en-US"/>
              </w:rPr>
            </w:pPr>
            <w:r w:rsidRPr="000631F9">
              <w:rPr>
                <w:rFonts w:ascii="Arial" w:hAnsi="Arial" w:cs="Arial"/>
                <w:snapToGrid w:val="0"/>
                <w:sz w:val="22"/>
                <w:szCs w:val="22"/>
                <w:lang w:val="en-GB" w:eastAsia="en-US"/>
              </w:rPr>
              <w:t>Total: 4</w:t>
            </w:r>
            <w:r w:rsidR="004E78CB" w:rsidRPr="000631F9">
              <w:rPr>
                <w:rFonts w:ascii="Arial" w:hAnsi="Arial" w:cs="Arial"/>
                <w:snapToGrid w:val="0"/>
                <w:sz w:val="22"/>
                <w:szCs w:val="22"/>
                <w:lang w:val="en-GB" w:eastAsia="en-US"/>
              </w:rPr>
              <w:t>7</w:t>
            </w:r>
            <w:r w:rsidRPr="000631F9">
              <w:rPr>
                <w:rFonts w:ascii="Arial" w:hAnsi="Arial" w:cs="Arial"/>
                <w:snapToGrid w:val="0"/>
                <w:sz w:val="22"/>
                <w:szCs w:val="22"/>
                <w:lang w:val="en-GB" w:eastAsia="en-US"/>
              </w:rPr>
              <w:t xml:space="preserve"> States</w:t>
            </w:r>
            <w:r w:rsidR="00071766" w:rsidRPr="000631F9">
              <w:rPr>
                <w:rFonts w:ascii="Arial" w:hAnsi="Arial" w:cs="Arial"/>
                <w:snapToGrid w:val="0"/>
                <w:sz w:val="22"/>
                <w:szCs w:val="22"/>
                <w:lang w:val="en-GB" w:eastAsia="en-US"/>
              </w:rPr>
              <w:t xml:space="preserve"> excluding E.G.I</w:t>
            </w:r>
          </w:p>
        </w:tc>
      </w:tr>
    </w:tbl>
    <w:p w14:paraId="190A24E1" w14:textId="4F0CE40E" w:rsidR="00063D10" w:rsidRPr="000631F9" w:rsidRDefault="00063D10" w:rsidP="00903F5C">
      <w:pPr>
        <w:pStyle w:val="COMPara"/>
        <w:spacing w:before="240"/>
        <w:ind w:left="567" w:hanging="567"/>
        <w:jc w:val="both"/>
      </w:pPr>
      <w:bookmarkStart w:id="4" w:name="_Hlk162358093"/>
      <w:r w:rsidRPr="000631F9">
        <w:t xml:space="preserve">In accordance with Decision </w:t>
      </w:r>
      <w:hyperlink r:id="rId21" w:history="1">
        <w:r w:rsidRPr="000631F9">
          <w:rPr>
            <w:rStyle w:val="Lienhypertexte"/>
          </w:rPr>
          <w:t>18.COM 10</w:t>
        </w:r>
      </w:hyperlink>
      <w:r w:rsidRPr="000631F9">
        <w:t xml:space="preserve">, the General Assembly is hereby requested to examine the proposed amendment to paragraph 21 of the Operational Directives included in </w:t>
      </w:r>
      <w:hyperlink w:anchor="PartII" w:history="1">
        <w:r w:rsidRPr="000631F9">
          <w:rPr>
            <w:rStyle w:val="Lienhypertexte"/>
          </w:rPr>
          <w:t>Part II</w:t>
        </w:r>
      </w:hyperlink>
      <w:r w:rsidRPr="000631F9">
        <w:t xml:space="preserve"> of the Annex </w:t>
      </w:r>
      <w:r w:rsidR="00071766" w:rsidRPr="000631F9">
        <w:t>to</w:t>
      </w:r>
      <w:r w:rsidRPr="000631F9">
        <w:t xml:space="preserve"> the present document. </w:t>
      </w:r>
      <w:r w:rsidR="00903F5C" w:rsidRPr="000631F9">
        <w:t xml:space="preserve">The submission deadline and the process of examination, as described in Section I.15 of the Operational Directives, will remain unchanged, as will the amount requested, which usually ranges between US$5,000 and US$10,000. </w:t>
      </w:r>
      <w:r w:rsidR="008C75F1" w:rsidRPr="000631F9">
        <w:t xml:space="preserve">Once the amendment is approved, </w:t>
      </w:r>
      <w:r w:rsidR="00903F5C" w:rsidRPr="000631F9">
        <w:t xml:space="preserve">Form ICH-05 would be revised </w:t>
      </w:r>
      <w:r w:rsidR="00381294" w:rsidRPr="000631F9">
        <w:t xml:space="preserve">and </w:t>
      </w:r>
      <w:r w:rsidR="00903F5C" w:rsidRPr="000631F9">
        <w:t xml:space="preserve">would be </w:t>
      </w:r>
      <w:r w:rsidR="00381294" w:rsidRPr="000631F9">
        <w:t xml:space="preserve">made </w:t>
      </w:r>
      <w:r w:rsidR="00903F5C" w:rsidRPr="000631F9">
        <w:t xml:space="preserve">available after the </w:t>
      </w:r>
      <w:r w:rsidR="00267D64" w:rsidRPr="000631F9">
        <w:t xml:space="preserve">present session of the </w:t>
      </w:r>
      <w:r w:rsidR="00903F5C" w:rsidRPr="000631F9">
        <w:t xml:space="preserve">General Assembly, to enable States Parties with no national element inscribed on the Representative List to request preparatory assistance </w:t>
      </w:r>
      <w:r w:rsidR="002175DF">
        <w:t>by</w:t>
      </w:r>
      <w:r w:rsidR="002175DF" w:rsidRPr="000631F9">
        <w:t xml:space="preserve"> </w:t>
      </w:r>
      <w:r w:rsidR="00903F5C" w:rsidRPr="000631F9">
        <w:t xml:space="preserve">the </w:t>
      </w:r>
      <w:r w:rsidR="00267D64" w:rsidRPr="000631F9">
        <w:t xml:space="preserve">next </w:t>
      </w:r>
      <w:r w:rsidR="00903F5C" w:rsidRPr="000631F9">
        <w:t xml:space="preserve">deadline </w:t>
      </w:r>
      <w:r w:rsidR="002175DF">
        <w:t>on 31</w:t>
      </w:r>
      <w:r w:rsidR="002175DF" w:rsidRPr="000631F9">
        <w:t xml:space="preserve"> </w:t>
      </w:r>
      <w:r w:rsidR="00903F5C" w:rsidRPr="000631F9">
        <w:t>March 2025</w:t>
      </w:r>
      <w:r w:rsidR="00267D64" w:rsidRPr="000631F9">
        <w:t xml:space="preserve"> and thereafter</w:t>
      </w:r>
      <w:r w:rsidR="00903F5C" w:rsidRPr="000631F9">
        <w:t>.</w:t>
      </w:r>
    </w:p>
    <w:bookmarkEnd w:id="4"/>
    <w:p w14:paraId="50D3EAFF" w14:textId="3A349EC1" w:rsidR="00D95C4C" w:rsidRPr="000631F9" w:rsidRDefault="005C792B" w:rsidP="005C792B">
      <w:pPr>
        <w:pStyle w:val="COMPara"/>
        <w:ind w:left="567" w:hanging="567"/>
      </w:pPr>
      <w:r w:rsidRPr="000631F9">
        <w:t>The General Assembly may wish to adopt the following resolution:</w:t>
      </w:r>
    </w:p>
    <w:p w14:paraId="6CEB1E9D" w14:textId="63EF66D0" w:rsidR="00D95C4C" w:rsidRPr="000631F9" w:rsidRDefault="004A34A0" w:rsidP="001D14FE">
      <w:pPr>
        <w:pStyle w:val="COMTitleDecision"/>
        <w:rPr>
          <w:rFonts w:eastAsia="SimSun"/>
        </w:rPr>
      </w:pPr>
      <w:r w:rsidRPr="000631F9">
        <w:t xml:space="preserve">DRAFT </w:t>
      </w:r>
      <w:r w:rsidR="005C792B" w:rsidRPr="000631F9">
        <w:t>RESOLUTION</w:t>
      </w:r>
      <w:r w:rsidR="00CB0542" w:rsidRPr="000631F9">
        <w:t xml:space="preserve"> 1</w:t>
      </w:r>
      <w:r w:rsidR="005C792B" w:rsidRPr="000631F9">
        <w:t>0</w:t>
      </w:r>
      <w:r w:rsidR="00EC6F8D" w:rsidRPr="000631F9">
        <w:t>.</w:t>
      </w:r>
      <w:r w:rsidR="005C792B" w:rsidRPr="000631F9">
        <w:t>GA</w:t>
      </w:r>
      <w:r w:rsidR="00517FD8" w:rsidRPr="000631F9">
        <w:t xml:space="preserve"> </w:t>
      </w:r>
      <w:r w:rsidR="0043793C" w:rsidRPr="000631F9">
        <w:t>7</w:t>
      </w:r>
    </w:p>
    <w:p w14:paraId="13024F0B" w14:textId="5181E164" w:rsidR="00D95C4C" w:rsidRPr="000631F9" w:rsidRDefault="005C792B" w:rsidP="00285BB4">
      <w:pPr>
        <w:pStyle w:val="COMPreambulaDecisions"/>
        <w:rPr>
          <w:rFonts w:eastAsia="SimSun"/>
        </w:rPr>
      </w:pPr>
      <w:r w:rsidRPr="000631F9">
        <w:t>The General Assembly,</w:t>
      </w:r>
    </w:p>
    <w:p w14:paraId="5A9F22F3" w14:textId="0FFF6B26" w:rsidR="0057439C" w:rsidRPr="000631F9" w:rsidRDefault="00D95C4C" w:rsidP="004A2875">
      <w:pPr>
        <w:pStyle w:val="COMParaDecision"/>
      </w:pPr>
      <w:r w:rsidRPr="000631F9">
        <w:t>Having examined</w:t>
      </w:r>
      <w:r w:rsidRPr="000631F9">
        <w:rPr>
          <w:u w:val="none"/>
        </w:rPr>
        <w:t xml:space="preserve"> </w:t>
      </w:r>
      <w:r w:rsidR="00480175" w:rsidRPr="000631F9">
        <w:rPr>
          <w:u w:val="none"/>
        </w:rPr>
        <w:t>d</w:t>
      </w:r>
      <w:r w:rsidRPr="000631F9">
        <w:rPr>
          <w:u w:val="none"/>
        </w:rPr>
        <w:t>oc</w:t>
      </w:r>
      <w:r w:rsidR="00CB0542" w:rsidRPr="000631F9">
        <w:rPr>
          <w:u w:val="none"/>
        </w:rPr>
        <w:t xml:space="preserve">ument </w:t>
      </w:r>
      <w:r w:rsidR="00C5776D" w:rsidRPr="000631F9">
        <w:rPr>
          <w:u w:val="none"/>
        </w:rPr>
        <w:t>LHE</w:t>
      </w:r>
      <w:r w:rsidR="00CB0542" w:rsidRPr="000631F9">
        <w:rPr>
          <w:u w:val="none"/>
        </w:rPr>
        <w:t>/</w:t>
      </w:r>
      <w:r w:rsidR="00D7105A" w:rsidRPr="000631F9">
        <w:rPr>
          <w:u w:val="none"/>
        </w:rPr>
        <w:t>2</w:t>
      </w:r>
      <w:r w:rsidR="005C792B" w:rsidRPr="000631F9">
        <w:rPr>
          <w:u w:val="none"/>
        </w:rPr>
        <w:t>4</w:t>
      </w:r>
      <w:r w:rsidR="00337CEB" w:rsidRPr="000631F9">
        <w:rPr>
          <w:u w:val="none"/>
        </w:rPr>
        <w:t>/1</w:t>
      </w:r>
      <w:r w:rsidR="005C792B" w:rsidRPr="000631F9">
        <w:rPr>
          <w:u w:val="none"/>
        </w:rPr>
        <w:t>0</w:t>
      </w:r>
      <w:r w:rsidR="00EC6F8D" w:rsidRPr="000631F9">
        <w:rPr>
          <w:u w:val="none"/>
        </w:rPr>
        <w:t>.</w:t>
      </w:r>
      <w:r w:rsidR="005C792B" w:rsidRPr="000631F9">
        <w:rPr>
          <w:u w:val="none"/>
        </w:rPr>
        <w:t>GA</w:t>
      </w:r>
      <w:r w:rsidR="004A34A0" w:rsidRPr="000631F9">
        <w:rPr>
          <w:u w:val="none"/>
        </w:rPr>
        <w:t>/</w:t>
      </w:r>
      <w:r w:rsidR="0043793C" w:rsidRPr="000631F9">
        <w:rPr>
          <w:u w:val="none"/>
        </w:rPr>
        <w:t>7 and its annex</w:t>
      </w:r>
      <w:r w:rsidR="006E75EB" w:rsidRPr="000631F9">
        <w:rPr>
          <w:u w:val="none"/>
        </w:rPr>
        <w:t>,</w:t>
      </w:r>
    </w:p>
    <w:p w14:paraId="260CA8D5" w14:textId="6E0D9669" w:rsidR="0057439C" w:rsidRPr="000631F9" w:rsidRDefault="00D3202B" w:rsidP="00954835">
      <w:pPr>
        <w:pStyle w:val="COMParaDecision"/>
      </w:pPr>
      <w:r w:rsidRPr="000631F9">
        <w:t>R</w:t>
      </w:r>
      <w:r w:rsidR="005F5AC5" w:rsidRPr="000631F9">
        <w:t>ecalling</w:t>
      </w:r>
      <w:r w:rsidR="005F5AC5" w:rsidRPr="00B92063">
        <w:rPr>
          <w:u w:val="none"/>
        </w:rPr>
        <w:t xml:space="preserve"> </w:t>
      </w:r>
      <w:r w:rsidRPr="000631F9">
        <w:rPr>
          <w:u w:val="none"/>
        </w:rPr>
        <w:t xml:space="preserve">Resolution </w:t>
      </w:r>
      <w:hyperlink r:id="rId22" w:history="1">
        <w:r w:rsidRPr="000631F9">
          <w:rPr>
            <w:rStyle w:val="Lienhypertexte"/>
          </w:rPr>
          <w:t>9.GA 9</w:t>
        </w:r>
      </w:hyperlink>
      <w:r w:rsidRPr="000631F9">
        <w:rPr>
          <w:u w:val="none"/>
        </w:rPr>
        <w:t xml:space="preserve"> as well as D</w:t>
      </w:r>
      <w:r w:rsidR="00525F72" w:rsidRPr="000631F9">
        <w:rPr>
          <w:u w:val="none"/>
        </w:rPr>
        <w:t>ecision</w:t>
      </w:r>
      <w:r w:rsidR="00610640">
        <w:rPr>
          <w:u w:val="none"/>
        </w:rPr>
        <w:t>s</w:t>
      </w:r>
      <w:r w:rsidR="00525F72" w:rsidRPr="000631F9">
        <w:rPr>
          <w:u w:val="none"/>
        </w:rPr>
        <w:t xml:space="preserve"> </w:t>
      </w:r>
      <w:hyperlink r:id="rId23" w:history="1">
        <w:r w:rsidR="00525F72" w:rsidRPr="000631F9">
          <w:rPr>
            <w:rStyle w:val="Lienhypertexte"/>
          </w:rPr>
          <w:t>16.COM 14</w:t>
        </w:r>
      </w:hyperlink>
      <w:r w:rsidR="00525F72" w:rsidRPr="000631F9">
        <w:rPr>
          <w:u w:val="none"/>
        </w:rPr>
        <w:t xml:space="preserve">, </w:t>
      </w:r>
      <w:hyperlink r:id="rId24" w:history="1">
        <w:r w:rsidR="005F5AC5" w:rsidRPr="000631F9">
          <w:rPr>
            <w:rStyle w:val="Lienhypertexte"/>
          </w:rPr>
          <w:t>17.COM 7</w:t>
        </w:r>
      </w:hyperlink>
      <w:r w:rsidR="005F5AC5" w:rsidRPr="000631F9">
        <w:rPr>
          <w:u w:val="none"/>
        </w:rPr>
        <w:t xml:space="preserve">, </w:t>
      </w:r>
      <w:hyperlink r:id="rId25" w:history="1">
        <w:r w:rsidR="0043793C" w:rsidRPr="000631F9">
          <w:rPr>
            <w:rStyle w:val="Lienhypertexte"/>
          </w:rPr>
          <w:t>18.COM 10</w:t>
        </w:r>
      </w:hyperlink>
      <w:r w:rsidR="00573ED2" w:rsidRPr="000631F9">
        <w:rPr>
          <w:rStyle w:val="Lienhypertexte"/>
          <w:u w:val="none"/>
        </w:rPr>
        <w:t xml:space="preserve"> </w:t>
      </w:r>
      <w:r w:rsidR="0043793C" w:rsidRPr="000631F9">
        <w:rPr>
          <w:u w:val="none"/>
        </w:rPr>
        <w:t>a</w:t>
      </w:r>
      <w:r w:rsidRPr="000631F9">
        <w:rPr>
          <w:u w:val="none"/>
        </w:rPr>
        <w:t xml:space="preserve">nd </w:t>
      </w:r>
      <w:hyperlink r:id="rId26" w:history="1">
        <w:r w:rsidR="0043793C" w:rsidRPr="000631F9">
          <w:rPr>
            <w:rStyle w:val="Lienhypertexte"/>
          </w:rPr>
          <w:t>1</w:t>
        </w:r>
        <w:r w:rsidR="005734A4" w:rsidRPr="000631F9">
          <w:rPr>
            <w:rStyle w:val="Lienhypertexte"/>
          </w:rPr>
          <w:t>8</w:t>
        </w:r>
        <w:r w:rsidR="0043793C" w:rsidRPr="000631F9">
          <w:rPr>
            <w:rStyle w:val="Lienhypertexte"/>
          </w:rPr>
          <w:t>.COM 11</w:t>
        </w:r>
      </w:hyperlink>
      <w:r w:rsidR="00DD007F" w:rsidRPr="000631F9">
        <w:rPr>
          <w:u w:val="none"/>
        </w:rPr>
        <w:t>,</w:t>
      </w:r>
    </w:p>
    <w:p w14:paraId="61F026F1" w14:textId="1A50303C" w:rsidR="003E5457" w:rsidRPr="000631F9" w:rsidRDefault="003E5457" w:rsidP="00293DF9">
      <w:pPr>
        <w:pStyle w:val="COMParaDecision"/>
        <w:keepNext/>
        <w:numPr>
          <w:ilvl w:val="0"/>
          <w:numId w:val="0"/>
        </w:numPr>
        <w:spacing w:before="240"/>
        <w:ind w:left="1134"/>
        <w:rPr>
          <w:b/>
          <w:bCs/>
          <w:u w:val="none"/>
        </w:rPr>
      </w:pPr>
      <w:r w:rsidRPr="000631F9">
        <w:rPr>
          <w:b/>
          <w:bCs/>
          <w:u w:val="none"/>
        </w:rPr>
        <w:lastRenderedPageBreak/>
        <w:t xml:space="preserve">Register of Good Safeguarding </w:t>
      </w:r>
      <w:r w:rsidR="00037CA9">
        <w:rPr>
          <w:b/>
          <w:bCs/>
          <w:u w:val="none"/>
        </w:rPr>
        <w:t>P</w:t>
      </w:r>
      <w:r w:rsidRPr="000631F9">
        <w:rPr>
          <w:b/>
          <w:bCs/>
          <w:u w:val="none"/>
        </w:rPr>
        <w:t>ractices</w:t>
      </w:r>
    </w:p>
    <w:p w14:paraId="25B87CDB" w14:textId="41684F38" w:rsidR="000B6FE4" w:rsidRPr="000631F9" w:rsidRDefault="000B6FE4" w:rsidP="00293DF9">
      <w:pPr>
        <w:pStyle w:val="COMParaDecision"/>
        <w:keepNext/>
      </w:pPr>
      <w:r w:rsidRPr="000631F9">
        <w:t>Takes note</w:t>
      </w:r>
      <w:r w:rsidRPr="000631F9">
        <w:rPr>
          <w:u w:val="none"/>
        </w:rPr>
        <w:t xml:space="preserve"> of the proposed </w:t>
      </w:r>
      <w:r w:rsidR="00AD50A7" w:rsidRPr="000631F9">
        <w:rPr>
          <w:u w:val="none"/>
        </w:rPr>
        <w:t>amendments</w:t>
      </w:r>
      <w:r w:rsidRPr="000631F9">
        <w:rPr>
          <w:u w:val="none"/>
        </w:rPr>
        <w:t xml:space="preserve"> to the Operational Directives concerning the selection criteria for the Register of </w:t>
      </w:r>
      <w:r w:rsidR="00972E5B">
        <w:rPr>
          <w:u w:val="none"/>
        </w:rPr>
        <w:t xml:space="preserve">Good </w:t>
      </w:r>
      <w:r w:rsidRPr="000631F9">
        <w:rPr>
          <w:u w:val="none"/>
        </w:rPr>
        <w:t>Safeguarding Practices, endorsed by the eighteenth session of the Committee</w:t>
      </w:r>
      <w:r w:rsidR="003A219E">
        <w:rPr>
          <w:u w:val="none"/>
        </w:rPr>
        <w:t xml:space="preserve"> and</w:t>
      </w:r>
      <w:r w:rsidRPr="000631F9">
        <w:rPr>
          <w:u w:val="none"/>
        </w:rPr>
        <w:t xml:space="preserve"> based on the recommendations of the Open-ended intergovernmental working group;</w:t>
      </w:r>
    </w:p>
    <w:p w14:paraId="7B022736" w14:textId="3E8A463E" w:rsidR="000B6FE4" w:rsidRPr="000631F9" w:rsidRDefault="000B6FE4" w:rsidP="00954835">
      <w:pPr>
        <w:pStyle w:val="COMParaDecision"/>
      </w:pPr>
      <w:proofErr w:type="gramStart"/>
      <w:r w:rsidRPr="000631F9">
        <w:t>Thanks</w:t>
      </w:r>
      <w:r w:rsidRPr="00293DF9">
        <w:rPr>
          <w:u w:val="none"/>
        </w:rPr>
        <w:t xml:space="preserve"> </w:t>
      </w:r>
      <w:r w:rsidRPr="000631F9">
        <w:rPr>
          <w:u w:val="none"/>
        </w:rPr>
        <w:t>Sweden</w:t>
      </w:r>
      <w:proofErr w:type="gramEnd"/>
      <w:r w:rsidRPr="000631F9">
        <w:rPr>
          <w:u w:val="none"/>
        </w:rPr>
        <w:t xml:space="preserve"> for having supported the reflection on a broader implementation of Article 18 of the Convention</w:t>
      </w:r>
      <w:r w:rsidR="00AD50A7" w:rsidRPr="000631F9">
        <w:rPr>
          <w:u w:val="none"/>
        </w:rPr>
        <w:t>;</w:t>
      </w:r>
    </w:p>
    <w:p w14:paraId="7EFF2009" w14:textId="09CB42C8" w:rsidR="007B6D03" w:rsidRPr="000631F9" w:rsidRDefault="007B6D03" w:rsidP="007B6D03">
      <w:pPr>
        <w:pStyle w:val="COMParaDecision"/>
        <w:rPr>
          <w:sz w:val="24"/>
          <w:szCs w:val="24"/>
          <w:u w:val="none"/>
        </w:rPr>
      </w:pPr>
      <w:r w:rsidRPr="000631F9">
        <w:t>Expresses its appreciation</w:t>
      </w:r>
      <w:r w:rsidRPr="000631F9">
        <w:rPr>
          <w:u w:val="none"/>
        </w:rPr>
        <w:t xml:space="preserve"> </w:t>
      </w:r>
      <w:r w:rsidR="00A32A66" w:rsidRPr="000631F9">
        <w:rPr>
          <w:u w:val="none"/>
        </w:rPr>
        <w:t>to</w:t>
      </w:r>
      <w:r w:rsidRPr="000631F9">
        <w:rPr>
          <w:u w:val="none"/>
        </w:rPr>
        <w:t xml:space="preserve"> the Open-ended intergovernmental working group</w:t>
      </w:r>
      <w:r w:rsidR="00A32A66" w:rsidRPr="000631F9">
        <w:rPr>
          <w:u w:val="none"/>
        </w:rPr>
        <w:t xml:space="preserve"> </w:t>
      </w:r>
      <w:r w:rsidR="002175DF">
        <w:rPr>
          <w:u w:val="none"/>
        </w:rPr>
        <w:t>and</w:t>
      </w:r>
      <w:r w:rsidR="00A32A66" w:rsidRPr="000631F9">
        <w:rPr>
          <w:u w:val="none"/>
        </w:rPr>
        <w:t xml:space="preserve"> the experts who took part in the consultation for their work</w:t>
      </w:r>
      <w:r w:rsidR="002175DF">
        <w:rPr>
          <w:u w:val="none"/>
        </w:rPr>
        <w:t xml:space="preserve"> and</w:t>
      </w:r>
      <w:r w:rsidR="00AD50A7" w:rsidRPr="000631F9">
        <w:rPr>
          <w:u w:val="none"/>
        </w:rPr>
        <w:t xml:space="preserve"> reflecti</w:t>
      </w:r>
      <w:r w:rsidR="002175DF">
        <w:rPr>
          <w:u w:val="none"/>
        </w:rPr>
        <w:t>on</w:t>
      </w:r>
      <w:r w:rsidR="00AD50A7" w:rsidRPr="000631F9">
        <w:rPr>
          <w:u w:val="none"/>
        </w:rPr>
        <w:t xml:space="preserve"> on how to improve access to and increas</w:t>
      </w:r>
      <w:r w:rsidR="002175DF">
        <w:rPr>
          <w:u w:val="none"/>
        </w:rPr>
        <w:t>e</w:t>
      </w:r>
      <w:r w:rsidR="00AD50A7" w:rsidRPr="000631F9">
        <w:rPr>
          <w:u w:val="none"/>
        </w:rPr>
        <w:t xml:space="preserve"> the visibility of the Register of Good Safeguarding Practices</w:t>
      </w:r>
      <w:r w:rsidRPr="000631F9">
        <w:rPr>
          <w:u w:val="none"/>
        </w:rPr>
        <w:t>;</w:t>
      </w:r>
    </w:p>
    <w:p w14:paraId="45ED87D3" w14:textId="5F26339E" w:rsidR="0073772F" w:rsidRPr="000631F9" w:rsidRDefault="0073772F" w:rsidP="0073772F">
      <w:pPr>
        <w:pStyle w:val="COMParaDecision"/>
      </w:pPr>
      <w:r w:rsidRPr="000631F9">
        <w:t>Approves</w:t>
      </w:r>
      <w:r w:rsidRPr="000631F9">
        <w:rPr>
          <w:u w:val="none"/>
        </w:rPr>
        <w:t xml:space="preserve"> the amendments to the Operational Directives as contained in Section I of the annex </w:t>
      </w:r>
      <w:r w:rsidR="0077591C" w:rsidRPr="000631F9">
        <w:rPr>
          <w:u w:val="none"/>
        </w:rPr>
        <w:t>to</w:t>
      </w:r>
      <w:r w:rsidRPr="000631F9">
        <w:rPr>
          <w:u w:val="none"/>
        </w:rPr>
        <w:t xml:space="preserve"> the present Resolution</w:t>
      </w:r>
      <w:r w:rsidR="00AD50A7" w:rsidRPr="000631F9">
        <w:rPr>
          <w:u w:val="none"/>
        </w:rPr>
        <w:t>;</w:t>
      </w:r>
    </w:p>
    <w:p w14:paraId="34926A55" w14:textId="6A630D72" w:rsidR="003E5457" w:rsidRPr="00897348" w:rsidRDefault="003E5457" w:rsidP="00573ED2">
      <w:pPr>
        <w:pStyle w:val="COMParaDecision"/>
        <w:numPr>
          <w:ilvl w:val="0"/>
          <w:numId w:val="0"/>
        </w:numPr>
        <w:spacing w:before="240"/>
        <w:ind w:left="1134"/>
        <w:rPr>
          <w:b/>
          <w:bCs/>
          <w:u w:val="none"/>
        </w:rPr>
      </w:pPr>
      <w:r w:rsidRPr="00897348">
        <w:rPr>
          <w:b/>
          <w:bCs/>
          <w:u w:val="none"/>
        </w:rPr>
        <w:t>International Assistance</w:t>
      </w:r>
    </w:p>
    <w:p w14:paraId="20ED9DFF" w14:textId="1AED3EDE" w:rsidR="00AD50A7" w:rsidRPr="000631F9" w:rsidRDefault="003E5457" w:rsidP="00381294">
      <w:pPr>
        <w:pStyle w:val="COMParaDecision"/>
        <w:rPr>
          <w:sz w:val="24"/>
          <w:szCs w:val="24"/>
          <w:u w:val="none"/>
        </w:rPr>
      </w:pPr>
      <w:r w:rsidRPr="000631F9">
        <w:t>Takes n</w:t>
      </w:r>
      <w:r w:rsidR="00DA76A4" w:rsidRPr="000631F9">
        <w:t>ote</w:t>
      </w:r>
      <w:r w:rsidRPr="000631F9">
        <w:rPr>
          <w:u w:val="none"/>
        </w:rPr>
        <w:t xml:space="preserve"> of </w:t>
      </w:r>
      <w:r w:rsidR="00AD50A7" w:rsidRPr="000631F9">
        <w:rPr>
          <w:u w:val="none"/>
        </w:rPr>
        <w:t>the proposed amendments to the Operational Directives</w:t>
      </w:r>
      <w:r w:rsidR="002175DF">
        <w:rPr>
          <w:u w:val="none"/>
        </w:rPr>
        <w:t xml:space="preserve"> to</w:t>
      </w:r>
      <w:r w:rsidR="00AD50A7" w:rsidRPr="000631F9">
        <w:rPr>
          <w:u w:val="none"/>
        </w:rPr>
        <w:t xml:space="preserve"> </w:t>
      </w:r>
      <w:r w:rsidR="00573ED2" w:rsidRPr="000631F9">
        <w:rPr>
          <w:u w:val="none"/>
        </w:rPr>
        <w:t>enlarg</w:t>
      </w:r>
      <w:r w:rsidR="002175DF">
        <w:rPr>
          <w:u w:val="none"/>
        </w:rPr>
        <w:t>e</w:t>
      </w:r>
      <w:r w:rsidR="00DA76A4" w:rsidRPr="000631F9">
        <w:rPr>
          <w:u w:val="none"/>
        </w:rPr>
        <w:t xml:space="preserve"> the scope of preparatory </w:t>
      </w:r>
      <w:r w:rsidR="0073772F" w:rsidRPr="000631F9">
        <w:rPr>
          <w:u w:val="none"/>
        </w:rPr>
        <w:t>International A</w:t>
      </w:r>
      <w:r w:rsidR="00DA76A4" w:rsidRPr="000631F9">
        <w:rPr>
          <w:u w:val="none"/>
        </w:rPr>
        <w:t>ssistance</w:t>
      </w:r>
      <w:r w:rsidR="00AD50A7" w:rsidRPr="000631F9">
        <w:rPr>
          <w:u w:val="none"/>
        </w:rPr>
        <w:t>, endorsed by the eighteenth session of the Committee;</w:t>
      </w:r>
    </w:p>
    <w:p w14:paraId="3AF68D50" w14:textId="29622732" w:rsidR="00381294" w:rsidRPr="000631F9" w:rsidRDefault="0073772F" w:rsidP="00381294">
      <w:pPr>
        <w:pStyle w:val="COMParaDecision"/>
        <w:rPr>
          <w:sz w:val="24"/>
          <w:szCs w:val="24"/>
          <w:u w:val="none"/>
        </w:rPr>
      </w:pPr>
      <w:r w:rsidRPr="000631F9">
        <w:t>E</w:t>
      </w:r>
      <w:r w:rsidR="00807F3A" w:rsidRPr="000631F9">
        <w:t>ncourage</w:t>
      </w:r>
      <w:r w:rsidR="008D45F4" w:rsidRPr="000631F9">
        <w:t>s</w:t>
      </w:r>
      <w:r w:rsidR="00807F3A" w:rsidRPr="000631F9">
        <w:rPr>
          <w:u w:val="none"/>
        </w:rPr>
        <w:t xml:space="preserve"> eligible </w:t>
      </w:r>
      <w:r w:rsidR="00807F3A" w:rsidRPr="000631F9">
        <w:rPr>
          <w:rStyle w:val="Aucun"/>
          <w:u w:val="none"/>
        </w:rPr>
        <w:t xml:space="preserve">States Parties </w:t>
      </w:r>
      <w:r w:rsidR="00AD50A7" w:rsidRPr="000631F9">
        <w:rPr>
          <w:u w:val="none"/>
        </w:rPr>
        <w:t xml:space="preserve">without a national element </w:t>
      </w:r>
      <w:r w:rsidR="002175DF" w:rsidRPr="000631F9">
        <w:rPr>
          <w:u w:val="none"/>
        </w:rPr>
        <w:t xml:space="preserve">inscribed </w:t>
      </w:r>
      <w:r w:rsidR="00AD50A7" w:rsidRPr="000631F9">
        <w:rPr>
          <w:u w:val="none"/>
        </w:rPr>
        <w:t>on the Lists of the Convention to apply to the Fund for assistance with preparing their first national nomination file to the Representative List of the Intangible Cultural Heritage of Humanity</w:t>
      </w:r>
      <w:r w:rsidR="008D45F4" w:rsidRPr="000631F9">
        <w:rPr>
          <w:rStyle w:val="Aucun"/>
          <w:u w:val="none"/>
        </w:rPr>
        <w:t>,</w:t>
      </w:r>
      <w:r w:rsidR="00807F3A" w:rsidRPr="000631F9">
        <w:rPr>
          <w:rStyle w:val="Aucun"/>
          <w:u w:val="none"/>
        </w:rPr>
        <w:t xml:space="preserve"> bearing in mind the next deadline on </w:t>
      </w:r>
      <w:r w:rsidR="00807F3A" w:rsidRPr="000631F9">
        <w:rPr>
          <w:u w:val="none"/>
        </w:rPr>
        <w:t>31 March 2025</w:t>
      </w:r>
      <w:r w:rsidR="00AD50A7" w:rsidRPr="000631F9">
        <w:rPr>
          <w:u w:val="none"/>
        </w:rPr>
        <w:t xml:space="preserve"> and yearly thereafter</w:t>
      </w:r>
      <w:r w:rsidR="00381294" w:rsidRPr="000631F9">
        <w:rPr>
          <w:u w:val="none"/>
        </w:rPr>
        <w:t>;</w:t>
      </w:r>
    </w:p>
    <w:p w14:paraId="1EAB2934" w14:textId="22A8B7A8" w:rsidR="00014915" w:rsidRPr="000631F9" w:rsidRDefault="00807F3A" w:rsidP="00A66747">
      <w:pPr>
        <w:pStyle w:val="COMParaDecision"/>
      </w:pPr>
      <w:r w:rsidRPr="000631F9">
        <w:t>A</w:t>
      </w:r>
      <w:r w:rsidR="0043793C" w:rsidRPr="000631F9">
        <w:t>pprove</w:t>
      </w:r>
      <w:r w:rsidRPr="000631F9">
        <w:t>s</w:t>
      </w:r>
      <w:r w:rsidR="0043793C" w:rsidRPr="000631F9">
        <w:rPr>
          <w:u w:val="none"/>
        </w:rPr>
        <w:t xml:space="preserve"> the </w:t>
      </w:r>
      <w:r w:rsidRPr="000631F9">
        <w:rPr>
          <w:u w:val="none"/>
        </w:rPr>
        <w:t>amendments</w:t>
      </w:r>
      <w:r w:rsidR="0043793C" w:rsidRPr="000631F9">
        <w:rPr>
          <w:u w:val="none"/>
        </w:rPr>
        <w:t xml:space="preserve"> to the Operational Directives as contained in</w:t>
      </w:r>
      <w:r w:rsidR="0073772F" w:rsidRPr="000631F9">
        <w:rPr>
          <w:u w:val="none"/>
        </w:rPr>
        <w:t xml:space="preserve"> Section II of </w:t>
      </w:r>
      <w:r w:rsidR="0043793C" w:rsidRPr="000631F9">
        <w:rPr>
          <w:u w:val="none"/>
        </w:rPr>
        <w:t xml:space="preserve">the annex </w:t>
      </w:r>
      <w:r w:rsidR="0077591C" w:rsidRPr="000631F9">
        <w:rPr>
          <w:u w:val="none"/>
        </w:rPr>
        <w:t>to</w:t>
      </w:r>
      <w:r w:rsidR="0043793C" w:rsidRPr="000631F9">
        <w:rPr>
          <w:u w:val="none"/>
        </w:rPr>
        <w:t xml:space="preserve"> the present Resolution.</w:t>
      </w:r>
    </w:p>
    <w:p w14:paraId="19AC5F4A" w14:textId="23EB7589" w:rsidR="00937D53" w:rsidRPr="000631F9" w:rsidRDefault="00937D53">
      <w:pPr>
        <w:rPr>
          <w:rFonts w:ascii="Arial" w:eastAsia="SimSun" w:hAnsi="Arial" w:cs="Arial"/>
          <w:sz w:val="22"/>
          <w:szCs w:val="22"/>
          <w:u w:val="single"/>
          <w:lang w:val="en-GB"/>
        </w:rPr>
      </w:pPr>
      <w:r w:rsidRPr="000631F9">
        <w:rPr>
          <w:rFonts w:ascii="Arial" w:eastAsia="SimSun" w:hAnsi="Arial" w:cs="Arial"/>
          <w:sz w:val="22"/>
          <w:szCs w:val="22"/>
          <w:u w:val="single"/>
          <w:lang w:val="en-GB"/>
        </w:rPr>
        <w:br w:type="page"/>
      </w:r>
    </w:p>
    <w:p w14:paraId="772F8E42" w14:textId="77777777" w:rsidR="007B6D03" w:rsidRPr="000631F9" w:rsidRDefault="007B6D03" w:rsidP="00D86BB3">
      <w:pPr>
        <w:rPr>
          <w:rFonts w:ascii="Arial" w:eastAsia="SimSun" w:hAnsi="Arial" w:cs="Arial"/>
          <w:sz w:val="22"/>
          <w:szCs w:val="22"/>
          <w:u w:val="single"/>
          <w:lang w:val="en-GB"/>
        </w:rPr>
        <w:sectPr w:rsidR="007B6D03" w:rsidRPr="000631F9" w:rsidSect="00B33004">
          <w:headerReference w:type="even" r:id="rId27"/>
          <w:headerReference w:type="default" r:id="rId28"/>
          <w:headerReference w:type="first" r:id="rId29"/>
          <w:pgSz w:w="11906" w:h="16838" w:code="9"/>
          <w:pgMar w:top="1418" w:right="1134" w:bottom="1134" w:left="1134" w:header="397" w:footer="284" w:gutter="0"/>
          <w:cols w:space="708"/>
          <w:titlePg/>
          <w:docGrid w:linePitch="360"/>
        </w:sectPr>
      </w:pPr>
    </w:p>
    <w:p w14:paraId="14E5603F" w14:textId="77777777" w:rsidR="007B6D03" w:rsidRPr="000631F9" w:rsidRDefault="007B6D03" w:rsidP="007B6D03">
      <w:pPr>
        <w:spacing w:after="160" w:line="259" w:lineRule="auto"/>
        <w:jc w:val="center"/>
        <w:rPr>
          <w:rFonts w:ascii="Arial" w:eastAsia="DengXian" w:hAnsi="Arial" w:cs="Arial"/>
          <w:b/>
          <w:bCs/>
          <w:kern w:val="2"/>
          <w:sz w:val="22"/>
          <w:szCs w:val="22"/>
          <w:lang w:val="en-GB" w:eastAsia="zh-CN"/>
          <w14:ligatures w14:val="standardContextual"/>
        </w:rPr>
      </w:pPr>
      <w:r w:rsidRPr="000631F9">
        <w:rPr>
          <w:rFonts w:ascii="Arial" w:eastAsia="DengXian" w:hAnsi="Arial" w:cs="Arial"/>
          <w:b/>
          <w:bCs/>
          <w:kern w:val="2"/>
          <w:sz w:val="22"/>
          <w:szCs w:val="22"/>
          <w:lang w:val="en-GB" w:eastAsia="zh-CN"/>
          <w14:ligatures w14:val="standardContextual"/>
        </w:rPr>
        <w:lastRenderedPageBreak/>
        <w:t>ANNEX</w:t>
      </w:r>
    </w:p>
    <w:p w14:paraId="3EAA0B08" w14:textId="77777777" w:rsidR="007B6D03" w:rsidRPr="000631F9" w:rsidRDefault="007B6D03" w:rsidP="007B6D03">
      <w:pPr>
        <w:spacing w:after="160" w:line="259" w:lineRule="auto"/>
        <w:jc w:val="center"/>
        <w:rPr>
          <w:rFonts w:ascii="Arial" w:eastAsia="DengXian" w:hAnsi="Arial" w:cs="Arial"/>
          <w:b/>
          <w:bCs/>
          <w:kern w:val="2"/>
          <w:sz w:val="22"/>
          <w:szCs w:val="22"/>
          <w:lang w:val="en-GB" w:eastAsia="zh-CN"/>
          <w14:ligatures w14:val="standardContextual"/>
        </w:rPr>
      </w:pPr>
      <w:r w:rsidRPr="000631F9">
        <w:rPr>
          <w:rFonts w:ascii="Arial" w:eastAsia="DengXian" w:hAnsi="Arial" w:cs="Arial"/>
          <w:b/>
          <w:bCs/>
          <w:kern w:val="2"/>
          <w:sz w:val="22"/>
          <w:szCs w:val="22"/>
          <w:lang w:val="en-GB" w:eastAsia="zh-CN"/>
          <w14:ligatures w14:val="standardContextual"/>
        </w:rPr>
        <w:t>Proposed amendments to the Operational Directives for the implementation of the Convention</w:t>
      </w:r>
    </w:p>
    <w:p w14:paraId="7BF0E7E0" w14:textId="77777777" w:rsidR="008222B5" w:rsidRPr="000631F9" w:rsidRDefault="008222B5" w:rsidP="007B6D03">
      <w:pPr>
        <w:spacing w:after="160" w:line="259" w:lineRule="auto"/>
        <w:jc w:val="center"/>
        <w:rPr>
          <w:rFonts w:ascii="Arial" w:eastAsia="DengXian" w:hAnsi="Arial" w:cs="Arial"/>
          <w:b/>
          <w:bCs/>
          <w:kern w:val="2"/>
          <w:sz w:val="22"/>
          <w:szCs w:val="22"/>
          <w:lang w:val="en-GB" w:eastAsia="zh-CN"/>
          <w14:ligatures w14:val="standardContextual"/>
        </w:rPr>
      </w:pPr>
      <w:bookmarkStart w:id="5" w:name="PartI"/>
    </w:p>
    <w:p w14:paraId="0A1B098D" w14:textId="33175039" w:rsidR="008222B5" w:rsidRPr="000631F9" w:rsidRDefault="008222B5" w:rsidP="008222B5">
      <w:pPr>
        <w:pStyle w:val="Paragraphedeliste"/>
        <w:numPr>
          <w:ilvl w:val="0"/>
          <w:numId w:val="31"/>
        </w:numPr>
        <w:spacing w:after="160" w:line="259" w:lineRule="auto"/>
        <w:rPr>
          <w:rFonts w:ascii="Arial" w:eastAsia="DengXian" w:hAnsi="Arial" w:cs="Arial"/>
          <w:b/>
          <w:bCs/>
          <w:kern w:val="2"/>
          <w:sz w:val="22"/>
          <w:szCs w:val="22"/>
          <w:u w:val="single"/>
          <w:lang w:val="en-GB" w:eastAsia="zh-CN"/>
          <w14:ligatures w14:val="standardContextual"/>
        </w:rPr>
      </w:pPr>
      <w:r w:rsidRPr="000631F9">
        <w:rPr>
          <w:rFonts w:ascii="Arial" w:eastAsia="DengXian" w:hAnsi="Arial" w:cs="Arial"/>
          <w:b/>
          <w:bCs/>
          <w:kern w:val="2"/>
          <w:sz w:val="22"/>
          <w:szCs w:val="22"/>
          <w:u w:val="single"/>
          <w:lang w:val="en-GB" w:eastAsia="zh-CN"/>
          <w14:ligatures w14:val="standardContextual"/>
        </w:rPr>
        <w:t>Criteria for selection of programmes, projects and activities that best reflect the principles and objectives of the Convention</w:t>
      </w:r>
    </w:p>
    <w:tbl>
      <w:tblPr>
        <w:tblStyle w:val="Grilledutableau2"/>
        <w:tblW w:w="14312" w:type="dxa"/>
        <w:tblLayout w:type="fixed"/>
        <w:tblLook w:val="04A0" w:firstRow="1" w:lastRow="0" w:firstColumn="1" w:lastColumn="0" w:noHBand="0" w:noVBand="1"/>
      </w:tblPr>
      <w:tblGrid>
        <w:gridCol w:w="562"/>
        <w:gridCol w:w="6521"/>
        <w:gridCol w:w="567"/>
        <w:gridCol w:w="6662"/>
      </w:tblGrid>
      <w:tr w:rsidR="007B6D03" w:rsidRPr="000631F9" w14:paraId="70EE2989" w14:textId="77777777" w:rsidTr="007B6D03">
        <w:tc>
          <w:tcPr>
            <w:tcW w:w="7083" w:type="dxa"/>
            <w:gridSpan w:val="2"/>
            <w:shd w:val="clear" w:color="auto" w:fill="D9E2F3"/>
          </w:tcPr>
          <w:bookmarkEnd w:id="5"/>
          <w:p w14:paraId="77687329" w14:textId="77777777" w:rsidR="007B6D03" w:rsidRPr="000631F9" w:rsidRDefault="007B6D03" w:rsidP="007B6D03">
            <w:pPr>
              <w:spacing w:before="120" w:after="120"/>
              <w:jc w:val="center"/>
              <w:rPr>
                <w:rFonts w:ascii="Arial" w:eastAsia="Yu Mincho" w:hAnsi="Arial"/>
                <w:b/>
                <w:bCs/>
                <w:sz w:val="22"/>
                <w:szCs w:val="22"/>
                <w:lang w:val="en-GB"/>
              </w:rPr>
            </w:pPr>
            <w:r w:rsidRPr="000631F9">
              <w:rPr>
                <w:rFonts w:ascii="Arial" w:eastAsia="Yu Mincho" w:hAnsi="Arial"/>
                <w:b/>
                <w:bCs/>
                <w:sz w:val="22"/>
                <w:szCs w:val="22"/>
                <w:lang w:val="en-GB"/>
              </w:rPr>
              <w:t>Operational Directives (2022 edition)</w:t>
            </w:r>
          </w:p>
        </w:tc>
        <w:tc>
          <w:tcPr>
            <w:tcW w:w="7229" w:type="dxa"/>
            <w:gridSpan w:val="2"/>
            <w:shd w:val="clear" w:color="auto" w:fill="8EAADB"/>
          </w:tcPr>
          <w:p w14:paraId="7D16DB76" w14:textId="77777777" w:rsidR="007B6D03" w:rsidRPr="000631F9" w:rsidRDefault="007B6D03" w:rsidP="007B6D03">
            <w:pPr>
              <w:spacing w:before="120" w:after="120"/>
              <w:jc w:val="center"/>
              <w:rPr>
                <w:rFonts w:ascii="Arial" w:eastAsia="Yu Mincho" w:hAnsi="Arial"/>
                <w:b/>
                <w:bCs/>
                <w:sz w:val="22"/>
                <w:szCs w:val="22"/>
                <w:lang w:val="en-GB"/>
              </w:rPr>
            </w:pPr>
            <w:r w:rsidRPr="000631F9">
              <w:rPr>
                <w:rFonts w:ascii="Arial" w:eastAsia="Yu Mincho" w:hAnsi="Arial"/>
                <w:b/>
                <w:bCs/>
                <w:sz w:val="22"/>
                <w:szCs w:val="22"/>
                <w:lang w:val="en-GB"/>
              </w:rPr>
              <w:t>Proposed amendments</w:t>
            </w:r>
          </w:p>
        </w:tc>
      </w:tr>
      <w:tr w:rsidR="007B6D03" w:rsidRPr="000631F9" w14:paraId="1C7C98C5" w14:textId="77777777" w:rsidTr="00772CF0">
        <w:tc>
          <w:tcPr>
            <w:tcW w:w="562" w:type="dxa"/>
            <w:shd w:val="clear" w:color="auto" w:fill="F2F2F2"/>
          </w:tcPr>
          <w:p w14:paraId="7BBC6DB8" w14:textId="77777777" w:rsidR="007B6D03" w:rsidRPr="000631F9" w:rsidRDefault="007B6D03" w:rsidP="007B6D03">
            <w:pPr>
              <w:keepNext/>
              <w:keepLines/>
              <w:spacing w:before="120" w:after="120"/>
              <w:rPr>
                <w:rFonts w:ascii="Arial" w:eastAsia="Yu Mincho" w:hAnsi="Arial"/>
                <w:b/>
                <w:bCs/>
                <w:color w:val="1F4E79"/>
                <w:sz w:val="22"/>
                <w:szCs w:val="22"/>
                <w:lang w:val="en-GB"/>
              </w:rPr>
            </w:pPr>
            <w:r w:rsidRPr="000631F9">
              <w:rPr>
                <w:rFonts w:ascii="Arial" w:eastAsia="Yu Mincho" w:hAnsi="Arial"/>
                <w:b/>
                <w:bCs/>
                <w:color w:val="1F4E79"/>
                <w:sz w:val="22"/>
                <w:szCs w:val="22"/>
                <w:lang w:val="en-GB"/>
              </w:rPr>
              <w:t>I.3</w:t>
            </w:r>
          </w:p>
        </w:tc>
        <w:tc>
          <w:tcPr>
            <w:tcW w:w="6521" w:type="dxa"/>
            <w:shd w:val="clear" w:color="auto" w:fill="F2F2F2"/>
          </w:tcPr>
          <w:p w14:paraId="06CA1CEA" w14:textId="77777777" w:rsidR="007B6D03" w:rsidRPr="000631F9" w:rsidRDefault="007B6D03" w:rsidP="007B6D03">
            <w:pPr>
              <w:keepNext/>
              <w:keepLines/>
              <w:spacing w:before="120" w:after="120"/>
              <w:rPr>
                <w:rFonts w:ascii="Arial" w:eastAsia="Yu Mincho" w:hAnsi="Arial"/>
                <w:b/>
                <w:bCs/>
                <w:color w:val="1F4E79"/>
                <w:sz w:val="22"/>
                <w:szCs w:val="22"/>
                <w:lang w:val="en-GB"/>
              </w:rPr>
            </w:pPr>
            <w:bookmarkStart w:id="6" w:name="_Hlk162279238"/>
            <w:r w:rsidRPr="000631F9">
              <w:rPr>
                <w:rFonts w:ascii="Arial" w:eastAsia="Yu Mincho" w:hAnsi="Arial"/>
                <w:b/>
                <w:bCs/>
                <w:color w:val="1F4E79"/>
                <w:sz w:val="22"/>
                <w:szCs w:val="22"/>
                <w:lang w:val="en-GB"/>
              </w:rPr>
              <w:t>Criteria for selection of programmes, projects and activities that best reflect the principles and objectives of the Convention</w:t>
            </w:r>
            <w:bookmarkEnd w:id="6"/>
          </w:p>
        </w:tc>
        <w:tc>
          <w:tcPr>
            <w:tcW w:w="567" w:type="dxa"/>
            <w:shd w:val="clear" w:color="auto" w:fill="F2F2F2"/>
          </w:tcPr>
          <w:p w14:paraId="12C3F43C" w14:textId="77777777" w:rsidR="007B6D03" w:rsidRPr="000631F9" w:rsidRDefault="007B6D03" w:rsidP="007B6D03">
            <w:pPr>
              <w:keepNext/>
              <w:keepLines/>
              <w:spacing w:before="120" w:after="120"/>
              <w:rPr>
                <w:rFonts w:ascii="Arial" w:eastAsia="Yu Mincho" w:hAnsi="Arial"/>
                <w:b/>
                <w:bCs/>
                <w:sz w:val="22"/>
                <w:szCs w:val="22"/>
                <w:lang w:val="en-GB"/>
              </w:rPr>
            </w:pPr>
            <w:r w:rsidRPr="000631F9">
              <w:rPr>
                <w:rFonts w:ascii="Arial" w:eastAsia="Yu Mincho" w:hAnsi="Arial"/>
                <w:b/>
                <w:bCs/>
                <w:color w:val="1F4E79"/>
                <w:sz w:val="22"/>
                <w:szCs w:val="22"/>
                <w:lang w:val="en-GB"/>
              </w:rPr>
              <w:t>I.3</w:t>
            </w:r>
          </w:p>
        </w:tc>
        <w:tc>
          <w:tcPr>
            <w:tcW w:w="6662" w:type="dxa"/>
            <w:shd w:val="clear" w:color="auto" w:fill="F2F2F2"/>
          </w:tcPr>
          <w:p w14:paraId="027D5042" w14:textId="77777777" w:rsidR="007B6D03" w:rsidRPr="000631F9" w:rsidRDefault="007B6D03" w:rsidP="007B6D03">
            <w:pPr>
              <w:keepNext/>
              <w:keepLines/>
              <w:spacing w:before="120" w:after="120"/>
              <w:rPr>
                <w:rFonts w:ascii="Arial" w:eastAsia="Yu Mincho" w:hAnsi="Arial"/>
                <w:sz w:val="22"/>
                <w:szCs w:val="22"/>
                <w:lang w:val="en-GB"/>
              </w:rPr>
            </w:pPr>
            <w:r w:rsidRPr="000631F9">
              <w:rPr>
                <w:rFonts w:ascii="Arial" w:eastAsia="Yu Mincho" w:hAnsi="Arial"/>
                <w:sz w:val="22"/>
                <w:szCs w:val="22"/>
                <w:lang w:val="en-GB"/>
              </w:rPr>
              <w:t>[No change.]</w:t>
            </w:r>
          </w:p>
        </w:tc>
      </w:tr>
      <w:tr w:rsidR="007B6D03" w:rsidRPr="004D566A" w14:paraId="2FBC7DF2" w14:textId="77777777" w:rsidTr="00772CF0">
        <w:tc>
          <w:tcPr>
            <w:tcW w:w="562" w:type="dxa"/>
          </w:tcPr>
          <w:p w14:paraId="72FD7829" w14:textId="77777777" w:rsidR="007B6D03" w:rsidRPr="000631F9" w:rsidRDefault="007B6D03" w:rsidP="007B6D03">
            <w:pPr>
              <w:spacing w:before="60" w:after="60"/>
              <w:rPr>
                <w:rFonts w:ascii="Arial" w:eastAsia="Yu Mincho" w:hAnsi="Arial"/>
                <w:sz w:val="22"/>
                <w:szCs w:val="22"/>
                <w:lang w:val="en-GB"/>
              </w:rPr>
            </w:pPr>
            <w:r w:rsidRPr="000631F9">
              <w:rPr>
                <w:rFonts w:ascii="Arial" w:eastAsia="Yu Mincho" w:hAnsi="Arial"/>
                <w:sz w:val="22"/>
                <w:szCs w:val="22"/>
                <w:lang w:val="en-GB"/>
              </w:rPr>
              <w:t>7.</w:t>
            </w:r>
          </w:p>
        </w:tc>
        <w:tc>
          <w:tcPr>
            <w:tcW w:w="6521" w:type="dxa"/>
          </w:tcPr>
          <w:p w14:paraId="00F7AF64" w14:textId="77777777" w:rsidR="007B6D03" w:rsidRPr="000631F9"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From among the programmes, projects or activities proposed to it, the Committee shall select those that best satisfy all of the following criteria:</w:t>
            </w:r>
          </w:p>
          <w:p w14:paraId="3910316C" w14:textId="77777777" w:rsidR="007B6D03" w:rsidRPr="000631F9"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P.1 The programme, project or activity involves safeguarding, as defined in Article 2.3 of the Convention.</w:t>
            </w:r>
          </w:p>
          <w:p w14:paraId="3D44C883" w14:textId="77777777" w:rsidR="007B6D03" w:rsidRPr="000631F9"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 xml:space="preserve">P.2 The programme, project or activity promotes the coordination of efforts for safeguarding intangible cultural heritage on regional, subregional and/or international levels. </w:t>
            </w:r>
          </w:p>
          <w:p w14:paraId="12CD2B73" w14:textId="77777777" w:rsidR="007B6D03" w:rsidRPr="000631F9"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 xml:space="preserve">P.3 The programme, project or activity reflects the principles and objectives of the Convention. </w:t>
            </w:r>
          </w:p>
          <w:p w14:paraId="640896CB" w14:textId="77777777" w:rsidR="007B6D03" w:rsidRPr="000631F9"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 xml:space="preserve">P.4 The programme, project or activity has demonstrated effectiveness in contributing to the viability of the intangible cultural heritage concerned. </w:t>
            </w:r>
          </w:p>
          <w:p w14:paraId="388DD68B" w14:textId="77777777" w:rsidR="007B6D03" w:rsidRPr="000631F9"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 xml:space="preserve">P.5 The programme, project or activity is or has been implemented with the participation of the community, group or, if applicable, individuals concerned and with their free, prior and informed consent. </w:t>
            </w:r>
          </w:p>
          <w:p w14:paraId="346C6272" w14:textId="77777777" w:rsidR="007B6D03" w:rsidRPr="000631F9"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 xml:space="preserve">P.6 The programme, project or activity may serve as a subregional, regional or international model, as the case may be, for safeguarding activities. </w:t>
            </w:r>
          </w:p>
          <w:p w14:paraId="3D0981FC" w14:textId="77777777" w:rsidR="007B6D03" w:rsidRPr="000631F9"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P.7 The submitting State(s) Party(</w:t>
            </w:r>
            <w:proofErr w:type="spellStart"/>
            <w:r w:rsidRPr="000631F9">
              <w:rPr>
                <w:rFonts w:ascii="Arial" w:eastAsia="Calibri" w:hAnsi="Arial"/>
                <w:color w:val="231F20"/>
                <w:sz w:val="22"/>
                <w:szCs w:val="22"/>
                <w:lang w:val="en-GB" w:eastAsia="en-US"/>
              </w:rPr>
              <w:t>ies</w:t>
            </w:r>
            <w:proofErr w:type="spellEnd"/>
            <w:r w:rsidRPr="000631F9">
              <w:rPr>
                <w:rFonts w:ascii="Arial" w:eastAsia="Calibri" w:hAnsi="Arial"/>
                <w:color w:val="231F20"/>
                <w:sz w:val="22"/>
                <w:szCs w:val="22"/>
                <w:lang w:val="en-GB" w:eastAsia="en-US"/>
              </w:rPr>
              <w:t>), implementing body(</w:t>
            </w:r>
            <w:proofErr w:type="spellStart"/>
            <w:r w:rsidRPr="000631F9">
              <w:rPr>
                <w:rFonts w:ascii="Arial" w:eastAsia="Calibri" w:hAnsi="Arial"/>
                <w:color w:val="231F20"/>
                <w:sz w:val="22"/>
                <w:szCs w:val="22"/>
                <w:lang w:val="en-GB" w:eastAsia="en-US"/>
              </w:rPr>
              <w:t>ies</w:t>
            </w:r>
            <w:proofErr w:type="spellEnd"/>
            <w:r w:rsidRPr="000631F9">
              <w:rPr>
                <w:rFonts w:ascii="Arial" w:eastAsia="Calibri" w:hAnsi="Arial"/>
                <w:color w:val="231F20"/>
                <w:sz w:val="22"/>
                <w:szCs w:val="22"/>
                <w:lang w:val="en-GB" w:eastAsia="en-US"/>
              </w:rPr>
              <w:t xml:space="preserve">), and community, group or, if applicable, individuals concerned are willing to cooperate in the dissemination of best practices, if </w:t>
            </w:r>
            <w:r w:rsidRPr="000631F9">
              <w:rPr>
                <w:rFonts w:ascii="Arial" w:eastAsia="Calibri" w:hAnsi="Arial"/>
                <w:color w:val="231F20"/>
                <w:sz w:val="22"/>
                <w:szCs w:val="22"/>
                <w:lang w:val="en-GB" w:eastAsia="en-US"/>
              </w:rPr>
              <w:lastRenderedPageBreak/>
              <w:t xml:space="preserve">their programme, project or activity is selected. </w:t>
            </w:r>
          </w:p>
          <w:p w14:paraId="30CC80D5" w14:textId="77777777" w:rsidR="007B6D03" w:rsidRPr="000631F9"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P.8 The programme, project or activity features experiences that are susceptible to an assessment of their results.</w:t>
            </w:r>
          </w:p>
        </w:tc>
        <w:tc>
          <w:tcPr>
            <w:tcW w:w="567" w:type="dxa"/>
          </w:tcPr>
          <w:p w14:paraId="30772E84" w14:textId="77777777" w:rsidR="007B6D03" w:rsidRPr="000631F9" w:rsidRDefault="007B6D03" w:rsidP="007B6D03">
            <w:pPr>
              <w:spacing w:before="60" w:after="60"/>
              <w:rPr>
                <w:rFonts w:ascii="Arial" w:eastAsia="Yu Mincho" w:hAnsi="Arial"/>
                <w:sz w:val="22"/>
                <w:szCs w:val="22"/>
                <w:lang w:val="en-GB"/>
              </w:rPr>
            </w:pPr>
            <w:r w:rsidRPr="000631F9">
              <w:rPr>
                <w:rFonts w:ascii="Arial" w:eastAsia="Yu Mincho" w:hAnsi="Arial"/>
                <w:sz w:val="22"/>
                <w:szCs w:val="22"/>
                <w:lang w:val="en-GB"/>
              </w:rPr>
              <w:lastRenderedPageBreak/>
              <w:t>7.</w:t>
            </w:r>
          </w:p>
        </w:tc>
        <w:tc>
          <w:tcPr>
            <w:tcW w:w="6662" w:type="dxa"/>
          </w:tcPr>
          <w:p w14:paraId="67404E33" w14:textId="77777777" w:rsidR="007B6D03" w:rsidRPr="000631F9" w:rsidRDefault="007B6D03" w:rsidP="007B6D03">
            <w:pPr>
              <w:spacing w:before="60" w:after="60"/>
              <w:rPr>
                <w:rFonts w:ascii="Arial" w:eastAsia="Calibri" w:hAnsi="Arial"/>
                <w:color w:val="231F20"/>
                <w:sz w:val="22"/>
                <w:szCs w:val="22"/>
                <w:lang w:val="en-GB" w:eastAsia="en-US"/>
              </w:rPr>
            </w:pPr>
            <w:r w:rsidRPr="000631F9">
              <w:rPr>
                <w:rFonts w:ascii="Arial" w:eastAsia="Calibri" w:hAnsi="Arial"/>
                <w:color w:val="231F20"/>
                <w:sz w:val="22"/>
                <w:szCs w:val="22"/>
                <w:lang w:val="en-GB" w:eastAsia="en-US"/>
              </w:rPr>
              <w:t xml:space="preserve">From among the programmes, projects or activities proposed to it, the Committee shall select those that </w:t>
            </w:r>
            <w:r w:rsidRPr="000631F9">
              <w:rPr>
                <w:rFonts w:ascii="Arial" w:eastAsia="Calibri" w:hAnsi="Arial"/>
                <w:strike/>
                <w:color w:val="231F20"/>
                <w:sz w:val="22"/>
                <w:szCs w:val="22"/>
                <w:lang w:val="en-GB" w:eastAsia="en-US"/>
              </w:rPr>
              <w:t>best</w:t>
            </w:r>
            <w:r w:rsidRPr="00293DF9">
              <w:rPr>
                <w:rFonts w:ascii="Arial" w:eastAsia="Calibri" w:hAnsi="Arial"/>
                <w:strike/>
                <w:color w:val="231F20"/>
                <w:sz w:val="22"/>
                <w:szCs w:val="22"/>
                <w:lang w:val="en-GB" w:eastAsia="en-US"/>
              </w:rPr>
              <w:t xml:space="preserve"> </w:t>
            </w:r>
            <w:r w:rsidRPr="000631F9">
              <w:rPr>
                <w:rFonts w:ascii="Arial" w:eastAsia="Calibri" w:hAnsi="Arial"/>
                <w:color w:val="231F20"/>
                <w:sz w:val="22"/>
                <w:szCs w:val="22"/>
                <w:lang w:val="en-GB" w:eastAsia="en-US"/>
              </w:rPr>
              <w:t>satisfy all of the following criteria:</w:t>
            </w:r>
          </w:p>
          <w:p w14:paraId="2904E8F9" w14:textId="77777777" w:rsidR="007B6D03" w:rsidRPr="003A219E"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3A219E">
              <w:rPr>
                <w:rFonts w:ascii="Arial" w:eastAsia="Calibri" w:hAnsi="Arial"/>
                <w:strike/>
                <w:color w:val="231F20"/>
                <w:sz w:val="22"/>
                <w:szCs w:val="22"/>
                <w:lang w:val="en-GB" w:eastAsia="en-US"/>
              </w:rPr>
              <w:t>P.1</w:t>
            </w:r>
            <w:r w:rsidRPr="003A219E">
              <w:rPr>
                <w:rFonts w:ascii="Arial" w:eastAsia="Calibri" w:hAnsi="Arial"/>
                <w:color w:val="231F20"/>
                <w:sz w:val="22"/>
                <w:szCs w:val="22"/>
                <w:lang w:val="en-GB" w:eastAsia="en-US"/>
              </w:rPr>
              <w:t xml:space="preserve"> </w:t>
            </w:r>
            <w:r w:rsidRPr="003A219E">
              <w:rPr>
                <w:rFonts w:ascii="Arial" w:eastAsia="Calibri" w:hAnsi="Arial"/>
                <w:color w:val="231F20"/>
                <w:sz w:val="22"/>
                <w:szCs w:val="22"/>
                <w:u w:val="single"/>
                <w:lang w:val="en-GB" w:eastAsia="en-US"/>
              </w:rPr>
              <w:t>G.1</w:t>
            </w:r>
            <w:r w:rsidRPr="003A219E">
              <w:rPr>
                <w:rFonts w:ascii="Arial" w:eastAsia="Calibri" w:hAnsi="Arial"/>
                <w:color w:val="231F20"/>
                <w:sz w:val="22"/>
                <w:szCs w:val="22"/>
                <w:lang w:val="en-GB" w:eastAsia="en-US"/>
              </w:rPr>
              <w:t xml:space="preserve"> The programme, project or activity involves safeguarding, as defined in Article 2.3 of the Convention</w:t>
            </w:r>
            <w:r w:rsidRPr="004D566A">
              <w:rPr>
                <w:rFonts w:ascii="Arial" w:eastAsia="Calibri" w:hAnsi="Arial"/>
                <w:color w:val="231F20"/>
                <w:sz w:val="22"/>
                <w:szCs w:val="22"/>
                <w:u w:val="single"/>
                <w:lang w:val="en-GB" w:eastAsia="en-US"/>
              </w:rPr>
              <w:t xml:space="preserve">, </w:t>
            </w:r>
            <w:r w:rsidRPr="003A219E">
              <w:rPr>
                <w:rFonts w:ascii="Arial" w:eastAsia="Yu Mincho" w:hAnsi="Arial"/>
                <w:sz w:val="22"/>
                <w:szCs w:val="22"/>
                <w:u w:val="single"/>
                <w:lang w:val="en-GB"/>
              </w:rPr>
              <w:t>reflecting the principles and objectives of the Convention</w:t>
            </w:r>
            <w:r w:rsidRPr="004D566A">
              <w:rPr>
                <w:rFonts w:ascii="Arial" w:eastAsia="Yu Mincho" w:hAnsi="Arial"/>
                <w:sz w:val="22"/>
                <w:szCs w:val="22"/>
                <w:lang w:val="en-GB"/>
              </w:rPr>
              <w:t>.</w:t>
            </w:r>
            <w:r w:rsidRPr="003A219E">
              <w:rPr>
                <w:rFonts w:ascii="Arial" w:eastAsia="Yu Mincho" w:hAnsi="Arial"/>
                <w:sz w:val="22"/>
                <w:szCs w:val="22"/>
                <w:u w:val="single"/>
                <w:lang w:val="en-GB"/>
              </w:rPr>
              <w:t xml:space="preserve"> </w:t>
            </w:r>
          </w:p>
          <w:p w14:paraId="3C6A6842" w14:textId="77777777" w:rsidR="007B6D03" w:rsidRPr="003A219E" w:rsidRDefault="007B6D03" w:rsidP="007B6D03">
            <w:pPr>
              <w:widowControl w:val="0"/>
              <w:tabs>
                <w:tab w:val="left" w:pos="2127"/>
                <w:tab w:val="left" w:pos="2176"/>
              </w:tabs>
              <w:autoSpaceDE w:val="0"/>
              <w:autoSpaceDN w:val="0"/>
              <w:spacing w:before="60" w:after="60"/>
              <w:rPr>
                <w:rFonts w:ascii="Arial" w:eastAsia="Calibri" w:hAnsi="Arial"/>
                <w:strike/>
                <w:color w:val="231F20"/>
                <w:sz w:val="22"/>
                <w:szCs w:val="22"/>
                <w:lang w:val="en-GB" w:eastAsia="en-US"/>
              </w:rPr>
            </w:pPr>
            <w:r w:rsidRPr="003A219E">
              <w:rPr>
                <w:rFonts w:ascii="Arial" w:eastAsia="Calibri" w:hAnsi="Arial"/>
                <w:strike/>
                <w:color w:val="231F20"/>
                <w:sz w:val="22"/>
                <w:szCs w:val="22"/>
                <w:lang w:val="en-GB" w:eastAsia="en-US"/>
              </w:rPr>
              <w:t xml:space="preserve">P.2 The programme, project or activity promotes the coordination of efforts for safeguarding intangible cultural heritage on regional, subregional and/or international levels. </w:t>
            </w:r>
          </w:p>
          <w:p w14:paraId="592E709C" w14:textId="77777777" w:rsidR="007B6D03" w:rsidRPr="003A219E" w:rsidRDefault="007B6D03" w:rsidP="007B6D03">
            <w:pPr>
              <w:widowControl w:val="0"/>
              <w:tabs>
                <w:tab w:val="left" w:pos="2127"/>
                <w:tab w:val="left" w:pos="2176"/>
              </w:tabs>
              <w:autoSpaceDE w:val="0"/>
              <w:autoSpaceDN w:val="0"/>
              <w:spacing w:before="60" w:after="60"/>
              <w:rPr>
                <w:rFonts w:ascii="Arial" w:eastAsia="Calibri" w:hAnsi="Arial"/>
                <w:strike/>
                <w:color w:val="231F20"/>
                <w:sz w:val="22"/>
                <w:szCs w:val="22"/>
                <w:lang w:val="en-GB" w:eastAsia="en-US"/>
              </w:rPr>
            </w:pPr>
            <w:r w:rsidRPr="003A219E">
              <w:rPr>
                <w:rFonts w:ascii="Arial" w:eastAsia="Calibri" w:hAnsi="Arial"/>
                <w:strike/>
                <w:color w:val="231F20"/>
                <w:sz w:val="22"/>
                <w:szCs w:val="22"/>
                <w:lang w:val="en-GB" w:eastAsia="en-US"/>
              </w:rPr>
              <w:t xml:space="preserve">P.3 The programme, project or activity reflects the principles and objectives of the Convention. </w:t>
            </w:r>
          </w:p>
          <w:p w14:paraId="65A2F932" w14:textId="77777777" w:rsidR="007B6D03" w:rsidRPr="003A219E"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3A219E">
              <w:rPr>
                <w:rFonts w:ascii="Arial" w:eastAsia="Calibri" w:hAnsi="Arial"/>
                <w:strike/>
                <w:color w:val="231F20"/>
                <w:sz w:val="22"/>
                <w:szCs w:val="22"/>
                <w:lang w:val="en-GB" w:eastAsia="en-US"/>
              </w:rPr>
              <w:t>P.4</w:t>
            </w:r>
            <w:r w:rsidRPr="003A219E">
              <w:rPr>
                <w:rFonts w:ascii="Arial" w:eastAsia="Calibri" w:hAnsi="Arial"/>
                <w:color w:val="231F20"/>
                <w:sz w:val="22"/>
                <w:szCs w:val="22"/>
                <w:lang w:val="en-GB" w:eastAsia="en-US"/>
              </w:rPr>
              <w:t xml:space="preserve"> </w:t>
            </w:r>
            <w:r w:rsidRPr="003A219E">
              <w:rPr>
                <w:rFonts w:ascii="Arial" w:eastAsia="Calibri" w:hAnsi="Arial"/>
                <w:color w:val="231F20"/>
                <w:sz w:val="22"/>
                <w:szCs w:val="22"/>
                <w:u w:val="single"/>
                <w:lang w:val="en-GB" w:eastAsia="en-US"/>
              </w:rPr>
              <w:t>G.2</w:t>
            </w:r>
            <w:r w:rsidRPr="003A219E">
              <w:rPr>
                <w:rFonts w:ascii="Arial" w:eastAsia="Calibri" w:hAnsi="Arial"/>
                <w:color w:val="231F20"/>
                <w:sz w:val="22"/>
                <w:szCs w:val="22"/>
                <w:lang w:val="en-GB" w:eastAsia="en-US"/>
              </w:rPr>
              <w:t xml:space="preserve"> The programme, project or activity has demonstrated effectiveness in contributing to the viability of the intangible cultural heritage concerned. </w:t>
            </w:r>
          </w:p>
          <w:p w14:paraId="383EDBEA" w14:textId="77777777" w:rsidR="007B6D03" w:rsidRPr="003A219E"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3A219E">
              <w:rPr>
                <w:rFonts w:ascii="Arial" w:eastAsia="Calibri" w:hAnsi="Arial"/>
                <w:strike/>
                <w:color w:val="231F20"/>
                <w:sz w:val="22"/>
                <w:szCs w:val="22"/>
                <w:lang w:val="en-GB" w:eastAsia="en-US"/>
              </w:rPr>
              <w:t>P.5</w:t>
            </w:r>
            <w:r w:rsidRPr="003A219E">
              <w:rPr>
                <w:rFonts w:ascii="Arial" w:eastAsia="Calibri" w:hAnsi="Arial"/>
                <w:color w:val="231F20"/>
                <w:sz w:val="22"/>
                <w:szCs w:val="22"/>
                <w:lang w:val="en-GB" w:eastAsia="en-US"/>
              </w:rPr>
              <w:t xml:space="preserve"> </w:t>
            </w:r>
            <w:r w:rsidRPr="003A219E">
              <w:rPr>
                <w:rFonts w:ascii="Arial" w:eastAsia="Calibri" w:hAnsi="Arial"/>
                <w:color w:val="231F20"/>
                <w:sz w:val="22"/>
                <w:szCs w:val="22"/>
                <w:u w:val="single"/>
                <w:lang w:val="en-GB" w:eastAsia="en-US"/>
              </w:rPr>
              <w:t>G.3</w:t>
            </w:r>
            <w:r w:rsidRPr="003A219E">
              <w:rPr>
                <w:rFonts w:ascii="Arial" w:eastAsia="Calibri" w:hAnsi="Arial"/>
                <w:color w:val="231F20"/>
                <w:sz w:val="22"/>
                <w:szCs w:val="22"/>
                <w:lang w:val="en-GB" w:eastAsia="en-US"/>
              </w:rPr>
              <w:t xml:space="preserve"> The programme, project or activity is or has been implemented with the participation of the community, group or, if applicable, individuals concerned and with their free, prior, </w:t>
            </w:r>
            <w:r w:rsidRPr="003A219E">
              <w:rPr>
                <w:rFonts w:ascii="Arial" w:eastAsia="Calibri" w:hAnsi="Arial"/>
                <w:color w:val="231F20"/>
                <w:sz w:val="22"/>
                <w:szCs w:val="22"/>
                <w:u w:val="single"/>
                <w:lang w:val="en-GB" w:eastAsia="en-US"/>
              </w:rPr>
              <w:t>sustained</w:t>
            </w:r>
            <w:r w:rsidRPr="003A219E">
              <w:rPr>
                <w:rFonts w:ascii="Arial" w:eastAsia="Calibri" w:hAnsi="Arial"/>
                <w:color w:val="231F20"/>
                <w:sz w:val="22"/>
                <w:szCs w:val="22"/>
                <w:lang w:val="en-GB" w:eastAsia="en-US"/>
              </w:rPr>
              <w:t xml:space="preserve"> and informed consent. </w:t>
            </w:r>
          </w:p>
          <w:p w14:paraId="5E87774C" w14:textId="77777777" w:rsidR="007B6D03" w:rsidRPr="003A219E" w:rsidRDefault="007B6D03" w:rsidP="007B6D03">
            <w:pPr>
              <w:widowControl w:val="0"/>
              <w:tabs>
                <w:tab w:val="left" w:pos="2127"/>
                <w:tab w:val="left" w:pos="2176"/>
              </w:tabs>
              <w:autoSpaceDE w:val="0"/>
              <w:autoSpaceDN w:val="0"/>
              <w:spacing w:before="60" w:after="60"/>
              <w:rPr>
                <w:rFonts w:ascii="Arial" w:eastAsia="Calibri" w:hAnsi="Arial"/>
                <w:strike/>
                <w:color w:val="231F20"/>
                <w:sz w:val="22"/>
                <w:szCs w:val="22"/>
                <w:lang w:val="en-GB" w:eastAsia="en-US"/>
              </w:rPr>
            </w:pPr>
            <w:r w:rsidRPr="003A219E">
              <w:rPr>
                <w:rFonts w:ascii="Arial" w:eastAsia="Calibri" w:hAnsi="Arial"/>
                <w:strike/>
                <w:color w:val="231F20"/>
                <w:sz w:val="22"/>
                <w:szCs w:val="22"/>
                <w:lang w:val="en-GB" w:eastAsia="en-US"/>
              </w:rPr>
              <w:t xml:space="preserve">P.6 The programme, project or activity may serve as a subregional, regional or international model, as the case may be, for safeguarding activities. </w:t>
            </w:r>
          </w:p>
          <w:p w14:paraId="0DF88FE8" w14:textId="77777777" w:rsidR="007B6D03" w:rsidRPr="003A219E" w:rsidRDefault="007B6D03" w:rsidP="007B6D03">
            <w:pPr>
              <w:widowControl w:val="0"/>
              <w:tabs>
                <w:tab w:val="left" w:pos="2127"/>
                <w:tab w:val="left" w:pos="2176"/>
              </w:tabs>
              <w:autoSpaceDE w:val="0"/>
              <w:autoSpaceDN w:val="0"/>
              <w:spacing w:before="60" w:after="60"/>
              <w:rPr>
                <w:rFonts w:ascii="Arial" w:eastAsia="Calibri" w:hAnsi="Arial"/>
                <w:color w:val="231F20"/>
                <w:sz w:val="22"/>
                <w:szCs w:val="22"/>
                <w:lang w:val="en-GB" w:eastAsia="en-US"/>
              </w:rPr>
            </w:pPr>
            <w:r w:rsidRPr="003A219E">
              <w:rPr>
                <w:rFonts w:ascii="Arial" w:eastAsia="Calibri" w:hAnsi="Arial"/>
                <w:strike/>
                <w:color w:val="231F20"/>
                <w:sz w:val="22"/>
                <w:szCs w:val="22"/>
                <w:lang w:val="en-GB" w:eastAsia="en-US"/>
              </w:rPr>
              <w:t>P.7</w:t>
            </w:r>
            <w:r w:rsidRPr="003A219E">
              <w:rPr>
                <w:rFonts w:ascii="Arial" w:eastAsia="Calibri" w:hAnsi="Arial"/>
                <w:color w:val="231F20"/>
                <w:sz w:val="22"/>
                <w:szCs w:val="22"/>
                <w:lang w:val="en-GB" w:eastAsia="en-US"/>
              </w:rPr>
              <w:t xml:space="preserve"> </w:t>
            </w:r>
            <w:r w:rsidRPr="003A219E">
              <w:rPr>
                <w:rFonts w:ascii="Arial" w:eastAsia="Calibri" w:hAnsi="Arial"/>
                <w:color w:val="231F20"/>
                <w:sz w:val="22"/>
                <w:szCs w:val="22"/>
                <w:u w:val="single"/>
                <w:lang w:val="en-GB" w:eastAsia="en-US"/>
              </w:rPr>
              <w:t>G.4</w:t>
            </w:r>
            <w:r w:rsidRPr="003A219E">
              <w:rPr>
                <w:rFonts w:ascii="Arial" w:eastAsia="Calibri" w:hAnsi="Arial"/>
                <w:color w:val="231F20"/>
                <w:sz w:val="22"/>
                <w:szCs w:val="22"/>
                <w:lang w:val="en-GB" w:eastAsia="en-US"/>
              </w:rPr>
              <w:t xml:space="preserve"> The submitting State(s) Party(</w:t>
            </w:r>
            <w:proofErr w:type="spellStart"/>
            <w:r w:rsidRPr="003A219E">
              <w:rPr>
                <w:rFonts w:ascii="Arial" w:eastAsia="Calibri" w:hAnsi="Arial"/>
                <w:color w:val="231F20"/>
                <w:sz w:val="22"/>
                <w:szCs w:val="22"/>
                <w:lang w:val="en-GB" w:eastAsia="en-US"/>
              </w:rPr>
              <w:t>ies</w:t>
            </w:r>
            <w:proofErr w:type="spellEnd"/>
            <w:r w:rsidRPr="003A219E">
              <w:rPr>
                <w:rFonts w:ascii="Arial" w:eastAsia="Calibri" w:hAnsi="Arial"/>
                <w:color w:val="231F20"/>
                <w:sz w:val="22"/>
                <w:szCs w:val="22"/>
                <w:lang w:val="en-GB" w:eastAsia="en-US"/>
              </w:rPr>
              <w:t>), implementing body(</w:t>
            </w:r>
            <w:proofErr w:type="spellStart"/>
            <w:r w:rsidRPr="003A219E">
              <w:rPr>
                <w:rFonts w:ascii="Arial" w:eastAsia="Calibri" w:hAnsi="Arial"/>
                <w:color w:val="231F20"/>
                <w:sz w:val="22"/>
                <w:szCs w:val="22"/>
                <w:lang w:val="en-GB" w:eastAsia="en-US"/>
              </w:rPr>
              <w:t>ies</w:t>
            </w:r>
            <w:proofErr w:type="spellEnd"/>
            <w:r w:rsidRPr="003A219E">
              <w:rPr>
                <w:rFonts w:ascii="Arial" w:eastAsia="Calibri" w:hAnsi="Arial"/>
                <w:color w:val="231F20"/>
                <w:sz w:val="22"/>
                <w:szCs w:val="22"/>
                <w:lang w:val="en-GB" w:eastAsia="en-US"/>
              </w:rPr>
              <w:t xml:space="preserve">), and community, group or, if applicable, individuals </w:t>
            </w:r>
            <w:r w:rsidRPr="003A219E">
              <w:rPr>
                <w:rFonts w:ascii="Arial" w:eastAsia="Calibri" w:hAnsi="Arial"/>
                <w:color w:val="231F20"/>
                <w:sz w:val="22"/>
                <w:szCs w:val="22"/>
                <w:lang w:val="en-GB" w:eastAsia="en-US"/>
              </w:rPr>
              <w:lastRenderedPageBreak/>
              <w:t xml:space="preserve">concerned are willing to </w:t>
            </w:r>
            <w:r w:rsidRPr="003A219E">
              <w:rPr>
                <w:rFonts w:ascii="Arial" w:eastAsia="Calibri" w:hAnsi="Arial"/>
                <w:color w:val="231F20"/>
                <w:sz w:val="22"/>
                <w:szCs w:val="22"/>
                <w:u w:val="single"/>
                <w:lang w:val="en-GB" w:eastAsia="en-US"/>
              </w:rPr>
              <w:t>coordinate and</w:t>
            </w:r>
            <w:r w:rsidRPr="003A219E">
              <w:rPr>
                <w:rFonts w:ascii="Arial" w:eastAsia="Calibri" w:hAnsi="Arial"/>
                <w:color w:val="231F20"/>
                <w:sz w:val="22"/>
                <w:szCs w:val="22"/>
                <w:lang w:val="en-GB" w:eastAsia="en-US"/>
              </w:rPr>
              <w:t xml:space="preserve"> cooperate in the dissemination of </w:t>
            </w:r>
            <w:r w:rsidRPr="003A219E">
              <w:rPr>
                <w:rFonts w:ascii="Arial" w:eastAsia="Calibri" w:hAnsi="Arial"/>
                <w:strike/>
                <w:color w:val="231F20"/>
                <w:sz w:val="22"/>
                <w:szCs w:val="22"/>
                <w:lang w:val="en-GB" w:eastAsia="en-US"/>
              </w:rPr>
              <w:t>best</w:t>
            </w:r>
            <w:r w:rsidRPr="003A219E">
              <w:rPr>
                <w:rFonts w:ascii="Arial" w:eastAsia="Calibri" w:hAnsi="Arial"/>
                <w:color w:val="231F20"/>
                <w:sz w:val="22"/>
                <w:szCs w:val="22"/>
                <w:lang w:val="en-GB" w:eastAsia="en-US"/>
              </w:rPr>
              <w:t xml:space="preserve"> </w:t>
            </w:r>
            <w:r w:rsidRPr="003A219E">
              <w:rPr>
                <w:rFonts w:ascii="Arial" w:eastAsia="Calibri" w:hAnsi="Arial"/>
                <w:color w:val="231F20"/>
                <w:sz w:val="22"/>
                <w:szCs w:val="22"/>
                <w:u w:val="single"/>
                <w:lang w:val="en-GB" w:eastAsia="en-US"/>
              </w:rPr>
              <w:t>good</w:t>
            </w:r>
            <w:r w:rsidRPr="003A219E">
              <w:rPr>
                <w:rFonts w:ascii="Arial" w:eastAsia="Calibri" w:hAnsi="Arial"/>
                <w:color w:val="231F20"/>
                <w:sz w:val="22"/>
                <w:szCs w:val="22"/>
                <w:lang w:val="en-GB" w:eastAsia="en-US"/>
              </w:rPr>
              <w:t xml:space="preserve"> practices, if their programme, project or activity is selected.</w:t>
            </w:r>
            <w:r w:rsidRPr="003A219E">
              <w:rPr>
                <w:rFonts w:ascii="Arial" w:eastAsia="Yu Mincho" w:hAnsi="Arial"/>
                <w:sz w:val="22"/>
                <w:szCs w:val="22"/>
                <w:u w:val="single"/>
                <w:lang w:val="en-GB"/>
              </w:rPr>
              <w:t xml:space="preserve"> They may serve as a source of inspiration at local, subregional, regional or international levels, as the case may be, for safeguarding activities</w:t>
            </w:r>
            <w:r w:rsidRPr="004D566A">
              <w:rPr>
                <w:rFonts w:ascii="Arial" w:eastAsia="Calibri" w:hAnsi="Arial"/>
                <w:sz w:val="22"/>
                <w:szCs w:val="22"/>
                <w:u w:val="single"/>
                <w:lang w:val="en-GB" w:eastAsia="en-US"/>
              </w:rPr>
              <w:t>.</w:t>
            </w:r>
            <w:r w:rsidRPr="003A219E">
              <w:rPr>
                <w:rFonts w:ascii="Arial" w:eastAsia="Calibri" w:hAnsi="Arial"/>
                <w:color w:val="231F20"/>
                <w:sz w:val="22"/>
                <w:szCs w:val="22"/>
                <w:lang w:val="en-GB" w:eastAsia="en-US"/>
              </w:rPr>
              <w:t xml:space="preserve"> </w:t>
            </w:r>
          </w:p>
          <w:p w14:paraId="13B55CF9" w14:textId="77777777" w:rsidR="007B6D03" w:rsidRPr="000631F9" w:rsidRDefault="007B6D03" w:rsidP="007B6D03">
            <w:pPr>
              <w:spacing w:before="60" w:after="60"/>
              <w:rPr>
                <w:rFonts w:ascii="Arial" w:eastAsia="Yu Mincho" w:hAnsi="Arial"/>
                <w:strike/>
                <w:sz w:val="22"/>
                <w:szCs w:val="22"/>
                <w:lang w:val="en-GB"/>
              </w:rPr>
            </w:pPr>
            <w:r w:rsidRPr="003A219E">
              <w:rPr>
                <w:rFonts w:ascii="Arial" w:eastAsia="Calibri" w:hAnsi="Arial"/>
                <w:strike/>
                <w:color w:val="231F20"/>
                <w:sz w:val="22"/>
                <w:szCs w:val="22"/>
                <w:lang w:val="en-GB" w:eastAsia="en-US"/>
              </w:rPr>
              <w:t>P.8 The programme, project or activity features experiences that are susceptible to an assessment of their results.</w:t>
            </w:r>
          </w:p>
        </w:tc>
      </w:tr>
    </w:tbl>
    <w:p w14:paraId="1B08DF9D" w14:textId="77777777" w:rsidR="00190205" w:rsidRPr="000631F9" w:rsidRDefault="00190205" w:rsidP="00D86BB3">
      <w:pPr>
        <w:rPr>
          <w:rFonts w:ascii="Arial" w:eastAsia="SimSun" w:hAnsi="Arial" w:cs="Arial"/>
          <w:sz w:val="22"/>
          <w:szCs w:val="22"/>
          <w:u w:val="single"/>
          <w:lang w:val="en-GB"/>
        </w:rPr>
      </w:pPr>
    </w:p>
    <w:p w14:paraId="0F6258AD" w14:textId="77777777" w:rsidR="00063D10" w:rsidRPr="000631F9" w:rsidRDefault="00063D10" w:rsidP="00D86BB3">
      <w:pPr>
        <w:rPr>
          <w:rFonts w:ascii="Arial" w:eastAsia="SimSun" w:hAnsi="Arial" w:cs="Arial"/>
          <w:sz w:val="22"/>
          <w:szCs w:val="22"/>
          <w:u w:val="single"/>
          <w:lang w:val="en-GB"/>
        </w:rPr>
      </w:pPr>
    </w:p>
    <w:p w14:paraId="0E7772A4" w14:textId="5B71DF08" w:rsidR="00063D10" w:rsidRPr="000631F9" w:rsidRDefault="008222B5" w:rsidP="008222B5">
      <w:pPr>
        <w:pStyle w:val="Paragraphedeliste"/>
        <w:numPr>
          <w:ilvl w:val="0"/>
          <w:numId w:val="31"/>
        </w:numPr>
        <w:spacing w:after="160" w:line="259" w:lineRule="auto"/>
        <w:rPr>
          <w:rFonts w:ascii="Arial" w:eastAsia="DengXian" w:hAnsi="Arial" w:cs="Arial"/>
          <w:b/>
          <w:bCs/>
          <w:kern w:val="2"/>
          <w:sz w:val="22"/>
          <w:szCs w:val="22"/>
          <w:u w:val="single"/>
          <w:lang w:val="en-GB" w:eastAsia="zh-CN"/>
          <w14:ligatures w14:val="standardContextual"/>
        </w:rPr>
      </w:pPr>
      <w:bookmarkStart w:id="7" w:name="PartII"/>
      <w:r w:rsidRPr="000631F9">
        <w:rPr>
          <w:rFonts w:ascii="Arial" w:eastAsia="DengXian" w:hAnsi="Arial" w:cs="Arial"/>
          <w:b/>
          <w:bCs/>
          <w:kern w:val="2"/>
          <w:sz w:val="22"/>
          <w:szCs w:val="22"/>
          <w:u w:val="single"/>
          <w:lang w:val="en-GB" w:eastAsia="zh-CN"/>
          <w14:ligatures w14:val="standardContextual"/>
        </w:rPr>
        <w:t xml:space="preserve">Submission of files </w:t>
      </w:r>
    </w:p>
    <w:tbl>
      <w:tblPr>
        <w:tblStyle w:val="Grilledutableau2"/>
        <w:tblW w:w="14312" w:type="dxa"/>
        <w:tblLayout w:type="fixed"/>
        <w:tblLook w:val="04A0" w:firstRow="1" w:lastRow="0" w:firstColumn="1" w:lastColumn="0" w:noHBand="0" w:noVBand="1"/>
      </w:tblPr>
      <w:tblGrid>
        <w:gridCol w:w="564"/>
        <w:gridCol w:w="6536"/>
        <w:gridCol w:w="568"/>
        <w:gridCol w:w="6644"/>
      </w:tblGrid>
      <w:tr w:rsidR="008222B5" w:rsidRPr="000631F9" w14:paraId="449B9989" w14:textId="77777777" w:rsidTr="008222B5">
        <w:tc>
          <w:tcPr>
            <w:tcW w:w="7100" w:type="dxa"/>
            <w:gridSpan w:val="2"/>
            <w:shd w:val="clear" w:color="auto" w:fill="C6D9F1" w:themeFill="text2" w:themeFillTint="33"/>
          </w:tcPr>
          <w:bookmarkEnd w:id="7"/>
          <w:p w14:paraId="360086CC" w14:textId="205DECCC" w:rsidR="008222B5" w:rsidRPr="000631F9" w:rsidRDefault="008222B5" w:rsidP="008222B5">
            <w:pPr>
              <w:spacing w:before="120" w:after="120"/>
              <w:jc w:val="center"/>
              <w:rPr>
                <w:rFonts w:ascii="Arial" w:eastAsia="Yu Mincho" w:hAnsi="Arial"/>
                <w:b/>
                <w:bCs/>
                <w:color w:val="1F4E79"/>
                <w:sz w:val="22"/>
                <w:szCs w:val="22"/>
                <w:lang w:val="en-GB"/>
              </w:rPr>
            </w:pPr>
            <w:r w:rsidRPr="000631F9">
              <w:rPr>
                <w:rFonts w:ascii="Arial" w:eastAsia="Yu Mincho" w:hAnsi="Arial"/>
                <w:b/>
                <w:bCs/>
                <w:sz w:val="22"/>
                <w:szCs w:val="22"/>
                <w:lang w:val="en-GB"/>
              </w:rPr>
              <w:t>Operational Directives (2022 edition)</w:t>
            </w:r>
          </w:p>
        </w:tc>
        <w:tc>
          <w:tcPr>
            <w:tcW w:w="7212" w:type="dxa"/>
            <w:gridSpan w:val="2"/>
            <w:shd w:val="clear" w:color="auto" w:fill="4F81BD" w:themeFill="accent1"/>
          </w:tcPr>
          <w:p w14:paraId="2CF16AD1" w14:textId="4333E216" w:rsidR="008222B5" w:rsidRPr="000631F9" w:rsidRDefault="008222B5" w:rsidP="008222B5">
            <w:pPr>
              <w:keepNext/>
              <w:keepLines/>
              <w:spacing w:before="120" w:after="120"/>
              <w:jc w:val="center"/>
              <w:rPr>
                <w:rFonts w:ascii="Arial" w:eastAsia="Yu Mincho" w:hAnsi="Arial"/>
                <w:sz w:val="22"/>
                <w:szCs w:val="22"/>
                <w:lang w:val="en-GB"/>
              </w:rPr>
            </w:pPr>
            <w:r w:rsidRPr="000631F9">
              <w:rPr>
                <w:rFonts w:ascii="Arial" w:eastAsia="Yu Mincho" w:hAnsi="Arial"/>
                <w:b/>
                <w:bCs/>
                <w:sz w:val="22"/>
                <w:szCs w:val="22"/>
                <w:lang w:val="en-GB"/>
              </w:rPr>
              <w:t>Proposed amendments</w:t>
            </w:r>
          </w:p>
        </w:tc>
      </w:tr>
      <w:tr w:rsidR="00063D10" w:rsidRPr="000631F9" w14:paraId="55F5FF41" w14:textId="77777777" w:rsidTr="008222B5">
        <w:tc>
          <w:tcPr>
            <w:tcW w:w="564" w:type="dxa"/>
            <w:shd w:val="clear" w:color="auto" w:fill="F2F2F2"/>
          </w:tcPr>
          <w:p w14:paraId="7048F843" w14:textId="77777777" w:rsidR="00063D10" w:rsidRPr="000631F9" w:rsidRDefault="00063D10" w:rsidP="00F74980">
            <w:pPr>
              <w:keepNext/>
              <w:keepLines/>
              <w:spacing w:before="120" w:after="120"/>
              <w:rPr>
                <w:rFonts w:ascii="Arial" w:eastAsia="Yu Mincho" w:hAnsi="Arial"/>
                <w:b/>
                <w:bCs/>
                <w:sz w:val="22"/>
                <w:szCs w:val="22"/>
                <w:lang w:val="en-GB"/>
              </w:rPr>
            </w:pPr>
            <w:r w:rsidRPr="000631F9">
              <w:rPr>
                <w:rFonts w:ascii="Arial" w:eastAsia="Yu Mincho" w:hAnsi="Arial"/>
                <w:b/>
                <w:bCs/>
                <w:color w:val="1F4E79"/>
                <w:sz w:val="22"/>
                <w:szCs w:val="22"/>
                <w:lang w:val="en-GB"/>
              </w:rPr>
              <w:t>I.7</w:t>
            </w:r>
          </w:p>
        </w:tc>
        <w:tc>
          <w:tcPr>
            <w:tcW w:w="6536" w:type="dxa"/>
            <w:shd w:val="clear" w:color="auto" w:fill="F2F2F2"/>
          </w:tcPr>
          <w:p w14:paraId="3A691E7F" w14:textId="77777777" w:rsidR="00063D10" w:rsidRPr="000631F9" w:rsidRDefault="00063D10" w:rsidP="00F74980">
            <w:pPr>
              <w:keepNext/>
              <w:keepLines/>
              <w:spacing w:before="120" w:after="120"/>
              <w:rPr>
                <w:rFonts w:ascii="Arial" w:eastAsia="Yu Mincho" w:hAnsi="Arial"/>
                <w:b/>
                <w:bCs/>
                <w:sz w:val="22"/>
                <w:szCs w:val="22"/>
                <w:lang w:val="en-GB"/>
              </w:rPr>
            </w:pPr>
            <w:r w:rsidRPr="000631F9">
              <w:rPr>
                <w:rFonts w:ascii="Arial" w:eastAsia="Yu Mincho" w:hAnsi="Arial"/>
                <w:b/>
                <w:bCs/>
                <w:color w:val="1F4E79"/>
                <w:sz w:val="22"/>
                <w:szCs w:val="22"/>
                <w:lang w:val="en-GB"/>
              </w:rPr>
              <w:t>Submission of files</w:t>
            </w:r>
          </w:p>
        </w:tc>
        <w:tc>
          <w:tcPr>
            <w:tcW w:w="568" w:type="dxa"/>
            <w:shd w:val="clear" w:color="auto" w:fill="F2F2F2"/>
          </w:tcPr>
          <w:p w14:paraId="6DC3C739" w14:textId="77777777" w:rsidR="00063D10" w:rsidRPr="000631F9" w:rsidRDefault="00063D10" w:rsidP="00F74980">
            <w:pPr>
              <w:keepNext/>
              <w:keepLines/>
              <w:spacing w:before="120" w:after="120"/>
              <w:rPr>
                <w:rFonts w:ascii="Arial" w:eastAsia="Yu Mincho" w:hAnsi="Arial"/>
                <w:b/>
                <w:bCs/>
                <w:sz w:val="22"/>
                <w:szCs w:val="22"/>
                <w:lang w:val="en-GB"/>
              </w:rPr>
            </w:pPr>
            <w:r w:rsidRPr="000631F9">
              <w:rPr>
                <w:rFonts w:ascii="Arial" w:eastAsia="Yu Mincho" w:hAnsi="Arial"/>
                <w:b/>
                <w:bCs/>
                <w:color w:val="1F4E79"/>
                <w:sz w:val="22"/>
                <w:szCs w:val="22"/>
                <w:lang w:val="en-GB"/>
              </w:rPr>
              <w:t>I.7</w:t>
            </w:r>
          </w:p>
        </w:tc>
        <w:tc>
          <w:tcPr>
            <w:tcW w:w="6644" w:type="dxa"/>
            <w:shd w:val="clear" w:color="auto" w:fill="F2F2F2"/>
          </w:tcPr>
          <w:p w14:paraId="0ABED4CA" w14:textId="77777777" w:rsidR="00063D10" w:rsidRPr="000631F9" w:rsidRDefault="00063D10" w:rsidP="00F74980">
            <w:pPr>
              <w:keepNext/>
              <w:keepLines/>
              <w:spacing w:before="120" w:after="120"/>
              <w:rPr>
                <w:rFonts w:ascii="Arial" w:eastAsia="Yu Mincho" w:hAnsi="Arial"/>
                <w:sz w:val="22"/>
                <w:szCs w:val="22"/>
                <w:lang w:val="en-GB"/>
              </w:rPr>
            </w:pPr>
            <w:r w:rsidRPr="000631F9">
              <w:rPr>
                <w:rFonts w:ascii="Arial" w:eastAsia="Yu Mincho" w:hAnsi="Arial"/>
                <w:sz w:val="22"/>
                <w:szCs w:val="22"/>
                <w:lang w:val="en-GB"/>
              </w:rPr>
              <w:t>[No change.]</w:t>
            </w:r>
          </w:p>
        </w:tc>
      </w:tr>
      <w:tr w:rsidR="00063D10" w:rsidRPr="004D566A" w14:paraId="69B64D5E" w14:textId="77777777" w:rsidTr="008222B5">
        <w:tc>
          <w:tcPr>
            <w:tcW w:w="564" w:type="dxa"/>
          </w:tcPr>
          <w:p w14:paraId="594E5174" w14:textId="77777777" w:rsidR="00063D10" w:rsidRPr="000631F9" w:rsidRDefault="00063D10" w:rsidP="00F74980">
            <w:pPr>
              <w:keepLines/>
              <w:spacing w:before="60" w:after="60"/>
              <w:rPr>
                <w:rFonts w:ascii="Arial" w:eastAsia="Yu Mincho" w:hAnsi="Arial"/>
                <w:sz w:val="22"/>
                <w:szCs w:val="22"/>
                <w:lang w:val="en-GB"/>
              </w:rPr>
            </w:pPr>
            <w:r w:rsidRPr="000631F9">
              <w:rPr>
                <w:rFonts w:ascii="Arial" w:eastAsia="Yu Mincho" w:hAnsi="Arial"/>
                <w:sz w:val="22"/>
                <w:szCs w:val="22"/>
                <w:lang w:val="en-GB"/>
              </w:rPr>
              <w:t>21.</w:t>
            </w:r>
          </w:p>
        </w:tc>
        <w:tc>
          <w:tcPr>
            <w:tcW w:w="6536" w:type="dxa"/>
          </w:tcPr>
          <w:p w14:paraId="2C97BE1C" w14:textId="77777777" w:rsidR="00063D10" w:rsidRPr="000631F9" w:rsidRDefault="00063D10" w:rsidP="00F74980">
            <w:pPr>
              <w:keepLines/>
              <w:snapToGrid w:val="0"/>
              <w:spacing w:before="120" w:after="120"/>
              <w:rPr>
                <w:rFonts w:ascii="Arial" w:eastAsia="Yu Mincho" w:hAnsi="Arial"/>
                <w:sz w:val="22"/>
                <w:szCs w:val="22"/>
                <w:lang w:val="en-GB"/>
              </w:rPr>
            </w:pPr>
            <w:r w:rsidRPr="000631F9">
              <w:rPr>
                <w:rFonts w:ascii="Arial" w:eastAsia="Yu Mincho" w:hAnsi="Arial"/>
                <w:sz w:val="22"/>
                <w:szCs w:val="22"/>
                <w:lang w:val="en-GB"/>
              </w:rPr>
              <w:t>States Parties may request preparatory assistance, in consultation with communities, groups and where appropriate, individuals concerned, for the elaboration of:</w:t>
            </w:r>
          </w:p>
          <w:p w14:paraId="54651262" w14:textId="77777777" w:rsidR="00063D10" w:rsidRPr="000631F9" w:rsidRDefault="00063D10" w:rsidP="00F74980">
            <w:pPr>
              <w:keepLines/>
              <w:snapToGrid w:val="0"/>
              <w:spacing w:before="120" w:after="120"/>
              <w:ind w:left="422" w:hanging="422"/>
              <w:rPr>
                <w:rFonts w:ascii="Arial" w:eastAsia="Yu Mincho" w:hAnsi="Arial"/>
                <w:sz w:val="22"/>
                <w:szCs w:val="22"/>
                <w:lang w:val="en-GB"/>
              </w:rPr>
            </w:pPr>
            <w:r w:rsidRPr="000631F9">
              <w:rPr>
                <w:rFonts w:ascii="Arial" w:eastAsia="Yu Mincho" w:hAnsi="Arial"/>
                <w:sz w:val="22"/>
                <w:szCs w:val="22"/>
                <w:lang w:val="en-GB"/>
              </w:rPr>
              <w:t>(a)</w:t>
            </w:r>
            <w:r w:rsidRPr="000631F9">
              <w:rPr>
                <w:rFonts w:ascii="Arial" w:eastAsia="Yu Mincho" w:hAnsi="Arial"/>
                <w:sz w:val="22"/>
                <w:szCs w:val="22"/>
                <w:lang w:val="en-GB"/>
              </w:rPr>
              <w:tab/>
              <w:t xml:space="preserve">nomination files to the List of Intangible Cultural Heritage in Need of Urgent Safeguarding, </w:t>
            </w:r>
          </w:p>
          <w:p w14:paraId="447F2E1D" w14:textId="77777777" w:rsidR="00063D10" w:rsidRPr="000631F9" w:rsidRDefault="00063D10" w:rsidP="00F74980">
            <w:pPr>
              <w:keepLines/>
              <w:snapToGrid w:val="0"/>
              <w:spacing w:before="120" w:after="120"/>
              <w:ind w:left="422" w:hanging="422"/>
              <w:rPr>
                <w:rFonts w:ascii="Arial" w:eastAsia="Yu Mincho" w:hAnsi="Arial"/>
                <w:sz w:val="22"/>
                <w:szCs w:val="22"/>
                <w:lang w:val="en-GB"/>
              </w:rPr>
            </w:pPr>
            <w:r w:rsidRPr="000631F9">
              <w:rPr>
                <w:rFonts w:ascii="Arial" w:eastAsia="Yu Mincho" w:hAnsi="Arial"/>
                <w:sz w:val="22"/>
                <w:szCs w:val="22"/>
                <w:lang w:val="en-GB"/>
              </w:rPr>
              <w:t>(b)</w:t>
            </w:r>
            <w:r w:rsidRPr="000631F9">
              <w:rPr>
                <w:rFonts w:ascii="Arial" w:eastAsia="Yu Mincho" w:hAnsi="Arial"/>
                <w:sz w:val="22"/>
                <w:szCs w:val="22"/>
                <w:lang w:val="en-GB"/>
              </w:rPr>
              <w:tab/>
              <w:t>proposals of programmes, projects and activities that best reflect the principles and objectives of the Convention,</w:t>
            </w:r>
          </w:p>
          <w:p w14:paraId="5E18F9AE" w14:textId="77777777" w:rsidR="00063D10" w:rsidRPr="000631F9" w:rsidRDefault="00063D10" w:rsidP="00F74980">
            <w:pPr>
              <w:keepLines/>
              <w:snapToGrid w:val="0"/>
              <w:spacing w:before="120" w:after="120"/>
              <w:ind w:left="422" w:hanging="422"/>
              <w:rPr>
                <w:rFonts w:ascii="Arial" w:eastAsia="Yu Mincho" w:hAnsi="Arial"/>
                <w:sz w:val="22"/>
                <w:szCs w:val="22"/>
                <w:lang w:val="en-GB"/>
              </w:rPr>
            </w:pPr>
            <w:r w:rsidRPr="000631F9">
              <w:rPr>
                <w:rFonts w:ascii="Arial" w:eastAsia="Yu Mincho" w:hAnsi="Arial"/>
                <w:sz w:val="22"/>
                <w:szCs w:val="22"/>
                <w:lang w:val="en-GB"/>
              </w:rPr>
              <w:t>(c)</w:t>
            </w:r>
            <w:r w:rsidRPr="000631F9">
              <w:rPr>
                <w:rFonts w:ascii="Arial" w:eastAsia="Yu Mincho" w:hAnsi="Arial"/>
                <w:sz w:val="22"/>
                <w:szCs w:val="22"/>
                <w:lang w:val="en-GB"/>
              </w:rPr>
              <w:tab/>
              <w:t xml:space="preserve">requests for the transfer of an element from one List to another, and </w:t>
            </w:r>
          </w:p>
          <w:p w14:paraId="7F2F7EAB" w14:textId="77777777" w:rsidR="00063D10" w:rsidRPr="000631F9" w:rsidRDefault="00063D10" w:rsidP="00F74980">
            <w:pPr>
              <w:keepLines/>
              <w:snapToGrid w:val="0"/>
              <w:spacing w:before="120" w:after="120"/>
              <w:ind w:left="422" w:hanging="422"/>
              <w:rPr>
                <w:rFonts w:ascii="Arial" w:eastAsia="Yu Mincho" w:hAnsi="Arial"/>
                <w:sz w:val="22"/>
                <w:szCs w:val="22"/>
                <w:lang w:val="en-GB"/>
              </w:rPr>
            </w:pPr>
            <w:r w:rsidRPr="000631F9">
              <w:rPr>
                <w:rFonts w:ascii="Arial" w:eastAsia="Yu Mincho" w:hAnsi="Arial"/>
                <w:sz w:val="22"/>
                <w:szCs w:val="22"/>
                <w:lang w:val="en-GB"/>
              </w:rPr>
              <w:t xml:space="preserve">(d) </w:t>
            </w:r>
            <w:r w:rsidRPr="000631F9">
              <w:rPr>
                <w:rFonts w:ascii="Arial" w:eastAsia="Yu Mincho" w:hAnsi="Arial"/>
                <w:sz w:val="22"/>
                <w:szCs w:val="22"/>
                <w:lang w:val="en-GB"/>
              </w:rPr>
              <w:tab/>
              <w:t>nomination files on an extended or reduced basis of already inscribed elements.</w:t>
            </w:r>
          </w:p>
        </w:tc>
        <w:tc>
          <w:tcPr>
            <w:tcW w:w="568" w:type="dxa"/>
          </w:tcPr>
          <w:p w14:paraId="5C1B6CFE" w14:textId="77777777" w:rsidR="00063D10" w:rsidRPr="000631F9" w:rsidRDefault="00063D10" w:rsidP="00F74980">
            <w:pPr>
              <w:keepLines/>
              <w:spacing w:before="60" w:after="60"/>
              <w:rPr>
                <w:rFonts w:ascii="Arial" w:eastAsia="Yu Mincho" w:hAnsi="Arial"/>
                <w:sz w:val="22"/>
                <w:szCs w:val="22"/>
                <w:lang w:val="en-GB"/>
              </w:rPr>
            </w:pPr>
            <w:r w:rsidRPr="000631F9">
              <w:rPr>
                <w:rFonts w:ascii="Arial" w:eastAsia="Yu Mincho" w:hAnsi="Arial"/>
                <w:sz w:val="22"/>
                <w:szCs w:val="22"/>
                <w:lang w:val="en-GB"/>
              </w:rPr>
              <w:t>21.</w:t>
            </w:r>
          </w:p>
        </w:tc>
        <w:tc>
          <w:tcPr>
            <w:tcW w:w="6644" w:type="dxa"/>
          </w:tcPr>
          <w:p w14:paraId="23312451" w14:textId="77777777" w:rsidR="00063D10" w:rsidRPr="003A219E" w:rsidRDefault="00063D10" w:rsidP="00F74980">
            <w:pPr>
              <w:keepLines/>
              <w:snapToGrid w:val="0"/>
              <w:spacing w:before="120" w:after="120"/>
              <w:rPr>
                <w:rFonts w:ascii="Arial" w:eastAsia="Yu Mincho" w:hAnsi="Arial"/>
                <w:sz w:val="22"/>
                <w:szCs w:val="22"/>
                <w:lang w:val="en-GB"/>
              </w:rPr>
            </w:pPr>
            <w:r w:rsidRPr="000631F9">
              <w:rPr>
                <w:rFonts w:ascii="Arial" w:eastAsia="Yu Mincho" w:hAnsi="Arial"/>
                <w:sz w:val="22"/>
                <w:szCs w:val="22"/>
                <w:lang w:val="en-GB"/>
              </w:rPr>
              <w:t xml:space="preserve">States Parties may request preparatory assistance, in </w:t>
            </w:r>
            <w:r w:rsidRPr="003A219E">
              <w:rPr>
                <w:rFonts w:ascii="Arial" w:eastAsia="Yu Mincho" w:hAnsi="Arial"/>
                <w:sz w:val="22"/>
                <w:szCs w:val="22"/>
                <w:lang w:val="en-GB"/>
              </w:rPr>
              <w:t>consultation with communities, groups and, where appropriate, individuals concerned, for the elaboration of:</w:t>
            </w:r>
          </w:p>
          <w:p w14:paraId="2F4AFB50" w14:textId="77777777" w:rsidR="00063D10" w:rsidRPr="003A219E" w:rsidRDefault="00063D10" w:rsidP="0004397B">
            <w:pPr>
              <w:keepLines/>
              <w:numPr>
                <w:ilvl w:val="0"/>
                <w:numId w:val="30"/>
              </w:numPr>
              <w:snapToGrid w:val="0"/>
              <w:spacing w:before="120" w:after="120"/>
              <w:ind w:left="457"/>
              <w:jc w:val="both"/>
              <w:rPr>
                <w:rFonts w:ascii="Arial" w:eastAsia="Yu Mincho" w:hAnsi="Arial"/>
                <w:snapToGrid w:val="0"/>
                <w:sz w:val="22"/>
                <w:szCs w:val="22"/>
                <w:lang w:val="en-GB"/>
              </w:rPr>
            </w:pPr>
            <w:r w:rsidRPr="003A219E">
              <w:rPr>
                <w:rFonts w:ascii="Arial" w:eastAsia="Yu Mincho" w:hAnsi="Arial"/>
                <w:snapToGrid w:val="0"/>
                <w:sz w:val="22"/>
                <w:szCs w:val="22"/>
                <w:lang w:val="en-GB"/>
              </w:rPr>
              <w:t>nomination files to the List of Intangible Cultural Heritage in Need of Urgent Safeguarding,</w:t>
            </w:r>
          </w:p>
          <w:p w14:paraId="6A97F544" w14:textId="77777777" w:rsidR="00063D10" w:rsidRPr="003A219E" w:rsidRDefault="00063D10" w:rsidP="00063D10">
            <w:pPr>
              <w:keepLines/>
              <w:numPr>
                <w:ilvl w:val="0"/>
                <w:numId w:val="30"/>
              </w:numPr>
              <w:snapToGrid w:val="0"/>
              <w:spacing w:before="120" w:after="120"/>
              <w:ind w:left="457"/>
              <w:jc w:val="both"/>
              <w:rPr>
                <w:rFonts w:ascii="Arial" w:eastAsia="Yu Mincho" w:hAnsi="Arial"/>
                <w:snapToGrid w:val="0"/>
                <w:sz w:val="22"/>
                <w:szCs w:val="22"/>
                <w:u w:val="single"/>
                <w:lang w:val="en-GB"/>
              </w:rPr>
            </w:pPr>
            <w:r w:rsidRPr="003A219E">
              <w:rPr>
                <w:rFonts w:ascii="Arial" w:eastAsia="Yu Mincho" w:hAnsi="Arial"/>
                <w:snapToGrid w:val="0"/>
                <w:sz w:val="22"/>
                <w:szCs w:val="22"/>
                <w:u w:val="single"/>
                <w:lang w:val="en-GB"/>
              </w:rPr>
              <w:t>nomination files to the Representative List (only for States Parties with no national elements already inscribed on this List),</w:t>
            </w:r>
          </w:p>
          <w:p w14:paraId="62A91D4C" w14:textId="77777777" w:rsidR="00063D10" w:rsidRPr="000631F9" w:rsidRDefault="00063D10" w:rsidP="00063D10">
            <w:pPr>
              <w:keepLines/>
              <w:numPr>
                <w:ilvl w:val="0"/>
                <w:numId w:val="30"/>
              </w:numPr>
              <w:snapToGrid w:val="0"/>
              <w:spacing w:before="120" w:after="120"/>
              <w:ind w:left="457"/>
              <w:jc w:val="both"/>
              <w:rPr>
                <w:rFonts w:ascii="Arial" w:eastAsia="Yu Mincho" w:hAnsi="Arial"/>
                <w:snapToGrid w:val="0"/>
                <w:sz w:val="22"/>
                <w:szCs w:val="22"/>
                <w:lang w:val="en-GB"/>
              </w:rPr>
            </w:pPr>
            <w:r w:rsidRPr="003A219E">
              <w:rPr>
                <w:rFonts w:ascii="Arial" w:eastAsia="Yu Mincho" w:hAnsi="Arial"/>
                <w:snapToGrid w:val="0"/>
                <w:sz w:val="22"/>
                <w:szCs w:val="22"/>
                <w:lang w:val="en-GB"/>
              </w:rPr>
              <w:t>proposals of</w:t>
            </w:r>
            <w:r w:rsidRPr="000631F9">
              <w:rPr>
                <w:rFonts w:ascii="Arial" w:eastAsia="Yu Mincho" w:hAnsi="Arial"/>
                <w:snapToGrid w:val="0"/>
                <w:sz w:val="22"/>
                <w:szCs w:val="22"/>
                <w:lang w:val="en-GB"/>
              </w:rPr>
              <w:t xml:space="preserve"> programmes, projects and activities that best reflect the principles and objectives of the Convention, </w:t>
            </w:r>
          </w:p>
          <w:p w14:paraId="0CD5E685" w14:textId="77777777" w:rsidR="00063D10" w:rsidRPr="000631F9" w:rsidRDefault="00063D10" w:rsidP="00063D10">
            <w:pPr>
              <w:keepLines/>
              <w:numPr>
                <w:ilvl w:val="0"/>
                <w:numId w:val="30"/>
              </w:numPr>
              <w:snapToGrid w:val="0"/>
              <w:spacing w:before="120" w:after="120"/>
              <w:ind w:left="457"/>
              <w:jc w:val="both"/>
              <w:rPr>
                <w:rFonts w:ascii="Calibri" w:eastAsia="Calibri" w:hAnsi="Calibri"/>
                <w:snapToGrid w:val="0"/>
                <w:color w:val="000000"/>
                <w:sz w:val="22"/>
                <w:szCs w:val="22"/>
                <w:u w:val="single"/>
                <w:lang w:val="en-GB"/>
              </w:rPr>
            </w:pPr>
            <w:r w:rsidRPr="000631F9">
              <w:rPr>
                <w:rFonts w:ascii="Arial" w:eastAsia="Yu Mincho" w:hAnsi="Arial"/>
                <w:snapToGrid w:val="0"/>
                <w:sz w:val="22"/>
                <w:szCs w:val="22"/>
                <w:lang w:val="en-GB"/>
              </w:rPr>
              <w:t xml:space="preserve">requests for the transfer of an element from one List to another, and </w:t>
            </w:r>
          </w:p>
          <w:p w14:paraId="04F9441A" w14:textId="77777777" w:rsidR="00063D10" w:rsidRPr="000631F9" w:rsidRDefault="00063D10" w:rsidP="00063D10">
            <w:pPr>
              <w:keepLines/>
              <w:numPr>
                <w:ilvl w:val="0"/>
                <w:numId w:val="30"/>
              </w:numPr>
              <w:snapToGrid w:val="0"/>
              <w:spacing w:before="120" w:after="120"/>
              <w:ind w:left="457"/>
              <w:jc w:val="both"/>
              <w:rPr>
                <w:rFonts w:ascii="Calibri" w:eastAsia="Calibri" w:hAnsi="Calibri"/>
                <w:snapToGrid w:val="0"/>
                <w:color w:val="000000"/>
                <w:sz w:val="22"/>
                <w:szCs w:val="22"/>
                <w:u w:val="single"/>
                <w:lang w:val="en-GB"/>
              </w:rPr>
            </w:pPr>
            <w:r w:rsidRPr="000631F9">
              <w:rPr>
                <w:rFonts w:ascii="Arial" w:eastAsia="Yu Mincho" w:hAnsi="Arial"/>
                <w:snapToGrid w:val="0"/>
                <w:sz w:val="22"/>
                <w:szCs w:val="22"/>
                <w:lang w:val="en-GB"/>
              </w:rPr>
              <w:t>nomination files on an extended or reduced basis of already inscribed elements.</w:t>
            </w:r>
          </w:p>
        </w:tc>
      </w:tr>
    </w:tbl>
    <w:p w14:paraId="1B9CFAA9" w14:textId="77777777" w:rsidR="00063D10" w:rsidRPr="000631F9" w:rsidRDefault="00063D10" w:rsidP="00D86BB3">
      <w:pPr>
        <w:rPr>
          <w:rFonts w:ascii="Arial" w:eastAsia="SimSun" w:hAnsi="Arial" w:cs="Arial"/>
          <w:sz w:val="22"/>
          <w:szCs w:val="22"/>
          <w:u w:val="single"/>
          <w:lang w:val="en-GB"/>
        </w:rPr>
      </w:pPr>
    </w:p>
    <w:sectPr w:rsidR="00063D10" w:rsidRPr="000631F9" w:rsidSect="00B33004">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C32F" w14:textId="77777777" w:rsidR="00B33004" w:rsidRDefault="00B33004" w:rsidP="00655736">
      <w:r>
        <w:separator/>
      </w:r>
    </w:p>
  </w:endnote>
  <w:endnote w:type="continuationSeparator" w:id="0">
    <w:p w14:paraId="53BAE047" w14:textId="77777777" w:rsidR="00B33004" w:rsidRDefault="00B3300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B425" w14:textId="77777777" w:rsidR="00B33004" w:rsidRDefault="00B33004" w:rsidP="00655736">
      <w:r>
        <w:separator/>
      </w:r>
    </w:p>
  </w:footnote>
  <w:footnote w:type="continuationSeparator" w:id="0">
    <w:p w14:paraId="503F3C5C" w14:textId="77777777" w:rsidR="00B33004" w:rsidRDefault="00B33004" w:rsidP="00655736">
      <w:r>
        <w:continuationSeparator/>
      </w:r>
    </w:p>
  </w:footnote>
  <w:footnote w:id="1">
    <w:p w14:paraId="5D19F4E5" w14:textId="695B30A7" w:rsidR="00DA2EF5" w:rsidRPr="000631F9" w:rsidRDefault="00DA2EF5" w:rsidP="00293DF9">
      <w:pPr>
        <w:pStyle w:val="Notedebasdepage"/>
        <w:ind w:left="180" w:hanging="180"/>
        <w:rPr>
          <w:sz w:val="18"/>
          <w:szCs w:val="18"/>
          <w:lang w:val="en-GB"/>
        </w:rPr>
      </w:pPr>
      <w:bookmarkStart w:id="1" w:name="_Hlk124351068"/>
      <w:r w:rsidRPr="000631F9">
        <w:rPr>
          <w:rStyle w:val="Appelnotedebasdep"/>
          <w:lang w:val="en-GB"/>
        </w:rPr>
        <w:footnoteRef/>
      </w:r>
      <w:r w:rsidRPr="000631F9">
        <w:rPr>
          <w:rFonts w:asciiTheme="minorBidi" w:hAnsiTheme="minorBidi" w:cstheme="minorBidi"/>
          <w:sz w:val="18"/>
          <w:szCs w:val="18"/>
          <w:lang w:val="en-GB"/>
        </w:rPr>
        <w:tab/>
        <w:t xml:space="preserve">See also the dedicated webpage for the global reflection: </w:t>
      </w:r>
      <w:hyperlink r:id="rId1" w:history="1">
        <w:r w:rsidRPr="000631F9">
          <w:rPr>
            <w:rStyle w:val="Lienhypertexte"/>
            <w:rFonts w:asciiTheme="minorBidi" w:hAnsiTheme="minorBidi" w:cstheme="minorBidi"/>
            <w:sz w:val="18"/>
            <w:szCs w:val="18"/>
            <w:lang w:val="en-GB"/>
          </w:rPr>
          <w:t>https://ich.unesco.org/en/global-reflection-on-the-listing-mechanisms-01164</w:t>
        </w:r>
      </w:hyperlink>
      <w:r w:rsidRPr="000631F9">
        <w:rPr>
          <w:rFonts w:asciiTheme="minorBidi" w:hAnsiTheme="minorBidi" w:cstheme="minorBidi"/>
          <w:sz w:val="18"/>
          <w:szCs w:val="18"/>
          <w:lang w:val="en-GB"/>
        </w:rPr>
        <w:t>.</w:t>
      </w:r>
      <w:bookmarkEnd w:id="1"/>
    </w:p>
  </w:footnote>
  <w:footnote w:id="2">
    <w:p w14:paraId="1C04FB5A" w14:textId="477EDFC4" w:rsidR="001A409F" w:rsidRPr="000631F9" w:rsidRDefault="001A409F" w:rsidP="00293DF9">
      <w:pPr>
        <w:pStyle w:val="Notedebasdepage"/>
        <w:ind w:left="180" w:hanging="180"/>
        <w:jc w:val="both"/>
        <w:rPr>
          <w:rFonts w:asciiTheme="minorBidi" w:hAnsiTheme="minorBidi" w:cstheme="minorBidi"/>
          <w:sz w:val="18"/>
          <w:szCs w:val="18"/>
          <w:lang w:val="en-GB"/>
        </w:rPr>
      </w:pPr>
      <w:r w:rsidRPr="000631F9">
        <w:rPr>
          <w:rStyle w:val="Appelnotedebasdep"/>
          <w:rFonts w:asciiTheme="minorBidi" w:hAnsiTheme="minorBidi" w:cstheme="minorBidi"/>
          <w:sz w:val="18"/>
          <w:szCs w:val="18"/>
          <w:lang w:val="en-GB"/>
        </w:rPr>
        <w:footnoteRef/>
      </w:r>
      <w:r w:rsidRPr="000631F9">
        <w:rPr>
          <w:rFonts w:asciiTheme="minorBidi" w:hAnsiTheme="minorBidi" w:cstheme="minorBidi"/>
          <w:sz w:val="18"/>
          <w:szCs w:val="18"/>
          <w:lang w:val="en-GB"/>
        </w:rPr>
        <w:t xml:space="preserve"> </w:t>
      </w:r>
      <w:r w:rsidRPr="000631F9">
        <w:rPr>
          <w:rFonts w:asciiTheme="minorBidi" w:hAnsiTheme="minorBidi" w:cstheme="minorBidi"/>
          <w:sz w:val="18"/>
          <w:szCs w:val="18"/>
          <w:lang w:val="en-GB"/>
        </w:rPr>
        <w:tab/>
        <w:t>According to Article 18 of the 2003 Convention, the ‘Committee shall periodically select and promote national, sub-regional and regional programmes, projects and activities for the safeguarding of the heritage which it considers best reflect the principles and objectives of this Convention, taking into account the special needs of developing countries.’ In order to implement this provision, the Register of Good Safeguarding Practices was established in 2009.</w:t>
      </w:r>
    </w:p>
  </w:footnote>
  <w:footnote w:id="3">
    <w:p w14:paraId="1B75B3C7" w14:textId="30AD5C50" w:rsidR="006704B3" w:rsidRPr="000631F9" w:rsidRDefault="006704B3" w:rsidP="00293DF9">
      <w:pPr>
        <w:pStyle w:val="Notedebasdepage"/>
        <w:ind w:left="180" w:hanging="180"/>
        <w:jc w:val="both"/>
        <w:rPr>
          <w:rFonts w:asciiTheme="minorBidi" w:hAnsiTheme="minorBidi" w:cstheme="minorBidi"/>
          <w:sz w:val="18"/>
          <w:szCs w:val="18"/>
          <w:lang w:val="en-GB"/>
        </w:rPr>
      </w:pPr>
      <w:r w:rsidRPr="000631F9">
        <w:rPr>
          <w:rStyle w:val="Appelnotedebasdep"/>
          <w:rFonts w:asciiTheme="minorBidi" w:hAnsiTheme="minorBidi" w:cstheme="minorBidi"/>
          <w:sz w:val="18"/>
          <w:szCs w:val="18"/>
          <w:lang w:val="en-GB"/>
        </w:rPr>
        <w:footnoteRef/>
      </w:r>
      <w:r w:rsidRPr="000631F9">
        <w:rPr>
          <w:rFonts w:asciiTheme="minorBidi" w:hAnsiTheme="minorBidi" w:cstheme="minorBidi"/>
          <w:sz w:val="18"/>
          <w:szCs w:val="18"/>
          <w:lang w:val="en-GB"/>
        </w:rPr>
        <w:t xml:space="preserve"> </w:t>
      </w:r>
      <w:r w:rsidRPr="000631F9">
        <w:rPr>
          <w:rFonts w:asciiTheme="minorBidi" w:hAnsiTheme="minorBidi" w:cstheme="minorBidi"/>
          <w:sz w:val="18"/>
          <w:szCs w:val="18"/>
          <w:lang w:val="en-GB"/>
        </w:rPr>
        <w:tab/>
      </w:r>
      <w:r w:rsidR="00940217" w:rsidRPr="000631F9">
        <w:rPr>
          <w:rFonts w:asciiTheme="minorBidi" w:hAnsiTheme="minorBidi" w:cstheme="minorBidi"/>
          <w:sz w:val="18"/>
          <w:szCs w:val="18"/>
          <w:lang w:val="en-GB"/>
        </w:rPr>
        <w:t xml:space="preserve">Before </w:t>
      </w:r>
      <w:r w:rsidR="008725A6">
        <w:rPr>
          <w:rFonts w:asciiTheme="minorBidi" w:hAnsiTheme="minorBidi" w:cstheme="minorBidi"/>
          <w:sz w:val="18"/>
          <w:szCs w:val="18"/>
          <w:lang w:val="en-GB"/>
        </w:rPr>
        <w:t xml:space="preserve">its </w:t>
      </w:r>
      <w:r w:rsidR="00940217" w:rsidRPr="000631F9">
        <w:rPr>
          <w:rFonts w:asciiTheme="minorBidi" w:hAnsiTheme="minorBidi" w:cstheme="minorBidi"/>
          <w:sz w:val="18"/>
          <w:szCs w:val="18"/>
          <w:lang w:val="en-GB"/>
        </w:rPr>
        <w:t>deletion, C</w:t>
      </w:r>
      <w:r w:rsidRPr="000631F9">
        <w:rPr>
          <w:rFonts w:asciiTheme="minorBidi" w:hAnsiTheme="minorBidi" w:cstheme="minorBidi"/>
          <w:sz w:val="18"/>
          <w:szCs w:val="18"/>
          <w:lang w:val="en-GB"/>
        </w:rPr>
        <w:t>riterion P.9</w:t>
      </w:r>
      <w:r w:rsidR="00940217" w:rsidRPr="000631F9">
        <w:rPr>
          <w:rFonts w:asciiTheme="minorBidi" w:hAnsiTheme="minorBidi" w:cstheme="minorBidi"/>
          <w:sz w:val="18"/>
          <w:szCs w:val="18"/>
          <w:lang w:val="en-GB"/>
        </w:rPr>
        <w:t xml:space="preserve"> </w:t>
      </w:r>
      <w:r w:rsidRPr="000631F9">
        <w:rPr>
          <w:rFonts w:asciiTheme="minorBidi" w:hAnsiTheme="minorBidi" w:cstheme="minorBidi"/>
          <w:sz w:val="18"/>
          <w:szCs w:val="18"/>
          <w:lang w:val="en-GB"/>
        </w:rPr>
        <w:t>stated the following: ‘the programme, project or activity is primarily applicable to the particular needs of developing countries’.</w:t>
      </w:r>
    </w:p>
  </w:footnote>
  <w:footnote w:id="4">
    <w:p w14:paraId="7E09A3A8" w14:textId="0D7E89DA" w:rsidR="00276DE9" w:rsidRPr="000631F9" w:rsidRDefault="00276DE9" w:rsidP="00293DF9">
      <w:pPr>
        <w:pStyle w:val="Notedebasdepage"/>
        <w:spacing w:after="120"/>
        <w:ind w:left="180" w:hanging="207"/>
        <w:jc w:val="both"/>
        <w:rPr>
          <w:rFonts w:asciiTheme="minorBidi" w:hAnsiTheme="minorBidi" w:cstheme="minorBidi"/>
          <w:sz w:val="18"/>
          <w:szCs w:val="18"/>
          <w:lang w:val="en-GB"/>
        </w:rPr>
      </w:pPr>
      <w:r w:rsidRPr="000631F9">
        <w:rPr>
          <w:rStyle w:val="Appelnotedebasdep"/>
          <w:rFonts w:ascii="Arial" w:hAnsi="Arial" w:cs="Arial"/>
          <w:lang w:val="en-GB"/>
        </w:rPr>
        <w:footnoteRef/>
      </w:r>
      <w:r w:rsidRPr="000631F9">
        <w:rPr>
          <w:lang w:val="en-GB"/>
        </w:rPr>
        <w:tab/>
      </w:r>
      <w:r w:rsidRPr="000631F9">
        <w:rPr>
          <w:rFonts w:ascii="Arial" w:hAnsi="Arial" w:cs="Arial"/>
          <w:sz w:val="18"/>
          <w:szCs w:val="18"/>
          <w:lang w:val="en-GB"/>
        </w:rPr>
        <w:t xml:space="preserve">See the </w:t>
      </w:r>
      <w:r w:rsidR="0033783F">
        <w:fldChar w:fldCharType="begin"/>
      </w:r>
      <w:r w:rsidR="0033783F" w:rsidRPr="004D566A">
        <w:rPr>
          <w:lang w:val="en-GB"/>
        </w:rPr>
        <w:instrText>HYPERLINK "https://ich.unesco.org/en/meeting-of-experts-category-vi-01306"</w:instrText>
      </w:r>
      <w:r w:rsidR="0033783F">
        <w:fldChar w:fldCharType="separate"/>
      </w:r>
      <w:r w:rsidRPr="000631F9">
        <w:rPr>
          <w:rStyle w:val="Lienhypertexte"/>
          <w:rFonts w:ascii="Arial" w:hAnsi="Arial" w:cs="Arial"/>
          <w:sz w:val="18"/>
          <w:szCs w:val="18"/>
          <w:lang w:val="en-GB"/>
        </w:rPr>
        <w:t>dedicated webpage</w:t>
      </w:r>
      <w:r w:rsidR="0033783F">
        <w:rPr>
          <w:rStyle w:val="Lienhypertexte"/>
          <w:rFonts w:ascii="Arial" w:hAnsi="Arial" w:cs="Arial"/>
          <w:sz w:val="18"/>
          <w:szCs w:val="18"/>
          <w:lang w:val="en-GB"/>
        </w:rPr>
        <w:fldChar w:fldCharType="end"/>
      </w:r>
      <w:r w:rsidRPr="000631F9">
        <w:rPr>
          <w:rFonts w:ascii="Arial" w:hAnsi="Arial" w:cs="Arial"/>
          <w:sz w:val="18"/>
          <w:szCs w:val="18"/>
          <w:lang w:val="en-GB"/>
        </w:rPr>
        <w:t xml:space="preserve"> for the meeting of the working group, including the agenda and timetable as well as other working documents.</w:t>
      </w:r>
    </w:p>
  </w:footnote>
  <w:footnote w:id="5">
    <w:p w14:paraId="45304613" w14:textId="4B28F705" w:rsidR="00D20D37" w:rsidRPr="000631F9" w:rsidRDefault="00D20D37" w:rsidP="00BB4607">
      <w:pPr>
        <w:pStyle w:val="Notedebasdepage"/>
        <w:jc w:val="both"/>
        <w:rPr>
          <w:lang w:val="en-GB"/>
        </w:rPr>
      </w:pPr>
      <w:r w:rsidRPr="000631F9">
        <w:rPr>
          <w:rStyle w:val="Appelnotedebasdep"/>
          <w:lang w:val="en-GB"/>
        </w:rPr>
        <w:footnoteRef/>
      </w:r>
      <w:r w:rsidRPr="000631F9">
        <w:rPr>
          <w:lang w:val="en-GB"/>
        </w:rPr>
        <w:t xml:space="preserve"> </w:t>
      </w:r>
      <w:r w:rsidRPr="000631F9">
        <w:rPr>
          <w:rFonts w:asciiTheme="minorBidi" w:hAnsiTheme="minorBidi" w:cstheme="minorBidi"/>
          <w:sz w:val="18"/>
          <w:szCs w:val="18"/>
          <w:lang w:val="en-GB"/>
        </w:rPr>
        <w:t xml:space="preserve">The United Kingdom of Great Britain and Northern Ireland deposited its instrument of ratification on 8 March 2024 </w:t>
      </w:r>
      <w:r w:rsidRPr="000631F9">
        <w:rPr>
          <w:rFonts w:asciiTheme="minorBidi" w:hAnsiTheme="minorBidi" w:cstheme="minorBidi"/>
          <w:color w:val="000000"/>
          <w:sz w:val="18"/>
          <w:szCs w:val="18"/>
          <w:shd w:val="clear" w:color="auto" w:fill="FFFFFF"/>
          <w:lang w:val="en-GB"/>
        </w:rPr>
        <w:t xml:space="preserve">and </w:t>
      </w:r>
      <w:r w:rsidR="00BB4607" w:rsidRPr="000631F9">
        <w:rPr>
          <w:rFonts w:asciiTheme="minorBidi" w:hAnsiTheme="minorBidi" w:cstheme="minorBidi"/>
          <w:color w:val="000000"/>
          <w:sz w:val="18"/>
          <w:szCs w:val="18"/>
          <w:shd w:val="clear" w:color="auto" w:fill="FFFFFF"/>
          <w:lang w:val="en-GB"/>
        </w:rPr>
        <w:t xml:space="preserve">will become </w:t>
      </w:r>
      <w:r w:rsidRPr="000631F9">
        <w:rPr>
          <w:rFonts w:asciiTheme="minorBidi" w:hAnsiTheme="minorBidi" w:cstheme="minorBidi"/>
          <w:color w:val="000000"/>
          <w:sz w:val="18"/>
          <w:szCs w:val="18"/>
          <w:shd w:val="clear" w:color="auto" w:fill="FFFFFF"/>
          <w:lang w:val="en-GB"/>
        </w:rPr>
        <w:t>the 183</w:t>
      </w:r>
      <w:r w:rsidRPr="005D1C10">
        <w:rPr>
          <w:rFonts w:asciiTheme="minorBidi" w:hAnsiTheme="minorBidi" w:cstheme="minorBidi"/>
          <w:color w:val="000000"/>
          <w:sz w:val="18"/>
          <w:szCs w:val="18"/>
          <w:shd w:val="clear" w:color="auto" w:fill="FFFFFF"/>
          <w:lang w:val="en-GB"/>
        </w:rPr>
        <w:t>rd</w:t>
      </w:r>
      <w:r w:rsidRPr="000631F9">
        <w:rPr>
          <w:rFonts w:asciiTheme="minorBidi" w:hAnsiTheme="minorBidi" w:cstheme="minorBidi"/>
          <w:color w:val="000000"/>
          <w:sz w:val="18"/>
          <w:szCs w:val="18"/>
          <w:shd w:val="clear" w:color="auto" w:fill="FFFFFF"/>
          <w:lang w:val="en-GB"/>
        </w:rPr>
        <w:t xml:space="preserve"> State to join the 2003 Convention on 8 June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AF74224"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5C792B">
      <w:rPr>
        <w:rFonts w:ascii="Arial" w:hAnsi="Arial" w:cs="Arial"/>
        <w:sz w:val="20"/>
        <w:szCs w:val="20"/>
        <w:lang w:val="en-GB"/>
      </w:rPr>
      <w:t>4</w:t>
    </w:r>
    <w:r w:rsidR="00CB0542">
      <w:rPr>
        <w:rFonts w:ascii="Arial" w:hAnsi="Arial" w:cs="Arial"/>
        <w:sz w:val="20"/>
        <w:szCs w:val="20"/>
        <w:lang w:val="en-GB"/>
      </w:rPr>
      <w:t>/1</w:t>
    </w:r>
    <w:r w:rsidR="005C792B">
      <w:rPr>
        <w:rFonts w:ascii="Arial" w:hAnsi="Arial" w:cs="Arial"/>
        <w:sz w:val="20"/>
        <w:szCs w:val="20"/>
        <w:lang w:val="en-GB"/>
      </w:rPr>
      <w:t>0</w:t>
    </w:r>
    <w:r w:rsidR="00EC6F8D">
      <w:rPr>
        <w:rFonts w:ascii="Arial" w:hAnsi="Arial" w:cs="Arial"/>
        <w:sz w:val="20"/>
        <w:szCs w:val="20"/>
        <w:lang w:val="en-GB"/>
      </w:rPr>
      <w:t>.</w:t>
    </w:r>
    <w:r w:rsidR="005C792B">
      <w:rPr>
        <w:rFonts w:ascii="Arial" w:hAnsi="Arial" w:cs="Arial"/>
        <w:sz w:val="20"/>
        <w:szCs w:val="20"/>
        <w:lang w:val="en-GB"/>
      </w:rPr>
      <w:t>GA</w:t>
    </w:r>
    <w:r w:rsidR="00D95C4C" w:rsidRPr="00C23A97">
      <w:rPr>
        <w:rFonts w:ascii="Arial" w:hAnsi="Arial" w:cs="Arial"/>
        <w:sz w:val="20"/>
        <w:szCs w:val="20"/>
        <w:lang w:val="en-GB"/>
      </w:rPr>
      <w:t>/</w:t>
    </w:r>
    <w:r w:rsidR="005A74ED">
      <w:rPr>
        <w:rFonts w:ascii="Arial" w:hAnsi="Arial" w:cs="Arial"/>
        <w:sz w:val="20"/>
        <w:szCs w:val="20"/>
        <w:lang w:val="en-GB"/>
      </w:rPr>
      <w:t>7</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5C6B7864"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5C792B">
      <w:rPr>
        <w:rFonts w:ascii="Arial" w:hAnsi="Arial" w:cs="Arial"/>
        <w:sz w:val="20"/>
        <w:szCs w:val="20"/>
        <w:lang w:val="en-GB"/>
      </w:rPr>
      <w:t>4</w:t>
    </w:r>
    <w:r w:rsidR="0053318C">
      <w:rPr>
        <w:rFonts w:ascii="Arial" w:hAnsi="Arial" w:cs="Arial"/>
        <w:sz w:val="20"/>
        <w:szCs w:val="20"/>
        <w:lang w:val="en-GB"/>
      </w:rPr>
      <w:t>/1</w:t>
    </w:r>
    <w:r w:rsidR="005C792B">
      <w:rPr>
        <w:rFonts w:ascii="Arial" w:hAnsi="Arial" w:cs="Arial"/>
        <w:sz w:val="20"/>
        <w:szCs w:val="20"/>
        <w:lang w:val="en-GB"/>
      </w:rPr>
      <w:t>0</w:t>
    </w:r>
    <w:r w:rsidR="00EC6F8D">
      <w:rPr>
        <w:rFonts w:ascii="Arial" w:hAnsi="Arial" w:cs="Arial"/>
        <w:sz w:val="20"/>
        <w:szCs w:val="20"/>
        <w:lang w:val="en-GB"/>
      </w:rPr>
      <w:t>.</w:t>
    </w:r>
    <w:r w:rsidR="005C792B">
      <w:rPr>
        <w:rFonts w:ascii="Arial" w:hAnsi="Arial" w:cs="Arial"/>
        <w:sz w:val="20"/>
        <w:szCs w:val="20"/>
        <w:lang w:val="en-GB"/>
      </w:rPr>
      <w:t>GA</w:t>
    </w:r>
    <w:r w:rsidR="004A34A0" w:rsidRPr="0063300C">
      <w:rPr>
        <w:rFonts w:ascii="Arial" w:hAnsi="Arial" w:cs="Arial"/>
        <w:sz w:val="20"/>
        <w:szCs w:val="20"/>
        <w:lang w:val="en-GB"/>
      </w:rPr>
      <w:t>/</w:t>
    </w:r>
    <w:r w:rsidR="005A74ED">
      <w:rPr>
        <w:rFonts w:ascii="Arial" w:hAnsi="Arial" w:cs="Arial"/>
        <w:sz w:val="20"/>
        <w:szCs w:val="20"/>
        <w:lang w:val="en-GB"/>
      </w:rPr>
      <w:t>7</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7900492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lang w:val="pt-PT"/>
      </w:rPr>
    </w:pPr>
    <w:r>
      <w:rPr>
        <w:rFonts w:ascii="Arial" w:hAnsi="Arial" w:cs="Arial"/>
        <w:b/>
        <w:sz w:val="44"/>
        <w:szCs w:val="44"/>
        <w:lang w:val="pt-PT"/>
      </w:rPr>
      <w:t>10</w:t>
    </w:r>
    <w:r w:rsidR="00EC6F8D" w:rsidRPr="00D7105A">
      <w:rPr>
        <w:rFonts w:ascii="Arial" w:hAnsi="Arial" w:cs="Arial"/>
        <w:b/>
        <w:sz w:val="44"/>
        <w:szCs w:val="44"/>
        <w:lang w:val="pt-PT"/>
      </w:rPr>
      <w:t xml:space="preserve"> </w:t>
    </w:r>
    <w:r>
      <w:rPr>
        <w:rFonts w:ascii="Arial" w:hAnsi="Arial" w:cs="Arial"/>
        <w:b/>
        <w:sz w:val="44"/>
        <w:szCs w:val="44"/>
        <w:lang w:val="pt-PT"/>
      </w:rPr>
      <w:t>GA</w:t>
    </w:r>
  </w:p>
  <w:p w14:paraId="306484B8" w14:textId="4087694F"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5C792B">
      <w:rPr>
        <w:rFonts w:ascii="Arial" w:hAnsi="Arial" w:cs="Arial"/>
        <w:b/>
        <w:sz w:val="22"/>
        <w:szCs w:val="22"/>
        <w:lang w:val="pt-PT"/>
      </w:rPr>
      <w:t>4</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5C792B">
      <w:rPr>
        <w:rFonts w:ascii="Arial" w:hAnsi="Arial" w:cs="Arial"/>
        <w:b/>
        <w:sz w:val="22"/>
        <w:szCs w:val="22"/>
        <w:lang w:val="pt-PT"/>
      </w:rPr>
      <w:t>0</w:t>
    </w:r>
    <w:r w:rsidR="00D95C4C" w:rsidRPr="00D7105A">
      <w:rPr>
        <w:rFonts w:ascii="Arial" w:hAnsi="Arial" w:cs="Arial"/>
        <w:b/>
        <w:sz w:val="22"/>
        <w:szCs w:val="22"/>
        <w:lang w:val="pt-PT"/>
      </w:rPr>
      <w:t>.</w:t>
    </w:r>
    <w:r w:rsidR="005C792B">
      <w:rPr>
        <w:rFonts w:ascii="Arial" w:hAnsi="Arial" w:cs="Arial"/>
        <w:b/>
        <w:sz w:val="22"/>
        <w:szCs w:val="22"/>
        <w:lang w:val="pt-PT"/>
      </w:rPr>
      <w:t>GA</w:t>
    </w:r>
    <w:r w:rsidR="00D95C4C" w:rsidRPr="00D7105A">
      <w:rPr>
        <w:rFonts w:ascii="Arial" w:hAnsi="Arial" w:cs="Arial"/>
        <w:b/>
        <w:sz w:val="22"/>
        <w:szCs w:val="22"/>
        <w:lang w:val="pt-PT"/>
      </w:rPr>
      <w:t>/</w:t>
    </w:r>
    <w:r w:rsidR="005A74ED">
      <w:rPr>
        <w:rFonts w:ascii="Arial" w:hAnsi="Arial" w:cs="Arial"/>
        <w:b/>
        <w:sz w:val="22"/>
        <w:szCs w:val="22"/>
        <w:lang w:val="pt-PT"/>
      </w:rPr>
      <w:t>7</w:t>
    </w:r>
  </w:p>
  <w:p w14:paraId="1B4446C3" w14:textId="3361FFFD" w:rsidR="00D95C4C" w:rsidRPr="00D7105A" w:rsidRDefault="00D95C4C" w:rsidP="00655736">
    <w:pPr>
      <w:jc w:val="right"/>
      <w:rPr>
        <w:rFonts w:ascii="Arial" w:eastAsiaTheme="minorEastAsia" w:hAnsi="Arial" w:cs="Arial"/>
        <w:b/>
        <w:sz w:val="22"/>
        <w:szCs w:val="22"/>
        <w:lang w:val="pt-PT" w:eastAsia="ko-KR"/>
      </w:rPr>
    </w:pPr>
    <w:r w:rsidRPr="00897348">
      <w:rPr>
        <w:rFonts w:ascii="Arial" w:hAnsi="Arial" w:cs="Arial"/>
        <w:b/>
        <w:sz w:val="22"/>
        <w:szCs w:val="22"/>
        <w:lang w:val="pt-PT"/>
      </w:rPr>
      <w:t xml:space="preserve">Paris, </w:t>
    </w:r>
    <w:r w:rsidR="00BA5FB6" w:rsidRPr="00897348">
      <w:rPr>
        <w:rFonts w:ascii="Arial" w:hAnsi="Arial" w:cs="Arial"/>
        <w:b/>
        <w:sz w:val="22"/>
        <w:szCs w:val="22"/>
        <w:lang w:val="pt-PT"/>
      </w:rPr>
      <w:t xml:space="preserve">13 </w:t>
    </w:r>
    <w:r w:rsidR="00611325" w:rsidRPr="00897348">
      <w:rPr>
        <w:rFonts w:ascii="Arial" w:hAnsi="Arial" w:cs="Arial"/>
        <w:b/>
        <w:sz w:val="22"/>
        <w:szCs w:val="22"/>
        <w:lang w:val="pt-PT"/>
      </w:rPr>
      <w:t>May</w:t>
    </w:r>
    <w:r w:rsidRPr="00897348">
      <w:rPr>
        <w:rFonts w:ascii="Arial" w:hAnsi="Arial" w:cs="Arial"/>
        <w:b/>
        <w:sz w:val="22"/>
        <w:szCs w:val="22"/>
        <w:lang w:val="pt-PT"/>
      </w:rPr>
      <w:t xml:space="preserve"> </w:t>
    </w:r>
    <w:r w:rsidR="00337CEB" w:rsidRPr="00897348">
      <w:rPr>
        <w:rFonts w:ascii="Arial" w:hAnsi="Arial" w:cs="Arial"/>
        <w:b/>
        <w:sz w:val="22"/>
        <w:szCs w:val="22"/>
        <w:lang w:val="pt-PT"/>
      </w:rPr>
      <w:t>20</w:t>
    </w:r>
    <w:r w:rsidR="00D7105A" w:rsidRPr="00897348">
      <w:rPr>
        <w:rFonts w:ascii="Arial" w:hAnsi="Arial" w:cs="Arial"/>
        <w:b/>
        <w:sz w:val="22"/>
        <w:szCs w:val="22"/>
        <w:lang w:val="pt-PT"/>
      </w:rPr>
      <w:t>2</w:t>
    </w:r>
    <w:r w:rsidR="005C792B" w:rsidRPr="00897348">
      <w:rPr>
        <w:rFonts w:ascii="Arial" w:hAnsi="Arial" w:cs="Arial"/>
        <w:b/>
        <w:sz w:val="22"/>
        <w:szCs w:val="22"/>
        <w:lang w:val="pt-PT"/>
      </w:rPr>
      <w:t>4</w:t>
    </w:r>
  </w:p>
  <w:p w14:paraId="255B57FF" w14:textId="317B5DE1" w:rsidR="00D95C4C" w:rsidRPr="005A74ED" w:rsidRDefault="00D95C4C" w:rsidP="00962034">
    <w:pPr>
      <w:spacing w:after="120"/>
      <w:jc w:val="right"/>
      <w:rPr>
        <w:rFonts w:ascii="Arial" w:hAnsi="Arial" w:cs="Arial"/>
        <w:b/>
        <w:sz w:val="22"/>
        <w:szCs w:val="22"/>
      </w:rPr>
    </w:pPr>
    <w:r w:rsidRPr="005A74ED">
      <w:rPr>
        <w:rFonts w:ascii="Arial" w:hAnsi="Arial" w:cs="Arial"/>
        <w:b/>
        <w:sz w:val="22"/>
        <w:szCs w:val="22"/>
      </w:rPr>
      <w:t xml:space="preserve">Original: </w:t>
    </w:r>
    <w:r w:rsidR="005A74ED">
      <w:rPr>
        <w:rFonts w:ascii="Arial" w:hAnsi="Arial" w:cs="Arial"/>
        <w:b/>
        <w:sz w:val="22"/>
        <w:szCs w:val="22"/>
      </w:rPr>
      <w:t>English</w:t>
    </w:r>
  </w:p>
  <w:p w14:paraId="3C4B8B1B" w14:textId="77777777" w:rsidR="00D95C4C" w:rsidRPr="005A74ED"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E9"/>
    <w:multiLevelType w:val="hybridMultilevel"/>
    <w:tmpl w:val="C0DA0AFA"/>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33ED1"/>
    <w:multiLevelType w:val="hybridMultilevel"/>
    <w:tmpl w:val="291A2D54"/>
    <w:lvl w:ilvl="0" w:tplc="6EA08B20">
      <w:start w:val="1"/>
      <w:numFmt w:val="lowerLetter"/>
      <w:lvlText w:val="(%1)"/>
      <w:lvlJc w:val="left"/>
      <w:pPr>
        <w:ind w:left="720" w:hanging="360"/>
      </w:pPr>
      <w:rPr>
        <w:rFonts w:asciiTheme="minorBidi" w:eastAsia="Yu Mincho" w:hAnsiTheme="minorBidi"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42F7ABB"/>
    <w:multiLevelType w:val="hybridMultilevel"/>
    <w:tmpl w:val="81949B26"/>
    <w:lvl w:ilvl="0" w:tplc="040C0001">
      <w:start w:val="1"/>
      <w:numFmt w:val="bullet"/>
      <w:lvlText w:val=""/>
      <w:lvlJc w:val="left"/>
      <w:pPr>
        <w:ind w:left="1429" w:hanging="360"/>
      </w:pPr>
      <w:rPr>
        <w:rFonts w:ascii="Symbol" w:hAnsi="Symbol"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8B7B0B"/>
    <w:multiLevelType w:val="hybridMultilevel"/>
    <w:tmpl w:val="0F1890A8"/>
    <w:lvl w:ilvl="0" w:tplc="0409001B">
      <w:start w:val="1"/>
      <w:numFmt w:val="lowerRoman"/>
      <w:lvlText w:val="%1."/>
      <w:lvlJc w:val="righ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933BF"/>
    <w:multiLevelType w:val="multilevel"/>
    <w:tmpl w:val="C6EC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07BFE"/>
    <w:multiLevelType w:val="hybridMultilevel"/>
    <w:tmpl w:val="BC66347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2E1ABD"/>
    <w:multiLevelType w:val="hybridMultilevel"/>
    <w:tmpl w:val="D1A06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CA76E18"/>
    <w:multiLevelType w:val="hybridMultilevel"/>
    <w:tmpl w:val="44DAEB5A"/>
    <w:lvl w:ilvl="0" w:tplc="8E584D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9D03FE"/>
    <w:multiLevelType w:val="hybridMultilevel"/>
    <w:tmpl w:val="8D22B2D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4833242"/>
    <w:multiLevelType w:val="hybridMultilevel"/>
    <w:tmpl w:val="291A2D54"/>
    <w:lvl w:ilvl="0" w:tplc="FFFFFFFF">
      <w:start w:val="1"/>
      <w:numFmt w:val="lowerLetter"/>
      <w:lvlText w:val="(%1)"/>
      <w:lvlJc w:val="left"/>
      <w:pPr>
        <w:ind w:left="720" w:hanging="360"/>
      </w:pPr>
      <w:rPr>
        <w:rFonts w:asciiTheme="minorBidi" w:eastAsia="Yu Mincho" w:hAnsiTheme="minorBid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F87C04"/>
    <w:multiLevelType w:val="hybridMultilevel"/>
    <w:tmpl w:val="EDBE55F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734E58C1"/>
    <w:multiLevelType w:val="hybridMultilevel"/>
    <w:tmpl w:val="BA7828D0"/>
    <w:lvl w:ilvl="0" w:tplc="61A68470">
      <w:start w:val="1"/>
      <w:numFmt w:val="lowerLetter"/>
      <w:lvlText w:val="%1)"/>
      <w:lvlJc w:val="left"/>
      <w:pPr>
        <w:ind w:left="720" w:hanging="360"/>
      </w:pPr>
      <w:rPr>
        <w:rFonts w:asciiTheme="minorBidi" w:eastAsia="Times New Roman" w:hAnsiTheme="minorBidi" w:cstheme="minorBidi"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7FC20B6B"/>
    <w:multiLevelType w:val="hybridMultilevel"/>
    <w:tmpl w:val="36A6E23E"/>
    <w:lvl w:ilvl="0" w:tplc="E356DA8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822628298">
    <w:abstractNumId w:val="20"/>
  </w:num>
  <w:num w:numId="2" w16cid:durableId="699629408">
    <w:abstractNumId w:val="12"/>
  </w:num>
  <w:num w:numId="3" w16cid:durableId="164177712">
    <w:abstractNumId w:val="6"/>
  </w:num>
  <w:num w:numId="4" w16cid:durableId="1416590798">
    <w:abstractNumId w:val="25"/>
  </w:num>
  <w:num w:numId="5" w16cid:durableId="1762608160">
    <w:abstractNumId w:val="22"/>
  </w:num>
  <w:num w:numId="6" w16cid:durableId="2146270374">
    <w:abstractNumId w:val="3"/>
  </w:num>
  <w:num w:numId="7" w16cid:durableId="1113592211">
    <w:abstractNumId w:val="7"/>
  </w:num>
  <w:num w:numId="8" w16cid:durableId="1920598164">
    <w:abstractNumId w:val="17"/>
  </w:num>
  <w:num w:numId="9" w16cid:durableId="1533764642">
    <w:abstractNumId w:val="11"/>
  </w:num>
  <w:num w:numId="10" w16cid:durableId="1246129">
    <w:abstractNumId w:val="13"/>
  </w:num>
  <w:num w:numId="11" w16cid:durableId="111829808">
    <w:abstractNumId w:val="16"/>
  </w:num>
  <w:num w:numId="12" w16cid:durableId="1088770206">
    <w:abstractNumId w:val="14"/>
  </w:num>
  <w:num w:numId="13" w16cid:durableId="1263951029">
    <w:abstractNumId w:val="26"/>
  </w:num>
  <w:num w:numId="14" w16cid:durableId="395903570">
    <w:abstractNumId w:val="8"/>
  </w:num>
  <w:num w:numId="15" w16cid:durableId="1857570918">
    <w:abstractNumId w:val="11"/>
  </w:num>
  <w:num w:numId="16" w16cid:durableId="248199808">
    <w:abstractNumId w:val="11"/>
  </w:num>
  <w:num w:numId="17" w16cid:durableId="350380342">
    <w:abstractNumId w:val="11"/>
  </w:num>
  <w:num w:numId="18" w16cid:durableId="944581980">
    <w:abstractNumId w:val="11"/>
  </w:num>
  <w:num w:numId="19" w16cid:durableId="772675100">
    <w:abstractNumId w:val="11"/>
  </w:num>
  <w:num w:numId="20" w16cid:durableId="1253010311">
    <w:abstractNumId w:val="11"/>
  </w:num>
  <w:num w:numId="21" w16cid:durableId="540821319">
    <w:abstractNumId w:val="5"/>
  </w:num>
  <w:num w:numId="22" w16cid:durableId="2046514942">
    <w:abstractNumId w:val="11"/>
  </w:num>
  <w:num w:numId="23" w16cid:durableId="2013603031">
    <w:abstractNumId w:val="2"/>
  </w:num>
  <w:num w:numId="24" w16cid:durableId="228002203">
    <w:abstractNumId w:val="10"/>
  </w:num>
  <w:num w:numId="25" w16cid:durableId="680619780">
    <w:abstractNumId w:val="23"/>
  </w:num>
  <w:num w:numId="26" w16cid:durableId="1347095167">
    <w:abstractNumId w:val="11"/>
    <w:lvlOverride w:ilvl="0">
      <w:startOverride w:val="1"/>
    </w:lvlOverride>
  </w:num>
  <w:num w:numId="27" w16cid:durableId="565459000">
    <w:abstractNumId w:val="11"/>
    <w:lvlOverride w:ilvl="0">
      <w:startOverride w:val="1"/>
    </w:lvlOverride>
  </w:num>
  <w:num w:numId="28" w16cid:durableId="458453169">
    <w:abstractNumId w:val="11"/>
  </w:num>
  <w:num w:numId="29" w16cid:durableId="334380643">
    <w:abstractNumId w:val="11"/>
  </w:num>
  <w:num w:numId="30" w16cid:durableId="1019117349">
    <w:abstractNumId w:val="21"/>
  </w:num>
  <w:num w:numId="31" w16cid:durableId="2141457937">
    <w:abstractNumId w:val="18"/>
  </w:num>
  <w:num w:numId="32" w16cid:durableId="1347245547">
    <w:abstractNumId w:val="27"/>
  </w:num>
  <w:num w:numId="33" w16cid:durableId="1061052330">
    <w:abstractNumId w:val="19"/>
  </w:num>
  <w:num w:numId="34" w16cid:durableId="974944852">
    <w:abstractNumId w:val="4"/>
  </w:num>
  <w:num w:numId="35" w16cid:durableId="1830368694">
    <w:abstractNumId w:val="0"/>
  </w:num>
  <w:num w:numId="36" w16cid:durableId="1793017941">
    <w:abstractNumId w:val="15"/>
  </w:num>
  <w:num w:numId="37" w16cid:durableId="1669088779">
    <w:abstractNumId w:val="11"/>
  </w:num>
  <w:num w:numId="38" w16cid:durableId="1031341962">
    <w:abstractNumId w:val="11"/>
  </w:num>
  <w:num w:numId="39" w16cid:durableId="1924873158">
    <w:abstractNumId w:val="1"/>
  </w:num>
  <w:num w:numId="40" w16cid:durableId="1065565423">
    <w:abstractNumId w:val="24"/>
  </w:num>
  <w:num w:numId="41" w16cid:durableId="763845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14CE0"/>
    <w:rsid w:val="00037CA9"/>
    <w:rsid w:val="00041A66"/>
    <w:rsid w:val="00042D88"/>
    <w:rsid w:val="0004397B"/>
    <w:rsid w:val="00046A7A"/>
    <w:rsid w:val="0005176E"/>
    <w:rsid w:val="000631F9"/>
    <w:rsid w:val="00063D10"/>
    <w:rsid w:val="00063F63"/>
    <w:rsid w:val="00071766"/>
    <w:rsid w:val="000765F7"/>
    <w:rsid w:val="0007725F"/>
    <w:rsid w:val="00077AB7"/>
    <w:rsid w:val="00081CD8"/>
    <w:rsid w:val="000A7F0E"/>
    <w:rsid w:val="000B1C8F"/>
    <w:rsid w:val="000B6FE4"/>
    <w:rsid w:val="000C0D61"/>
    <w:rsid w:val="000D7577"/>
    <w:rsid w:val="000E2AD4"/>
    <w:rsid w:val="000F3A3F"/>
    <w:rsid w:val="00102557"/>
    <w:rsid w:val="0010351D"/>
    <w:rsid w:val="00135E87"/>
    <w:rsid w:val="00146E40"/>
    <w:rsid w:val="00147A38"/>
    <w:rsid w:val="00164D56"/>
    <w:rsid w:val="00167B10"/>
    <w:rsid w:val="0017402F"/>
    <w:rsid w:val="00190205"/>
    <w:rsid w:val="00190D9E"/>
    <w:rsid w:val="001945CF"/>
    <w:rsid w:val="00196C1B"/>
    <w:rsid w:val="001A409F"/>
    <w:rsid w:val="001B0F73"/>
    <w:rsid w:val="001B4B7E"/>
    <w:rsid w:val="001C2DB7"/>
    <w:rsid w:val="001D14FE"/>
    <w:rsid w:val="001D5C04"/>
    <w:rsid w:val="001F26CF"/>
    <w:rsid w:val="001F6286"/>
    <w:rsid w:val="002175DF"/>
    <w:rsid w:val="00222A2D"/>
    <w:rsid w:val="00223029"/>
    <w:rsid w:val="002247F2"/>
    <w:rsid w:val="00234745"/>
    <w:rsid w:val="002351A6"/>
    <w:rsid w:val="002354AB"/>
    <w:rsid w:val="002379EC"/>
    <w:rsid w:val="00240043"/>
    <w:rsid w:val="002407AF"/>
    <w:rsid w:val="00245501"/>
    <w:rsid w:val="00254B26"/>
    <w:rsid w:val="0026221A"/>
    <w:rsid w:val="00267D64"/>
    <w:rsid w:val="0027466B"/>
    <w:rsid w:val="00276DE9"/>
    <w:rsid w:val="002814F6"/>
    <w:rsid w:val="002838A5"/>
    <w:rsid w:val="00285BB4"/>
    <w:rsid w:val="00293DF9"/>
    <w:rsid w:val="002C09E3"/>
    <w:rsid w:val="002C6A2C"/>
    <w:rsid w:val="002D1244"/>
    <w:rsid w:val="002D5023"/>
    <w:rsid w:val="002E1F29"/>
    <w:rsid w:val="0033783F"/>
    <w:rsid w:val="00337CEB"/>
    <w:rsid w:val="00344B58"/>
    <w:rsid w:val="0034539A"/>
    <w:rsid w:val="00345CB4"/>
    <w:rsid w:val="003574FA"/>
    <w:rsid w:val="00375D42"/>
    <w:rsid w:val="00381294"/>
    <w:rsid w:val="003A219E"/>
    <w:rsid w:val="003C2707"/>
    <w:rsid w:val="003D069C"/>
    <w:rsid w:val="003D1600"/>
    <w:rsid w:val="003D7646"/>
    <w:rsid w:val="003E5457"/>
    <w:rsid w:val="003F113A"/>
    <w:rsid w:val="003F138E"/>
    <w:rsid w:val="003F3E63"/>
    <w:rsid w:val="00401E13"/>
    <w:rsid w:val="00407480"/>
    <w:rsid w:val="00414643"/>
    <w:rsid w:val="0042269F"/>
    <w:rsid w:val="00424E74"/>
    <w:rsid w:val="004313C4"/>
    <w:rsid w:val="0043793C"/>
    <w:rsid w:val="004421E5"/>
    <w:rsid w:val="00446602"/>
    <w:rsid w:val="00452284"/>
    <w:rsid w:val="00457C8E"/>
    <w:rsid w:val="00480175"/>
    <w:rsid w:val="004830F4"/>
    <w:rsid w:val="00483D98"/>
    <w:rsid w:val="004856CA"/>
    <w:rsid w:val="00487E67"/>
    <w:rsid w:val="004906B7"/>
    <w:rsid w:val="0049705E"/>
    <w:rsid w:val="004A2875"/>
    <w:rsid w:val="004A34A0"/>
    <w:rsid w:val="004A55F2"/>
    <w:rsid w:val="004C7C82"/>
    <w:rsid w:val="004D566A"/>
    <w:rsid w:val="004E78CB"/>
    <w:rsid w:val="005008A8"/>
    <w:rsid w:val="00510B85"/>
    <w:rsid w:val="00510E6E"/>
    <w:rsid w:val="00517FD8"/>
    <w:rsid w:val="00520981"/>
    <w:rsid w:val="00525F72"/>
    <w:rsid w:val="00526B7B"/>
    <w:rsid w:val="005274D2"/>
    <w:rsid w:val="005308CE"/>
    <w:rsid w:val="0053318C"/>
    <w:rsid w:val="0054535F"/>
    <w:rsid w:val="00566DC0"/>
    <w:rsid w:val="005734A4"/>
    <w:rsid w:val="00573ED2"/>
    <w:rsid w:val="0057439C"/>
    <w:rsid w:val="0059118D"/>
    <w:rsid w:val="005960FA"/>
    <w:rsid w:val="005A6703"/>
    <w:rsid w:val="005A74ED"/>
    <w:rsid w:val="005B0127"/>
    <w:rsid w:val="005B1997"/>
    <w:rsid w:val="005B7A35"/>
    <w:rsid w:val="005C4B73"/>
    <w:rsid w:val="005C792B"/>
    <w:rsid w:val="005D1C10"/>
    <w:rsid w:val="005E1D2B"/>
    <w:rsid w:val="005E7074"/>
    <w:rsid w:val="005F2BAF"/>
    <w:rsid w:val="005F5AC5"/>
    <w:rsid w:val="00600D93"/>
    <w:rsid w:val="00602A43"/>
    <w:rsid w:val="00605157"/>
    <w:rsid w:val="00610640"/>
    <w:rsid w:val="00611325"/>
    <w:rsid w:val="00626BEA"/>
    <w:rsid w:val="0063300C"/>
    <w:rsid w:val="0064071E"/>
    <w:rsid w:val="006452A1"/>
    <w:rsid w:val="00651A5B"/>
    <w:rsid w:val="00655736"/>
    <w:rsid w:val="00657F05"/>
    <w:rsid w:val="00663B8D"/>
    <w:rsid w:val="006704B3"/>
    <w:rsid w:val="00696C8D"/>
    <w:rsid w:val="006A2AC2"/>
    <w:rsid w:val="006A3617"/>
    <w:rsid w:val="006B4452"/>
    <w:rsid w:val="006C6625"/>
    <w:rsid w:val="006D2DF9"/>
    <w:rsid w:val="006E46E4"/>
    <w:rsid w:val="006E75EB"/>
    <w:rsid w:val="00717DA5"/>
    <w:rsid w:val="00731CC4"/>
    <w:rsid w:val="007333D0"/>
    <w:rsid w:val="00734E47"/>
    <w:rsid w:val="0073772F"/>
    <w:rsid w:val="007407CE"/>
    <w:rsid w:val="00744484"/>
    <w:rsid w:val="00747566"/>
    <w:rsid w:val="00773188"/>
    <w:rsid w:val="0077591C"/>
    <w:rsid w:val="007821B3"/>
    <w:rsid w:val="00783782"/>
    <w:rsid w:val="00784B8C"/>
    <w:rsid w:val="007879E1"/>
    <w:rsid w:val="007A2408"/>
    <w:rsid w:val="007A78BD"/>
    <w:rsid w:val="007B6D03"/>
    <w:rsid w:val="007C7B15"/>
    <w:rsid w:val="007E57AA"/>
    <w:rsid w:val="00807F3A"/>
    <w:rsid w:val="008222B5"/>
    <w:rsid w:val="00823A11"/>
    <w:rsid w:val="0083535B"/>
    <w:rsid w:val="008451D0"/>
    <w:rsid w:val="008520A6"/>
    <w:rsid w:val="0085405E"/>
    <w:rsid w:val="0085414A"/>
    <w:rsid w:val="008567D8"/>
    <w:rsid w:val="00857EB9"/>
    <w:rsid w:val="0086269D"/>
    <w:rsid w:val="0086543A"/>
    <w:rsid w:val="008724E5"/>
    <w:rsid w:val="008725A6"/>
    <w:rsid w:val="008765C9"/>
    <w:rsid w:val="00884A9D"/>
    <w:rsid w:val="0088512B"/>
    <w:rsid w:val="00890CD4"/>
    <w:rsid w:val="00897348"/>
    <w:rsid w:val="008A289D"/>
    <w:rsid w:val="008A2B2D"/>
    <w:rsid w:val="008A4E1E"/>
    <w:rsid w:val="008A6458"/>
    <w:rsid w:val="008B3861"/>
    <w:rsid w:val="008C296C"/>
    <w:rsid w:val="008C75F1"/>
    <w:rsid w:val="008D4305"/>
    <w:rsid w:val="008D45F4"/>
    <w:rsid w:val="008E1A85"/>
    <w:rsid w:val="008E344F"/>
    <w:rsid w:val="008E5CA9"/>
    <w:rsid w:val="00901307"/>
    <w:rsid w:val="00903443"/>
    <w:rsid w:val="00903F5C"/>
    <w:rsid w:val="009163A7"/>
    <w:rsid w:val="00937D53"/>
    <w:rsid w:val="00940217"/>
    <w:rsid w:val="00946D0B"/>
    <w:rsid w:val="009472DE"/>
    <w:rsid w:val="00955877"/>
    <w:rsid w:val="00962034"/>
    <w:rsid w:val="0096526A"/>
    <w:rsid w:val="00972E5B"/>
    <w:rsid w:val="00975B5A"/>
    <w:rsid w:val="009A18CD"/>
    <w:rsid w:val="009B0335"/>
    <w:rsid w:val="009C35E6"/>
    <w:rsid w:val="009D52DC"/>
    <w:rsid w:val="009D5428"/>
    <w:rsid w:val="00A12558"/>
    <w:rsid w:val="00A13903"/>
    <w:rsid w:val="00A32A66"/>
    <w:rsid w:val="00A34ED5"/>
    <w:rsid w:val="00A45DBF"/>
    <w:rsid w:val="00A64F7D"/>
    <w:rsid w:val="00A725CF"/>
    <w:rsid w:val="00A755A2"/>
    <w:rsid w:val="00A91430"/>
    <w:rsid w:val="00AA1AF5"/>
    <w:rsid w:val="00AA590D"/>
    <w:rsid w:val="00AA6660"/>
    <w:rsid w:val="00AA70D8"/>
    <w:rsid w:val="00AB2C36"/>
    <w:rsid w:val="00AB6DDE"/>
    <w:rsid w:val="00AB70B6"/>
    <w:rsid w:val="00AB7174"/>
    <w:rsid w:val="00AC18C1"/>
    <w:rsid w:val="00AD1A86"/>
    <w:rsid w:val="00AD50A7"/>
    <w:rsid w:val="00AD5C46"/>
    <w:rsid w:val="00AE103E"/>
    <w:rsid w:val="00AF0A07"/>
    <w:rsid w:val="00AF4AEC"/>
    <w:rsid w:val="00AF625E"/>
    <w:rsid w:val="00B139BE"/>
    <w:rsid w:val="00B2172B"/>
    <w:rsid w:val="00B33004"/>
    <w:rsid w:val="00B34428"/>
    <w:rsid w:val="00B65409"/>
    <w:rsid w:val="00B8062D"/>
    <w:rsid w:val="00B917D2"/>
    <w:rsid w:val="00B92063"/>
    <w:rsid w:val="00B97EB3"/>
    <w:rsid w:val="00BA241A"/>
    <w:rsid w:val="00BA5FB6"/>
    <w:rsid w:val="00BB04AF"/>
    <w:rsid w:val="00BB4607"/>
    <w:rsid w:val="00BB6EEC"/>
    <w:rsid w:val="00BC5703"/>
    <w:rsid w:val="00BD52C9"/>
    <w:rsid w:val="00BE19E2"/>
    <w:rsid w:val="00BE6354"/>
    <w:rsid w:val="00C11E9A"/>
    <w:rsid w:val="00C138D1"/>
    <w:rsid w:val="00C20EA2"/>
    <w:rsid w:val="00C23A97"/>
    <w:rsid w:val="00C46770"/>
    <w:rsid w:val="00C52EBE"/>
    <w:rsid w:val="00C5776D"/>
    <w:rsid w:val="00C64855"/>
    <w:rsid w:val="00C70EA7"/>
    <w:rsid w:val="00C7433F"/>
    <w:rsid w:val="00C7516E"/>
    <w:rsid w:val="00C75770"/>
    <w:rsid w:val="00C84CCD"/>
    <w:rsid w:val="00CA4790"/>
    <w:rsid w:val="00CA56BB"/>
    <w:rsid w:val="00CB0542"/>
    <w:rsid w:val="00CB4318"/>
    <w:rsid w:val="00CC7F90"/>
    <w:rsid w:val="00CD437B"/>
    <w:rsid w:val="00D00B2B"/>
    <w:rsid w:val="00D17348"/>
    <w:rsid w:val="00D20D37"/>
    <w:rsid w:val="00D24877"/>
    <w:rsid w:val="00D27E95"/>
    <w:rsid w:val="00D3202B"/>
    <w:rsid w:val="00D63318"/>
    <w:rsid w:val="00D7105A"/>
    <w:rsid w:val="00D8250F"/>
    <w:rsid w:val="00D86BB3"/>
    <w:rsid w:val="00D937DE"/>
    <w:rsid w:val="00D95C4C"/>
    <w:rsid w:val="00D974AC"/>
    <w:rsid w:val="00DA2EF5"/>
    <w:rsid w:val="00DA36ED"/>
    <w:rsid w:val="00DA76A4"/>
    <w:rsid w:val="00DC49CB"/>
    <w:rsid w:val="00DD007F"/>
    <w:rsid w:val="00DE34F1"/>
    <w:rsid w:val="00DE6160"/>
    <w:rsid w:val="00DF032F"/>
    <w:rsid w:val="00DF4942"/>
    <w:rsid w:val="00E2125F"/>
    <w:rsid w:val="00E244E1"/>
    <w:rsid w:val="00E251C6"/>
    <w:rsid w:val="00E271C5"/>
    <w:rsid w:val="00E4150C"/>
    <w:rsid w:val="00E627B1"/>
    <w:rsid w:val="00E70169"/>
    <w:rsid w:val="00E87BA8"/>
    <w:rsid w:val="00E9376C"/>
    <w:rsid w:val="00E95AE2"/>
    <w:rsid w:val="00EA335E"/>
    <w:rsid w:val="00EA528C"/>
    <w:rsid w:val="00EA580C"/>
    <w:rsid w:val="00EB4C96"/>
    <w:rsid w:val="00EC6F8D"/>
    <w:rsid w:val="00ED3519"/>
    <w:rsid w:val="00ED39B2"/>
    <w:rsid w:val="00EE49F4"/>
    <w:rsid w:val="00EF34E2"/>
    <w:rsid w:val="00F24FD6"/>
    <w:rsid w:val="00F30DC6"/>
    <w:rsid w:val="00F31F96"/>
    <w:rsid w:val="00F32C23"/>
    <w:rsid w:val="00F53DE9"/>
    <w:rsid w:val="00F576CB"/>
    <w:rsid w:val="00F7035D"/>
    <w:rsid w:val="00F70CC5"/>
    <w:rsid w:val="00F71A02"/>
    <w:rsid w:val="00FA030C"/>
    <w:rsid w:val="00FA0D63"/>
    <w:rsid w:val="00FB724D"/>
    <w:rsid w:val="00FC5A33"/>
    <w:rsid w:val="00FD1226"/>
    <w:rsid w:val="00FD4BC8"/>
    <w:rsid w:val="00FE2168"/>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Lienhypertexte">
    <w:name w:val="Hyperlink"/>
    <w:aliases w:val=" Car Car3 Char, Car Car3 Char Char Char Char"/>
    <w:basedOn w:val="Policepardfaut"/>
    <w:link w:val="CarCar3"/>
    <w:uiPriority w:val="99"/>
    <w:unhideWhenUsed/>
    <w:rsid w:val="0043793C"/>
    <w:rPr>
      <w:color w:val="0000FF" w:themeColor="hyperlink"/>
      <w:u w:val="single"/>
    </w:rPr>
  </w:style>
  <w:style w:type="character" w:styleId="Mentionnonrsolue">
    <w:name w:val="Unresolved Mention"/>
    <w:basedOn w:val="Policepardfaut"/>
    <w:uiPriority w:val="99"/>
    <w:semiHidden/>
    <w:unhideWhenUsed/>
    <w:rsid w:val="0043793C"/>
    <w:rPr>
      <w:color w:val="605E5C"/>
      <w:shd w:val="clear" w:color="auto" w:fill="E1DFDD"/>
    </w:rPr>
  </w:style>
  <w:style w:type="character" w:styleId="Lienhypertextesuivivisit">
    <w:name w:val="FollowedHyperlink"/>
    <w:basedOn w:val="Policepardfaut"/>
    <w:uiPriority w:val="99"/>
    <w:semiHidden/>
    <w:unhideWhenUsed/>
    <w:rsid w:val="007B6D03"/>
    <w:rPr>
      <w:color w:val="800080" w:themeColor="followedHyperlink"/>
      <w:u w:val="single"/>
    </w:rPr>
  </w:style>
  <w:style w:type="table" w:customStyle="1" w:styleId="Grilledutableau2">
    <w:name w:val="Grille du tableau2"/>
    <w:basedOn w:val="TableauNormal"/>
    <w:next w:val="Grilledutableau"/>
    <w:uiPriority w:val="39"/>
    <w:rsid w:val="007B6D03"/>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Para">
    <w:name w:val="GA Para"/>
    <w:qFormat/>
    <w:rsid w:val="00046A7A"/>
    <w:pPr>
      <w:spacing w:after="120"/>
      <w:ind w:left="720" w:hanging="360"/>
    </w:pPr>
    <w:rPr>
      <w:rFonts w:ascii="Arial" w:eastAsia="Times New Roman" w:hAnsi="Arial" w:cs="Arial"/>
      <w:snapToGrid w:val="0"/>
      <w:sz w:val="22"/>
      <w:szCs w:val="22"/>
      <w:lang w:val="en-GB" w:eastAsia="en-US"/>
    </w:rPr>
  </w:style>
  <w:style w:type="paragraph" w:customStyle="1" w:styleId="CarCar3">
    <w:name w:val="Car Car3"/>
    <w:aliases w:val=" Car Car3 Char Char"/>
    <w:basedOn w:val="Normal"/>
    <w:link w:val="Lienhypertexte"/>
    <w:uiPriority w:val="99"/>
    <w:rsid w:val="00046A7A"/>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themeColor="hyperlink"/>
      <w:sz w:val="20"/>
      <w:szCs w:val="20"/>
      <w:u w:val="single"/>
    </w:rPr>
  </w:style>
  <w:style w:type="paragraph" w:customStyle="1" w:styleId="Style1">
    <w:name w:val="Style1"/>
    <w:basedOn w:val="Normal"/>
    <w:rsid w:val="00146E40"/>
    <w:pPr>
      <w:pBdr>
        <w:top w:val="nil"/>
        <w:left w:val="nil"/>
        <w:bottom w:val="nil"/>
        <w:right w:val="nil"/>
        <w:between w:val="nil"/>
        <w:bar w:val="nil"/>
      </w:pBdr>
      <w:spacing w:before="120" w:after="240"/>
      <w:ind w:left="567" w:hanging="567"/>
      <w:jc w:val="both"/>
    </w:pPr>
    <w:rPr>
      <w:rFonts w:ascii="Arial" w:hAnsi="Arial" w:cs="Arial"/>
      <w:snapToGrid w:val="0"/>
      <w:sz w:val="22"/>
      <w:szCs w:val="22"/>
      <w:lang w:val="en-GB" w:eastAsia="en-US"/>
    </w:rPr>
  </w:style>
  <w:style w:type="paragraph" w:styleId="Rvision">
    <w:name w:val="Revision"/>
    <w:hidden/>
    <w:uiPriority w:val="99"/>
    <w:semiHidden/>
    <w:rsid w:val="000D7577"/>
    <w:rPr>
      <w:rFonts w:ascii="Times New Roman" w:eastAsia="Times New Roman" w:hAnsi="Times New Roman"/>
      <w:sz w:val="24"/>
      <w:szCs w:val="24"/>
    </w:rPr>
  </w:style>
  <w:style w:type="character" w:customStyle="1" w:styleId="Aucun">
    <w:name w:val="Aucun"/>
    <w:rsid w:val="00381294"/>
    <w:rPr>
      <w:lang w:val="en-GB"/>
    </w:rPr>
  </w:style>
  <w:style w:type="character" w:styleId="Marquedecommentaire">
    <w:name w:val="annotation reference"/>
    <w:basedOn w:val="Policepardfaut"/>
    <w:uiPriority w:val="99"/>
    <w:semiHidden/>
    <w:unhideWhenUsed/>
    <w:rsid w:val="007C7B15"/>
    <w:rPr>
      <w:sz w:val="16"/>
      <w:szCs w:val="16"/>
    </w:rPr>
  </w:style>
  <w:style w:type="paragraph" w:styleId="Commentaire">
    <w:name w:val="annotation text"/>
    <w:basedOn w:val="Normal"/>
    <w:link w:val="CommentaireCar"/>
    <w:uiPriority w:val="99"/>
    <w:unhideWhenUsed/>
    <w:rsid w:val="007C7B15"/>
    <w:rPr>
      <w:sz w:val="20"/>
      <w:szCs w:val="20"/>
    </w:rPr>
  </w:style>
  <w:style w:type="character" w:customStyle="1" w:styleId="CommentaireCar">
    <w:name w:val="Commentaire Car"/>
    <w:basedOn w:val="Policepardfaut"/>
    <w:link w:val="Commentaire"/>
    <w:uiPriority w:val="99"/>
    <w:rsid w:val="007C7B1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C7B15"/>
    <w:rPr>
      <w:b/>
      <w:bCs/>
    </w:rPr>
  </w:style>
  <w:style w:type="character" w:customStyle="1" w:styleId="ObjetducommentaireCar">
    <w:name w:val="Objet du commentaire Car"/>
    <w:basedOn w:val="CommentaireCar"/>
    <w:link w:val="Objetducommentaire"/>
    <w:uiPriority w:val="99"/>
    <w:semiHidden/>
    <w:rsid w:val="007C7B15"/>
    <w:rPr>
      <w:rFonts w:ascii="Times New Roman" w:eastAsia="Times New Roman" w:hAnsi="Times New Roman"/>
      <w:b/>
      <w:bCs/>
    </w:rPr>
  </w:style>
  <w:style w:type="character" w:customStyle="1" w:styleId="hps">
    <w:name w:val="hps"/>
    <w:rsid w:val="006C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451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872455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88482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11_EN.docx" TargetMode="External"/><Relationship Id="rId13" Type="http://schemas.openxmlformats.org/officeDocument/2006/relationships/hyperlink" Target="https://ich.unesco.org/doc/src/LHE-22-17.COM-10-EN.docx" TargetMode="External"/><Relationship Id="rId18" Type="http://schemas.openxmlformats.org/officeDocument/2006/relationships/hyperlink" Target="https://ich.unesco.org/en/decisions/18.COM/11" TargetMode="External"/><Relationship Id="rId26" Type="http://schemas.openxmlformats.org/officeDocument/2006/relationships/hyperlink" Target="https://ich.unesco.org/en/decisions/18.COM/11" TargetMode="External"/><Relationship Id="rId3" Type="http://schemas.openxmlformats.org/officeDocument/2006/relationships/styles" Target="styles.xml"/><Relationship Id="rId21" Type="http://schemas.openxmlformats.org/officeDocument/2006/relationships/hyperlink" Target="https://ich.unesco.org/en/decisions/18.COM/10" TargetMode="External"/><Relationship Id="rId7" Type="http://schemas.openxmlformats.org/officeDocument/2006/relationships/endnotes" Target="endnotes.xml"/><Relationship Id="rId12" Type="http://schemas.openxmlformats.org/officeDocument/2006/relationships/hyperlink" Target="https://ich.unesco.org/en/Decisions/16.COM/14" TargetMode="External"/><Relationship Id="rId17" Type="http://schemas.openxmlformats.org/officeDocument/2006/relationships/hyperlink" Target="https://ich.unesco.org/doc/src/LHE-23-EXP_ART18-4_EN.docx" TargetMode="External"/><Relationship Id="rId25" Type="http://schemas.openxmlformats.org/officeDocument/2006/relationships/hyperlink" Target="https://ich.unesco.org/en/decisions/18.COM/10" TargetMode="External"/><Relationship Id="rId2" Type="http://schemas.openxmlformats.org/officeDocument/2006/relationships/numbering" Target="numbering.xml"/><Relationship Id="rId16" Type="http://schemas.openxmlformats.org/officeDocument/2006/relationships/hyperlink" Target="https://ich.unesco.org/doc/src/LHE-23-18.COM-11_EN.docx" TargetMode="External"/><Relationship Id="rId20" Type="http://schemas.openxmlformats.org/officeDocument/2006/relationships/hyperlink" Target="https://ich.unesco.org/en/Decisions/17.COM/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9.GA/9" TargetMode="External"/><Relationship Id="rId24" Type="http://schemas.openxmlformats.org/officeDocument/2006/relationships/hyperlink" Target="https://ich.unesco.org/en/Decisions/17.COM/7" TargetMode="External"/><Relationship Id="rId5" Type="http://schemas.openxmlformats.org/officeDocument/2006/relationships/webSettings" Target="webSettings.xml"/><Relationship Id="rId15" Type="http://schemas.openxmlformats.org/officeDocument/2006/relationships/hyperlink" Target="https://ich.unesco.org/doc/src/LHE-23-EXP_ART18-4_EN.docx" TargetMode="External"/><Relationship Id="rId23" Type="http://schemas.openxmlformats.org/officeDocument/2006/relationships/hyperlink" Target="https://ich.unesco.org/en/decisions/16.COM/14" TargetMode="External"/><Relationship Id="rId28" Type="http://schemas.openxmlformats.org/officeDocument/2006/relationships/header" Target="header2.xml"/><Relationship Id="rId10" Type="http://schemas.openxmlformats.org/officeDocument/2006/relationships/hyperlink" Target="https://ich.unesco.org/en/Decisions/16.COM/14" TargetMode="External"/><Relationship Id="rId19" Type="http://schemas.openxmlformats.org/officeDocument/2006/relationships/hyperlink" Target="https://ich.unesco.org/en/Decisions/9.GA/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ecisions/18.COM/11" TargetMode="External"/><Relationship Id="rId14" Type="http://schemas.openxmlformats.org/officeDocument/2006/relationships/hyperlink" Target="https://ich.unesco.org/en/Decisions/17.COM/10" TargetMode="External"/><Relationship Id="rId22" Type="http://schemas.openxmlformats.org/officeDocument/2006/relationships/hyperlink" Target="https://ich.unesco.org/en/Decisions/9.GA/9"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global-reflection-on-the-listing-mechanisms-0116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81</TotalTime>
  <Pages>7</Pages>
  <Words>2887</Words>
  <Characters>15879</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12</cp:revision>
  <cp:lastPrinted>2024-05-10T12:29:00Z</cp:lastPrinted>
  <dcterms:created xsi:type="dcterms:W3CDTF">2024-05-10T13:24:00Z</dcterms:created>
  <dcterms:modified xsi:type="dcterms:W3CDTF">2024-05-13T18:23:00Z</dcterms:modified>
</cp:coreProperties>
</file>