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4A88C985" w:rsidR="00EC6F8D" w:rsidRPr="00BB6EEC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КОНВЕНЦИЯ ОБ ОХРАНЕ </w:t>
      </w:r>
      <w:r w:rsidR="00171B9F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НЕМАТЕРИАЛЬНОГО КУЛЬТУРНОГО НАСЛЕДИЯ</w:t>
      </w:r>
    </w:p>
    <w:p w14:paraId="3F72B1D3" w14:textId="0A0F4020" w:rsidR="00EC6F8D" w:rsidRPr="00BB6EEC" w:rsidRDefault="005C792B" w:rsidP="00EC6F8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</w:t>
      </w:r>
      <w:r w:rsidR="00171B9F" w:rsidRPr="00171B9F">
        <w:rPr>
          <w:rFonts w:ascii="Arial" w:hAnsi="Arial"/>
          <w:b/>
          <w:sz w:val="22"/>
        </w:rPr>
        <w:t xml:space="preserve"> </w:t>
      </w:r>
      <w:r w:rsidR="00171B9F" w:rsidRPr="002402C9">
        <w:rPr>
          <w:rFonts w:ascii="Arial" w:hAnsi="Arial" w:cs="Arial"/>
          <w:b/>
          <w:sz w:val="22"/>
          <w:szCs w:val="22"/>
        </w:rPr>
        <w:t>–</w:t>
      </w:r>
      <w:r w:rsidR="00171B9F" w:rsidRPr="00171B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</w:rPr>
        <w:t>УЧАСТНИКОВ КОНВЕНЦИИ</w:t>
      </w:r>
    </w:p>
    <w:p w14:paraId="2E1CD4B4" w14:textId="1F59B9D4" w:rsidR="00EC6F8D" w:rsidRPr="00BB6EEC" w:rsidRDefault="005C792B" w:rsidP="001D14F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Десятая сессия</w:t>
      </w:r>
    </w:p>
    <w:p w14:paraId="1FD89575" w14:textId="05D2C62D" w:rsidR="00B2172B" w:rsidRPr="00BB6EEC" w:rsidRDefault="005C792B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 I</w:t>
      </w:r>
    </w:p>
    <w:p w14:paraId="52EA6D50" w14:textId="10736688" w:rsidR="00B2172B" w:rsidRPr="00BB6EEC" w:rsidRDefault="0054535F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11</w:t>
      </w:r>
      <w:r w:rsidR="00CA2A2E" w:rsidRPr="004F73C8">
        <w:rPr>
          <w:rFonts w:ascii="Arial" w:hAnsi="Arial"/>
          <w:b/>
          <w:sz w:val="22"/>
        </w:rPr>
        <w:t xml:space="preserve"> </w:t>
      </w:r>
      <w:r w:rsidR="00CA2A2E">
        <w:rPr>
          <w:rFonts w:ascii="Arial" w:hAnsi="Arial"/>
          <w:b/>
          <w:sz w:val="22"/>
        </w:rPr>
        <w:t>–</w:t>
      </w:r>
      <w:r w:rsidR="00CA2A2E" w:rsidRPr="004F73C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1</w:t>
      </w:r>
      <w:r w:rsidR="007F1995" w:rsidRPr="004F73C8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июня 2024 г</w:t>
      </w:r>
      <w:r w:rsidR="00CA2A2E" w:rsidRPr="004F73C8">
        <w:rPr>
          <w:rFonts w:ascii="Arial" w:hAnsi="Arial"/>
          <w:b/>
          <w:sz w:val="22"/>
        </w:rPr>
        <w:t>.</w:t>
      </w:r>
    </w:p>
    <w:p w14:paraId="0365203A" w14:textId="3F2CCF80" w:rsidR="00EC6F8D" w:rsidRPr="00BB6EEC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 6 предварительной повестки дня</w:t>
      </w:r>
      <w:r>
        <w:rPr>
          <w:rFonts w:ascii="Arial" w:hAnsi="Arial"/>
          <w:b/>
          <w:sz w:val="22"/>
        </w:rPr>
        <w:t>:</w:t>
      </w:r>
    </w:p>
    <w:p w14:paraId="59920478" w14:textId="144DDE36" w:rsidR="004A2875" w:rsidRPr="00BB6EEC" w:rsidRDefault="00BF724B" w:rsidP="004A2875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Доклад Секретариата о своей деятельности (январь 2022 г</w:t>
      </w:r>
      <w:r w:rsidR="00CA2A2E" w:rsidRPr="004F73C8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 xml:space="preserve"> — декабрь 2023 г</w:t>
      </w:r>
      <w:r w:rsidR="00CA2A2E" w:rsidRPr="004F73C8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>)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BF724B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F7949AB" w:rsidR="00EC6F8D" w:rsidRPr="00BB6EEC" w:rsidRDefault="00171B9F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631">
              <w:rPr>
                <w:rFonts w:ascii="Arial" w:hAnsi="Arial"/>
                <w:b/>
                <w:sz w:val="22"/>
              </w:rPr>
              <w:t>Содержание</w:t>
            </w:r>
          </w:p>
          <w:p w14:paraId="612E5DE6" w14:textId="47536C45" w:rsidR="00BB6EEC" w:rsidRPr="00BB6EEC" w:rsidRDefault="00BF724B" w:rsidP="00BB6EEC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В этом документе представлен обзор мероприятий, проведенных Секретариатом Конвенции 2003 года в период с 1 января 2022 года по 31 декабря 2023 года.</w:t>
            </w:r>
          </w:p>
          <w:p w14:paraId="290310E8" w14:textId="539E1417" w:rsidR="00EC6F8D" w:rsidRPr="00BB6EEC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Требуемое решение:</w:t>
            </w:r>
            <w:r>
              <w:rPr>
                <w:rFonts w:ascii="Arial" w:hAnsi="Arial"/>
                <w:sz w:val="22"/>
              </w:rPr>
              <w:t xml:space="preserve"> пункт 22</w:t>
            </w:r>
          </w:p>
        </w:tc>
      </w:tr>
    </w:tbl>
    <w:p w14:paraId="713D819F" w14:textId="77777777" w:rsidR="004A2875" w:rsidRPr="00BB6EEC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br w:type="page"/>
      </w:r>
    </w:p>
    <w:p w14:paraId="6C62585F" w14:textId="1FBD00B9" w:rsidR="00F70CC5" w:rsidRPr="00BB6EEC" w:rsidRDefault="00FD4BC8" w:rsidP="00F70CC5">
      <w:pPr>
        <w:pStyle w:val="COMPara"/>
        <w:numPr>
          <w:ilvl w:val="0"/>
          <w:numId w:val="0"/>
        </w:numPr>
        <w:spacing w:before="240"/>
        <w:jc w:val="both"/>
        <w:rPr>
          <w:b/>
          <w:bCs/>
        </w:rPr>
      </w:pPr>
      <w:bookmarkStart w:id="0" w:name="_Hlk124351255"/>
      <w:r>
        <w:rPr>
          <w:b/>
        </w:rPr>
        <w:lastRenderedPageBreak/>
        <w:t>История вопроса</w:t>
      </w:r>
    </w:p>
    <w:bookmarkEnd w:id="0"/>
    <w:p w14:paraId="5FA2B7DB" w14:textId="5FF81B28" w:rsidR="0057439C" w:rsidRPr="00495090" w:rsidRDefault="004A38CF" w:rsidP="00495090">
      <w:pPr>
        <w:pStyle w:val="COMPara"/>
        <w:ind w:left="567" w:hanging="567"/>
        <w:jc w:val="both"/>
        <w:rPr>
          <w:bCs/>
        </w:rPr>
      </w:pPr>
      <w:r>
        <w:t xml:space="preserve">Настоящий отчет посвящен работе Секретариата Конвенции 2003 года в период с января 2022 года по декабрь 2023 года в соответствии с резолюцией </w:t>
      </w:r>
      <w:hyperlink r:id="rId8" w:history="1">
        <w:r>
          <w:rPr>
            <w:rStyle w:val="Lienhypertexte"/>
          </w:rPr>
          <w:t>9.GA 6</w:t>
        </w:r>
      </w:hyperlink>
      <w:r w:rsidR="004F73C8" w:rsidRPr="004F73C8">
        <w:t>.</w:t>
      </w:r>
      <w:r>
        <w:t xml:space="preserve"> Отчетный период согласован с другими процессами отчетности ЮНЕСКО, а именно с </w:t>
      </w:r>
      <w:hyperlink r:id="rId9" w:history="1">
        <w:r>
          <w:rPr>
            <w:rStyle w:val="Lienhypertexte"/>
          </w:rPr>
          <w:t>докладом Генерального директора</w:t>
        </w:r>
      </w:hyperlink>
      <w:r>
        <w:t xml:space="preserve"> о выполнении программы, утвержденной Генеральной конференцией (EX/4). В </w:t>
      </w:r>
      <w:hyperlink w:anchor="AnnexI" w:history="1">
        <w:r>
          <w:rPr>
            <w:rStyle w:val="Lienhypertexte"/>
          </w:rPr>
          <w:t>Приложении I</w:t>
        </w:r>
      </w:hyperlink>
      <w:r>
        <w:t xml:space="preserve"> показан вклад работы Секретариата в рамки результатов документа 41С/5 и, более конкретно, в показатели эффективности в рамках результата 5.CLT4 Крупной программы IV. В </w:t>
      </w:r>
      <w:hyperlink r:id="rId10" w:history="1">
        <w:r>
          <w:rPr>
            <w:rStyle w:val="Lienhypertexte"/>
          </w:rPr>
          <w:t>Приложении II</w:t>
        </w:r>
      </w:hyperlink>
      <w:r>
        <w:t xml:space="preserve"> приводится информация о выполнении двенадцати рекомендаций, содержащихся в </w:t>
      </w:r>
      <w:hyperlink r:id="rId11" w:history="1">
        <w:r>
          <w:rPr>
            <w:rStyle w:val="Lienhypertexte"/>
          </w:rPr>
          <w:t xml:space="preserve">Оценке 2021 IOS </w:t>
        </w:r>
      </w:hyperlink>
      <w:r>
        <w:t xml:space="preserve"> деятельности ЮНЕСКО в рамках Конвенции 2003 г.</w:t>
      </w:r>
      <w:r w:rsidR="00495090">
        <w:rPr>
          <w:rStyle w:val="Appelnotedebasdep"/>
          <w:bCs/>
          <w:iCs/>
          <w:lang w:val="en-US"/>
        </w:rPr>
        <w:footnoteReference w:id="1"/>
      </w:r>
      <w:r>
        <w:t xml:space="preserve">. Этот отчет также следует рассматривать вместе с финансовым отчетом Фонда Конвенции по охране нематериального культурного наследия за тот же отчетный период (документ </w:t>
      </w:r>
      <w:hyperlink r:id="rId12" w:history="1">
        <w:r w:rsidRPr="004F73C8">
          <w:rPr>
            <w:rStyle w:val="Lienhypertexte"/>
          </w:rPr>
          <w:t>LHE/24/10.GA/INF.8</w:t>
        </w:r>
      </w:hyperlink>
      <w:r>
        <w:t>).</w:t>
      </w:r>
    </w:p>
    <w:p w14:paraId="20014F4B" w14:textId="33C6B4CF" w:rsidR="00495090" w:rsidRPr="0001092A" w:rsidRDefault="00B63830" w:rsidP="00495090">
      <w:pPr>
        <w:pStyle w:val="COMPara"/>
        <w:ind w:left="567" w:hanging="567"/>
        <w:jc w:val="both"/>
        <w:rPr>
          <w:bCs/>
        </w:rPr>
      </w:pPr>
      <w:r>
        <w:t>Основная деятельность Секретариата была сосредоточена на механизмах международного сотрудничества и помощи в рамках Конвенции (раздел I), оперативной деятельности (раздел II), тематических инициативах (раздел III), а также партнерских отношениях, коммуникациях и информационно-просветительской работе (раздел IV). В отчет также включена информация и консультационные материалы о концепции развития Конвенции после двадцатой годовщины Конвенции 2003 года, которая будет отмечаться в 2023 году (раздел V).</w:t>
      </w:r>
    </w:p>
    <w:p w14:paraId="123B6521" w14:textId="7FFAD90E" w:rsidR="00F70CC5" w:rsidRPr="00BB6EEC" w:rsidRDefault="001C2B87" w:rsidP="00AC18C1">
      <w:pPr>
        <w:pStyle w:val="COMPara"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Управление Конвенцией: Законодательная поддержка</w:t>
      </w:r>
    </w:p>
    <w:p w14:paraId="61BC18B9" w14:textId="0EEE4ADB" w:rsidR="002873D0" w:rsidRDefault="00BB7C9C" w:rsidP="00B61234">
      <w:pPr>
        <w:pStyle w:val="COMPara"/>
        <w:ind w:left="567" w:hanging="567"/>
        <w:jc w:val="both"/>
      </w:pPr>
      <w:r>
        <w:t xml:space="preserve">Секретариат обеспечил административную, материально-техническую и основную поддержку </w:t>
      </w:r>
      <w:r>
        <w:rPr>
          <w:u w:val="single"/>
        </w:rPr>
        <w:t>руководящих органов Конвенции</w:t>
      </w:r>
      <w:r>
        <w:t>, организовав тридцать три предусмотренных уставом совещания.</w:t>
      </w:r>
      <w:r>
        <w:rPr>
          <w:rFonts w:asciiTheme="minorBidi" w:hAnsiTheme="minorBidi"/>
        </w:rPr>
        <w:t xml:space="preserve"> </w:t>
      </w:r>
      <w:r>
        <w:t xml:space="preserve">На веб-сайте Конвенции </w:t>
      </w:r>
      <w:r>
        <w:rPr>
          <w:rStyle w:val="Lienhypertexte"/>
          <w:u w:val="none"/>
        </w:rPr>
        <w:t xml:space="preserve"> </w:t>
      </w:r>
      <w:r>
        <w:t>размещено ежегодное расписание уставных заседаний на</w:t>
      </w:r>
      <w:r w:rsidR="00655FD0" w:rsidRPr="00655FD0">
        <w:t xml:space="preserve"> </w:t>
      </w:r>
      <w:hyperlink r:id="rId13" w:history="1">
        <w:r>
          <w:rPr>
            <w:rStyle w:val="Lienhypertexte"/>
          </w:rPr>
          <w:t>2022</w:t>
        </w:r>
      </w:hyperlink>
      <w:r>
        <w:t xml:space="preserve"> и </w:t>
      </w:r>
      <w:hyperlink r:id="rId14" w:history="1">
        <w:r>
          <w:rPr>
            <w:rStyle w:val="Lienhypertexte"/>
          </w:rPr>
          <w:t>2023</w:t>
        </w:r>
      </w:hyperlink>
      <w:r>
        <w:t xml:space="preserve"> годы, которое регулярно обновляется. Кроме того, в отчетный период был завершен пересмотр Правил процедуры Генеральной ассамблеи Конвенции 2003 года (резолюция</w:t>
      </w:r>
      <w:r>
        <w:rPr>
          <w:rFonts w:asciiTheme="minorBidi" w:hAnsiTheme="minorBidi"/>
        </w:rPr>
        <w:t xml:space="preserve"> </w:t>
      </w:r>
      <w:hyperlink r:id="rId15" w:history="1">
        <w:r>
          <w:rPr>
            <w:rStyle w:val="Lienhypertexte"/>
            <w:rFonts w:asciiTheme="minorBidi" w:hAnsiTheme="minorBidi"/>
          </w:rPr>
          <w:t>9.GA 12</w:t>
        </w:r>
      </w:hyperlink>
      <w:r>
        <w:rPr>
          <w:rFonts w:asciiTheme="minorBidi" w:hAnsiTheme="minorBidi"/>
        </w:rPr>
        <w:t xml:space="preserve">), в соответствии с которыми будет созвана нынешняя сессия Ассамблеи. </w:t>
      </w:r>
      <w:r>
        <w:t xml:space="preserve">Доклад о деятельности Комитета за период с января 2022 года по декабрь 2023 года представлен на нынешней сессии Ассамблеи (документ </w:t>
      </w:r>
      <w:hyperlink r:id="rId16" w:history="1">
        <w:r w:rsidRPr="004F73C8">
          <w:rPr>
            <w:rStyle w:val="Lienhypertexte"/>
          </w:rPr>
          <w:t>LHE/24/10.GA/5</w:t>
        </w:r>
      </w:hyperlink>
      <w:r>
        <w:t>).</w:t>
      </w:r>
    </w:p>
    <w:p w14:paraId="167E5162" w14:textId="4EB1EFE0" w:rsidR="003C6C8A" w:rsidRDefault="003C6C8A" w:rsidP="003C6C8A">
      <w:pPr>
        <w:pStyle w:val="COMPara"/>
        <w:ind w:left="567" w:hanging="567"/>
        <w:jc w:val="both"/>
      </w:pPr>
      <w:r>
        <w:t xml:space="preserve">Секретариат оказывал существенную </w:t>
      </w:r>
      <w:r>
        <w:rPr>
          <w:u w:val="single"/>
        </w:rPr>
        <w:t>поддержку механизмам международного сотрудничества в рамках Конвенции.</w:t>
      </w:r>
      <w:r>
        <w:t xml:space="preserve"> Основной объем работы был связан с обработкой досье кандидатов в рамках циклов 2022 и 2023 годов для оценки Органом по оценке, а также с проверкой технической полноты кандидатов в рамках цикла 2024 года. Кроме того, Секретариат обрабатывал периодические доклады, а также заявки неправительственных организаций (НПО) на аккредитацию и ее продление. Эти заявки на аккредитацию, составленные с учетом рекомендаций восемнадцатой сессии Комитета, представлены на рассмотрение нынешней сессии Ассамблеи (документ </w:t>
      </w:r>
      <w:hyperlink r:id="rId17" w:history="1">
        <w:r w:rsidRPr="004F73C8">
          <w:rPr>
            <w:rStyle w:val="Lienhypertexte"/>
          </w:rPr>
          <w:t>LHE/24/10.GA/9</w:t>
        </w:r>
      </w:hyperlink>
      <w:r>
        <w:t>).</w:t>
      </w:r>
    </w:p>
    <w:p w14:paraId="2A4E60D6" w14:textId="7A7CE82C" w:rsidR="00433FBC" w:rsidRPr="00A91C02" w:rsidRDefault="00DB3DC8" w:rsidP="00134C0B">
      <w:pPr>
        <w:pStyle w:val="COMPara"/>
        <w:ind w:left="567" w:hanging="567"/>
        <w:jc w:val="both"/>
      </w:pPr>
      <w:r>
        <w:t xml:space="preserve">В отчетный период завершился </w:t>
      </w:r>
      <w:r>
        <w:rPr>
          <w:u w:val="single"/>
        </w:rPr>
        <w:t>глобальный анализ механизмов включения в списки Конвенции</w:t>
      </w:r>
      <w:r>
        <w:t xml:space="preserve"> (2018-2022), в результате чего были внесены изменения в поправки для Оперативных директив, устанавливающие ряд новых процедур (резолюция</w:t>
      </w:r>
      <w:r w:rsidR="0089611E" w:rsidRPr="004F73C8">
        <w:t xml:space="preserve"> </w:t>
      </w:r>
      <w:hyperlink r:id="rId18" w:history="1">
        <w:r>
          <w:rPr>
            <w:rStyle w:val="Lienhypertexte"/>
          </w:rPr>
          <w:t>9.GA 9</w:t>
        </w:r>
      </w:hyperlink>
      <w:r>
        <w:t xml:space="preserve">). Секретариат пересмотрел существующие формы и создал новые упрощенные формы к циклу 2024 года. В качестве еще одного результата глобального анализа в 2021 году был начат новый анализ, направленный на изучение </w:t>
      </w:r>
      <w:r>
        <w:rPr>
          <w:u w:val="single"/>
        </w:rPr>
        <w:t>всего потенциала статьи 18 Конвенции</w:t>
      </w:r>
      <w:r>
        <w:t xml:space="preserve">,с целью поиска путей выдвижения на первый план мнений и ожиданий общин (решение </w:t>
      </w:r>
      <w:hyperlink r:id="rId19" w:history="1">
        <w:r>
          <w:rPr>
            <w:rStyle w:val="Lienhypertexte"/>
          </w:rPr>
          <w:t>17.COM 10</w:t>
        </w:r>
      </w:hyperlink>
      <w:r>
        <w:t>).</w:t>
      </w:r>
      <w:r>
        <w:rPr>
          <w:rFonts w:asciiTheme="minorBidi" w:hAnsiTheme="minorBidi"/>
        </w:rPr>
        <w:t xml:space="preserve"> </w:t>
      </w:r>
      <w:r>
        <w:t xml:space="preserve">Основываясь на результатах совещания экспертов категории VI и межправительственной рабочей группы открытого состава, Комитет принял к сведению шаги по созданию онлайновой платформы для обмена передовым опытом в области охраны, а также рассмотрел вопрос о том, как расширить доступ к Реестру </w:t>
      </w:r>
      <w:r>
        <w:lastRenderedPageBreak/>
        <w:t>передовой практики охраны и сделать его более наглядным</w:t>
      </w:r>
      <w:r>
        <w:rPr>
          <w:rFonts w:asciiTheme="minorBidi" w:hAnsiTheme="minorBidi"/>
        </w:rPr>
        <w:t xml:space="preserve"> </w:t>
      </w:r>
      <w:hyperlink r:id="rId20" w:history="1">
        <w:r>
          <w:rPr>
            <w:rStyle w:val="Lienhypertexte"/>
            <w:rFonts w:asciiTheme="minorBidi" w:hAnsiTheme="minorBidi"/>
          </w:rPr>
          <w:t>18.COM 11</w:t>
        </w:r>
      </w:hyperlink>
      <w:r>
        <w:rPr>
          <w:rFonts w:asciiTheme="minorBidi" w:hAnsiTheme="minorBidi"/>
        </w:rPr>
        <w:t xml:space="preserve">). Что касается последнего аспекта, то нынешней сессии предлагается рассмотреть предлагаемые поправки к Оперативным директивам, направленные на упрощение критериев отбора в Реестр (документ </w:t>
      </w:r>
      <w:hyperlink r:id="rId21" w:history="1">
        <w:r w:rsidRPr="004F73C8">
          <w:rPr>
            <w:rStyle w:val="Lienhypertexte"/>
            <w:rFonts w:asciiTheme="minorBidi" w:hAnsiTheme="minorBidi"/>
          </w:rPr>
          <w:t>LHE/24/10.GA/7</w:t>
        </w:r>
      </w:hyperlink>
      <w:r>
        <w:rPr>
          <w:rFonts w:asciiTheme="minorBidi" w:hAnsiTheme="minorBidi"/>
        </w:rPr>
        <w:t>).</w:t>
      </w:r>
    </w:p>
    <w:p w14:paraId="6EA5BE97" w14:textId="7891A3C8" w:rsidR="00674083" w:rsidRDefault="00674083" w:rsidP="00470DED">
      <w:pPr>
        <w:pStyle w:val="COMPara"/>
        <w:ind w:left="567" w:hanging="567"/>
        <w:jc w:val="both"/>
        <w:rPr>
          <w:rStyle w:val="ui-provider"/>
        </w:rPr>
      </w:pPr>
      <w:r>
        <w:rPr>
          <w:rStyle w:val="ui-provider"/>
        </w:rPr>
        <w:t xml:space="preserve">Завершая глобальный анализ механизмов включения в списки Конвенции, руководящие органы Конвенции приняли во внимание возможное увеличение рабочей нагрузки на заинтересованные стороны ввиду того, что некоторые категории кандидатур в экспериментальном порядке были выведены за пределы годового потолка. В соответствии с решением </w:t>
      </w:r>
      <w:hyperlink r:id="rId22" w:tgtFrame="_blank" w:tooltip="https://ich.unesco.org/en/decisions/17.com/15" w:history="1">
        <w:r>
          <w:rPr>
            <w:rStyle w:val="Lienhypertexte"/>
          </w:rPr>
          <w:t>17.COM 15</w:t>
        </w:r>
      </w:hyperlink>
      <w:r>
        <w:rPr>
          <w:rStyle w:val="ui-provider"/>
        </w:rPr>
        <w:t>, следует отметить, что Секретариат получил информацию о циклах 2024 и 2025 гг: (a) пять запросов о переносе включенного элемента из Списка срочных мер предосторожности в Репрезентативный список (три в рамках цикла 2024 года и два в рамках цикла 2025 года от двух государств-участников) и (b) двенадцать запросов о включении элементов в Репрезентативный список на расширенной основе (пять в рамках цикла 2024 года и семь в рамках цикла 2025 года, представленные шестнадцатью государствами-участниками, включая три национальных запроса на продление, восемь международных запросов на продление и один запрос, сочетающий национальное и международное продление). Эти кандидатуры готовятся к рассмотрению на девятнадцатой и двадцатой сессиях Комитета в 2024 и 2025 годах, что свидетельствует о том, что результаты вышеупомянутого глобального анализа уже работают. Предполагается, что на девятнадцатой сессии Комитета в декабре 2024 года будет обсуждаться количество досье, представленных для циклов 2024 и 2025 годов, и количество досье, которые могут быть рассмотрены в циклах 2026 и 2027 годов.</w:t>
      </w:r>
    </w:p>
    <w:p w14:paraId="54790331" w14:textId="2E128C78" w:rsidR="00445B9D" w:rsidRPr="00FF08E2" w:rsidRDefault="00445B9D" w:rsidP="00A91C02">
      <w:pPr>
        <w:pStyle w:val="COMPara"/>
        <w:ind w:left="567" w:hanging="567"/>
        <w:jc w:val="both"/>
        <w:rPr>
          <w:rFonts w:asciiTheme="minorBidi" w:hAnsiTheme="minorBidi" w:cstheme="minorBidi"/>
        </w:rPr>
      </w:pPr>
      <w:r>
        <w:t>Секретариат продолжал осуществлять пилотные проекты в соответствии с Оперативными принципами и формами с</w:t>
      </w:r>
      <w:r>
        <w:rPr>
          <w:u w:val="single"/>
        </w:rPr>
        <w:t>охранения нематериального культурного наследия в чрезвычайных ситуациях</w:t>
      </w:r>
      <w:r>
        <w:t xml:space="preserve"> (резолюция </w:t>
      </w:r>
      <w:hyperlink r:id="rId23" w:history="1">
        <w:r>
          <w:rPr>
            <w:rStyle w:val="Lienhypertexte"/>
          </w:rPr>
          <w:t>8.GA 9</w:t>
        </w:r>
      </w:hyperlink>
      <w:r>
        <w:t xml:space="preserve">). При поддержке целевого взноса Азербайджана в Фонд нематериального культурного наследия были подготовлены новые материалы по созданию потенциала в области охраны нематериального культурного наследия в ситуациях конфликта и вынужденного перемещения для пилотного применения в лагере беженцев в Камеруне. Аналогично, многолетний проект </w:t>
      </w:r>
      <w:r w:rsidR="00324644" w:rsidRPr="00324644">
        <w:t>«</w:t>
      </w:r>
      <w:r>
        <w:t>Создание потенциала для охраны нематериального культурного наследия в чрезвычайных ситуациях в малых островных развивающихся государствах (МОРГ) Тихого океана и Карибского бассейна</w:t>
      </w:r>
      <w:r w:rsidR="00324644" w:rsidRPr="00324644">
        <w:t>»</w:t>
      </w:r>
      <w:r>
        <w:t>, финансируемый Японским целевым фондом, продвинулся в реализации в пяти государствах-участниках (Багамские острова, Белиз, Фиджи, Тонга и Вануату).</w:t>
      </w:r>
      <w:r>
        <w:rPr>
          <w:rFonts w:asciiTheme="minorBidi" w:hAnsiTheme="minorBidi"/>
        </w:rPr>
        <w:t xml:space="preserve"> </w:t>
      </w:r>
      <w:r>
        <w:t>В контексте войны в Украине Секретариат организовал несколько координационных совещаний для мониторинга меняющихся потребностей в охране нематериального культурного наследия.</w:t>
      </w:r>
      <w:r>
        <w:rPr>
          <w:rFonts w:asciiTheme="minorBidi" w:hAnsiTheme="minorBidi"/>
        </w:rPr>
        <w:t xml:space="preserve"> Эти встречи привели к разработке (а) проекта, поддерживаемого </w:t>
      </w:r>
      <w:r>
        <w:rPr>
          <w:rStyle w:val="ui-provider"/>
        </w:rPr>
        <w:t>Чрезвычайным</w:t>
      </w:r>
      <w:r>
        <w:rPr>
          <w:rFonts w:asciiTheme="minorBidi" w:hAnsiTheme="minorBidi"/>
        </w:rPr>
        <w:t xml:space="preserve"> фондом ЮНЕСКО для охраны наследия, направленного на интеграцию живого наследия в образование, (b) двух заявок на международную помощь, утвержденных </w:t>
      </w:r>
      <w:r w:rsidR="007174D7" w:rsidRPr="007174D7">
        <w:rPr>
          <w:rFonts w:asciiTheme="minorBidi" w:hAnsiTheme="minorBidi"/>
        </w:rPr>
        <w:t>Президиумом Комитета</w:t>
      </w:r>
      <w:r w:rsidR="007174D7" w:rsidRPr="004F73C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на 2023 г. для удовлетворения потребностей в охране украинского населения, временно перемещенного в Румынию и Словакию, и (c) совместная инициатива ЮНЕСКО и Министерства культуры и информационной политики Украины по разработке Плана действий по охране культуры в Украине, который включает тематический акцент на </w:t>
      </w:r>
      <w:r w:rsidR="00324644" w:rsidRPr="00324644">
        <w:rPr>
          <w:rFonts w:asciiTheme="minorBidi" w:hAnsiTheme="minorBidi"/>
        </w:rPr>
        <w:t>«</w:t>
      </w:r>
      <w:r>
        <w:rPr>
          <w:rFonts w:asciiTheme="minorBidi" w:hAnsiTheme="minorBidi"/>
        </w:rPr>
        <w:t>Укрепление устойчивости через культуру</w:t>
      </w:r>
      <w:r w:rsidR="00324644" w:rsidRPr="00324644">
        <w:rPr>
          <w:rFonts w:asciiTheme="minorBidi" w:hAnsiTheme="minorBidi"/>
        </w:rPr>
        <w:t>»</w:t>
      </w:r>
      <w:r>
        <w:rPr>
          <w:rFonts w:asciiTheme="minorBidi" w:hAnsiTheme="minorBidi"/>
        </w:rPr>
        <w:t>, охватывающий широкий спектр инициатив, связанных с живым наследием.</w:t>
      </w:r>
    </w:p>
    <w:p w14:paraId="2E24E3B9" w14:textId="26B74331" w:rsidR="00B61234" w:rsidRPr="00D241E7" w:rsidRDefault="00B61234" w:rsidP="00B61234">
      <w:pPr>
        <w:pStyle w:val="COMPara"/>
        <w:ind w:left="567" w:hanging="567"/>
        <w:jc w:val="both"/>
      </w:pPr>
      <w:r>
        <w:t xml:space="preserve">В рамках текущего цикла </w:t>
      </w:r>
      <w:r>
        <w:rPr>
          <w:u w:val="single"/>
        </w:rPr>
        <w:t>периодической отчетности</w:t>
      </w:r>
      <w:r>
        <w:t xml:space="preserve"> по Конвенции по-прежнему отмечается высокий уровень представления докладов: 100 процентов для Европы в 2022 году (все сорок четыре ожидаемых доклада были представлены и рассмотрены на семнадцатой сессии Комитета</w:t>
      </w:r>
      <w:r w:rsidR="001964C7">
        <w:rPr>
          <w:rStyle w:val="Appelnotedebasdep"/>
        </w:rPr>
        <w:footnoteReference w:id="2"/>
      </w:r>
      <w:r>
        <w:t xml:space="preserve">), 100 процентов для арабских государств в 2023 году (все восемнадцать ожидаемых докладов были представлены и рассмотрены на </w:t>
      </w:r>
      <w:r>
        <w:lastRenderedPageBreak/>
        <w:t>восемнадцатой сессии Комитета</w:t>
      </w:r>
      <w:r w:rsidR="001964C7">
        <w:rPr>
          <w:rStyle w:val="Appelnotedebasdep"/>
          <w:lang w:val="en-US"/>
        </w:rPr>
        <w:footnoteReference w:id="3"/>
      </w:r>
      <w:r>
        <w:t>), и 97 процентов для Африки в 2024 году (43 из 44 ожидаемых докладов были представлены, и они будут рассмотрены на девятнадцатой сессии Комитета). Секретариат оказывал этим трем регионам тесную поддержку, применяя индивидуальный подход к созданию потенциала в сотрудничестве с центрами ЮНЕСКО категории 2 в области живого наследия.</w:t>
      </w:r>
    </w:p>
    <w:p w14:paraId="0CA4EBDE" w14:textId="590915F2" w:rsidR="000B6F44" w:rsidRDefault="00E22922" w:rsidP="00044F7A">
      <w:pPr>
        <w:pStyle w:val="COMPara"/>
        <w:ind w:left="567" w:hanging="567"/>
        <w:jc w:val="both"/>
      </w:pPr>
      <w:r>
        <w:t xml:space="preserve">В отчетный период была продолжена систематизация механизма </w:t>
      </w:r>
      <w:r>
        <w:rPr>
          <w:u w:val="single"/>
        </w:rPr>
        <w:t>международной помощи</w:t>
      </w:r>
      <w:r>
        <w:t xml:space="preserve"> в соответствии со стратегией, утвержденной Комитетом на его семнадцатой сессии (решение </w:t>
      </w:r>
      <w:hyperlink r:id="rId24" w:history="1">
        <w:r>
          <w:rPr>
            <w:rStyle w:val="Lienhypertexte"/>
          </w:rPr>
          <w:t>17.COM 11</w:t>
        </w:r>
      </w:hyperlink>
      <w:r>
        <w:t xml:space="preserve">). Это привело к созданию реестра специалистов по оценке проектов международной помощи, карты проектов, подлежащих оценке, а также к регулярным инициативам по повышению осведомленности, включающим обновление </w:t>
      </w:r>
      <w:hyperlink r:id="rId25" w:history="1">
        <w:r>
          <w:rPr>
            <w:rStyle w:val="Lienhypertexte"/>
          </w:rPr>
          <w:t>Инструментария</w:t>
        </w:r>
      </w:hyperlink>
      <w:r>
        <w:t xml:space="preserve"> и онлайновые информационные сессии о механизме. Одновременно Секретариат продолжал поддерживать национальные усилия по обеспечению охраны, уделяя особое внимание Африке и малым островным развивающимся государствам (МОРГ), а также тринадцати государствам-участникам, впервые получающим финансовую помощь (документы </w:t>
      </w:r>
      <w:hyperlink r:id="rId26" w:history="1">
        <w:r>
          <w:rPr>
            <w:rStyle w:val="Lienhypertexte"/>
            <w:rFonts w:asciiTheme="minorBidi" w:hAnsiTheme="minorBidi"/>
          </w:rPr>
          <w:t>LHE/24/10.GA/8</w:t>
        </w:r>
      </w:hyperlink>
      <w:r>
        <w:t xml:space="preserve"> и </w:t>
      </w:r>
      <w:hyperlink r:id="rId27" w:history="1">
        <w:r>
          <w:rPr>
            <w:rStyle w:val="Lienhypertexte"/>
            <w:rFonts w:asciiTheme="minorBidi" w:hAnsiTheme="minorBidi"/>
          </w:rPr>
          <w:t>LHE/24/10.GA/INF.8</w:t>
        </w:r>
      </w:hyperlink>
      <w:r>
        <w:t>).</w:t>
      </w:r>
    </w:p>
    <w:p w14:paraId="36B959BC" w14:textId="1B998D91" w:rsidR="00F4279B" w:rsidRPr="00F4279B" w:rsidRDefault="00A35556" w:rsidP="00A91C02">
      <w:pPr>
        <w:pStyle w:val="COMPara"/>
        <w:keepNext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Операционная деятельность</w:t>
      </w:r>
    </w:p>
    <w:p w14:paraId="2C795C69" w14:textId="01ADF1D4" w:rsidR="00D648E5" w:rsidRPr="00D648E5" w:rsidRDefault="00D648E5" w:rsidP="00A91C02">
      <w:pPr>
        <w:pStyle w:val="COMPara"/>
        <w:keepNext/>
        <w:ind w:left="567" w:hanging="567"/>
        <w:jc w:val="both"/>
        <w:rPr>
          <w:rFonts w:asciiTheme="minorBidi" w:hAnsiTheme="minorBidi" w:cstheme="minorBidi"/>
        </w:rPr>
      </w:pPr>
      <w:r>
        <w:t xml:space="preserve">В оперативном плане </w:t>
      </w:r>
      <w:r>
        <w:rPr>
          <w:u w:val="single"/>
        </w:rPr>
        <w:t>инициативы</w:t>
      </w:r>
      <w:r>
        <w:t xml:space="preserve"> Секретариата </w:t>
      </w:r>
      <w:r>
        <w:rPr>
          <w:u w:val="single"/>
        </w:rPr>
        <w:t>по созданию потенциала</w:t>
      </w:r>
      <w:r>
        <w:t xml:space="preserve"> расширились как по масштабам, так и по охвату в рамках первого приоритета финансирования Конвенции: 114 государствам-членам, в том числе 32 африканским и 25 МОРГ, была оказана поддержка в разработке новой или пересмотренной политики, стратегий и программ по сохранению живого наследия.</w:t>
      </w:r>
    </w:p>
    <w:p w14:paraId="50E84FE4" w14:textId="3A215B5E" w:rsidR="001C585F" w:rsidRPr="00AF6564" w:rsidRDefault="00D648E5" w:rsidP="00AF6564">
      <w:pPr>
        <w:pStyle w:val="COMPara"/>
        <w:ind w:left="567" w:hanging="567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Программа продолжает преобразовываться в гибридную форму, сочетая онлайн-обучение с очным обучением и опираясь на опыт, полученный во время пандемии COVID-19. </w:t>
      </w:r>
      <w:r>
        <w:t>В их числе - первый</w:t>
      </w:r>
      <w:r>
        <w:rPr>
          <w:rFonts w:asciiTheme="minorBidi" w:hAnsiTheme="minorBidi"/>
        </w:rPr>
        <w:t xml:space="preserve"> </w:t>
      </w:r>
      <w:hyperlink r:id="rId28" w:history="1">
        <w:r>
          <w:rPr>
            <w:rStyle w:val="Lienhypertexte"/>
            <w:rFonts w:asciiTheme="minorBidi" w:hAnsiTheme="minorBidi"/>
          </w:rPr>
          <w:t>массовый открытый онлайн-курс (МООК) по нематериальному культурному наследию и устойчивому развитию</w:t>
        </w:r>
      </w:hyperlink>
      <w:r>
        <w:rPr>
          <w:rFonts w:asciiTheme="minorBidi" w:hAnsiTheme="minorBidi"/>
        </w:rPr>
        <w:t xml:space="preserve">, который подтвердил центральное место Программы и подчеркнул необходимость адаптации к меняющимся требованиям. МООК доступен с января 2022 года, и на сегодняшний день в нем приняли участие более 3 500 студентов из 160 стран. Секретариат также разработал и создал </w:t>
      </w:r>
      <w:r>
        <w:rPr>
          <w:rFonts w:asciiTheme="minorBidi" w:hAnsiTheme="minorBidi"/>
          <w:u w:val="single"/>
        </w:rPr>
        <w:t>систему управления обучением (СУО)</w:t>
      </w:r>
      <w:r>
        <w:rPr>
          <w:rFonts w:asciiTheme="minorBidi" w:hAnsiTheme="minorBidi"/>
        </w:rPr>
        <w:t xml:space="preserve"> для программы создания потенциала. В рамках партнерского соглашения с Международным учебным центром Международной организации труда (МУЦ-МОТ) продолжается работа по преобразованию 3 модулей (эквивалентных более чем 35 тематическим единицам) материалов по созданию потенциала для онлайновых учебных курсов и мультимодальных форматов обучения в системе </w:t>
      </w:r>
      <w:r w:rsidR="00655FD0" w:rsidRPr="00655FD0">
        <w:rPr>
          <w:rFonts w:asciiTheme="minorBidi" w:hAnsiTheme="minorBidi"/>
        </w:rPr>
        <w:t>СУО</w:t>
      </w:r>
      <w:r w:rsidRPr="00655FD0">
        <w:rPr>
          <w:rFonts w:asciiTheme="minorBidi" w:hAnsiTheme="minorBidi"/>
        </w:rPr>
        <w:t>.</w:t>
      </w:r>
    </w:p>
    <w:p w14:paraId="5AAD0915" w14:textId="70EAB39D" w:rsidR="00A35556" w:rsidRPr="0078455E" w:rsidRDefault="001B5575" w:rsidP="00D7220E">
      <w:pPr>
        <w:pStyle w:val="COMPara"/>
        <w:ind w:left="567" w:hanging="567"/>
        <w:jc w:val="both"/>
        <w:rPr>
          <w:rFonts w:asciiTheme="minorBidi" w:hAnsiTheme="minorBidi" w:cstheme="minorBidi"/>
        </w:rPr>
      </w:pPr>
      <w:r>
        <w:t xml:space="preserve">Секретариат еще больше расширил и укрепил свою </w:t>
      </w:r>
      <w:r>
        <w:rPr>
          <w:u w:val="single"/>
        </w:rPr>
        <w:t>глобальную сеть координаторов</w:t>
      </w:r>
      <w:r>
        <w:t>, которая теперь насчитывает 95 новых членов (60% из них - женщины) из всех регионов, и для которых было организовано четыре глобальных ознакомительных вебинара.</w:t>
      </w:r>
      <w:r>
        <w:rPr>
          <w:rFonts w:asciiTheme="minorBidi" w:hAnsiTheme="minorBidi"/>
        </w:rPr>
        <w:t xml:space="preserve"> Это расширение было основано на новой стратегии региональной, контекстуальной подготовки по выполнению Конвенции для новых координаторов, которая осуществляется во всех регионах в сотрудничестве с подразделениями ЮНЕСКО на местах и центрами ЮНЕСКО категории 2 в области живого наследия. Программа по созданию потенциала также расширила свой тематический опыт путем разработки учебных материалов в новых областях, таких как нематериальное культурное наследие и уменьшение опасности бедствий, которые были опробованы в ходе онлайновых семинаров и экспериментальных мероприятий.</w:t>
      </w:r>
    </w:p>
    <w:p w14:paraId="08593DAC" w14:textId="4C9BCDBD" w:rsidR="001C585F" w:rsidRDefault="00DB3DC8" w:rsidP="001B0B14">
      <w:pPr>
        <w:pStyle w:val="COMPara"/>
        <w:ind w:left="567" w:hanging="567"/>
        <w:jc w:val="both"/>
        <w:rPr>
          <w:rFonts w:asciiTheme="minorBidi" w:hAnsiTheme="minorBidi" w:cstheme="minorBidi"/>
        </w:rPr>
      </w:pPr>
      <w:bookmarkStart w:id="1" w:name="_Hlk147762468"/>
      <w:r>
        <w:rPr>
          <w:rFonts w:asciiTheme="minorBidi" w:hAnsiTheme="minorBidi"/>
          <w:snapToGrid/>
        </w:rPr>
        <w:t xml:space="preserve">Программа </w:t>
      </w:r>
      <w:r w:rsidRPr="00DB3DC8">
        <w:rPr>
          <w:rFonts w:asciiTheme="minorBidi" w:hAnsiTheme="minorBidi"/>
          <w:u w:val="single"/>
        </w:rPr>
        <w:t>«</w:t>
      </w:r>
      <w:r>
        <w:rPr>
          <w:rFonts w:asciiTheme="minorBidi" w:hAnsiTheme="minorBidi"/>
          <w:u w:val="single"/>
        </w:rPr>
        <w:t>Охрана нематериального культурного наследия в формальном и неформальном образовании</w:t>
      </w:r>
      <w:r w:rsidRPr="00DB3DC8">
        <w:rPr>
          <w:rFonts w:asciiTheme="minorBidi" w:hAnsiTheme="minorBidi"/>
          <w:u w:val="single"/>
        </w:rPr>
        <w:t>»</w:t>
      </w:r>
      <w:r>
        <w:rPr>
          <w:rFonts w:asciiTheme="minorBidi" w:hAnsiTheme="minorBidi"/>
        </w:rPr>
        <w:t xml:space="preserve"> остается одним из ключевых направлений работы Секретариата, являясь вторым приоритетом финансирования в рамках Конвенции (решение </w:t>
      </w:r>
      <w:hyperlink r:id="rId29" w:history="1">
        <w:r>
          <w:rPr>
            <w:rStyle w:val="Lienhypertexte"/>
            <w:rFonts w:asciiTheme="minorBidi" w:hAnsiTheme="minorBidi"/>
          </w:rPr>
          <w:t>16.COM 12</w:t>
        </w:r>
      </w:hyperlink>
      <w:r>
        <w:rPr>
          <w:rFonts w:asciiTheme="minorBidi" w:hAnsiTheme="minorBidi"/>
        </w:rPr>
        <w:t xml:space="preserve">). </w:t>
      </w:r>
      <w:r>
        <w:t>С 2022 года Секретариат укрепил свое сотрудничество с Сектором образования, что позволило включить вопросы живого наследия в основные международные нормативные документы и программы, такие как</w:t>
      </w:r>
      <w:r>
        <w:rPr>
          <w:rFonts w:asciiTheme="minorBidi" w:hAnsiTheme="minorBidi"/>
        </w:rPr>
        <w:t xml:space="preserve"> </w:t>
      </w:r>
      <w:hyperlink r:id="rId30" w:history="1">
        <w:r>
          <w:rPr>
            <w:rStyle w:val="Lienhypertexte"/>
            <w:rFonts w:asciiTheme="minorBidi" w:hAnsiTheme="minorBidi"/>
          </w:rPr>
          <w:t xml:space="preserve">Система образования </w:t>
        </w:r>
        <w:r>
          <w:rPr>
            <w:rStyle w:val="Lienhypertexte"/>
            <w:rFonts w:asciiTheme="minorBidi" w:hAnsiTheme="minorBidi"/>
          </w:rPr>
          <w:lastRenderedPageBreak/>
          <w:t>в области культуры и искусства</w:t>
        </w:r>
      </w:hyperlink>
      <w:r>
        <w:rPr>
          <w:rFonts w:asciiTheme="minorBidi" w:hAnsiTheme="minorBidi"/>
        </w:rPr>
        <w:t xml:space="preserve"> принятая в феврале 2024 года, и новая Рекомендация об образовании в интересах мира, прав человека и устойчивого развития, принятая на 42-й сессии Генеральной конференции. </w:t>
      </w:r>
      <w:r>
        <w:t>Упор на интеграцию живого наследия в образование был сделан в рамках нескольких пилотных проектов (см.</w:t>
      </w:r>
      <w:r w:rsidR="00CA2A2E" w:rsidRPr="004F73C8">
        <w:t xml:space="preserve"> </w:t>
      </w:r>
      <w:hyperlink r:id="rId31" w:history="1">
        <w:r>
          <w:rPr>
            <w:rStyle w:val="Lienhypertexte"/>
            <w:rFonts w:asciiTheme="minorBidi" w:hAnsiTheme="minorBidi"/>
          </w:rPr>
          <w:t>LHE/24/10.GA/INF.8</w:t>
        </w:r>
      </w:hyperlink>
      <w:r>
        <w:rPr>
          <w:rStyle w:val="Lienhypertexte"/>
          <w:rFonts w:asciiTheme="minorBidi" w:hAnsiTheme="minorBidi"/>
        </w:rPr>
        <w:t>)</w:t>
      </w:r>
      <w:r>
        <w:rPr>
          <w:rFonts w:asciiTheme="minorBidi" w:hAnsiTheme="minorBidi"/>
        </w:rPr>
        <w:t>.</w:t>
      </w:r>
    </w:p>
    <w:p w14:paraId="506813F9" w14:textId="77777777" w:rsidR="006A1817" w:rsidRPr="00B56D17" w:rsidRDefault="006A1817" w:rsidP="006A1817">
      <w:pPr>
        <w:pStyle w:val="COMPara"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Тематические инициативы</w:t>
      </w:r>
    </w:p>
    <w:p w14:paraId="43D30768" w14:textId="77481333" w:rsidR="006A1817" w:rsidRDefault="006B0709" w:rsidP="006A1817">
      <w:pPr>
        <w:pStyle w:val="COMPara"/>
        <w:ind w:left="567" w:hanging="567"/>
        <w:jc w:val="both"/>
      </w:pPr>
      <w:r>
        <w:t xml:space="preserve">Секретариат продвинул свои усилия в рамках трех тематических инициатив, направленных на разработку руководства по практическому и концептуальному привлечению заинтересованных сторон и использованию живого наследия в интересах устойчивого человеческого развития (решения </w:t>
      </w:r>
      <w:hyperlink r:id="rId32" w:history="1">
        <w:r>
          <w:rPr>
            <w:rStyle w:val="Lienhypertexte"/>
          </w:rPr>
          <w:t>16.COM 5.b</w:t>
        </w:r>
      </w:hyperlink>
      <w:r>
        <w:t xml:space="preserve">, </w:t>
      </w:r>
      <w:hyperlink r:id="rId33" w:history="1">
        <w:r>
          <w:rPr>
            <w:rStyle w:val="Lienhypertexte"/>
          </w:rPr>
          <w:t>17.COM 13</w:t>
        </w:r>
      </w:hyperlink>
      <w:r>
        <w:t xml:space="preserve"> и </w:t>
      </w:r>
      <w:hyperlink r:id="rId34" w:history="1">
        <w:r>
          <w:rPr>
            <w:rStyle w:val="Lienhypertexte"/>
          </w:rPr>
          <w:t>18.COM 12</w:t>
        </w:r>
      </w:hyperlink>
      <w:r>
        <w:t>). Все три инициативы придерживаются схожего подхода, включающего кабинетное исследование, глобальный опрос и встречу экспертов, сопровождаемую процессом экспертной оценки.</w:t>
      </w:r>
    </w:p>
    <w:p w14:paraId="57ADE15B" w14:textId="55BDBB8D" w:rsidR="00FC0DAE" w:rsidRDefault="00FC0DAE" w:rsidP="00A91C02">
      <w:pPr>
        <w:pStyle w:val="COMPara"/>
        <w:numPr>
          <w:ilvl w:val="0"/>
          <w:numId w:val="36"/>
        </w:numPr>
        <w:jc w:val="both"/>
      </w:pPr>
      <w:r>
        <w:t xml:space="preserve">Что касается </w:t>
      </w:r>
      <w:r>
        <w:rPr>
          <w:u w:val="single"/>
        </w:rPr>
        <w:t>экономических аспектов охраны нематериального культурного наследия</w:t>
      </w:r>
      <w:r w:rsidR="00380A31">
        <w:rPr>
          <w:rStyle w:val="Appelnotedebasdep"/>
          <w:u w:val="single"/>
          <w:lang w:val="en-US"/>
        </w:rPr>
        <w:footnoteReference w:id="4"/>
      </w:r>
      <w:r>
        <w:t>, то на восемнадцатой сессии Комитета было рассмотрено руководство, разработанное на совещании экспертов категории VI, которое состоялось в 2023 году. В руководстве подчеркивается важность разработки гибких и основанных на правах человека подходов к охране наследия с учетом того, что меры по сохранению экономического контекста всегда должны учитывать конкретные потребности и условия соответствующих сообществ, а также их живое наследие.</w:t>
      </w:r>
    </w:p>
    <w:p w14:paraId="39A284E0" w14:textId="1030A9EC" w:rsidR="00DB3DC8" w:rsidRPr="000C00CA" w:rsidRDefault="00DB3DC8" w:rsidP="00DB3DC8">
      <w:pPr>
        <w:pStyle w:val="COMPara"/>
        <w:numPr>
          <w:ilvl w:val="0"/>
          <w:numId w:val="36"/>
        </w:numPr>
        <w:jc w:val="both"/>
      </w:pPr>
      <w:bookmarkStart w:id="2" w:name="_Hlk166495474"/>
      <w:r>
        <w:t xml:space="preserve">Что касается тематической инициативы по </w:t>
      </w:r>
      <w:r>
        <w:rPr>
          <w:u w:val="single"/>
        </w:rPr>
        <w:t>нематериальному культурному наследию и изменению климата</w:t>
      </w:r>
      <w:r>
        <w:t>, то группой экспертов из различных областей, включая адаптацию к изменению климата, снижение риска бедствий и культурные права, было проведено и рецензировано кабинетное исследование. Результаты аналитического исследования лягут в основу разработки руководства, которое будет обсуждаться на встрече экспертов категории VI в июне и сентябре 2024 года.</w:t>
      </w:r>
    </w:p>
    <w:p w14:paraId="7543D6A8" w14:textId="7905C4F5" w:rsidR="00CA7723" w:rsidRPr="00A91C02" w:rsidRDefault="00DB3DC8" w:rsidP="00DB3DC8">
      <w:pPr>
        <w:pStyle w:val="COMPara"/>
        <w:numPr>
          <w:ilvl w:val="0"/>
          <w:numId w:val="36"/>
        </w:numPr>
        <w:jc w:val="both"/>
      </w:pPr>
      <w:r>
        <w:t xml:space="preserve">Что касается </w:t>
      </w:r>
      <w:r>
        <w:rPr>
          <w:u w:val="single"/>
        </w:rPr>
        <w:t>инициативы по сохранению нематериального культурного наследия в городских условиях</w:t>
      </w:r>
      <w:r>
        <w:t>, то был подготовлен справочный документ для изучения методологии включения живого наследия в городское планирование. Цель инициативы - сформулировать рекомендации для политиков, градостроителей и практиков, подчеркнув роль живого наследия в устойчивом развитии городов. В настоящее время разрабатывается проект руководства, который будет обсуждаться на встрече экспертов.</w:t>
      </w:r>
      <w:bookmarkEnd w:id="2"/>
    </w:p>
    <w:p w14:paraId="0629A1D0" w14:textId="2AEF7AB7" w:rsidR="00B61A47" w:rsidRPr="00A91C02" w:rsidRDefault="00DB3DC8" w:rsidP="00A91C02">
      <w:pPr>
        <w:pStyle w:val="COMPara"/>
        <w:ind w:left="567" w:hanging="567"/>
        <w:jc w:val="both"/>
      </w:pPr>
      <w:bookmarkStart w:id="3" w:name="_Hlk166495670"/>
      <w:r>
        <w:t xml:space="preserve">Были установлены и укреплены связи с другими конвенциями в области культуры, в частности с </w:t>
      </w:r>
      <w:r>
        <w:rPr>
          <w:u w:val="single"/>
        </w:rPr>
        <w:t>Конвенцией о всемирном наследии</w:t>
      </w:r>
      <w:r>
        <w:t xml:space="preserve">. В ноябре 2023 года в Неаполе (Италия) состоялась Конференция ЮНЕСКО по культурному наследию в XXI веке, приуроченная к пятидесятой (Конвенция 1972 года) и двадцатой (Конвенция 2003 года) годовщинам обеих конвенций, для обсуждения целостных подходов к сохранению как материального, так и нематериального культурного наследия. По итогам конференции был принят </w:t>
      </w:r>
      <w:hyperlink r:id="rId35" w:history="1">
        <w:r w:rsidR="00324644" w:rsidRPr="00324644">
          <w:rPr>
            <w:rStyle w:val="Lienhypertexte"/>
          </w:rPr>
          <w:t>«</w:t>
        </w:r>
        <w:r>
          <w:rPr>
            <w:rStyle w:val="Lienhypertexte"/>
          </w:rPr>
          <w:t>Дух Неаполя» - Призыв к действиям</w:t>
        </w:r>
      </w:hyperlink>
      <w:r>
        <w:t>, который представляет собой призыв ко всем государствам-членам ЮНЕСКО и заинтересованным сторонам принять государственную политику и стратегии, основанные на принципах Призыва к действиям. Тематическая инициатива по экономическим аспектам сохранения нематериального культурного наследия также предоставила возможность для сотрудничества и совместного осуществления оперативных проектов</w:t>
      </w:r>
      <w:r w:rsidRPr="000D5ADC">
        <w:rPr>
          <w:rStyle w:val="Appelnotedebasdep"/>
        </w:rPr>
        <w:footnoteReference w:id="5"/>
      </w:r>
      <w:r>
        <w:t xml:space="preserve">, направленных на поддержку </w:t>
      </w:r>
      <w:r>
        <w:lastRenderedPageBreak/>
        <w:t>общин посредством устойчивого туризма и сохранения наследия в городах всемирного наследия</w:t>
      </w:r>
      <w:bookmarkEnd w:id="3"/>
      <w:r w:rsidR="00B61A47">
        <w:t>.</w:t>
      </w:r>
    </w:p>
    <w:p w14:paraId="4C494C11" w14:textId="6D82FDD5" w:rsidR="006A1817" w:rsidRPr="00B56D17" w:rsidRDefault="00187199" w:rsidP="00A91C02">
      <w:pPr>
        <w:pStyle w:val="COMPara"/>
        <w:keepNext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Партнерство, коммуникации и работа с населением</w:t>
      </w:r>
    </w:p>
    <w:p w14:paraId="006FD7D3" w14:textId="39CF8A6F" w:rsidR="00187199" w:rsidRDefault="00DB3DC8" w:rsidP="00187199">
      <w:pPr>
        <w:pStyle w:val="COMPara"/>
        <w:ind w:left="567" w:hanging="567"/>
        <w:jc w:val="both"/>
      </w:pPr>
      <w:r w:rsidRPr="00964B80">
        <w:t xml:space="preserve">Секретариат продолжал укреплять свое сотрудничество с </w:t>
      </w:r>
      <w:r w:rsidRPr="00964B80">
        <w:rPr>
          <w:u w:val="single"/>
        </w:rPr>
        <w:t>Форумом НПО НКН</w:t>
      </w:r>
      <w:r w:rsidRPr="00964B80">
        <w:t xml:space="preserve">, в частности, в составлении карты областей компетенции аккредитованных НПО, результаты которой были представлены на специальной веб-странице (решение </w:t>
      </w:r>
      <w:hyperlink r:id="rId36" w:history="1">
        <w:r w:rsidRPr="00964B80">
          <w:rPr>
            <w:rStyle w:val="Lienhypertexte"/>
          </w:rPr>
          <w:t>14.COM 15</w:t>
        </w:r>
      </w:hyperlink>
      <w:r w:rsidRPr="00964B80">
        <w:t xml:space="preserve">). Кроме того, в соответствии с резолюцией </w:t>
      </w:r>
      <w:hyperlink r:id="rId37" w:history="1">
        <w:r w:rsidRPr="00964B80">
          <w:rPr>
            <w:rStyle w:val="Lienhypertexte"/>
          </w:rPr>
          <w:t>9.GA 7</w:t>
        </w:r>
      </w:hyperlink>
      <w:r w:rsidRPr="00964B80">
        <w:t>, Секретариат начал опрос</w:t>
      </w:r>
      <w:r w:rsidRPr="00964B80">
        <w:rPr>
          <w:rStyle w:val="Appelnotedebasdep"/>
        </w:rPr>
        <w:footnoteReference w:id="6"/>
      </w:r>
      <w:r w:rsidRPr="00964B80">
        <w:t xml:space="preserve"> с целью сбора мнений государств-участников о разработке "плана, стратегии и четких механизмов, направленных на обеспечение географического баланса среди аккредитованных НПО в рамках Конвенции".</w:t>
      </w:r>
    </w:p>
    <w:p w14:paraId="0CD2B7A3" w14:textId="3F6AC5BB" w:rsidR="00187199" w:rsidRPr="00757D68" w:rsidRDefault="00187199" w:rsidP="00A91C02">
      <w:pPr>
        <w:pStyle w:val="COMPara"/>
        <w:ind w:left="567" w:hanging="567"/>
        <w:jc w:val="both"/>
        <w:rPr>
          <w:rFonts w:asciiTheme="minorBidi" w:hAnsiTheme="minorBidi" w:cstheme="minorBidi"/>
        </w:rPr>
      </w:pPr>
      <w:r>
        <w:t xml:space="preserve">Что </w:t>
      </w:r>
      <w:r w:rsidRPr="00655FD0">
        <w:t>касается</w:t>
      </w:r>
      <w:r w:rsidRPr="00655FD0">
        <w:rPr>
          <w:u w:val="single"/>
        </w:rPr>
        <w:t xml:space="preserve"> центров категории 2</w:t>
      </w:r>
      <w:r>
        <w:t>, то десятое ежегодное координационное совещание было проведено в Штаб-квартире ЮНЕСКО в июле 2022 года, а одиннадцатое ежегодное совещание было организовано Региональным центром нематериального культурного наследия в Юго-Восточной Европе в сентябре 2023 года в Пловдиве, Болгария. Кроме того, Секретариат координировал процессы оценки обновлений с пятью центрами категории 2: Региональный центр по охране нематериального культурного наследия Латинской Америки (CRESPIAL), Региональный центр по охране нематериального культурного наследия Африки (CRESPIAF), Региональный центр по нематериальному культурному наследию Юго-Восточной Европы (RCSICH), Международный центр по подготовке кадров в области нематериального культурного наследия в Азиатско-Тихоокеанском регионе (CRIHAP) и Международный исследовательский центр по нематериальному культурному наследию в Азиатско-Тихоокеанском регионе (IRCI).</w:t>
      </w:r>
    </w:p>
    <w:p w14:paraId="0ADB9267" w14:textId="2EEABC8D" w:rsidR="00187199" w:rsidRPr="00FF08E2" w:rsidRDefault="00DB3DC8" w:rsidP="00A91C02">
      <w:pPr>
        <w:pStyle w:val="COMPara"/>
        <w:ind w:left="567" w:hanging="567"/>
        <w:jc w:val="both"/>
      </w:pPr>
      <w:r>
        <w:t xml:space="preserve">В отчетный период были также оценены двенадцать предложений о создании или обновлении </w:t>
      </w:r>
      <w:r>
        <w:rPr>
          <w:u w:val="single"/>
        </w:rPr>
        <w:t>кафедр ЮНЕСКО</w:t>
      </w:r>
      <w:r>
        <w:t xml:space="preserve"> в области нематериального культурного наследия, включая создание сети УНИТВИН по сохранению живого наследия в Аргентине, Уругвае и Парагвае. В рамках семнадцатой сессии Комитета Секретариат организовал обмен мнениями с кафедрами УНИТВИН/ЮНЕСКО и региональными университетскими сетями.</w:t>
      </w:r>
    </w:p>
    <w:p w14:paraId="7747166E" w14:textId="08C289C3" w:rsidR="00D0118F" w:rsidRPr="00D0118F" w:rsidRDefault="006A1817" w:rsidP="00A91C02">
      <w:pPr>
        <w:pStyle w:val="COMPara"/>
        <w:keepNext/>
        <w:ind w:left="567" w:hanging="567"/>
        <w:jc w:val="both"/>
      </w:pPr>
      <w:r>
        <w:t xml:space="preserve">Ключевым элементом усилий Конвенции по повышению ее узнаваемости и охвату различных заинтересованных сторон  остаются стратегические </w:t>
      </w:r>
      <w:r>
        <w:rPr>
          <w:u w:val="single"/>
        </w:rPr>
        <w:t>коммуникации</w:t>
      </w:r>
      <w:r>
        <w:t>. С 2021 года Секретариат расширяет сотрудничество с Отделом ЮНЕСКО по коммуникации и взаимодействию с общественностью (CPE), особенно в области использования социальных сетей. В результате наглядность Конвенции была повышена в основных социальных сетях ЮНЕСКО (Twitter, Facebook и Instagram) за счет увеличения количества постов в социальных сетях, посвященных живому наследию.</w:t>
      </w:r>
      <w:r w:rsidR="00223FE5" w:rsidRPr="00757D68">
        <w:rPr>
          <w:rStyle w:val="Appelnotedebasdep"/>
        </w:rPr>
        <w:footnoteReference w:id="7"/>
      </w:r>
      <w:r>
        <w:t xml:space="preserve"> Эти сообщения способствовали популяризации международных дней, связанных с живым наследием, таких как Навруз, Международный день йоги, Международный день коренных народов мира и другие.</w:t>
      </w:r>
      <w:r>
        <w:rPr>
          <w:rFonts w:asciiTheme="minorBidi" w:hAnsiTheme="minorBidi"/>
        </w:rPr>
        <w:t xml:space="preserve"> В течение отчетного периода была проведена большая работа по адаптации всех коммуникационных материалов Конвенции к новому логотипу и дизайну ЮНЕСКО, включая новый обновленный веб-сайт в ноябре 2022 года.</w:t>
      </w:r>
    </w:p>
    <w:p w14:paraId="7D46D712" w14:textId="302DDCC2" w:rsidR="00CA7723" w:rsidRPr="00F27CF9" w:rsidRDefault="00411B29" w:rsidP="00A91C02">
      <w:pPr>
        <w:pStyle w:val="COMPara"/>
        <w:ind w:left="567" w:hanging="567"/>
        <w:jc w:val="both"/>
      </w:pPr>
      <w:r>
        <w:t xml:space="preserve">Что касается </w:t>
      </w:r>
      <w:r>
        <w:rPr>
          <w:u w:val="single"/>
        </w:rPr>
        <w:t>услуг по управлению знаниями</w:t>
      </w:r>
      <w:r>
        <w:t xml:space="preserve">, то Секретариат продолжал тесно сотрудничать с Бюро цифровых бизнес-решений ЮНЕСКО (DBS) в целях повышения эффективности и функциональности существующих цифровых инструментов. В качестве примера можно привести усовершенствованные рабочие процессы, </w:t>
      </w:r>
      <w:r>
        <w:lastRenderedPageBreak/>
        <w:t>отражающие предусмотренные законом возможности, которые появились после глобального анализа механизмов включения в перечень как на веб-странице, так и в онлайновом интерфейсе мониторинга Органа по оценке. Что касается периодической отчетности, то доступ к онлайн-платформам был предоставлен назначенным национальным координаторам. Также ведется работа по улучшению визуализации аккредитованных НПО на веб-странице и разработке нового онлайн-инструмента для обмена информацией о мерах защиты после рассмотрения статьи 18. На веб-сайте Конвенции также размещен специальный справочник кафедр ЮНЕСКО и сетей УНИТВИН, занимающихся вопросами живого наследия. Кроме того, Секретариат разрабатывает цифровые инструменты для поддержки сохранения и передачи кулинарных традиций как живого наследия</w:t>
      </w:r>
      <w:r w:rsidR="00CD22AC">
        <w:rPr>
          <w:rStyle w:val="Appelnotedebasdep"/>
        </w:rPr>
        <w:footnoteReference w:id="8"/>
      </w:r>
      <w:r>
        <w:t>.</w:t>
      </w:r>
    </w:p>
    <w:p w14:paraId="34FC369D" w14:textId="73E0416A" w:rsidR="00C04B01" w:rsidRPr="00F27CF9" w:rsidRDefault="00B023DF" w:rsidP="00C04B01">
      <w:pPr>
        <w:pStyle w:val="COMPara"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Двадцатая годовщина Конвенции и видение будущего Конвенции</w:t>
      </w:r>
      <w:bookmarkEnd w:id="1"/>
    </w:p>
    <w:p w14:paraId="5A1A1ED0" w14:textId="25DA9F5C" w:rsidR="007053C3" w:rsidRPr="00A91C02" w:rsidRDefault="00461597" w:rsidP="00A91C02">
      <w:pPr>
        <w:pStyle w:val="COMPara"/>
        <w:ind w:left="567" w:hanging="567"/>
        <w:jc w:val="both"/>
      </w:pPr>
      <w:r>
        <w:rPr>
          <w:rFonts w:asciiTheme="minorBidi" w:hAnsiTheme="minorBidi"/>
        </w:rPr>
        <w:t xml:space="preserve">Настоящий доклад отражает, насколько интенсивной была деятельность Секретариата, охватывающая множество областей для поддержки процесса принятия решений руководящими органами Конвенции, одновременно обеспечивая управление различными механизмами международного сотрудничества, осуществляя оперативные проекты, а также расширяя подход к наращиванию потенциала, реагируя на чрезвычайные ситуации и разрабатывая новые тематические области. </w:t>
      </w:r>
      <w:r>
        <w:t xml:space="preserve">Отчетный период был особенно отмечен двадцатой годовщиной Конвенции в 2023 году, которая была ознаменована проведением более 120 мероприятий, организованных на местном, национальном, региональном и международном уровнях - отчет о юбилейном годе представлен на настоящей сессии (документ </w:t>
      </w:r>
      <w:hyperlink r:id="rId38" w:history="1">
        <w:r w:rsidRPr="004F73C8">
          <w:rPr>
            <w:rStyle w:val="Lienhypertexte"/>
          </w:rPr>
          <w:t>LHE/24/10.GA/10</w:t>
        </w:r>
      </w:hyperlink>
      <w:r>
        <w:t>). Опираясь на прогресс, достигнутый за два десятилетия и подтвержденный юбилейными торжествами, Генеральной Ассамблее предлагается принять к сведению и внести свой вклад в дальнейшее развитие Конвенции по следующим вопросам.</w:t>
      </w:r>
    </w:p>
    <w:p w14:paraId="2580BD7C" w14:textId="6A7AD684" w:rsidR="00D0118F" w:rsidRDefault="00461597" w:rsidP="00A91C02">
      <w:pPr>
        <w:pStyle w:val="COMPara"/>
        <w:numPr>
          <w:ilvl w:val="0"/>
          <w:numId w:val="59"/>
        </w:numPr>
        <w:ind w:left="1134" w:hanging="567"/>
        <w:jc w:val="both"/>
      </w:pPr>
      <w:r>
        <w:rPr>
          <w:b/>
          <w:bCs/>
        </w:rPr>
        <w:t>Сеульская концепция:</w:t>
      </w:r>
      <w:r>
        <w:t xml:space="preserve"> Одним из главных итогов двадцатой годовщины стало принятие концепции</w:t>
      </w:r>
      <w:r w:rsidR="00655FD0" w:rsidRPr="00655FD0">
        <w:t xml:space="preserve"> </w:t>
      </w:r>
      <w:hyperlink r:id="rId39" w:anchor=":~:text=Outlined%20during%20the%20celebration%20of,living%20heritage%20to%20ensure%20sustainable" w:history="1">
        <w:r>
          <w:rPr>
            <w:rStyle w:val="Lienhypertexte"/>
          </w:rPr>
          <w:t>Seoul Vision</w:t>
        </w:r>
      </w:hyperlink>
      <w:r>
        <w:t>, в которой обозначены основные области деятельности</w:t>
      </w:r>
      <w:r w:rsidR="000B6F44" w:rsidRPr="00F27CF9">
        <w:rPr>
          <w:rStyle w:val="Appelnotedebasdep"/>
        </w:rPr>
        <w:footnoteReference w:id="9"/>
      </w:r>
      <w:r>
        <w:t>, в каких живое наследие может внести позитивный вклад как в Повестку дня в области устойчивого развития на период до 2030 года, так и в повестку дня на период после 2030 года. Они включают такие области, как сохранение живого наследия и средств существования, деятельность в области климата и городской контекст, а также живое наследие в чрезвычайных ситуациях, интеграция культуры в образование и живое наследие в цифровой среде.</w:t>
      </w:r>
    </w:p>
    <w:p w14:paraId="03D1259C" w14:textId="2400CC71" w:rsidR="006E43AD" w:rsidRDefault="004948A5" w:rsidP="00A91C02">
      <w:pPr>
        <w:pStyle w:val="COMPara"/>
        <w:numPr>
          <w:ilvl w:val="0"/>
          <w:numId w:val="59"/>
        </w:numPr>
        <w:ind w:left="1134" w:hanging="567"/>
        <w:jc w:val="both"/>
      </w:pPr>
      <w:r>
        <w:rPr>
          <w:b/>
          <w:bCs/>
        </w:rPr>
        <w:t>Вклад в повестку дня на период после 2030 года:</w:t>
      </w:r>
      <w:r>
        <w:t xml:space="preserve"> Пути продвижения вперед, намеченные в рамках двадцатой годовщины, тесно перекликаются с направлениями деятельности в области культуры, обозначенными в знаменательной </w:t>
      </w:r>
      <w:hyperlink r:id="rId40" w:history="1">
        <w:r>
          <w:rPr>
            <w:rStyle w:val="Lienhypertexte"/>
          </w:rPr>
          <w:t>Заключительной декларации</w:t>
        </w:r>
      </w:hyperlink>
      <w:r>
        <w:t xml:space="preserve"> Всемирной конференции ЮНЕСКО по политике в области культуры и устойчивому развитию - MONDIACULT 2022, которая призвала прочно закрепить культуру в качестве глобального общественного блага и включить ее в качестве отдельной цели в международную повестку дня в области развития после 2030 года. В ближайшие годы следует стремиться к увеличению вклада живого наследия в межсекторальные темы и инициативы путем укрепления сотрудничества и партнерства с другими конвенциями и рамочными программами развития, в рамках ЮНЕСКО и в более широкой системе ООН.</w:t>
      </w:r>
    </w:p>
    <w:p w14:paraId="62128091" w14:textId="7DD9DA5A" w:rsidR="00FC70A3" w:rsidRDefault="002D2733" w:rsidP="00A91C02">
      <w:pPr>
        <w:pStyle w:val="COMPara"/>
        <w:numPr>
          <w:ilvl w:val="0"/>
          <w:numId w:val="59"/>
        </w:numPr>
        <w:ind w:left="1134" w:hanging="567"/>
        <w:jc w:val="both"/>
      </w:pPr>
      <w:r w:rsidRPr="00A42007">
        <w:rPr>
          <w:b/>
          <w:bCs/>
        </w:rPr>
        <w:lastRenderedPageBreak/>
        <w:t>Вклад в Глобальный доклад о политике в области культуры:</w:t>
      </w:r>
      <w:r w:rsidRPr="00A42007">
        <w:t xml:space="preserve"> Декларация </w:t>
      </w:r>
      <w:r>
        <w:t>MONDIACULT</w:t>
      </w:r>
      <w:r w:rsidRPr="00A42007">
        <w:t xml:space="preserve"> 2022 также призвала ЮНЕСКО выпускать Глобальный доклад о политике в области культуры раз в четыре года на основе информации, данных и существующих показателей, предоставляемых государствами-членами, начиная с первого издания в 2025 году. Несмотря на то, что действующая система периодической отчетности Конвенции 2003 года, ориентированная на достижение конкретных результатов и способствующая наращиванию потенциала, доказала свою эффективность в плане увеличения числа представляемых материалов, единая глобальная система отчетности позволит заинтересованным сторонам отслеживать воздействие конвенций о культуре в целом и даст возможность Глобальному докладу о политике в области культуры служить как функциональным инструментом, так и ресурсом для международной повестки дня в области развития</w:t>
      </w:r>
      <w:r w:rsidR="004948A5">
        <w:t>.</w:t>
      </w:r>
    </w:p>
    <w:p w14:paraId="5540BD0E" w14:textId="5D134375" w:rsidR="008D30DE" w:rsidRDefault="00003E73" w:rsidP="00A91C02">
      <w:pPr>
        <w:pStyle w:val="COMPara"/>
        <w:numPr>
          <w:ilvl w:val="0"/>
          <w:numId w:val="59"/>
        </w:numPr>
        <w:ind w:left="1134" w:hanging="567"/>
        <w:jc w:val="both"/>
      </w:pPr>
      <w:r>
        <w:rPr>
          <w:b/>
          <w:bCs/>
        </w:rPr>
        <w:t>Рационализация системы периодической отчетности:</w:t>
      </w:r>
      <w:r>
        <w:t xml:space="preserve"> </w:t>
      </w:r>
      <w:r w:rsidR="002D2733" w:rsidRPr="00A42007">
        <w:t xml:space="preserve">В решении Исполнительного совета </w:t>
      </w:r>
      <w:r w:rsidR="00DD5C13">
        <w:fldChar w:fldCharType="begin"/>
      </w:r>
      <w:r w:rsidR="00DD5C13">
        <w:instrText>HYPERLINK "https://unesdoc.unesco.org/ark:/48223/pf0000389517_rus"</w:instrText>
      </w:r>
      <w:r w:rsidR="00DD5C13">
        <w:fldChar w:fldCharType="separate"/>
      </w:r>
      <w:r w:rsidR="002D2733" w:rsidRPr="00A42007">
        <w:rPr>
          <w:rStyle w:val="Lienhypertexte"/>
        </w:rPr>
        <w:t xml:space="preserve">219 </w:t>
      </w:r>
      <w:r w:rsidR="002D2733">
        <w:rPr>
          <w:rStyle w:val="Lienhypertexte"/>
        </w:rPr>
        <w:t>EX</w:t>
      </w:r>
      <w:r w:rsidR="002D2733" w:rsidRPr="00A42007">
        <w:rPr>
          <w:rStyle w:val="Lienhypertexte"/>
        </w:rPr>
        <w:t>/</w:t>
      </w:r>
      <w:proofErr w:type="spellStart"/>
      <w:r w:rsidR="00CA2A2E">
        <w:rPr>
          <w:rStyle w:val="Lienhypertexte"/>
          <w:lang w:val="fr-FR"/>
        </w:rPr>
        <w:t>Decision</w:t>
      </w:r>
      <w:proofErr w:type="spellEnd"/>
      <w:r w:rsidR="00CA2A2E" w:rsidRPr="004F73C8">
        <w:rPr>
          <w:rStyle w:val="Lienhypertexte"/>
        </w:rPr>
        <w:t xml:space="preserve"> </w:t>
      </w:r>
      <w:r w:rsidR="002D2733" w:rsidRPr="00A42007">
        <w:rPr>
          <w:rStyle w:val="Lienhypertexte"/>
        </w:rPr>
        <w:t>13</w:t>
      </w:r>
      <w:r w:rsidR="00DD5C13">
        <w:rPr>
          <w:rStyle w:val="Lienhypertexte"/>
        </w:rPr>
        <w:fldChar w:fldCharType="end"/>
      </w:r>
      <w:r w:rsidR="002D2733" w:rsidRPr="00A42007">
        <w:t xml:space="preserve"> Генеральному директору было предложено представить </w:t>
      </w:r>
      <w:r w:rsidR="00DD5C13">
        <w:fldChar w:fldCharType="begin"/>
      </w:r>
      <w:r w:rsidR="00DD5C13">
        <w:instrText>HYPERLINK "https://unesdoc.unesco.org/ark:/48223/pf0000388995?posInSet=1&amp;queryId=bac1614c-87af-439e-8f80-730dd0527608"</w:instrText>
      </w:r>
      <w:r w:rsidR="00DD5C13">
        <w:fldChar w:fldCharType="separate"/>
      </w:r>
      <w:r w:rsidR="002D2733" w:rsidRPr="00A42007">
        <w:rPr>
          <w:rStyle w:val="Lienhypertexte"/>
        </w:rPr>
        <w:t>оценку периодических докладов ЮНЕСКО по конвенциям и рекомендациям Сектора культуры</w:t>
      </w:r>
      <w:r w:rsidR="00DD5C13">
        <w:rPr>
          <w:rStyle w:val="Lienhypertexte"/>
        </w:rPr>
        <w:fldChar w:fldCharType="end"/>
      </w:r>
      <w:r w:rsidR="002D2733" w:rsidRPr="00A42007">
        <w:t xml:space="preserve"> на рассмотрение соответствующих руководящих органов конвенций по культуре. Эта оценка, проведенная Службой внутреннего надзора ЮНЕСКО и завершенная в марте 2024 года, рекомендует согласовать механизмы периодической отчетности по конвенциям и рекомендациям ЮНЕСКО в области культуры. В соответствии с этим нынешней сессии Генеральной Ассамблеи предлагается провести предварительное обсуждение "дорожной карты", одобренной восемнадцатой сессией Комитета (решение </w:t>
      </w:r>
      <w:r w:rsidR="00DD5C13">
        <w:fldChar w:fldCharType="begin"/>
      </w:r>
      <w:r w:rsidR="00DD5C13">
        <w:instrText>HYPERLINK "https://ich.unesco.org/en/decisions/18.COM/7.C"</w:instrText>
      </w:r>
      <w:r w:rsidR="00DD5C13">
        <w:fldChar w:fldCharType="separate"/>
      </w:r>
      <w:r w:rsidR="002D2733" w:rsidRPr="00A42007">
        <w:rPr>
          <w:rStyle w:val="Lienhypertexte"/>
        </w:rPr>
        <w:t>18.</w:t>
      </w:r>
      <w:r w:rsidR="002D2733">
        <w:rPr>
          <w:rStyle w:val="Lienhypertexte"/>
        </w:rPr>
        <w:t>COM</w:t>
      </w:r>
      <w:r w:rsidR="002D2733" w:rsidRPr="00A42007">
        <w:rPr>
          <w:rStyle w:val="Lienhypertexte"/>
        </w:rPr>
        <w:t xml:space="preserve"> 7.</w:t>
      </w:r>
      <w:r w:rsidR="002D2733">
        <w:rPr>
          <w:rStyle w:val="Lienhypertexte"/>
        </w:rPr>
        <w:t>c</w:t>
      </w:r>
      <w:r w:rsidR="00DD5C13">
        <w:rPr>
          <w:rStyle w:val="Lienhypertexte"/>
        </w:rPr>
        <w:fldChar w:fldCharType="end"/>
      </w:r>
      <w:r w:rsidR="002D2733" w:rsidRPr="00A42007">
        <w:t xml:space="preserve"> и документ </w:t>
      </w:r>
      <w:hyperlink r:id="rId41" w:history="1">
        <w:r w:rsidR="002D2733">
          <w:rPr>
            <w:rStyle w:val="Lienhypertexte"/>
          </w:rPr>
          <w:t>LHE</w:t>
        </w:r>
        <w:r w:rsidR="002D2733" w:rsidRPr="00A42007">
          <w:rPr>
            <w:rStyle w:val="Lienhypertexte"/>
          </w:rPr>
          <w:t>/23/18.</w:t>
        </w:r>
        <w:r w:rsidR="002D2733">
          <w:rPr>
            <w:rStyle w:val="Lienhypertexte"/>
          </w:rPr>
          <w:t>COM</w:t>
        </w:r>
        <w:r w:rsidR="002D2733" w:rsidRPr="00A42007">
          <w:rPr>
            <w:rStyle w:val="Lienhypertexte"/>
          </w:rPr>
          <w:t xml:space="preserve"> 7.</w:t>
        </w:r>
        <w:r w:rsidR="002D2733">
          <w:rPr>
            <w:rStyle w:val="Lienhypertexte"/>
          </w:rPr>
          <w:t>c</w:t>
        </w:r>
      </w:hyperlink>
      <w:r w:rsidR="002D2733" w:rsidRPr="00A42007">
        <w:t>). В этой "дорожной карте" намечен график, в соответствии с которым будут рационализированы циклы представления периодических докладов в рамках механизма Конвенции 2003 г., что позволит создать единую глобальную систему представления периодических докладов, общую для конвенций и рекомендаций ЮНЕСКО в области культуры</w:t>
      </w:r>
      <w:r>
        <w:t>.</w:t>
      </w:r>
    </w:p>
    <w:p w14:paraId="5B42AF62" w14:textId="4F2061D7" w:rsidR="00271942" w:rsidRDefault="00271942" w:rsidP="00A91C02">
      <w:pPr>
        <w:pStyle w:val="COMPara"/>
        <w:numPr>
          <w:ilvl w:val="0"/>
          <w:numId w:val="59"/>
        </w:numPr>
        <w:ind w:left="1134" w:hanging="567"/>
        <w:jc w:val="both"/>
      </w:pPr>
      <w:r>
        <w:rPr>
          <w:b/>
          <w:bCs/>
        </w:rPr>
        <w:t>Вклад в подготовку документа 43C/5:</w:t>
      </w:r>
      <w:r>
        <w:t xml:space="preserve"> В соответствии с рекомендацией 74 Рабочей группы открытого состава по вопросам управления (</w:t>
      </w:r>
      <w:hyperlink r:id="rId42" w:history="1">
        <w:r>
          <w:rPr>
            <w:rStyle w:val="Lienhypertexte"/>
          </w:rPr>
          <w:t>документ 39 C/70</w:t>
        </w:r>
      </w:hyperlink>
      <w:r>
        <w:t xml:space="preserve">) и в свете резолюции </w:t>
      </w:r>
      <w:hyperlink r:id="rId43" w:history="1">
        <w:r w:rsidR="00294EA0" w:rsidRPr="00294EA0">
          <w:rPr>
            <w:rStyle w:val="Lienhypertexte"/>
          </w:rPr>
          <w:t>42 С/81</w:t>
        </w:r>
      </w:hyperlink>
      <w:r w:rsidR="00294EA0" w:rsidRPr="004F73C8">
        <w:t xml:space="preserve"> </w:t>
      </w:r>
      <w:r>
        <w:t xml:space="preserve">нынешней сессии Ассамблеи предлагается также внести вклад в процесс стратегического анализа будущих программных направлений и приоритетов на следующий четырехлетний период, а именно Проекта программы и бюджета на 2026-2029 гг. При обсуждении можно руководствоваться предлагаемыми областями анализа, которые содержатся в документе </w:t>
      </w:r>
      <w:hyperlink r:id="rId44" w:history="1">
        <w:r>
          <w:rPr>
            <w:rStyle w:val="Lienhypertexte"/>
          </w:rPr>
          <w:t>42 C/7</w:t>
        </w:r>
      </w:hyperlink>
      <w:r>
        <w:t xml:space="preserve"> (Раздел II) Генеральной конференции ЮНЕСКО. Сводный отчет о дискуссии, который будет подготовлен Секретариатом после нынешней сессии, будет отражен в материалах Сектора для предварительных предложений Генерального директора по проекту 43 С/5, которые планируется представить на 220-й сессии Исполнительного совета в октябре 2024 г.</w:t>
      </w:r>
    </w:p>
    <w:p w14:paraId="50D3EAFF" w14:textId="3A349EC1" w:rsidR="00D95C4C" w:rsidRPr="00BB6EEC" w:rsidRDefault="005C792B" w:rsidP="00A91C02">
      <w:pPr>
        <w:pStyle w:val="COMPara"/>
        <w:ind w:left="567" w:hanging="567"/>
        <w:jc w:val="both"/>
      </w:pPr>
      <w:r>
        <w:t>Генеральная ассамблея, возможно, пожелает принять следующую резолюцию:</w:t>
      </w:r>
    </w:p>
    <w:p w14:paraId="6CEB1E9D" w14:textId="3943EA87" w:rsidR="00D95C4C" w:rsidRPr="00BB6EEC" w:rsidRDefault="004A34A0" w:rsidP="001D14FE">
      <w:pPr>
        <w:pStyle w:val="COMTitleDecision"/>
        <w:rPr>
          <w:rFonts w:eastAsia="SimSun"/>
        </w:rPr>
      </w:pPr>
      <w:r>
        <w:t>ПРОЕКТ РЕЗОЛЮЦИИ 10.GA 6</w:t>
      </w:r>
    </w:p>
    <w:p w14:paraId="13024F0B" w14:textId="5181E164" w:rsidR="00D95C4C" w:rsidRPr="00BB6EEC" w:rsidRDefault="005C792B" w:rsidP="00285BB4">
      <w:pPr>
        <w:pStyle w:val="COMPreambulaDecisions"/>
        <w:rPr>
          <w:rFonts w:eastAsia="SimSun"/>
        </w:rPr>
      </w:pPr>
      <w:r>
        <w:t>Генеральная ассамблея,</w:t>
      </w:r>
    </w:p>
    <w:p w14:paraId="5A9F22F3" w14:textId="285651A5" w:rsidR="0057439C" w:rsidRPr="00A91C02" w:rsidRDefault="00CA2A2E" w:rsidP="00051921">
      <w:pPr>
        <w:pStyle w:val="COMParaDecision"/>
        <w:ind w:left="1134" w:hanging="567"/>
      </w:pPr>
      <w:r>
        <w:rPr>
          <w:lang w:val="fr-FR"/>
        </w:rPr>
        <w:t>P</w:t>
      </w:r>
      <w:r w:rsidR="00D95C4C">
        <w:t>ассмотрев</w:t>
      </w:r>
      <w:r w:rsidR="00D95C4C">
        <w:rPr>
          <w:u w:val="none"/>
        </w:rPr>
        <w:t xml:space="preserve"> документ LHE/24/10.GA/6 и приложения к нему,</w:t>
      </w:r>
    </w:p>
    <w:p w14:paraId="2972F3EE" w14:textId="1286E6EF" w:rsidR="00887BA9" w:rsidRPr="00E32E72" w:rsidRDefault="00CA2A2E" w:rsidP="00051921">
      <w:pPr>
        <w:pStyle w:val="COMParaDecision"/>
        <w:ind w:left="1134" w:hanging="567"/>
      </w:pPr>
      <w:r>
        <w:rPr>
          <w:lang w:val="fr-FR"/>
        </w:rPr>
        <w:t>H</w:t>
      </w:r>
      <w:r w:rsidR="007C70D0">
        <w:t>апоминая</w:t>
      </w:r>
      <w:r w:rsidR="007C70D0">
        <w:rPr>
          <w:u w:val="none"/>
        </w:rPr>
        <w:t xml:space="preserve"> о резолюции </w:t>
      </w:r>
      <w:r w:rsidR="00DD5C13">
        <w:fldChar w:fldCharType="begin"/>
      </w:r>
      <w:r w:rsidR="00DD5C13">
        <w:instrText>HYPERLINK "https://ich.unesco.org/en/decisions/9.GA/6"</w:instrText>
      </w:r>
      <w:r w:rsidR="00DD5C13">
        <w:fldChar w:fldCharType="separate"/>
      </w:r>
      <w:r w:rsidR="007C70D0">
        <w:rPr>
          <w:rStyle w:val="Lienhypertexte"/>
        </w:rPr>
        <w:t>9.GA 6</w:t>
      </w:r>
      <w:r w:rsidR="00DD5C13">
        <w:rPr>
          <w:rStyle w:val="Lienhypertexte"/>
        </w:rPr>
        <w:fldChar w:fldCharType="end"/>
      </w:r>
      <w:r w:rsidR="007C70D0">
        <w:rPr>
          <w:u w:val="none"/>
        </w:rPr>
        <w:t xml:space="preserve">, а также о решениях </w:t>
      </w:r>
      <w:hyperlink r:id="rId45" w:history="1">
        <w:r w:rsidR="007C70D0">
          <w:rPr>
            <w:rStyle w:val="Lienhypertexte"/>
          </w:rPr>
          <w:t>17.COM 15</w:t>
        </w:r>
      </w:hyperlink>
      <w:r w:rsidR="007C70D0">
        <w:rPr>
          <w:u w:val="none"/>
        </w:rPr>
        <w:t xml:space="preserve"> и </w:t>
      </w:r>
      <w:hyperlink r:id="rId46" w:history="1">
        <w:r w:rsidR="007C70D0">
          <w:rPr>
            <w:rStyle w:val="Lienhypertexte"/>
          </w:rPr>
          <w:t>18.COM 7.c</w:t>
        </w:r>
      </w:hyperlink>
      <w:r w:rsidR="007C70D0">
        <w:rPr>
          <w:rStyle w:val="Lienhypertexte"/>
          <w:color w:val="auto"/>
          <w:u w:val="none"/>
        </w:rPr>
        <w:t>,</w:t>
      </w:r>
    </w:p>
    <w:p w14:paraId="1841ADB0" w14:textId="5C5616F2" w:rsidR="007C70D0" w:rsidRDefault="00CA2A2E" w:rsidP="00051921">
      <w:pPr>
        <w:pStyle w:val="COMParaDecision"/>
        <w:ind w:left="1134" w:hanging="567"/>
      </w:pPr>
      <w:r>
        <w:rPr>
          <w:lang w:val="fr-FR"/>
        </w:rPr>
        <w:t>H</w:t>
      </w:r>
      <w:r w:rsidR="00887BA9">
        <w:t>апоминая</w:t>
      </w:r>
      <w:r w:rsidR="00887BA9">
        <w:rPr>
          <w:u w:val="none"/>
        </w:rPr>
        <w:t xml:space="preserve"> далее о резолюции </w:t>
      </w:r>
      <w:r w:rsidR="00DD5C13">
        <w:fldChar w:fldCharType="begin"/>
      </w:r>
      <w:r w:rsidR="00DD5C13">
        <w:instrText>HYPERLINK "https://unesdoc.unesco.org/ark:/48223/pf0000388394_rus"</w:instrText>
      </w:r>
      <w:r w:rsidR="00DD5C13">
        <w:fldChar w:fldCharType="separate"/>
      </w:r>
      <w:r w:rsidR="00294EA0" w:rsidRPr="00294EA0">
        <w:rPr>
          <w:rStyle w:val="Lienhypertexte"/>
        </w:rPr>
        <w:t>42 С/81</w:t>
      </w:r>
      <w:r w:rsidR="00DD5C13">
        <w:rPr>
          <w:rStyle w:val="Lienhypertexte"/>
        </w:rPr>
        <w:fldChar w:fldCharType="end"/>
      </w:r>
      <w:r w:rsidR="00294EA0" w:rsidRPr="004F73C8">
        <w:rPr>
          <w:u w:val="none"/>
        </w:rPr>
        <w:t xml:space="preserve"> </w:t>
      </w:r>
      <w:r w:rsidR="00887BA9">
        <w:rPr>
          <w:u w:val="none"/>
        </w:rPr>
        <w:t xml:space="preserve">Генеральной конференции и решении </w:t>
      </w:r>
      <w:r w:rsidR="00DD5C13">
        <w:fldChar w:fldCharType="begin"/>
      </w:r>
      <w:r w:rsidR="00DD5C13">
        <w:instrText>HYPERLINK "https://unesdoc.unesco.org/ark:/48223/pf0000389517_rus"</w:instrText>
      </w:r>
      <w:r w:rsidR="00DD5C13">
        <w:fldChar w:fldCharType="separate"/>
      </w:r>
      <w:r w:rsidR="00887BA9" w:rsidRPr="006960E5">
        <w:rPr>
          <w:rStyle w:val="Lienhypertexte"/>
        </w:rPr>
        <w:t>219 ЕХ/</w:t>
      </w:r>
      <w:proofErr w:type="spellStart"/>
      <w:r>
        <w:rPr>
          <w:rStyle w:val="Lienhypertexte"/>
          <w:lang w:val="fr-FR"/>
        </w:rPr>
        <w:t>Decision</w:t>
      </w:r>
      <w:proofErr w:type="spellEnd"/>
      <w:r w:rsidRPr="004F73C8">
        <w:rPr>
          <w:rStyle w:val="Lienhypertexte"/>
        </w:rPr>
        <w:t xml:space="preserve"> </w:t>
      </w:r>
      <w:r w:rsidR="00887BA9" w:rsidRPr="006960E5">
        <w:rPr>
          <w:rStyle w:val="Lienhypertexte"/>
        </w:rPr>
        <w:t>13</w:t>
      </w:r>
      <w:r w:rsidR="00DD5C13">
        <w:rPr>
          <w:rStyle w:val="Lienhypertexte"/>
        </w:rPr>
        <w:fldChar w:fldCharType="end"/>
      </w:r>
      <w:r w:rsidR="00887BA9">
        <w:rPr>
          <w:u w:val="none"/>
        </w:rPr>
        <w:t xml:space="preserve"> Исполнительного совета ЮНЕСКО, а также об оценке IOS деятельности ЮНЕСКО в рамках Конвенции 2003 г. в 2021 г. и оценке IOS периодической отчетности ЮНЕСКО по конвенциям и рекомендациям Сектора культуры в 2024 г,</w:t>
      </w:r>
    </w:p>
    <w:p w14:paraId="4EB5C413" w14:textId="6DBB1DA0" w:rsidR="00D95C4C" w:rsidRPr="007655C4" w:rsidRDefault="00CA2A2E" w:rsidP="00051921">
      <w:pPr>
        <w:pStyle w:val="COMParaDecision"/>
        <w:ind w:left="1134" w:hanging="567"/>
      </w:pPr>
      <w:r>
        <w:rPr>
          <w:lang w:val="fr-FR"/>
        </w:rPr>
        <w:lastRenderedPageBreak/>
        <w:t>B</w:t>
      </w:r>
      <w:r w:rsidR="006C377B">
        <w:t>ыражает признательность</w:t>
      </w:r>
      <w:r w:rsidR="006C377B">
        <w:rPr>
          <w:u w:val="none"/>
        </w:rPr>
        <w:t xml:space="preserve"> Секретариату за постоянную поддержку, оказываемую в целях рационального управления Конвенцией посредством эффективной организации уставных совещаний и управления механизмами международного сотрудничества;</w:t>
      </w:r>
    </w:p>
    <w:p w14:paraId="736400F7" w14:textId="3E6C698D" w:rsidR="007655C4" w:rsidRPr="006D3CD4" w:rsidRDefault="00CA2A2E" w:rsidP="00051921">
      <w:pPr>
        <w:pStyle w:val="COMParaDecision"/>
        <w:ind w:left="1134" w:hanging="567"/>
      </w:pPr>
      <w:r>
        <w:rPr>
          <w:lang w:val="fr-FR"/>
        </w:rPr>
        <w:t>T</w:t>
      </w:r>
      <w:r w:rsidR="007655C4">
        <w:t>акже выражает признательность</w:t>
      </w:r>
      <w:r w:rsidR="007655C4">
        <w:rPr>
          <w:u w:val="none"/>
        </w:rPr>
        <w:t xml:space="preserve"> Секретариату за выполнение пересмотренных Оперативных директив после завершения глобального анализа механизмов включения в перечень Конвенции, включая его поддержку Органу по оценке, и </w:t>
      </w:r>
      <w:r w:rsidR="007655C4">
        <w:t>принимает к сведению</w:t>
      </w:r>
      <w:r w:rsidR="007655C4">
        <w:rPr>
          <w:u w:val="none"/>
        </w:rPr>
        <w:t xml:space="preserve"> прогресс, достигнутый в анализе более широкого применения статьи 18;</w:t>
      </w:r>
    </w:p>
    <w:p w14:paraId="395F6878" w14:textId="601A2BC0" w:rsidR="006D3CD4" w:rsidRPr="006D3CD4" w:rsidRDefault="00CA2A2E" w:rsidP="00051921">
      <w:pPr>
        <w:pStyle w:val="COMParaDecision"/>
        <w:ind w:left="1134" w:hanging="567"/>
      </w:pPr>
      <w:r w:rsidRPr="00A42007">
        <w:t>П</w:t>
      </w:r>
      <w:r w:rsidR="006D3CD4">
        <w:t>риветствует</w:t>
      </w:r>
      <w:r w:rsidR="006D3CD4">
        <w:rPr>
          <w:u w:val="none"/>
        </w:rPr>
        <w:t xml:space="preserve"> дальнейшую систематизацию механизма международной помощи, а также его распространение на более широкую группу стран, получающих помощь;</w:t>
      </w:r>
    </w:p>
    <w:p w14:paraId="1697CFDE" w14:textId="670D434F" w:rsidR="006D3CD4" w:rsidRPr="00BB6EEC" w:rsidRDefault="00CA2A2E" w:rsidP="00051921">
      <w:pPr>
        <w:pStyle w:val="COMParaDecision"/>
        <w:ind w:left="1134" w:hanging="567"/>
      </w:pPr>
      <w:r>
        <w:rPr>
          <w:lang w:val="fr-FR"/>
        </w:rPr>
        <w:t>C</w:t>
      </w:r>
      <w:r w:rsidR="006D3CD4">
        <w:t xml:space="preserve"> удовлетворением отмечает</w:t>
      </w:r>
      <w:r w:rsidR="006D3CD4">
        <w:rPr>
          <w:u w:val="none"/>
        </w:rPr>
        <w:t xml:space="preserve"> существенное улучшение показателей представления периодических докладов из Европы, арабских государств и Африки;</w:t>
      </w:r>
    </w:p>
    <w:p w14:paraId="7E21C62E" w14:textId="02DC1062" w:rsidR="006C377B" w:rsidRPr="006C377B" w:rsidRDefault="00CA2A2E" w:rsidP="00051921">
      <w:pPr>
        <w:pStyle w:val="COMParaDecision"/>
        <w:ind w:left="1134" w:hanging="567"/>
      </w:pPr>
      <w:r>
        <w:rPr>
          <w:lang w:val="fr-FR"/>
        </w:rPr>
        <w:t>B</w:t>
      </w:r>
      <w:r w:rsidR="006C377B">
        <w:t>ысоко оценивает</w:t>
      </w:r>
      <w:r w:rsidR="006C377B">
        <w:rPr>
          <w:u w:val="none"/>
        </w:rPr>
        <w:t xml:space="preserve"> продолжение осуществления глобальной программы по созданию потенциала и ее переориентацию на мультимодальный и межсекторальный подход и </w:t>
      </w:r>
      <w:r w:rsidR="006C377B">
        <w:t>призывает</w:t>
      </w:r>
      <w:r w:rsidR="006C377B">
        <w:rPr>
          <w:u w:val="none"/>
        </w:rPr>
        <w:t xml:space="preserve"> Секретариат продолжать укреплять взаимодействие в рамках ЮНЕСКО и более широкой системы ООН с целью включения живого наследия в международную повестку дня в области развития на период после 2030 г;</w:t>
      </w:r>
    </w:p>
    <w:p w14:paraId="2D2BA61A" w14:textId="4F6D3B8B" w:rsidR="006C377B" w:rsidRPr="00A91C02" w:rsidRDefault="00CA2A2E" w:rsidP="00051921">
      <w:pPr>
        <w:pStyle w:val="COMParaDecision"/>
        <w:ind w:left="1134" w:hanging="567"/>
      </w:pPr>
      <w:r>
        <w:rPr>
          <w:lang w:val="fr-FR"/>
        </w:rPr>
        <w:t>K</w:t>
      </w:r>
      <w:r w:rsidR="00DB3DC8">
        <w:t>роме того, высоко оценивает</w:t>
      </w:r>
      <w:r w:rsidR="00DB3DC8" w:rsidRPr="00964B80">
        <w:rPr>
          <w:u w:val="none"/>
        </w:rPr>
        <w:t xml:space="preserve"> прогресс,</w:t>
      </w:r>
      <w:r w:rsidR="00DB3DC8">
        <w:rPr>
          <w:u w:val="none"/>
        </w:rPr>
        <w:t xml:space="preserve"> достигнутый в рамках тематических инициатив Конвенции, особенно в отношении ее экономических аспектов, изменения климата и городского контекста, и </w:t>
      </w:r>
      <w:r w:rsidR="00DB3DC8" w:rsidRPr="00964B80">
        <w:t>предлагает</w:t>
      </w:r>
      <w:r w:rsidR="00DB3DC8">
        <w:rPr>
          <w:u w:val="none"/>
        </w:rPr>
        <w:t xml:space="preserve"> Секретариату продолжать эти усилия и в других областях, о которых Комитет может попросить, в соответствии с направлениями деятельности, указанными в Сеульской концепции будущего сохранения живого наследия в интересах устойчивого развития и мира;</w:t>
      </w:r>
    </w:p>
    <w:p w14:paraId="5AA5BE5D" w14:textId="2C922954" w:rsidR="00F61F85" w:rsidRDefault="00CA2A2E" w:rsidP="00051921">
      <w:pPr>
        <w:pStyle w:val="COMParaDecision"/>
        <w:ind w:left="1134" w:hanging="567"/>
      </w:pPr>
      <w:r w:rsidRPr="00A42007">
        <w:t>П</w:t>
      </w:r>
      <w:r w:rsidR="00F61F85">
        <w:t>ризнает</w:t>
      </w:r>
      <w:r w:rsidR="00F61F85">
        <w:rPr>
          <w:u w:val="none"/>
        </w:rPr>
        <w:t xml:space="preserve"> прогресс, достигнутый в отношении двенадцати рекомендаций, сформулированных по итогам оценки IOS 2021 г. в отношении деятельности ЮНЕСКО в рамках Конвенции 2003 г;</w:t>
      </w:r>
    </w:p>
    <w:p w14:paraId="3828F6DE" w14:textId="77777777" w:rsidR="002D2733" w:rsidRPr="00A42007" w:rsidRDefault="002D2733" w:rsidP="00051921">
      <w:pPr>
        <w:pStyle w:val="COMParaDecision"/>
        <w:ind w:left="1134" w:hanging="567"/>
      </w:pPr>
      <w:r w:rsidRPr="00A42007">
        <w:t>Принимает к сведению следующее в отношении дальнейшего развития Конвенции:</w:t>
      </w:r>
    </w:p>
    <w:p w14:paraId="16938269" w14:textId="77777777" w:rsidR="002D2733" w:rsidRPr="00A42007" w:rsidRDefault="002D2733" w:rsidP="00051921">
      <w:pPr>
        <w:pStyle w:val="COMParaDecision"/>
        <w:numPr>
          <w:ilvl w:val="0"/>
          <w:numId w:val="60"/>
        </w:numPr>
        <w:ind w:left="1701" w:hanging="567"/>
      </w:pPr>
      <w:r w:rsidRPr="00A42007">
        <w:rPr>
          <w:u w:val="none"/>
        </w:rPr>
        <w:t xml:space="preserve">Сеульское видение будущего охраны живого наследия в интересах устойчивого развития и мира, а также материалы, предоставленные государствами-сторонами в ходе опроса, и </w:t>
      </w:r>
      <w:r w:rsidRPr="00A42007">
        <w:t>призывает</w:t>
      </w:r>
      <w:r w:rsidRPr="00A42007">
        <w:rPr>
          <w:u w:val="none"/>
        </w:rPr>
        <w:t xml:space="preserve"> заинтересованные стороны Конвенции принять во внимание предложенные основные направления деятельности в своих усилиях по охране наследия для дальнейшего развития Конвенции;</w:t>
      </w:r>
    </w:p>
    <w:p w14:paraId="33FEAEDE" w14:textId="77777777" w:rsidR="002D2733" w:rsidRPr="00A42007" w:rsidRDefault="002D2733" w:rsidP="00051921">
      <w:pPr>
        <w:pStyle w:val="COMParaDecision"/>
        <w:numPr>
          <w:ilvl w:val="0"/>
          <w:numId w:val="60"/>
        </w:numPr>
        <w:ind w:left="1701" w:hanging="567"/>
      </w:pPr>
      <w:r w:rsidRPr="00A42007">
        <w:rPr>
          <w:u w:val="none"/>
        </w:rPr>
        <w:t xml:space="preserve">Заключительная декларация Всемирной конференции ЮНЕСКО по политике в области культуры и устойчивому развитию - МОНДИАКУЛЬТ 2022, а также Оценка </w:t>
      </w:r>
      <w:r>
        <w:rPr>
          <w:u w:val="none"/>
        </w:rPr>
        <w:t>IOS</w:t>
      </w:r>
      <w:r w:rsidRPr="00A42007">
        <w:rPr>
          <w:u w:val="none"/>
        </w:rPr>
        <w:t xml:space="preserve"> 2024 периодической отчетности ЮНЕСКО по конвенциям и рекомендациям Сектора культуры, </w:t>
      </w:r>
      <w:r w:rsidRPr="00A42007">
        <w:t>одобряет</w:t>
      </w:r>
      <w:r w:rsidRPr="00A42007">
        <w:rPr>
          <w:u w:val="none"/>
        </w:rPr>
        <w:t xml:space="preserve"> переходные меры по рационализации периодической отчетности в направлении единой глобальной системы представления, в том числе в рамках подготовки Глобального доклада ЮНЕСКО о политике в области культуры,</w:t>
      </w:r>
      <w:r w:rsidRPr="002D2733">
        <w:rPr>
          <w:u w:val="none"/>
        </w:rPr>
        <w:t xml:space="preserve"> </w:t>
      </w:r>
      <w:r w:rsidRPr="004F73C8">
        <w:rPr>
          <w:u w:val="none"/>
        </w:rPr>
        <w:t>как это было одобрено на восемнадцатой сессии Комитета</w:t>
      </w:r>
      <w:r w:rsidRPr="00A42007">
        <w:rPr>
          <w:u w:val="none"/>
        </w:rPr>
        <w:t>;</w:t>
      </w:r>
    </w:p>
    <w:p w14:paraId="4C874161" w14:textId="77777777" w:rsidR="002D2733" w:rsidRPr="00A42007" w:rsidRDefault="002D2733" w:rsidP="00051921">
      <w:pPr>
        <w:pStyle w:val="COMParaDecision"/>
        <w:numPr>
          <w:ilvl w:val="0"/>
          <w:numId w:val="60"/>
        </w:numPr>
        <w:ind w:left="1701" w:hanging="567"/>
      </w:pPr>
      <w:r w:rsidRPr="00A42007">
        <w:rPr>
          <w:u w:val="none"/>
        </w:rPr>
        <w:t xml:space="preserve">В ответ на предложение Генеральной конференции ЮНЕСКО внести вклад в процесс стратегического анализа будущих программных направлений и приоритетов на четырехлетний период 2026-2029 гг., </w:t>
      </w:r>
      <w:r w:rsidRPr="00A42007">
        <w:t>подтверждает</w:t>
      </w:r>
      <w:r w:rsidRPr="00A42007">
        <w:rPr>
          <w:u w:val="none"/>
        </w:rPr>
        <w:t xml:space="preserve"> стратегическое значение живого наследия для устойчивого человеческого развития в области компетенции Организации и </w:t>
      </w:r>
      <w:r w:rsidRPr="00A42007">
        <w:t>просит</w:t>
      </w:r>
      <w:r w:rsidRPr="00A42007">
        <w:rPr>
          <w:u w:val="none"/>
        </w:rPr>
        <w:t xml:space="preserve"> Секретариат </w:t>
      </w:r>
      <w:r w:rsidRPr="00A42007">
        <w:rPr>
          <w:u w:val="none"/>
        </w:rPr>
        <w:lastRenderedPageBreak/>
        <w:t>отразить дискуссии, состоявшиеся в ходе нынешней сессии, в материалах Сектора культуры для предварительных предложений Генерального директора по проекту 43 С/5;</w:t>
      </w:r>
    </w:p>
    <w:p w14:paraId="7F57C758" w14:textId="77777777" w:rsidR="002D2733" w:rsidRPr="002D2733" w:rsidRDefault="002D2733" w:rsidP="00051921">
      <w:pPr>
        <w:pStyle w:val="COMParaDecision"/>
        <w:ind w:left="1134" w:hanging="567"/>
      </w:pPr>
      <w:r w:rsidRPr="002D2733">
        <w:t>Далее просит</w:t>
      </w:r>
      <w:r w:rsidRPr="00A42007">
        <w:rPr>
          <w:u w:val="none"/>
        </w:rPr>
        <w:t xml:space="preserve"> </w:t>
      </w:r>
      <w:r w:rsidRPr="002D2733">
        <w:rPr>
          <w:u w:val="none"/>
        </w:rPr>
        <w:t>Секретариат представить доклад о своей деятельности за период с января 2024 года по декабрь 2025 года для рассмотрения Генеральной Ассамблеей на ее одиннадцатой сессии.</w:t>
      </w:r>
    </w:p>
    <w:p w14:paraId="19AC5F4A" w14:textId="58F30D73" w:rsidR="00937D53" w:rsidRPr="00BB6EEC" w:rsidRDefault="00937D53" w:rsidP="002D2733">
      <w:pPr>
        <w:pStyle w:val="COMParaDecision"/>
        <w:ind w:left="1134" w:hanging="567"/>
      </w:pPr>
      <w:r>
        <w:br w:type="page"/>
      </w:r>
    </w:p>
    <w:p w14:paraId="47BF5811" w14:textId="77777777" w:rsidR="00C04B01" w:rsidRDefault="00C04B01" w:rsidP="00C04B01">
      <w:pPr>
        <w:pStyle w:val="COMParaDecision"/>
        <w:ind w:left="0" w:firstLine="0"/>
        <w:jc w:val="center"/>
        <w:rPr>
          <w:rFonts w:asciiTheme="minorBidi" w:hAnsiTheme="minorBidi" w:cstheme="minorBidi"/>
          <w:b/>
        </w:rPr>
        <w:sectPr w:rsidR="00C04B01" w:rsidSect="00655736">
          <w:headerReference w:type="even" r:id="rId47"/>
          <w:headerReference w:type="default" r:id="rId48"/>
          <w:headerReference w:type="first" r:id="rId49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p w14:paraId="1234D0C5" w14:textId="46B418F9" w:rsidR="00C04B01" w:rsidRPr="006B6390" w:rsidRDefault="00C04B01" w:rsidP="00C04B01">
      <w:pPr>
        <w:pStyle w:val="COMParaDecision"/>
        <w:numPr>
          <w:ilvl w:val="0"/>
          <w:numId w:val="0"/>
        </w:numPr>
        <w:jc w:val="center"/>
        <w:rPr>
          <w:rFonts w:asciiTheme="minorBidi" w:hAnsiTheme="minorBidi" w:cstheme="minorBidi"/>
          <w:b/>
        </w:rPr>
      </w:pPr>
      <w:bookmarkStart w:id="4" w:name="AnnexI"/>
      <w:bookmarkEnd w:id="4"/>
      <w:r>
        <w:rPr>
          <w:rFonts w:asciiTheme="minorBidi" w:hAnsiTheme="minorBidi"/>
          <w:b/>
        </w:rPr>
        <w:lastRenderedPageBreak/>
        <w:t>Приложение I:</w:t>
      </w:r>
    </w:p>
    <w:p w14:paraId="0F39D46F" w14:textId="77777777" w:rsidR="00C04B01" w:rsidRDefault="00C04B01" w:rsidP="00C04B01">
      <w:pPr>
        <w:pStyle w:val="COMParaDecision"/>
        <w:numPr>
          <w:ilvl w:val="0"/>
          <w:numId w:val="0"/>
        </w:numPr>
        <w:spacing w:after="240"/>
        <w:jc w:val="center"/>
        <w:rPr>
          <w:rFonts w:asciiTheme="minorBidi" w:hAnsiTheme="minorBidi" w:cstheme="minorBidi"/>
          <w:b/>
          <w:u w:val="none"/>
        </w:rPr>
      </w:pPr>
      <w:r>
        <w:rPr>
          <w:rFonts w:asciiTheme="minorBidi" w:hAnsiTheme="minorBidi"/>
          <w:b/>
          <w:u w:val="none"/>
        </w:rPr>
        <w:t>Оценка по показателям эффективности</w:t>
      </w:r>
    </w:p>
    <w:tbl>
      <w:tblPr>
        <w:tblStyle w:val="TableGrid2"/>
        <w:tblW w:w="14572" w:type="dxa"/>
        <w:tblLook w:val="04A0" w:firstRow="1" w:lastRow="0" w:firstColumn="1" w:lastColumn="0" w:noHBand="0" w:noVBand="1"/>
      </w:tblPr>
      <w:tblGrid>
        <w:gridCol w:w="3652"/>
        <w:gridCol w:w="10920"/>
      </w:tblGrid>
      <w:tr w:rsidR="00BE109A" w:rsidRPr="003B4DDC" w14:paraId="6933689B" w14:textId="77777777" w:rsidTr="00DC7E7F">
        <w:trPr>
          <w:cantSplit/>
        </w:trPr>
        <w:tc>
          <w:tcPr>
            <w:tcW w:w="1253" w:type="pct"/>
            <w:shd w:val="clear" w:color="auto" w:fill="808080" w:themeFill="background1" w:themeFillShade="80"/>
            <w:vAlign w:val="center"/>
          </w:tcPr>
          <w:p w14:paraId="0D2AB613" w14:textId="77777777" w:rsidR="00BE109A" w:rsidRPr="00757D68" w:rsidRDefault="00BE109A" w:rsidP="00DC7E7F">
            <w:pPr>
              <w:keepNext/>
              <w:widowControl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Bidi" w:hAnsiTheme="minorBidi"/>
                <w:b/>
                <w:color w:val="FFFFFF" w:themeColor="background1"/>
                <w:sz w:val="22"/>
              </w:rPr>
              <w:t>41C/5 Показатель эффективности 1</w:t>
            </w:r>
          </w:p>
        </w:tc>
        <w:tc>
          <w:tcPr>
            <w:tcW w:w="3747" w:type="pct"/>
            <w:shd w:val="clear" w:color="auto" w:fill="808080" w:themeFill="background1" w:themeFillShade="80"/>
            <w:vAlign w:val="center"/>
          </w:tcPr>
          <w:p w14:paraId="3A97B624" w14:textId="77777777" w:rsidR="00BE109A" w:rsidRPr="00757D68" w:rsidRDefault="00BE109A" w:rsidP="00DC7E7F">
            <w:pPr>
              <w:keepNext/>
              <w:widowControl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Bidi" w:hAnsiTheme="minorBidi"/>
                <w:b/>
                <w:color w:val="FFFFFF" w:themeColor="background1"/>
                <w:sz w:val="22"/>
              </w:rPr>
              <w:t>Число государств-членов с новыми или пересмотренными политикой, стратегиями и программами по охране живого наследия, в том числе в рамках планов и рамок устойчивого развития, в соответствии с Конвенцией об охране нематериального культурного наследия 2003 г.</w:t>
            </w:r>
          </w:p>
        </w:tc>
      </w:tr>
    </w:tbl>
    <w:tbl>
      <w:tblPr>
        <w:tblW w:w="14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27"/>
        <w:gridCol w:w="10918"/>
      </w:tblGrid>
      <w:tr w:rsidR="00BE109A" w:rsidRPr="00757D68" w14:paraId="528BD510" w14:textId="77777777" w:rsidTr="00051921">
        <w:trPr>
          <w:tblHeader/>
        </w:trPr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440E0DD" w14:textId="77777777" w:rsidR="00BE109A" w:rsidRPr="00757D68" w:rsidRDefault="00BE109A" w:rsidP="00DC7E7F">
            <w:pPr>
              <w:widowControl w:val="0"/>
              <w:spacing w:before="60" w:after="6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</w:rPr>
              <w:t>Исходные показатели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7FF8753" w14:textId="77777777" w:rsidR="00BE109A" w:rsidRPr="00757D68" w:rsidRDefault="00BE109A" w:rsidP="00DC7E7F">
            <w:pPr>
              <w:widowControl w:val="0"/>
              <w:spacing w:before="60" w:after="6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</w:rPr>
              <w:t>Целевые показатели на 2023 г.</w:t>
            </w:r>
          </w:p>
        </w:tc>
        <w:tc>
          <w:tcPr>
            <w:tcW w:w="3746" w:type="pct"/>
            <w:shd w:val="clear" w:color="auto" w:fill="D9D9D9" w:themeFill="background1" w:themeFillShade="D9"/>
            <w:vAlign w:val="center"/>
          </w:tcPr>
          <w:p w14:paraId="20F783E6" w14:textId="6B7C9FB9" w:rsidR="00BE109A" w:rsidRPr="00757D68" w:rsidRDefault="00BE109A" w:rsidP="00DC7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</w:rPr>
              <w:t>Оценка достигнутого прогресса:</w:t>
            </w:r>
            <w:r>
              <w:rPr>
                <w:rFonts w:asciiTheme="minorBidi" w:hAnsiTheme="minorBidi"/>
                <w:b/>
                <w:sz w:val="22"/>
              </w:rPr>
              <w:br/>
              <w:t>01/01/2022 - 31/12/2023</w:t>
            </w:r>
          </w:p>
        </w:tc>
      </w:tr>
      <w:tr w:rsidR="00BE109A" w:rsidRPr="003B4DDC" w14:paraId="32D5C7AE" w14:textId="77777777" w:rsidTr="00051921">
        <w:trPr>
          <w:trHeight w:val="1498"/>
        </w:trPr>
        <w:tc>
          <w:tcPr>
            <w:tcW w:w="627" w:type="pct"/>
            <w:tcBorders>
              <w:bottom w:val="single" w:sz="4" w:space="0" w:color="auto"/>
            </w:tcBorders>
          </w:tcPr>
          <w:p w14:paraId="59799DBA" w14:textId="77777777" w:rsidR="00BE109A" w:rsidRPr="00757D68" w:rsidRDefault="00BE109A" w:rsidP="00DC7E7F">
            <w:pPr>
              <w:widowControl w:val="0"/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60, в том числе 20 в Африке и 10 в МОРГ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A4DD63" w14:textId="77777777" w:rsidR="00BE109A" w:rsidRPr="00757D68" w:rsidRDefault="00BE109A" w:rsidP="00DC7E7F">
            <w:pPr>
              <w:widowControl w:val="0"/>
              <w:spacing w:before="120" w:after="120"/>
              <w:ind w:left="-28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60, в том числе 30 в Африке и 10 в МОРГ</w:t>
            </w:r>
          </w:p>
        </w:tc>
        <w:tc>
          <w:tcPr>
            <w:tcW w:w="3746" w:type="pct"/>
            <w:tcBorders>
              <w:bottom w:val="single" w:sz="4" w:space="0" w:color="auto"/>
            </w:tcBorders>
            <w:shd w:val="clear" w:color="auto" w:fill="auto"/>
          </w:tcPr>
          <w:p w14:paraId="34CDD943" w14:textId="77777777" w:rsidR="00BE109A" w:rsidRPr="00261480" w:rsidRDefault="00BE109A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Программой создания потенциала воспользовались 114 государств-членов (в том числе 32 государства Африки и 25 МОРГ);</w:t>
            </w:r>
          </w:p>
          <w:p w14:paraId="58149EF4" w14:textId="77777777" w:rsidR="00BE109A" w:rsidRPr="00261480" w:rsidRDefault="00BE109A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18 стран получили поддержку для подготовки периодических докладов в арабских государствах;</w:t>
            </w:r>
          </w:p>
          <w:p w14:paraId="2A22D8A6" w14:textId="33DF2074" w:rsidR="00BE109A" w:rsidRPr="00261480" w:rsidRDefault="00420E74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44 страны получили поддержку для подготовки периодических докладов в Африке;</w:t>
            </w:r>
          </w:p>
          <w:p w14:paraId="15DE2243" w14:textId="77777777" w:rsidR="00BE109A" w:rsidRPr="00757D68" w:rsidRDefault="00BE109A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Отобрано 95 новых экспертов для участия в глобальной сети координаторов Конвенции;</w:t>
            </w:r>
          </w:p>
          <w:p w14:paraId="05D52289" w14:textId="77777777" w:rsidR="00BE109A" w:rsidRPr="00757D68" w:rsidRDefault="00BE109A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Организовано 3 региональных семинара по подготовке инструкторов  для новых членов сети из Европы, Африки, арабских государств и Азиатско-Тихоокеанского региона;</w:t>
            </w:r>
          </w:p>
          <w:p w14:paraId="5C9A8C1A" w14:textId="77777777" w:rsidR="00BE109A" w:rsidRPr="00757D68" w:rsidRDefault="00BE109A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Один субрегиональный учебный семинар по кандидатурам, организованный в сотрудничестве с тремя подразделениями на местах, в котором приняли участие более 70 человек из 16 МОРГ;</w:t>
            </w:r>
          </w:p>
          <w:p w14:paraId="2FFDB356" w14:textId="77777777" w:rsidR="00BE109A" w:rsidRPr="00757D68" w:rsidRDefault="00BE109A" w:rsidP="00BE109A">
            <w:pPr>
              <w:pStyle w:val="Paragraphedeliste"/>
              <w:widowControl w:val="0"/>
              <w:numPr>
                <w:ilvl w:val="0"/>
                <w:numId w:val="24"/>
              </w:numPr>
              <w:spacing w:before="120" w:after="120"/>
              <w:ind w:left="425" w:hanging="425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Рассмотрено 12 предложений о создании или возобновлении деятельности кафедр ЮНЕСКО в области нематериального культурного наследия, включая создание сети УНИТВИН по нематериальному культурному наследию.</w:t>
            </w:r>
          </w:p>
        </w:tc>
      </w:tr>
    </w:tbl>
    <w:p w14:paraId="776C2A6F" w14:textId="77777777" w:rsidR="00BE109A" w:rsidRPr="00757D68" w:rsidRDefault="00BE109A" w:rsidP="00BE109A">
      <w:r>
        <w:br w:type="page"/>
      </w:r>
    </w:p>
    <w:tbl>
      <w:tblPr>
        <w:tblStyle w:val="TableGrid2"/>
        <w:tblW w:w="14572" w:type="dxa"/>
        <w:tblLook w:val="04A0" w:firstRow="1" w:lastRow="0" w:firstColumn="1" w:lastColumn="0" w:noHBand="0" w:noVBand="1"/>
      </w:tblPr>
      <w:tblGrid>
        <w:gridCol w:w="3509"/>
        <w:gridCol w:w="11063"/>
      </w:tblGrid>
      <w:tr w:rsidR="00BE109A" w:rsidRPr="003B4DDC" w14:paraId="6A46E2B2" w14:textId="77777777" w:rsidTr="00DC7E7F">
        <w:trPr>
          <w:cantSplit/>
        </w:trPr>
        <w:tc>
          <w:tcPr>
            <w:tcW w:w="1204" w:type="pct"/>
            <w:shd w:val="clear" w:color="auto" w:fill="808080" w:themeFill="background1" w:themeFillShade="80"/>
            <w:vAlign w:val="center"/>
          </w:tcPr>
          <w:p w14:paraId="0BA4E3EF" w14:textId="77777777" w:rsidR="00BE109A" w:rsidRPr="00757D68" w:rsidRDefault="00BE109A" w:rsidP="00DC7E7F">
            <w:pPr>
              <w:keepNext/>
              <w:widowControl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Bidi" w:hAnsiTheme="minorBidi"/>
                <w:b/>
                <w:color w:val="FFFFFF" w:themeColor="background1"/>
                <w:sz w:val="22"/>
              </w:rPr>
              <w:lastRenderedPageBreak/>
              <w:t>41C/5 Показатель эффективности 2</w:t>
            </w:r>
          </w:p>
        </w:tc>
        <w:tc>
          <w:tcPr>
            <w:tcW w:w="3796" w:type="pct"/>
            <w:shd w:val="clear" w:color="auto" w:fill="808080" w:themeFill="background1" w:themeFillShade="80"/>
            <w:vAlign w:val="center"/>
          </w:tcPr>
          <w:p w14:paraId="4FC8ED5D" w14:textId="77777777" w:rsidR="00BE109A" w:rsidRPr="00757D68" w:rsidRDefault="00BE109A" w:rsidP="00DC7E7F">
            <w:pPr>
              <w:keepNext/>
              <w:widowControl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Bidi" w:hAnsiTheme="minorBidi"/>
                <w:b/>
                <w:color w:val="FFFFFF" w:themeColor="background1"/>
                <w:sz w:val="22"/>
              </w:rPr>
              <w:t>Число государств-членов, обеспечивающих устойчивую охрану живого наследия с помощью механизмов расширенного международного сотрудничества и помощи в рамках Конвенции об охране нематериального культурного наследия 2003 г.</w:t>
            </w:r>
          </w:p>
        </w:tc>
      </w:tr>
    </w:tbl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4"/>
        <w:gridCol w:w="11063"/>
      </w:tblGrid>
      <w:tr w:rsidR="00BE109A" w:rsidRPr="00757D68" w14:paraId="14028AB2" w14:textId="77777777" w:rsidTr="00DC7E7F">
        <w:trPr>
          <w:tblHeader/>
        </w:trPr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3C73C5AB" w14:textId="77777777" w:rsidR="00BE109A" w:rsidRPr="00757D68" w:rsidRDefault="00BE109A" w:rsidP="00DC7E7F">
            <w:pPr>
              <w:widowControl w:val="0"/>
              <w:spacing w:before="60" w:after="6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</w:rPr>
              <w:t>Исходные показатели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40730664" w14:textId="77777777" w:rsidR="00BE109A" w:rsidRPr="00757D68" w:rsidRDefault="00BE109A" w:rsidP="00DC7E7F">
            <w:pPr>
              <w:widowControl w:val="0"/>
              <w:spacing w:before="60" w:after="6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</w:rPr>
              <w:t>Целевые показатели на 2023 г.</w:t>
            </w:r>
          </w:p>
        </w:tc>
        <w:tc>
          <w:tcPr>
            <w:tcW w:w="3796" w:type="pct"/>
            <w:shd w:val="clear" w:color="auto" w:fill="D9D9D9" w:themeFill="background1" w:themeFillShade="D9"/>
            <w:vAlign w:val="center"/>
          </w:tcPr>
          <w:p w14:paraId="17C8F8EE" w14:textId="69A8543B" w:rsidR="00BE109A" w:rsidRPr="00757D68" w:rsidRDefault="00BE109A" w:rsidP="00DC7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b/>
                <w:sz w:val="22"/>
              </w:rPr>
              <w:t>Оценка достигнутого прогресса:</w:t>
            </w:r>
            <w:r>
              <w:rPr>
                <w:rFonts w:asciiTheme="minorBidi" w:hAnsiTheme="minorBidi"/>
                <w:b/>
                <w:sz w:val="22"/>
              </w:rPr>
              <w:br/>
              <w:t>01/01/2022 - 31/12/2023</w:t>
            </w:r>
          </w:p>
        </w:tc>
      </w:tr>
      <w:tr w:rsidR="00BE109A" w:rsidRPr="00757D68" w14:paraId="07D5EBED" w14:textId="77777777" w:rsidTr="00DC7E7F">
        <w:trPr>
          <w:trHeight w:val="4361"/>
          <w:tblHeader/>
        </w:trPr>
        <w:tc>
          <w:tcPr>
            <w:tcW w:w="602" w:type="pct"/>
            <w:shd w:val="clear" w:color="auto" w:fill="auto"/>
          </w:tcPr>
          <w:p w14:paraId="408F8609" w14:textId="77777777" w:rsidR="00BE109A" w:rsidRPr="00757D68" w:rsidRDefault="00BE109A" w:rsidP="00DC7E7F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80, в том числе 25 в Африке и 15 в МОРГ</w:t>
            </w:r>
          </w:p>
        </w:tc>
        <w:tc>
          <w:tcPr>
            <w:tcW w:w="602" w:type="pct"/>
            <w:shd w:val="clear" w:color="auto" w:fill="auto"/>
          </w:tcPr>
          <w:p w14:paraId="5D15EA06" w14:textId="77777777" w:rsidR="00BE109A" w:rsidRPr="00757D68" w:rsidRDefault="00BE109A" w:rsidP="00DC7E7F">
            <w:pPr>
              <w:widowControl w:val="0"/>
              <w:spacing w:before="60" w:after="60"/>
              <w:rPr>
                <w:rFonts w:asciiTheme="minorBidi" w:eastAsia="Calibr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90, в том числе 40 в Африке и 17 в МОРГ</w:t>
            </w:r>
          </w:p>
        </w:tc>
        <w:tc>
          <w:tcPr>
            <w:tcW w:w="3796" w:type="pct"/>
            <w:shd w:val="clear" w:color="auto" w:fill="auto"/>
          </w:tcPr>
          <w:p w14:paraId="2CBFD175" w14:textId="77777777" w:rsidR="00BE109A" w:rsidRPr="00261480" w:rsidRDefault="00BE109A" w:rsidP="00BE109A">
            <w:pPr>
              <w:pStyle w:val="Paragraphedeliste"/>
              <w:keepNext/>
              <w:keepLines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Завершено глобальное осмысление механизмов включения в списки Конвенции и утверждены последующие поправки к Оперативным директивам;</w:t>
            </w:r>
          </w:p>
          <w:p w14:paraId="55D330D9" w14:textId="5A0694E2" w:rsidR="00BE109A" w:rsidRPr="00261480" w:rsidRDefault="00CC4E18" w:rsidP="00BE109A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3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Бюро обработало и удовлетворило 30 новых заявок на международную помощь, в том числе 13 из Африки и 5 из МОРГ;</w:t>
            </w:r>
          </w:p>
          <w:p w14:paraId="2205C947" w14:textId="77777777" w:rsidR="00BE109A" w:rsidRPr="00261480" w:rsidRDefault="00BE109A" w:rsidP="00BE109A">
            <w:pPr>
              <w:pStyle w:val="Paragraphedeliste"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120 заявочных досье, рассмотренных в рамках циклов 2022 и 2023 годов, включая одно досье, рассмотренное на ускоренной основе (случай крайней срочности в смысле статьи 17.3), и 71 заявочное досье, рассмотренное в рамках цикла 2024 года;</w:t>
            </w:r>
          </w:p>
          <w:p w14:paraId="53077778" w14:textId="77777777" w:rsidR="00BE109A" w:rsidRPr="00261480" w:rsidRDefault="00BE109A" w:rsidP="00BE109A">
            <w:pPr>
              <w:pStyle w:val="Paragraphedeliste"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В 2023 и 2024 годах зарегистрирована 141 новая кандидатура;</w:t>
            </w:r>
          </w:p>
          <w:p w14:paraId="607F05CB" w14:textId="77777777" w:rsidR="00BE109A" w:rsidRPr="00261480" w:rsidRDefault="00BE109A" w:rsidP="00BE109A">
            <w:pPr>
              <w:pStyle w:val="Paragraphedeliste"/>
              <w:keepNext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Проанализировано 39 отчетов о состоянии элементов, включенных в Список срочных мер по охране;</w:t>
            </w:r>
          </w:p>
          <w:p w14:paraId="040E165D" w14:textId="77777777" w:rsidR="00BE109A" w:rsidRPr="00261480" w:rsidRDefault="00BE109A" w:rsidP="00BE109A">
            <w:pPr>
              <w:pStyle w:val="Paragraphedeliste"/>
              <w:keepNext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Проанализированы 42 доклада об осуществлении Конвенции и о текущем состоянии элементов, включенных в Репрезентативный список государствами-участниками в Европе;</w:t>
            </w:r>
          </w:p>
          <w:p w14:paraId="2B7CAA8E" w14:textId="20C3D1F7" w:rsidR="00BE109A" w:rsidRPr="00261480" w:rsidRDefault="009B2903" w:rsidP="00BE109A">
            <w:pPr>
              <w:pStyle w:val="Paragraphedeliste"/>
              <w:keepNext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Проанализировано 18 докладов об осуществлении Конвенции и о текущем состоянии элементов, включенных в Репрезентативный список государствами-участниками в арабских государствах;</w:t>
            </w:r>
          </w:p>
          <w:p w14:paraId="68A7C8F9" w14:textId="78E635F5" w:rsidR="00BE109A" w:rsidRPr="00757D68" w:rsidRDefault="00406F24" w:rsidP="00BE109A">
            <w:pPr>
              <w:pStyle w:val="Paragraphedeliste"/>
              <w:keepNext/>
              <w:widowControl w:val="0"/>
              <w:numPr>
                <w:ilvl w:val="0"/>
                <w:numId w:val="26"/>
              </w:numPr>
              <w:spacing w:before="120" w:after="120"/>
              <w:ind w:left="323"/>
              <w:contextualSpacing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</w:rPr>
              <w:t>Организовано 33 уставных собрания.</w:t>
            </w:r>
          </w:p>
        </w:tc>
      </w:tr>
    </w:tbl>
    <w:p w14:paraId="1D083161" w14:textId="1C11CA22" w:rsidR="00965684" w:rsidRDefault="00965684">
      <w:pPr>
        <w:rPr>
          <w:rFonts w:ascii="Arial" w:eastAsia="SimSun" w:hAnsi="Arial" w:cs="Arial"/>
          <w:sz w:val="22"/>
          <w:szCs w:val="22"/>
          <w:lang w:val="en-GB"/>
        </w:rPr>
      </w:pPr>
    </w:p>
    <w:sectPr w:rsidR="00965684" w:rsidSect="00827C6C">
      <w:pgSz w:w="16838" w:h="11906" w:orient="landscape" w:code="9"/>
      <w:pgMar w:top="1138" w:right="1411" w:bottom="1138" w:left="1138" w:header="40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  <w:footnote w:id="1">
    <w:p w14:paraId="4F559E65" w14:textId="1C4F213E" w:rsidR="00495090" w:rsidRPr="00051921" w:rsidRDefault="00495090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Pr="00051921">
        <w:rPr>
          <w:rFonts w:asciiTheme="minorBidi" w:hAnsiTheme="minorBidi" w:cstheme="minorBidi"/>
          <w:sz w:val="18"/>
          <w:szCs w:val="18"/>
          <w:vertAlign w:val="superscript"/>
        </w:rPr>
        <w:t>.</w:t>
      </w:r>
      <w:r w:rsidRPr="00051921">
        <w:rPr>
          <w:rFonts w:asciiTheme="minorBidi" w:hAnsiTheme="minorBidi" w:cstheme="minorBidi"/>
          <w:sz w:val="18"/>
          <w:szCs w:val="18"/>
        </w:rPr>
        <w:tab/>
        <w:t xml:space="preserve">Документ </w:t>
      </w:r>
      <w:hyperlink r:id="rId1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LHE/21/16.COM/10 Rev.</w:t>
        </w:r>
      </w:hyperlink>
      <w:r w:rsidRPr="00051921">
        <w:rPr>
          <w:rFonts w:asciiTheme="minorBidi" w:hAnsiTheme="minorBidi" w:cstheme="minorBidi"/>
          <w:sz w:val="18"/>
          <w:szCs w:val="18"/>
        </w:rPr>
        <w:t xml:space="preserve"> и </w:t>
      </w:r>
      <w:hyperlink r:id="rId2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LHE/21/16.COM/INF.10 Rev.</w:t>
        </w:r>
      </w:hyperlink>
      <w:r w:rsidRPr="00051921">
        <w:rPr>
          <w:rStyle w:val="Lienhypertexte"/>
          <w:rFonts w:asciiTheme="minorBidi" w:hAnsiTheme="minorBidi" w:cstheme="minorBidi"/>
          <w:color w:val="auto"/>
          <w:sz w:val="18"/>
          <w:szCs w:val="18"/>
          <w:u w:val="none"/>
        </w:rPr>
        <w:t xml:space="preserve">;последующие меры принимаются со ссылкой на решение </w:t>
      </w:r>
      <w:hyperlink r:id="rId3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16.COM 10</w:t>
        </w:r>
      </w:hyperlink>
      <w:r w:rsidRPr="00051921">
        <w:rPr>
          <w:rStyle w:val="Lienhypertexte"/>
          <w:rFonts w:asciiTheme="minorBidi" w:hAnsiTheme="minorBidi" w:cstheme="minorBidi"/>
          <w:color w:val="auto"/>
          <w:sz w:val="18"/>
          <w:szCs w:val="18"/>
          <w:u w:val="none"/>
        </w:rPr>
        <w:t xml:space="preserve"> на шестнадцатой сессии Комитета.</w:t>
      </w:r>
    </w:p>
  </w:footnote>
  <w:footnote w:id="2">
    <w:p w14:paraId="535D9762" w14:textId="649413D8" w:rsidR="001964C7" w:rsidRPr="00051921" w:rsidRDefault="001964C7" w:rsidP="00051921">
      <w:pPr>
        <w:pStyle w:val="Notedebasdepage"/>
        <w:spacing w:after="60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DD5C13">
        <w:rPr>
          <w:rFonts w:asciiTheme="minorBidi" w:hAnsiTheme="minorBidi" w:cstheme="minorBidi"/>
          <w:sz w:val="18"/>
          <w:szCs w:val="18"/>
          <w:vertAlign w:val="superscript"/>
        </w:rPr>
        <w:t>.</w:t>
      </w:r>
      <w:r w:rsidRPr="00051921">
        <w:rPr>
          <w:rFonts w:asciiTheme="minorBidi" w:hAnsiTheme="minorBidi" w:cstheme="minorBidi"/>
          <w:sz w:val="18"/>
          <w:szCs w:val="18"/>
          <w:vertAlign w:val="superscript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 xml:space="preserve">Решение </w:t>
      </w:r>
      <w:hyperlink r:id="rId4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17.COM 6.b</w:t>
        </w:r>
      </w:hyperlink>
    </w:p>
  </w:footnote>
  <w:footnote w:id="3">
    <w:p w14:paraId="73A8275B" w14:textId="1FCA4380" w:rsidR="001964C7" w:rsidRPr="00051921" w:rsidRDefault="001964C7" w:rsidP="00051921">
      <w:pPr>
        <w:pStyle w:val="Notedebasdepage"/>
        <w:spacing w:after="60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DD5C13">
        <w:rPr>
          <w:rFonts w:asciiTheme="minorBidi" w:hAnsiTheme="minorBidi" w:cstheme="minorBidi"/>
          <w:sz w:val="18"/>
          <w:szCs w:val="18"/>
          <w:vertAlign w:val="superscript"/>
        </w:rPr>
        <w:t>.</w:t>
      </w:r>
      <w:r w:rsidRPr="00051921">
        <w:rPr>
          <w:rFonts w:asciiTheme="minorBidi" w:hAnsiTheme="minorBidi" w:cstheme="minorBidi"/>
          <w:sz w:val="18"/>
          <w:szCs w:val="18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 xml:space="preserve">Решение </w:t>
      </w:r>
      <w:hyperlink r:id="rId5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18.COM 7.b</w:t>
        </w:r>
      </w:hyperlink>
    </w:p>
  </w:footnote>
  <w:footnote w:id="4">
    <w:p w14:paraId="73859E91" w14:textId="2D8C4CE8" w:rsidR="00380A31" w:rsidRPr="00051921" w:rsidRDefault="00380A31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051921">
        <w:rPr>
          <w:rFonts w:asciiTheme="minorBidi" w:hAnsiTheme="minorBidi" w:cstheme="minorBidi"/>
          <w:sz w:val="18"/>
          <w:szCs w:val="18"/>
          <w:vertAlign w:val="superscript"/>
          <w:lang w:val="fr-FR"/>
        </w:rPr>
        <w:t>.</w:t>
      </w:r>
      <w:r w:rsidRPr="00051921">
        <w:rPr>
          <w:rFonts w:asciiTheme="minorBidi" w:hAnsiTheme="minorBidi" w:cstheme="minorBidi"/>
          <w:sz w:val="18"/>
          <w:szCs w:val="18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 xml:space="preserve">Следите за обновлениями на </w:t>
      </w:r>
      <w:hyperlink r:id="rId6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специальной веб-странице</w:t>
        </w:r>
      </w:hyperlink>
      <w:r w:rsidRPr="00051921">
        <w:rPr>
          <w:rFonts w:asciiTheme="minorBidi" w:hAnsiTheme="minorBidi" w:cstheme="minorBidi"/>
          <w:sz w:val="18"/>
          <w:szCs w:val="18"/>
        </w:rPr>
        <w:t>.</w:t>
      </w:r>
    </w:p>
  </w:footnote>
  <w:footnote w:id="5">
    <w:p w14:paraId="71DAEFE8" w14:textId="7A6F3E17" w:rsidR="00DB3DC8" w:rsidRPr="00051921" w:rsidRDefault="00DB3DC8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051921">
        <w:rPr>
          <w:rFonts w:asciiTheme="minorBidi" w:hAnsiTheme="minorBidi" w:cstheme="minorBidi"/>
          <w:sz w:val="18"/>
          <w:szCs w:val="18"/>
          <w:vertAlign w:val="superscript"/>
          <w:lang w:val="fr-FR"/>
        </w:rPr>
        <w:t>.</w:t>
      </w:r>
      <w:r w:rsidRPr="00051921">
        <w:rPr>
          <w:rFonts w:asciiTheme="minorBidi" w:hAnsiTheme="minorBidi" w:cstheme="minorBidi"/>
          <w:sz w:val="18"/>
          <w:szCs w:val="18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 xml:space="preserve">В качестве примера можно привести проекты </w:t>
      </w:r>
      <w:hyperlink r:id="rId7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«Латинская Америка и Карибский бассейн:</w:t>
        </w:r>
      </w:hyperlink>
      <w:hyperlink r:id="rId8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 xml:space="preserve"> Укрепление потенциала устойчивых сообществ посредством устойчивого туризма и сохранения наследия»</w:t>
        </w:r>
      </w:hyperlink>
      <w:r w:rsidRPr="00051921">
        <w:rPr>
          <w:rFonts w:asciiTheme="minorBidi" w:hAnsiTheme="minorBidi" w:cstheme="minorBidi"/>
          <w:sz w:val="18"/>
          <w:szCs w:val="18"/>
        </w:rPr>
        <w:t xml:space="preserve"> который начнется в июне 2023 г., а также </w:t>
      </w:r>
      <w:hyperlink r:id="rId9" w:history="1">
        <w:r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«Наследие и творчество для устойчивого развития Аль-Улы»</w:t>
        </w:r>
      </w:hyperlink>
      <w:r w:rsidRPr="00051921">
        <w:rPr>
          <w:rFonts w:asciiTheme="minorBidi" w:hAnsiTheme="minorBidi" w:cstheme="minorBidi"/>
          <w:sz w:val="18"/>
          <w:szCs w:val="18"/>
        </w:rPr>
        <w:t>, который начнется в ноябре 2023 г.; оба проекта финансируются в рамках сотрудничества с Целевым фондом Саудовской Аравии.</w:t>
      </w:r>
    </w:p>
  </w:footnote>
  <w:footnote w:id="6">
    <w:p w14:paraId="160B5B1E" w14:textId="76670806" w:rsidR="00DB3DC8" w:rsidRPr="00051921" w:rsidRDefault="00DB3DC8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DD5C13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DD5C13">
        <w:rPr>
          <w:rFonts w:asciiTheme="minorBidi" w:hAnsiTheme="minorBidi" w:cstheme="minorBidi"/>
          <w:sz w:val="18"/>
          <w:szCs w:val="18"/>
          <w:vertAlign w:val="superscript"/>
          <w:lang w:val="fr-FR"/>
        </w:rPr>
        <w:t>.</w:t>
      </w:r>
      <w:r w:rsidRPr="00051921">
        <w:rPr>
          <w:rFonts w:asciiTheme="minorBidi" w:hAnsiTheme="minorBidi" w:cstheme="minorBidi"/>
          <w:sz w:val="18"/>
          <w:szCs w:val="18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>Секретариат начал проведение опроса (26 апреля - 15 мая 2024 г.) для консультаций с государствами-участниками по вопросу о том, как обеспечить географический баланс среди аккредитованных НПО; Результаты будут представлены Генеральной Ассамблее на ее нынешней сессии в ходе рассмотрения пункта 9.</w:t>
      </w:r>
    </w:p>
  </w:footnote>
  <w:footnote w:id="7">
    <w:p w14:paraId="6F776D5B" w14:textId="69ABB414" w:rsidR="00223FE5" w:rsidRPr="00051921" w:rsidRDefault="00223FE5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DD5C13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DD5C13">
        <w:rPr>
          <w:rFonts w:asciiTheme="minorBidi" w:hAnsiTheme="minorBidi" w:cstheme="minorBidi"/>
          <w:sz w:val="18"/>
          <w:szCs w:val="18"/>
          <w:vertAlign w:val="superscript"/>
          <w:lang w:val="fr-FR"/>
        </w:rPr>
        <w:t>.</w:t>
      </w:r>
      <w:r w:rsidRPr="00DD5C13">
        <w:rPr>
          <w:rFonts w:asciiTheme="minorBidi" w:hAnsiTheme="minorBidi" w:cstheme="minorBidi"/>
          <w:sz w:val="18"/>
          <w:szCs w:val="18"/>
          <w:vertAlign w:val="superscript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 xml:space="preserve">В период с марта по июнь 2023 г. 95 сообщений в социальных сетях, опубликованных на английском канале ЮНЕСКО, 44 сообщения на французском канале и 21 сообщение на испанском канале, были посвящены живому наследию; эти сообщения были опубликованы в дополнение к тем, которые были связаны с двадцатой годовщиной Конвенции (см. документ </w:t>
      </w:r>
      <w:hyperlink r:id="rId10" w:history="1">
        <w:r w:rsidR="00294EA0" w:rsidRPr="00051921">
          <w:rPr>
            <w:rStyle w:val="Lienhypertexte"/>
            <w:rFonts w:asciiTheme="minorBidi" w:hAnsiTheme="minorBidi" w:cstheme="minorBidi"/>
            <w:sz w:val="18"/>
            <w:szCs w:val="18"/>
          </w:rPr>
          <w:t>LHE/24/10.GA/10</w:t>
        </w:r>
      </w:hyperlink>
      <w:r w:rsidRPr="00051921">
        <w:rPr>
          <w:rFonts w:asciiTheme="minorBidi" w:hAnsiTheme="minorBidi" w:cstheme="minorBidi"/>
          <w:sz w:val="18"/>
          <w:szCs w:val="18"/>
        </w:rPr>
        <w:t>).</w:t>
      </w:r>
    </w:p>
  </w:footnote>
  <w:footnote w:id="8">
    <w:p w14:paraId="5CD519AB" w14:textId="3DC02C18" w:rsidR="00CD22AC" w:rsidRPr="00051921" w:rsidRDefault="00CD22AC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051921">
        <w:rPr>
          <w:rFonts w:asciiTheme="minorBidi" w:hAnsiTheme="minorBidi" w:cstheme="minorBidi"/>
          <w:sz w:val="18"/>
          <w:szCs w:val="18"/>
          <w:vertAlign w:val="superscript"/>
          <w:lang w:val="fr-FR"/>
        </w:rPr>
        <w:t>.</w:t>
      </w:r>
      <w:r w:rsidRPr="00051921">
        <w:rPr>
          <w:rFonts w:asciiTheme="minorBidi" w:hAnsiTheme="minorBidi" w:cstheme="minorBidi"/>
          <w:sz w:val="18"/>
          <w:szCs w:val="18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>В рамках проекта "Международный продовольственный атлас и цифровая платформа для сохранения, популяризации и передачи будущим поколениям кулинарных традиций", финансируемого в рамках сотрудничества с Целевым фондом Саудовской Аравии.</w:t>
      </w:r>
    </w:p>
  </w:footnote>
  <w:footnote w:id="9">
    <w:p w14:paraId="4E2E5CCE" w14:textId="1068783A" w:rsidR="000B6F44" w:rsidRPr="00051921" w:rsidRDefault="000B6F44" w:rsidP="00051921">
      <w:pPr>
        <w:pStyle w:val="Notedebasdepage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05192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="00051921" w:rsidRPr="00DD5C13">
        <w:rPr>
          <w:rFonts w:asciiTheme="minorBidi" w:hAnsiTheme="minorBidi" w:cstheme="minorBidi"/>
          <w:sz w:val="18"/>
          <w:szCs w:val="18"/>
          <w:vertAlign w:val="superscript"/>
        </w:rPr>
        <w:t>.</w:t>
      </w:r>
      <w:r w:rsidRPr="00051921">
        <w:rPr>
          <w:rFonts w:asciiTheme="minorBidi" w:hAnsiTheme="minorBidi" w:cstheme="minorBidi"/>
          <w:sz w:val="18"/>
          <w:szCs w:val="18"/>
          <w:vertAlign w:val="superscript"/>
        </w:rPr>
        <w:t xml:space="preserve"> </w:t>
      </w:r>
      <w:r w:rsidRPr="00051921">
        <w:rPr>
          <w:rFonts w:asciiTheme="minorBidi" w:hAnsiTheme="minorBidi" w:cstheme="minorBidi"/>
          <w:sz w:val="18"/>
          <w:szCs w:val="18"/>
        </w:rPr>
        <w:tab/>
        <w:t>В продолжение оглашения Сеульской концепции Секретариат начал опрос (26 апреля - 15 мая 2024 года) для консультаций с государствами-участниками о возможных областях, на которых следует сосредоточить внимание Конвенции и ее заинтересованных сторон; результаты будут представлены сессии в ходе рассмотрения настоящего пункта повестки дня.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1717DC07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 xml:space="preserve">LHE/24/10.GA/6 – страница </w:t>
    </w:r>
    <w:r w:rsidR="00D95C4C" w:rsidRPr="00C23A97">
      <w:rPr>
        <w:rStyle w:val="Numrodepage"/>
        <w:rFonts w:ascii="Arial" w:hAnsi="Arial" w:cs="Arial"/>
        <w:sz w:val="20"/>
      </w:rPr>
      <w:fldChar w:fldCharType="begin"/>
    </w:r>
    <w:r w:rsidR="00D95C4C" w:rsidRPr="00C23A97">
      <w:rPr>
        <w:rStyle w:val="Numrodepage"/>
        <w:rFonts w:ascii="Arial" w:hAnsi="Arial" w:cs="Arial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</w:rPr>
      <w:fldChar w:fldCharType="separate"/>
    </w:r>
    <w:r w:rsidR="006E75EB">
      <w:rPr>
        <w:rStyle w:val="Numrodepage"/>
        <w:rFonts w:ascii="Arial" w:hAnsi="Arial" w:cs="Arial"/>
        <w:sz w:val="20"/>
      </w:rPr>
      <w:t>2</w:t>
    </w:r>
    <w:r w:rsidR="00D95C4C"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33430E4C" w:rsidR="00D95C4C" w:rsidRPr="0063300C" w:rsidRDefault="00C5776D" w:rsidP="00C5776D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 xml:space="preserve">LHE/24/10.GA/6 – страница </w:t>
    </w:r>
    <w:r w:rsidR="004A34A0" w:rsidRPr="0063300C">
      <w:rPr>
        <w:rStyle w:val="Numrodepage"/>
        <w:rFonts w:ascii="Arial" w:hAnsi="Arial" w:cs="Arial"/>
        <w:sz w:val="20"/>
      </w:rPr>
      <w:fldChar w:fldCharType="begin"/>
    </w:r>
    <w:r w:rsidR="004A34A0" w:rsidRPr="0063300C">
      <w:rPr>
        <w:rStyle w:val="Numrodepage"/>
        <w:rFonts w:ascii="Arial" w:hAnsi="Arial" w:cs="Arial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</w:rPr>
      <w:fldChar w:fldCharType="separate"/>
    </w:r>
    <w:r w:rsidR="00190205">
      <w:rPr>
        <w:rStyle w:val="Numrodepage"/>
        <w:rFonts w:ascii="Arial" w:hAnsi="Arial" w:cs="Arial"/>
        <w:sz w:val="20"/>
      </w:rPr>
      <w:t>3</w:t>
    </w:r>
    <w:r w:rsidR="004A34A0"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En-tt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484C05" wp14:editId="45799FE5">
          <wp:simplePos x="0" y="0"/>
          <wp:positionH relativeFrom="margin">
            <wp:posOffset>15240</wp:posOffset>
          </wp:positionH>
          <wp:positionV relativeFrom="paragraph">
            <wp:posOffset>100330</wp:posOffset>
          </wp:positionV>
          <wp:extent cx="1515745" cy="1296035"/>
          <wp:effectExtent l="0" t="0" r="8255" b="0"/>
          <wp:wrapSquare wrapText="bothSides"/>
          <wp:docPr id="16901875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87557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482825F8" w:rsidR="00D95C4C" w:rsidRPr="00D7105A" w:rsidRDefault="005C792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10 GA</w:t>
    </w:r>
  </w:p>
  <w:p w14:paraId="306484B8" w14:textId="710F0D72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LHE/24/10.GA/6</w:t>
    </w:r>
  </w:p>
  <w:p w14:paraId="1B4446C3" w14:textId="7E484039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>Париж, 13 мая 2024 г</w:t>
    </w:r>
    <w:r w:rsidR="00CA2A2E" w:rsidRPr="004F73C8">
      <w:rPr>
        <w:rFonts w:ascii="Arial" w:hAnsi="Arial"/>
        <w:b/>
        <w:sz w:val="22"/>
      </w:rPr>
      <w:t>.</w:t>
    </w:r>
  </w:p>
  <w:p w14:paraId="255B57FF" w14:textId="44B9E5F7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3C4B8B1B" w14:textId="77777777" w:rsidR="00D95C4C" w:rsidRPr="004F73C8" w:rsidRDefault="00D95C4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A4"/>
    <w:multiLevelType w:val="hybridMultilevel"/>
    <w:tmpl w:val="B8A29CAC"/>
    <w:lvl w:ilvl="0" w:tplc="0409000F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5772F90"/>
    <w:multiLevelType w:val="hybridMultilevel"/>
    <w:tmpl w:val="E55E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0D70"/>
    <w:multiLevelType w:val="hybridMultilevel"/>
    <w:tmpl w:val="DB2A763C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8141F2"/>
    <w:multiLevelType w:val="hybridMultilevel"/>
    <w:tmpl w:val="83CEE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6C5365"/>
    <w:multiLevelType w:val="hybridMultilevel"/>
    <w:tmpl w:val="FD7E5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295216A"/>
    <w:multiLevelType w:val="hybridMultilevel"/>
    <w:tmpl w:val="D4D2177C"/>
    <w:lvl w:ilvl="0" w:tplc="D626FAFA">
      <w:start w:val="1"/>
      <w:numFmt w:val="lowerLetter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B705BA7"/>
    <w:multiLevelType w:val="hybridMultilevel"/>
    <w:tmpl w:val="30CAF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B0026"/>
    <w:multiLevelType w:val="hybridMultilevel"/>
    <w:tmpl w:val="D21E4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786A"/>
    <w:multiLevelType w:val="hybridMultilevel"/>
    <w:tmpl w:val="45C8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7854"/>
    <w:multiLevelType w:val="hybridMultilevel"/>
    <w:tmpl w:val="1610A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F52C6"/>
    <w:multiLevelType w:val="hybridMultilevel"/>
    <w:tmpl w:val="0486E188"/>
    <w:lvl w:ilvl="0" w:tplc="040C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5391B"/>
    <w:multiLevelType w:val="hybridMultilevel"/>
    <w:tmpl w:val="D9F8A3A2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81626B4"/>
    <w:multiLevelType w:val="hybridMultilevel"/>
    <w:tmpl w:val="F57AE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9"/>
  </w:num>
  <w:num w:numId="2" w16cid:durableId="699629408">
    <w:abstractNumId w:val="10"/>
  </w:num>
  <w:num w:numId="3" w16cid:durableId="164177712">
    <w:abstractNumId w:val="4"/>
  </w:num>
  <w:num w:numId="4" w16cid:durableId="1416590798">
    <w:abstractNumId w:val="25"/>
  </w:num>
  <w:num w:numId="5" w16cid:durableId="1762608160">
    <w:abstractNumId w:val="20"/>
  </w:num>
  <w:num w:numId="6" w16cid:durableId="2146270374">
    <w:abstractNumId w:val="1"/>
  </w:num>
  <w:num w:numId="7" w16cid:durableId="1113592211">
    <w:abstractNumId w:val="6"/>
  </w:num>
  <w:num w:numId="8" w16cid:durableId="1920598164">
    <w:abstractNumId w:val="15"/>
  </w:num>
  <w:num w:numId="9" w16cid:durableId="1533764642">
    <w:abstractNumId w:val="9"/>
  </w:num>
  <w:num w:numId="10" w16cid:durableId="1246129">
    <w:abstractNumId w:val="11"/>
  </w:num>
  <w:num w:numId="11" w16cid:durableId="111829808">
    <w:abstractNumId w:val="13"/>
  </w:num>
  <w:num w:numId="12" w16cid:durableId="1088770206">
    <w:abstractNumId w:val="12"/>
  </w:num>
  <w:num w:numId="13" w16cid:durableId="1263951029">
    <w:abstractNumId w:val="26"/>
  </w:num>
  <w:num w:numId="14" w16cid:durableId="395903570">
    <w:abstractNumId w:val="8"/>
  </w:num>
  <w:num w:numId="15" w16cid:durableId="1857570918">
    <w:abstractNumId w:val="9"/>
  </w:num>
  <w:num w:numId="16" w16cid:durableId="248199808">
    <w:abstractNumId w:val="9"/>
  </w:num>
  <w:num w:numId="17" w16cid:durableId="350380342">
    <w:abstractNumId w:val="9"/>
  </w:num>
  <w:num w:numId="18" w16cid:durableId="944581980">
    <w:abstractNumId w:val="9"/>
  </w:num>
  <w:num w:numId="19" w16cid:durableId="772675100">
    <w:abstractNumId w:val="9"/>
  </w:num>
  <w:num w:numId="20" w16cid:durableId="1253010311">
    <w:abstractNumId w:val="9"/>
  </w:num>
  <w:num w:numId="21" w16cid:durableId="540821319">
    <w:abstractNumId w:val="3"/>
  </w:num>
  <w:num w:numId="22" w16cid:durableId="2046514942">
    <w:abstractNumId w:val="9"/>
  </w:num>
  <w:num w:numId="23" w16cid:durableId="652639261">
    <w:abstractNumId w:val="0"/>
  </w:num>
  <w:num w:numId="24" w16cid:durableId="1198470061">
    <w:abstractNumId w:val="23"/>
  </w:num>
  <w:num w:numId="25" w16cid:durableId="1440176865">
    <w:abstractNumId w:val="7"/>
  </w:num>
  <w:num w:numId="26" w16cid:durableId="2077506205">
    <w:abstractNumId w:val="17"/>
  </w:num>
  <w:num w:numId="27" w16cid:durableId="1240870634">
    <w:abstractNumId w:val="9"/>
  </w:num>
  <w:num w:numId="28" w16cid:durableId="430201348">
    <w:abstractNumId w:val="9"/>
  </w:num>
  <w:num w:numId="29" w16cid:durableId="315111869">
    <w:abstractNumId w:val="9"/>
  </w:num>
  <w:num w:numId="30" w16cid:durableId="700207314">
    <w:abstractNumId w:val="9"/>
  </w:num>
  <w:num w:numId="31" w16cid:durableId="481434859">
    <w:abstractNumId w:val="9"/>
  </w:num>
  <w:num w:numId="32" w16cid:durableId="1390302746">
    <w:abstractNumId w:val="9"/>
  </w:num>
  <w:num w:numId="33" w16cid:durableId="2093161774">
    <w:abstractNumId w:val="9"/>
  </w:num>
  <w:num w:numId="34" w16cid:durableId="1775706006">
    <w:abstractNumId w:val="9"/>
  </w:num>
  <w:num w:numId="35" w16cid:durableId="711684871">
    <w:abstractNumId w:val="9"/>
  </w:num>
  <w:num w:numId="36" w16cid:durableId="999622970">
    <w:abstractNumId w:val="18"/>
  </w:num>
  <w:num w:numId="37" w16cid:durableId="531304035">
    <w:abstractNumId w:val="9"/>
  </w:num>
  <w:num w:numId="38" w16cid:durableId="1638291949">
    <w:abstractNumId w:val="22"/>
  </w:num>
  <w:num w:numId="39" w16cid:durableId="855462246">
    <w:abstractNumId w:val="9"/>
  </w:num>
  <w:num w:numId="40" w16cid:durableId="665014602">
    <w:abstractNumId w:val="9"/>
  </w:num>
  <w:num w:numId="41" w16cid:durableId="894314896">
    <w:abstractNumId w:val="9"/>
  </w:num>
  <w:num w:numId="42" w16cid:durableId="1715809846">
    <w:abstractNumId w:val="16"/>
  </w:num>
  <w:num w:numId="43" w16cid:durableId="1894152947">
    <w:abstractNumId w:val="9"/>
  </w:num>
  <w:num w:numId="44" w16cid:durableId="608585912">
    <w:abstractNumId w:val="21"/>
  </w:num>
  <w:num w:numId="45" w16cid:durableId="1460219923">
    <w:abstractNumId w:val="2"/>
  </w:num>
  <w:num w:numId="46" w16cid:durableId="1152674242">
    <w:abstractNumId w:val="24"/>
  </w:num>
  <w:num w:numId="47" w16cid:durableId="1952081055">
    <w:abstractNumId w:val="9"/>
  </w:num>
  <w:num w:numId="48" w16cid:durableId="1900555555">
    <w:abstractNumId w:val="9"/>
  </w:num>
  <w:num w:numId="49" w16cid:durableId="982202073">
    <w:abstractNumId w:val="9"/>
  </w:num>
  <w:num w:numId="50" w16cid:durableId="29112413">
    <w:abstractNumId w:val="9"/>
  </w:num>
  <w:num w:numId="51" w16cid:durableId="173887859">
    <w:abstractNumId w:val="9"/>
  </w:num>
  <w:num w:numId="52" w16cid:durableId="718675658">
    <w:abstractNumId w:val="9"/>
  </w:num>
  <w:num w:numId="53" w16cid:durableId="1724593401">
    <w:abstractNumId w:val="9"/>
  </w:num>
  <w:num w:numId="54" w16cid:durableId="1114251388">
    <w:abstractNumId w:val="9"/>
  </w:num>
  <w:num w:numId="55" w16cid:durableId="1100644095">
    <w:abstractNumId w:val="9"/>
  </w:num>
  <w:num w:numId="56" w16cid:durableId="856121231">
    <w:abstractNumId w:val="9"/>
  </w:num>
  <w:num w:numId="57" w16cid:durableId="616178298">
    <w:abstractNumId w:val="9"/>
  </w:num>
  <w:num w:numId="58" w16cid:durableId="1024094007">
    <w:abstractNumId w:val="9"/>
  </w:num>
  <w:num w:numId="59" w16cid:durableId="626938009">
    <w:abstractNumId w:val="5"/>
  </w:num>
  <w:num w:numId="60" w16cid:durableId="759330329">
    <w:abstractNumId w:val="14"/>
  </w:num>
  <w:num w:numId="61" w16cid:durableId="1919749616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3E73"/>
    <w:rsid w:val="000048ED"/>
    <w:rsid w:val="00007806"/>
    <w:rsid w:val="0001092A"/>
    <w:rsid w:val="00014915"/>
    <w:rsid w:val="00015310"/>
    <w:rsid w:val="0002584F"/>
    <w:rsid w:val="00041A66"/>
    <w:rsid w:val="00042571"/>
    <w:rsid w:val="00042D88"/>
    <w:rsid w:val="00044F7A"/>
    <w:rsid w:val="00047BA7"/>
    <w:rsid w:val="0005176E"/>
    <w:rsid w:val="00051921"/>
    <w:rsid w:val="00064813"/>
    <w:rsid w:val="00067151"/>
    <w:rsid w:val="000765F7"/>
    <w:rsid w:val="0007725F"/>
    <w:rsid w:val="00077AB7"/>
    <w:rsid w:val="00081CD8"/>
    <w:rsid w:val="00091D60"/>
    <w:rsid w:val="000A7F0E"/>
    <w:rsid w:val="000B1C8F"/>
    <w:rsid w:val="000B61A6"/>
    <w:rsid w:val="000B6541"/>
    <w:rsid w:val="000B6F44"/>
    <w:rsid w:val="000C00CA"/>
    <w:rsid w:val="000C0D61"/>
    <w:rsid w:val="000D588E"/>
    <w:rsid w:val="000D693C"/>
    <w:rsid w:val="000F3A3F"/>
    <w:rsid w:val="00102557"/>
    <w:rsid w:val="0011391C"/>
    <w:rsid w:val="00115225"/>
    <w:rsid w:val="00123D4C"/>
    <w:rsid w:val="00134C0B"/>
    <w:rsid w:val="00144BC8"/>
    <w:rsid w:val="00147A38"/>
    <w:rsid w:val="0015102F"/>
    <w:rsid w:val="00153ED5"/>
    <w:rsid w:val="001600E4"/>
    <w:rsid w:val="00164D56"/>
    <w:rsid w:val="00167B10"/>
    <w:rsid w:val="00170272"/>
    <w:rsid w:val="00171B9F"/>
    <w:rsid w:val="001727BB"/>
    <w:rsid w:val="0017402F"/>
    <w:rsid w:val="00181F4A"/>
    <w:rsid w:val="00184D30"/>
    <w:rsid w:val="00187199"/>
    <w:rsid w:val="00190205"/>
    <w:rsid w:val="00196045"/>
    <w:rsid w:val="001964C7"/>
    <w:rsid w:val="00196C1B"/>
    <w:rsid w:val="001A40D4"/>
    <w:rsid w:val="001B0B14"/>
    <w:rsid w:val="001B0F73"/>
    <w:rsid w:val="001B5575"/>
    <w:rsid w:val="001C2B87"/>
    <w:rsid w:val="001C2DB7"/>
    <w:rsid w:val="001C585F"/>
    <w:rsid w:val="001C5C05"/>
    <w:rsid w:val="001D14FE"/>
    <w:rsid w:val="001D59D8"/>
    <w:rsid w:val="001D5C04"/>
    <w:rsid w:val="001D6092"/>
    <w:rsid w:val="001D71D1"/>
    <w:rsid w:val="001E20BF"/>
    <w:rsid w:val="001E47AB"/>
    <w:rsid w:val="001F26CF"/>
    <w:rsid w:val="00206702"/>
    <w:rsid w:val="00207C75"/>
    <w:rsid w:val="002117D9"/>
    <w:rsid w:val="002132EF"/>
    <w:rsid w:val="0021697F"/>
    <w:rsid w:val="0022292B"/>
    <w:rsid w:val="00222A2D"/>
    <w:rsid w:val="00223029"/>
    <w:rsid w:val="00223FE5"/>
    <w:rsid w:val="00226B24"/>
    <w:rsid w:val="00234745"/>
    <w:rsid w:val="002351A6"/>
    <w:rsid w:val="002407AF"/>
    <w:rsid w:val="002451C3"/>
    <w:rsid w:val="00245501"/>
    <w:rsid w:val="00254B26"/>
    <w:rsid w:val="00261480"/>
    <w:rsid w:val="0026221A"/>
    <w:rsid w:val="00271942"/>
    <w:rsid w:val="0027466B"/>
    <w:rsid w:val="002814F6"/>
    <w:rsid w:val="00283108"/>
    <w:rsid w:val="002838A5"/>
    <w:rsid w:val="00285BB4"/>
    <w:rsid w:val="002873D0"/>
    <w:rsid w:val="002944EF"/>
    <w:rsid w:val="00294EA0"/>
    <w:rsid w:val="002A3C00"/>
    <w:rsid w:val="002B46E6"/>
    <w:rsid w:val="002C09E3"/>
    <w:rsid w:val="002C3F0D"/>
    <w:rsid w:val="002C627A"/>
    <w:rsid w:val="002C62E3"/>
    <w:rsid w:val="002C6A2C"/>
    <w:rsid w:val="002D05ED"/>
    <w:rsid w:val="002D1244"/>
    <w:rsid w:val="002D1A54"/>
    <w:rsid w:val="002D2733"/>
    <w:rsid w:val="002D679B"/>
    <w:rsid w:val="002E140E"/>
    <w:rsid w:val="002F3502"/>
    <w:rsid w:val="002F6909"/>
    <w:rsid w:val="00300C5E"/>
    <w:rsid w:val="00301EB1"/>
    <w:rsid w:val="00304D2D"/>
    <w:rsid w:val="00321910"/>
    <w:rsid w:val="003233AE"/>
    <w:rsid w:val="00324644"/>
    <w:rsid w:val="003264FB"/>
    <w:rsid w:val="00334400"/>
    <w:rsid w:val="003350C7"/>
    <w:rsid w:val="00337CEB"/>
    <w:rsid w:val="00344B58"/>
    <w:rsid w:val="0034539A"/>
    <w:rsid w:val="00345CB4"/>
    <w:rsid w:val="00355C89"/>
    <w:rsid w:val="00360B8C"/>
    <w:rsid w:val="00370E32"/>
    <w:rsid w:val="00371805"/>
    <w:rsid w:val="00375D42"/>
    <w:rsid w:val="00380A31"/>
    <w:rsid w:val="00380BFA"/>
    <w:rsid w:val="0038132E"/>
    <w:rsid w:val="003819BB"/>
    <w:rsid w:val="003854F3"/>
    <w:rsid w:val="0038612F"/>
    <w:rsid w:val="00387BCA"/>
    <w:rsid w:val="00393A07"/>
    <w:rsid w:val="003A084B"/>
    <w:rsid w:val="003A34A5"/>
    <w:rsid w:val="003B4DDC"/>
    <w:rsid w:val="003C41C7"/>
    <w:rsid w:val="003C6C8A"/>
    <w:rsid w:val="003D069C"/>
    <w:rsid w:val="003D6961"/>
    <w:rsid w:val="003D7646"/>
    <w:rsid w:val="003E6A73"/>
    <w:rsid w:val="003F113A"/>
    <w:rsid w:val="003F3382"/>
    <w:rsid w:val="003F3E63"/>
    <w:rsid w:val="00406F24"/>
    <w:rsid w:val="00407480"/>
    <w:rsid w:val="00407DAB"/>
    <w:rsid w:val="00411B29"/>
    <w:rsid w:val="00414643"/>
    <w:rsid w:val="0041711B"/>
    <w:rsid w:val="00420E74"/>
    <w:rsid w:val="00421BBB"/>
    <w:rsid w:val="00424F96"/>
    <w:rsid w:val="004313C4"/>
    <w:rsid w:val="00433FBC"/>
    <w:rsid w:val="00434242"/>
    <w:rsid w:val="00436557"/>
    <w:rsid w:val="004421E5"/>
    <w:rsid w:val="00445B9D"/>
    <w:rsid w:val="004506CC"/>
    <w:rsid w:val="00452284"/>
    <w:rsid w:val="004575CB"/>
    <w:rsid w:val="00457C8E"/>
    <w:rsid w:val="00461597"/>
    <w:rsid w:val="00470DED"/>
    <w:rsid w:val="0047590C"/>
    <w:rsid w:val="00480175"/>
    <w:rsid w:val="00480CBC"/>
    <w:rsid w:val="0048292C"/>
    <w:rsid w:val="004856CA"/>
    <w:rsid w:val="00487E67"/>
    <w:rsid w:val="004906B7"/>
    <w:rsid w:val="004948A5"/>
    <w:rsid w:val="00495090"/>
    <w:rsid w:val="0049705E"/>
    <w:rsid w:val="004A0020"/>
    <w:rsid w:val="004A2875"/>
    <w:rsid w:val="004A34A0"/>
    <w:rsid w:val="004A38CF"/>
    <w:rsid w:val="004B08AD"/>
    <w:rsid w:val="004C7C82"/>
    <w:rsid w:val="004F16FE"/>
    <w:rsid w:val="004F519E"/>
    <w:rsid w:val="004F73C8"/>
    <w:rsid w:val="005008A8"/>
    <w:rsid w:val="00500964"/>
    <w:rsid w:val="00501EC4"/>
    <w:rsid w:val="00504F25"/>
    <w:rsid w:val="00510A7F"/>
    <w:rsid w:val="005135AC"/>
    <w:rsid w:val="00517FD8"/>
    <w:rsid w:val="00526B7B"/>
    <w:rsid w:val="005274D2"/>
    <w:rsid w:val="005300CA"/>
    <w:rsid w:val="005308CE"/>
    <w:rsid w:val="0053318C"/>
    <w:rsid w:val="00544899"/>
    <w:rsid w:val="0054535F"/>
    <w:rsid w:val="00552CF8"/>
    <w:rsid w:val="0057439C"/>
    <w:rsid w:val="0059537B"/>
    <w:rsid w:val="005960FA"/>
    <w:rsid w:val="00597571"/>
    <w:rsid w:val="005B0127"/>
    <w:rsid w:val="005B7A35"/>
    <w:rsid w:val="005C4B73"/>
    <w:rsid w:val="005C4F7E"/>
    <w:rsid w:val="005C54EA"/>
    <w:rsid w:val="005C792B"/>
    <w:rsid w:val="005D2D5B"/>
    <w:rsid w:val="005D5F5F"/>
    <w:rsid w:val="005D6234"/>
    <w:rsid w:val="005D6638"/>
    <w:rsid w:val="005E1D2B"/>
    <w:rsid w:val="005E7074"/>
    <w:rsid w:val="005F2BAF"/>
    <w:rsid w:val="005F3309"/>
    <w:rsid w:val="00600D93"/>
    <w:rsid w:val="00603B0E"/>
    <w:rsid w:val="006074A2"/>
    <w:rsid w:val="00610009"/>
    <w:rsid w:val="00610239"/>
    <w:rsid w:val="00622751"/>
    <w:rsid w:val="00626BEA"/>
    <w:rsid w:val="00627EB0"/>
    <w:rsid w:val="006326C5"/>
    <w:rsid w:val="0063300C"/>
    <w:rsid w:val="006373BE"/>
    <w:rsid w:val="00651A5B"/>
    <w:rsid w:val="0065336A"/>
    <w:rsid w:val="00655736"/>
    <w:rsid w:val="00655FD0"/>
    <w:rsid w:val="00663B8D"/>
    <w:rsid w:val="00664F07"/>
    <w:rsid w:val="00667B59"/>
    <w:rsid w:val="0067180D"/>
    <w:rsid w:val="00674083"/>
    <w:rsid w:val="00685312"/>
    <w:rsid w:val="006960E5"/>
    <w:rsid w:val="00696C8D"/>
    <w:rsid w:val="006A1817"/>
    <w:rsid w:val="006A2AC2"/>
    <w:rsid w:val="006A3617"/>
    <w:rsid w:val="006B0709"/>
    <w:rsid w:val="006B4452"/>
    <w:rsid w:val="006B72CC"/>
    <w:rsid w:val="006C35B3"/>
    <w:rsid w:val="006C377B"/>
    <w:rsid w:val="006C71AE"/>
    <w:rsid w:val="006D3CD4"/>
    <w:rsid w:val="006D5B6C"/>
    <w:rsid w:val="006D647C"/>
    <w:rsid w:val="006D7BF4"/>
    <w:rsid w:val="006D7FBE"/>
    <w:rsid w:val="006E140E"/>
    <w:rsid w:val="006E43AD"/>
    <w:rsid w:val="006E46E4"/>
    <w:rsid w:val="006E53E0"/>
    <w:rsid w:val="006E75EB"/>
    <w:rsid w:val="006F730C"/>
    <w:rsid w:val="0070228F"/>
    <w:rsid w:val="007053C3"/>
    <w:rsid w:val="0071006E"/>
    <w:rsid w:val="007116CE"/>
    <w:rsid w:val="007174D7"/>
    <w:rsid w:val="00717DA5"/>
    <w:rsid w:val="007211BA"/>
    <w:rsid w:val="007247D1"/>
    <w:rsid w:val="00731764"/>
    <w:rsid w:val="007319B7"/>
    <w:rsid w:val="00731B4A"/>
    <w:rsid w:val="007333D0"/>
    <w:rsid w:val="00737DC8"/>
    <w:rsid w:val="00744484"/>
    <w:rsid w:val="00747566"/>
    <w:rsid w:val="007655C4"/>
    <w:rsid w:val="00773188"/>
    <w:rsid w:val="007745DD"/>
    <w:rsid w:val="007753AC"/>
    <w:rsid w:val="00780B1B"/>
    <w:rsid w:val="00783782"/>
    <w:rsid w:val="0078455E"/>
    <w:rsid w:val="00784B8C"/>
    <w:rsid w:val="00785D37"/>
    <w:rsid w:val="007879E1"/>
    <w:rsid w:val="007B6FA1"/>
    <w:rsid w:val="007C0733"/>
    <w:rsid w:val="007C239C"/>
    <w:rsid w:val="007C4AFA"/>
    <w:rsid w:val="007C70D0"/>
    <w:rsid w:val="007D0A25"/>
    <w:rsid w:val="007D7CD4"/>
    <w:rsid w:val="007E173A"/>
    <w:rsid w:val="007E2411"/>
    <w:rsid w:val="007E57AA"/>
    <w:rsid w:val="007E583D"/>
    <w:rsid w:val="007E6D90"/>
    <w:rsid w:val="007F1995"/>
    <w:rsid w:val="007F555A"/>
    <w:rsid w:val="007F793C"/>
    <w:rsid w:val="00804D8B"/>
    <w:rsid w:val="00822758"/>
    <w:rsid w:val="00823A11"/>
    <w:rsid w:val="00827C6C"/>
    <w:rsid w:val="008331C1"/>
    <w:rsid w:val="008449F7"/>
    <w:rsid w:val="008511B3"/>
    <w:rsid w:val="008521D1"/>
    <w:rsid w:val="0085405E"/>
    <w:rsid w:val="0085414A"/>
    <w:rsid w:val="008571CE"/>
    <w:rsid w:val="00857EB9"/>
    <w:rsid w:val="0086269D"/>
    <w:rsid w:val="0086543A"/>
    <w:rsid w:val="00866A86"/>
    <w:rsid w:val="008724E5"/>
    <w:rsid w:val="00873D3F"/>
    <w:rsid w:val="008765C9"/>
    <w:rsid w:val="00884990"/>
    <w:rsid w:val="00884A9D"/>
    <w:rsid w:val="0088512B"/>
    <w:rsid w:val="00887BA9"/>
    <w:rsid w:val="00892B54"/>
    <w:rsid w:val="0089611E"/>
    <w:rsid w:val="008A2B2D"/>
    <w:rsid w:val="008A4E1E"/>
    <w:rsid w:val="008A6458"/>
    <w:rsid w:val="008B080B"/>
    <w:rsid w:val="008B1FAC"/>
    <w:rsid w:val="008C296C"/>
    <w:rsid w:val="008D1F4A"/>
    <w:rsid w:val="008D30DE"/>
    <w:rsid w:val="008D4305"/>
    <w:rsid w:val="008E1A85"/>
    <w:rsid w:val="008E344F"/>
    <w:rsid w:val="008F73D3"/>
    <w:rsid w:val="009000CA"/>
    <w:rsid w:val="009163A7"/>
    <w:rsid w:val="00924DFD"/>
    <w:rsid w:val="009253A3"/>
    <w:rsid w:val="00932852"/>
    <w:rsid w:val="00937D53"/>
    <w:rsid w:val="00944B2B"/>
    <w:rsid w:val="00944F24"/>
    <w:rsid w:val="00945797"/>
    <w:rsid w:val="00946D0B"/>
    <w:rsid w:val="00955877"/>
    <w:rsid w:val="00962034"/>
    <w:rsid w:val="00965684"/>
    <w:rsid w:val="00971C4A"/>
    <w:rsid w:val="0099379F"/>
    <w:rsid w:val="009A18CD"/>
    <w:rsid w:val="009B2903"/>
    <w:rsid w:val="009C0A62"/>
    <w:rsid w:val="009C76A4"/>
    <w:rsid w:val="009D215B"/>
    <w:rsid w:val="009D5428"/>
    <w:rsid w:val="009D7392"/>
    <w:rsid w:val="009E6E88"/>
    <w:rsid w:val="009F0181"/>
    <w:rsid w:val="009F438C"/>
    <w:rsid w:val="00A056CC"/>
    <w:rsid w:val="00A05B71"/>
    <w:rsid w:val="00A12558"/>
    <w:rsid w:val="00A13903"/>
    <w:rsid w:val="00A21DB3"/>
    <w:rsid w:val="00A221A6"/>
    <w:rsid w:val="00A229DC"/>
    <w:rsid w:val="00A247F9"/>
    <w:rsid w:val="00A32503"/>
    <w:rsid w:val="00A34ED5"/>
    <w:rsid w:val="00A35556"/>
    <w:rsid w:val="00A37981"/>
    <w:rsid w:val="00A41939"/>
    <w:rsid w:val="00A42BC3"/>
    <w:rsid w:val="00A45DBF"/>
    <w:rsid w:val="00A54C57"/>
    <w:rsid w:val="00A54C7C"/>
    <w:rsid w:val="00A65489"/>
    <w:rsid w:val="00A67D6F"/>
    <w:rsid w:val="00A725CF"/>
    <w:rsid w:val="00A7272E"/>
    <w:rsid w:val="00A755A2"/>
    <w:rsid w:val="00A756DF"/>
    <w:rsid w:val="00A77476"/>
    <w:rsid w:val="00A84295"/>
    <w:rsid w:val="00A910C9"/>
    <w:rsid w:val="00A91430"/>
    <w:rsid w:val="00A91C02"/>
    <w:rsid w:val="00AA590D"/>
    <w:rsid w:val="00AA6236"/>
    <w:rsid w:val="00AA6486"/>
    <w:rsid w:val="00AA6660"/>
    <w:rsid w:val="00AB2C36"/>
    <w:rsid w:val="00AB6DDE"/>
    <w:rsid w:val="00AB70B6"/>
    <w:rsid w:val="00AC18C1"/>
    <w:rsid w:val="00AC42DA"/>
    <w:rsid w:val="00AC71A3"/>
    <w:rsid w:val="00AC79A8"/>
    <w:rsid w:val="00AD17A3"/>
    <w:rsid w:val="00AD1A86"/>
    <w:rsid w:val="00AD228A"/>
    <w:rsid w:val="00AD3179"/>
    <w:rsid w:val="00AD5C46"/>
    <w:rsid w:val="00AE103E"/>
    <w:rsid w:val="00AE2ABD"/>
    <w:rsid w:val="00AE7C91"/>
    <w:rsid w:val="00AF0A07"/>
    <w:rsid w:val="00AF4AEC"/>
    <w:rsid w:val="00AF625E"/>
    <w:rsid w:val="00AF6564"/>
    <w:rsid w:val="00B023DF"/>
    <w:rsid w:val="00B02DD1"/>
    <w:rsid w:val="00B139BE"/>
    <w:rsid w:val="00B2172B"/>
    <w:rsid w:val="00B229EA"/>
    <w:rsid w:val="00B34428"/>
    <w:rsid w:val="00B4723D"/>
    <w:rsid w:val="00B56D17"/>
    <w:rsid w:val="00B61234"/>
    <w:rsid w:val="00B61A47"/>
    <w:rsid w:val="00B6215C"/>
    <w:rsid w:val="00B63830"/>
    <w:rsid w:val="00B71E9F"/>
    <w:rsid w:val="00B72993"/>
    <w:rsid w:val="00B86BF0"/>
    <w:rsid w:val="00B8718A"/>
    <w:rsid w:val="00B87318"/>
    <w:rsid w:val="00B917D2"/>
    <w:rsid w:val="00B92646"/>
    <w:rsid w:val="00B93768"/>
    <w:rsid w:val="00B93D64"/>
    <w:rsid w:val="00B97EB3"/>
    <w:rsid w:val="00BA12F2"/>
    <w:rsid w:val="00BA1854"/>
    <w:rsid w:val="00BA241A"/>
    <w:rsid w:val="00BA36C9"/>
    <w:rsid w:val="00BA5C3D"/>
    <w:rsid w:val="00BB04AF"/>
    <w:rsid w:val="00BB073F"/>
    <w:rsid w:val="00BB18E2"/>
    <w:rsid w:val="00BB6EEC"/>
    <w:rsid w:val="00BB7C9C"/>
    <w:rsid w:val="00BC30E8"/>
    <w:rsid w:val="00BC611E"/>
    <w:rsid w:val="00BC7D36"/>
    <w:rsid w:val="00BD52C9"/>
    <w:rsid w:val="00BD655A"/>
    <w:rsid w:val="00BD7867"/>
    <w:rsid w:val="00BE109A"/>
    <w:rsid w:val="00BE6354"/>
    <w:rsid w:val="00BF724B"/>
    <w:rsid w:val="00C04B01"/>
    <w:rsid w:val="00C138D1"/>
    <w:rsid w:val="00C23A97"/>
    <w:rsid w:val="00C25198"/>
    <w:rsid w:val="00C27DFE"/>
    <w:rsid w:val="00C369C9"/>
    <w:rsid w:val="00C40CAD"/>
    <w:rsid w:val="00C4297D"/>
    <w:rsid w:val="00C42A24"/>
    <w:rsid w:val="00C42BA1"/>
    <w:rsid w:val="00C454E2"/>
    <w:rsid w:val="00C50275"/>
    <w:rsid w:val="00C51678"/>
    <w:rsid w:val="00C52EBE"/>
    <w:rsid w:val="00C5776D"/>
    <w:rsid w:val="00C63A33"/>
    <w:rsid w:val="00C64855"/>
    <w:rsid w:val="00C64A53"/>
    <w:rsid w:val="00C70EA7"/>
    <w:rsid w:val="00C7433F"/>
    <w:rsid w:val="00C7516E"/>
    <w:rsid w:val="00C75770"/>
    <w:rsid w:val="00C822A2"/>
    <w:rsid w:val="00C83371"/>
    <w:rsid w:val="00CA2A2E"/>
    <w:rsid w:val="00CA56BB"/>
    <w:rsid w:val="00CA7723"/>
    <w:rsid w:val="00CB0542"/>
    <w:rsid w:val="00CC4E18"/>
    <w:rsid w:val="00CD22AC"/>
    <w:rsid w:val="00CE0B41"/>
    <w:rsid w:val="00CE6241"/>
    <w:rsid w:val="00CF1052"/>
    <w:rsid w:val="00D00B2B"/>
    <w:rsid w:val="00D0118F"/>
    <w:rsid w:val="00D10A66"/>
    <w:rsid w:val="00D1348B"/>
    <w:rsid w:val="00D16FAC"/>
    <w:rsid w:val="00D171BF"/>
    <w:rsid w:val="00D21CE6"/>
    <w:rsid w:val="00D241E7"/>
    <w:rsid w:val="00D24877"/>
    <w:rsid w:val="00D3625B"/>
    <w:rsid w:val="00D41045"/>
    <w:rsid w:val="00D568C9"/>
    <w:rsid w:val="00D63318"/>
    <w:rsid w:val="00D648E5"/>
    <w:rsid w:val="00D7105A"/>
    <w:rsid w:val="00D7220E"/>
    <w:rsid w:val="00D77E25"/>
    <w:rsid w:val="00D8250F"/>
    <w:rsid w:val="00D86BB3"/>
    <w:rsid w:val="00D91F4C"/>
    <w:rsid w:val="00D95C4C"/>
    <w:rsid w:val="00DA1975"/>
    <w:rsid w:val="00DA36ED"/>
    <w:rsid w:val="00DA7B69"/>
    <w:rsid w:val="00DB3DC8"/>
    <w:rsid w:val="00DC49CB"/>
    <w:rsid w:val="00DD02CB"/>
    <w:rsid w:val="00DD1BEC"/>
    <w:rsid w:val="00DD5C13"/>
    <w:rsid w:val="00DD70F8"/>
    <w:rsid w:val="00DE34F1"/>
    <w:rsid w:val="00DE4A44"/>
    <w:rsid w:val="00DE6160"/>
    <w:rsid w:val="00DE6A13"/>
    <w:rsid w:val="00DF13A0"/>
    <w:rsid w:val="00DF19EA"/>
    <w:rsid w:val="00DF4942"/>
    <w:rsid w:val="00E03CB6"/>
    <w:rsid w:val="00E050AC"/>
    <w:rsid w:val="00E07864"/>
    <w:rsid w:val="00E10939"/>
    <w:rsid w:val="00E12935"/>
    <w:rsid w:val="00E2125F"/>
    <w:rsid w:val="00E22922"/>
    <w:rsid w:val="00E244E1"/>
    <w:rsid w:val="00E26877"/>
    <w:rsid w:val="00E32E72"/>
    <w:rsid w:val="00E41247"/>
    <w:rsid w:val="00E4150C"/>
    <w:rsid w:val="00E41B3E"/>
    <w:rsid w:val="00E55173"/>
    <w:rsid w:val="00E61E9D"/>
    <w:rsid w:val="00E627B1"/>
    <w:rsid w:val="00E630A3"/>
    <w:rsid w:val="00E6403D"/>
    <w:rsid w:val="00E648CB"/>
    <w:rsid w:val="00E656A7"/>
    <w:rsid w:val="00E70169"/>
    <w:rsid w:val="00E776E9"/>
    <w:rsid w:val="00E831CA"/>
    <w:rsid w:val="00E9376C"/>
    <w:rsid w:val="00E93AE4"/>
    <w:rsid w:val="00E95AE2"/>
    <w:rsid w:val="00E9782A"/>
    <w:rsid w:val="00EA0F20"/>
    <w:rsid w:val="00EA2D80"/>
    <w:rsid w:val="00EA335E"/>
    <w:rsid w:val="00EA528C"/>
    <w:rsid w:val="00EA580C"/>
    <w:rsid w:val="00EA72CE"/>
    <w:rsid w:val="00EB003D"/>
    <w:rsid w:val="00EC3AFD"/>
    <w:rsid w:val="00EC6F8D"/>
    <w:rsid w:val="00ED39B2"/>
    <w:rsid w:val="00ED3D1A"/>
    <w:rsid w:val="00ED79D8"/>
    <w:rsid w:val="00EE06F5"/>
    <w:rsid w:val="00EE49F4"/>
    <w:rsid w:val="00EF34E2"/>
    <w:rsid w:val="00F04FFC"/>
    <w:rsid w:val="00F11877"/>
    <w:rsid w:val="00F17A16"/>
    <w:rsid w:val="00F27CF9"/>
    <w:rsid w:val="00F30DC6"/>
    <w:rsid w:val="00F31F96"/>
    <w:rsid w:val="00F32C23"/>
    <w:rsid w:val="00F3462F"/>
    <w:rsid w:val="00F3514B"/>
    <w:rsid w:val="00F4279B"/>
    <w:rsid w:val="00F44893"/>
    <w:rsid w:val="00F45052"/>
    <w:rsid w:val="00F53DE9"/>
    <w:rsid w:val="00F55B09"/>
    <w:rsid w:val="00F55CB3"/>
    <w:rsid w:val="00F576CB"/>
    <w:rsid w:val="00F61F85"/>
    <w:rsid w:val="00F658C3"/>
    <w:rsid w:val="00F7035D"/>
    <w:rsid w:val="00F70CC5"/>
    <w:rsid w:val="00F71A02"/>
    <w:rsid w:val="00F727ED"/>
    <w:rsid w:val="00F9513D"/>
    <w:rsid w:val="00F978C2"/>
    <w:rsid w:val="00FA0D63"/>
    <w:rsid w:val="00FC0DAE"/>
    <w:rsid w:val="00FC47AD"/>
    <w:rsid w:val="00FC70A3"/>
    <w:rsid w:val="00FD1226"/>
    <w:rsid w:val="00FD1860"/>
    <w:rsid w:val="00FD4B9F"/>
    <w:rsid w:val="00FD4BC8"/>
    <w:rsid w:val="00FD5FEE"/>
    <w:rsid w:val="00FE12DE"/>
    <w:rsid w:val="00FE6034"/>
    <w:rsid w:val="00FF2019"/>
    <w:rsid w:val="00FF4830"/>
    <w:rsid w:val="00FF5C5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D7F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List Paragraph (numbered (a)),Lapis Bulleted List,Dot pt,F5 List Paragraph,No Spacing1,List Paragraph Char Char Char,Indicator Text,Numbered Para 1,Bullet 1,List Paragraph12,Bullet Points,MAIN CONTENT,List Paragraph1,Normal bullet 2"/>
    <w:basedOn w:val="Normal"/>
    <w:link w:val="ParagraphedelisteCar"/>
    <w:uiPriority w:val="34"/>
    <w:qFormat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Lienhypertexte">
    <w:name w:val="Hyperlink"/>
    <w:aliases w:val=" Car Car3 Char, Car Car3 Char Char Char Char"/>
    <w:basedOn w:val="Policepardfaut"/>
    <w:link w:val="CarCar3"/>
    <w:uiPriority w:val="99"/>
    <w:unhideWhenUsed/>
    <w:rsid w:val="004A38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38CF"/>
    <w:rPr>
      <w:color w:val="605E5C"/>
      <w:shd w:val="clear" w:color="auto" w:fill="E1DFDD"/>
    </w:rPr>
  </w:style>
  <w:style w:type="paragraph" w:customStyle="1" w:styleId="GAPara">
    <w:name w:val="GA Para"/>
    <w:qFormat/>
    <w:rsid w:val="002D679B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customStyle="1" w:styleId="textview">
    <w:name w:val="textview"/>
    <w:basedOn w:val="Policepardfaut"/>
    <w:rsid w:val="00C04B01"/>
  </w:style>
  <w:style w:type="table" w:customStyle="1" w:styleId="TableGrid2">
    <w:name w:val="Table Grid2"/>
    <w:basedOn w:val="TableauNormal"/>
    <w:next w:val="Grilledutableau"/>
    <w:uiPriority w:val="59"/>
    <w:rsid w:val="00C04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aliases w:val="List Paragraph (numbered (a)) Car,Lapis Bulleted List Car,Dot pt Car,F5 List Paragraph Car,No Spacing1 Car,List Paragraph Char Char Char Car,Indicator Text Car,Numbered Para 1 Car,Bullet 1 Car,List Paragraph12 Car"/>
    <w:basedOn w:val="Policepardfaut"/>
    <w:link w:val="Paragraphedeliste"/>
    <w:uiPriority w:val="34"/>
    <w:qFormat/>
    <w:locked/>
    <w:rsid w:val="00C04B01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D215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D7F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29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29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2922"/>
    <w:rPr>
      <w:rFonts w:ascii="Times New Roman" w:eastAsia="Times New Roman" w:hAnsi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0C00CA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1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1BEC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E776E9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Policepardfaut"/>
    <w:rsid w:val="00674083"/>
  </w:style>
  <w:style w:type="paragraph" w:customStyle="1" w:styleId="CarCar3">
    <w:name w:val="Car Car3"/>
    <w:aliases w:val=" Car Car3 Char Char"/>
    <w:basedOn w:val="Normal"/>
    <w:link w:val="Lienhypertexte"/>
    <w:uiPriority w:val="99"/>
    <w:rsid w:val="00DB3DC8"/>
    <w:pPr>
      <w:tabs>
        <w:tab w:val="left" w:pos="510"/>
        <w:tab w:val="right" w:pos="9639"/>
      </w:tabs>
      <w:autoSpaceDE w:val="0"/>
      <w:autoSpaceDN w:val="0"/>
      <w:adjustRightInd w:val="0"/>
      <w:spacing w:after="80" w:line="220" w:lineRule="exact"/>
      <w:ind w:left="1020" w:hanging="510"/>
      <w:jc w:val="both"/>
    </w:pPr>
    <w:rPr>
      <w:rFonts w:ascii="Calibri" w:eastAsia="SimSun" w:hAnsi="Calibri"/>
      <w:color w:val="0000FF" w:themeColor="hyperlink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774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h.unesco.org/en/schedule-of-statutory-meetings-in-2022-01237" TargetMode="External"/><Relationship Id="rId18" Type="http://schemas.openxmlformats.org/officeDocument/2006/relationships/hyperlink" Target="https://ich.unesco.org/doc/src/LHE-22-9.GA-Resolutions-RU.docx" TargetMode="External"/><Relationship Id="rId26" Type="http://schemas.openxmlformats.org/officeDocument/2006/relationships/hyperlink" Target="https://ich.unesco.org/doc/src/LHE-24-10.GA-8_RU.docx" TargetMode="External"/><Relationship Id="rId39" Type="http://schemas.openxmlformats.org/officeDocument/2006/relationships/hyperlink" Target="https://ich.unesco.org/en/seoul-vision-013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doc/src/LHE-24-10.GA-7_RU.docx" TargetMode="External"/><Relationship Id="rId34" Type="http://schemas.openxmlformats.org/officeDocument/2006/relationships/hyperlink" Target="https://ich.unesco.org/en/decisions/18.COM/12" TargetMode="External"/><Relationship Id="rId42" Type="http://schemas.openxmlformats.org/officeDocument/2006/relationships/hyperlink" Target="https://unesdoc.unesco.org/ark:/48223/pf0000260089_rus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h.unesco.org/doc/src/LHE-24-10.GA-INF.8_EN.docx" TargetMode="External"/><Relationship Id="rId17" Type="http://schemas.openxmlformats.org/officeDocument/2006/relationships/hyperlink" Target="https://ich.unesco.org/doc/src/LHE-24-10.GA-9_RU.docx" TargetMode="External"/><Relationship Id="rId25" Type="http://schemas.openxmlformats.org/officeDocument/2006/relationships/hyperlink" Target="https://ich.unesco.org/en/toolkit-for-requesting-international-assistance-01294" TargetMode="External"/><Relationship Id="rId33" Type="http://schemas.openxmlformats.org/officeDocument/2006/relationships/hyperlink" Target="https://ich.unesco.org/en/decisions/17.COM/13" TargetMode="External"/><Relationship Id="rId38" Type="http://schemas.openxmlformats.org/officeDocument/2006/relationships/hyperlink" Target="https://ich.unesco.org/doc/src/LHE-24-10.GA-10_RU.docx" TargetMode="External"/><Relationship Id="rId46" Type="http://schemas.openxmlformats.org/officeDocument/2006/relationships/hyperlink" Target="https://ich.unesco.org/en/decisions/18.COM/7.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h.unesco.org/doc/src/LHE-24-10.GA-5_RU.docx" TargetMode="External"/><Relationship Id="rId20" Type="http://schemas.openxmlformats.org/officeDocument/2006/relationships/hyperlink" Target="https://ich.unesco.org/en/decisions/18.COM/11" TargetMode="External"/><Relationship Id="rId29" Type="http://schemas.openxmlformats.org/officeDocument/2006/relationships/hyperlink" Target="https://ich.unesco.org/en/Decisions/16.COM/12" TargetMode="External"/><Relationship Id="rId41" Type="http://schemas.openxmlformats.org/officeDocument/2006/relationships/hyperlink" Target="https://ich.unesco.org/doc/src/LHE-23-18.COM-7.c_Rev_E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LHE-21-16.COM-INF.10_Rev.-EN.pdf" TargetMode="External"/><Relationship Id="rId24" Type="http://schemas.openxmlformats.org/officeDocument/2006/relationships/hyperlink" Target="https://ich.unesco.org/en/decisions/17.COM/11" TargetMode="External"/><Relationship Id="rId32" Type="http://schemas.openxmlformats.org/officeDocument/2006/relationships/hyperlink" Target="https://ich.unesco.org/en/decisions/16.COM/5.B" TargetMode="External"/><Relationship Id="rId37" Type="http://schemas.openxmlformats.org/officeDocument/2006/relationships/hyperlink" Target="https://ich.unesco.org/doc/src/LHE-22-9.GA-Resolutions-RU.docx" TargetMode="External"/><Relationship Id="rId40" Type="http://schemas.openxmlformats.org/officeDocument/2006/relationships/hyperlink" Target="https://www.unesco.org/en/articles/unesco-world-conference-cultural-policies-and-sustainable-development-mondiacult-2022" TargetMode="External"/><Relationship Id="rId45" Type="http://schemas.openxmlformats.org/officeDocument/2006/relationships/hyperlink" Target="https://ich.unesco.org/en/decisions/17.COM/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doc/src/LHE-22-9.GA-Resolutions-RU.docx" TargetMode="External"/><Relationship Id="rId23" Type="http://schemas.openxmlformats.org/officeDocument/2006/relationships/hyperlink" Target="https://ich.unesco.org/en/Decisions/8.GA/9" TargetMode="External"/><Relationship Id="rId28" Type="http://schemas.openxmlformats.org/officeDocument/2006/relationships/hyperlink" Target="https://ich.unesco.org/en/massive-online-open-course-mooc-01228" TargetMode="External"/><Relationship Id="rId36" Type="http://schemas.openxmlformats.org/officeDocument/2006/relationships/hyperlink" Target="https://ich.unesco.org/en/Decisions/14.COM/15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ich.unesco.org/doc/src/Annex_II_10.GA_6_EN.docx" TargetMode="External"/><Relationship Id="rId19" Type="http://schemas.openxmlformats.org/officeDocument/2006/relationships/hyperlink" Target="https://ich.unesco.org/en/d%C3%A9cisions/17.COM/10" TargetMode="External"/><Relationship Id="rId31" Type="http://schemas.openxmlformats.org/officeDocument/2006/relationships/hyperlink" Target="https://ich.unesco.org/doc/src/LHE-24-10.GA-INF.8_EN.docx" TargetMode="External"/><Relationship Id="rId44" Type="http://schemas.openxmlformats.org/officeDocument/2006/relationships/hyperlink" Target="https://unesdoc.unesco.org/ark:/48223/pf0000387426_rus/PDF/387426rus.pdf.mul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4853_rus" TargetMode="External"/><Relationship Id="rId14" Type="http://schemas.openxmlformats.org/officeDocument/2006/relationships/hyperlink" Target="https://ich.unesco.org/en/schedule-of-statutory-meetings-in-2023-01295" TargetMode="External"/><Relationship Id="rId22" Type="http://schemas.openxmlformats.org/officeDocument/2006/relationships/hyperlink" Target="https://ich.unesco.org/en/decisions/17.COM/15" TargetMode="External"/><Relationship Id="rId27" Type="http://schemas.openxmlformats.org/officeDocument/2006/relationships/hyperlink" Target="https://ich.unesco.org/doc/src/LHE-24-10.GA-INF.8_EN.docx" TargetMode="External"/><Relationship Id="rId30" Type="http://schemas.openxmlformats.org/officeDocument/2006/relationships/hyperlink" Target="https://www.unesco.org/en/frameworkcultureartseducation?hub=71580" TargetMode="External"/><Relationship Id="rId35" Type="http://schemas.openxmlformats.org/officeDocument/2006/relationships/hyperlink" Target="https://www.unesco.org/sites/default/files/medias/fichiers/2023/11/UNESCO_CALL_FOR_ACTION_NAPLES.pdf" TargetMode="External"/><Relationship Id="rId43" Type="http://schemas.openxmlformats.org/officeDocument/2006/relationships/hyperlink" Target="https://unesdoc.unesco.org/ark:/48223/pf0000388394_rus" TargetMode="External"/><Relationship Id="rId48" Type="http://schemas.openxmlformats.org/officeDocument/2006/relationships/header" Target="header2.xml"/><Relationship Id="rId8" Type="http://schemas.openxmlformats.org/officeDocument/2006/relationships/hyperlink" Target="https://ich.unesco.org/en/decisions/9.GA/6" TargetMode="External"/><Relationship Id="rId51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unesco.org/en/project/505RLA4000" TargetMode="External"/><Relationship Id="rId3" Type="http://schemas.openxmlformats.org/officeDocument/2006/relationships/hyperlink" Target="https://ich.unesco.org/en/decisions/16.COM/10" TargetMode="External"/><Relationship Id="rId7" Type="http://schemas.openxmlformats.org/officeDocument/2006/relationships/hyperlink" Target="https://core.unesco.org/en/project/505RLA4000" TargetMode="External"/><Relationship Id="rId2" Type="http://schemas.openxmlformats.org/officeDocument/2006/relationships/hyperlink" Target="https://ich.unesco.org/doc/src/LHE-21-16.COM-INF.10_Rev.-EN.pdf" TargetMode="External"/><Relationship Id="rId1" Type="http://schemas.openxmlformats.org/officeDocument/2006/relationships/hyperlink" Target="https://ich.unesco.org/doc/src/LHE-21-16.COM-10_Rev.-EN.docx" TargetMode="External"/><Relationship Id="rId6" Type="http://schemas.openxmlformats.org/officeDocument/2006/relationships/hyperlink" Target="https://ich.unesco.org/en/livelihoods-01315" TargetMode="External"/><Relationship Id="rId5" Type="http://schemas.openxmlformats.org/officeDocument/2006/relationships/hyperlink" Target="https://ich.unesco.org/en/18com" TargetMode="External"/><Relationship Id="rId10" Type="http://schemas.openxmlformats.org/officeDocument/2006/relationships/hyperlink" Target="https://ich.unesco.org/doc/src/LHE-24-10.GA-10_RU.docx" TargetMode="External"/><Relationship Id="rId4" Type="http://schemas.openxmlformats.org/officeDocument/2006/relationships/hyperlink" Target="https://ich.unesco.org/en/18com" TargetMode="External"/><Relationship Id="rId9" Type="http://schemas.openxmlformats.org/officeDocument/2006/relationships/hyperlink" Target="https://www.unesco.org/en/articles/heritage-and-creativity-alulas-sustainable-development-integrated-initiative-cul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67</TotalTime>
  <Pages>12</Pages>
  <Words>5103</Words>
  <Characters>29090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Ohinata, Fumiko</cp:lastModifiedBy>
  <cp:revision>14</cp:revision>
  <cp:lastPrinted>2024-05-02T07:20:00Z</cp:lastPrinted>
  <dcterms:created xsi:type="dcterms:W3CDTF">2024-05-13T13:12:00Z</dcterms:created>
  <dcterms:modified xsi:type="dcterms:W3CDTF">2024-05-13T21:50:00Z</dcterms:modified>
</cp:coreProperties>
</file>