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E7D5" w14:textId="2292918D" w:rsidR="002B75A6" w:rsidRPr="00BB6EEC" w:rsidRDefault="002B75A6" w:rsidP="002B75A6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КОНВЕНЦИЯ ОБ ОХРАНЕ </w:t>
      </w:r>
      <w:r w:rsidR="00961460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НЕМАТЕРИАЛЬНОГО КУЛЬТУРНОГО НАСЛЕДИЯ</w:t>
      </w:r>
    </w:p>
    <w:p w14:paraId="6255D8FA" w14:textId="21C3EB37" w:rsidR="002B75A6" w:rsidRPr="00BB6EEC" w:rsidRDefault="002B75A6" w:rsidP="002B75A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ГЕНЕРАЛЬНАЯ АССАМБЛЕЯ ГОСУДАРСТВ</w:t>
      </w:r>
      <w:r w:rsidR="00961460" w:rsidRPr="002402C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/>
          <w:b/>
          <w:sz w:val="22"/>
        </w:rPr>
        <w:t>УЧАСТНИКОВ КОНВЕНЦИИ</w:t>
      </w:r>
    </w:p>
    <w:p w14:paraId="1271DFBE" w14:textId="77777777" w:rsidR="002B75A6" w:rsidRPr="00BB6EEC" w:rsidRDefault="002B75A6" w:rsidP="002B75A6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Десятая сессия</w:t>
      </w:r>
    </w:p>
    <w:p w14:paraId="35A1253C" w14:textId="77777777" w:rsidR="002B75A6" w:rsidRPr="00BB6EEC" w:rsidRDefault="002B75A6" w:rsidP="002B75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Штаб-квартира ЮНЕСКО, зал I</w:t>
      </w:r>
    </w:p>
    <w:p w14:paraId="021E44E5" w14:textId="1579456C" w:rsidR="002B75A6" w:rsidRPr="00E631D8" w:rsidRDefault="002B75A6" w:rsidP="002B75A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11</w:t>
      </w:r>
      <w:r w:rsidR="00961460" w:rsidRPr="00E631D8">
        <w:rPr>
          <w:rFonts w:ascii="Arial" w:hAnsi="Arial"/>
          <w:b/>
          <w:sz w:val="22"/>
        </w:rPr>
        <w:t xml:space="preserve"> </w:t>
      </w:r>
      <w:r w:rsidR="00961460" w:rsidRPr="00EA0225">
        <w:rPr>
          <w:rFonts w:ascii="Arial" w:hAnsi="Arial" w:cs="Arial"/>
          <w:b/>
          <w:sz w:val="22"/>
          <w:szCs w:val="22"/>
        </w:rPr>
        <w:t>–</w:t>
      </w:r>
      <w:r w:rsidR="00961460" w:rsidRPr="00E631D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</w:rPr>
        <w:t>1</w:t>
      </w:r>
      <w:r w:rsidR="008C1AEE" w:rsidRPr="0018586F">
        <w:rPr>
          <w:rFonts w:ascii="Arial" w:hAnsi="Arial"/>
          <w:b/>
          <w:sz w:val="22"/>
        </w:rPr>
        <w:t>2</w:t>
      </w:r>
      <w:proofErr w:type="gramEnd"/>
      <w:r>
        <w:rPr>
          <w:rFonts w:ascii="Arial" w:hAnsi="Arial"/>
          <w:b/>
          <w:sz w:val="22"/>
        </w:rPr>
        <w:t xml:space="preserve"> июня 2024 г</w:t>
      </w:r>
      <w:r w:rsidR="00961460" w:rsidRPr="00E631D8">
        <w:rPr>
          <w:rFonts w:ascii="Arial" w:hAnsi="Arial"/>
          <w:b/>
          <w:sz w:val="22"/>
        </w:rPr>
        <w:t>.</w:t>
      </w:r>
    </w:p>
    <w:p w14:paraId="5E45AD5A" w14:textId="77777777" w:rsidR="002B75A6" w:rsidRPr="00BB6EEC" w:rsidRDefault="002B75A6" w:rsidP="002B75A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Пункт 5 предварительной повестки дня</w:t>
      </w:r>
      <w:r>
        <w:rPr>
          <w:rFonts w:ascii="Arial" w:hAnsi="Arial"/>
          <w:b/>
          <w:sz w:val="22"/>
        </w:rPr>
        <w:t>:</w:t>
      </w:r>
    </w:p>
    <w:p w14:paraId="32183D53" w14:textId="1688C704" w:rsidR="002B75A6" w:rsidRPr="00BB6EEC" w:rsidRDefault="002B75A6" w:rsidP="002B75A6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Доклад Комитета Генеральной ассамблее (январь 2022 г</w:t>
      </w:r>
      <w:r w:rsidR="009A3BEB" w:rsidRPr="009A3BEB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 xml:space="preserve"> — декабрь 2023 г</w:t>
      </w:r>
      <w:r w:rsidR="009A3BEB" w:rsidRPr="00E83D96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>)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2B75A6" w:rsidRPr="009A373B" w14:paraId="06F236C5" w14:textId="77777777" w:rsidTr="00E85399">
        <w:trPr>
          <w:jc w:val="center"/>
        </w:trPr>
        <w:tc>
          <w:tcPr>
            <w:tcW w:w="5670" w:type="dxa"/>
            <w:vAlign w:val="center"/>
          </w:tcPr>
          <w:p w14:paraId="7FF3D3C5" w14:textId="77777777" w:rsidR="00961460" w:rsidRPr="00BB6EEC" w:rsidRDefault="00961460" w:rsidP="00961460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631">
              <w:rPr>
                <w:rFonts w:ascii="Arial" w:hAnsi="Arial"/>
                <w:b/>
                <w:sz w:val="22"/>
              </w:rPr>
              <w:t>Содержание</w:t>
            </w:r>
          </w:p>
          <w:p w14:paraId="702F989E" w14:textId="77777777" w:rsidR="002B75A6" w:rsidRPr="00ED3736" w:rsidRDefault="002B75A6" w:rsidP="00E85399">
            <w:pPr>
              <w:pStyle w:val="Sansinterligne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Статья 30.1 Конвенции 2003 года гласит, что «Комитет представляет каждой сессии Генеральной ассамблеи доклад, подготавливаемый на основе его деятельности и докладов государств-участников [...]». В настоящем документе содержится доклад о деятельности Комитета за период с января 2022 года по декабрь 2023 года, включая обзор докладов государств-участников, принятых на семнадцатой и восемнадцатой сессиях Комитета.</w:t>
            </w:r>
          </w:p>
          <w:p w14:paraId="6CFED304" w14:textId="77777777" w:rsidR="002B75A6" w:rsidRPr="00BB6EEC" w:rsidRDefault="002B75A6" w:rsidP="00E85399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Требуемое решение:</w:t>
            </w:r>
            <w:r>
              <w:rPr>
                <w:rFonts w:ascii="Arial" w:hAnsi="Arial"/>
                <w:sz w:val="22"/>
              </w:rPr>
              <w:t xml:space="preserve"> параграф 4</w:t>
            </w:r>
          </w:p>
        </w:tc>
      </w:tr>
    </w:tbl>
    <w:p w14:paraId="152BCFDA" w14:textId="77777777" w:rsidR="002B75A6" w:rsidRPr="00BB6EEC" w:rsidRDefault="002B75A6" w:rsidP="002B75A6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br w:type="page"/>
      </w:r>
    </w:p>
    <w:p w14:paraId="4CD19F15" w14:textId="77777777" w:rsidR="002B75A6" w:rsidRPr="00BB6EEC" w:rsidRDefault="002B75A6" w:rsidP="002B75A6">
      <w:pPr>
        <w:pStyle w:val="COMPara"/>
        <w:numPr>
          <w:ilvl w:val="0"/>
          <w:numId w:val="0"/>
        </w:numPr>
        <w:spacing w:before="240"/>
        <w:jc w:val="both"/>
        <w:rPr>
          <w:b/>
          <w:bCs/>
        </w:rPr>
      </w:pPr>
      <w:bookmarkStart w:id="0" w:name="_Hlk124351255"/>
      <w:r>
        <w:rPr>
          <w:b/>
        </w:rPr>
        <w:lastRenderedPageBreak/>
        <w:t>История вопроса</w:t>
      </w:r>
    </w:p>
    <w:bookmarkEnd w:id="0"/>
    <w:p w14:paraId="20D0CE02" w14:textId="77777777" w:rsidR="002B75A6" w:rsidRPr="00BB6EEC" w:rsidRDefault="002B75A6" w:rsidP="002B75A6">
      <w:pPr>
        <w:pStyle w:val="COMPara"/>
        <w:ind w:left="567" w:hanging="567"/>
        <w:jc w:val="both"/>
      </w:pPr>
      <w:r>
        <w:t>Статья 30.1 Конвенции 2003 года об охране нематериального культурного наследия гласит, что «Комитет представляет каждой сессии Генеральной ассамблеи доклад, подготавливаемый на основе его деятельности и докладов государств-участников [...]». Статья 30.2 дополняет, что «этот доклад доводится до сведения Генеральной конференции ЮНЕСКО». Настоящий доклад охватывает период с января 2022 года по декабрь 2023 года.</w:t>
      </w:r>
    </w:p>
    <w:p w14:paraId="057BF35A" w14:textId="77777777" w:rsidR="002B75A6" w:rsidRPr="00CD4A12" w:rsidRDefault="002B75A6" w:rsidP="002B75A6">
      <w:pPr>
        <w:pStyle w:val="COMPara"/>
        <w:ind w:left="567" w:hanging="567"/>
        <w:jc w:val="both"/>
      </w:pPr>
      <w:r>
        <w:t xml:space="preserve">Этот отчетный период был определен в соответствии с резолюцией </w:t>
      </w:r>
      <w:hyperlink r:id="rId8" w:history="1">
        <w:r>
          <w:rPr>
            <w:rStyle w:val="Lienhypertexte"/>
          </w:rPr>
          <w:t>6.GA 5</w:t>
        </w:r>
      </w:hyperlink>
      <w:r>
        <w:t xml:space="preserve"> 2016 года, в которой Генеральная ассамблея просила Комитет опираться на двухлетний период для будущих докладов. В связи с этим в приложении к настоящему документу представлен доклад Комитета. В докладе также содержится обзор докладов, представленных государствами-участниками согласно статье 29 Конвенции и принятых Комитетом на его семнадцатой и восемнадцатой сессиях.</w:t>
      </w:r>
    </w:p>
    <w:p w14:paraId="7F338840" w14:textId="691BF25B" w:rsidR="002B75A6" w:rsidRPr="00CD4A12" w:rsidRDefault="002B75A6" w:rsidP="002B75A6">
      <w:pPr>
        <w:pStyle w:val="COMPara"/>
        <w:ind w:left="567" w:hanging="567"/>
        <w:jc w:val="both"/>
      </w:pPr>
      <w:r>
        <w:t xml:space="preserve">Кроме того, данный доклад следует рассматривать совместно с докладом Секретариата о своей деятельности (документ </w:t>
      </w:r>
      <w:hyperlink r:id="rId9" w:history="1">
        <w:r>
          <w:rPr>
            <w:rStyle w:val="Lienhypertexte"/>
          </w:rPr>
          <w:t>LHE/24/10.GA/6</w:t>
        </w:r>
      </w:hyperlink>
      <w:r>
        <w:t>), а также с отчетом Фонда нематериального культурного наследия</w:t>
      </w:r>
      <w:r>
        <w:rPr>
          <w:i/>
        </w:rPr>
        <w:t xml:space="preserve"> </w:t>
      </w:r>
      <w:r>
        <w:t xml:space="preserve">(документ </w:t>
      </w:r>
      <w:hyperlink r:id="rId10" w:history="1">
        <w:r>
          <w:rPr>
            <w:rStyle w:val="Lienhypertexte"/>
          </w:rPr>
          <w:t>LHE/24/10.GA/INF.8</w:t>
        </w:r>
      </w:hyperlink>
      <w:r>
        <w:t>).</w:t>
      </w:r>
    </w:p>
    <w:p w14:paraId="76FF072B" w14:textId="77777777" w:rsidR="002B75A6" w:rsidRPr="00BB6EEC" w:rsidRDefault="002B75A6" w:rsidP="002B75A6">
      <w:pPr>
        <w:pStyle w:val="COMPara"/>
        <w:ind w:left="567" w:hanging="567"/>
      </w:pPr>
      <w:r>
        <w:t>Генеральная ассамблея, возможно, пожелает принять следующую резолюцию:</w:t>
      </w:r>
    </w:p>
    <w:p w14:paraId="30C2E9A5" w14:textId="77777777" w:rsidR="002B75A6" w:rsidRPr="00BB6EEC" w:rsidRDefault="002B75A6" w:rsidP="002B75A6">
      <w:pPr>
        <w:pStyle w:val="COMTitleDecision"/>
        <w:rPr>
          <w:rFonts w:eastAsia="SimSun"/>
        </w:rPr>
      </w:pPr>
      <w:r>
        <w:t>ПРОЕКТ РЕЗОЛЮЦИИ 10.GA 5</w:t>
      </w:r>
    </w:p>
    <w:p w14:paraId="408A1D82" w14:textId="77777777" w:rsidR="002B75A6" w:rsidRPr="00BB6EEC" w:rsidRDefault="002B75A6" w:rsidP="002B75A6">
      <w:pPr>
        <w:pStyle w:val="COMPreambulaDecisions"/>
        <w:rPr>
          <w:rFonts w:eastAsia="SimSun"/>
        </w:rPr>
      </w:pPr>
      <w:r>
        <w:t>Генеральная ассамблея,</w:t>
      </w:r>
    </w:p>
    <w:p w14:paraId="0D9AD168" w14:textId="6B48E7F3" w:rsidR="002B75A6" w:rsidRPr="00BB6EEC" w:rsidRDefault="00E83D96" w:rsidP="00310E49">
      <w:pPr>
        <w:pStyle w:val="COMParaDecision"/>
        <w:ind w:left="1134" w:hanging="567"/>
      </w:pPr>
      <w:r>
        <w:rPr>
          <w:lang w:val="fr-FR"/>
        </w:rPr>
        <w:t>P</w:t>
      </w:r>
      <w:proofErr w:type="spellStart"/>
      <w:r w:rsidR="002B75A6">
        <w:t>ассмотрев</w:t>
      </w:r>
      <w:proofErr w:type="spellEnd"/>
      <w:r w:rsidR="002B75A6">
        <w:rPr>
          <w:u w:val="none"/>
        </w:rPr>
        <w:t xml:space="preserve"> документ LHE/24/10.GA/5,</w:t>
      </w:r>
    </w:p>
    <w:p w14:paraId="076039B5" w14:textId="3901A828" w:rsidR="002B75A6" w:rsidRPr="003B3594" w:rsidRDefault="00E83D96" w:rsidP="00310E49">
      <w:pPr>
        <w:pStyle w:val="COMParaDecision"/>
        <w:ind w:left="1134" w:hanging="567"/>
      </w:pPr>
      <w:r>
        <w:rPr>
          <w:lang w:val="fr-FR"/>
        </w:rPr>
        <w:t>C</w:t>
      </w:r>
      <w:proofErr w:type="spellStart"/>
      <w:r w:rsidR="002B75A6">
        <w:t>сылаясь</w:t>
      </w:r>
      <w:proofErr w:type="spellEnd"/>
      <w:r w:rsidR="002B75A6">
        <w:rPr>
          <w:u w:val="none"/>
        </w:rPr>
        <w:t xml:space="preserve"> на статью 30 Конвенции и резолюцию </w:t>
      </w:r>
      <w:hyperlink r:id="rId11" w:history="1">
        <w:r w:rsidR="002B75A6" w:rsidRPr="008C1AEE">
          <w:rPr>
            <w:rStyle w:val="Lienhypertexte"/>
          </w:rPr>
          <w:t>6.GA 5</w:t>
        </w:r>
      </w:hyperlink>
      <w:r w:rsidR="002B75A6">
        <w:t>,</w:t>
      </w:r>
    </w:p>
    <w:p w14:paraId="11928DB4" w14:textId="2F6C09F1" w:rsidR="002B75A6" w:rsidRPr="008565A0" w:rsidRDefault="00E83D96" w:rsidP="00310E49">
      <w:pPr>
        <w:pStyle w:val="COMParaDecision"/>
        <w:ind w:left="1134" w:hanging="567"/>
      </w:pPr>
      <w:r w:rsidRPr="00E83D96">
        <w:t>П</w:t>
      </w:r>
      <w:r w:rsidR="002B75A6">
        <w:t>риветствует</w:t>
      </w:r>
      <w:r w:rsidR="002B75A6">
        <w:rPr>
          <w:u w:val="none"/>
        </w:rPr>
        <w:t xml:space="preserve"> Сан-Марино, которое ратифицировало Конвенцию в отчетный период, а также Ливию и Соединенное Королевство Великобритании и Северной Ирландии после отчетного периода, в результате чего общее число государств-участников достигло 183, и </w:t>
      </w:r>
      <w:r w:rsidR="002B75A6" w:rsidRPr="0018586F">
        <w:t>призывает</w:t>
      </w:r>
      <w:r w:rsidR="002B75A6">
        <w:rPr>
          <w:u w:val="none"/>
        </w:rPr>
        <w:t xml:space="preserve"> те государства, которые еще не ратифицировали Конвенцию, рассмотреть возможность сделать это;</w:t>
      </w:r>
    </w:p>
    <w:p w14:paraId="3E52E7AA" w14:textId="7EA1A56D" w:rsidR="002B75A6" w:rsidRPr="005C792B" w:rsidRDefault="00E83D96" w:rsidP="00310E49">
      <w:pPr>
        <w:pStyle w:val="COMParaDecision"/>
        <w:ind w:left="1134" w:hanging="567"/>
      </w:pPr>
      <w:r w:rsidRPr="00E83D96">
        <w:t>П</w:t>
      </w:r>
      <w:r w:rsidR="002B75A6">
        <w:t>ринимает к сведению</w:t>
      </w:r>
      <w:r w:rsidR="002B75A6">
        <w:rPr>
          <w:u w:val="none"/>
        </w:rPr>
        <w:t xml:space="preserve"> доклад Комитета Генеральной ассамблее о своей деятельности в период с января 2022 года по декабрь 2023 года и </w:t>
      </w:r>
      <w:r w:rsidR="002B75A6">
        <w:t>благодарит</w:t>
      </w:r>
      <w:r w:rsidR="002B75A6">
        <w:rPr>
          <w:u w:val="none"/>
        </w:rPr>
        <w:t xml:space="preserve"> Комитет за его эффективную работу;</w:t>
      </w:r>
    </w:p>
    <w:p w14:paraId="0D8E4438" w14:textId="0EF11E5A" w:rsidR="002B75A6" w:rsidRPr="00BB6EEC" w:rsidRDefault="00E83D96" w:rsidP="00310E49">
      <w:pPr>
        <w:pStyle w:val="COMParaDecision"/>
        <w:ind w:left="1134" w:hanging="567"/>
      </w:pPr>
      <w:r>
        <w:rPr>
          <w:lang w:val="fr-FR"/>
        </w:rPr>
        <w:t>B</w:t>
      </w:r>
      <w:proofErr w:type="spellStart"/>
      <w:r w:rsidR="002B75A6">
        <w:t>ыражает</w:t>
      </w:r>
      <w:proofErr w:type="spellEnd"/>
      <w:r w:rsidR="002B75A6">
        <w:t xml:space="preserve"> признательность</w:t>
      </w:r>
      <w:r w:rsidR="002B75A6">
        <w:rPr>
          <w:u w:val="none"/>
        </w:rPr>
        <w:t xml:space="preserve"> Комитету за подготовку директивной записки по экономическим аспектам охраны нематериального культурного наследия и</w:t>
      </w:r>
      <w:r w:rsidR="002B75A6">
        <w:t xml:space="preserve"> принимает к сведению</w:t>
      </w:r>
      <w:r w:rsidR="002B75A6">
        <w:rPr>
          <w:u w:val="none"/>
        </w:rPr>
        <w:t xml:space="preserve"> текущую работу в рамках тематических инициатив по охране нематериального культурного наследия и в контексте изменения климата, а также по охране нематериального культурного наследия в городских условиях;</w:t>
      </w:r>
    </w:p>
    <w:p w14:paraId="25DBDB8E" w14:textId="7991AC1B" w:rsidR="002B75A6" w:rsidRPr="00BB6EEC" w:rsidRDefault="00E83D96" w:rsidP="00310E49">
      <w:pPr>
        <w:pStyle w:val="COMParaDecision"/>
        <w:ind w:left="1134" w:hanging="567"/>
      </w:pPr>
      <w:r>
        <w:rPr>
          <w:lang w:val="fr-FR"/>
        </w:rPr>
        <w:t>K</w:t>
      </w:r>
      <w:r w:rsidR="002B75A6">
        <w:t>роме того, высоко оценивает</w:t>
      </w:r>
      <w:r w:rsidR="002B75A6">
        <w:rPr>
          <w:u w:val="none"/>
        </w:rPr>
        <w:t xml:space="preserve"> прогресс, достигнутый Комитетом в отношении глобального анализа более широкого осуществления статьи 18 посредством всестороннего процесса консультаций с экспертами и межправительственной рабочей группой открытого состава;</w:t>
      </w:r>
    </w:p>
    <w:p w14:paraId="1AA16428" w14:textId="4C00C5CC" w:rsidR="00EE67E0" w:rsidRPr="00EE67E0" w:rsidRDefault="00E83D96" w:rsidP="00310E49">
      <w:pPr>
        <w:pStyle w:val="COMParaDecision"/>
        <w:ind w:left="1134" w:hanging="567"/>
      </w:pPr>
      <w:r>
        <w:rPr>
          <w:lang w:val="fr-FR"/>
        </w:rPr>
        <w:t>C</w:t>
      </w:r>
      <w:r w:rsidR="002B75A6">
        <w:t xml:space="preserve"> удовлетворением отмечает</w:t>
      </w:r>
      <w:r w:rsidR="002B75A6">
        <w:rPr>
          <w:u w:val="none"/>
        </w:rPr>
        <w:t xml:space="preserve"> улучшение показателей представления докладов в рамках текущего цикла периодических докладов и </w:t>
      </w:r>
      <w:r w:rsidR="002B75A6">
        <w:t>приветствует</w:t>
      </w:r>
      <w:r w:rsidR="002B75A6">
        <w:rPr>
          <w:u w:val="none"/>
        </w:rPr>
        <w:t xml:space="preserve"> решение Комитета о предлагаемом согласовании механизмов представления докладов с единой глобальной системой представления в рамках подготовки четырехгодичного Глобального доклада о политике в сфере культуры, начиная с 2025 года (решение</w:t>
      </w:r>
      <w:hyperlink r:id="rId12" w:history="1">
        <w:r w:rsidR="002B75A6">
          <w:rPr>
            <w:rStyle w:val="Lienhypertexte"/>
          </w:rPr>
          <w:t xml:space="preserve"> 18.COM 7.c</w:t>
        </w:r>
      </w:hyperlink>
      <w:r w:rsidR="002B75A6">
        <w:rPr>
          <w:u w:val="none"/>
        </w:rPr>
        <w:t>);</w:t>
      </w:r>
    </w:p>
    <w:p w14:paraId="76527BCB" w14:textId="70468F09" w:rsidR="002B75A6" w:rsidRPr="00000673" w:rsidRDefault="00E83D96" w:rsidP="00310E49">
      <w:pPr>
        <w:pStyle w:val="COMParaDecision"/>
        <w:ind w:left="1134" w:hanging="567"/>
      </w:pPr>
      <w:r w:rsidRPr="00E83D96">
        <w:t>П</w:t>
      </w:r>
      <w:r w:rsidR="002B75A6">
        <w:t>риветствует далее</w:t>
      </w:r>
      <w:r w:rsidR="002B75A6">
        <w:rPr>
          <w:u w:val="none"/>
        </w:rPr>
        <w:t xml:space="preserve"> продолжение работы по двум глобальным приоритетам финансирования Конвенции — «Укрепление потенциала в области охраны нематериального культурного наследия с использованием мультимодальных подходов и содействие устойчивому развитию» и «Охрана нематериального культурного наследия в официальном и неофициальном образовании» — в свете </w:t>
      </w:r>
      <w:r w:rsidR="002B75A6">
        <w:rPr>
          <w:u w:val="none"/>
        </w:rPr>
        <w:lastRenderedPageBreak/>
        <w:t>Повестки дня в области устойчивого развития на период до 2030 года и подготовки повестки дня на период после 2030 года;</w:t>
      </w:r>
    </w:p>
    <w:p w14:paraId="5564115B" w14:textId="3B178ED9" w:rsidR="002B75A6" w:rsidRPr="00BB6EEC" w:rsidRDefault="00E83D96" w:rsidP="00310E49">
      <w:pPr>
        <w:pStyle w:val="COMParaDecision"/>
        <w:ind w:left="1134" w:hanging="567"/>
      </w:pPr>
      <w:r w:rsidRPr="00E83D96">
        <w:t>П</w:t>
      </w:r>
      <w:r w:rsidR="002B75A6">
        <w:t>ринимает к сведению</w:t>
      </w:r>
      <w:r w:rsidR="002B75A6">
        <w:rPr>
          <w:u w:val="none"/>
        </w:rPr>
        <w:t xml:space="preserve"> решение Комитета использовать недавно установленную процедуру для исключения части элемента из одного из списков Конвенции в соответствии с основополагающими принципами ЮНЕСКО и принципами Конвенции, касающимися достоинства, равенства и взаимного уважения между народами;</w:t>
      </w:r>
    </w:p>
    <w:p w14:paraId="7AFABE93" w14:textId="404773D9" w:rsidR="002B75A6" w:rsidRPr="00664468" w:rsidRDefault="00E83D96" w:rsidP="00310E49">
      <w:pPr>
        <w:pStyle w:val="COMParaDecision"/>
        <w:ind w:left="1134" w:hanging="567"/>
      </w:pPr>
      <w:r w:rsidRPr="00E83D96">
        <w:t>П</w:t>
      </w:r>
      <w:r w:rsidR="002B75A6">
        <w:t>росит</w:t>
      </w:r>
      <w:r w:rsidR="002B75A6">
        <w:rPr>
          <w:u w:val="none"/>
        </w:rPr>
        <w:t xml:space="preserve"> Генерального директора довести настоящий доклад до сведения Генеральной конференции ЮНЕСКО в соответствии с пунктом 2 статьи 30 Конвенции.</w:t>
      </w:r>
    </w:p>
    <w:p w14:paraId="1D881339" w14:textId="77777777" w:rsidR="009A373B" w:rsidRPr="003C1CCC" w:rsidRDefault="009A373B" w:rsidP="009A373B">
      <w:pPr>
        <w:pageBreakBefore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lastRenderedPageBreak/>
        <w:t>ПРИЛОЖЕНИЕ</w:t>
      </w:r>
    </w:p>
    <w:p w14:paraId="08563B97" w14:textId="77777777" w:rsidR="009A373B" w:rsidRPr="003C1CCC" w:rsidRDefault="009A373B" w:rsidP="009A373B">
      <w:pPr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Доклад Комитета Генеральной ассамблее о своей деятельности</w:t>
      </w:r>
    </w:p>
    <w:p w14:paraId="6F38C713" w14:textId="77777777" w:rsidR="009A373B" w:rsidRPr="003C1CCC" w:rsidRDefault="009A373B" w:rsidP="009A373B">
      <w:pPr>
        <w:keepNext/>
        <w:numPr>
          <w:ilvl w:val="0"/>
          <w:numId w:val="24"/>
        </w:numPr>
        <w:tabs>
          <w:tab w:val="num" w:pos="567"/>
        </w:tabs>
        <w:snapToGrid w:val="0"/>
        <w:spacing w:before="240" w:after="120"/>
        <w:ind w:left="562" w:hanging="562"/>
        <w:jc w:val="both"/>
        <w:rPr>
          <w:rFonts w:asciiTheme="minorBidi" w:hAnsiTheme="minorBidi" w:cstheme="minorBidi"/>
          <w:szCs w:val="22"/>
        </w:rPr>
      </w:pPr>
      <w:r>
        <w:rPr>
          <w:rFonts w:ascii="Arial" w:hAnsi="Arial"/>
          <w:b/>
          <w:sz w:val="22"/>
        </w:rPr>
        <w:t>Введение</w:t>
      </w:r>
    </w:p>
    <w:p w14:paraId="703A1F15" w14:textId="77777777" w:rsidR="009A373B" w:rsidRPr="003C1CCC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clear" w:pos="567"/>
          <w:tab w:val="num" w:pos="1276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Функции Комитета изложены в Конвенции об охране нематериального культурного наследия 2003 г., в частности в статье 7.</w:t>
      </w:r>
    </w:p>
    <w:p w14:paraId="00C75A26" w14:textId="77777777" w:rsidR="009A373B" w:rsidRPr="003C1CCC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В 2022 году Генеральная ассамблея обновила половину состава Комитета, избрав в него двенадцать государств-участников вместе с действующими членами: Ангола*, Бангладеш*, Ботсвана, Бразилия, Буркина-Фасо*, Кот-д'Ивуар, Чехия, Эфиопия*, Германия*, Индия*, Малайзия*, Мавритания*, Марокко, Панама, Парагвай*, Перу, Республика Корея, Руанда, Саудовская Аравия, Словакия*, Швеция, Швейцария, Узбекистан* и Вьетнам* (отмеченные звездочкой государства-участники имеют мандат с 2022 по 2026 год; мандат государств без звездочки, — с 2020 по 2024 год).</w:t>
      </w:r>
    </w:p>
    <w:p w14:paraId="7ADA1E78" w14:textId="38DE6A45" w:rsidR="009A373B" w:rsidRPr="003C1CCC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Комитет собирался на очередные сессии дважды: с 28 ноября по 3 декабря 2022 года (Рабат, Королевство Марокко) на семнадцатую сессию (17.COM) и с 5 по 8 декабря 2023 года (Касане, Республика Ботсвана) на восемнадцатую сессию (18.COM). Кроме того, он была созван один раз в режиме онлайн 1 июля 2022 года на пятую внеочередную сессию (5.EXT.COM). В состав Президиума сессии 17.COM вошли: Е.П. г-н Самир Аддахр (Марокко), председатель; Швейцария, Чехия, Панама, Республика Корея и Ботсвана, заместители председателя; и г-н Рамиро Морис Сильва Ривера (Перу), докладчик. В состав Президиума сессии 18.COM вошли: Е.П. Г-н Мустак Мурад (Ботсвана), председатель; Швейцария, Словакия, Перу, Бангладеш и Марокко, заместители председателя; и г-жа Ева Куминкова (Чехия), докладчик. Президиум 5.EXT.COM имел тот же состав, что и Президиум 17.COM.</w:t>
      </w:r>
    </w:p>
    <w:p w14:paraId="1CCFEA6B" w14:textId="479FA352" w:rsidR="009A373B" w:rsidRPr="00E666FE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Президиум заседал во время сессий Комитета со вторника по субботу. За отчетный период он также провел четыре заседания в штаб-квартире ЮНЕСКО (4 октября 2022 г. (17.COM 5.BUR), 22 марта 2023 г. (18.COM 1.BUR), 5 июня 2023 г. (18.COM 2.BUR) и 2 октября 2023 г. (18. COM 3.BUR)), трижды в режиме онлайн (7 марта 2022 года (17.COM 1.BUR), 6 мая 2022 года (17.COM 3.BUR) и 23 июня 2022 года (17.COM 4.BUR)) и один раз в Касане, Республика Ботсвана, 3 декабря 2023 года (18.COM 4.BUR). Кроме того, в марте 2022 года была проведена одна электронная консультация (17.COM 2.BUR).</w:t>
      </w:r>
    </w:p>
    <w:p w14:paraId="6F60BD72" w14:textId="68408945" w:rsidR="009A373B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 xml:space="preserve">Комитет и его Президиум рассмотрели в общей сложности 91 пункт повестки дня, к которому были подготовлены 94 рабочих или информационных документа, 10 кандидатур на включение в Список наследия, нуждающегося в срочной охране, 91 кандидатуру на включение в Репрезентативный список, 10 предложений для включения в Реестр передового опыта по сохранению нематериального культурного наследия, 30 заявок на международную помощь, </w:t>
      </w:r>
      <w:r w:rsidR="00E83D96" w:rsidRPr="00E83D96">
        <w:rPr>
          <w:rFonts w:asciiTheme="minorBidi" w:hAnsiTheme="minorBidi"/>
        </w:rPr>
        <w:t>101</w:t>
      </w:r>
      <w:r>
        <w:rPr>
          <w:rFonts w:asciiTheme="minorBidi" w:hAnsiTheme="minorBidi"/>
        </w:rPr>
        <w:t xml:space="preserve"> периодических докладов, представленных государствами-участниками, и 164 заявки на аккредитацию или продление аккредитации от неправительственных организаций (далее — «НПО»).</w:t>
      </w:r>
    </w:p>
    <w:p w14:paraId="6D50AF8E" w14:textId="77777777" w:rsidR="009A373B" w:rsidRPr="003C1CCC" w:rsidRDefault="009A373B" w:rsidP="009A373B">
      <w:pPr>
        <w:widowControl w:val="0"/>
        <w:numPr>
          <w:ilvl w:val="0"/>
          <w:numId w:val="24"/>
        </w:numPr>
        <w:tabs>
          <w:tab w:val="num" w:pos="567"/>
        </w:tabs>
        <w:snapToGrid w:val="0"/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Содействие достижению целей Конвенции, поощрение и обеспечение мониторинга ее выполнения и предоставление консультаций относительно передовой практики и подготовка рекомендаций о мерах по охране нематериального культурного наследия</w:t>
      </w:r>
      <w:r>
        <w:rPr>
          <w:rFonts w:ascii="Arial" w:hAnsi="Arial"/>
          <w:sz w:val="22"/>
        </w:rPr>
        <w:t xml:space="preserve"> (статья 7[a] и 7[b])</w:t>
      </w:r>
    </w:p>
    <w:p w14:paraId="4B6BBF37" w14:textId="77777777" w:rsidR="009A373B" w:rsidRPr="003C1CCC" w:rsidRDefault="009A373B" w:rsidP="009A373B">
      <w:pPr>
        <w:pStyle w:val="Paragraphedeliste"/>
        <w:widowControl w:val="0"/>
        <w:numPr>
          <w:ilvl w:val="0"/>
          <w:numId w:val="25"/>
        </w:numPr>
        <w:tabs>
          <w:tab w:val="num" w:pos="567"/>
        </w:tabs>
        <w:snapToGrid w:val="0"/>
        <w:spacing w:before="240" w:after="120"/>
        <w:ind w:left="567" w:hanging="567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Ратификация</w:t>
      </w:r>
    </w:p>
    <w:p w14:paraId="7F9378B8" w14:textId="0BFD92B8" w:rsidR="009A373B" w:rsidRPr="003C1CCC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cs="Arial"/>
          <w:szCs w:val="22"/>
        </w:rPr>
      </w:pPr>
      <w:r>
        <w:t xml:space="preserve">После последней ратификации Сан-Марино по состоянию на 31 </w:t>
      </w:r>
      <w:r>
        <w:rPr>
          <w:rFonts w:asciiTheme="minorBidi" w:hAnsiTheme="minorBidi"/>
        </w:rPr>
        <w:t>декабря</w:t>
      </w:r>
      <w:r>
        <w:t xml:space="preserve"> 2023 года участниками Конвенции является 181 государство.</w:t>
      </w:r>
    </w:p>
    <w:p w14:paraId="578B1F95" w14:textId="77777777" w:rsidR="009A373B" w:rsidRPr="003C1CCC" w:rsidRDefault="009A373B" w:rsidP="009A373B">
      <w:pPr>
        <w:pStyle w:val="Paragraphedeliste"/>
        <w:widowControl w:val="0"/>
        <w:numPr>
          <w:ilvl w:val="0"/>
          <w:numId w:val="25"/>
        </w:numPr>
        <w:spacing w:before="240" w:after="120"/>
        <w:ind w:left="562" w:hanging="562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Обеспечение эффективного управления</w:t>
      </w:r>
    </w:p>
    <w:p w14:paraId="0F4770F9" w14:textId="0A5142AC" w:rsidR="009A373B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 xml:space="preserve">Девятая сессия Генеральной ассамблеи (5-7 июля 2022 года, штаб-квартира ЮНЕСКО; далее — «9.GA») утвердила план использования средств Фонда нематериального </w:t>
      </w:r>
      <w:r>
        <w:rPr>
          <w:rFonts w:asciiTheme="minorBidi" w:hAnsiTheme="minorBidi"/>
        </w:rPr>
        <w:lastRenderedPageBreak/>
        <w:t>культурного наследия (далее — «Фонд») на период с 1 января 2022 года по 31 декабря 2023 года, в котором 20% бюджета (1 746 531 долл. США) отводится на «другие функции Комитета». Кроме того, общая сумма в размере 436 633 долларов США (25 процентов от статьи «другие функции Комитета») была выделена на обеспечение эффективного управления Конвенцией (Резолюция</w:t>
      </w:r>
      <w:r>
        <w:t xml:space="preserve"> </w:t>
      </w:r>
      <w:hyperlink r:id="rId13" w:history="1">
        <w:r>
          <w:rPr>
            <w:rStyle w:val="Lienhypertexte"/>
            <w:rFonts w:asciiTheme="minorBidi" w:hAnsiTheme="minorBidi"/>
          </w:rPr>
          <w:t>9.GA 10</w:t>
        </w:r>
      </w:hyperlink>
      <w:r>
        <w:rPr>
          <w:rStyle w:val="Lienhypertexte"/>
          <w:rFonts w:asciiTheme="minorBidi" w:hAnsiTheme="minorBidi"/>
        </w:rPr>
        <w:t>)</w:t>
      </w:r>
      <w:r>
        <w:rPr>
          <w:rFonts w:asciiTheme="minorBidi" w:hAnsiTheme="minorBidi"/>
        </w:rPr>
        <w:t>.</w:t>
      </w:r>
    </w:p>
    <w:p w14:paraId="42C5ABC4" w14:textId="1D07028B" w:rsidR="009A373B" w:rsidRPr="007810F4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  <w:snapToGrid/>
        </w:rPr>
        <w:t>В ходе глобального</w:t>
      </w:r>
      <w:r>
        <w:rPr>
          <w:rFonts w:asciiTheme="minorBidi" w:hAnsiTheme="minorBidi"/>
        </w:rPr>
        <w:t xml:space="preserve"> анализа более широкого осуществления статьи 18 Конвенции 2003 года рассматривается вопрос о том, как более широко обмениваться положительным опытом сохранения живого наследия и как привлечь внимание к голосам сообществ и их чаяниям в отношении сохранения их живого наследия. В связи с темами для анализа, установленными 17.COM (решение </w:t>
      </w:r>
      <w:hyperlink r:id="rId14" w:history="1">
        <w:r>
          <w:rPr>
            <w:rStyle w:val="Lienhypertexte"/>
            <w:rFonts w:asciiTheme="minorBidi" w:hAnsiTheme="minorBidi"/>
          </w:rPr>
          <w:t>17.COM 10</w:t>
        </w:r>
      </w:hyperlink>
      <w:r>
        <w:t>), и на основе результатов совещания экспертов категории VI (19-21 апреля 2023 года, Стокгольм, Швеция), 4-5 июля 2023 г. в штаб-квартире ЮНЕСКО состоялось заседание межправительственной рабочей группы открытого состава, учрежденной Комитетом. Рекомендации группы включали пересмотр критериев Реестра и поэтапный подход к созданию онлайн-платформы для обмена передовой практикой в области охраны наследия.</w:t>
      </w:r>
      <w:r>
        <w:rPr>
          <w:rFonts w:asciiTheme="minorBidi" w:hAnsiTheme="minorBidi"/>
        </w:rPr>
        <w:t xml:space="preserve"> В соответствии с рекомендацией восемнадцатой сессии Комитета (</w:t>
      </w:r>
      <w:r w:rsidR="008D699D" w:rsidRPr="008D699D">
        <w:rPr>
          <w:rFonts w:asciiTheme="minorBidi" w:hAnsiTheme="minorBidi"/>
        </w:rPr>
        <w:t xml:space="preserve">решение </w:t>
      </w:r>
      <w:hyperlink r:id="rId15" w:history="1">
        <w:r w:rsidR="008D699D">
          <w:rPr>
            <w:rStyle w:val="Lienhypertexte"/>
            <w:rFonts w:asciiTheme="minorBidi" w:hAnsiTheme="minorBidi"/>
          </w:rPr>
          <w:t>18.COM 11</w:t>
        </w:r>
      </w:hyperlink>
      <w:r>
        <w:rPr>
          <w:rFonts w:asciiTheme="minorBidi" w:hAnsiTheme="minorBidi"/>
        </w:rPr>
        <w:t>) на десятой сессии Генеральной ассамблеи планируется рассмотреть проект поправок к Оперативному руководству.</w:t>
      </w:r>
    </w:p>
    <w:p w14:paraId="345B5798" w14:textId="6912ABA7" w:rsidR="009A373B" w:rsidRPr="00A61B41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t xml:space="preserve">Были обеспечены услуги в области управления знаниями для поддержки эффективного управления Конвенцией. Это включает, среди прочего, бесперебойную работу онлайн-интерфейса </w:t>
      </w:r>
      <w:r>
        <w:rPr>
          <w:rFonts w:asciiTheme="minorBidi" w:hAnsiTheme="minorBidi"/>
        </w:rPr>
        <w:t>периодической</w:t>
      </w:r>
      <w:r>
        <w:t xml:space="preserve"> отчетности, который использовался государствами-участниками в Европе в 2022 году и в арабских государствах в 2023 году. Различные образовательные инструменты и инструменты управления знаниями также были доступны в режиме онлайн в формате открытого доступа.</w:t>
      </w:r>
    </w:p>
    <w:p w14:paraId="2F3C3072" w14:textId="77777777" w:rsidR="009A373B" w:rsidRPr="00A61B41" w:rsidRDefault="009A373B" w:rsidP="009A373B">
      <w:pPr>
        <w:pStyle w:val="Paragraphedeliste"/>
        <w:keepNext/>
        <w:numPr>
          <w:ilvl w:val="0"/>
          <w:numId w:val="25"/>
        </w:numPr>
        <w:spacing w:before="240" w:after="120"/>
        <w:ind w:left="562" w:hanging="562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Укрепление программы по укреплению потенциала и руководящих принципов по мерам по охране наследия и передовой практике</w:t>
      </w:r>
    </w:p>
    <w:p w14:paraId="331B512B" w14:textId="2A88AF17" w:rsidR="009A373B" w:rsidRPr="007810F4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t xml:space="preserve">Укрепление потенциала по-прежнему занимает центральное место в мандате Конвенции 2003 г. в качестве одного из двух глобальных приоритетов финансирования Конвенции: «Укрепление потенциала в области охраны нематериального культурного наследия с использованием мультимодальных подходов и содействие устойчивому </w:t>
      </w:r>
      <w:r>
        <w:rPr>
          <w:rFonts w:asciiTheme="minorBidi" w:hAnsiTheme="minorBidi"/>
        </w:rPr>
        <w:t>развитию</w:t>
      </w:r>
      <w:r>
        <w:t xml:space="preserve">». Таким образом, на период с января 2022 года по декабрь 2023 года была выделена общая сумма в размере 576 355 долларов США, т.е. 33% от статьи «Другие функции Комитета». Высокий уровень представления периодических докладов государствами из первых трех регионов, в которых проводилась эта работа, а именно Латинской Америки и Карибского бассейна, Европы и арабских государств, подтвердил эффективность принятого подхода к укреплению потенциала. 17.COM и 18.COM приветствовали переориентацию глобальной программы по укреплению потенциала, включая переход к мультимодальному подходу и расширение глобальной сети посредников (решения </w:t>
      </w:r>
      <w:hyperlink r:id="rId16" w:history="1">
        <w:r>
          <w:rPr>
            <w:rStyle w:val="Lienhypertexte"/>
          </w:rPr>
          <w:t>17.COM 5</w:t>
        </w:r>
      </w:hyperlink>
      <w:r>
        <w:t xml:space="preserve"> </w:t>
      </w:r>
      <w:r w:rsidRPr="0018586F">
        <w:rPr>
          <w:rStyle w:val="Lienhypertexte"/>
          <w:color w:val="auto"/>
          <w:u w:val="none"/>
        </w:rPr>
        <w:t>и</w:t>
      </w:r>
      <w:r>
        <w:t xml:space="preserve"> </w:t>
      </w:r>
      <w:hyperlink r:id="rId17" w:history="1">
        <w:r>
          <w:rPr>
            <w:rStyle w:val="Lienhypertexte"/>
          </w:rPr>
          <w:t>18.COM 5</w:t>
        </w:r>
      </w:hyperlink>
      <w:r>
        <w:t>).</w:t>
      </w:r>
    </w:p>
    <w:p w14:paraId="3A05AA99" w14:textId="77777777" w:rsidR="009A373B" w:rsidRPr="003C1CCC" w:rsidRDefault="009A373B" w:rsidP="009A373B">
      <w:pPr>
        <w:pStyle w:val="Paragraphedeliste"/>
        <w:keepNext/>
        <w:numPr>
          <w:ilvl w:val="0"/>
          <w:numId w:val="25"/>
        </w:numPr>
        <w:spacing w:before="240" w:after="120"/>
        <w:ind w:left="562" w:hanging="562"/>
        <w:contextualSpacing w:val="0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/>
          <w:b/>
          <w:sz w:val="22"/>
        </w:rPr>
        <w:t>Интеграция нематериального культурного наследия в планы, политику и программы развития</w:t>
      </w:r>
    </w:p>
    <w:p w14:paraId="066E9078" w14:textId="5DD7FD70" w:rsidR="009A373B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cs="Arial"/>
          <w:szCs w:val="22"/>
        </w:rPr>
      </w:pPr>
      <w:r>
        <w:t xml:space="preserve">Включение нематериального культурного наследия в планы, политику и программы в области развития является ключевым фактором содействия достижению целей Конвенции в контексте Повестки дня в области устойчивого развития на период до 2030 года. На эти цели была выделена общая сумма в размере 323 108 долларов США — т.е. 19% от статьи «Другие функции Комитета» — на период 2022-2023 гг. В соответствии с глобальным приоритетом финансирования «Сохранение нематериального культурного наследия в официальном и неофициальном образовании» около пятидесяти стран продемонстрировали интеграцию живого наследия в образовательный контекст. Также были </w:t>
      </w:r>
      <w:r>
        <w:rPr>
          <w:rFonts w:asciiTheme="minorBidi" w:hAnsiTheme="minorBidi"/>
        </w:rPr>
        <w:t>разработаны</w:t>
      </w:r>
      <w:r>
        <w:t>: глобальная учебная сеть с участием специалистов, глобальный центр обмена знаниями по живому наследию и образованию и массовый открытый дистанционный курс (MOOC) по сохранению нематериального культурного наследия и устойчивому развитию.</w:t>
      </w:r>
    </w:p>
    <w:p w14:paraId="5AA8F9C0" w14:textId="2C5563C0" w:rsidR="009A373B" w:rsidRPr="00D332EB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cs="Arial"/>
          <w:szCs w:val="22"/>
        </w:rPr>
      </w:pPr>
      <w:r>
        <w:lastRenderedPageBreak/>
        <w:t xml:space="preserve">В рамках тематических инициатив по Конвенции 2003 года и в ответ на запрос 17.COM (решение </w:t>
      </w:r>
      <w:hyperlink r:id="rId18" w:history="1">
        <w:r>
          <w:rPr>
            <w:color w:val="0000FF"/>
            <w:u w:val="single"/>
          </w:rPr>
          <w:t>17.COM 13</w:t>
        </w:r>
      </w:hyperlink>
      <w:r>
        <w:t xml:space="preserve">) на сессии 18.COM была принята к сведению директивная записка по экономическим аспектам охраны нематериального культурного наследия, цель которой — изучить пути максимального увеличения положительного воздействия на сообщества, группы и отдельных лиц при одновременном смягчении негативного воздействия экономической деятельности на охрану живого наследия и устойчивое развитие. (Решение </w:t>
      </w:r>
      <w:hyperlink r:id="rId19" w:history="1">
        <w:r w:rsidRPr="00FB56CD">
          <w:rPr>
            <w:rStyle w:val="Lienhypertexte"/>
          </w:rPr>
          <w:t>18.COM 12</w:t>
        </w:r>
      </w:hyperlink>
      <w:r>
        <w:t xml:space="preserve">). С этой целью 27-28 сентября 2023 года (штаб-квартира ЮНЕСКО) и 20 октября 2023 года (онлайн) было организовано совещание экспертов категории VI. Кроме того, продолжалось рассмотрение двух дополнительных тем, посвященных живому наследию и устойчивому </w:t>
      </w:r>
      <w:r>
        <w:rPr>
          <w:rFonts w:asciiTheme="minorBidi" w:hAnsiTheme="minorBidi"/>
        </w:rPr>
        <w:t>развитию</w:t>
      </w:r>
      <w:r>
        <w:t xml:space="preserve">: (i) охрана нематериального культурного наследия и изменение климата и (ii) охрана нематериального культурного наследия в городских условиях. 17.COM и 18.COM приняли к сведению достигнутый прогресс (решения </w:t>
      </w:r>
      <w:hyperlink r:id="rId20" w:history="1">
        <w:r>
          <w:rPr>
            <w:rStyle w:val="Lienhypertexte"/>
          </w:rPr>
          <w:t>17.COM 13</w:t>
        </w:r>
      </w:hyperlink>
      <w:r>
        <w:t xml:space="preserve"> и </w:t>
      </w:r>
      <w:hyperlink r:id="rId21" w:history="1">
        <w:r>
          <w:rPr>
            <w:rStyle w:val="Lienhypertexte"/>
          </w:rPr>
          <w:t>18.COM 12</w:t>
        </w:r>
      </w:hyperlink>
      <w:r>
        <w:t>).</w:t>
      </w:r>
    </w:p>
    <w:p w14:paraId="1F821065" w14:textId="77777777" w:rsidR="009A373B" w:rsidRPr="003C1CCC" w:rsidRDefault="009A373B" w:rsidP="009A373B">
      <w:pPr>
        <w:pStyle w:val="Paragraphedeliste"/>
        <w:keepNext/>
        <w:numPr>
          <w:ilvl w:val="0"/>
          <w:numId w:val="25"/>
        </w:numPr>
        <w:tabs>
          <w:tab w:val="num" w:pos="567"/>
        </w:tabs>
        <w:spacing w:before="240" w:after="120"/>
        <w:ind w:left="562" w:hanging="562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Повышение осведомленности и информационно-разъяснительная работа</w:t>
      </w:r>
    </w:p>
    <w:p w14:paraId="5BBBBDC5" w14:textId="436C4DF8" w:rsidR="009A373B" w:rsidRPr="003C1CCC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cs="Arial"/>
          <w:szCs w:val="22"/>
        </w:rPr>
      </w:pPr>
      <w:r>
        <w:t>Повышение осведомленности о важности нематериального культурного наследия и популяризация целей</w:t>
      </w:r>
      <w:r>
        <w:rPr>
          <w:rFonts w:asciiTheme="minorBidi" w:hAnsiTheme="minorBidi"/>
        </w:rPr>
        <w:t xml:space="preserve"> </w:t>
      </w:r>
      <w:r>
        <w:t>Конвенции сами по себе рассматриваются как действия по охране, как это определено в статье 2.3 Конвенции. На поддержку инициативы Секретариата в этих областях деятельности на период 2022-2023 гг. было выделено 410 435 долларов США — т.е. 23% от статьи «Другие функции Комитета».</w:t>
      </w:r>
    </w:p>
    <w:p w14:paraId="4C6C088E" w14:textId="77777777" w:rsidR="009A373B" w:rsidRPr="008A59AE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В 2023 году отмечалась двадцатая годовщина Конвенции об охране нематериального культурного наследия 2003 года. Это дало возможность всем заинтересованным сторонам подвести итоги достигнутого прогресса и поразмышлять о будущих направлениях деятельности Конвенции. Юбилей, организованный под девизом We Are #LivingHeritage, также дал возможность поразмышлять о роли Конвенции 2003 года в повышении осведомленности о разнообразии и богатстве нематериального культурного наследия и в развитии международного сотрудничества. Важным событием стало организованное в честь юбилея Всемирное совещание, по итогам которого было принято «Сеульское видение будущего охраны живого наследия в интересах устойчивого развития и мира» (25-26 июля 2023 г., Сеул, Республика Корея).</w:t>
      </w:r>
    </w:p>
    <w:p w14:paraId="67910F31" w14:textId="0DF91E77" w:rsidR="009A373B" w:rsidRPr="00C369A4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cs="Arial"/>
          <w:szCs w:val="22"/>
        </w:rPr>
      </w:pPr>
      <w:r>
        <w:t>В соответствии с практикой, введенной в 2020 году, на сессиях 17.COM и 18.COM был рассмотрен «Доклад форума неправительственных организаций» в рамках отдельного пункта повестки дня. В продолжение начатой работы (2018-2020 гг.) по изучению неиспользованного потенциала аккредитованных НПО Форум неправительственных организаций нематериального культурного наследия (ICH NGO Forum) провел работу по выявлению областей компетенции 65 аккредитованных НПО; на 18.COM была представлена инфографика, подготовленная по итогам этой работы.</w:t>
      </w:r>
    </w:p>
    <w:p w14:paraId="4300C250" w14:textId="77777777" w:rsidR="009A373B" w:rsidRPr="003C1CCC" w:rsidRDefault="009A373B" w:rsidP="009A373B">
      <w:pPr>
        <w:keepNext/>
        <w:numPr>
          <w:ilvl w:val="0"/>
          <w:numId w:val="24"/>
        </w:numPr>
        <w:tabs>
          <w:tab w:val="num" w:pos="567"/>
        </w:tabs>
        <w:snapToGrid w:val="0"/>
        <w:spacing w:before="24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Подготовка проекта плана использования средств Фонда и изыскание путей увеличения ресурсов Фонда</w:t>
      </w:r>
      <w:r>
        <w:rPr>
          <w:rFonts w:ascii="Arial" w:hAnsi="Arial"/>
          <w:sz w:val="22"/>
        </w:rPr>
        <w:t xml:space="preserve"> (статьи 7[c] и 7[d])</w:t>
      </w:r>
    </w:p>
    <w:p w14:paraId="0F2B460A" w14:textId="4F27CC0A" w:rsidR="009A373B" w:rsidRPr="00CD4A12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На своей восемнадцатой сессии Комитет рассмотрел проект плана использования средств Фонда на период с 1 января 2024 года по 31 декабря 2025 года и, на предварительной основе, на первое полугодие 2026 года (решение</w:t>
      </w:r>
      <w:r>
        <w:t xml:space="preserve"> </w:t>
      </w:r>
      <w:hyperlink r:id="rId22" w:history="1">
        <w:r>
          <w:rPr>
            <w:rStyle w:val="Lienhypertexte"/>
            <w:rFonts w:asciiTheme="minorBidi" w:hAnsiTheme="minorBidi"/>
          </w:rPr>
          <w:t>18.COM 14</w:t>
        </w:r>
      </w:hyperlink>
      <w:r>
        <w:rPr>
          <w:rFonts w:asciiTheme="minorBidi" w:hAnsiTheme="minorBidi"/>
        </w:rPr>
        <w:t>). В соответствии с процедурой утверждения «Других функций Комитета», введенной Комитетом в 2019 году (решение</w:t>
      </w:r>
      <w:r>
        <w:t xml:space="preserve"> </w:t>
      </w:r>
      <w:hyperlink r:id="rId23" w:history="1">
        <w:r>
          <w:rPr>
            <w:rStyle w:val="Lienhypertexte"/>
            <w:rFonts w:asciiTheme="minorBidi" w:hAnsiTheme="minorBidi"/>
          </w:rPr>
          <w:t>14.COM 7</w:t>
        </w:r>
      </w:hyperlink>
      <w:r>
        <w:rPr>
          <w:rStyle w:val="Lienhypertexte"/>
          <w:rFonts w:asciiTheme="minorBidi" w:hAnsiTheme="minorBidi"/>
        </w:rPr>
        <w:t>)</w:t>
      </w:r>
      <w:r>
        <w:rPr>
          <w:rFonts w:asciiTheme="minorBidi" w:hAnsiTheme="minorBidi"/>
        </w:rPr>
        <w:t>, проект плана был представлен с процентной разбивкой по бюджетной статье «Другие функции Комитета» с учетом ожидаемых результатов в соответствии с утвержденным документом C/5. Этот проект плана будет представлен на утверждение десятой сессии Генеральной ассамблеи в 2024 г. Наибольшая доля средств по-прежнему выделяется на международную помощь (подробный план см. в документе</w:t>
      </w:r>
      <w:r>
        <w:t xml:space="preserve"> </w:t>
      </w:r>
      <w:hyperlink r:id="rId24" w:history="1">
        <w:r>
          <w:rPr>
            <w:rStyle w:val="Lienhypertexte"/>
            <w:rFonts w:asciiTheme="minorBidi" w:hAnsiTheme="minorBidi"/>
          </w:rPr>
          <w:t>LHE/23/18.COM/14</w:t>
        </w:r>
      </w:hyperlink>
      <w:r>
        <w:rPr>
          <w:rFonts w:asciiTheme="minorBidi" w:hAnsiTheme="minorBidi"/>
        </w:rPr>
        <w:t>).</w:t>
      </w:r>
    </w:p>
    <w:p w14:paraId="0A2AB258" w14:textId="77777777" w:rsidR="009A373B" w:rsidRPr="00CD4A12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bookmarkStart w:id="1" w:name="_Hlk144213364"/>
      <w:r>
        <w:rPr>
          <w:rFonts w:asciiTheme="minorBidi" w:hAnsiTheme="minorBidi"/>
        </w:rPr>
        <w:t xml:space="preserve">За отчетный период в Фонд были внесены добровольные дополнительные взносы в размере 196 046,80 долларов США от Нидерландов и Международного центра информации и налаживания связей по нематериальному культурному наследию в Азиатско-Тихоокеанском регионе под эгидой ЮНЕСКО (ICHCAP, Республика Корея). </w:t>
      </w:r>
      <w:r>
        <w:rPr>
          <w:rFonts w:asciiTheme="minorBidi" w:hAnsiTheme="minorBidi"/>
        </w:rPr>
        <w:lastRenderedPageBreak/>
        <w:t>Эти взносы были направлены на финансирование первого из двух приоритетов финансирования, «Укрепление потенциала в области охраны нематериального культурного наследия и содействие устойчивому развитию» и «Охрана нематериального культурного наследия в официальном и неофициальном образовании», которые были утверждены на период 2018-2021 гг. (решение</w:t>
      </w:r>
      <w:r>
        <w:t xml:space="preserve"> </w:t>
      </w:r>
      <w:hyperlink r:id="rId25" w:history="1">
        <w:r>
          <w:rPr>
            <w:rStyle w:val="Lienhypertexte"/>
            <w:rFonts w:asciiTheme="minorBidi" w:hAnsiTheme="minorBidi"/>
          </w:rPr>
          <w:t>12.COM 6</w:t>
        </w:r>
      </w:hyperlink>
      <w:r>
        <w:rPr>
          <w:rFonts w:asciiTheme="minorBidi" w:hAnsiTheme="minorBidi"/>
        </w:rPr>
        <w:t>) и впоследствии продлены на шестнадцатой сессии Комитета (решение</w:t>
      </w:r>
      <w:r>
        <w:t xml:space="preserve"> </w:t>
      </w:r>
      <w:hyperlink r:id="rId26" w:history="1">
        <w:r>
          <w:rPr>
            <w:rStyle w:val="Lienhypertexte"/>
            <w:rFonts w:asciiTheme="minorBidi" w:hAnsiTheme="minorBidi"/>
          </w:rPr>
          <w:t>16.COM 12</w:t>
        </w:r>
      </w:hyperlink>
      <w:r>
        <w:rPr>
          <w:rFonts w:asciiTheme="minorBidi" w:hAnsiTheme="minorBidi"/>
        </w:rPr>
        <w:t>) на период 2022-2025 гг. В субфонд Фонда, предназначенный исключительно для укрепления кадрового потенциала Секретариата, также поступили взносы в размере 134 201,81 долл. США от Литвы, Монако, Словакии, Словении и Франции (документ</w:t>
      </w:r>
      <w:r>
        <w:t xml:space="preserve"> </w:t>
      </w:r>
      <w:hyperlink r:id="rId27" w:history="1">
        <w:r>
          <w:rPr>
            <w:rStyle w:val="Lienhypertexte"/>
            <w:rFonts w:asciiTheme="minorBidi" w:hAnsiTheme="minorBidi"/>
          </w:rPr>
          <w:t>LHE/23/18.COM/INF.14</w:t>
        </w:r>
      </w:hyperlink>
      <w:r>
        <w:rPr>
          <w:rFonts w:asciiTheme="minorBidi" w:hAnsiTheme="minorBidi"/>
        </w:rPr>
        <w:t>).</w:t>
      </w:r>
    </w:p>
    <w:bookmarkEnd w:id="1"/>
    <w:p w14:paraId="2308A31A" w14:textId="77777777" w:rsidR="009A373B" w:rsidRPr="00CD4A12" w:rsidRDefault="009A373B" w:rsidP="009A373B">
      <w:pPr>
        <w:keepNext/>
        <w:numPr>
          <w:ilvl w:val="0"/>
          <w:numId w:val="24"/>
        </w:numPr>
        <w:tabs>
          <w:tab w:val="clear" w:pos="720"/>
          <w:tab w:val="num" w:pos="567"/>
        </w:tabs>
        <w:spacing w:before="240" w:after="120"/>
        <w:ind w:left="562" w:hanging="562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Рассмотрение докладов государств-участников</w:t>
      </w:r>
      <w:r>
        <w:rPr>
          <w:rFonts w:ascii="Arial" w:hAnsi="Arial"/>
          <w:sz w:val="22"/>
        </w:rPr>
        <w:t xml:space="preserve"> (статья 7[f])</w:t>
      </w:r>
    </w:p>
    <w:p w14:paraId="1D65DAB7" w14:textId="7AF8F6F0" w:rsidR="009A373B" w:rsidRPr="00CD4A12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</w:rPr>
      </w:pPr>
      <w:r>
        <w:rPr>
          <w:rFonts w:asciiTheme="minorBidi" w:hAnsiTheme="minorBidi"/>
        </w:rPr>
        <w:t>Комитет рассмотрел тридцать девять докладов о состоянии элементов, включенных в Список наследия, нуждающегося в срочной охране: двадцать четыре на семнадцатой сессии в 2022 году и пятнадцать на восемнадцатой сессии в 2023 году. При рассмотрении этих докладов Комитет признал повышение жизнеспособности некоторых включенных элементов, которые, как сообщалось, больше не нуждаются в срочной охране, и принял к сведению стремление тех государств-участников, которые выразили желание перевести элементы из Списка, наследия, нуждающегося в срочной охране, в Репрезентативный список (решение</w:t>
      </w:r>
      <w:r>
        <w:t xml:space="preserve"> </w:t>
      </w:r>
      <w:hyperlink r:id="rId28" w:history="1">
        <w:r>
          <w:rPr>
            <w:rStyle w:val="Lienhypertexte"/>
            <w:rFonts w:asciiTheme="minorBidi" w:hAnsiTheme="minorBidi"/>
          </w:rPr>
          <w:t>17.COM 6.a</w:t>
        </w:r>
      </w:hyperlink>
      <w:r>
        <w:t xml:space="preserve"> </w:t>
      </w:r>
      <w:r>
        <w:rPr>
          <w:rFonts w:asciiTheme="minorBidi" w:hAnsiTheme="minorBidi"/>
        </w:rPr>
        <w:t>и решение</w:t>
      </w:r>
      <w:r>
        <w:t xml:space="preserve"> </w:t>
      </w:r>
      <w:hyperlink r:id="rId29" w:history="1">
        <w:r>
          <w:rPr>
            <w:rStyle w:val="Lienhypertexte"/>
            <w:rFonts w:asciiTheme="minorBidi" w:hAnsiTheme="minorBidi"/>
          </w:rPr>
          <w:t>18.COM 7.a</w:t>
        </w:r>
      </w:hyperlink>
      <w:r>
        <w:rPr>
          <w:rFonts w:asciiTheme="minorBidi" w:hAnsiTheme="minorBidi"/>
        </w:rPr>
        <w:t>).</w:t>
      </w:r>
    </w:p>
    <w:p w14:paraId="67844FC8" w14:textId="6C1DE1F4" w:rsidR="009A373B" w:rsidRPr="00CD4A12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bookmarkStart w:id="2" w:name="_Hlk165283084"/>
      <w:r>
        <w:rPr>
          <w:rFonts w:asciiTheme="minorBidi" w:hAnsiTheme="minorBidi"/>
        </w:rPr>
        <w:t>В рамках текущего цикла периодических докладов Комитет рассмотрел в общей сложности шестьдесят два доклада: на сессии 17.COM были рассмотрены доклады, представленные всеми сорока четырьмя государствами-участниками в Европе (решение</w:t>
      </w:r>
      <w:r>
        <w:t xml:space="preserve"> </w:t>
      </w:r>
      <w:hyperlink r:id="rId30" w:history="1">
        <w:r>
          <w:rPr>
            <w:rStyle w:val="Lienhypertexte"/>
            <w:rFonts w:asciiTheme="minorBidi" w:hAnsiTheme="minorBidi"/>
          </w:rPr>
          <w:t>17.COM 6.b</w:t>
        </w:r>
      </w:hyperlink>
      <w:r>
        <w:rPr>
          <w:rFonts w:asciiTheme="minorBidi" w:hAnsiTheme="minorBidi"/>
        </w:rPr>
        <w:t>), а на 18.COM — доклады, представленные всеми восемнадцатью арабскими государствами-участниками (решение</w:t>
      </w:r>
      <w:r>
        <w:t xml:space="preserve"> </w:t>
      </w:r>
      <w:hyperlink r:id="rId31" w:history="1">
        <w:r>
          <w:rPr>
            <w:rStyle w:val="Lienhypertexte"/>
            <w:rFonts w:asciiTheme="minorBidi" w:hAnsiTheme="minorBidi"/>
          </w:rPr>
          <w:t>18.COM 7.b</w:t>
        </w:r>
      </w:hyperlink>
      <w:r>
        <w:rPr>
          <w:rFonts w:asciiTheme="minorBidi" w:hAnsiTheme="minorBidi"/>
        </w:rPr>
        <w:t xml:space="preserve">; по состоянию на декабрь 2023 г.). </w:t>
      </w:r>
      <w:bookmarkStart w:id="3" w:name="_Hlk164940138"/>
      <w:r>
        <w:rPr>
          <w:rFonts w:asciiTheme="minorBidi" w:hAnsiTheme="minorBidi"/>
        </w:rPr>
        <w:t>На сессии 18.COM были рассмотрены</w:t>
      </w:r>
      <w:r>
        <w:t xml:space="preserve"> </w:t>
      </w:r>
      <w:bookmarkStart w:id="4" w:name="_Hlk162280304"/>
      <w:r>
        <w:rPr>
          <w:rFonts w:asciiTheme="minorBidi" w:hAnsiTheme="minorBidi"/>
        </w:rPr>
        <w:t>пути дальнейшего согласования механизма периодической отчетности, в том числе с целью подготовки четырехгодичного Глобального доклада о политике в сферы культуры начиная с 2025 г. в соответствии с Декларацией МОНДИАКУЛЬТ 2022</w:t>
      </w:r>
      <w:bookmarkEnd w:id="4"/>
      <w:r>
        <w:t xml:space="preserve"> </w:t>
      </w:r>
      <w:r>
        <w:rPr>
          <w:rFonts w:asciiTheme="minorBidi" w:hAnsiTheme="minorBidi"/>
        </w:rPr>
        <w:t>(решение</w:t>
      </w:r>
      <w:r>
        <w:t xml:space="preserve"> </w:t>
      </w:r>
      <w:hyperlink r:id="rId32" w:history="1">
        <w:r>
          <w:rPr>
            <w:rStyle w:val="Lienhypertexte"/>
            <w:rFonts w:asciiTheme="minorBidi" w:hAnsiTheme="minorBidi"/>
          </w:rPr>
          <w:t>18.COM 7.c</w:t>
        </w:r>
      </w:hyperlink>
      <w:r>
        <w:rPr>
          <w:rFonts w:asciiTheme="minorBidi" w:hAnsiTheme="minorBidi"/>
        </w:rPr>
        <w:t>).</w:t>
      </w:r>
      <w:bookmarkEnd w:id="3"/>
    </w:p>
    <w:bookmarkEnd w:id="2"/>
    <w:p w14:paraId="59F5996D" w14:textId="77777777" w:rsidR="009A373B" w:rsidRPr="00D33F36" w:rsidRDefault="009A373B" w:rsidP="009A373B">
      <w:pPr>
        <w:widowControl w:val="0"/>
        <w:numPr>
          <w:ilvl w:val="0"/>
          <w:numId w:val="24"/>
        </w:numPr>
        <w:tabs>
          <w:tab w:val="clear" w:pos="720"/>
        </w:tabs>
        <w:spacing w:before="24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Включение в списки Конвенции, отбор передового опыта по сохранению наследия и предоставления международной помощи</w:t>
      </w:r>
      <w:r>
        <w:rPr>
          <w:rFonts w:ascii="Arial" w:hAnsi="Arial"/>
          <w:sz w:val="22"/>
        </w:rPr>
        <w:t xml:space="preserve"> (статья 7[g])</w:t>
      </w:r>
    </w:p>
    <w:p w14:paraId="3E0BC869" w14:textId="1425EF63" w:rsidR="009A373B" w:rsidRPr="00D33F36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/>
          <w:szCs w:val="22"/>
        </w:rPr>
      </w:pPr>
      <w:r>
        <w:rPr>
          <w:rFonts w:asciiTheme="minorBidi" w:hAnsiTheme="minorBidi"/>
        </w:rPr>
        <w:t>Комитет рассмотрел 111 досье и включил в списки Конвенции в общей сложности 103 элемента: 11 — в Список наследия, нуждающегося в срочной охране и 84 — в Репрезентативный список. Кроме того, он отобрал восемь примеров передовой практики по охране наследия.</w:t>
      </w:r>
    </w:p>
    <w:p w14:paraId="65142781" w14:textId="38E77CBD" w:rsidR="009A373B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cs="Arial"/>
          <w:szCs w:val="22"/>
        </w:rPr>
      </w:pPr>
      <w:r>
        <w:t xml:space="preserve">Комитет (для запросов на сумму свыше 100 000 долларов США) и Президиум (для запросов на сумму до 100 000 долларов США и чрезвычайных запросов) утвердили тридцать </w:t>
      </w:r>
      <w:r>
        <w:rPr>
          <w:rFonts w:asciiTheme="minorBidi" w:hAnsiTheme="minorBidi"/>
        </w:rPr>
        <w:t>запросов</w:t>
      </w:r>
      <w:r>
        <w:t xml:space="preserve"> на международную помощь на общую сумму 3 492 482 долл. США. Всего за отчетный период финансовую помощь от Фонда получили тридцать шесть стран.</w:t>
      </w:r>
    </w:p>
    <w:p w14:paraId="513C6504" w14:textId="77777777" w:rsidR="009A373B" w:rsidRPr="00136E73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cs="Arial"/>
          <w:szCs w:val="22"/>
        </w:rPr>
      </w:pPr>
      <w:r>
        <w:t xml:space="preserve">В контексте продолжающейся войны в Украине пятая внеочередная сессия Комитета постановила включить «Культуру приготовления украинского борща» в Список наследия, нуждающегося в срочной охране в качестве вопроса чрезвычайной срочности путем первого применения статьи 17.3 Конвенции (решение </w:t>
      </w:r>
      <w:hyperlink r:id="rId33" w:history="1">
        <w:r>
          <w:rPr>
            <w:rStyle w:val="Lienhypertexte"/>
          </w:rPr>
          <w:t>5.EXT.COM 5</w:t>
        </w:r>
      </w:hyperlink>
      <w:r>
        <w:t>). Оперативное рассмотрение заявки в течение десяти недель с момента ее получения свидетельствует о способности Комитета реагировать в соответствии с Оперативными принципами и методами охраны нематериального культурного наследия в чрезвычайных ситуациях.</w:t>
      </w:r>
    </w:p>
    <w:p w14:paraId="14FC2C8A" w14:textId="53444C19" w:rsidR="009A373B" w:rsidRPr="002931FD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/>
          <w:szCs w:val="22"/>
        </w:rPr>
      </w:pPr>
      <w:r>
        <w:rPr>
          <w:rFonts w:asciiTheme="minorBidi" w:hAnsiTheme="minorBidi"/>
        </w:rPr>
        <w:t xml:space="preserve">В отчетный период завершился глобальный анализ механизмов составления списков. После совещания экспертов, а также совещания межправительственной рабочей группы открытого состава, состоящего из трех частей (включая часть III совещания, проведенную в режиме онлайн 25 и 26 апреля 2022 г.) девятая сессия Генеральной ассамблеи в июле 2022 г. рассмотрела рекомендации рабочей группы и утвердила </w:t>
      </w:r>
      <w:r>
        <w:rPr>
          <w:rFonts w:asciiTheme="minorBidi" w:hAnsiTheme="minorBidi"/>
        </w:rPr>
        <w:lastRenderedPageBreak/>
        <w:t>поправки к Оперативному руководству (резолюция</w:t>
      </w:r>
      <w:r>
        <w:t xml:space="preserve"> </w:t>
      </w:r>
      <w:hyperlink r:id="rId34" w:history="1">
        <w:r>
          <w:rPr>
            <w:rStyle w:val="Lienhypertexte"/>
            <w:rFonts w:asciiTheme="minorBidi" w:hAnsiTheme="minorBidi"/>
          </w:rPr>
          <w:t>9.GA 9</w:t>
        </w:r>
      </w:hyperlink>
      <w:r>
        <w:rPr>
          <w:rFonts w:asciiTheme="minorBidi" w:hAnsiTheme="minorBidi"/>
        </w:rPr>
        <w:t>), одобренные шестнадцатой сессией Комитета</w:t>
      </w:r>
      <w:r>
        <w:t xml:space="preserve"> (решение </w:t>
      </w:r>
      <w:hyperlink r:id="rId35" w:history="1">
        <w:r>
          <w:rPr>
            <w:rStyle w:val="Lienhypertexte"/>
            <w:rFonts w:asciiTheme="minorBidi" w:hAnsiTheme="minorBidi"/>
            <w:snapToGrid/>
          </w:rPr>
          <w:t>16.COM 14</w:t>
        </w:r>
      </w:hyperlink>
      <w:r>
        <w:rPr>
          <w:rStyle w:val="Lienhypertexte"/>
          <w:rFonts w:asciiTheme="minorBidi" w:hAnsiTheme="minorBidi"/>
          <w:snapToGrid/>
        </w:rPr>
        <w:t>)</w:t>
      </w:r>
      <w:r>
        <w:rPr>
          <w:rFonts w:asciiTheme="minorBidi" w:hAnsiTheme="minorBidi"/>
        </w:rPr>
        <w:t xml:space="preserve"> и пятой внеочередной сессией Комитета (решение</w:t>
      </w:r>
      <w:r>
        <w:t xml:space="preserve"> </w:t>
      </w:r>
      <w:hyperlink r:id="rId36" w:history="1">
        <w:r>
          <w:rPr>
            <w:rStyle w:val="Lienhypertexte"/>
            <w:rFonts w:asciiTheme="minorBidi" w:hAnsiTheme="minorBidi"/>
          </w:rPr>
          <w:t>5.EXT.COM 4</w:t>
        </w:r>
      </w:hyperlink>
      <w:r>
        <w:rPr>
          <w:rFonts w:asciiTheme="minorBidi" w:hAnsiTheme="minorBidi"/>
        </w:rPr>
        <w:t>). В частности, в ходе реформы были установлены, среди прочего, процедуры перемещения элементов между списками и включения элементов на расширенной или сокращенной основе на национальном и международном уровнях, а также процедура исключения элемента из одного из списков и механизм последующих действий в отношении элемента, в настоящее время включенного в список.</w:t>
      </w:r>
    </w:p>
    <w:p w14:paraId="294554B2" w14:textId="77777777" w:rsidR="009A373B" w:rsidRPr="00AA5CFF" w:rsidRDefault="009A373B" w:rsidP="009A373B">
      <w:pPr>
        <w:pStyle w:val="Marge"/>
        <w:numPr>
          <w:ilvl w:val="0"/>
          <w:numId w:val="23"/>
        </w:numPr>
        <w:tabs>
          <w:tab w:val="clear" w:pos="502"/>
          <w:tab w:val="clear" w:pos="567"/>
        </w:tabs>
        <w:spacing w:before="120" w:after="120"/>
        <w:ind w:left="567" w:hanging="567"/>
        <w:rPr>
          <w:rFonts w:cs="Arial"/>
          <w:szCs w:val="22"/>
        </w:rPr>
      </w:pPr>
      <w:r>
        <w:t xml:space="preserve">Впервые применив недавно установленную процедуру исключения, сессия 17.COM постановила исключить мероприятие «Дюкасс в Ате», входящее в «Шествия гигантов и драконов в Бельгии и Франции» (Бельгия и Франция), из Репрезентативного списка (решение </w:t>
      </w:r>
      <w:hyperlink r:id="rId37" w:history="1">
        <w:r>
          <w:rPr>
            <w:rStyle w:val="Lienhypertexte"/>
          </w:rPr>
          <w:t>17.COM 8.a</w:t>
        </w:r>
      </w:hyperlink>
      <w:r>
        <w:t xml:space="preserve">; документ </w:t>
      </w:r>
      <w:hyperlink r:id="rId38" w:history="1">
        <w:r>
          <w:rPr>
            <w:rStyle w:val="Lienhypertexte"/>
          </w:rPr>
          <w:t>LHE/22/17.COM 8</w:t>
        </w:r>
      </w:hyperlink>
      <w:r>
        <w:t>). Комитет считает, что обвинения в расизме и дискриминации, выдвинутые в связи с персонажем «Соваж», являются серьезным вопросом, который необходимо рассмотреть, поскольку они затрагивают основополагающие принципы ЮНЕСКО, касающиеся достоинства, равенства и взаимного уважения между народами, отраженные в преамбуле Устава Организации, а также требование взаимного уважения между сообществами, группами и отдельными лицами, как это предусмотрено в статье 2 Конвенции.</w:t>
      </w:r>
    </w:p>
    <w:p w14:paraId="1B08DF9D" w14:textId="77777777" w:rsidR="00190205" w:rsidRPr="00961460" w:rsidRDefault="00190205" w:rsidP="00D86BB3">
      <w:pPr>
        <w:rPr>
          <w:rFonts w:ascii="Arial" w:eastAsia="SimSun" w:hAnsi="Arial" w:cs="Arial"/>
          <w:sz w:val="22"/>
          <w:szCs w:val="22"/>
          <w:u w:val="single"/>
        </w:rPr>
      </w:pPr>
    </w:p>
    <w:sectPr w:rsidR="00190205" w:rsidRPr="00961460" w:rsidSect="00771232">
      <w:headerReference w:type="even" r:id="rId39"/>
      <w:headerReference w:type="default" r:id="rId40"/>
      <w:headerReference w:type="first" r:id="rId41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A8E9" w14:textId="77777777" w:rsidR="00771232" w:rsidRDefault="00771232" w:rsidP="00655736">
      <w:r>
        <w:separator/>
      </w:r>
    </w:p>
  </w:endnote>
  <w:endnote w:type="continuationSeparator" w:id="0">
    <w:p w14:paraId="1E6161B0" w14:textId="77777777" w:rsidR="00771232" w:rsidRDefault="00771232" w:rsidP="00655736">
      <w:r>
        <w:continuationSeparator/>
      </w:r>
    </w:p>
  </w:endnote>
  <w:endnote w:type="continuationNotice" w:id="1">
    <w:p w14:paraId="670CB7D2" w14:textId="77777777" w:rsidR="00771232" w:rsidRDefault="00771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B878" w14:textId="77777777" w:rsidR="00771232" w:rsidRDefault="00771232" w:rsidP="00655736">
      <w:r>
        <w:separator/>
      </w:r>
    </w:p>
  </w:footnote>
  <w:footnote w:type="continuationSeparator" w:id="0">
    <w:p w14:paraId="2E0D341C" w14:textId="77777777" w:rsidR="00771232" w:rsidRDefault="00771232" w:rsidP="00655736">
      <w:r>
        <w:continuationSeparator/>
      </w:r>
    </w:p>
  </w:footnote>
  <w:footnote w:type="continuationNotice" w:id="1">
    <w:p w14:paraId="2B301B9E" w14:textId="77777777" w:rsidR="00771232" w:rsidRDefault="00771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62E48926" w:rsidR="00D95C4C" w:rsidRPr="00C23A97" w:rsidRDefault="00C5776D" w:rsidP="00C5776D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>LHE/24/10.GA/5</w:t>
    </w:r>
    <w:r w:rsidR="00E83D96">
      <w:rPr>
        <w:rFonts w:ascii="Arial" w:hAnsi="Arial"/>
        <w:sz w:val="20"/>
        <w:lang w:val="fr-FR"/>
      </w:rPr>
      <w:t xml:space="preserve"> </w:t>
    </w:r>
    <w:r w:rsidR="00E83D96">
      <w:rPr>
        <w:rFonts w:ascii="Arial" w:hAnsi="Arial" w:cs="Arial"/>
        <w:sz w:val="20"/>
        <w:szCs w:val="20"/>
      </w:rPr>
      <w:t>–</w:t>
    </w:r>
    <w:r w:rsidR="00E83D96">
      <w:rPr>
        <w:rFonts w:ascii="Arial" w:hAnsi="Arial"/>
        <w:sz w:val="20"/>
      </w:rPr>
      <w:t xml:space="preserve"> </w:t>
    </w:r>
    <w:r w:rsidR="00E83D96" w:rsidRPr="002874EA">
      <w:rPr>
        <w:rFonts w:ascii="Arial" w:hAnsi="Arial"/>
        <w:sz w:val="20"/>
      </w:rPr>
      <w:t>страница</w:t>
    </w:r>
    <w:r w:rsidR="00E83D96" w:rsidDel="00B53AED">
      <w:rPr>
        <w:rFonts w:ascii="Arial" w:hAnsi="Arial"/>
        <w:sz w:val="20"/>
      </w:rPr>
      <w:t xml:space="preserve"> </w:t>
    </w:r>
    <w:r w:rsidR="00D95C4C" w:rsidRPr="00C23A97">
      <w:rPr>
        <w:rStyle w:val="Numrodepage"/>
        <w:rFonts w:ascii="Arial" w:hAnsi="Arial" w:cs="Arial"/>
        <w:sz w:val="20"/>
      </w:rPr>
      <w:fldChar w:fldCharType="begin"/>
    </w:r>
    <w:r w:rsidR="00D95C4C" w:rsidRPr="00C23A97">
      <w:rPr>
        <w:rStyle w:val="Numrodepage"/>
        <w:rFonts w:ascii="Arial" w:hAnsi="Arial" w:cs="Arial"/>
        <w:sz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</w:rPr>
      <w:fldChar w:fldCharType="separate"/>
    </w:r>
    <w:r w:rsidR="006E75EB">
      <w:rPr>
        <w:rStyle w:val="Numrodepage"/>
        <w:rFonts w:ascii="Arial" w:hAnsi="Arial" w:cs="Arial"/>
        <w:sz w:val="20"/>
      </w:rPr>
      <w:t>2</w:t>
    </w:r>
    <w:r w:rsidR="00D95C4C" w:rsidRPr="00C23A97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5701C907" w:rsidR="00D95C4C" w:rsidRPr="0063300C" w:rsidRDefault="00C5776D" w:rsidP="00C5776D">
    <w:pPr>
      <w:pStyle w:val="En-tte"/>
      <w:jc w:val="right"/>
      <w:rPr>
        <w:rFonts w:ascii="Arial" w:hAnsi="Arial" w:cs="Arial"/>
      </w:rPr>
    </w:pPr>
    <w:r>
      <w:rPr>
        <w:rFonts w:ascii="Arial" w:hAnsi="Arial"/>
        <w:sz w:val="20"/>
      </w:rPr>
      <w:t>LHE/24/10.GA/5</w:t>
    </w:r>
    <w:r w:rsidR="00E83D96">
      <w:rPr>
        <w:rFonts w:ascii="Arial" w:hAnsi="Arial"/>
        <w:sz w:val="20"/>
        <w:lang w:val="fr-FR"/>
      </w:rPr>
      <w:t xml:space="preserve"> </w:t>
    </w:r>
    <w:r w:rsidR="00E83D96">
      <w:rPr>
        <w:rFonts w:ascii="Arial" w:hAnsi="Arial" w:cs="Arial"/>
        <w:sz w:val="20"/>
        <w:szCs w:val="20"/>
      </w:rPr>
      <w:t>–</w:t>
    </w:r>
    <w:r w:rsidR="00E83D96">
      <w:rPr>
        <w:rFonts w:ascii="Arial" w:hAnsi="Arial"/>
        <w:sz w:val="20"/>
      </w:rPr>
      <w:t xml:space="preserve"> </w:t>
    </w:r>
    <w:r w:rsidR="00E83D96" w:rsidRPr="002874EA">
      <w:rPr>
        <w:rFonts w:ascii="Arial" w:hAnsi="Arial"/>
        <w:sz w:val="20"/>
      </w:rPr>
      <w:t>страница</w:t>
    </w:r>
    <w:r w:rsidR="00E83D96" w:rsidDel="00B53AED">
      <w:rPr>
        <w:rFonts w:ascii="Arial" w:hAnsi="Arial"/>
        <w:sz w:val="20"/>
      </w:rPr>
      <w:t xml:space="preserve"> </w:t>
    </w:r>
    <w:r w:rsidR="004A34A0" w:rsidRPr="0063300C">
      <w:rPr>
        <w:rStyle w:val="Numrodepage"/>
        <w:rFonts w:ascii="Arial" w:hAnsi="Arial" w:cs="Arial"/>
        <w:sz w:val="20"/>
      </w:rPr>
      <w:fldChar w:fldCharType="begin"/>
    </w:r>
    <w:r w:rsidR="004A34A0" w:rsidRPr="0063300C">
      <w:rPr>
        <w:rStyle w:val="Numrodepage"/>
        <w:rFonts w:ascii="Arial" w:hAnsi="Arial" w:cs="Arial"/>
        <w:sz w:val="20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</w:rPr>
      <w:fldChar w:fldCharType="separate"/>
    </w:r>
    <w:r w:rsidR="00190205">
      <w:rPr>
        <w:rStyle w:val="Numrodepage"/>
        <w:rFonts w:ascii="Arial" w:hAnsi="Arial" w:cs="Arial"/>
        <w:sz w:val="20"/>
      </w:rPr>
      <w:t>3</w:t>
    </w:r>
    <w:r w:rsidR="004A34A0" w:rsidRPr="0063300C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59B6" w14:textId="77777777" w:rsidR="002B75A6" w:rsidRPr="00E95AE2" w:rsidRDefault="002B75A6" w:rsidP="002B75A6">
    <w:pPr>
      <w:pStyle w:val="En-tt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95AD7F" wp14:editId="2B0A0C97">
          <wp:simplePos x="0" y="0"/>
          <wp:positionH relativeFrom="margin">
            <wp:posOffset>6721</wp:posOffset>
          </wp:positionH>
          <wp:positionV relativeFrom="paragraph">
            <wp:posOffset>92710</wp:posOffset>
          </wp:positionV>
          <wp:extent cx="1510030" cy="12960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3587C" w14:textId="77777777" w:rsidR="002B75A6" w:rsidRPr="00D7105A" w:rsidRDefault="002B75A6" w:rsidP="002B75A6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10 GA</w:t>
    </w:r>
  </w:p>
  <w:p w14:paraId="53665DD2" w14:textId="77777777" w:rsidR="002B75A6" w:rsidRPr="00D7105A" w:rsidRDefault="002B75A6" w:rsidP="002B75A6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LHE/24/10.GA/5</w:t>
    </w:r>
  </w:p>
  <w:p w14:paraId="192A13CA" w14:textId="3FDF98AE" w:rsidR="002B75A6" w:rsidRPr="009A3BEB" w:rsidRDefault="002B75A6" w:rsidP="002B75A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Париж, </w:t>
    </w:r>
    <w:r w:rsidR="00932AC0" w:rsidRPr="0018586F">
      <w:rPr>
        <w:rFonts w:ascii="Arial" w:hAnsi="Arial"/>
        <w:b/>
        <w:sz w:val="22"/>
      </w:rPr>
      <w:t>13</w:t>
    </w:r>
    <w:r w:rsidR="00932AC0">
      <w:rPr>
        <w:rFonts w:ascii="Arial" w:hAnsi="Arial"/>
        <w:b/>
        <w:sz w:val="22"/>
      </w:rPr>
      <w:t xml:space="preserve"> </w:t>
    </w:r>
    <w:r>
      <w:rPr>
        <w:rFonts w:ascii="Arial" w:hAnsi="Arial"/>
        <w:b/>
        <w:sz w:val="22"/>
      </w:rPr>
      <w:t>мая 2024 г</w:t>
    </w:r>
    <w:r w:rsidR="009A3BEB" w:rsidRPr="009A3BEB">
      <w:rPr>
        <w:rFonts w:ascii="Arial" w:hAnsi="Arial"/>
        <w:b/>
        <w:sz w:val="22"/>
      </w:rPr>
      <w:t>.</w:t>
    </w:r>
  </w:p>
  <w:p w14:paraId="7E45DF55" w14:textId="77777777" w:rsidR="002B75A6" w:rsidRPr="009316D2" w:rsidRDefault="002B75A6" w:rsidP="002B75A6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Оригинал: английский</w:t>
    </w:r>
  </w:p>
  <w:p w14:paraId="1C182F00" w14:textId="77777777" w:rsidR="002B75A6" w:rsidRDefault="002B75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2DE94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E411C8"/>
    <w:multiLevelType w:val="hybridMultilevel"/>
    <w:tmpl w:val="AFC481B0"/>
    <w:lvl w:ilvl="0" w:tplc="CF1ACF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07A4"/>
    <w:multiLevelType w:val="hybridMultilevel"/>
    <w:tmpl w:val="DC648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B35019"/>
    <w:multiLevelType w:val="multilevel"/>
    <w:tmpl w:val="BBCAB5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Arial" w:hAnsi="Arial" w:cs="Arial"/>
        <w:i w:val="0"/>
        <w:sz w:val="22"/>
        <w:szCs w:val="22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5"/>
  </w:num>
  <w:num w:numId="2" w16cid:durableId="699629408">
    <w:abstractNumId w:val="10"/>
  </w:num>
  <w:num w:numId="3" w16cid:durableId="164177712">
    <w:abstractNumId w:val="5"/>
  </w:num>
  <w:num w:numId="4" w16cid:durableId="1416590798">
    <w:abstractNumId w:val="17"/>
  </w:num>
  <w:num w:numId="5" w16cid:durableId="1762608160">
    <w:abstractNumId w:val="16"/>
  </w:num>
  <w:num w:numId="6" w16cid:durableId="2146270374">
    <w:abstractNumId w:val="3"/>
  </w:num>
  <w:num w:numId="7" w16cid:durableId="1113592211">
    <w:abstractNumId w:val="6"/>
  </w:num>
  <w:num w:numId="8" w16cid:durableId="1920598164">
    <w:abstractNumId w:val="14"/>
  </w:num>
  <w:num w:numId="9" w16cid:durableId="1533764642">
    <w:abstractNumId w:val="9"/>
  </w:num>
  <w:num w:numId="10" w16cid:durableId="1246129">
    <w:abstractNumId w:val="11"/>
  </w:num>
  <w:num w:numId="11" w16cid:durableId="111829808">
    <w:abstractNumId w:val="13"/>
  </w:num>
  <w:num w:numId="12" w16cid:durableId="1088770206">
    <w:abstractNumId w:val="12"/>
  </w:num>
  <w:num w:numId="13" w16cid:durableId="1263951029">
    <w:abstractNumId w:val="18"/>
  </w:num>
  <w:num w:numId="14" w16cid:durableId="395903570">
    <w:abstractNumId w:val="8"/>
  </w:num>
  <w:num w:numId="15" w16cid:durableId="1857570918">
    <w:abstractNumId w:val="9"/>
  </w:num>
  <w:num w:numId="16" w16cid:durableId="248199808">
    <w:abstractNumId w:val="9"/>
  </w:num>
  <w:num w:numId="17" w16cid:durableId="350380342">
    <w:abstractNumId w:val="9"/>
  </w:num>
  <w:num w:numId="18" w16cid:durableId="944581980">
    <w:abstractNumId w:val="9"/>
  </w:num>
  <w:num w:numId="19" w16cid:durableId="772675100">
    <w:abstractNumId w:val="9"/>
  </w:num>
  <w:num w:numId="20" w16cid:durableId="1253010311">
    <w:abstractNumId w:val="9"/>
  </w:num>
  <w:num w:numId="21" w16cid:durableId="540821319">
    <w:abstractNumId w:val="4"/>
  </w:num>
  <w:num w:numId="22" w16cid:durableId="2046514942">
    <w:abstractNumId w:val="9"/>
  </w:num>
  <w:num w:numId="23" w16cid:durableId="236406030">
    <w:abstractNumId w:val="7"/>
  </w:num>
  <w:num w:numId="24" w16cid:durableId="1762335666">
    <w:abstractNumId w:val="0"/>
  </w:num>
  <w:num w:numId="25" w16cid:durableId="1089079700">
    <w:abstractNumId w:val="1"/>
  </w:num>
  <w:num w:numId="26" w16cid:durableId="101969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9721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199634">
    <w:abstractNumId w:val="11"/>
  </w:num>
  <w:num w:numId="29" w16cid:durableId="119425097">
    <w:abstractNumId w:val="11"/>
  </w:num>
  <w:num w:numId="30" w16cid:durableId="1745948977">
    <w:abstractNumId w:val="11"/>
  </w:num>
  <w:num w:numId="31" w16cid:durableId="1990671890">
    <w:abstractNumId w:val="11"/>
  </w:num>
  <w:num w:numId="32" w16cid:durableId="1372924443">
    <w:abstractNumId w:val="11"/>
  </w:num>
  <w:num w:numId="33" w16cid:durableId="766657519">
    <w:abstractNumId w:val="11"/>
  </w:num>
  <w:num w:numId="34" w16cid:durableId="1258246341">
    <w:abstractNumId w:val="11"/>
  </w:num>
  <w:num w:numId="35" w16cid:durableId="1557929828">
    <w:abstractNumId w:val="11"/>
  </w:num>
  <w:num w:numId="36" w16cid:durableId="840703704">
    <w:abstractNumId w:val="11"/>
  </w:num>
  <w:num w:numId="37" w16cid:durableId="1463037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42"/>
    <w:rsid w:val="00000673"/>
    <w:rsid w:val="0000109F"/>
    <w:rsid w:val="000048ED"/>
    <w:rsid w:val="00014915"/>
    <w:rsid w:val="00022CCC"/>
    <w:rsid w:val="00025D4C"/>
    <w:rsid w:val="00041A66"/>
    <w:rsid w:val="00042D88"/>
    <w:rsid w:val="00043BBF"/>
    <w:rsid w:val="0005176E"/>
    <w:rsid w:val="000765F7"/>
    <w:rsid w:val="0007725F"/>
    <w:rsid w:val="00077AB7"/>
    <w:rsid w:val="00081CD8"/>
    <w:rsid w:val="000A7F0E"/>
    <w:rsid w:val="000B1C8F"/>
    <w:rsid w:val="000C0D61"/>
    <w:rsid w:val="000F2CB0"/>
    <w:rsid w:val="000F3A3F"/>
    <w:rsid w:val="00102557"/>
    <w:rsid w:val="00130A0A"/>
    <w:rsid w:val="00147A38"/>
    <w:rsid w:val="00161EAB"/>
    <w:rsid w:val="00164D56"/>
    <w:rsid w:val="00167B10"/>
    <w:rsid w:val="0017074C"/>
    <w:rsid w:val="00173204"/>
    <w:rsid w:val="0017402F"/>
    <w:rsid w:val="0018586F"/>
    <w:rsid w:val="00190205"/>
    <w:rsid w:val="00190CEF"/>
    <w:rsid w:val="001912B2"/>
    <w:rsid w:val="001952DC"/>
    <w:rsid w:val="00196C1B"/>
    <w:rsid w:val="001A3D5E"/>
    <w:rsid w:val="001B0F73"/>
    <w:rsid w:val="001C2DB7"/>
    <w:rsid w:val="001D14FE"/>
    <w:rsid w:val="001D5C04"/>
    <w:rsid w:val="001F26CF"/>
    <w:rsid w:val="00221177"/>
    <w:rsid w:val="00222A2D"/>
    <w:rsid w:val="00223029"/>
    <w:rsid w:val="00234745"/>
    <w:rsid w:val="002351A6"/>
    <w:rsid w:val="002407AF"/>
    <w:rsid w:val="00245501"/>
    <w:rsid w:val="00245E82"/>
    <w:rsid w:val="00254B26"/>
    <w:rsid w:val="0026221A"/>
    <w:rsid w:val="002705EA"/>
    <w:rsid w:val="0027466B"/>
    <w:rsid w:val="002769B4"/>
    <w:rsid w:val="002814F6"/>
    <w:rsid w:val="002838A5"/>
    <w:rsid w:val="00285BB4"/>
    <w:rsid w:val="00290950"/>
    <w:rsid w:val="00296921"/>
    <w:rsid w:val="002A71C0"/>
    <w:rsid w:val="002B6BBE"/>
    <w:rsid w:val="002B75A6"/>
    <w:rsid w:val="002C09E3"/>
    <w:rsid w:val="002C36EF"/>
    <w:rsid w:val="002C5B7C"/>
    <w:rsid w:val="002C6A2C"/>
    <w:rsid w:val="002D1244"/>
    <w:rsid w:val="002F16BE"/>
    <w:rsid w:val="00304D97"/>
    <w:rsid w:val="00310E49"/>
    <w:rsid w:val="00312BF5"/>
    <w:rsid w:val="00312DE1"/>
    <w:rsid w:val="00337CEB"/>
    <w:rsid w:val="00344B58"/>
    <w:rsid w:val="0034539A"/>
    <w:rsid w:val="00345CB4"/>
    <w:rsid w:val="0034730F"/>
    <w:rsid w:val="00374E88"/>
    <w:rsid w:val="00375D42"/>
    <w:rsid w:val="003878BD"/>
    <w:rsid w:val="003D069C"/>
    <w:rsid w:val="003D7646"/>
    <w:rsid w:val="003F113A"/>
    <w:rsid w:val="003F3E63"/>
    <w:rsid w:val="003F5CB0"/>
    <w:rsid w:val="00407480"/>
    <w:rsid w:val="00414643"/>
    <w:rsid w:val="00424A0C"/>
    <w:rsid w:val="004313C4"/>
    <w:rsid w:val="00433E5B"/>
    <w:rsid w:val="004421E5"/>
    <w:rsid w:val="004431F0"/>
    <w:rsid w:val="00451630"/>
    <w:rsid w:val="00452284"/>
    <w:rsid w:val="00455D8F"/>
    <w:rsid w:val="00457C8E"/>
    <w:rsid w:val="00460C81"/>
    <w:rsid w:val="00480175"/>
    <w:rsid w:val="004856CA"/>
    <w:rsid w:val="00487E67"/>
    <w:rsid w:val="004906B7"/>
    <w:rsid w:val="0049705E"/>
    <w:rsid w:val="004A2875"/>
    <w:rsid w:val="004A34A0"/>
    <w:rsid w:val="004C7C82"/>
    <w:rsid w:val="004D609E"/>
    <w:rsid w:val="004F6975"/>
    <w:rsid w:val="005008A8"/>
    <w:rsid w:val="00517FD8"/>
    <w:rsid w:val="00526B7B"/>
    <w:rsid w:val="005274D2"/>
    <w:rsid w:val="005308CE"/>
    <w:rsid w:val="0053318C"/>
    <w:rsid w:val="00536A64"/>
    <w:rsid w:val="00540458"/>
    <w:rsid w:val="0054535F"/>
    <w:rsid w:val="0057022F"/>
    <w:rsid w:val="0057439C"/>
    <w:rsid w:val="0058306E"/>
    <w:rsid w:val="00583EBF"/>
    <w:rsid w:val="00591EBD"/>
    <w:rsid w:val="005960FA"/>
    <w:rsid w:val="005B0127"/>
    <w:rsid w:val="005B7A35"/>
    <w:rsid w:val="005C4B73"/>
    <w:rsid w:val="005C5423"/>
    <w:rsid w:val="005C792B"/>
    <w:rsid w:val="005E1D2B"/>
    <w:rsid w:val="005E7074"/>
    <w:rsid w:val="005F2BAF"/>
    <w:rsid w:val="005F54B4"/>
    <w:rsid w:val="00600D93"/>
    <w:rsid w:val="00626BEA"/>
    <w:rsid w:val="0063300C"/>
    <w:rsid w:val="00651A5B"/>
    <w:rsid w:val="00655736"/>
    <w:rsid w:val="00657600"/>
    <w:rsid w:val="00663B8D"/>
    <w:rsid w:val="00664468"/>
    <w:rsid w:val="006946D0"/>
    <w:rsid w:val="00696C8D"/>
    <w:rsid w:val="006A2AC2"/>
    <w:rsid w:val="006A3617"/>
    <w:rsid w:val="006B4452"/>
    <w:rsid w:val="006E46E4"/>
    <w:rsid w:val="006E75EB"/>
    <w:rsid w:val="007065CD"/>
    <w:rsid w:val="00710FAC"/>
    <w:rsid w:val="00717DA5"/>
    <w:rsid w:val="00724A7B"/>
    <w:rsid w:val="007333D0"/>
    <w:rsid w:val="00744484"/>
    <w:rsid w:val="00747566"/>
    <w:rsid w:val="00771232"/>
    <w:rsid w:val="00773188"/>
    <w:rsid w:val="00783782"/>
    <w:rsid w:val="00784B8C"/>
    <w:rsid w:val="007879E1"/>
    <w:rsid w:val="007B6883"/>
    <w:rsid w:val="007C4441"/>
    <w:rsid w:val="007E1DEC"/>
    <w:rsid w:val="007E57AA"/>
    <w:rsid w:val="00823A11"/>
    <w:rsid w:val="008349D1"/>
    <w:rsid w:val="008402A1"/>
    <w:rsid w:val="0085405E"/>
    <w:rsid w:val="0085414A"/>
    <w:rsid w:val="008565A0"/>
    <w:rsid w:val="00857EB9"/>
    <w:rsid w:val="0086269D"/>
    <w:rsid w:val="0086543A"/>
    <w:rsid w:val="008724E5"/>
    <w:rsid w:val="008765C9"/>
    <w:rsid w:val="00883A2B"/>
    <w:rsid w:val="00884A9D"/>
    <w:rsid w:val="0088512B"/>
    <w:rsid w:val="008864CF"/>
    <w:rsid w:val="00892A62"/>
    <w:rsid w:val="008A2B2D"/>
    <w:rsid w:val="008A4E1E"/>
    <w:rsid w:val="008A6458"/>
    <w:rsid w:val="008C1AEE"/>
    <w:rsid w:val="008C296C"/>
    <w:rsid w:val="008C742C"/>
    <w:rsid w:val="008D4305"/>
    <w:rsid w:val="008D699D"/>
    <w:rsid w:val="008E1A85"/>
    <w:rsid w:val="008E344F"/>
    <w:rsid w:val="008F405F"/>
    <w:rsid w:val="00903D3B"/>
    <w:rsid w:val="009163A7"/>
    <w:rsid w:val="00920569"/>
    <w:rsid w:val="009278A5"/>
    <w:rsid w:val="009316D2"/>
    <w:rsid w:val="00932AC0"/>
    <w:rsid w:val="00932ED2"/>
    <w:rsid w:val="00937D53"/>
    <w:rsid w:val="00946D0B"/>
    <w:rsid w:val="00947FFC"/>
    <w:rsid w:val="00955877"/>
    <w:rsid w:val="00961460"/>
    <w:rsid w:val="00962034"/>
    <w:rsid w:val="0096687E"/>
    <w:rsid w:val="00977C1E"/>
    <w:rsid w:val="00987E70"/>
    <w:rsid w:val="009A18CD"/>
    <w:rsid w:val="009A373B"/>
    <w:rsid w:val="009A3BEB"/>
    <w:rsid w:val="009C0BE6"/>
    <w:rsid w:val="009C21F4"/>
    <w:rsid w:val="009D01C0"/>
    <w:rsid w:val="009D5428"/>
    <w:rsid w:val="009F7DC3"/>
    <w:rsid w:val="00A12558"/>
    <w:rsid w:val="00A13903"/>
    <w:rsid w:val="00A34ED5"/>
    <w:rsid w:val="00A45DBF"/>
    <w:rsid w:val="00A63EE6"/>
    <w:rsid w:val="00A66381"/>
    <w:rsid w:val="00A725CF"/>
    <w:rsid w:val="00A755A2"/>
    <w:rsid w:val="00A84C16"/>
    <w:rsid w:val="00A91430"/>
    <w:rsid w:val="00AA590D"/>
    <w:rsid w:val="00AA6660"/>
    <w:rsid w:val="00AB18E0"/>
    <w:rsid w:val="00AB2C36"/>
    <w:rsid w:val="00AB6DDE"/>
    <w:rsid w:val="00AB70B6"/>
    <w:rsid w:val="00AC18C1"/>
    <w:rsid w:val="00AD1A86"/>
    <w:rsid w:val="00AD5C46"/>
    <w:rsid w:val="00AE103E"/>
    <w:rsid w:val="00AF0A07"/>
    <w:rsid w:val="00AF4AEC"/>
    <w:rsid w:val="00AF625E"/>
    <w:rsid w:val="00B139BE"/>
    <w:rsid w:val="00B2172B"/>
    <w:rsid w:val="00B34428"/>
    <w:rsid w:val="00B766A2"/>
    <w:rsid w:val="00B917D2"/>
    <w:rsid w:val="00B97EB3"/>
    <w:rsid w:val="00BA241A"/>
    <w:rsid w:val="00BB04AF"/>
    <w:rsid w:val="00BB6EEC"/>
    <w:rsid w:val="00BD52C9"/>
    <w:rsid w:val="00BE6354"/>
    <w:rsid w:val="00BF3EA3"/>
    <w:rsid w:val="00C02D78"/>
    <w:rsid w:val="00C138D1"/>
    <w:rsid w:val="00C23A97"/>
    <w:rsid w:val="00C42DB7"/>
    <w:rsid w:val="00C5052A"/>
    <w:rsid w:val="00C5131C"/>
    <w:rsid w:val="00C52EBE"/>
    <w:rsid w:val="00C5776D"/>
    <w:rsid w:val="00C608AB"/>
    <w:rsid w:val="00C64855"/>
    <w:rsid w:val="00C663F0"/>
    <w:rsid w:val="00C70EA7"/>
    <w:rsid w:val="00C72F32"/>
    <w:rsid w:val="00C7433F"/>
    <w:rsid w:val="00C7516E"/>
    <w:rsid w:val="00C75770"/>
    <w:rsid w:val="00C807E7"/>
    <w:rsid w:val="00C80D60"/>
    <w:rsid w:val="00C9673B"/>
    <w:rsid w:val="00CA039B"/>
    <w:rsid w:val="00CA56BB"/>
    <w:rsid w:val="00CB0542"/>
    <w:rsid w:val="00CD4A12"/>
    <w:rsid w:val="00CF1AC7"/>
    <w:rsid w:val="00CF7036"/>
    <w:rsid w:val="00D00B2B"/>
    <w:rsid w:val="00D21B86"/>
    <w:rsid w:val="00D24877"/>
    <w:rsid w:val="00D63318"/>
    <w:rsid w:val="00D67C95"/>
    <w:rsid w:val="00D7105A"/>
    <w:rsid w:val="00D8250F"/>
    <w:rsid w:val="00D85A07"/>
    <w:rsid w:val="00D86BB3"/>
    <w:rsid w:val="00D95C4C"/>
    <w:rsid w:val="00D964AB"/>
    <w:rsid w:val="00DA36ED"/>
    <w:rsid w:val="00DC2886"/>
    <w:rsid w:val="00DC49CB"/>
    <w:rsid w:val="00DE34F1"/>
    <w:rsid w:val="00DE6160"/>
    <w:rsid w:val="00DF26A4"/>
    <w:rsid w:val="00DF4942"/>
    <w:rsid w:val="00E2125F"/>
    <w:rsid w:val="00E244E1"/>
    <w:rsid w:val="00E3741D"/>
    <w:rsid w:val="00E4150C"/>
    <w:rsid w:val="00E4446E"/>
    <w:rsid w:val="00E627B1"/>
    <w:rsid w:val="00E631D8"/>
    <w:rsid w:val="00E663FE"/>
    <w:rsid w:val="00E70169"/>
    <w:rsid w:val="00E73A05"/>
    <w:rsid w:val="00E83D96"/>
    <w:rsid w:val="00E85399"/>
    <w:rsid w:val="00E9376C"/>
    <w:rsid w:val="00E95AE2"/>
    <w:rsid w:val="00EA2405"/>
    <w:rsid w:val="00EA335E"/>
    <w:rsid w:val="00EA528C"/>
    <w:rsid w:val="00EA580C"/>
    <w:rsid w:val="00EC6F8D"/>
    <w:rsid w:val="00ED3736"/>
    <w:rsid w:val="00ED39B2"/>
    <w:rsid w:val="00ED51C7"/>
    <w:rsid w:val="00ED5C85"/>
    <w:rsid w:val="00EE49F4"/>
    <w:rsid w:val="00EE67E0"/>
    <w:rsid w:val="00EF34E2"/>
    <w:rsid w:val="00F071AF"/>
    <w:rsid w:val="00F30DC6"/>
    <w:rsid w:val="00F31F96"/>
    <w:rsid w:val="00F32C23"/>
    <w:rsid w:val="00F33F84"/>
    <w:rsid w:val="00F415F0"/>
    <w:rsid w:val="00F53DE9"/>
    <w:rsid w:val="00F576CB"/>
    <w:rsid w:val="00F7035D"/>
    <w:rsid w:val="00F70CC5"/>
    <w:rsid w:val="00F71A02"/>
    <w:rsid w:val="00F9217E"/>
    <w:rsid w:val="00FA0D63"/>
    <w:rsid w:val="00FB4BEB"/>
    <w:rsid w:val="00FB56CD"/>
    <w:rsid w:val="00FD1226"/>
    <w:rsid w:val="00FD4BC8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List Paragraph (numbered (a)),Lapis Bulleted List,Dot pt,F5 List Paragraph,List Paragraph Char Char Char,Indicator Text,Numbered Para 1,Bullet 1,List Paragraph12,Bullet Points,MAIN CONTENT,List Paragraph1"/>
    <w:basedOn w:val="Normal"/>
    <w:link w:val="ParagraphedelisteCar"/>
    <w:uiPriority w:val="34"/>
    <w:qFormat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eastAsia="SimSun" w:hAnsi="Arial" w:cs="Arial"/>
      <w:sz w:val="22"/>
      <w:szCs w:val="22"/>
      <w:u w:val="single"/>
    </w:rPr>
  </w:style>
  <w:style w:type="character" w:styleId="Lienhypertexte">
    <w:name w:val="Hyperlink"/>
    <w:basedOn w:val="Policepardfaut"/>
    <w:uiPriority w:val="99"/>
    <w:unhideWhenUsed/>
    <w:rsid w:val="009A373B"/>
    <w:rPr>
      <w:color w:val="0000FF" w:themeColor="hyperlink"/>
      <w:u w:val="single"/>
    </w:rPr>
  </w:style>
  <w:style w:type="character" w:customStyle="1" w:styleId="MargeChar">
    <w:name w:val="Marge Char"/>
    <w:link w:val="Marge"/>
    <w:locked/>
    <w:rsid w:val="009A373B"/>
    <w:rPr>
      <w:rFonts w:ascii="Arial" w:eastAsia="Times New Roman" w:hAnsi="Arial"/>
      <w:snapToGrid w:val="0"/>
      <w:sz w:val="22"/>
      <w:szCs w:val="24"/>
      <w:lang w:eastAsia="en-US"/>
    </w:rPr>
  </w:style>
  <w:style w:type="character" w:customStyle="1" w:styleId="ParagraphedelisteCar">
    <w:name w:val="Paragraphe de liste Car"/>
    <w:aliases w:val="List Paragraph (numbered (a)) Car,Lapis Bulleted List Car,Dot pt Car,F5 List Paragraph Car,List Paragraph Char Char Char Car,Indicator Text Car,Numbered Para 1 Car,Bullet 1 Car,List Paragraph12 Car,Bullet Points Car"/>
    <w:link w:val="Paragraphedeliste"/>
    <w:uiPriority w:val="34"/>
    <w:locked/>
    <w:rsid w:val="009A373B"/>
    <w:rPr>
      <w:rFonts w:ascii="Times New Roman" w:eastAsia="Times New Roman" w:hAnsi="Times New Roman"/>
      <w:sz w:val="24"/>
      <w:szCs w:val="24"/>
    </w:rPr>
  </w:style>
  <w:style w:type="paragraph" w:styleId="Rvision">
    <w:name w:val="Revision"/>
    <w:hidden/>
    <w:uiPriority w:val="99"/>
    <w:semiHidden/>
    <w:rsid w:val="00E73A05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73A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3A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3A05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3A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3A05"/>
    <w:rPr>
      <w:rFonts w:ascii="Times New Roman" w:eastAsia="Times New Roman" w:hAnsi="Times New Roman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C542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E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6.GA/5" TargetMode="External"/><Relationship Id="rId13" Type="http://schemas.openxmlformats.org/officeDocument/2006/relationships/hyperlink" Target="https://ich.unesco.org/doc/src/LHE-22-9.GA-Resolutions-RU.docx" TargetMode="External"/><Relationship Id="rId18" Type="http://schemas.openxmlformats.org/officeDocument/2006/relationships/hyperlink" Target="https://ich.unesco.org/en/Decisions/17.COM/13" TargetMode="External"/><Relationship Id="rId26" Type="http://schemas.openxmlformats.org/officeDocument/2006/relationships/hyperlink" Target="https://ich.unesco.org/en/Decisions/16.COM/12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ch.unesco.org/en/decisions/18.COM/12" TargetMode="External"/><Relationship Id="rId34" Type="http://schemas.openxmlformats.org/officeDocument/2006/relationships/hyperlink" Target="https://ich.unesco.org/doc/src/LHE-22-9.GA-Resolutions-RU.doc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h.unesco.org/en/decisions/18.COM/7.C" TargetMode="External"/><Relationship Id="rId17" Type="http://schemas.openxmlformats.org/officeDocument/2006/relationships/hyperlink" Target="https://ich.unesco.org/en/Decisions/18.COM/5" TargetMode="External"/><Relationship Id="rId25" Type="http://schemas.openxmlformats.org/officeDocument/2006/relationships/hyperlink" Target="https://ich.unesco.org/en/Decisions/12.COM/6" TargetMode="External"/><Relationship Id="rId33" Type="http://schemas.openxmlformats.org/officeDocument/2006/relationships/hyperlink" Target="https://ich.unesco.org/en/5extcom" TargetMode="External"/><Relationship Id="rId38" Type="http://schemas.openxmlformats.org/officeDocument/2006/relationships/hyperlink" Target="https://ich.unesco.org/doc/src/LHE-22-17.COM-8-EN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h.unesco.org/en/Decisions/17.COM/5" TargetMode="External"/><Relationship Id="rId20" Type="http://schemas.openxmlformats.org/officeDocument/2006/relationships/hyperlink" Target="https://ich.unesco.org/en/Decisions/17.COM/13" TargetMode="External"/><Relationship Id="rId29" Type="http://schemas.openxmlformats.org/officeDocument/2006/relationships/hyperlink" Target="https://ich.unesco.org/en/decisions/18.COM/7.A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/6.GA/5" TargetMode="External"/><Relationship Id="rId24" Type="http://schemas.openxmlformats.org/officeDocument/2006/relationships/hyperlink" Target="https://ich.unesco.org/doc/src/LHE-23-18.COM-14_EN.docx" TargetMode="External"/><Relationship Id="rId32" Type="http://schemas.openxmlformats.org/officeDocument/2006/relationships/hyperlink" Target="https://ich.unesco.org/en/decisions/18.COM/7.C" TargetMode="External"/><Relationship Id="rId37" Type="http://schemas.openxmlformats.org/officeDocument/2006/relationships/hyperlink" Target="https://ich.unesco.org/en/Decisions/17.COM/8.a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n/decisions/18.COM/11" TargetMode="External"/><Relationship Id="rId23" Type="http://schemas.openxmlformats.org/officeDocument/2006/relationships/hyperlink" Target="https://ich.unesco.org/en/Decisions/14.COM/7" TargetMode="External"/><Relationship Id="rId28" Type="http://schemas.openxmlformats.org/officeDocument/2006/relationships/hyperlink" Target="https://ich.unesco.org/en/Decisions/17.COM/6.a" TargetMode="External"/><Relationship Id="rId36" Type="http://schemas.openxmlformats.org/officeDocument/2006/relationships/hyperlink" Target="https://ich.unesco.org/en/Decisions/5.EXT.COM/4" TargetMode="External"/><Relationship Id="rId10" Type="http://schemas.openxmlformats.org/officeDocument/2006/relationships/hyperlink" Target="https://ich.unesco.org/doc/src/LHE-24-10.GA-INF.8-EN.docx" TargetMode="External"/><Relationship Id="rId19" Type="http://schemas.openxmlformats.org/officeDocument/2006/relationships/hyperlink" Target="https://ich.unesco.org/en/decisions/18.COM/12" TargetMode="External"/><Relationship Id="rId31" Type="http://schemas.openxmlformats.org/officeDocument/2006/relationships/hyperlink" Target="https://ich.unesco.org/en/decisions/18.COM/7.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4-10.GA-6-EN.docx" TargetMode="External"/><Relationship Id="rId14" Type="http://schemas.openxmlformats.org/officeDocument/2006/relationships/hyperlink" Target="https://ich.unesco.org/en/Decisions/17.COM/10" TargetMode="External"/><Relationship Id="rId22" Type="http://schemas.openxmlformats.org/officeDocument/2006/relationships/hyperlink" Target="https://ich.unesco.org/en/decisions/18.COM/14" TargetMode="External"/><Relationship Id="rId27" Type="http://schemas.openxmlformats.org/officeDocument/2006/relationships/hyperlink" Target="https://ich.unesco.org/doc/src/LHE-23-18.COM-INF.14_EN.docx" TargetMode="External"/><Relationship Id="rId30" Type="http://schemas.openxmlformats.org/officeDocument/2006/relationships/hyperlink" Target="https://ich.unesco.org/en/Decisions/17.COM/6.b" TargetMode="External"/><Relationship Id="rId35" Type="http://schemas.openxmlformats.org/officeDocument/2006/relationships/hyperlink" Target="https://ich.unesco.org/en/Decisions/16.COM/14" TargetMode="External"/><Relationship Id="rId43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3455</Words>
  <Characters>19006</Characters>
  <Application>Microsoft Office Word</Application>
  <DocSecurity>0</DocSecurity>
  <Lines>158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2024-05-10T10:54:00Z</dcterms:created>
  <dcterms:modified xsi:type="dcterms:W3CDTF">2024-05-13T13:43:00Z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12a407d17a10f107ac422350a04e29ffe0571041c851a5438245e07e71e5477f</vt:lpwstr>
  </property>
</Properties>
</file>