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7E7D5" w14:textId="77777777" w:rsidR="002B75A6" w:rsidRPr="00BB6EEC" w:rsidRDefault="002B75A6" w:rsidP="002B75A6">
      <w:pPr>
        <w:spacing w:before="1440"/>
        <w:jc w:val="center"/>
        <w:rPr>
          <w:rFonts w:ascii="Arial" w:hAnsi="Arial" w:cs="Arial"/>
          <w:b/>
          <w:sz w:val="22"/>
          <w:szCs w:val="22"/>
        </w:rPr>
      </w:pPr>
      <w:r>
        <w:rPr>
          <w:rFonts w:ascii="Arial" w:hAnsi="Arial"/>
          <w:b/>
          <w:sz w:val="22"/>
        </w:rPr>
        <w:t>CONVENTION POUR LA SAUVEGARDE DU</w:t>
      </w:r>
      <w:r>
        <w:rPr>
          <w:rFonts w:ascii="Arial" w:hAnsi="Arial"/>
          <w:b/>
          <w:sz w:val="22"/>
        </w:rPr>
        <w:br/>
        <w:t>PATRIMOINE CULTUREL IMMATÉRIEL</w:t>
      </w:r>
    </w:p>
    <w:p w14:paraId="6255D8FA" w14:textId="77777777" w:rsidR="002B75A6" w:rsidRPr="00BB6EEC" w:rsidRDefault="002B75A6" w:rsidP="002B75A6">
      <w:pPr>
        <w:spacing w:before="1200"/>
        <w:jc w:val="center"/>
        <w:rPr>
          <w:rFonts w:ascii="Arial" w:hAnsi="Arial" w:cs="Arial"/>
          <w:b/>
          <w:sz w:val="22"/>
          <w:szCs w:val="22"/>
        </w:rPr>
      </w:pPr>
      <w:r>
        <w:rPr>
          <w:rFonts w:ascii="Arial" w:hAnsi="Arial"/>
          <w:b/>
          <w:sz w:val="22"/>
        </w:rPr>
        <w:t>ASSEMBLÉE GÉNÉRALE DES ÉTATS PARTIES À LA CONVENTION</w:t>
      </w:r>
    </w:p>
    <w:p w14:paraId="1271DFBE" w14:textId="77777777" w:rsidR="002B75A6" w:rsidRPr="00BB6EEC" w:rsidRDefault="002B75A6" w:rsidP="002B75A6">
      <w:pPr>
        <w:spacing w:before="840"/>
        <w:jc w:val="center"/>
        <w:rPr>
          <w:rFonts w:ascii="Arial" w:hAnsi="Arial" w:cs="Arial"/>
          <w:b/>
          <w:sz w:val="22"/>
          <w:szCs w:val="22"/>
        </w:rPr>
      </w:pPr>
      <w:r>
        <w:rPr>
          <w:rFonts w:ascii="Arial" w:hAnsi="Arial"/>
          <w:b/>
          <w:sz w:val="22"/>
        </w:rPr>
        <w:t>Dixième session</w:t>
      </w:r>
    </w:p>
    <w:p w14:paraId="35A1253C" w14:textId="4ECF8464" w:rsidR="002B75A6" w:rsidRPr="00BB6EEC" w:rsidRDefault="002B75A6" w:rsidP="002B75A6">
      <w:pPr>
        <w:jc w:val="center"/>
        <w:rPr>
          <w:rFonts w:ascii="Arial" w:hAnsi="Arial" w:cs="Arial"/>
          <w:b/>
          <w:sz w:val="22"/>
          <w:szCs w:val="22"/>
        </w:rPr>
      </w:pPr>
      <w:r>
        <w:rPr>
          <w:rFonts w:ascii="Arial" w:hAnsi="Arial"/>
          <w:b/>
          <w:sz w:val="22"/>
        </w:rPr>
        <w:t>Siège de l</w:t>
      </w:r>
      <w:r w:rsidR="00C44269">
        <w:rPr>
          <w:rFonts w:ascii="Arial" w:hAnsi="Arial"/>
          <w:b/>
          <w:sz w:val="22"/>
        </w:rPr>
        <w:t>’</w:t>
      </w:r>
      <w:r>
        <w:rPr>
          <w:rFonts w:ascii="Arial" w:hAnsi="Arial"/>
          <w:b/>
          <w:sz w:val="22"/>
        </w:rPr>
        <w:t>UNESCO, Salle I</w:t>
      </w:r>
    </w:p>
    <w:p w14:paraId="021E44E5" w14:textId="45C5F9B6" w:rsidR="002B75A6" w:rsidRPr="00BB6EEC" w:rsidRDefault="002B75A6" w:rsidP="002B75A6">
      <w:pPr>
        <w:jc w:val="center"/>
        <w:rPr>
          <w:rFonts w:ascii="Arial" w:hAnsi="Arial" w:cs="Arial"/>
          <w:b/>
          <w:sz w:val="22"/>
          <w:szCs w:val="22"/>
        </w:rPr>
      </w:pPr>
      <w:r>
        <w:rPr>
          <w:rFonts w:ascii="Arial" w:hAnsi="Arial"/>
          <w:b/>
          <w:sz w:val="22"/>
        </w:rPr>
        <w:t>11</w:t>
      </w:r>
      <w:r w:rsidR="00F478FD">
        <w:rPr>
          <w:rFonts w:ascii="Arial" w:hAnsi="Arial"/>
          <w:b/>
          <w:sz w:val="22"/>
        </w:rPr>
        <w:t> </w:t>
      </w:r>
      <w:r>
        <w:rPr>
          <w:rFonts w:ascii="Arial" w:hAnsi="Arial"/>
          <w:b/>
          <w:sz w:val="22"/>
        </w:rPr>
        <w:t>– 1</w:t>
      </w:r>
      <w:r w:rsidR="003249F1">
        <w:rPr>
          <w:rFonts w:ascii="Arial" w:hAnsi="Arial"/>
          <w:b/>
          <w:sz w:val="22"/>
        </w:rPr>
        <w:t>2</w:t>
      </w:r>
      <w:r>
        <w:rPr>
          <w:rFonts w:ascii="Arial" w:hAnsi="Arial"/>
          <w:b/>
          <w:sz w:val="22"/>
        </w:rPr>
        <w:t xml:space="preserve"> juin</w:t>
      </w:r>
      <w:r w:rsidR="00F478FD">
        <w:rPr>
          <w:rFonts w:ascii="Arial" w:hAnsi="Arial"/>
          <w:b/>
          <w:sz w:val="22"/>
        </w:rPr>
        <w:t> </w:t>
      </w:r>
      <w:r>
        <w:rPr>
          <w:rFonts w:ascii="Arial" w:hAnsi="Arial"/>
          <w:b/>
          <w:sz w:val="22"/>
        </w:rPr>
        <w:t>2024</w:t>
      </w:r>
    </w:p>
    <w:p w14:paraId="5E45AD5A" w14:textId="26D82AFC" w:rsidR="002B75A6" w:rsidRPr="00BB6EEC" w:rsidRDefault="002B75A6" w:rsidP="002B75A6">
      <w:pPr>
        <w:pStyle w:val="Sansinterligne2"/>
        <w:spacing w:before="1200"/>
        <w:jc w:val="center"/>
        <w:rPr>
          <w:rFonts w:ascii="Arial" w:hAnsi="Arial" w:cs="Arial"/>
          <w:b/>
          <w:sz w:val="22"/>
          <w:szCs w:val="22"/>
        </w:rPr>
      </w:pPr>
      <w:r>
        <w:rPr>
          <w:rFonts w:ascii="Arial" w:hAnsi="Arial"/>
          <w:b/>
          <w:sz w:val="22"/>
          <w:u w:val="single"/>
        </w:rPr>
        <w:t>Point 5 de l</w:t>
      </w:r>
      <w:r w:rsidR="00C44269">
        <w:rPr>
          <w:rFonts w:ascii="Arial" w:hAnsi="Arial"/>
          <w:b/>
          <w:sz w:val="22"/>
          <w:u w:val="single"/>
        </w:rPr>
        <w:t>’</w:t>
      </w:r>
      <w:r>
        <w:rPr>
          <w:rFonts w:ascii="Arial" w:hAnsi="Arial"/>
          <w:b/>
          <w:sz w:val="22"/>
          <w:u w:val="single"/>
        </w:rPr>
        <w:t>ordre du jour provisoire</w:t>
      </w:r>
      <w:r>
        <w:rPr>
          <w:rFonts w:ascii="Arial" w:hAnsi="Arial"/>
          <w:b/>
          <w:sz w:val="22"/>
        </w:rPr>
        <w:t> :</w:t>
      </w:r>
    </w:p>
    <w:p w14:paraId="32183D53" w14:textId="38B45FD6" w:rsidR="002B75A6" w:rsidRPr="00BB6EEC" w:rsidRDefault="002B75A6" w:rsidP="002B75A6">
      <w:pPr>
        <w:pStyle w:val="Sansinterligne2"/>
        <w:spacing w:after="960"/>
        <w:jc w:val="center"/>
        <w:rPr>
          <w:rFonts w:ascii="Arial" w:hAnsi="Arial" w:cs="Arial"/>
          <w:bCs/>
          <w:sz w:val="22"/>
          <w:szCs w:val="22"/>
        </w:rPr>
      </w:pPr>
      <w:r>
        <w:rPr>
          <w:rFonts w:ascii="Arial" w:hAnsi="Arial"/>
          <w:b/>
          <w:sz w:val="22"/>
        </w:rPr>
        <w:t>Rapport du Comité à l</w:t>
      </w:r>
      <w:r w:rsidR="00C44269">
        <w:rPr>
          <w:rFonts w:ascii="Arial" w:hAnsi="Arial"/>
          <w:b/>
          <w:sz w:val="22"/>
        </w:rPr>
        <w:t>’</w:t>
      </w:r>
      <w:r>
        <w:rPr>
          <w:rFonts w:ascii="Arial" w:hAnsi="Arial"/>
          <w:b/>
          <w:sz w:val="22"/>
        </w:rPr>
        <w:t>Assemblée générale</w:t>
      </w:r>
      <w:r w:rsidR="00982AFA">
        <w:rPr>
          <w:rFonts w:ascii="Arial" w:hAnsi="Arial"/>
          <w:b/>
          <w:sz w:val="22"/>
        </w:rPr>
        <w:t xml:space="preserve"> </w:t>
      </w:r>
      <w:r>
        <w:rPr>
          <w:rFonts w:ascii="Arial" w:hAnsi="Arial"/>
          <w:b/>
          <w:sz w:val="22"/>
        </w:rPr>
        <w:t>(de janvier 2022 à décembre 2023)</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2B75A6" w:rsidRPr="009A373B" w14:paraId="06F236C5" w14:textId="77777777" w:rsidTr="00E85399">
        <w:trPr>
          <w:jc w:val="center"/>
        </w:trPr>
        <w:tc>
          <w:tcPr>
            <w:tcW w:w="5670" w:type="dxa"/>
            <w:vAlign w:val="center"/>
          </w:tcPr>
          <w:p w14:paraId="66F56BA5" w14:textId="77777777" w:rsidR="002B75A6" w:rsidRPr="00BB6EEC" w:rsidRDefault="002B75A6" w:rsidP="00E85399">
            <w:pPr>
              <w:pStyle w:val="Sansinterligne1"/>
              <w:spacing w:before="200" w:after="200"/>
              <w:jc w:val="center"/>
              <w:rPr>
                <w:rFonts w:ascii="Arial" w:hAnsi="Arial" w:cs="Arial"/>
                <w:b/>
                <w:sz w:val="22"/>
                <w:szCs w:val="22"/>
              </w:rPr>
            </w:pPr>
            <w:r>
              <w:rPr>
                <w:rFonts w:ascii="Arial" w:hAnsi="Arial"/>
                <w:b/>
                <w:sz w:val="22"/>
              </w:rPr>
              <w:t>Résumé</w:t>
            </w:r>
          </w:p>
          <w:p w14:paraId="702F989E" w14:textId="633B461F" w:rsidR="002B75A6" w:rsidRPr="00ED3736" w:rsidRDefault="002B75A6" w:rsidP="00E85399">
            <w:pPr>
              <w:pStyle w:val="Sansinterligne1"/>
              <w:jc w:val="both"/>
              <w:rPr>
                <w:rFonts w:ascii="Arial" w:hAnsi="Arial" w:cs="Arial"/>
                <w:bCs/>
                <w:sz w:val="22"/>
                <w:szCs w:val="22"/>
              </w:rPr>
            </w:pPr>
            <w:r>
              <w:rPr>
                <w:rFonts w:ascii="Arial" w:hAnsi="Arial"/>
                <w:sz w:val="22"/>
              </w:rPr>
              <w:t>L</w:t>
            </w:r>
            <w:r w:rsidR="00C44269">
              <w:rPr>
                <w:rFonts w:ascii="Arial" w:hAnsi="Arial"/>
                <w:sz w:val="22"/>
              </w:rPr>
              <w:t>’</w:t>
            </w:r>
            <w:r>
              <w:rPr>
                <w:rFonts w:ascii="Arial" w:hAnsi="Arial"/>
                <w:sz w:val="22"/>
              </w:rPr>
              <w:t xml:space="preserve">article 30.1 de la Convention de 2003 prévoit que « sur la base de ses activités et des rapports des États </w:t>
            </w:r>
            <w:r w:rsidR="006C0CE5">
              <w:rPr>
                <w:rFonts w:ascii="Arial" w:hAnsi="Arial"/>
                <w:sz w:val="22"/>
              </w:rPr>
              <w:t>p</w:t>
            </w:r>
            <w:r>
              <w:rPr>
                <w:rFonts w:ascii="Arial" w:hAnsi="Arial"/>
                <w:sz w:val="22"/>
              </w:rPr>
              <w:t>arties [...], le Comité soumet un rapport à chaque session de l</w:t>
            </w:r>
            <w:r w:rsidR="00C44269">
              <w:rPr>
                <w:rFonts w:ascii="Arial" w:hAnsi="Arial"/>
                <w:sz w:val="22"/>
              </w:rPr>
              <w:t>’</w:t>
            </w:r>
            <w:r>
              <w:rPr>
                <w:rFonts w:ascii="Arial" w:hAnsi="Arial"/>
                <w:sz w:val="22"/>
              </w:rPr>
              <w:t xml:space="preserve">Assemblée générale ». Ce document présente un rapport des activités du Comité de janvier 2022 à décembre 2023 et un examen des rapports des États </w:t>
            </w:r>
            <w:r w:rsidR="006C0CE5">
              <w:rPr>
                <w:rFonts w:ascii="Arial" w:hAnsi="Arial"/>
                <w:sz w:val="22"/>
              </w:rPr>
              <w:t>p</w:t>
            </w:r>
            <w:r>
              <w:rPr>
                <w:rFonts w:ascii="Arial" w:hAnsi="Arial"/>
                <w:sz w:val="22"/>
              </w:rPr>
              <w:t>arties adoptés à l</w:t>
            </w:r>
            <w:r w:rsidR="00C44269">
              <w:rPr>
                <w:rFonts w:ascii="Arial" w:hAnsi="Arial"/>
                <w:sz w:val="22"/>
              </w:rPr>
              <w:t>’</w:t>
            </w:r>
            <w:r>
              <w:rPr>
                <w:rFonts w:ascii="Arial" w:hAnsi="Arial"/>
                <w:sz w:val="22"/>
              </w:rPr>
              <w:t>occasion des dix-septième et dix-huitième sessions du Comité.</w:t>
            </w:r>
          </w:p>
          <w:p w14:paraId="6CFED304" w14:textId="77777777" w:rsidR="002B75A6" w:rsidRPr="00BB6EEC" w:rsidRDefault="002B75A6" w:rsidP="00E85399">
            <w:pPr>
              <w:pStyle w:val="Sansinterligne2"/>
              <w:spacing w:before="200" w:after="200"/>
              <w:jc w:val="both"/>
              <w:rPr>
                <w:rFonts w:ascii="Arial" w:hAnsi="Arial" w:cs="Arial"/>
                <w:b/>
                <w:sz w:val="22"/>
                <w:szCs w:val="22"/>
              </w:rPr>
            </w:pPr>
            <w:r>
              <w:rPr>
                <w:rFonts w:ascii="Arial" w:hAnsi="Arial"/>
                <w:b/>
                <w:sz w:val="22"/>
              </w:rPr>
              <w:t xml:space="preserve">Décision requise : </w:t>
            </w:r>
            <w:r>
              <w:rPr>
                <w:rFonts w:ascii="Arial" w:hAnsi="Arial"/>
                <w:sz w:val="22"/>
              </w:rPr>
              <w:t>paragraphe 4</w:t>
            </w:r>
          </w:p>
        </w:tc>
      </w:tr>
    </w:tbl>
    <w:p w14:paraId="152BCFDA" w14:textId="77777777" w:rsidR="002B75A6" w:rsidRPr="00BB6EEC" w:rsidRDefault="002B75A6" w:rsidP="002B75A6">
      <w:pPr>
        <w:pStyle w:val="Paragraphedeliste"/>
        <w:keepLines/>
        <w:numPr>
          <w:ilvl w:val="0"/>
          <w:numId w:val="13"/>
        </w:numPr>
        <w:spacing w:after="240"/>
        <w:ind w:left="567" w:hanging="567"/>
        <w:contextualSpacing w:val="0"/>
        <w:rPr>
          <w:rFonts w:ascii="Arial" w:hAnsi="Arial" w:cs="Arial"/>
          <w:b/>
          <w:snapToGrid w:val="0"/>
          <w:sz w:val="22"/>
          <w:szCs w:val="22"/>
        </w:rPr>
      </w:pPr>
      <w:r>
        <w:br w:type="page"/>
      </w:r>
    </w:p>
    <w:p w14:paraId="4CD19F15" w14:textId="253960CD" w:rsidR="002B75A6" w:rsidRPr="00BB6EEC" w:rsidRDefault="002B75A6" w:rsidP="002B75A6">
      <w:pPr>
        <w:pStyle w:val="COMPara"/>
        <w:numPr>
          <w:ilvl w:val="0"/>
          <w:numId w:val="0"/>
        </w:numPr>
        <w:spacing w:before="240"/>
        <w:jc w:val="both"/>
        <w:rPr>
          <w:b/>
          <w:bCs/>
        </w:rPr>
      </w:pPr>
      <w:bookmarkStart w:id="0" w:name="_Hlk124351255"/>
      <w:r>
        <w:rPr>
          <w:b/>
        </w:rPr>
        <w:lastRenderedPageBreak/>
        <w:t>Contexte</w:t>
      </w:r>
    </w:p>
    <w:bookmarkEnd w:id="0"/>
    <w:p w14:paraId="20D0CE02" w14:textId="4EDFF63B" w:rsidR="002B75A6" w:rsidRPr="00BB6EEC" w:rsidRDefault="002B75A6" w:rsidP="002B75A6">
      <w:pPr>
        <w:pStyle w:val="COMPara"/>
        <w:ind w:left="567" w:hanging="567"/>
        <w:jc w:val="both"/>
      </w:pPr>
      <w:r>
        <w:t>L</w:t>
      </w:r>
      <w:r w:rsidR="00C44269">
        <w:t>’</w:t>
      </w:r>
      <w:r>
        <w:t xml:space="preserve">article 30.1 de la Convention de 2003 pour la sauvegarde du patrimoine culturel immatériel prévoit que « sur la base de ses activités et des rapports des États </w:t>
      </w:r>
      <w:r w:rsidR="005306A1">
        <w:t>p</w:t>
      </w:r>
      <w:r>
        <w:t>arties [...], le Comité soumet un rapport à chaque session de l</w:t>
      </w:r>
      <w:r w:rsidR="00C44269">
        <w:t>’</w:t>
      </w:r>
      <w:r>
        <w:t>Assemblée générale ». L</w:t>
      </w:r>
      <w:r w:rsidR="00C44269">
        <w:t>’</w:t>
      </w:r>
      <w:r>
        <w:t>article 30.2 poursuit « ce rapport est porté à la connaissance de la Conférence générale de l</w:t>
      </w:r>
      <w:r w:rsidR="00C44269">
        <w:t>’</w:t>
      </w:r>
      <w:r>
        <w:t>UNESCO ». Ce rapport couvre la période de janvier 2022 à décembre 2023.</w:t>
      </w:r>
    </w:p>
    <w:p w14:paraId="057BF35A" w14:textId="5709A823" w:rsidR="002B75A6" w:rsidRPr="009B682B" w:rsidRDefault="002B75A6" w:rsidP="002B75A6">
      <w:pPr>
        <w:pStyle w:val="COMPara"/>
        <w:ind w:left="567" w:hanging="567"/>
        <w:jc w:val="both"/>
      </w:pPr>
      <w:r>
        <w:t xml:space="preserve">Cette période est conforme à la </w:t>
      </w:r>
      <w:r w:rsidR="00023C1C">
        <w:t>R</w:t>
      </w:r>
      <w:r>
        <w:t>ésolution </w:t>
      </w:r>
      <w:hyperlink r:id="rId8" w:history="1">
        <w:r>
          <w:rPr>
            <w:rStyle w:val="Lienhypertexte"/>
          </w:rPr>
          <w:t>6.GA 5</w:t>
        </w:r>
      </w:hyperlink>
      <w:r>
        <w:t xml:space="preserve"> de 2016, par laquelle l</w:t>
      </w:r>
      <w:r w:rsidR="00C44269">
        <w:t>’</w:t>
      </w:r>
      <w:r>
        <w:t xml:space="preserve">Assemblée générale a demandé au Comité de soumettre ses futurs rapports à un rythme biennal. À cet égard, un rapport du </w:t>
      </w:r>
      <w:r w:rsidR="007827B7">
        <w:t>C</w:t>
      </w:r>
      <w:r>
        <w:t xml:space="preserve">omité est présenté en annexe au présent document, avec un examen des rapports nationaux soumis par les </w:t>
      </w:r>
      <w:r w:rsidR="005306A1">
        <w:t>É</w:t>
      </w:r>
      <w:r>
        <w:t xml:space="preserve">tats </w:t>
      </w:r>
      <w:r w:rsidR="005306A1">
        <w:t>p</w:t>
      </w:r>
      <w:r>
        <w:t>arties, au sens de l</w:t>
      </w:r>
      <w:r w:rsidR="00C44269">
        <w:t>’</w:t>
      </w:r>
      <w:r>
        <w:t xml:space="preserve">article 29 de la Convention, </w:t>
      </w:r>
      <w:r w:rsidRPr="009B682B">
        <w:t>adopté</w:t>
      </w:r>
      <w:r w:rsidR="005306A1" w:rsidRPr="009B682B">
        <w:t>s</w:t>
      </w:r>
      <w:r w:rsidRPr="009B682B">
        <w:t xml:space="preserve"> par le Comité à l</w:t>
      </w:r>
      <w:r w:rsidR="00C44269" w:rsidRPr="009B682B">
        <w:t>’</w:t>
      </w:r>
      <w:r w:rsidRPr="009B682B">
        <w:t>occasion de ses dix-septième et dix-huitième sessions.</w:t>
      </w:r>
    </w:p>
    <w:p w14:paraId="7F338840" w14:textId="3C0CDC2E" w:rsidR="002B75A6" w:rsidRPr="009B682B" w:rsidRDefault="002B75A6" w:rsidP="002B75A6">
      <w:pPr>
        <w:pStyle w:val="COMPara"/>
        <w:ind w:left="567" w:hanging="567"/>
        <w:jc w:val="both"/>
      </w:pPr>
      <w:r w:rsidRPr="009B682B">
        <w:t>En outre, ce rapport doit être lu conjointement avec le rapport du Secrétariat sur ses activités (document </w:t>
      </w:r>
      <w:hyperlink r:id="rId9" w:history="1">
        <w:r w:rsidRPr="009B682B">
          <w:rPr>
            <w:rStyle w:val="Lienhypertexte"/>
          </w:rPr>
          <w:t>LHE/24/10.GA/6</w:t>
        </w:r>
      </w:hyperlink>
      <w:r w:rsidRPr="009B682B">
        <w:t>) et le rapport sur le Fonds du patrimoine culturel immatériel</w:t>
      </w:r>
      <w:r w:rsidRPr="009B682B">
        <w:rPr>
          <w:i/>
        </w:rPr>
        <w:t xml:space="preserve"> </w:t>
      </w:r>
      <w:r w:rsidRPr="009B682B">
        <w:t>(document </w:t>
      </w:r>
      <w:hyperlink r:id="rId10" w:history="1">
        <w:r w:rsidRPr="009B682B">
          <w:rPr>
            <w:rStyle w:val="Lienhypertexte"/>
          </w:rPr>
          <w:t>LHE/24/10.GA/INF.8</w:t>
        </w:r>
      </w:hyperlink>
      <w:r w:rsidRPr="009B682B">
        <w:t>).</w:t>
      </w:r>
    </w:p>
    <w:p w14:paraId="76FF072B" w14:textId="5467AFDE" w:rsidR="002B75A6" w:rsidRPr="00BB6EEC" w:rsidRDefault="002B75A6" w:rsidP="002B75A6">
      <w:pPr>
        <w:pStyle w:val="COMPara"/>
        <w:ind w:left="567" w:hanging="567"/>
      </w:pPr>
      <w:r>
        <w:t>L</w:t>
      </w:r>
      <w:r w:rsidR="00C44269">
        <w:t>’</w:t>
      </w:r>
      <w:r>
        <w:t xml:space="preserve">Assemblée générale souhaitera peut-être adopter la </w:t>
      </w:r>
      <w:r w:rsidR="007827B7">
        <w:t>R</w:t>
      </w:r>
      <w:r>
        <w:t>ésolution suivante :</w:t>
      </w:r>
    </w:p>
    <w:p w14:paraId="30C2E9A5" w14:textId="77777777" w:rsidR="002B75A6" w:rsidRPr="00BB6EEC" w:rsidRDefault="002B75A6" w:rsidP="002B75A6">
      <w:pPr>
        <w:pStyle w:val="COMTitleDecision"/>
        <w:rPr>
          <w:rFonts w:eastAsia="SimSun"/>
        </w:rPr>
      </w:pPr>
      <w:r>
        <w:t>PROJET DE RÉSOLUTION 10.GA 5</w:t>
      </w:r>
    </w:p>
    <w:p w14:paraId="408A1D82" w14:textId="3FBB04C3" w:rsidR="002B75A6" w:rsidRPr="00BB6EEC" w:rsidRDefault="002B75A6" w:rsidP="002B75A6">
      <w:pPr>
        <w:pStyle w:val="COMPreambulaDecisions"/>
        <w:rPr>
          <w:rFonts w:eastAsia="SimSun"/>
        </w:rPr>
      </w:pPr>
      <w:r>
        <w:t>L</w:t>
      </w:r>
      <w:r w:rsidR="00C44269">
        <w:t>’</w:t>
      </w:r>
      <w:r>
        <w:t>Assemblée générale,</w:t>
      </w:r>
    </w:p>
    <w:p w14:paraId="0D9AD168" w14:textId="77777777" w:rsidR="002B75A6" w:rsidRPr="00BB6EEC" w:rsidRDefault="002B75A6" w:rsidP="00310E49">
      <w:pPr>
        <w:pStyle w:val="COMParaDecision"/>
        <w:ind w:left="1134" w:hanging="567"/>
      </w:pPr>
      <w:r>
        <w:t>Ayant examiné</w:t>
      </w:r>
      <w:r>
        <w:rPr>
          <w:u w:val="none"/>
        </w:rPr>
        <w:t xml:space="preserve"> le </w:t>
      </w:r>
      <w:r w:rsidRPr="009B682B">
        <w:rPr>
          <w:u w:val="none"/>
        </w:rPr>
        <w:t>document LHE/24/10.GA/5,</w:t>
      </w:r>
    </w:p>
    <w:p w14:paraId="076039B5" w14:textId="05F81680" w:rsidR="002B75A6" w:rsidRPr="003B3594" w:rsidRDefault="002B75A6" w:rsidP="00310E49">
      <w:pPr>
        <w:pStyle w:val="COMParaDecision"/>
        <w:ind w:left="1134" w:hanging="567"/>
      </w:pPr>
      <w:r>
        <w:t>Rappelant</w:t>
      </w:r>
      <w:r>
        <w:rPr>
          <w:u w:val="none"/>
        </w:rPr>
        <w:t xml:space="preserve"> l</w:t>
      </w:r>
      <w:r w:rsidR="00C44269">
        <w:rPr>
          <w:u w:val="none"/>
        </w:rPr>
        <w:t>’</w:t>
      </w:r>
      <w:r>
        <w:rPr>
          <w:u w:val="none"/>
        </w:rPr>
        <w:t xml:space="preserve">article 30 de la Convention et la Résolution </w:t>
      </w:r>
      <w:hyperlink r:id="rId11" w:history="1">
        <w:r w:rsidRPr="00376166">
          <w:rPr>
            <w:rStyle w:val="Lienhypertexte"/>
          </w:rPr>
          <w:t>6.GA 5</w:t>
        </w:r>
      </w:hyperlink>
      <w:r w:rsidRPr="007827B7">
        <w:rPr>
          <w:u w:val="none"/>
        </w:rPr>
        <w:t>,</w:t>
      </w:r>
    </w:p>
    <w:p w14:paraId="11928DB4" w14:textId="18EDABE1" w:rsidR="002B75A6" w:rsidRPr="008565A0" w:rsidRDefault="002B75A6" w:rsidP="00310E49">
      <w:pPr>
        <w:pStyle w:val="COMParaDecision"/>
        <w:ind w:left="1134" w:hanging="567"/>
      </w:pPr>
      <w:r>
        <w:t>Accueille</w:t>
      </w:r>
      <w:r>
        <w:rPr>
          <w:u w:val="none"/>
        </w:rPr>
        <w:t xml:space="preserve"> Saint-Marin, qui a ratifié la Convention sur la période couverte par le rapport, ainsi que la Libye et le Royaume-Uni de Grande-Bretagne et d</w:t>
      </w:r>
      <w:r w:rsidR="00C44269">
        <w:rPr>
          <w:u w:val="none"/>
        </w:rPr>
        <w:t>’</w:t>
      </w:r>
      <w:r>
        <w:rPr>
          <w:u w:val="none"/>
        </w:rPr>
        <w:t>Irlande du Nord qui l</w:t>
      </w:r>
      <w:r w:rsidR="00C44269">
        <w:rPr>
          <w:u w:val="none"/>
        </w:rPr>
        <w:t>’</w:t>
      </w:r>
      <w:r>
        <w:rPr>
          <w:u w:val="none"/>
        </w:rPr>
        <w:t>ont ratifiée après la période couverte par le rapport, ce qui porte le nombre total d</w:t>
      </w:r>
      <w:r w:rsidR="00C44269">
        <w:rPr>
          <w:u w:val="none"/>
        </w:rPr>
        <w:t>’</w:t>
      </w:r>
      <w:r>
        <w:rPr>
          <w:u w:val="none"/>
        </w:rPr>
        <w:t xml:space="preserve">États parties à 183, et </w:t>
      </w:r>
      <w:r w:rsidRPr="00376166">
        <w:t>encourage</w:t>
      </w:r>
      <w:r>
        <w:rPr>
          <w:u w:val="none"/>
        </w:rPr>
        <w:t xml:space="preserve"> les États qui n</w:t>
      </w:r>
      <w:r w:rsidR="00C44269">
        <w:rPr>
          <w:u w:val="none"/>
        </w:rPr>
        <w:t>’</w:t>
      </w:r>
      <w:r>
        <w:rPr>
          <w:u w:val="none"/>
        </w:rPr>
        <w:t>ont pas encore ratifié la Convention à envisager de le faire ;</w:t>
      </w:r>
    </w:p>
    <w:p w14:paraId="3E52E7AA" w14:textId="4CA3EC03" w:rsidR="002B75A6" w:rsidRPr="005C792B" w:rsidRDefault="002B75A6" w:rsidP="00310E49">
      <w:pPr>
        <w:pStyle w:val="COMParaDecision"/>
        <w:ind w:left="1134" w:hanging="567"/>
      </w:pPr>
      <w:r>
        <w:t>Prend note</w:t>
      </w:r>
      <w:r>
        <w:rPr>
          <w:u w:val="none"/>
        </w:rPr>
        <w:t xml:space="preserve"> du rapport du Comité à l</w:t>
      </w:r>
      <w:r w:rsidR="00C44269">
        <w:rPr>
          <w:u w:val="none"/>
        </w:rPr>
        <w:t>’</w:t>
      </w:r>
      <w:r>
        <w:rPr>
          <w:u w:val="none"/>
        </w:rPr>
        <w:t>Assemblée générale sur ses activités entre janvier 2022 et décembre 2023, tel qu</w:t>
      </w:r>
      <w:r w:rsidR="00C44269">
        <w:rPr>
          <w:u w:val="none"/>
        </w:rPr>
        <w:t>’</w:t>
      </w:r>
      <w:r>
        <w:rPr>
          <w:u w:val="none"/>
        </w:rPr>
        <w:t xml:space="preserve">annexé au présent document, et </w:t>
      </w:r>
      <w:r>
        <w:t>remercie</w:t>
      </w:r>
      <w:r>
        <w:rPr>
          <w:u w:val="none"/>
        </w:rPr>
        <w:t xml:space="preserve"> le Comité pour l</w:t>
      </w:r>
      <w:r w:rsidR="00C44269">
        <w:rPr>
          <w:u w:val="none"/>
        </w:rPr>
        <w:t>’</w:t>
      </w:r>
      <w:r>
        <w:rPr>
          <w:u w:val="none"/>
        </w:rPr>
        <w:t>efficacité de son travail ;</w:t>
      </w:r>
    </w:p>
    <w:p w14:paraId="0D8E4438" w14:textId="2F823585" w:rsidR="002B75A6" w:rsidRPr="00BB6EEC" w:rsidRDefault="002B75A6" w:rsidP="00310E49">
      <w:pPr>
        <w:pStyle w:val="COMParaDecision"/>
        <w:ind w:left="1134" w:hanging="567"/>
      </w:pPr>
      <w:r>
        <w:t>Félicite</w:t>
      </w:r>
      <w:r w:rsidRPr="00376166">
        <w:rPr>
          <w:u w:val="none"/>
        </w:rPr>
        <w:t xml:space="preserve"> </w:t>
      </w:r>
      <w:r w:rsidRPr="00F478FD">
        <w:rPr>
          <w:u w:val="none"/>
        </w:rPr>
        <w:t>le</w:t>
      </w:r>
      <w:r>
        <w:rPr>
          <w:u w:val="none"/>
        </w:rPr>
        <w:t xml:space="preserve"> Comité pour la préparation de la note d</w:t>
      </w:r>
      <w:r w:rsidR="00C44269">
        <w:rPr>
          <w:u w:val="none"/>
        </w:rPr>
        <w:t>’</w:t>
      </w:r>
      <w:r>
        <w:rPr>
          <w:u w:val="none"/>
        </w:rPr>
        <w:t xml:space="preserve">orientation sur les dimensions économiques de la sauvegarde du patrimoine culturel immatériel et </w:t>
      </w:r>
      <w:r>
        <w:t>prend note</w:t>
      </w:r>
      <w:r>
        <w:rPr>
          <w:u w:val="none"/>
        </w:rPr>
        <w:t xml:space="preserve"> des travaux en cours dans le cadre des initiatives thématiques sur la sauvegarde du patrimoine culturel immatériel et le changement climatique et la sauvegarde du patrimoine culturel immatériel dans les contextes urbains ;</w:t>
      </w:r>
    </w:p>
    <w:p w14:paraId="25DBDB8E" w14:textId="4C2ABF29" w:rsidR="002B75A6" w:rsidRPr="009B682B" w:rsidRDefault="002B75A6" w:rsidP="00310E49">
      <w:pPr>
        <w:pStyle w:val="COMParaDecision"/>
        <w:ind w:left="1134" w:hanging="567"/>
      </w:pPr>
      <w:r>
        <w:t>Félicite en outre</w:t>
      </w:r>
      <w:r>
        <w:rPr>
          <w:u w:val="none"/>
        </w:rPr>
        <w:t xml:space="preserve"> le Comité pour les progrès accomplis au niveau de </w:t>
      </w:r>
      <w:r w:rsidRPr="00286147">
        <w:rPr>
          <w:u w:val="none"/>
        </w:rPr>
        <w:t>la réflexion globale sur une mise en œuvre élargie de l</w:t>
      </w:r>
      <w:r w:rsidR="00C44269" w:rsidRPr="00286147">
        <w:rPr>
          <w:u w:val="none"/>
        </w:rPr>
        <w:t>’</w:t>
      </w:r>
      <w:r w:rsidRPr="00733192">
        <w:rPr>
          <w:u w:val="none"/>
        </w:rPr>
        <w:t>article 18, avec un processus de consultation inclusif avec des experts et le groupe de travail intergouvernemental à composition non limitée </w:t>
      </w:r>
      <w:r w:rsidRPr="009B682B">
        <w:rPr>
          <w:u w:val="none"/>
        </w:rPr>
        <w:t>;</w:t>
      </w:r>
    </w:p>
    <w:p w14:paraId="1AA16428" w14:textId="39DDECD2" w:rsidR="00EE67E0" w:rsidRPr="00EE67E0" w:rsidRDefault="002B75A6" w:rsidP="00310E49">
      <w:pPr>
        <w:pStyle w:val="COMParaDecision"/>
        <w:ind w:left="1134" w:hanging="567"/>
      </w:pPr>
      <w:r>
        <w:t>Note avec satisfaction</w:t>
      </w:r>
      <w:r>
        <w:rPr>
          <w:u w:val="none"/>
        </w:rPr>
        <w:t xml:space="preserve"> l</w:t>
      </w:r>
      <w:r w:rsidR="00C44269">
        <w:rPr>
          <w:u w:val="none"/>
        </w:rPr>
        <w:t>’</w:t>
      </w:r>
      <w:r>
        <w:rPr>
          <w:u w:val="none"/>
        </w:rPr>
        <w:t xml:space="preserve">augmentation des soumissions pour le cycle actuel des </w:t>
      </w:r>
      <w:r w:rsidR="005221E1">
        <w:rPr>
          <w:u w:val="none"/>
        </w:rPr>
        <w:t xml:space="preserve">rapports </w:t>
      </w:r>
      <w:r>
        <w:rPr>
          <w:u w:val="none"/>
        </w:rPr>
        <w:t xml:space="preserve">périodiques et </w:t>
      </w:r>
      <w:r>
        <w:t>salue</w:t>
      </w:r>
      <w:r>
        <w:rPr>
          <w:u w:val="none"/>
        </w:rPr>
        <w:t xml:space="preserve"> </w:t>
      </w:r>
      <w:r w:rsidRPr="00286147">
        <w:rPr>
          <w:u w:val="none"/>
        </w:rPr>
        <w:t xml:space="preserve">la décision du Comité sur </w:t>
      </w:r>
      <w:r w:rsidR="005221E1">
        <w:rPr>
          <w:u w:val="none"/>
        </w:rPr>
        <w:t>l’alignement proposé des mécanismes des rapports en vue d’un</w:t>
      </w:r>
      <w:r w:rsidRPr="00286147">
        <w:rPr>
          <w:u w:val="none"/>
        </w:rPr>
        <w:t xml:space="preserve"> système de soumission globale unique en préparation du Rapport mondial quadriennal sur les politiques culturelles à partir de 2025</w:t>
      </w:r>
      <w:r>
        <w:rPr>
          <w:u w:val="none"/>
        </w:rPr>
        <w:t xml:space="preserve"> (Décision </w:t>
      </w:r>
      <w:hyperlink r:id="rId12" w:history="1">
        <w:r>
          <w:rPr>
            <w:rStyle w:val="Lienhypertexte"/>
          </w:rPr>
          <w:t>18.COM 7.c</w:t>
        </w:r>
      </w:hyperlink>
      <w:r>
        <w:rPr>
          <w:u w:val="none"/>
        </w:rPr>
        <w:t>) ;</w:t>
      </w:r>
    </w:p>
    <w:p w14:paraId="76527BCB" w14:textId="11D2F6C1" w:rsidR="002B75A6" w:rsidRPr="00000673" w:rsidRDefault="002B75A6" w:rsidP="00310E49">
      <w:pPr>
        <w:pStyle w:val="COMParaDecision"/>
        <w:ind w:left="1134" w:hanging="567"/>
      </w:pPr>
      <w:r>
        <w:t>Se félicite également</w:t>
      </w:r>
      <w:r>
        <w:rPr>
          <w:u w:val="none"/>
        </w:rPr>
        <w:t xml:space="preserve"> de la poursuite des travaux sur les deux priorités globales de financement de la Convention, « Renforcement des capacités de sauvegarde du patrimoine culturel immatériel par </w:t>
      </w:r>
      <w:r w:rsidR="009A0F4B">
        <w:rPr>
          <w:u w:val="none"/>
        </w:rPr>
        <w:t xml:space="preserve">le </w:t>
      </w:r>
      <w:proofErr w:type="gramStart"/>
      <w:r w:rsidR="009A0F4B">
        <w:rPr>
          <w:u w:val="none"/>
        </w:rPr>
        <w:t xml:space="preserve">biais </w:t>
      </w:r>
      <w:r>
        <w:rPr>
          <w:u w:val="none"/>
        </w:rPr>
        <w:t xml:space="preserve"> </w:t>
      </w:r>
      <w:r w:rsidR="009A0F4B">
        <w:rPr>
          <w:u w:val="none"/>
        </w:rPr>
        <w:t>d’</w:t>
      </w:r>
      <w:r>
        <w:rPr>
          <w:u w:val="none"/>
        </w:rPr>
        <w:t>approches</w:t>
      </w:r>
      <w:proofErr w:type="gramEnd"/>
      <w:r>
        <w:rPr>
          <w:u w:val="none"/>
        </w:rPr>
        <w:t xml:space="preserve"> multimodales et de contribution au développement durable » et « Sauvegarde du patrimoine culturel immatériel dans l</w:t>
      </w:r>
      <w:r w:rsidR="00C44269">
        <w:rPr>
          <w:u w:val="none"/>
        </w:rPr>
        <w:t>’</w:t>
      </w:r>
      <w:r>
        <w:rPr>
          <w:u w:val="none"/>
        </w:rPr>
        <w:t>éducation formelle et non formelle », à la lumière de l</w:t>
      </w:r>
      <w:r w:rsidR="00C44269">
        <w:rPr>
          <w:u w:val="none"/>
        </w:rPr>
        <w:t>’</w:t>
      </w:r>
      <w:r>
        <w:rPr>
          <w:u w:val="none"/>
        </w:rPr>
        <w:t>Agenda 2030 pour le développement durable et de la préparation de l</w:t>
      </w:r>
      <w:r w:rsidR="00C44269">
        <w:rPr>
          <w:u w:val="none"/>
        </w:rPr>
        <w:t>’</w:t>
      </w:r>
      <w:r>
        <w:rPr>
          <w:u w:val="none"/>
        </w:rPr>
        <w:t>agenda post-2030 ;</w:t>
      </w:r>
    </w:p>
    <w:p w14:paraId="5564115B" w14:textId="42CBD9D0" w:rsidR="002B75A6" w:rsidRPr="00BB6EEC" w:rsidRDefault="002B75A6" w:rsidP="00310E49">
      <w:pPr>
        <w:pStyle w:val="COMParaDecision"/>
        <w:ind w:left="1134" w:hanging="567"/>
      </w:pPr>
      <w:r>
        <w:t>Reconnaît</w:t>
      </w:r>
      <w:r>
        <w:rPr>
          <w:u w:val="none"/>
        </w:rPr>
        <w:t xml:space="preserve"> la décision du Comité d</w:t>
      </w:r>
      <w:r w:rsidR="00C44269">
        <w:rPr>
          <w:u w:val="none"/>
        </w:rPr>
        <w:t>’</w:t>
      </w:r>
      <w:r>
        <w:rPr>
          <w:u w:val="none"/>
        </w:rPr>
        <w:t>utiliser la procédure de retrait nouvellement établie pour retirer une partie d</w:t>
      </w:r>
      <w:r w:rsidR="00C44269">
        <w:rPr>
          <w:u w:val="none"/>
        </w:rPr>
        <w:t>’</w:t>
      </w:r>
      <w:r>
        <w:rPr>
          <w:u w:val="none"/>
        </w:rPr>
        <w:t>un élément de l</w:t>
      </w:r>
      <w:r w:rsidR="00C44269">
        <w:rPr>
          <w:u w:val="none"/>
        </w:rPr>
        <w:t>’</w:t>
      </w:r>
      <w:r>
        <w:rPr>
          <w:u w:val="none"/>
        </w:rPr>
        <w:t xml:space="preserve">une des listes de la Convention, conformément </w:t>
      </w:r>
      <w:r>
        <w:rPr>
          <w:u w:val="none"/>
        </w:rPr>
        <w:lastRenderedPageBreak/>
        <w:t>aux principes fondateurs de l</w:t>
      </w:r>
      <w:r w:rsidR="00C44269">
        <w:rPr>
          <w:u w:val="none"/>
        </w:rPr>
        <w:t>’</w:t>
      </w:r>
      <w:r>
        <w:rPr>
          <w:u w:val="none"/>
        </w:rPr>
        <w:t>UNESCO et aux principes de dignité, d</w:t>
      </w:r>
      <w:r w:rsidR="00C44269">
        <w:rPr>
          <w:u w:val="none"/>
        </w:rPr>
        <w:t>’</w:t>
      </w:r>
      <w:r>
        <w:rPr>
          <w:u w:val="none"/>
        </w:rPr>
        <w:t>égalité et de respect mutuel entre les peuples de la Convention</w:t>
      </w:r>
      <w:r w:rsidR="009C3FD0">
        <w:rPr>
          <w:u w:val="none"/>
        </w:rPr>
        <w:t> </w:t>
      </w:r>
      <w:r w:rsidRPr="00376166">
        <w:rPr>
          <w:u w:val="none"/>
        </w:rPr>
        <w:t>;</w:t>
      </w:r>
    </w:p>
    <w:p w14:paraId="7AFABE93" w14:textId="02FA8D9F" w:rsidR="002B75A6" w:rsidRPr="00664468" w:rsidRDefault="002B75A6" w:rsidP="00310E49">
      <w:pPr>
        <w:pStyle w:val="COMParaDecision"/>
        <w:ind w:left="1134" w:hanging="567"/>
      </w:pPr>
      <w:r>
        <w:t>Demande</w:t>
      </w:r>
      <w:r>
        <w:rPr>
          <w:u w:val="none"/>
        </w:rPr>
        <w:t xml:space="preserve"> à la Directrice générale de porter ce rapport à l</w:t>
      </w:r>
      <w:r w:rsidR="00C44269">
        <w:rPr>
          <w:u w:val="none"/>
        </w:rPr>
        <w:t>’</w:t>
      </w:r>
      <w:r>
        <w:rPr>
          <w:u w:val="none"/>
        </w:rPr>
        <w:t>attention de la Conférence générale de l</w:t>
      </w:r>
      <w:r w:rsidR="00C44269">
        <w:rPr>
          <w:u w:val="none"/>
        </w:rPr>
        <w:t>’</w:t>
      </w:r>
      <w:r>
        <w:rPr>
          <w:u w:val="none"/>
        </w:rPr>
        <w:t>UNESCO, conformément au paragraphe 2 de l</w:t>
      </w:r>
      <w:r w:rsidR="00C44269">
        <w:rPr>
          <w:u w:val="none"/>
        </w:rPr>
        <w:t>’</w:t>
      </w:r>
      <w:r>
        <w:rPr>
          <w:u w:val="none"/>
        </w:rPr>
        <w:t>article 30 de la Convention.</w:t>
      </w:r>
    </w:p>
    <w:p w14:paraId="1D881339" w14:textId="77777777" w:rsidR="009A373B" w:rsidRPr="003C1CCC" w:rsidRDefault="009A373B" w:rsidP="009A373B">
      <w:pPr>
        <w:pageBreakBefore/>
        <w:spacing w:after="240"/>
        <w:jc w:val="center"/>
        <w:rPr>
          <w:rFonts w:ascii="Arial" w:hAnsi="Arial" w:cs="Arial"/>
          <w:sz w:val="22"/>
          <w:szCs w:val="22"/>
        </w:rPr>
      </w:pPr>
      <w:r>
        <w:rPr>
          <w:rFonts w:ascii="Arial" w:hAnsi="Arial"/>
          <w:b/>
          <w:sz w:val="22"/>
          <w:u w:val="single"/>
        </w:rPr>
        <w:lastRenderedPageBreak/>
        <w:t>ANNEXE</w:t>
      </w:r>
    </w:p>
    <w:p w14:paraId="08563B97" w14:textId="65FD63EE" w:rsidR="009A373B" w:rsidRPr="003C1CCC" w:rsidRDefault="009A373B" w:rsidP="009A373B">
      <w:pPr>
        <w:spacing w:after="360"/>
        <w:jc w:val="center"/>
        <w:rPr>
          <w:rFonts w:ascii="Arial" w:hAnsi="Arial" w:cs="Arial"/>
          <w:sz w:val="22"/>
          <w:szCs w:val="22"/>
        </w:rPr>
      </w:pPr>
      <w:r>
        <w:rPr>
          <w:rFonts w:ascii="Arial" w:hAnsi="Arial"/>
          <w:b/>
          <w:sz w:val="22"/>
        </w:rPr>
        <w:t>Rapport du Comité à l</w:t>
      </w:r>
      <w:r w:rsidR="00C44269">
        <w:rPr>
          <w:rFonts w:ascii="Arial" w:hAnsi="Arial"/>
          <w:b/>
          <w:sz w:val="22"/>
        </w:rPr>
        <w:t>’</w:t>
      </w:r>
      <w:r>
        <w:rPr>
          <w:rFonts w:ascii="Arial" w:hAnsi="Arial"/>
          <w:b/>
          <w:sz w:val="22"/>
        </w:rPr>
        <w:t>Assemblée générale sur ses activités</w:t>
      </w:r>
    </w:p>
    <w:p w14:paraId="6F38C713" w14:textId="77777777" w:rsidR="009A373B" w:rsidRPr="003C1CCC" w:rsidRDefault="009A373B" w:rsidP="009A373B">
      <w:pPr>
        <w:keepNext/>
        <w:numPr>
          <w:ilvl w:val="0"/>
          <w:numId w:val="24"/>
        </w:numPr>
        <w:tabs>
          <w:tab w:val="num" w:pos="567"/>
        </w:tabs>
        <w:snapToGrid w:val="0"/>
        <w:spacing w:before="240" w:after="120"/>
        <w:ind w:left="562" w:hanging="562"/>
        <w:jc w:val="both"/>
        <w:rPr>
          <w:rFonts w:asciiTheme="minorBidi" w:hAnsiTheme="minorBidi" w:cstheme="minorBidi"/>
          <w:szCs w:val="22"/>
        </w:rPr>
      </w:pPr>
      <w:r>
        <w:rPr>
          <w:rFonts w:ascii="Arial" w:hAnsi="Arial"/>
          <w:b/>
          <w:sz w:val="22"/>
        </w:rPr>
        <w:t>Introduction</w:t>
      </w:r>
    </w:p>
    <w:p w14:paraId="703A1F15" w14:textId="340EF6FD" w:rsidR="009A373B" w:rsidRPr="003C1CCC" w:rsidRDefault="009A373B" w:rsidP="009A373B">
      <w:pPr>
        <w:pStyle w:val="Marge"/>
        <w:numPr>
          <w:ilvl w:val="0"/>
          <w:numId w:val="23"/>
        </w:numPr>
        <w:tabs>
          <w:tab w:val="clear" w:pos="502"/>
          <w:tab w:val="clear" w:pos="567"/>
          <w:tab w:val="num" w:pos="1276"/>
        </w:tabs>
        <w:spacing w:after="120"/>
        <w:ind w:left="567" w:hanging="567"/>
        <w:rPr>
          <w:rFonts w:asciiTheme="minorBidi" w:hAnsiTheme="minorBidi" w:cstheme="minorBidi"/>
          <w:szCs w:val="22"/>
        </w:rPr>
      </w:pPr>
      <w:r>
        <w:rPr>
          <w:rFonts w:asciiTheme="minorBidi" w:hAnsiTheme="minorBidi"/>
        </w:rPr>
        <w:t>Les fonctions du Comité sont définies dans la Convention de 2003 pour la sauvegarde du patrimoine culturel immatériel, et plus particulièrement dans l</w:t>
      </w:r>
      <w:r w:rsidR="00C44269">
        <w:rPr>
          <w:rFonts w:asciiTheme="minorBidi" w:hAnsiTheme="minorBidi"/>
        </w:rPr>
        <w:t>’</w:t>
      </w:r>
      <w:r>
        <w:rPr>
          <w:rFonts w:asciiTheme="minorBidi" w:hAnsiTheme="minorBidi"/>
        </w:rPr>
        <w:t>article 7.</w:t>
      </w:r>
    </w:p>
    <w:p w14:paraId="00C75A26" w14:textId="63BA03CB" w:rsidR="009A373B" w:rsidRPr="009B682B" w:rsidRDefault="009A373B" w:rsidP="009A373B">
      <w:pPr>
        <w:pStyle w:val="Marge"/>
        <w:numPr>
          <w:ilvl w:val="0"/>
          <w:numId w:val="23"/>
        </w:numPr>
        <w:tabs>
          <w:tab w:val="clear" w:pos="502"/>
          <w:tab w:val="num" w:pos="567"/>
        </w:tabs>
        <w:spacing w:before="120" w:after="120"/>
        <w:ind w:left="567" w:hanging="567"/>
        <w:rPr>
          <w:rFonts w:asciiTheme="minorBidi" w:hAnsiTheme="minorBidi" w:cstheme="minorBidi"/>
          <w:szCs w:val="22"/>
        </w:rPr>
      </w:pPr>
      <w:r>
        <w:rPr>
          <w:rFonts w:asciiTheme="minorBidi" w:hAnsiTheme="minorBidi"/>
        </w:rPr>
        <w:t>En 2022, l</w:t>
      </w:r>
      <w:r w:rsidR="00C44269">
        <w:rPr>
          <w:rFonts w:asciiTheme="minorBidi" w:hAnsiTheme="minorBidi"/>
        </w:rPr>
        <w:t>’</w:t>
      </w:r>
      <w:r>
        <w:rPr>
          <w:rFonts w:asciiTheme="minorBidi" w:hAnsiTheme="minorBidi"/>
        </w:rPr>
        <w:t xml:space="preserve">Assemblée générale a renouvelé la moitié du Comité en élisant douze États parties en sus des membres actuels : </w:t>
      </w:r>
      <w:r w:rsidRPr="00733192">
        <w:rPr>
          <w:rFonts w:asciiTheme="minorBidi" w:hAnsiTheme="minorBidi"/>
        </w:rPr>
        <w:t xml:space="preserve">Allemagne*, Angola*, </w:t>
      </w:r>
      <w:r w:rsidRPr="009B682B">
        <w:rPr>
          <w:rFonts w:asciiTheme="minorBidi" w:hAnsiTheme="minorBidi"/>
        </w:rPr>
        <w:t>Arabie saoudite</w:t>
      </w:r>
      <w:r w:rsidRPr="00733192">
        <w:rPr>
          <w:rFonts w:asciiTheme="minorBidi" w:hAnsiTheme="minorBidi"/>
        </w:rPr>
        <w:t xml:space="preserve">, Bangladesh*, Botswana, </w:t>
      </w:r>
      <w:r w:rsidRPr="009B682B">
        <w:rPr>
          <w:rFonts w:asciiTheme="minorBidi" w:hAnsiTheme="minorBidi"/>
        </w:rPr>
        <w:t>Brésil, Burkina Faso*, Côte d</w:t>
      </w:r>
      <w:r w:rsidR="00C44269" w:rsidRPr="009B682B">
        <w:rPr>
          <w:rFonts w:asciiTheme="minorBidi" w:hAnsiTheme="minorBidi"/>
        </w:rPr>
        <w:t>’</w:t>
      </w:r>
      <w:r w:rsidRPr="009B682B">
        <w:rPr>
          <w:rFonts w:asciiTheme="minorBidi" w:hAnsiTheme="minorBidi"/>
        </w:rPr>
        <w:t>Ivoire, Éthiopie*, Inde*, Malaisie*, Maroc, Mauritanie*, Ouzbékistan*, Panama, Paraguay*, Pérou, République de Corée, Rwanda, Slovaquie*, Suède, Suisse, Tchéquie et Viet Nam* (les pays marqués d</w:t>
      </w:r>
      <w:r w:rsidR="00C44269" w:rsidRPr="009B682B">
        <w:rPr>
          <w:rFonts w:asciiTheme="minorBidi" w:hAnsiTheme="minorBidi"/>
        </w:rPr>
        <w:t>’</w:t>
      </w:r>
      <w:r w:rsidRPr="009B682B">
        <w:rPr>
          <w:rFonts w:asciiTheme="minorBidi" w:hAnsiTheme="minorBidi"/>
        </w:rPr>
        <w:t>un astérisque ont un mandat pour les années 2022 à 2026 ; les pays sans astérisque ont un mandat pour les années 2020 à 2024).</w:t>
      </w:r>
    </w:p>
    <w:p w14:paraId="7ADA1E78" w14:textId="465D91EA" w:rsidR="009A373B" w:rsidRPr="003C1CCC" w:rsidRDefault="00982AFA" w:rsidP="009A373B">
      <w:pPr>
        <w:pStyle w:val="Marge"/>
        <w:numPr>
          <w:ilvl w:val="0"/>
          <w:numId w:val="23"/>
        </w:numPr>
        <w:tabs>
          <w:tab w:val="clear" w:pos="502"/>
          <w:tab w:val="num" w:pos="567"/>
        </w:tabs>
        <w:spacing w:before="120" w:after="120"/>
        <w:ind w:left="567" w:hanging="567"/>
        <w:rPr>
          <w:rFonts w:asciiTheme="minorBidi" w:hAnsiTheme="minorBidi" w:cstheme="minorBidi"/>
          <w:szCs w:val="22"/>
        </w:rPr>
      </w:pPr>
      <w:r>
        <w:rPr>
          <w:rFonts w:asciiTheme="minorBidi" w:hAnsiTheme="minorBidi"/>
        </w:rPr>
        <w:t>Le</w:t>
      </w:r>
      <w:r w:rsidR="009A373B">
        <w:rPr>
          <w:rFonts w:asciiTheme="minorBidi" w:hAnsiTheme="minorBidi"/>
        </w:rPr>
        <w:t xml:space="preserve"> Comité a été convoquée deux fois</w:t>
      </w:r>
      <w:r>
        <w:rPr>
          <w:rFonts w:asciiTheme="minorBidi" w:hAnsiTheme="minorBidi"/>
        </w:rPr>
        <w:t xml:space="preserve"> en session ordinaire</w:t>
      </w:r>
      <w:r w:rsidR="009A373B">
        <w:rPr>
          <w:rFonts w:asciiTheme="minorBidi" w:hAnsiTheme="minorBidi"/>
        </w:rPr>
        <w:t> : du 28 novembre au 3 décembre 2022 (Rabat, Royaume du Maroc) pour sa dix-septième session (17.COM) et du 5 au 8</w:t>
      </w:r>
      <w:r>
        <w:rPr>
          <w:rFonts w:asciiTheme="minorBidi" w:hAnsiTheme="minorBidi"/>
        </w:rPr>
        <w:t> </w:t>
      </w:r>
      <w:r w:rsidR="009A373B">
        <w:rPr>
          <w:rFonts w:asciiTheme="minorBidi" w:hAnsiTheme="minorBidi"/>
        </w:rPr>
        <w:t xml:space="preserve">décembre 2023 (Kasane, République du Botswana) pour sa dix-huitième session (18.COM). Il a également été convoqué une fois en ligne le 1er juillet 2022 pour sa cinquième session extraordinaire (5.EXT.COM). Le Bureau </w:t>
      </w:r>
      <w:r>
        <w:rPr>
          <w:rFonts w:asciiTheme="minorBidi" w:hAnsiTheme="minorBidi"/>
        </w:rPr>
        <w:t>du</w:t>
      </w:r>
      <w:r w:rsidR="009A373B">
        <w:rPr>
          <w:rFonts w:asciiTheme="minorBidi" w:hAnsiTheme="minorBidi"/>
        </w:rPr>
        <w:t xml:space="preserve"> 17.COM a réuni : S.E</w:t>
      </w:r>
      <w:r>
        <w:rPr>
          <w:rFonts w:asciiTheme="minorBidi" w:hAnsiTheme="minorBidi"/>
        </w:rPr>
        <w:t>xc</w:t>
      </w:r>
      <w:r w:rsidR="009A373B">
        <w:rPr>
          <w:rFonts w:asciiTheme="minorBidi" w:hAnsiTheme="minorBidi"/>
        </w:rPr>
        <w:t xml:space="preserve">. M. Samir Addahre (Maroc) en qualité de Président ; la Suisse, la Tchéquie, </w:t>
      </w:r>
      <w:r>
        <w:rPr>
          <w:rFonts w:asciiTheme="minorBidi" w:hAnsiTheme="minorBidi"/>
        </w:rPr>
        <w:t>le</w:t>
      </w:r>
      <w:r w:rsidR="009A373B">
        <w:rPr>
          <w:rFonts w:asciiTheme="minorBidi" w:hAnsiTheme="minorBidi"/>
        </w:rPr>
        <w:t xml:space="preserve"> Panama, la République de Corée et </w:t>
      </w:r>
      <w:r>
        <w:rPr>
          <w:rFonts w:asciiTheme="minorBidi" w:hAnsiTheme="minorBidi"/>
        </w:rPr>
        <w:t>le</w:t>
      </w:r>
      <w:r w:rsidR="009A373B">
        <w:rPr>
          <w:rFonts w:asciiTheme="minorBidi" w:hAnsiTheme="minorBidi"/>
        </w:rPr>
        <w:t xml:space="preserve"> Botswana en qualité de </w:t>
      </w:r>
      <w:r w:rsidR="009C3FD0">
        <w:rPr>
          <w:rFonts w:asciiTheme="minorBidi" w:hAnsiTheme="minorBidi"/>
        </w:rPr>
        <w:t>V</w:t>
      </w:r>
      <w:r w:rsidR="009A373B">
        <w:rPr>
          <w:rFonts w:asciiTheme="minorBidi" w:hAnsiTheme="minorBidi"/>
        </w:rPr>
        <w:t xml:space="preserve">ice-présidents et M. Ramiro Maurice Silva Rivera (Pérou) en qualité de </w:t>
      </w:r>
      <w:r w:rsidR="004A18E5">
        <w:rPr>
          <w:rFonts w:asciiTheme="minorBidi" w:hAnsiTheme="minorBidi"/>
        </w:rPr>
        <w:t>R</w:t>
      </w:r>
      <w:r w:rsidR="009A373B">
        <w:rPr>
          <w:rFonts w:asciiTheme="minorBidi" w:hAnsiTheme="minorBidi"/>
        </w:rPr>
        <w:t xml:space="preserve">apporteur. Le Bureau </w:t>
      </w:r>
      <w:r>
        <w:rPr>
          <w:rFonts w:asciiTheme="minorBidi" w:hAnsiTheme="minorBidi"/>
        </w:rPr>
        <w:t>du</w:t>
      </w:r>
      <w:r w:rsidR="009A373B">
        <w:rPr>
          <w:rFonts w:asciiTheme="minorBidi" w:hAnsiTheme="minorBidi"/>
        </w:rPr>
        <w:t xml:space="preserve"> 18.COM a réuni : S.E</w:t>
      </w:r>
      <w:r>
        <w:rPr>
          <w:rFonts w:asciiTheme="minorBidi" w:hAnsiTheme="minorBidi"/>
        </w:rPr>
        <w:t>xc</w:t>
      </w:r>
      <w:r w:rsidR="009A373B">
        <w:rPr>
          <w:rFonts w:asciiTheme="minorBidi" w:hAnsiTheme="minorBidi"/>
        </w:rPr>
        <w:t>.</w:t>
      </w:r>
      <w:r w:rsidR="00C536D5">
        <w:rPr>
          <w:rFonts w:asciiTheme="minorBidi" w:hAnsiTheme="minorBidi"/>
        </w:rPr>
        <w:t> </w:t>
      </w:r>
      <w:r w:rsidR="009A373B">
        <w:rPr>
          <w:rFonts w:asciiTheme="minorBidi" w:hAnsiTheme="minorBidi"/>
        </w:rPr>
        <w:t>M.</w:t>
      </w:r>
      <w:r w:rsidR="009C3FD0">
        <w:rPr>
          <w:rFonts w:asciiTheme="minorBidi" w:hAnsiTheme="minorBidi"/>
        </w:rPr>
        <w:t> </w:t>
      </w:r>
      <w:r w:rsidR="009A373B">
        <w:rPr>
          <w:rFonts w:asciiTheme="minorBidi" w:hAnsiTheme="minorBidi"/>
        </w:rPr>
        <w:t xml:space="preserve">Mustaq Moorad (Botswana) en qualité de Président ; </w:t>
      </w:r>
      <w:r>
        <w:rPr>
          <w:rFonts w:asciiTheme="minorBidi" w:hAnsiTheme="minorBidi"/>
        </w:rPr>
        <w:t>la</w:t>
      </w:r>
      <w:r w:rsidR="009A373B">
        <w:rPr>
          <w:rFonts w:asciiTheme="minorBidi" w:hAnsiTheme="minorBidi"/>
        </w:rPr>
        <w:t xml:space="preserve"> Suisse, la Slovaquie, </w:t>
      </w:r>
      <w:r>
        <w:rPr>
          <w:rFonts w:asciiTheme="minorBidi" w:hAnsiTheme="minorBidi"/>
        </w:rPr>
        <w:t>le</w:t>
      </w:r>
      <w:r w:rsidR="009A373B">
        <w:rPr>
          <w:rFonts w:asciiTheme="minorBidi" w:hAnsiTheme="minorBidi"/>
        </w:rPr>
        <w:t xml:space="preserve"> Pérou, </w:t>
      </w:r>
      <w:r>
        <w:rPr>
          <w:rFonts w:asciiTheme="minorBidi" w:hAnsiTheme="minorBidi"/>
        </w:rPr>
        <w:t>le</w:t>
      </w:r>
      <w:r w:rsidR="009A373B">
        <w:rPr>
          <w:rFonts w:asciiTheme="minorBidi" w:hAnsiTheme="minorBidi"/>
        </w:rPr>
        <w:t xml:space="preserve"> Bangladesh et </w:t>
      </w:r>
      <w:r>
        <w:rPr>
          <w:rFonts w:asciiTheme="minorBidi" w:hAnsiTheme="minorBidi"/>
        </w:rPr>
        <w:t>le</w:t>
      </w:r>
      <w:r w:rsidR="009A373B">
        <w:rPr>
          <w:rFonts w:asciiTheme="minorBidi" w:hAnsiTheme="minorBidi"/>
        </w:rPr>
        <w:t xml:space="preserve"> Maroc en qualité de </w:t>
      </w:r>
      <w:r w:rsidR="009C3FD0">
        <w:rPr>
          <w:rFonts w:asciiTheme="minorBidi" w:hAnsiTheme="minorBidi"/>
        </w:rPr>
        <w:t>V</w:t>
      </w:r>
      <w:r w:rsidR="009A373B">
        <w:rPr>
          <w:rFonts w:asciiTheme="minorBidi" w:hAnsiTheme="minorBidi"/>
        </w:rPr>
        <w:t xml:space="preserve">ice-présidents et Mme Eva </w:t>
      </w:r>
      <w:r>
        <w:rPr>
          <w:rFonts w:asciiTheme="minorBidi" w:hAnsiTheme="minorBidi"/>
        </w:rPr>
        <w:t>Kuminková</w:t>
      </w:r>
      <w:r w:rsidR="009A373B">
        <w:rPr>
          <w:rFonts w:asciiTheme="minorBidi" w:hAnsiTheme="minorBidi"/>
        </w:rPr>
        <w:t xml:space="preserve"> (Tchéquie) en qualité de Rapporteur</w:t>
      </w:r>
      <w:r w:rsidR="00023C1C">
        <w:rPr>
          <w:rFonts w:asciiTheme="minorBidi" w:hAnsiTheme="minorBidi"/>
        </w:rPr>
        <w:t>e</w:t>
      </w:r>
      <w:r w:rsidR="009A373B">
        <w:rPr>
          <w:rFonts w:asciiTheme="minorBidi" w:hAnsiTheme="minorBidi"/>
        </w:rPr>
        <w:t xml:space="preserve">. Le Bureau </w:t>
      </w:r>
      <w:r>
        <w:rPr>
          <w:rFonts w:asciiTheme="minorBidi" w:hAnsiTheme="minorBidi"/>
        </w:rPr>
        <w:t>du</w:t>
      </w:r>
      <w:r w:rsidR="009A373B">
        <w:rPr>
          <w:rFonts w:asciiTheme="minorBidi" w:hAnsiTheme="minorBidi"/>
        </w:rPr>
        <w:t xml:space="preserve"> 5.EXT.COM était le même que pour l</w:t>
      </w:r>
      <w:r>
        <w:rPr>
          <w:rFonts w:asciiTheme="minorBidi" w:hAnsiTheme="minorBidi"/>
        </w:rPr>
        <w:t>e</w:t>
      </w:r>
      <w:r w:rsidR="009A373B">
        <w:rPr>
          <w:rFonts w:asciiTheme="minorBidi" w:hAnsiTheme="minorBidi"/>
        </w:rPr>
        <w:t xml:space="preserve"> 17.COM.</w:t>
      </w:r>
    </w:p>
    <w:p w14:paraId="1CCFEA6B" w14:textId="1C1BE7D6" w:rsidR="009A373B" w:rsidRPr="00E666FE" w:rsidRDefault="009A373B" w:rsidP="009A373B">
      <w:pPr>
        <w:pStyle w:val="Marge"/>
        <w:numPr>
          <w:ilvl w:val="0"/>
          <w:numId w:val="23"/>
        </w:numPr>
        <w:tabs>
          <w:tab w:val="clear" w:pos="502"/>
          <w:tab w:val="num" w:pos="567"/>
        </w:tabs>
        <w:spacing w:before="120" w:after="120"/>
        <w:ind w:left="567" w:hanging="567"/>
        <w:rPr>
          <w:rFonts w:asciiTheme="minorBidi" w:hAnsiTheme="minorBidi" w:cstheme="minorBidi"/>
          <w:szCs w:val="22"/>
        </w:rPr>
      </w:pPr>
      <w:r>
        <w:rPr>
          <w:rFonts w:asciiTheme="minorBidi" w:hAnsiTheme="minorBidi"/>
        </w:rPr>
        <w:t>Le Bureau s</w:t>
      </w:r>
      <w:r w:rsidR="00C44269">
        <w:rPr>
          <w:rFonts w:asciiTheme="minorBidi" w:hAnsiTheme="minorBidi"/>
        </w:rPr>
        <w:t>’</w:t>
      </w:r>
      <w:r>
        <w:rPr>
          <w:rFonts w:asciiTheme="minorBidi" w:hAnsiTheme="minorBidi"/>
        </w:rPr>
        <w:t xml:space="preserve">est réuni du mardi au samedi </w:t>
      </w:r>
      <w:r w:rsidR="003659C6">
        <w:rPr>
          <w:rFonts w:asciiTheme="minorBidi" w:hAnsiTheme="minorBidi"/>
        </w:rPr>
        <w:t>au fil des</w:t>
      </w:r>
      <w:r>
        <w:rPr>
          <w:rFonts w:asciiTheme="minorBidi" w:hAnsiTheme="minorBidi"/>
        </w:rPr>
        <w:t xml:space="preserve"> sessions du Comité. Au cours de la période considérée, il s</w:t>
      </w:r>
      <w:r w:rsidR="00C44269">
        <w:rPr>
          <w:rFonts w:asciiTheme="minorBidi" w:hAnsiTheme="minorBidi"/>
        </w:rPr>
        <w:t>’</w:t>
      </w:r>
      <w:r>
        <w:rPr>
          <w:rFonts w:asciiTheme="minorBidi" w:hAnsiTheme="minorBidi"/>
        </w:rPr>
        <w:t>est également réuni quatre fois au Siège de l</w:t>
      </w:r>
      <w:r w:rsidR="00C44269">
        <w:rPr>
          <w:rFonts w:asciiTheme="minorBidi" w:hAnsiTheme="minorBidi"/>
        </w:rPr>
        <w:t>’</w:t>
      </w:r>
      <w:r>
        <w:rPr>
          <w:rFonts w:asciiTheme="minorBidi" w:hAnsiTheme="minorBidi"/>
        </w:rPr>
        <w:t xml:space="preserve">UNESCO, le 4 octobre 2022 (17.COM 5.BUR), le 22 mars 2023 (18.COM 1.BUR), le 5 juin 2023 (18.COM 2.BUR) et le 2 octobre 2023 (18.COM 3.BUR), trois fois en ligne le 7 mars 2022 (17.COM 1.BUR), le 6 mai 2022 (17.COM 3.BUR) et le 23 juin 2022 (17.COM 4.BUR) et une fois à Kasane (République du Botswana) le 3 décembre 2023 (18.COM 4.BUR). </w:t>
      </w:r>
      <w:r w:rsidR="007713DA">
        <w:rPr>
          <w:rFonts w:asciiTheme="minorBidi" w:hAnsiTheme="minorBidi"/>
        </w:rPr>
        <w:t>Une</w:t>
      </w:r>
      <w:r>
        <w:rPr>
          <w:rFonts w:asciiTheme="minorBidi" w:hAnsiTheme="minorBidi"/>
        </w:rPr>
        <w:t xml:space="preserve"> consultation électronique </w:t>
      </w:r>
      <w:r w:rsidR="007713DA">
        <w:rPr>
          <w:rFonts w:asciiTheme="minorBidi" w:hAnsiTheme="minorBidi"/>
        </w:rPr>
        <w:t>a</w:t>
      </w:r>
      <w:r>
        <w:rPr>
          <w:rFonts w:asciiTheme="minorBidi" w:hAnsiTheme="minorBidi"/>
        </w:rPr>
        <w:t xml:space="preserve"> également eu lieu en mars 2022 (17.COM 2.BUR).</w:t>
      </w:r>
    </w:p>
    <w:p w14:paraId="6F60BD72" w14:textId="4641CBA5" w:rsidR="009A373B" w:rsidRDefault="009A373B" w:rsidP="009A373B">
      <w:pPr>
        <w:pStyle w:val="Marge"/>
        <w:numPr>
          <w:ilvl w:val="0"/>
          <w:numId w:val="23"/>
        </w:numPr>
        <w:tabs>
          <w:tab w:val="clear" w:pos="502"/>
          <w:tab w:val="num" w:pos="567"/>
        </w:tabs>
        <w:spacing w:before="120" w:after="120"/>
        <w:ind w:left="567" w:hanging="567"/>
        <w:rPr>
          <w:rFonts w:asciiTheme="minorBidi" w:hAnsiTheme="minorBidi" w:cstheme="minorBidi"/>
          <w:szCs w:val="22"/>
        </w:rPr>
      </w:pPr>
      <w:r>
        <w:rPr>
          <w:rFonts w:asciiTheme="minorBidi" w:hAnsiTheme="minorBidi"/>
        </w:rPr>
        <w:t>Le Comité et son Bureau ont examiné un total de 91 points inscrits à leur ordre du jour, accompagnés de 94 documents de travail ou d</w:t>
      </w:r>
      <w:r w:rsidR="00C44269">
        <w:rPr>
          <w:rFonts w:asciiTheme="minorBidi" w:hAnsiTheme="minorBidi"/>
        </w:rPr>
        <w:t>’</w:t>
      </w:r>
      <w:r>
        <w:rPr>
          <w:rFonts w:asciiTheme="minorBidi" w:hAnsiTheme="minorBidi"/>
        </w:rPr>
        <w:t>information, 10 candidatures pour la Liste de sauvegarde urgente, 91 candidatures pour la Liste représentative, 10 propositions pour le Registre de bonnes pratiques de sauvegarde, 30 demandes d</w:t>
      </w:r>
      <w:r w:rsidR="00C44269">
        <w:rPr>
          <w:rFonts w:asciiTheme="minorBidi" w:hAnsiTheme="minorBidi"/>
        </w:rPr>
        <w:t>’</w:t>
      </w:r>
      <w:r>
        <w:rPr>
          <w:rFonts w:asciiTheme="minorBidi" w:hAnsiTheme="minorBidi"/>
        </w:rPr>
        <w:t xml:space="preserve">assistance internationale, </w:t>
      </w:r>
      <w:r w:rsidR="00330628">
        <w:rPr>
          <w:rFonts w:asciiTheme="minorBidi" w:hAnsiTheme="minorBidi"/>
        </w:rPr>
        <w:t>101 </w:t>
      </w:r>
      <w:r>
        <w:rPr>
          <w:rFonts w:asciiTheme="minorBidi" w:hAnsiTheme="minorBidi"/>
        </w:rPr>
        <w:t xml:space="preserve">rapports périodiques soumis par les </w:t>
      </w:r>
      <w:r w:rsidR="003659C6">
        <w:rPr>
          <w:rFonts w:asciiTheme="minorBidi" w:hAnsiTheme="minorBidi"/>
        </w:rPr>
        <w:t>É</w:t>
      </w:r>
      <w:r>
        <w:rPr>
          <w:rFonts w:asciiTheme="minorBidi" w:hAnsiTheme="minorBidi"/>
        </w:rPr>
        <w:t>tats parties et 164 demandes d</w:t>
      </w:r>
      <w:r w:rsidR="00C44269">
        <w:rPr>
          <w:rFonts w:asciiTheme="minorBidi" w:hAnsiTheme="minorBidi"/>
        </w:rPr>
        <w:t>’</w:t>
      </w:r>
      <w:r>
        <w:rPr>
          <w:rFonts w:asciiTheme="minorBidi" w:hAnsiTheme="minorBidi"/>
        </w:rPr>
        <w:t>accréditation ou de renouvellement d</w:t>
      </w:r>
      <w:r w:rsidR="00C44269">
        <w:rPr>
          <w:rFonts w:asciiTheme="minorBidi" w:hAnsiTheme="minorBidi"/>
        </w:rPr>
        <w:t>’</w:t>
      </w:r>
      <w:r>
        <w:rPr>
          <w:rFonts w:asciiTheme="minorBidi" w:hAnsiTheme="minorBidi"/>
        </w:rPr>
        <w:t>accréditation d</w:t>
      </w:r>
      <w:r w:rsidR="00C44269">
        <w:rPr>
          <w:rFonts w:asciiTheme="minorBidi" w:hAnsiTheme="minorBidi"/>
        </w:rPr>
        <w:t>’</w:t>
      </w:r>
      <w:r>
        <w:rPr>
          <w:rFonts w:asciiTheme="minorBidi" w:hAnsiTheme="minorBidi"/>
        </w:rPr>
        <w:t>organisations non gouvernementales (ci-après dénommées « ONG »).</w:t>
      </w:r>
    </w:p>
    <w:p w14:paraId="6D50AF8E" w14:textId="77777777" w:rsidR="009A373B" w:rsidRPr="003C1CCC" w:rsidRDefault="009A373B" w:rsidP="009A373B">
      <w:pPr>
        <w:widowControl w:val="0"/>
        <w:numPr>
          <w:ilvl w:val="0"/>
          <w:numId w:val="24"/>
        </w:numPr>
        <w:tabs>
          <w:tab w:val="num" w:pos="567"/>
        </w:tabs>
        <w:snapToGrid w:val="0"/>
        <w:spacing w:after="120"/>
        <w:ind w:left="567" w:hanging="567"/>
        <w:jc w:val="both"/>
        <w:rPr>
          <w:rFonts w:ascii="Arial" w:hAnsi="Arial" w:cs="Arial"/>
          <w:b/>
          <w:sz w:val="22"/>
          <w:szCs w:val="22"/>
        </w:rPr>
      </w:pPr>
      <w:r>
        <w:rPr>
          <w:rFonts w:ascii="Arial" w:hAnsi="Arial"/>
          <w:b/>
          <w:sz w:val="22"/>
        </w:rPr>
        <w:t>Promouvoir les objectifs de la Convention, encourager et assurer le suivi de sa mise en œuvre, et donner des orientations sur les mesures de sauvegarde et les bonnes pratiques</w:t>
      </w:r>
      <w:r>
        <w:rPr>
          <w:rFonts w:ascii="Arial" w:hAnsi="Arial"/>
          <w:sz w:val="22"/>
        </w:rPr>
        <w:t xml:space="preserve"> (article 7[a] et 7[b])</w:t>
      </w:r>
    </w:p>
    <w:p w14:paraId="4B6BBF37" w14:textId="77777777" w:rsidR="009A373B" w:rsidRPr="003C1CCC" w:rsidRDefault="009A373B" w:rsidP="009A373B">
      <w:pPr>
        <w:pStyle w:val="Paragraphedeliste"/>
        <w:widowControl w:val="0"/>
        <w:numPr>
          <w:ilvl w:val="0"/>
          <w:numId w:val="25"/>
        </w:numPr>
        <w:tabs>
          <w:tab w:val="num" w:pos="567"/>
        </w:tabs>
        <w:snapToGrid w:val="0"/>
        <w:spacing w:before="240" w:after="120"/>
        <w:ind w:left="567" w:hanging="567"/>
        <w:contextualSpacing w:val="0"/>
        <w:rPr>
          <w:rFonts w:ascii="Arial" w:hAnsi="Arial" w:cs="Arial"/>
          <w:b/>
          <w:sz w:val="22"/>
          <w:szCs w:val="22"/>
        </w:rPr>
      </w:pPr>
      <w:r>
        <w:rPr>
          <w:rFonts w:ascii="Arial" w:hAnsi="Arial"/>
          <w:b/>
          <w:sz w:val="22"/>
        </w:rPr>
        <w:t>Ratification</w:t>
      </w:r>
    </w:p>
    <w:p w14:paraId="7F9378B8" w14:textId="2CAC776F" w:rsidR="009A373B" w:rsidRPr="003C1CCC" w:rsidRDefault="009A373B" w:rsidP="009A373B">
      <w:pPr>
        <w:pStyle w:val="Marge"/>
        <w:numPr>
          <w:ilvl w:val="0"/>
          <w:numId w:val="23"/>
        </w:numPr>
        <w:tabs>
          <w:tab w:val="clear" w:pos="502"/>
          <w:tab w:val="num" w:pos="567"/>
        </w:tabs>
        <w:spacing w:before="120" w:after="120"/>
        <w:ind w:left="567" w:hanging="567"/>
        <w:rPr>
          <w:rFonts w:cs="Arial"/>
          <w:szCs w:val="22"/>
        </w:rPr>
      </w:pPr>
      <w:r>
        <w:t xml:space="preserve">Suite à la dernière ratification de Saint-Marin, 181 États </w:t>
      </w:r>
      <w:r w:rsidR="00982AFA">
        <w:t xml:space="preserve">sont </w:t>
      </w:r>
      <w:proofErr w:type="gramStart"/>
      <w:r w:rsidR="00982AFA">
        <w:t>parties</w:t>
      </w:r>
      <w:proofErr w:type="gramEnd"/>
      <w:r>
        <w:t xml:space="preserve"> à la Convention </w:t>
      </w:r>
      <w:r w:rsidR="00982AFA">
        <w:t>a</w:t>
      </w:r>
      <w:r>
        <w:t>u 31</w:t>
      </w:r>
      <w:r w:rsidR="00982AFA">
        <w:t> </w:t>
      </w:r>
      <w:r>
        <w:rPr>
          <w:rFonts w:asciiTheme="minorBidi" w:hAnsiTheme="minorBidi"/>
        </w:rPr>
        <w:t>décembre</w:t>
      </w:r>
      <w:r>
        <w:t xml:space="preserve"> 2023.</w:t>
      </w:r>
    </w:p>
    <w:p w14:paraId="578B1F95" w14:textId="511464CE" w:rsidR="009A373B" w:rsidRPr="003C1CCC" w:rsidRDefault="00982AFA" w:rsidP="009A373B">
      <w:pPr>
        <w:pStyle w:val="Paragraphedeliste"/>
        <w:widowControl w:val="0"/>
        <w:numPr>
          <w:ilvl w:val="0"/>
          <w:numId w:val="25"/>
        </w:numPr>
        <w:spacing w:before="240" w:after="120"/>
        <w:ind w:left="562" w:hanging="562"/>
        <w:contextualSpacing w:val="0"/>
        <w:rPr>
          <w:rFonts w:ascii="Arial" w:hAnsi="Arial" w:cs="Arial"/>
          <w:b/>
          <w:sz w:val="22"/>
          <w:szCs w:val="22"/>
        </w:rPr>
      </w:pPr>
      <w:r>
        <w:rPr>
          <w:rFonts w:ascii="Arial" w:hAnsi="Arial"/>
          <w:b/>
          <w:sz w:val="22"/>
        </w:rPr>
        <w:t>Bonne gouvernance assurée</w:t>
      </w:r>
    </w:p>
    <w:p w14:paraId="0F4770F9" w14:textId="4D511670" w:rsidR="009A373B" w:rsidRDefault="009A373B" w:rsidP="009A373B">
      <w:pPr>
        <w:pStyle w:val="Marge"/>
        <w:numPr>
          <w:ilvl w:val="0"/>
          <w:numId w:val="23"/>
        </w:numPr>
        <w:tabs>
          <w:tab w:val="clear" w:pos="502"/>
          <w:tab w:val="num" w:pos="567"/>
        </w:tabs>
        <w:spacing w:before="120" w:after="120"/>
        <w:ind w:left="567" w:hanging="567"/>
        <w:rPr>
          <w:rFonts w:asciiTheme="minorBidi" w:hAnsiTheme="minorBidi" w:cstheme="minorBidi"/>
          <w:szCs w:val="22"/>
        </w:rPr>
      </w:pPr>
      <w:r>
        <w:rPr>
          <w:rFonts w:asciiTheme="minorBidi" w:hAnsiTheme="minorBidi"/>
        </w:rPr>
        <w:t>La neuvième session de l</w:t>
      </w:r>
      <w:r w:rsidR="00C44269">
        <w:rPr>
          <w:rFonts w:asciiTheme="minorBidi" w:hAnsiTheme="minorBidi"/>
        </w:rPr>
        <w:t>’</w:t>
      </w:r>
      <w:r>
        <w:rPr>
          <w:rFonts w:asciiTheme="minorBidi" w:hAnsiTheme="minorBidi"/>
        </w:rPr>
        <w:t>Assemblée générale (du 5 au 7 juillet 2022, au siège de l</w:t>
      </w:r>
      <w:r w:rsidR="00C44269">
        <w:rPr>
          <w:rFonts w:asciiTheme="minorBidi" w:hAnsiTheme="minorBidi"/>
        </w:rPr>
        <w:t>’</w:t>
      </w:r>
      <w:r>
        <w:rPr>
          <w:rFonts w:asciiTheme="minorBidi" w:hAnsiTheme="minorBidi"/>
        </w:rPr>
        <w:t>UNESCO ; ci-après dénommée « </w:t>
      </w:r>
      <w:r w:rsidR="00982AFA">
        <w:rPr>
          <w:rFonts w:asciiTheme="minorBidi" w:hAnsiTheme="minorBidi"/>
        </w:rPr>
        <w:t>9.GA</w:t>
      </w:r>
      <w:r>
        <w:rPr>
          <w:rFonts w:asciiTheme="minorBidi" w:hAnsiTheme="minorBidi"/>
        </w:rPr>
        <w:t xml:space="preserve"> ») a approuvé un </w:t>
      </w:r>
      <w:r w:rsidR="00982AFA">
        <w:rPr>
          <w:rFonts w:asciiTheme="minorBidi" w:hAnsiTheme="minorBidi"/>
        </w:rPr>
        <w:t xml:space="preserve">plan </w:t>
      </w:r>
      <w:r>
        <w:rPr>
          <w:rFonts w:asciiTheme="minorBidi" w:hAnsiTheme="minorBidi"/>
        </w:rPr>
        <w:t>d</w:t>
      </w:r>
      <w:r w:rsidR="00C44269">
        <w:rPr>
          <w:rFonts w:asciiTheme="minorBidi" w:hAnsiTheme="minorBidi"/>
        </w:rPr>
        <w:t>’</w:t>
      </w:r>
      <w:r>
        <w:rPr>
          <w:rFonts w:asciiTheme="minorBidi" w:hAnsiTheme="minorBidi"/>
        </w:rPr>
        <w:t>utilisation des ressources du Fonds du patrimoine culturel immatériel</w:t>
      </w:r>
      <w:r w:rsidR="003659C6">
        <w:rPr>
          <w:rFonts w:asciiTheme="minorBidi" w:hAnsiTheme="minorBidi"/>
        </w:rPr>
        <w:t xml:space="preserve"> </w:t>
      </w:r>
      <w:r>
        <w:rPr>
          <w:rFonts w:asciiTheme="minorBidi" w:hAnsiTheme="minorBidi"/>
        </w:rPr>
        <w:t xml:space="preserve">(ci-après « le Fonds ») pour la période allant du 1er janvier 2022 au 31 décembre 2023, qui attribuait 20 % du budget (1 746 531 dollars des États-Unis) aux </w:t>
      </w:r>
      <w:r>
        <w:rPr>
          <w:rFonts w:asciiTheme="minorBidi" w:hAnsiTheme="minorBidi"/>
        </w:rPr>
        <w:lastRenderedPageBreak/>
        <w:t>« autres fonctions du Comité ». En outre, un montant total de 436 633 dollars des États-Unis (25</w:t>
      </w:r>
      <w:r w:rsidR="00CB45C9">
        <w:rPr>
          <w:rFonts w:asciiTheme="minorBidi" w:hAnsiTheme="minorBidi"/>
        </w:rPr>
        <w:t> </w:t>
      </w:r>
      <w:r>
        <w:rPr>
          <w:rFonts w:asciiTheme="minorBidi" w:hAnsiTheme="minorBidi"/>
        </w:rPr>
        <w:t xml:space="preserve">% de la ligne « autres fonctions du Comité ») a été alloué pour assurer la bonne gouvernance de la Convention (Résolution </w:t>
      </w:r>
      <w:hyperlink r:id="rId13" w:history="1">
        <w:r>
          <w:rPr>
            <w:rStyle w:val="Lienhypertexte"/>
            <w:rFonts w:asciiTheme="minorBidi" w:hAnsiTheme="minorBidi"/>
          </w:rPr>
          <w:t>9.GA 10</w:t>
        </w:r>
      </w:hyperlink>
      <w:r>
        <w:rPr>
          <w:rStyle w:val="Lienhypertexte"/>
          <w:rFonts w:asciiTheme="minorBidi" w:hAnsiTheme="minorBidi"/>
        </w:rPr>
        <w:t>)</w:t>
      </w:r>
      <w:r>
        <w:rPr>
          <w:rFonts w:asciiTheme="minorBidi" w:hAnsiTheme="minorBidi"/>
        </w:rPr>
        <w:t>.</w:t>
      </w:r>
    </w:p>
    <w:p w14:paraId="42C5ABC4" w14:textId="624C1024" w:rsidR="009A373B" w:rsidRPr="007810F4" w:rsidRDefault="009A373B" w:rsidP="009A373B">
      <w:pPr>
        <w:pStyle w:val="Marge"/>
        <w:numPr>
          <w:ilvl w:val="0"/>
          <w:numId w:val="23"/>
        </w:numPr>
        <w:tabs>
          <w:tab w:val="clear" w:pos="502"/>
          <w:tab w:val="num" w:pos="567"/>
        </w:tabs>
        <w:spacing w:before="120" w:after="120"/>
        <w:ind w:left="567" w:hanging="567"/>
        <w:rPr>
          <w:rFonts w:asciiTheme="minorBidi" w:hAnsiTheme="minorBidi" w:cstheme="minorBidi"/>
          <w:szCs w:val="22"/>
        </w:rPr>
      </w:pPr>
      <w:r>
        <w:rPr>
          <w:rFonts w:asciiTheme="minorBidi" w:hAnsiTheme="minorBidi"/>
          <w:snapToGrid/>
        </w:rPr>
        <w:t xml:space="preserve">La réflexion globale en cours </w:t>
      </w:r>
      <w:r>
        <w:rPr>
          <w:rFonts w:asciiTheme="minorBidi" w:hAnsiTheme="minorBidi"/>
        </w:rPr>
        <w:t>sur la mise en œuvre plus large de l</w:t>
      </w:r>
      <w:r w:rsidR="00C44269">
        <w:rPr>
          <w:rFonts w:asciiTheme="minorBidi" w:hAnsiTheme="minorBidi"/>
        </w:rPr>
        <w:t>’</w:t>
      </w:r>
      <w:r>
        <w:rPr>
          <w:rFonts w:asciiTheme="minorBidi" w:hAnsiTheme="minorBidi"/>
        </w:rPr>
        <w:t>article 18 de la Convention de 2003 examine comment partager plus largement les bonnes expériences de sauvegarde du patrimoine vivant et comment mettre en avant les voix des communautés et leurs aspirations pour la sauvegarde de leur patrimoine vivant. Un groupe de travail intergouvernemental à composition non limitée, établi par le Comité, s</w:t>
      </w:r>
      <w:r w:rsidR="00C44269">
        <w:rPr>
          <w:rFonts w:asciiTheme="minorBidi" w:hAnsiTheme="minorBidi"/>
        </w:rPr>
        <w:t>’</w:t>
      </w:r>
      <w:r>
        <w:rPr>
          <w:rFonts w:asciiTheme="minorBidi" w:hAnsiTheme="minorBidi"/>
        </w:rPr>
        <w:t>est réuni les 4 et 5 juillet 2023 au siège de l</w:t>
      </w:r>
      <w:r w:rsidR="00C44269">
        <w:rPr>
          <w:rFonts w:asciiTheme="minorBidi" w:hAnsiTheme="minorBidi"/>
        </w:rPr>
        <w:t>’</w:t>
      </w:r>
      <w:r>
        <w:rPr>
          <w:rFonts w:asciiTheme="minorBidi" w:hAnsiTheme="minorBidi"/>
        </w:rPr>
        <w:t xml:space="preserve">UNESCO pour réfléchir aux thèmes </w:t>
      </w:r>
      <w:r w:rsidR="00CB45C9">
        <w:rPr>
          <w:rFonts w:asciiTheme="minorBidi" w:hAnsiTheme="minorBidi"/>
        </w:rPr>
        <w:t>défini</w:t>
      </w:r>
      <w:r>
        <w:rPr>
          <w:rFonts w:asciiTheme="minorBidi" w:hAnsiTheme="minorBidi"/>
        </w:rPr>
        <w:t xml:space="preserve">s </w:t>
      </w:r>
      <w:r w:rsidR="00982AFA">
        <w:rPr>
          <w:rFonts w:asciiTheme="minorBidi" w:hAnsiTheme="minorBidi"/>
        </w:rPr>
        <w:t>par le</w:t>
      </w:r>
      <w:r>
        <w:rPr>
          <w:rFonts w:asciiTheme="minorBidi" w:hAnsiTheme="minorBidi"/>
        </w:rPr>
        <w:t xml:space="preserve"> 17.COM (Décision </w:t>
      </w:r>
      <w:hyperlink r:id="rId14" w:history="1">
        <w:r>
          <w:rPr>
            <w:rStyle w:val="Lienhypertexte"/>
            <w:rFonts w:asciiTheme="minorBidi" w:hAnsiTheme="minorBidi"/>
          </w:rPr>
          <w:t>17.COM 10</w:t>
        </w:r>
      </w:hyperlink>
      <w:r>
        <w:rPr>
          <w:rFonts w:asciiTheme="minorBidi" w:hAnsiTheme="minorBidi"/>
        </w:rPr>
        <w:t xml:space="preserve">) sur la base </w:t>
      </w:r>
      <w:r w:rsidR="00CB45C9">
        <w:rPr>
          <w:rFonts w:asciiTheme="minorBidi" w:hAnsiTheme="minorBidi"/>
        </w:rPr>
        <w:t>posé</w:t>
      </w:r>
      <w:r>
        <w:rPr>
          <w:rFonts w:asciiTheme="minorBidi" w:hAnsiTheme="minorBidi"/>
        </w:rPr>
        <w:t>e par la réunion</w:t>
      </w:r>
      <w:r>
        <w:t xml:space="preserve"> d</w:t>
      </w:r>
      <w:r w:rsidR="00C44269">
        <w:t>’</w:t>
      </w:r>
      <w:r>
        <w:t xml:space="preserve">experts de catégorie VI (du 19 au 21 avril 2023, à Stockholm, en Suède). Les recommandations du groupe </w:t>
      </w:r>
      <w:r w:rsidR="00982AFA">
        <w:t xml:space="preserve">ont porté </w:t>
      </w:r>
      <w:r>
        <w:t xml:space="preserve">sur les révisions des critères du Registre et une approche </w:t>
      </w:r>
      <w:r w:rsidR="00982AFA">
        <w:t xml:space="preserve">étape par étape </w:t>
      </w:r>
      <w:r w:rsidR="0074002E">
        <w:t>pour la</w:t>
      </w:r>
      <w:r>
        <w:t xml:space="preserve"> création d</w:t>
      </w:r>
      <w:r w:rsidR="00C44269">
        <w:t>’</w:t>
      </w:r>
      <w:r>
        <w:t>une plateforme en ligne pour le partage de bonnes expériences de sauvegarde.</w:t>
      </w:r>
      <w:r>
        <w:rPr>
          <w:rFonts w:asciiTheme="minorBidi" w:hAnsiTheme="minorBidi"/>
        </w:rPr>
        <w:t xml:space="preserve"> </w:t>
      </w:r>
      <w:proofErr w:type="gramStart"/>
      <w:r>
        <w:rPr>
          <w:rFonts w:asciiTheme="minorBidi" w:hAnsiTheme="minorBidi"/>
        </w:rPr>
        <w:t>Suite à</w:t>
      </w:r>
      <w:proofErr w:type="gramEnd"/>
      <w:r>
        <w:rPr>
          <w:rFonts w:asciiTheme="minorBidi" w:hAnsiTheme="minorBidi"/>
        </w:rPr>
        <w:t xml:space="preserve"> la recommandation de la dix-huitième session du Comité (</w:t>
      </w:r>
      <w:r w:rsidR="009033A5" w:rsidRPr="00376166">
        <w:t xml:space="preserve">Décision </w:t>
      </w:r>
      <w:hyperlink r:id="rId15" w:history="1">
        <w:r w:rsidR="009033A5" w:rsidRPr="009033A5">
          <w:rPr>
            <w:rStyle w:val="Lienhypertexte"/>
            <w:rFonts w:asciiTheme="minorBidi" w:hAnsiTheme="minorBidi"/>
          </w:rPr>
          <w:t>18.</w:t>
        </w:r>
        <w:r w:rsidR="00982AFA" w:rsidRPr="009033A5">
          <w:rPr>
            <w:rStyle w:val="Lienhypertexte"/>
            <w:rFonts w:asciiTheme="minorBidi" w:hAnsiTheme="minorBidi"/>
          </w:rPr>
          <w:t>COM</w:t>
        </w:r>
        <w:r w:rsidR="00982AFA">
          <w:rPr>
            <w:rStyle w:val="Lienhypertexte"/>
            <w:rFonts w:asciiTheme="minorBidi" w:hAnsiTheme="minorBidi"/>
          </w:rPr>
          <w:t> </w:t>
        </w:r>
        <w:r w:rsidR="009033A5" w:rsidRPr="009033A5">
          <w:rPr>
            <w:rStyle w:val="Lienhypertexte"/>
            <w:rFonts w:asciiTheme="minorBidi" w:hAnsiTheme="minorBidi"/>
          </w:rPr>
          <w:t>11</w:t>
        </w:r>
      </w:hyperlink>
      <w:r w:rsidR="009033A5" w:rsidRPr="00376166">
        <w:t>)</w:t>
      </w:r>
      <w:r>
        <w:rPr>
          <w:rFonts w:asciiTheme="minorBidi" w:hAnsiTheme="minorBidi"/>
        </w:rPr>
        <w:t>, il est prévu que des projets d</w:t>
      </w:r>
      <w:r w:rsidR="00C44269">
        <w:rPr>
          <w:rFonts w:asciiTheme="minorBidi" w:hAnsiTheme="minorBidi"/>
        </w:rPr>
        <w:t>’</w:t>
      </w:r>
      <w:r>
        <w:rPr>
          <w:rFonts w:asciiTheme="minorBidi" w:hAnsiTheme="minorBidi"/>
        </w:rPr>
        <w:t>amendements aux Directives opérationnelles soient examinés par la dixième session de l</w:t>
      </w:r>
      <w:r w:rsidR="00C44269">
        <w:rPr>
          <w:rFonts w:asciiTheme="minorBidi" w:hAnsiTheme="minorBidi"/>
        </w:rPr>
        <w:t>’</w:t>
      </w:r>
      <w:r>
        <w:rPr>
          <w:rFonts w:asciiTheme="minorBidi" w:hAnsiTheme="minorBidi"/>
        </w:rPr>
        <w:t>Assemblée générale.</w:t>
      </w:r>
    </w:p>
    <w:p w14:paraId="345B5798" w14:textId="6F2215C9" w:rsidR="009A373B" w:rsidRPr="00A61B41" w:rsidRDefault="009A373B" w:rsidP="009A373B">
      <w:pPr>
        <w:pStyle w:val="Marge"/>
        <w:numPr>
          <w:ilvl w:val="0"/>
          <w:numId w:val="23"/>
        </w:numPr>
        <w:tabs>
          <w:tab w:val="clear" w:pos="502"/>
          <w:tab w:val="num" w:pos="567"/>
        </w:tabs>
        <w:spacing w:before="120" w:after="120"/>
        <w:ind w:left="567" w:hanging="567"/>
        <w:rPr>
          <w:rFonts w:asciiTheme="minorBidi" w:hAnsiTheme="minorBidi" w:cstheme="minorBidi"/>
          <w:szCs w:val="22"/>
        </w:rPr>
      </w:pPr>
      <w:r>
        <w:t>Les services de gestion des connaissances de la Convention ont été mobilisés pour soutenir sa bonne gouvernance en s</w:t>
      </w:r>
      <w:r w:rsidR="00C44269">
        <w:t>’</w:t>
      </w:r>
      <w:r>
        <w:t>assurant, entre autres, du bon fonctionnement de l</w:t>
      </w:r>
      <w:r w:rsidR="00C44269">
        <w:t>’</w:t>
      </w:r>
      <w:r>
        <w:t>interface en ligne pour les rapports périodiques, utilisée par les États</w:t>
      </w:r>
      <w:r w:rsidR="00982AFA">
        <w:t xml:space="preserve"> </w:t>
      </w:r>
      <w:r>
        <w:t xml:space="preserve">parties </w:t>
      </w:r>
      <w:r w:rsidR="00982AFA">
        <w:t>d’Europe</w:t>
      </w:r>
      <w:r>
        <w:t xml:space="preserve"> en 2022 et les États arabes en 2023. Des outils pédagogiques et de gestion des connaissances ont également été mis en ligne en libre accès.</w:t>
      </w:r>
    </w:p>
    <w:p w14:paraId="2F3C3072" w14:textId="77777777" w:rsidR="009A373B" w:rsidRPr="00A61B41" w:rsidRDefault="009A373B" w:rsidP="009A373B">
      <w:pPr>
        <w:pStyle w:val="Paragraphedeliste"/>
        <w:keepNext/>
        <w:numPr>
          <w:ilvl w:val="0"/>
          <w:numId w:val="25"/>
        </w:numPr>
        <w:spacing w:before="240" w:after="120"/>
        <w:ind w:left="562" w:hanging="562"/>
        <w:contextualSpacing w:val="0"/>
        <w:jc w:val="both"/>
        <w:rPr>
          <w:rFonts w:ascii="Arial" w:hAnsi="Arial" w:cs="Arial"/>
          <w:b/>
          <w:sz w:val="22"/>
          <w:szCs w:val="22"/>
        </w:rPr>
      </w:pPr>
      <w:r>
        <w:rPr>
          <w:rFonts w:ascii="Arial" w:hAnsi="Arial"/>
          <w:b/>
          <w:sz w:val="22"/>
        </w:rPr>
        <w:t>Consolidation du programme de renforcement des capacités et orientations sur les mesures de sauvegarde et les bonnes pratiques</w:t>
      </w:r>
    </w:p>
    <w:p w14:paraId="331B512B" w14:textId="6FC6F3E5" w:rsidR="009A373B" w:rsidRPr="007810F4" w:rsidRDefault="009A373B" w:rsidP="009A373B">
      <w:pPr>
        <w:pStyle w:val="Marge"/>
        <w:numPr>
          <w:ilvl w:val="0"/>
          <w:numId w:val="23"/>
        </w:numPr>
        <w:tabs>
          <w:tab w:val="clear" w:pos="502"/>
          <w:tab w:val="num" w:pos="567"/>
        </w:tabs>
        <w:spacing w:before="120" w:after="120"/>
        <w:ind w:left="567" w:hanging="567"/>
        <w:rPr>
          <w:rFonts w:asciiTheme="minorBidi" w:hAnsiTheme="minorBidi" w:cstheme="minorBidi"/>
          <w:szCs w:val="22"/>
        </w:rPr>
      </w:pPr>
      <w:r>
        <w:t>Le renforcement des capacités reste au cœur du mandat de la Convention de 2003, puisqu</w:t>
      </w:r>
      <w:r w:rsidR="00C44269">
        <w:t>’</w:t>
      </w:r>
      <w:r>
        <w:t>il s</w:t>
      </w:r>
      <w:r w:rsidR="00C44269">
        <w:t>’</w:t>
      </w:r>
      <w:r>
        <w:t>agit de l</w:t>
      </w:r>
      <w:r w:rsidR="00C44269">
        <w:t>’</w:t>
      </w:r>
      <w:r>
        <w:t>une de ses deux priorités globales de financement : « Renforcement des capacités de sauvegarde du patrimoine culturel immatériel par le biais d</w:t>
      </w:r>
      <w:r w:rsidR="00C44269">
        <w:t>’</w:t>
      </w:r>
      <w:r>
        <w:t>approches multimodales et de contribution au développement durable ». Une somme totale de 576 355 dollars des États-Unis, soit 33 % de la ligne « autres fonctions du Comité », a été allouée pour la période de janvier 2022 à décembre 2023. Le taux important de soumissions de rapports périodiques par les États des trois premières régions ayant mené à bien l</w:t>
      </w:r>
      <w:r w:rsidR="00C44269">
        <w:t>’</w:t>
      </w:r>
      <w:r>
        <w:t xml:space="preserve">exercice </w:t>
      </w:r>
      <w:r w:rsidRPr="009B682B">
        <w:t>(</w:t>
      </w:r>
      <w:r w:rsidR="00F661E8" w:rsidRPr="00376166">
        <w:t xml:space="preserve">en </w:t>
      </w:r>
      <w:r w:rsidRPr="009B682B">
        <w:t xml:space="preserve">Amérique latine et Caraïbes, </w:t>
      </w:r>
      <w:r w:rsidR="00F661E8" w:rsidRPr="009B682B">
        <w:t xml:space="preserve">en </w:t>
      </w:r>
      <w:r w:rsidRPr="009B682B">
        <w:t xml:space="preserve">Europe et </w:t>
      </w:r>
      <w:r w:rsidR="00F661E8" w:rsidRPr="009B682B">
        <w:t xml:space="preserve">dans les </w:t>
      </w:r>
      <w:r w:rsidRPr="009B682B">
        <w:t>États arabes) a confirmé l</w:t>
      </w:r>
      <w:r w:rsidR="00C44269" w:rsidRPr="009B682B">
        <w:t>’</w:t>
      </w:r>
      <w:r w:rsidRPr="009B682B">
        <w:t>efficacité d</w:t>
      </w:r>
      <w:r>
        <w:t>e l</w:t>
      </w:r>
      <w:r w:rsidR="00C44269">
        <w:t>’</w:t>
      </w:r>
      <w:r>
        <w:t>approche adoptée pour le renforcement des capacités. Les 17.COM et 18.COM ont salué la réorientation du programme global de renforcement des capacités, y compris le passage à une approche de prestation multimodale et l</w:t>
      </w:r>
      <w:r w:rsidR="00C44269">
        <w:t>’</w:t>
      </w:r>
      <w:r>
        <w:t xml:space="preserve">expansion du réseau global de facilitateurs (décisions </w:t>
      </w:r>
      <w:hyperlink r:id="rId16" w:history="1">
        <w:r>
          <w:rPr>
            <w:rStyle w:val="Lienhypertexte"/>
          </w:rPr>
          <w:t>17.COM 5</w:t>
        </w:r>
      </w:hyperlink>
      <w:r>
        <w:rPr>
          <w:rStyle w:val="Lienhypertexte"/>
          <w:u w:val="none"/>
        </w:rPr>
        <w:t xml:space="preserve"> </w:t>
      </w:r>
      <w:r w:rsidRPr="00376166">
        <w:rPr>
          <w:rStyle w:val="Lienhypertexte"/>
          <w:color w:val="auto"/>
          <w:u w:val="none"/>
        </w:rPr>
        <w:t xml:space="preserve">et </w:t>
      </w:r>
      <w:hyperlink r:id="rId17" w:history="1">
        <w:r>
          <w:rPr>
            <w:rStyle w:val="Lienhypertexte"/>
          </w:rPr>
          <w:t>18.COM</w:t>
        </w:r>
        <w:r w:rsidR="00A95ED2">
          <w:rPr>
            <w:rStyle w:val="Lienhypertexte"/>
          </w:rPr>
          <w:t> </w:t>
        </w:r>
        <w:r>
          <w:rPr>
            <w:rStyle w:val="Lienhypertexte"/>
          </w:rPr>
          <w:t>5</w:t>
        </w:r>
      </w:hyperlink>
      <w:r>
        <w:t>).</w:t>
      </w:r>
    </w:p>
    <w:p w14:paraId="3A05AA99" w14:textId="77777777" w:rsidR="009A373B" w:rsidRPr="003C1CCC" w:rsidRDefault="009A373B" w:rsidP="009A373B">
      <w:pPr>
        <w:pStyle w:val="Paragraphedeliste"/>
        <w:keepNext/>
        <w:numPr>
          <w:ilvl w:val="0"/>
          <w:numId w:val="25"/>
        </w:numPr>
        <w:spacing w:before="240" w:after="120"/>
        <w:ind w:left="562" w:hanging="562"/>
        <w:contextualSpacing w:val="0"/>
        <w:jc w:val="both"/>
        <w:rPr>
          <w:rFonts w:asciiTheme="minorBidi" w:hAnsiTheme="minorBidi" w:cstheme="minorBidi"/>
          <w:b/>
          <w:sz w:val="22"/>
          <w:szCs w:val="22"/>
        </w:rPr>
      </w:pPr>
      <w:r>
        <w:rPr>
          <w:rFonts w:asciiTheme="minorBidi" w:hAnsiTheme="minorBidi"/>
          <w:b/>
          <w:sz w:val="22"/>
        </w:rPr>
        <w:t>Intégration du patrimoine culturel immatériel dans les plans, politiques et programmes de développement</w:t>
      </w:r>
    </w:p>
    <w:p w14:paraId="066E9078" w14:textId="02865AF5" w:rsidR="009A373B" w:rsidRDefault="009A373B" w:rsidP="009A373B">
      <w:pPr>
        <w:pStyle w:val="Marge"/>
        <w:numPr>
          <w:ilvl w:val="0"/>
          <w:numId w:val="23"/>
        </w:numPr>
        <w:tabs>
          <w:tab w:val="clear" w:pos="502"/>
          <w:tab w:val="num" w:pos="567"/>
        </w:tabs>
        <w:spacing w:before="120" w:after="120"/>
        <w:ind w:left="567" w:hanging="567"/>
        <w:rPr>
          <w:rFonts w:cs="Arial"/>
          <w:szCs w:val="22"/>
        </w:rPr>
      </w:pPr>
      <w:r>
        <w:t>L</w:t>
      </w:r>
      <w:r w:rsidR="00C44269">
        <w:t>’</w:t>
      </w:r>
      <w:r>
        <w:t>intégration du patrimoine culturel immatériel dans les plans, politiques et programmes de développement est essentielle pour promouvoir les objectifs de la Convention dans le contexte de l</w:t>
      </w:r>
      <w:r w:rsidR="00C44269">
        <w:t>’</w:t>
      </w:r>
      <w:r>
        <w:t>Agenda 2030 pour le développement durable. Une somme totale de 323 108 dollars des États-Unis, soit 19 % de la ligne « autres fonctions du Comité », a été allouée à cet effet pour la période de janvier 2022 à décembre 2023. Conformément à la priorité globale de financement « Sauvegarde du patrimoine culturel immatériel par l</w:t>
      </w:r>
      <w:r w:rsidR="00C44269">
        <w:t>’</w:t>
      </w:r>
      <w:r>
        <w:t>éducation formelle et non formelle », une cinquantaine de pays ont mis en évidence l</w:t>
      </w:r>
      <w:r w:rsidR="00C44269">
        <w:t>’</w:t>
      </w:r>
      <w:r>
        <w:t xml:space="preserve">intégration du patrimoine vivant </w:t>
      </w:r>
      <w:r w:rsidR="006E5076">
        <w:t>à</w:t>
      </w:r>
      <w:r>
        <w:t xml:space="preserve"> leurs systèmes d</w:t>
      </w:r>
      <w:r w:rsidR="00C44269">
        <w:t>’</w:t>
      </w:r>
      <w:r>
        <w:t>enseignement. Un réseau mondial d</w:t>
      </w:r>
      <w:r w:rsidR="00C44269">
        <w:t>’</w:t>
      </w:r>
      <w:r>
        <w:t>apprentissage avec des personnes ressources, le centre d</w:t>
      </w:r>
      <w:r w:rsidR="00C44269">
        <w:t>’</w:t>
      </w:r>
      <w:r>
        <w:t>échanges mondial pour le partage des connaissances sur le patrimoine vivant et l</w:t>
      </w:r>
      <w:r w:rsidR="00C44269">
        <w:t>’</w:t>
      </w:r>
      <w:r>
        <w:t>éducation</w:t>
      </w:r>
      <w:r w:rsidR="006E5076">
        <w:t>,</w:t>
      </w:r>
      <w:r>
        <w:t xml:space="preserve"> et le cours en ligne ouvert à tous sur la sauvegarde du patrimoine culturel immatériel et le développement durable (MOOC) ont également été </w:t>
      </w:r>
      <w:r>
        <w:rPr>
          <w:rFonts w:asciiTheme="minorBidi" w:hAnsiTheme="minorBidi"/>
        </w:rPr>
        <w:t>développés</w:t>
      </w:r>
      <w:r>
        <w:t>.</w:t>
      </w:r>
    </w:p>
    <w:p w14:paraId="5AA8F9C0" w14:textId="3009B7DE" w:rsidR="009A373B" w:rsidRPr="00D332EB" w:rsidRDefault="009A373B" w:rsidP="009A373B">
      <w:pPr>
        <w:pStyle w:val="Marge"/>
        <w:numPr>
          <w:ilvl w:val="0"/>
          <w:numId w:val="23"/>
        </w:numPr>
        <w:tabs>
          <w:tab w:val="clear" w:pos="502"/>
          <w:tab w:val="num" w:pos="567"/>
        </w:tabs>
        <w:spacing w:before="120" w:after="120"/>
        <w:ind w:left="567" w:hanging="567"/>
        <w:rPr>
          <w:rFonts w:cs="Arial"/>
          <w:szCs w:val="22"/>
        </w:rPr>
      </w:pPr>
      <w:r>
        <w:t xml:space="preserve">Dans le cadre des initiatives thématiques de la Convention de 2003 et en réponse à la demande formulée </w:t>
      </w:r>
      <w:r w:rsidR="00982AFA">
        <w:t>par le 17.COM</w:t>
      </w:r>
      <w:r>
        <w:t xml:space="preserve"> (décision </w:t>
      </w:r>
      <w:hyperlink r:id="rId18" w:history="1">
        <w:r>
          <w:rPr>
            <w:color w:val="0000FF"/>
            <w:u w:val="single"/>
          </w:rPr>
          <w:t>17.COM 13</w:t>
        </w:r>
      </w:hyperlink>
      <w:r>
        <w:t xml:space="preserve">), </w:t>
      </w:r>
      <w:r w:rsidR="00982AFA">
        <w:t>le 18.COM</w:t>
      </w:r>
      <w:r>
        <w:t xml:space="preserve"> a pris note d</w:t>
      </w:r>
      <w:r w:rsidR="00C44269">
        <w:t>’</w:t>
      </w:r>
      <w:r>
        <w:t>une Note d</w:t>
      </w:r>
      <w:r w:rsidR="00C44269">
        <w:t>’</w:t>
      </w:r>
      <w:r>
        <w:t xml:space="preserve">orientation sur les dimensions économiques de la sauvegarde du patrimoine culturel immatériel qui vise à étudier des solutions de maximisation des effets positifs des activités </w:t>
      </w:r>
      <w:r>
        <w:lastRenderedPageBreak/>
        <w:t xml:space="preserve">économiques sur les communautés, les groupes et les individus, tout en atténuant leurs impacts négatifs sur la sauvegarde du patrimoine vivant et le développement durable (Décision </w:t>
      </w:r>
      <w:hyperlink r:id="rId19" w:history="1">
        <w:r w:rsidRPr="00F661E8">
          <w:rPr>
            <w:rStyle w:val="Lienhypertexte"/>
          </w:rPr>
          <w:t>18.COM 12</w:t>
        </w:r>
      </w:hyperlink>
      <w:r>
        <w:t>). À cette fin, une réunion d</w:t>
      </w:r>
      <w:r w:rsidR="00C44269">
        <w:t>’</w:t>
      </w:r>
      <w:r>
        <w:t>experts de catégorie VI a été organisée les 27 et 28</w:t>
      </w:r>
      <w:r w:rsidR="00D33502">
        <w:t> </w:t>
      </w:r>
      <w:r>
        <w:t>septembre 2023 (au siège de l</w:t>
      </w:r>
      <w:r w:rsidR="00C44269">
        <w:t>’</w:t>
      </w:r>
      <w:r>
        <w:t xml:space="preserve">UNESCO) et le 20 octobre 2023 (en ligne). </w:t>
      </w:r>
      <w:r w:rsidR="00F661E8">
        <w:t>En outre, d</w:t>
      </w:r>
      <w:r>
        <w:t xml:space="preserve">es réflexions sont menées sur deux autres thématiques liées au patrimoine vivant et au </w:t>
      </w:r>
      <w:r>
        <w:rPr>
          <w:rFonts w:asciiTheme="minorBidi" w:hAnsiTheme="minorBidi"/>
        </w:rPr>
        <w:t>développement</w:t>
      </w:r>
      <w:r>
        <w:t xml:space="preserve"> durable à savoir : (i) la sauvegarde du patrimoine culturel immatériel et le changement climatique et (ii) la sauvegarde du patrimoine culturel immatériel dans les contextes urbains. Les </w:t>
      </w:r>
      <w:r w:rsidR="00D33502">
        <w:t>17.COM et 18.COM</w:t>
      </w:r>
      <w:r>
        <w:t xml:space="preserve"> ont pris note des progrès accomplis (</w:t>
      </w:r>
      <w:r w:rsidR="00023C1C">
        <w:t>D</w:t>
      </w:r>
      <w:r>
        <w:t xml:space="preserve">écisions </w:t>
      </w:r>
      <w:hyperlink r:id="rId20" w:history="1">
        <w:r>
          <w:rPr>
            <w:rStyle w:val="Lienhypertexte"/>
          </w:rPr>
          <w:t>17.COM 13</w:t>
        </w:r>
      </w:hyperlink>
      <w:r>
        <w:t xml:space="preserve"> et </w:t>
      </w:r>
      <w:hyperlink r:id="rId21" w:history="1">
        <w:r>
          <w:rPr>
            <w:rStyle w:val="Lienhypertexte"/>
          </w:rPr>
          <w:t>18.COM 12</w:t>
        </w:r>
      </w:hyperlink>
      <w:r>
        <w:t>).</w:t>
      </w:r>
    </w:p>
    <w:p w14:paraId="1F821065" w14:textId="77777777" w:rsidR="009A373B" w:rsidRPr="003C1CCC" w:rsidRDefault="009A373B" w:rsidP="009A373B">
      <w:pPr>
        <w:pStyle w:val="Paragraphedeliste"/>
        <w:keepNext/>
        <w:numPr>
          <w:ilvl w:val="0"/>
          <w:numId w:val="25"/>
        </w:numPr>
        <w:tabs>
          <w:tab w:val="num" w:pos="567"/>
        </w:tabs>
        <w:spacing w:before="240" w:after="120"/>
        <w:ind w:left="562" w:hanging="562"/>
        <w:contextualSpacing w:val="0"/>
        <w:rPr>
          <w:rFonts w:ascii="Arial" w:hAnsi="Arial" w:cs="Arial"/>
          <w:b/>
          <w:sz w:val="22"/>
          <w:szCs w:val="22"/>
        </w:rPr>
      </w:pPr>
      <w:r>
        <w:rPr>
          <w:rFonts w:ascii="Arial" w:hAnsi="Arial"/>
          <w:b/>
          <w:sz w:val="22"/>
        </w:rPr>
        <w:t>Sensibilisation et diffusion</w:t>
      </w:r>
    </w:p>
    <w:p w14:paraId="5BBBBDC5" w14:textId="7FDF9E48" w:rsidR="009A373B" w:rsidRPr="003C1CCC" w:rsidRDefault="009A373B" w:rsidP="009A373B">
      <w:pPr>
        <w:pStyle w:val="Marge"/>
        <w:numPr>
          <w:ilvl w:val="0"/>
          <w:numId w:val="23"/>
        </w:numPr>
        <w:tabs>
          <w:tab w:val="clear" w:pos="502"/>
          <w:tab w:val="num" w:pos="567"/>
        </w:tabs>
        <w:spacing w:before="120" w:after="120"/>
        <w:ind w:left="567" w:hanging="567"/>
        <w:rPr>
          <w:rFonts w:cs="Arial"/>
          <w:szCs w:val="22"/>
        </w:rPr>
      </w:pPr>
      <w:r>
        <w:t>La sensibilisation à l</w:t>
      </w:r>
      <w:r w:rsidR="00C44269">
        <w:t>’</w:t>
      </w:r>
      <w:r>
        <w:t xml:space="preserve">importance du patrimoine culturel immatériel et la promotion des objectifs de </w:t>
      </w:r>
      <w:r>
        <w:rPr>
          <w:rFonts w:asciiTheme="minorBidi" w:hAnsiTheme="minorBidi"/>
        </w:rPr>
        <w:t>la</w:t>
      </w:r>
      <w:r>
        <w:t xml:space="preserve"> Convention sont considérées comme des actions de sauvegarde en soi, comme stipulé à l</w:t>
      </w:r>
      <w:r w:rsidR="00C44269">
        <w:t>’</w:t>
      </w:r>
      <w:r>
        <w:t>article 2.3 de la Convention. Une somme totale de 410 435 dollars des États-Unis,</w:t>
      </w:r>
      <w:r w:rsidR="006E5076">
        <w:t xml:space="preserve"> </w:t>
      </w:r>
      <w:r>
        <w:t>soit 23 % de la ligne « autres fonctions du Comité », a été allouée au soutien de l</w:t>
      </w:r>
      <w:r w:rsidR="00C44269">
        <w:t>’</w:t>
      </w:r>
      <w:r>
        <w:t>initiative du Secrétariat dans ces domaines d</w:t>
      </w:r>
      <w:r w:rsidR="00C44269">
        <w:t>’</w:t>
      </w:r>
      <w:r>
        <w:t>action pour la période 2022</w:t>
      </w:r>
      <w:r w:rsidR="00D33502" w:rsidRPr="00236BBE">
        <w:rPr>
          <w:rFonts w:cs="Arial"/>
          <w:szCs w:val="22"/>
        </w:rPr>
        <w:t>–</w:t>
      </w:r>
      <w:r>
        <w:t>2023.</w:t>
      </w:r>
    </w:p>
    <w:p w14:paraId="4C6C088E" w14:textId="40C819CE" w:rsidR="009A373B" w:rsidRPr="008A59AE" w:rsidRDefault="009A373B" w:rsidP="009A373B">
      <w:pPr>
        <w:pStyle w:val="Marge"/>
        <w:numPr>
          <w:ilvl w:val="0"/>
          <w:numId w:val="23"/>
        </w:numPr>
        <w:tabs>
          <w:tab w:val="clear" w:pos="502"/>
          <w:tab w:val="num" w:pos="567"/>
        </w:tabs>
        <w:spacing w:before="120" w:after="120"/>
        <w:ind w:left="567" w:hanging="567"/>
        <w:rPr>
          <w:rFonts w:asciiTheme="minorBidi" w:hAnsiTheme="minorBidi" w:cstheme="minorBidi"/>
          <w:szCs w:val="22"/>
        </w:rPr>
      </w:pPr>
      <w:r>
        <w:rPr>
          <w:rFonts w:asciiTheme="minorBidi" w:hAnsiTheme="minorBidi"/>
        </w:rPr>
        <w:t>L</w:t>
      </w:r>
      <w:r w:rsidR="00C44269">
        <w:rPr>
          <w:rFonts w:asciiTheme="minorBidi" w:hAnsiTheme="minorBidi"/>
        </w:rPr>
        <w:t>’</w:t>
      </w:r>
      <w:r>
        <w:rPr>
          <w:rFonts w:asciiTheme="minorBidi" w:hAnsiTheme="minorBidi"/>
        </w:rPr>
        <w:t>année 2023 marque les vingt ans de la Convention de 2003 pour la sauvegarde du patrimoine culturel immatériel. Cet anniversaire a permis à tous les acteurs concernés de faire le point sur les progrès accomplis et de réfléchir aux orientations futures de la Convention. Organisé sous le thème « Nous sommes</w:t>
      </w:r>
      <w:r w:rsidR="00D33502">
        <w:rPr>
          <w:rFonts w:asciiTheme="minorBidi" w:hAnsiTheme="minorBidi"/>
        </w:rPr>
        <w:t xml:space="preserve"> le</w:t>
      </w:r>
      <w:r>
        <w:rPr>
          <w:rFonts w:asciiTheme="minorBidi" w:hAnsiTheme="minorBidi"/>
        </w:rPr>
        <w:t xml:space="preserve"> </w:t>
      </w:r>
      <w:r w:rsidRPr="00135C78">
        <w:rPr>
          <w:rFonts w:asciiTheme="minorBidi" w:hAnsiTheme="minorBidi"/>
        </w:rPr>
        <w:t>#PatrimoineVivant</w:t>
      </w:r>
      <w:r>
        <w:rPr>
          <w:rFonts w:asciiTheme="minorBidi" w:hAnsiTheme="minorBidi"/>
        </w:rPr>
        <w:t> », cet anniversaire était également l</w:t>
      </w:r>
      <w:r w:rsidR="00C44269">
        <w:rPr>
          <w:rFonts w:asciiTheme="minorBidi" w:hAnsiTheme="minorBidi"/>
        </w:rPr>
        <w:t>’</w:t>
      </w:r>
      <w:r>
        <w:rPr>
          <w:rFonts w:asciiTheme="minorBidi" w:hAnsiTheme="minorBidi"/>
        </w:rPr>
        <w:t>occasion de réfléchir au rôle de la Convention de 2003 dans la sensibilisation à la diversité et à la richesse du patrimoine culturel immatériel, et pour la promotion de la coopération internationale. Un temps fort des événements organisés pour célébrer cet anniversaire a été la réunion mondiale, qui a débouché sur la « </w:t>
      </w:r>
      <w:r w:rsidRPr="00135C78">
        <w:rPr>
          <w:rFonts w:asciiTheme="minorBidi" w:hAnsiTheme="minorBidi"/>
        </w:rPr>
        <w:t>Vision de Séoul pour l</w:t>
      </w:r>
      <w:r w:rsidR="00C44269" w:rsidRPr="00135C78">
        <w:rPr>
          <w:rFonts w:asciiTheme="minorBidi" w:hAnsiTheme="minorBidi"/>
        </w:rPr>
        <w:t>’</w:t>
      </w:r>
      <w:r w:rsidRPr="00E31F24">
        <w:rPr>
          <w:rFonts w:asciiTheme="minorBidi" w:hAnsiTheme="minorBidi"/>
        </w:rPr>
        <w:t>avenir de la sauvegarde du patrimoine vivant pour le développement durable et la paix</w:t>
      </w:r>
      <w:r>
        <w:rPr>
          <w:rFonts w:asciiTheme="minorBidi" w:hAnsiTheme="minorBidi"/>
        </w:rPr>
        <w:t> » (25</w:t>
      </w:r>
      <w:r w:rsidR="00135C78">
        <w:rPr>
          <w:rFonts w:asciiTheme="minorBidi" w:hAnsiTheme="minorBidi"/>
        </w:rPr>
        <w:t xml:space="preserve"> et</w:t>
      </w:r>
      <w:r w:rsidR="00D33502">
        <w:rPr>
          <w:rFonts w:asciiTheme="minorBidi" w:hAnsiTheme="minorBidi"/>
        </w:rPr>
        <w:t xml:space="preserve"> </w:t>
      </w:r>
      <w:r>
        <w:rPr>
          <w:rFonts w:asciiTheme="minorBidi" w:hAnsiTheme="minorBidi"/>
        </w:rPr>
        <w:t>26</w:t>
      </w:r>
      <w:r w:rsidR="00D33502">
        <w:rPr>
          <w:rFonts w:asciiTheme="minorBidi" w:hAnsiTheme="minorBidi"/>
        </w:rPr>
        <w:t> </w:t>
      </w:r>
      <w:r>
        <w:rPr>
          <w:rFonts w:asciiTheme="minorBidi" w:hAnsiTheme="minorBidi"/>
        </w:rPr>
        <w:t>juillet 2023, Séoul, République de Corée).</w:t>
      </w:r>
    </w:p>
    <w:p w14:paraId="67910F31" w14:textId="3695AFC3" w:rsidR="009A373B" w:rsidRPr="00C369A4" w:rsidRDefault="009A373B" w:rsidP="009A373B">
      <w:pPr>
        <w:pStyle w:val="Marge"/>
        <w:numPr>
          <w:ilvl w:val="0"/>
          <w:numId w:val="23"/>
        </w:numPr>
        <w:tabs>
          <w:tab w:val="clear" w:pos="502"/>
          <w:tab w:val="num" w:pos="567"/>
        </w:tabs>
        <w:spacing w:before="120" w:after="120"/>
        <w:ind w:left="567" w:hanging="567"/>
        <w:rPr>
          <w:rFonts w:cs="Arial"/>
          <w:szCs w:val="22"/>
        </w:rPr>
      </w:pPr>
      <w:r>
        <w:t>Conformément à la pratique introduite en 2020, un point séparé sur l</w:t>
      </w:r>
      <w:r w:rsidR="00C44269">
        <w:t>’</w:t>
      </w:r>
      <w:r>
        <w:t>examen d</w:t>
      </w:r>
      <w:r w:rsidR="00C44269">
        <w:t>’</w:t>
      </w:r>
      <w:r>
        <w:t>un « Rapport du forum des organisations non gouvernementales » a été inclus à l</w:t>
      </w:r>
      <w:r w:rsidR="00C44269">
        <w:t>’</w:t>
      </w:r>
      <w:r>
        <w:t>ordre du jour des 17</w:t>
      </w:r>
      <w:r w:rsidR="00D33502">
        <w:t>.COM</w:t>
      </w:r>
      <w:r>
        <w:t xml:space="preserve"> et 18</w:t>
      </w:r>
      <w:r w:rsidR="00D33502">
        <w:t>.</w:t>
      </w:r>
      <w:r>
        <w:t>COM. Dans la continuité de la réflexion engagée (2018</w:t>
      </w:r>
      <w:r w:rsidR="00D33502" w:rsidRPr="00236BBE">
        <w:rPr>
          <w:rFonts w:cs="Arial"/>
          <w:szCs w:val="22"/>
        </w:rPr>
        <w:t>–</w:t>
      </w:r>
      <w:r>
        <w:t>2020) sur la manière d</w:t>
      </w:r>
      <w:r w:rsidR="00C44269">
        <w:t>’</w:t>
      </w:r>
      <w:r>
        <w:t>explorer le potentiel inexploité des ONG accréditées, le Forum des ONG du PCI a entrepris un exercice de cartographie pour identifier les domaines de compétence de soixante-cinq ONG accréditées ; les infographies résultant de cet exercice ont été présentées au 18.COM.</w:t>
      </w:r>
    </w:p>
    <w:p w14:paraId="4300C250" w14:textId="3F2390F4" w:rsidR="009A373B" w:rsidRPr="003C1CCC" w:rsidRDefault="009A373B" w:rsidP="009A373B">
      <w:pPr>
        <w:keepNext/>
        <w:numPr>
          <w:ilvl w:val="0"/>
          <w:numId w:val="24"/>
        </w:numPr>
        <w:tabs>
          <w:tab w:val="num" w:pos="567"/>
        </w:tabs>
        <w:snapToGrid w:val="0"/>
        <w:spacing w:before="240" w:after="120"/>
        <w:ind w:left="567" w:hanging="567"/>
        <w:jc w:val="both"/>
        <w:rPr>
          <w:rFonts w:ascii="Arial" w:hAnsi="Arial" w:cs="Arial"/>
          <w:sz w:val="22"/>
          <w:szCs w:val="22"/>
        </w:rPr>
      </w:pPr>
      <w:r>
        <w:rPr>
          <w:rFonts w:ascii="Arial" w:hAnsi="Arial"/>
          <w:b/>
          <w:sz w:val="22"/>
        </w:rPr>
        <w:t>Préparation d</w:t>
      </w:r>
      <w:r w:rsidR="00C44269">
        <w:rPr>
          <w:rFonts w:ascii="Arial" w:hAnsi="Arial"/>
          <w:b/>
          <w:sz w:val="22"/>
        </w:rPr>
        <w:t>’</w:t>
      </w:r>
      <w:r>
        <w:rPr>
          <w:rFonts w:ascii="Arial" w:hAnsi="Arial"/>
          <w:b/>
          <w:sz w:val="22"/>
        </w:rPr>
        <w:t>un projet de plan d</w:t>
      </w:r>
      <w:r w:rsidR="00C44269">
        <w:rPr>
          <w:rFonts w:ascii="Arial" w:hAnsi="Arial"/>
          <w:b/>
          <w:sz w:val="22"/>
        </w:rPr>
        <w:t>’</w:t>
      </w:r>
      <w:r>
        <w:rPr>
          <w:rFonts w:ascii="Arial" w:hAnsi="Arial"/>
          <w:b/>
          <w:sz w:val="22"/>
        </w:rPr>
        <w:t>utilisation des ressources du Fonds et augmentation des ressources du Fonds</w:t>
      </w:r>
      <w:r>
        <w:rPr>
          <w:rFonts w:ascii="Arial" w:hAnsi="Arial"/>
          <w:sz w:val="22"/>
        </w:rPr>
        <w:t xml:space="preserve"> (articles 7[c] et 7[d])</w:t>
      </w:r>
    </w:p>
    <w:p w14:paraId="0F2B460A" w14:textId="27849426" w:rsidR="009A373B" w:rsidRPr="00CD4A12" w:rsidRDefault="009A373B" w:rsidP="009A373B">
      <w:pPr>
        <w:pStyle w:val="Marge"/>
        <w:numPr>
          <w:ilvl w:val="0"/>
          <w:numId w:val="23"/>
        </w:numPr>
        <w:tabs>
          <w:tab w:val="clear" w:pos="502"/>
          <w:tab w:val="num" w:pos="567"/>
        </w:tabs>
        <w:spacing w:before="120" w:after="120"/>
        <w:ind w:left="567" w:hanging="567"/>
        <w:rPr>
          <w:rFonts w:asciiTheme="minorBidi" w:hAnsiTheme="minorBidi" w:cstheme="minorBidi"/>
          <w:szCs w:val="22"/>
        </w:rPr>
      </w:pPr>
      <w:r>
        <w:rPr>
          <w:rFonts w:asciiTheme="minorBidi" w:hAnsiTheme="minorBidi"/>
        </w:rPr>
        <w:t>Lors de sa dix-huitième session, le Comité a examiné un projet de plan d</w:t>
      </w:r>
      <w:r w:rsidR="00C44269">
        <w:rPr>
          <w:rFonts w:asciiTheme="minorBidi" w:hAnsiTheme="minorBidi"/>
        </w:rPr>
        <w:t>’</w:t>
      </w:r>
      <w:r>
        <w:rPr>
          <w:rFonts w:asciiTheme="minorBidi" w:hAnsiTheme="minorBidi"/>
        </w:rPr>
        <w:t xml:space="preserve">utilisation des ressources du Fonds pour la période allant du 1er janvier 2024 au 31 décembre 2025 et, à titre provisoire, pour le premier semestre 2026 (Décision </w:t>
      </w:r>
      <w:hyperlink r:id="rId22" w:history="1">
        <w:r>
          <w:rPr>
            <w:rStyle w:val="Lienhypertexte"/>
            <w:rFonts w:asciiTheme="minorBidi" w:hAnsiTheme="minorBidi"/>
          </w:rPr>
          <w:t>18.COM 14</w:t>
        </w:r>
      </w:hyperlink>
      <w:r>
        <w:rPr>
          <w:rFonts w:asciiTheme="minorBidi" w:hAnsiTheme="minorBidi"/>
        </w:rPr>
        <w:t>). Conformément à la procédure d</w:t>
      </w:r>
      <w:r w:rsidR="00C44269">
        <w:rPr>
          <w:rFonts w:asciiTheme="minorBidi" w:hAnsiTheme="minorBidi"/>
        </w:rPr>
        <w:t>’</w:t>
      </w:r>
      <w:r>
        <w:rPr>
          <w:rFonts w:asciiTheme="minorBidi" w:hAnsiTheme="minorBidi"/>
        </w:rPr>
        <w:t>approbation introduite par le Comité en 2019 pour les « </w:t>
      </w:r>
      <w:r w:rsidR="00D33502">
        <w:rPr>
          <w:rFonts w:asciiTheme="minorBidi" w:hAnsiTheme="minorBidi"/>
        </w:rPr>
        <w:t>A</w:t>
      </w:r>
      <w:r>
        <w:rPr>
          <w:rFonts w:asciiTheme="minorBidi" w:hAnsiTheme="minorBidi"/>
        </w:rPr>
        <w:t>utres fonctions du Comité » (</w:t>
      </w:r>
      <w:r w:rsidR="00023C1C">
        <w:rPr>
          <w:rFonts w:asciiTheme="minorBidi" w:hAnsiTheme="minorBidi"/>
        </w:rPr>
        <w:t>D</w:t>
      </w:r>
      <w:r>
        <w:rPr>
          <w:rFonts w:asciiTheme="minorBidi" w:hAnsiTheme="minorBidi"/>
        </w:rPr>
        <w:t xml:space="preserve">écision </w:t>
      </w:r>
      <w:hyperlink r:id="rId23" w:history="1">
        <w:r>
          <w:rPr>
            <w:rStyle w:val="Lienhypertexte"/>
            <w:rFonts w:asciiTheme="minorBidi" w:hAnsiTheme="minorBidi"/>
          </w:rPr>
          <w:t>14.COM 7</w:t>
        </w:r>
      </w:hyperlink>
      <w:r w:rsidRPr="00376166">
        <w:rPr>
          <w:rStyle w:val="Lienhypertexte"/>
          <w:rFonts w:asciiTheme="minorBidi" w:hAnsiTheme="minorBidi"/>
          <w:color w:val="auto"/>
        </w:rPr>
        <w:t>)</w:t>
      </w:r>
      <w:r>
        <w:rPr>
          <w:rFonts w:asciiTheme="minorBidi" w:hAnsiTheme="minorBidi"/>
        </w:rPr>
        <w:t xml:space="preserve">, le projet de plan a été présenté avec </w:t>
      </w:r>
      <w:r w:rsidR="00C677A9">
        <w:rPr>
          <w:rFonts w:asciiTheme="minorBidi" w:hAnsiTheme="minorBidi"/>
        </w:rPr>
        <w:t>une répartition</w:t>
      </w:r>
      <w:r>
        <w:rPr>
          <w:rFonts w:asciiTheme="minorBidi" w:hAnsiTheme="minorBidi"/>
        </w:rPr>
        <w:t xml:space="preserve"> en pourcentage </w:t>
      </w:r>
      <w:r w:rsidR="00C677A9">
        <w:rPr>
          <w:rFonts w:asciiTheme="minorBidi" w:hAnsiTheme="minorBidi"/>
        </w:rPr>
        <w:t>de</w:t>
      </w:r>
      <w:r>
        <w:rPr>
          <w:rFonts w:asciiTheme="minorBidi" w:hAnsiTheme="minorBidi"/>
        </w:rPr>
        <w:t xml:space="preserve"> la ligne budgétaire « Autres fonctions du Comité », </w:t>
      </w:r>
      <w:r w:rsidR="00C677A9">
        <w:rPr>
          <w:rFonts w:asciiTheme="minorBidi" w:hAnsiTheme="minorBidi"/>
        </w:rPr>
        <w:t>en termes de</w:t>
      </w:r>
      <w:r>
        <w:rPr>
          <w:rFonts w:asciiTheme="minorBidi" w:hAnsiTheme="minorBidi"/>
        </w:rPr>
        <w:t xml:space="preserve"> résultats </w:t>
      </w:r>
      <w:r w:rsidR="00C677A9">
        <w:rPr>
          <w:rFonts w:asciiTheme="minorBidi" w:hAnsiTheme="minorBidi"/>
        </w:rPr>
        <w:t>attendu</w:t>
      </w:r>
      <w:r>
        <w:rPr>
          <w:rFonts w:asciiTheme="minorBidi" w:hAnsiTheme="minorBidi"/>
        </w:rPr>
        <w:t xml:space="preserve">s </w:t>
      </w:r>
      <w:r w:rsidR="00C677A9">
        <w:rPr>
          <w:rFonts w:asciiTheme="minorBidi" w:hAnsiTheme="minorBidi"/>
        </w:rPr>
        <w:t>selon le</w:t>
      </w:r>
      <w:r>
        <w:rPr>
          <w:rFonts w:asciiTheme="minorBidi" w:hAnsiTheme="minorBidi"/>
        </w:rPr>
        <w:t xml:space="preserve"> C/5 approuvé. Ce projet de plan sera soumis à l</w:t>
      </w:r>
      <w:r w:rsidR="00C44269">
        <w:rPr>
          <w:rFonts w:asciiTheme="minorBidi" w:hAnsiTheme="minorBidi"/>
        </w:rPr>
        <w:t>’</w:t>
      </w:r>
      <w:r>
        <w:rPr>
          <w:rFonts w:asciiTheme="minorBidi" w:hAnsiTheme="minorBidi"/>
        </w:rPr>
        <w:t>approbation de la dixième session de l</w:t>
      </w:r>
      <w:r w:rsidR="00C44269">
        <w:rPr>
          <w:rFonts w:asciiTheme="minorBidi" w:hAnsiTheme="minorBidi"/>
        </w:rPr>
        <w:t>’</w:t>
      </w:r>
      <w:r>
        <w:rPr>
          <w:rFonts w:asciiTheme="minorBidi" w:hAnsiTheme="minorBidi"/>
        </w:rPr>
        <w:t>Assemblée générale en 2024. Le pourcentage le plus important continue d</w:t>
      </w:r>
      <w:r w:rsidR="00C44269">
        <w:rPr>
          <w:rFonts w:asciiTheme="minorBidi" w:hAnsiTheme="minorBidi"/>
        </w:rPr>
        <w:t>’</w:t>
      </w:r>
      <w:r>
        <w:rPr>
          <w:rFonts w:asciiTheme="minorBidi" w:hAnsiTheme="minorBidi"/>
        </w:rPr>
        <w:t>être consacré à l</w:t>
      </w:r>
      <w:r w:rsidR="00C44269">
        <w:rPr>
          <w:rFonts w:asciiTheme="minorBidi" w:hAnsiTheme="minorBidi"/>
        </w:rPr>
        <w:t>’</w:t>
      </w:r>
      <w:r>
        <w:rPr>
          <w:rFonts w:asciiTheme="minorBidi" w:hAnsiTheme="minorBidi"/>
        </w:rPr>
        <w:t xml:space="preserve">assistance internationale (voir </w:t>
      </w:r>
      <w:r w:rsidR="00130A20">
        <w:rPr>
          <w:rFonts w:asciiTheme="minorBidi" w:hAnsiTheme="minorBidi"/>
        </w:rPr>
        <w:t xml:space="preserve">le plan détaillé dans </w:t>
      </w:r>
      <w:r>
        <w:rPr>
          <w:rFonts w:asciiTheme="minorBidi" w:hAnsiTheme="minorBidi"/>
        </w:rPr>
        <w:t xml:space="preserve">le </w:t>
      </w:r>
      <w:r w:rsidR="00130A20">
        <w:rPr>
          <w:rFonts w:asciiTheme="minorBidi" w:hAnsiTheme="minorBidi"/>
        </w:rPr>
        <w:t>d</w:t>
      </w:r>
      <w:r>
        <w:rPr>
          <w:rFonts w:asciiTheme="minorBidi" w:hAnsiTheme="minorBidi"/>
        </w:rPr>
        <w:t>ocument </w:t>
      </w:r>
      <w:hyperlink r:id="rId24" w:history="1">
        <w:r>
          <w:rPr>
            <w:rStyle w:val="Lienhypertexte"/>
            <w:rFonts w:asciiTheme="minorBidi" w:hAnsiTheme="minorBidi"/>
          </w:rPr>
          <w:t>LHE/23/18.COM/14</w:t>
        </w:r>
      </w:hyperlink>
      <w:r>
        <w:rPr>
          <w:rFonts w:asciiTheme="minorBidi" w:hAnsiTheme="minorBidi"/>
        </w:rPr>
        <w:t>).</w:t>
      </w:r>
    </w:p>
    <w:p w14:paraId="0A2AB258" w14:textId="0C456A65" w:rsidR="009A373B" w:rsidRPr="00CD4A12" w:rsidRDefault="009A373B" w:rsidP="009A373B">
      <w:pPr>
        <w:pStyle w:val="Marge"/>
        <w:numPr>
          <w:ilvl w:val="0"/>
          <w:numId w:val="23"/>
        </w:numPr>
        <w:tabs>
          <w:tab w:val="clear" w:pos="502"/>
          <w:tab w:val="num" w:pos="567"/>
        </w:tabs>
        <w:spacing w:before="120" w:after="120"/>
        <w:ind w:left="567" w:hanging="567"/>
        <w:rPr>
          <w:rFonts w:asciiTheme="minorBidi" w:hAnsiTheme="minorBidi" w:cstheme="minorBidi"/>
          <w:szCs w:val="22"/>
        </w:rPr>
      </w:pPr>
      <w:bookmarkStart w:id="1" w:name="_Hlk144213364"/>
      <w:r>
        <w:rPr>
          <w:rFonts w:asciiTheme="minorBidi" w:hAnsiTheme="minorBidi"/>
        </w:rPr>
        <w:t>Au cours de la période considérée, des contributions volontaires supplémentaires de 196 046,80 dollars des</w:t>
      </w:r>
      <w:r w:rsidR="00135C78">
        <w:rPr>
          <w:rFonts w:asciiTheme="minorBidi" w:hAnsiTheme="minorBidi"/>
        </w:rPr>
        <w:t xml:space="preserve"> États-Unis ont été versées au Fonds par les </w:t>
      </w:r>
      <w:r>
        <w:rPr>
          <w:rFonts w:asciiTheme="minorBidi" w:hAnsiTheme="minorBidi"/>
        </w:rPr>
        <w:t xml:space="preserve">Pays-Bas et </w:t>
      </w:r>
      <w:r w:rsidR="00135C78">
        <w:rPr>
          <w:rFonts w:asciiTheme="minorBidi" w:hAnsiTheme="minorBidi"/>
        </w:rPr>
        <w:t xml:space="preserve">par le </w:t>
      </w:r>
      <w:r>
        <w:rPr>
          <w:rFonts w:asciiTheme="minorBidi" w:hAnsiTheme="minorBidi"/>
        </w:rPr>
        <w:t>Centre international d</w:t>
      </w:r>
      <w:r w:rsidR="00C44269">
        <w:rPr>
          <w:rFonts w:asciiTheme="minorBidi" w:hAnsiTheme="minorBidi"/>
        </w:rPr>
        <w:t>’</w:t>
      </w:r>
      <w:r>
        <w:rPr>
          <w:rFonts w:asciiTheme="minorBidi" w:hAnsiTheme="minorBidi"/>
        </w:rPr>
        <w:t>information et de travail en réseau sur le patrimoine culturel immatériel dans la région Asie-Pacifique placé sous l</w:t>
      </w:r>
      <w:r w:rsidR="00C44269">
        <w:rPr>
          <w:rFonts w:asciiTheme="minorBidi" w:hAnsiTheme="minorBidi"/>
        </w:rPr>
        <w:t>’</w:t>
      </w:r>
      <w:r>
        <w:rPr>
          <w:rFonts w:asciiTheme="minorBidi" w:hAnsiTheme="minorBidi"/>
        </w:rPr>
        <w:t>égide de l</w:t>
      </w:r>
      <w:r w:rsidR="00C44269">
        <w:rPr>
          <w:rFonts w:asciiTheme="minorBidi" w:hAnsiTheme="minorBidi"/>
        </w:rPr>
        <w:t>’</w:t>
      </w:r>
      <w:r>
        <w:rPr>
          <w:rFonts w:asciiTheme="minorBidi" w:hAnsiTheme="minorBidi"/>
        </w:rPr>
        <w:t xml:space="preserve">UNESCO (ICHCAP, République de Corée). Ces contributions ont financé la première des deux priorités de financement, à savoir </w:t>
      </w:r>
      <w:r w:rsidR="00135C78">
        <w:rPr>
          <w:rFonts w:asciiTheme="minorBidi" w:hAnsiTheme="minorBidi"/>
        </w:rPr>
        <w:t>« </w:t>
      </w:r>
      <w:r w:rsidR="00D33502">
        <w:rPr>
          <w:rFonts w:asciiTheme="minorBidi" w:hAnsiTheme="minorBidi"/>
        </w:rPr>
        <w:t>L</w:t>
      </w:r>
      <w:r>
        <w:rPr>
          <w:rFonts w:asciiTheme="minorBidi" w:hAnsiTheme="minorBidi"/>
        </w:rPr>
        <w:t>e renforcement des capacités de sauvegarde du patrimoine culturel immatériel et de contribution au développement durable</w:t>
      </w:r>
      <w:r w:rsidR="00135C78">
        <w:rPr>
          <w:rFonts w:asciiTheme="minorBidi" w:hAnsiTheme="minorBidi"/>
        </w:rPr>
        <w:t> »</w:t>
      </w:r>
      <w:r>
        <w:rPr>
          <w:rFonts w:asciiTheme="minorBidi" w:hAnsiTheme="minorBidi"/>
        </w:rPr>
        <w:t xml:space="preserve"> et </w:t>
      </w:r>
      <w:r w:rsidR="00135C78">
        <w:rPr>
          <w:rFonts w:asciiTheme="minorBidi" w:hAnsiTheme="minorBidi"/>
        </w:rPr>
        <w:t>« </w:t>
      </w:r>
      <w:r w:rsidR="00D33502">
        <w:rPr>
          <w:rFonts w:asciiTheme="minorBidi" w:hAnsiTheme="minorBidi"/>
        </w:rPr>
        <w:t>L</w:t>
      </w:r>
      <w:r>
        <w:rPr>
          <w:rFonts w:asciiTheme="minorBidi" w:hAnsiTheme="minorBidi"/>
        </w:rPr>
        <w:t>a sauvegarde du patrimoine culturel immatériel dans l</w:t>
      </w:r>
      <w:r w:rsidR="00C44269">
        <w:rPr>
          <w:rFonts w:asciiTheme="minorBidi" w:hAnsiTheme="minorBidi"/>
        </w:rPr>
        <w:t>’</w:t>
      </w:r>
      <w:r>
        <w:rPr>
          <w:rFonts w:asciiTheme="minorBidi" w:hAnsiTheme="minorBidi"/>
        </w:rPr>
        <w:t>éducation formelle et non formelle</w:t>
      </w:r>
      <w:r w:rsidR="00135C78">
        <w:rPr>
          <w:rFonts w:asciiTheme="minorBidi" w:hAnsiTheme="minorBidi"/>
        </w:rPr>
        <w:t> »</w:t>
      </w:r>
      <w:r>
        <w:rPr>
          <w:rFonts w:asciiTheme="minorBidi" w:hAnsiTheme="minorBidi"/>
        </w:rPr>
        <w:t>, qui ont été approuvées pour la période 2018</w:t>
      </w:r>
      <w:r w:rsidR="00D33502" w:rsidRPr="00377310">
        <w:rPr>
          <w:rFonts w:cs="Arial"/>
          <w:szCs w:val="22"/>
        </w:rPr>
        <w:t>–</w:t>
      </w:r>
      <w:r>
        <w:rPr>
          <w:rFonts w:asciiTheme="minorBidi" w:hAnsiTheme="minorBidi"/>
        </w:rPr>
        <w:t>2021 (</w:t>
      </w:r>
      <w:r w:rsidR="000D6EB2">
        <w:rPr>
          <w:rFonts w:asciiTheme="minorBidi" w:hAnsiTheme="minorBidi"/>
        </w:rPr>
        <w:t>D</w:t>
      </w:r>
      <w:r>
        <w:rPr>
          <w:rFonts w:asciiTheme="minorBidi" w:hAnsiTheme="minorBidi"/>
        </w:rPr>
        <w:t xml:space="preserve">écision </w:t>
      </w:r>
      <w:hyperlink r:id="rId25" w:history="1">
        <w:r>
          <w:rPr>
            <w:rStyle w:val="Lienhypertexte"/>
            <w:rFonts w:asciiTheme="minorBidi" w:hAnsiTheme="minorBidi"/>
          </w:rPr>
          <w:t>12.COM</w:t>
        </w:r>
        <w:r w:rsidR="000D6EB2">
          <w:rPr>
            <w:rStyle w:val="Lienhypertexte"/>
            <w:rFonts w:asciiTheme="minorBidi" w:hAnsiTheme="minorBidi"/>
          </w:rPr>
          <w:t> </w:t>
        </w:r>
        <w:r>
          <w:rPr>
            <w:rStyle w:val="Lienhypertexte"/>
            <w:rFonts w:asciiTheme="minorBidi" w:hAnsiTheme="minorBidi"/>
          </w:rPr>
          <w:t>6</w:t>
        </w:r>
      </w:hyperlink>
      <w:r>
        <w:rPr>
          <w:rFonts w:asciiTheme="minorBidi" w:hAnsiTheme="minorBidi"/>
        </w:rPr>
        <w:t>) et renouvelées lors de la seizième session du Comité (</w:t>
      </w:r>
      <w:r w:rsidR="000D6EB2">
        <w:rPr>
          <w:rFonts w:asciiTheme="minorBidi" w:hAnsiTheme="minorBidi"/>
        </w:rPr>
        <w:t>D</w:t>
      </w:r>
      <w:r>
        <w:rPr>
          <w:rFonts w:asciiTheme="minorBidi" w:hAnsiTheme="minorBidi"/>
        </w:rPr>
        <w:t xml:space="preserve">écision </w:t>
      </w:r>
      <w:hyperlink r:id="rId26" w:history="1">
        <w:r>
          <w:rPr>
            <w:rStyle w:val="Lienhypertexte"/>
            <w:rFonts w:asciiTheme="minorBidi" w:hAnsiTheme="minorBidi"/>
          </w:rPr>
          <w:t>16.COM</w:t>
        </w:r>
        <w:r w:rsidR="00D33502">
          <w:rPr>
            <w:rStyle w:val="Lienhypertexte"/>
            <w:rFonts w:asciiTheme="minorBidi" w:hAnsiTheme="minorBidi"/>
          </w:rPr>
          <w:t> </w:t>
        </w:r>
        <w:r>
          <w:rPr>
            <w:rStyle w:val="Lienhypertexte"/>
            <w:rFonts w:asciiTheme="minorBidi" w:hAnsiTheme="minorBidi"/>
          </w:rPr>
          <w:t>12</w:t>
        </w:r>
      </w:hyperlink>
      <w:r>
        <w:rPr>
          <w:rFonts w:asciiTheme="minorBidi" w:hAnsiTheme="minorBidi"/>
        </w:rPr>
        <w:t>) pour la période 2022</w:t>
      </w:r>
      <w:r w:rsidR="00D33502" w:rsidRPr="00377310">
        <w:rPr>
          <w:rFonts w:cs="Arial"/>
          <w:szCs w:val="22"/>
        </w:rPr>
        <w:t>–</w:t>
      </w:r>
      <w:r>
        <w:rPr>
          <w:rFonts w:asciiTheme="minorBidi" w:hAnsiTheme="minorBidi"/>
        </w:rPr>
        <w:t xml:space="preserve">2025. Le sous-fonds </w:t>
      </w:r>
      <w:r w:rsidR="00D33502">
        <w:rPr>
          <w:rFonts w:asciiTheme="minorBidi" w:hAnsiTheme="minorBidi"/>
        </w:rPr>
        <w:t xml:space="preserve">du Fonds, </w:t>
      </w:r>
      <w:r>
        <w:rPr>
          <w:rFonts w:asciiTheme="minorBidi" w:hAnsiTheme="minorBidi"/>
        </w:rPr>
        <w:t>destiné exclusivement au renforcement des capacités humaines du Secrétariat</w:t>
      </w:r>
      <w:r w:rsidR="00D33502">
        <w:rPr>
          <w:rFonts w:asciiTheme="minorBidi" w:hAnsiTheme="minorBidi"/>
        </w:rPr>
        <w:t>,</w:t>
      </w:r>
      <w:r>
        <w:rPr>
          <w:rFonts w:asciiTheme="minorBidi" w:hAnsiTheme="minorBidi"/>
        </w:rPr>
        <w:t xml:space="preserve"> a également reçu des contributions de la France, de la Lituanie, de Monaco, de la Slovaquie et de la Slovénie à hauteur de 134 201,81 dollars des États-Unis (</w:t>
      </w:r>
      <w:r w:rsidR="000D6EB2">
        <w:rPr>
          <w:rFonts w:asciiTheme="minorBidi" w:hAnsiTheme="minorBidi"/>
        </w:rPr>
        <w:t>d</w:t>
      </w:r>
      <w:r>
        <w:rPr>
          <w:rFonts w:asciiTheme="minorBidi" w:hAnsiTheme="minorBidi"/>
        </w:rPr>
        <w:t xml:space="preserve">ocument </w:t>
      </w:r>
      <w:hyperlink r:id="rId27" w:history="1">
        <w:r>
          <w:rPr>
            <w:rStyle w:val="Lienhypertexte"/>
            <w:rFonts w:asciiTheme="minorBidi" w:hAnsiTheme="minorBidi"/>
          </w:rPr>
          <w:t>LHE/23/18.COM/INF.14</w:t>
        </w:r>
      </w:hyperlink>
      <w:r>
        <w:rPr>
          <w:rFonts w:asciiTheme="minorBidi" w:hAnsiTheme="minorBidi"/>
        </w:rPr>
        <w:t>).</w:t>
      </w:r>
    </w:p>
    <w:bookmarkEnd w:id="1"/>
    <w:p w14:paraId="2308A31A" w14:textId="77777777" w:rsidR="009A373B" w:rsidRPr="00CD4A12" w:rsidRDefault="009A373B" w:rsidP="009A373B">
      <w:pPr>
        <w:keepNext/>
        <w:numPr>
          <w:ilvl w:val="0"/>
          <w:numId w:val="24"/>
        </w:numPr>
        <w:tabs>
          <w:tab w:val="clear" w:pos="720"/>
          <w:tab w:val="num" w:pos="567"/>
        </w:tabs>
        <w:spacing w:before="240" w:after="120"/>
        <w:ind w:left="562" w:hanging="562"/>
        <w:rPr>
          <w:rFonts w:ascii="Arial" w:hAnsi="Arial" w:cs="Arial"/>
          <w:b/>
          <w:sz w:val="22"/>
          <w:szCs w:val="22"/>
        </w:rPr>
      </w:pPr>
      <w:r>
        <w:rPr>
          <w:rFonts w:ascii="Arial" w:hAnsi="Arial"/>
          <w:b/>
          <w:sz w:val="22"/>
        </w:rPr>
        <w:t>Examen des Rapports périodiques</w:t>
      </w:r>
      <w:r>
        <w:rPr>
          <w:rFonts w:ascii="Arial" w:hAnsi="Arial"/>
          <w:sz w:val="22"/>
        </w:rPr>
        <w:t xml:space="preserve"> (article 7[f])</w:t>
      </w:r>
    </w:p>
    <w:p w14:paraId="1D65DAB7" w14:textId="1418C903" w:rsidR="009A373B" w:rsidRPr="00CD4A12" w:rsidRDefault="009A373B" w:rsidP="009A373B">
      <w:pPr>
        <w:pStyle w:val="Marge"/>
        <w:numPr>
          <w:ilvl w:val="0"/>
          <w:numId w:val="23"/>
        </w:numPr>
        <w:tabs>
          <w:tab w:val="clear" w:pos="502"/>
          <w:tab w:val="num" w:pos="567"/>
        </w:tabs>
        <w:spacing w:before="120" w:after="120"/>
        <w:ind w:left="567" w:hanging="567"/>
        <w:rPr>
          <w:rFonts w:asciiTheme="minorBidi" w:hAnsiTheme="minorBidi" w:cstheme="minorBidi"/>
        </w:rPr>
      </w:pPr>
      <w:r>
        <w:rPr>
          <w:rFonts w:asciiTheme="minorBidi" w:hAnsiTheme="minorBidi"/>
        </w:rPr>
        <w:t>Le Comité a examiné trente-neuf rapports sur l</w:t>
      </w:r>
      <w:r w:rsidR="00C44269">
        <w:rPr>
          <w:rFonts w:asciiTheme="minorBidi" w:hAnsiTheme="minorBidi"/>
        </w:rPr>
        <w:t>’</w:t>
      </w:r>
      <w:r>
        <w:rPr>
          <w:rFonts w:asciiTheme="minorBidi" w:hAnsiTheme="minorBidi"/>
        </w:rPr>
        <w:t>état des éléments inscrits sur la Liste de sauvegarde urgente, vingt-quatre lors de sa dix-septième session en 2022 et quinze lors de sa dix-huitième session en 2023. Lors de l</w:t>
      </w:r>
      <w:r w:rsidR="00C44269">
        <w:rPr>
          <w:rFonts w:asciiTheme="minorBidi" w:hAnsiTheme="minorBidi"/>
        </w:rPr>
        <w:t>’</w:t>
      </w:r>
      <w:r>
        <w:rPr>
          <w:rFonts w:asciiTheme="minorBidi" w:hAnsiTheme="minorBidi"/>
        </w:rPr>
        <w:t>examen de ces rapports, le Comité a reconnu l</w:t>
      </w:r>
      <w:r w:rsidR="00C44269">
        <w:rPr>
          <w:rFonts w:asciiTheme="minorBidi" w:hAnsiTheme="minorBidi"/>
        </w:rPr>
        <w:t>’</w:t>
      </w:r>
      <w:r>
        <w:rPr>
          <w:rFonts w:asciiTheme="minorBidi" w:hAnsiTheme="minorBidi"/>
        </w:rPr>
        <w:t>amélioration de la viabilité de certains éléments inscrits, qui n</w:t>
      </w:r>
      <w:r w:rsidR="00C44269">
        <w:rPr>
          <w:rFonts w:asciiTheme="minorBidi" w:hAnsiTheme="minorBidi"/>
        </w:rPr>
        <w:t>’</w:t>
      </w:r>
      <w:r>
        <w:rPr>
          <w:rFonts w:asciiTheme="minorBidi" w:hAnsiTheme="minorBidi"/>
        </w:rPr>
        <w:t>ont plus besoin d</w:t>
      </w:r>
      <w:r w:rsidR="00C44269">
        <w:rPr>
          <w:rFonts w:asciiTheme="minorBidi" w:hAnsiTheme="minorBidi"/>
        </w:rPr>
        <w:t>’</w:t>
      </w:r>
      <w:r>
        <w:rPr>
          <w:rFonts w:asciiTheme="minorBidi" w:hAnsiTheme="minorBidi"/>
        </w:rPr>
        <w:t>une sauvegarde urgente, et a pris note des États parties qui ont exprimé le souhait de transférer des éléments de la Liste de sauvegarde urgente à la Liste représentative (</w:t>
      </w:r>
      <w:r w:rsidR="00C677A9">
        <w:rPr>
          <w:rFonts w:asciiTheme="minorBidi" w:hAnsiTheme="minorBidi"/>
        </w:rPr>
        <w:t>D</w:t>
      </w:r>
      <w:r>
        <w:rPr>
          <w:rFonts w:asciiTheme="minorBidi" w:hAnsiTheme="minorBidi"/>
        </w:rPr>
        <w:t xml:space="preserve">écision </w:t>
      </w:r>
      <w:hyperlink r:id="rId28" w:history="1">
        <w:r>
          <w:rPr>
            <w:rStyle w:val="Lienhypertexte"/>
            <w:rFonts w:asciiTheme="minorBidi" w:hAnsiTheme="minorBidi"/>
          </w:rPr>
          <w:t>17.COM</w:t>
        </w:r>
        <w:r w:rsidR="00A95ED2">
          <w:rPr>
            <w:rStyle w:val="Lienhypertexte"/>
            <w:rFonts w:asciiTheme="minorBidi" w:hAnsiTheme="minorBidi"/>
          </w:rPr>
          <w:t> </w:t>
        </w:r>
        <w:r>
          <w:rPr>
            <w:rStyle w:val="Lienhypertexte"/>
            <w:rFonts w:asciiTheme="minorBidi" w:hAnsiTheme="minorBidi"/>
          </w:rPr>
          <w:t>6.a</w:t>
        </w:r>
      </w:hyperlink>
      <w:r>
        <w:rPr>
          <w:rFonts w:asciiTheme="minorBidi" w:hAnsiTheme="minorBidi"/>
        </w:rPr>
        <w:t xml:space="preserve"> et </w:t>
      </w:r>
      <w:r w:rsidR="00C677A9">
        <w:rPr>
          <w:rFonts w:asciiTheme="minorBidi" w:hAnsiTheme="minorBidi"/>
        </w:rPr>
        <w:t>D</w:t>
      </w:r>
      <w:r>
        <w:rPr>
          <w:rFonts w:asciiTheme="minorBidi" w:hAnsiTheme="minorBidi"/>
        </w:rPr>
        <w:t xml:space="preserve">écision </w:t>
      </w:r>
      <w:hyperlink r:id="rId29" w:history="1">
        <w:r>
          <w:rPr>
            <w:rStyle w:val="Lienhypertexte"/>
            <w:rFonts w:asciiTheme="minorBidi" w:hAnsiTheme="minorBidi"/>
          </w:rPr>
          <w:t>18.COM 7.a</w:t>
        </w:r>
      </w:hyperlink>
      <w:r>
        <w:rPr>
          <w:rFonts w:asciiTheme="minorBidi" w:hAnsiTheme="minorBidi"/>
        </w:rPr>
        <w:t>).</w:t>
      </w:r>
    </w:p>
    <w:p w14:paraId="67844FC8" w14:textId="53B92FAB" w:rsidR="009A373B" w:rsidRPr="00CD4A12" w:rsidRDefault="009A373B" w:rsidP="009A373B">
      <w:pPr>
        <w:pStyle w:val="Marge"/>
        <w:numPr>
          <w:ilvl w:val="0"/>
          <w:numId w:val="23"/>
        </w:numPr>
        <w:tabs>
          <w:tab w:val="clear" w:pos="502"/>
          <w:tab w:val="num" w:pos="567"/>
        </w:tabs>
        <w:spacing w:before="120" w:after="120"/>
        <w:ind w:left="567" w:hanging="567"/>
        <w:rPr>
          <w:rFonts w:asciiTheme="minorBidi" w:hAnsiTheme="minorBidi" w:cstheme="minorBidi"/>
          <w:szCs w:val="22"/>
        </w:rPr>
      </w:pPr>
      <w:bookmarkStart w:id="2" w:name="_Hlk165283084"/>
      <w:r>
        <w:rPr>
          <w:rFonts w:asciiTheme="minorBidi" w:hAnsiTheme="minorBidi"/>
        </w:rPr>
        <w:t>Dans le cadre du cycle actuel du système de rapports périodiques, le Comité a examiné un total de soixante-deux rapports : le 17.COM a examiné les rapports soumis par les quarante-</w:t>
      </w:r>
      <w:r w:rsidR="00E31F24">
        <w:rPr>
          <w:rFonts w:asciiTheme="minorBidi" w:hAnsiTheme="minorBidi"/>
        </w:rPr>
        <w:t> </w:t>
      </w:r>
      <w:r>
        <w:rPr>
          <w:rFonts w:asciiTheme="minorBidi" w:hAnsiTheme="minorBidi"/>
        </w:rPr>
        <w:t>quatre États parties d</w:t>
      </w:r>
      <w:r w:rsidR="00C44269">
        <w:rPr>
          <w:rFonts w:asciiTheme="minorBidi" w:hAnsiTheme="minorBidi"/>
        </w:rPr>
        <w:t>’</w:t>
      </w:r>
      <w:r>
        <w:rPr>
          <w:rFonts w:asciiTheme="minorBidi" w:hAnsiTheme="minorBidi"/>
        </w:rPr>
        <w:t>Europe (</w:t>
      </w:r>
      <w:r w:rsidR="00C677A9">
        <w:rPr>
          <w:rFonts w:asciiTheme="minorBidi" w:hAnsiTheme="minorBidi"/>
        </w:rPr>
        <w:t>D</w:t>
      </w:r>
      <w:r>
        <w:rPr>
          <w:rFonts w:asciiTheme="minorBidi" w:hAnsiTheme="minorBidi"/>
        </w:rPr>
        <w:t xml:space="preserve">écision </w:t>
      </w:r>
      <w:hyperlink r:id="rId30" w:history="1">
        <w:r>
          <w:rPr>
            <w:rStyle w:val="Lienhypertexte"/>
            <w:rFonts w:asciiTheme="minorBidi" w:hAnsiTheme="minorBidi"/>
          </w:rPr>
          <w:t>17.COM 6.b</w:t>
        </w:r>
      </w:hyperlink>
      <w:r>
        <w:rPr>
          <w:rFonts w:asciiTheme="minorBidi" w:hAnsiTheme="minorBidi"/>
        </w:rPr>
        <w:t>) et le 18.COM a examiné les rapports soumis par les dix-huit États parties des États arabes (</w:t>
      </w:r>
      <w:r w:rsidR="00C677A9">
        <w:rPr>
          <w:rFonts w:asciiTheme="minorBidi" w:hAnsiTheme="minorBidi"/>
        </w:rPr>
        <w:t>D</w:t>
      </w:r>
      <w:r>
        <w:rPr>
          <w:rFonts w:asciiTheme="minorBidi" w:hAnsiTheme="minorBidi"/>
        </w:rPr>
        <w:t xml:space="preserve">écision </w:t>
      </w:r>
      <w:hyperlink r:id="rId31" w:history="1">
        <w:r>
          <w:rPr>
            <w:rStyle w:val="Lienhypertexte"/>
            <w:rFonts w:asciiTheme="minorBidi" w:hAnsiTheme="minorBidi"/>
          </w:rPr>
          <w:t>18.COM 7.b</w:t>
        </w:r>
      </w:hyperlink>
      <w:r w:rsidR="003B6F03">
        <w:rPr>
          <w:rFonts w:asciiTheme="minorBidi" w:hAnsiTheme="minorBidi"/>
        </w:rPr>
        <w:t xml:space="preserve"> </w:t>
      </w:r>
      <w:r>
        <w:rPr>
          <w:rFonts w:asciiTheme="minorBidi" w:hAnsiTheme="minorBidi"/>
        </w:rPr>
        <w:t xml:space="preserve">en décembre 2023). </w:t>
      </w:r>
      <w:bookmarkStart w:id="3" w:name="_Hlk164940138"/>
      <w:r>
        <w:rPr>
          <w:rFonts w:asciiTheme="minorBidi" w:hAnsiTheme="minorBidi"/>
        </w:rPr>
        <w:t xml:space="preserve">Le 18.COM a examiné </w:t>
      </w:r>
      <w:bookmarkStart w:id="4" w:name="_Hlk162280304"/>
      <w:r>
        <w:rPr>
          <w:rFonts w:asciiTheme="minorBidi" w:hAnsiTheme="minorBidi"/>
        </w:rPr>
        <w:t xml:space="preserve">les moyens </w:t>
      </w:r>
      <w:r w:rsidR="005221E1">
        <w:rPr>
          <w:rFonts w:asciiTheme="minorBidi" w:hAnsiTheme="minorBidi"/>
        </w:rPr>
        <w:t>d’aligner</w:t>
      </w:r>
      <w:r>
        <w:rPr>
          <w:rFonts w:asciiTheme="minorBidi" w:hAnsiTheme="minorBidi"/>
        </w:rPr>
        <w:t xml:space="preserve"> le </w:t>
      </w:r>
      <w:r w:rsidR="00E31F24">
        <w:rPr>
          <w:rFonts w:asciiTheme="minorBidi" w:hAnsiTheme="minorBidi"/>
        </w:rPr>
        <w:t xml:space="preserve">mécanisme </w:t>
      </w:r>
      <w:r>
        <w:rPr>
          <w:rFonts w:asciiTheme="minorBidi" w:hAnsiTheme="minorBidi"/>
        </w:rPr>
        <w:t xml:space="preserve">de rapports périodiques, y compris en vue de produire un </w:t>
      </w:r>
      <w:r w:rsidR="005221E1">
        <w:rPr>
          <w:rFonts w:asciiTheme="minorBidi" w:hAnsiTheme="minorBidi"/>
        </w:rPr>
        <w:t>R</w:t>
      </w:r>
      <w:r>
        <w:rPr>
          <w:rFonts w:asciiTheme="minorBidi" w:hAnsiTheme="minorBidi"/>
        </w:rPr>
        <w:t xml:space="preserve">apport </w:t>
      </w:r>
      <w:r w:rsidR="005221E1">
        <w:rPr>
          <w:rFonts w:asciiTheme="minorBidi" w:hAnsiTheme="minorBidi"/>
        </w:rPr>
        <w:t xml:space="preserve">mondial </w:t>
      </w:r>
      <w:r>
        <w:rPr>
          <w:rFonts w:asciiTheme="minorBidi" w:hAnsiTheme="minorBidi"/>
        </w:rPr>
        <w:t xml:space="preserve">quadriennal sur les politiques culturelles à compter de 2025, conformément à la Déclaration de MONDIACULT 2022 </w:t>
      </w:r>
      <w:bookmarkEnd w:id="4"/>
      <w:r>
        <w:rPr>
          <w:rFonts w:asciiTheme="minorBidi" w:hAnsiTheme="minorBidi"/>
        </w:rPr>
        <w:t xml:space="preserve">(Décision </w:t>
      </w:r>
      <w:hyperlink r:id="rId32" w:history="1">
        <w:r>
          <w:rPr>
            <w:rStyle w:val="Lienhypertexte"/>
            <w:rFonts w:asciiTheme="minorBidi" w:hAnsiTheme="minorBidi"/>
          </w:rPr>
          <w:t>18.COM</w:t>
        </w:r>
        <w:r w:rsidR="00A95ED2">
          <w:rPr>
            <w:rStyle w:val="Lienhypertexte"/>
            <w:rFonts w:asciiTheme="minorBidi" w:hAnsiTheme="minorBidi"/>
          </w:rPr>
          <w:t> </w:t>
        </w:r>
        <w:r>
          <w:rPr>
            <w:rStyle w:val="Lienhypertexte"/>
            <w:rFonts w:asciiTheme="minorBidi" w:hAnsiTheme="minorBidi"/>
          </w:rPr>
          <w:t>7.c</w:t>
        </w:r>
      </w:hyperlink>
      <w:r>
        <w:rPr>
          <w:rFonts w:asciiTheme="minorBidi" w:hAnsiTheme="minorBidi"/>
        </w:rPr>
        <w:t>).</w:t>
      </w:r>
      <w:bookmarkEnd w:id="3"/>
    </w:p>
    <w:bookmarkEnd w:id="2"/>
    <w:p w14:paraId="59F5996D" w14:textId="74C2879F" w:rsidR="009A373B" w:rsidRPr="00D33F36" w:rsidRDefault="009A373B" w:rsidP="009A373B">
      <w:pPr>
        <w:widowControl w:val="0"/>
        <w:numPr>
          <w:ilvl w:val="0"/>
          <w:numId w:val="24"/>
        </w:numPr>
        <w:tabs>
          <w:tab w:val="clear" w:pos="720"/>
        </w:tabs>
        <w:spacing w:before="240" w:after="120"/>
        <w:ind w:left="567" w:hanging="567"/>
        <w:jc w:val="both"/>
        <w:rPr>
          <w:rFonts w:ascii="Arial" w:hAnsi="Arial" w:cs="Arial"/>
          <w:b/>
          <w:sz w:val="22"/>
          <w:szCs w:val="22"/>
        </w:rPr>
      </w:pPr>
      <w:r>
        <w:rPr>
          <w:rFonts w:ascii="Arial" w:hAnsi="Arial"/>
          <w:b/>
          <w:sz w:val="22"/>
        </w:rPr>
        <w:t>Inscriptions sur les listes de la Convention, sélection des bonnes pratiques de sauvegarde et octroi de l</w:t>
      </w:r>
      <w:r w:rsidR="00C44269">
        <w:rPr>
          <w:rFonts w:ascii="Arial" w:hAnsi="Arial"/>
          <w:b/>
          <w:sz w:val="22"/>
        </w:rPr>
        <w:t>’</w:t>
      </w:r>
      <w:r>
        <w:rPr>
          <w:rFonts w:ascii="Arial" w:hAnsi="Arial"/>
          <w:b/>
          <w:sz w:val="22"/>
        </w:rPr>
        <w:t>assistance internationale</w:t>
      </w:r>
      <w:r>
        <w:rPr>
          <w:rFonts w:ascii="Arial" w:hAnsi="Arial"/>
          <w:sz w:val="22"/>
        </w:rPr>
        <w:t xml:space="preserve"> (article 7[g])</w:t>
      </w:r>
    </w:p>
    <w:p w14:paraId="3E0BC869" w14:textId="1425EF63" w:rsidR="009A373B" w:rsidRPr="00D33F36" w:rsidRDefault="009A373B" w:rsidP="009A373B">
      <w:pPr>
        <w:pStyle w:val="Marge"/>
        <w:numPr>
          <w:ilvl w:val="0"/>
          <w:numId w:val="23"/>
        </w:numPr>
        <w:tabs>
          <w:tab w:val="clear" w:pos="502"/>
          <w:tab w:val="num" w:pos="567"/>
        </w:tabs>
        <w:spacing w:before="120" w:after="120"/>
        <w:ind w:left="567" w:hanging="567"/>
        <w:rPr>
          <w:rFonts w:asciiTheme="minorBidi" w:hAnsiTheme="minorBidi"/>
          <w:szCs w:val="22"/>
        </w:rPr>
      </w:pPr>
      <w:r>
        <w:rPr>
          <w:rFonts w:asciiTheme="minorBidi" w:hAnsiTheme="minorBidi"/>
        </w:rPr>
        <w:t>Le Comité a examiné 111 dossiers et inscrit un total de 103 éléments sur les listes de la Convention : 11 sur la Liste de sauvegarde urgente et 84 sur la Liste représentative. Il a également sélectionné huit bonnes pratiques de sauvegarde.</w:t>
      </w:r>
    </w:p>
    <w:p w14:paraId="65142781" w14:textId="40EAEA73" w:rsidR="009A373B" w:rsidRDefault="009A373B" w:rsidP="009A373B">
      <w:pPr>
        <w:pStyle w:val="Marge"/>
        <w:numPr>
          <w:ilvl w:val="0"/>
          <w:numId w:val="23"/>
        </w:numPr>
        <w:tabs>
          <w:tab w:val="clear" w:pos="502"/>
          <w:tab w:val="num" w:pos="567"/>
        </w:tabs>
        <w:spacing w:before="120" w:after="120"/>
        <w:ind w:left="567" w:hanging="567"/>
        <w:rPr>
          <w:rFonts w:cs="Arial"/>
          <w:szCs w:val="22"/>
        </w:rPr>
      </w:pPr>
      <w:r>
        <w:t xml:space="preserve">Le Comité (pour les demandes supérieures à 100 000 dollars des États-Unis) et le Bureau (pour les demandes </w:t>
      </w:r>
      <w:r w:rsidR="00D33502">
        <w:t>jusqu’</w:t>
      </w:r>
      <w:r>
        <w:t>à 100 000 dollars des États-Unis et les demandes d</w:t>
      </w:r>
      <w:r w:rsidR="00C44269">
        <w:t>’</w:t>
      </w:r>
      <w:r>
        <w:t xml:space="preserve">urgence) ont approuvé trente </w:t>
      </w:r>
      <w:r>
        <w:rPr>
          <w:rFonts w:asciiTheme="minorBidi" w:hAnsiTheme="minorBidi"/>
        </w:rPr>
        <w:t>demandes</w:t>
      </w:r>
      <w:r>
        <w:t xml:space="preserve"> d</w:t>
      </w:r>
      <w:r w:rsidR="00C44269">
        <w:t>’</w:t>
      </w:r>
      <w:r>
        <w:t>assistance internationale, pour un montant total de 3 492</w:t>
      </w:r>
      <w:r w:rsidR="00C677A9">
        <w:t> </w:t>
      </w:r>
      <w:r>
        <w:t>482</w:t>
      </w:r>
      <w:r w:rsidR="00C677A9">
        <w:t> </w:t>
      </w:r>
      <w:r>
        <w:t>dollars des États-Unis. Au total, trente-six pays ont reçu une assistance financière du Fonds sur la période de rapport.</w:t>
      </w:r>
    </w:p>
    <w:p w14:paraId="513C6504" w14:textId="348827D3" w:rsidR="009A373B" w:rsidRPr="00136E73" w:rsidRDefault="009A373B" w:rsidP="009A373B">
      <w:pPr>
        <w:pStyle w:val="Marge"/>
        <w:numPr>
          <w:ilvl w:val="0"/>
          <w:numId w:val="23"/>
        </w:numPr>
        <w:tabs>
          <w:tab w:val="clear" w:pos="502"/>
          <w:tab w:val="num" w:pos="567"/>
        </w:tabs>
        <w:spacing w:before="120" w:after="120"/>
        <w:ind w:left="567" w:hanging="567"/>
        <w:rPr>
          <w:rFonts w:cs="Arial"/>
          <w:szCs w:val="22"/>
        </w:rPr>
      </w:pPr>
      <w:r>
        <w:t>Dans le contexte de la guerre en Ukraine, la cinquième session extraordinaire du Comité a décidé d</w:t>
      </w:r>
      <w:r w:rsidR="00C44269">
        <w:t>’</w:t>
      </w:r>
      <w:r>
        <w:t>inscrire « </w:t>
      </w:r>
      <w:r w:rsidRPr="00E31F24">
        <w:t>La culture de la préparation du bortsch ukrainien » sur la Liste de sauvegarde urgente, en tant que cas d</w:t>
      </w:r>
      <w:r w:rsidR="00C44269" w:rsidRPr="009B682B">
        <w:t>’</w:t>
      </w:r>
      <w:r w:rsidRPr="009B682B">
        <w:t>extrême d</w:t>
      </w:r>
      <w:r w:rsidR="00C44269" w:rsidRPr="009B682B">
        <w:t>’</w:t>
      </w:r>
      <w:r w:rsidRPr="009B682B">
        <w:t>urgence conformément à l</w:t>
      </w:r>
      <w:r w:rsidR="00C44269" w:rsidRPr="009B682B">
        <w:t>’</w:t>
      </w:r>
      <w:r w:rsidRPr="009B682B">
        <w:t>a</w:t>
      </w:r>
      <w:r>
        <w:t xml:space="preserve">rticle 17.3 de la Convention, appliqué pour la première fois (décision </w:t>
      </w:r>
      <w:hyperlink r:id="rId33" w:history="1">
        <w:r>
          <w:rPr>
            <w:rStyle w:val="Lienhypertexte"/>
          </w:rPr>
          <w:t>5.EXT.COM 5</w:t>
        </w:r>
      </w:hyperlink>
      <w:r>
        <w:t>). Le traitement rapide de la demande, dans les dix semaines suivant sa réception, démontre la capacité du Comité à répondre conformément aux Principes et modalités opérationnels pour la sauvegarde du patrimoine culturel immatériel en situations d</w:t>
      </w:r>
      <w:r w:rsidR="00C44269">
        <w:t>’</w:t>
      </w:r>
      <w:r>
        <w:t>urgence.</w:t>
      </w:r>
    </w:p>
    <w:p w14:paraId="14FC2C8A" w14:textId="0D4BAB4F" w:rsidR="009A373B" w:rsidRPr="002931FD" w:rsidRDefault="009A373B" w:rsidP="009A373B">
      <w:pPr>
        <w:pStyle w:val="Marge"/>
        <w:numPr>
          <w:ilvl w:val="0"/>
          <w:numId w:val="23"/>
        </w:numPr>
        <w:tabs>
          <w:tab w:val="clear" w:pos="502"/>
          <w:tab w:val="num" w:pos="567"/>
        </w:tabs>
        <w:spacing w:before="120" w:after="120"/>
        <w:ind w:left="567" w:hanging="567"/>
        <w:rPr>
          <w:rFonts w:asciiTheme="minorBidi" w:hAnsiTheme="minorBidi"/>
          <w:szCs w:val="22"/>
        </w:rPr>
      </w:pPr>
      <w:r>
        <w:rPr>
          <w:rFonts w:asciiTheme="minorBidi" w:hAnsiTheme="minorBidi"/>
        </w:rPr>
        <w:t>La période de soumission des rapports a permis de conclure la réflexion globale sur les mécanismes d</w:t>
      </w:r>
      <w:r w:rsidR="00C44269">
        <w:rPr>
          <w:rFonts w:asciiTheme="minorBidi" w:hAnsiTheme="minorBidi"/>
        </w:rPr>
        <w:t>’</w:t>
      </w:r>
      <w:r>
        <w:rPr>
          <w:rFonts w:asciiTheme="minorBidi" w:hAnsiTheme="minorBidi"/>
        </w:rPr>
        <w:t xml:space="preserve">inscription sur les </w:t>
      </w:r>
      <w:r w:rsidR="00D33502">
        <w:rPr>
          <w:rFonts w:asciiTheme="minorBidi" w:hAnsiTheme="minorBidi"/>
        </w:rPr>
        <w:t>listes</w:t>
      </w:r>
      <w:r>
        <w:rPr>
          <w:rFonts w:asciiTheme="minorBidi" w:hAnsiTheme="minorBidi"/>
        </w:rPr>
        <w:t>. Suite à une réunion d</w:t>
      </w:r>
      <w:r w:rsidR="00C44269">
        <w:rPr>
          <w:rFonts w:asciiTheme="minorBidi" w:hAnsiTheme="minorBidi"/>
        </w:rPr>
        <w:t>’</w:t>
      </w:r>
      <w:r>
        <w:rPr>
          <w:rFonts w:asciiTheme="minorBidi" w:hAnsiTheme="minorBidi"/>
        </w:rPr>
        <w:t>experts et à la réunion en trois parties du groupe de travail intergouvernemental à composition non limitée (y compris la partie</w:t>
      </w:r>
      <w:r w:rsidR="00D33502">
        <w:rPr>
          <w:rFonts w:asciiTheme="minorBidi" w:hAnsiTheme="minorBidi"/>
        </w:rPr>
        <w:t> </w:t>
      </w:r>
      <w:r>
        <w:rPr>
          <w:rFonts w:asciiTheme="minorBidi" w:hAnsiTheme="minorBidi"/>
        </w:rPr>
        <w:t>III</w:t>
      </w:r>
      <w:r w:rsidR="00D33502">
        <w:rPr>
          <w:rFonts w:asciiTheme="minorBidi" w:hAnsiTheme="minorBidi"/>
        </w:rPr>
        <w:t xml:space="preserve"> de la réunion</w:t>
      </w:r>
      <w:r>
        <w:rPr>
          <w:rFonts w:asciiTheme="minorBidi" w:hAnsiTheme="minorBidi"/>
        </w:rPr>
        <w:t>, organisée en ligne les 25 et 26 avril 2022), la neuvième session de l</w:t>
      </w:r>
      <w:r w:rsidR="00C44269">
        <w:rPr>
          <w:rFonts w:asciiTheme="minorBidi" w:hAnsiTheme="minorBidi"/>
        </w:rPr>
        <w:t>’</w:t>
      </w:r>
      <w:r>
        <w:rPr>
          <w:rFonts w:asciiTheme="minorBidi" w:hAnsiTheme="minorBidi"/>
        </w:rPr>
        <w:t xml:space="preserve">Assemblée générale en juillet 2022 a examiné les recommandations du groupe de travail et approuvé les révisions des Directives opérationnelles (Résolution </w:t>
      </w:r>
      <w:hyperlink r:id="rId34" w:history="1">
        <w:r>
          <w:rPr>
            <w:rStyle w:val="Lienhypertexte"/>
            <w:rFonts w:asciiTheme="minorBidi" w:hAnsiTheme="minorBidi"/>
          </w:rPr>
          <w:t>9.GA 9</w:t>
        </w:r>
      </w:hyperlink>
      <w:r>
        <w:rPr>
          <w:rFonts w:asciiTheme="minorBidi" w:hAnsiTheme="minorBidi"/>
        </w:rPr>
        <w:t>) proposées par la seizième session du Comité (</w:t>
      </w:r>
      <w:r>
        <w:t xml:space="preserve">Décision </w:t>
      </w:r>
      <w:hyperlink r:id="rId35" w:history="1">
        <w:r>
          <w:rPr>
            <w:rStyle w:val="Lienhypertexte"/>
            <w:rFonts w:asciiTheme="minorBidi" w:hAnsiTheme="minorBidi"/>
            <w:snapToGrid/>
          </w:rPr>
          <w:t>16.COM 14</w:t>
        </w:r>
      </w:hyperlink>
      <w:r w:rsidRPr="00376166">
        <w:rPr>
          <w:rStyle w:val="Lienhypertexte"/>
          <w:rFonts w:asciiTheme="minorBidi" w:hAnsiTheme="minorBidi"/>
          <w:snapToGrid/>
          <w:color w:val="auto"/>
        </w:rPr>
        <w:t>)</w:t>
      </w:r>
      <w:r>
        <w:rPr>
          <w:rFonts w:asciiTheme="minorBidi" w:hAnsiTheme="minorBidi"/>
        </w:rPr>
        <w:t xml:space="preserve"> et la cinquième session extraordinaire du Comité (Décision </w:t>
      </w:r>
      <w:hyperlink r:id="rId36" w:history="1">
        <w:r>
          <w:rPr>
            <w:rStyle w:val="Lienhypertexte"/>
            <w:rFonts w:asciiTheme="minorBidi" w:hAnsiTheme="minorBidi"/>
          </w:rPr>
          <w:t>5.EXT.COM 4</w:t>
        </w:r>
      </w:hyperlink>
      <w:r>
        <w:rPr>
          <w:rFonts w:asciiTheme="minorBidi" w:hAnsiTheme="minorBidi"/>
        </w:rPr>
        <w:t>)</w:t>
      </w:r>
      <w:r>
        <w:t>.</w:t>
      </w:r>
      <w:r>
        <w:rPr>
          <w:rFonts w:asciiTheme="minorBidi" w:hAnsiTheme="minorBidi"/>
        </w:rPr>
        <w:t xml:space="preserve"> Concrètement, la réforme a établi, entre autres ajustements, les procédures de transfert d</w:t>
      </w:r>
      <w:r w:rsidR="00C44269">
        <w:rPr>
          <w:rFonts w:asciiTheme="minorBidi" w:hAnsiTheme="minorBidi"/>
        </w:rPr>
        <w:t>’</w:t>
      </w:r>
      <w:r>
        <w:rPr>
          <w:rFonts w:asciiTheme="minorBidi" w:hAnsiTheme="minorBidi"/>
        </w:rPr>
        <w:t>éléments entre les listes et d</w:t>
      </w:r>
      <w:r w:rsidR="00C44269">
        <w:rPr>
          <w:rFonts w:asciiTheme="minorBidi" w:hAnsiTheme="minorBidi"/>
        </w:rPr>
        <w:t>’</w:t>
      </w:r>
      <w:r>
        <w:rPr>
          <w:rFonts w:asciiTheme="minorBidi" w:hAnsiTheme="minorBidi"/>
        </w:rPr>
        <w:t>inscription d</w:t>
      </w:r>
      <w:r w:rsidR="00C44269">
        <w:rPr>
          <w:rFonts w:asciiTheme="minorBidi" w:hAnsiTheme="minorBidi"/>
        </w:rPr>
        <w:t>’</w:t>
      </w:r>
      <w:r>
        <w:rPr>
          <w:rFonts w:asciiTheme="minorBidi" w:hAnsiTheme="minorBidi"/>
        </w:rPr>
        <w:t>éléments sur une base étendue ou réduite aux niveaux national et international, ainsi que la procédure de retrait d</w:t>
      </w:r>
      <w:r w:rsidR="00C44269">
        <w:rPr>
          <w:rFonts w:asciiTheme="minorBidi" w:hAnsiTheme="minorBidi"/>
        </w:rPr>
        <w:t>’</w:t>
      </w:r>
      <w:r>
        <w:rPr>
          <w:rFonts w:asciiTheme="minorBidi" w:hAnsiTheme="minorBidi"/>
        </w:rPr>
        <w:t>un élément de l</w:t>
      </w:r>
      <w:r w:rsidR="00C44269">
        <w:rPr>
          <w:rFonts w:asciiTheme="minorBidi" w:hAnsiTheme="minorBidi"/>
        </w:rPr>
        <w:t>’</w:t>
      </w:r>
      <w:r>
        <w:rPr>
          <w:rFonts w:asciiTheme="minorBidi" w:hAnsiTheme="minorBidi"/>
        </w:rPr>
        <w:t>une des listes et un mécanisme de suivi pour un élément actuellement inscrit.</w:t>
      </w:r>
    </w:p>
    <w:p w14:paraId="294554B2" w14:textId="45EC8403" w:rsidR="009A373B" w:rsidRPr="00AA5CFF" w:rsidRDefault="009A373B" w:rsidP="009A373B">
      <w:pPr>
        <w:pStyle w:val="Marge"/>
        <w:numPr>
          <w:ilvl w:val="0"/>
          <w:numId w:val="23"/>
        </w:numPr>
        <w:tabs>
          <w:tab w:val="clear" w:pos="502"/>
          <w:tab w:val="clear" w:pos="567"/>
        </w:tabs>
        <w:spacing w:before="120" w:after="120"/>
        <w:ind w:left="567" w:hanging="567"/>
        <w:rPr>
          <w:rFonts w:cs="Arial"/>
          <w:szCs w:val="22"/>
        </w:rPr>
      </w:pPr>
      <w:r>
        <w:t>Appliquant pour la première fois la procédure de retrait nouvellement établie, le 17.COM a décidé de retirer « la Ducasse d</w:t>
      </w:r>
      <w:r w:rsidR="00C44269">
        <w:t>’</w:t>
      </w:r>
      <w:r>
        <w:t>Ath » de l</w:t>
      </w:r>
      <w:r w:rsidR="00C44269">
        <w:t>’</w:t>
      </w:r>
      <w:r>
        <w:t>élément les « Géants et dragons processionnels de Belgique et de France » (Belgique et France) de la Liste représentative (</w:t>
      </w:r>
      <w:r w:rsidR="00AA3DC3">
        <w:t>D</w:t>
      </w:r>
      <w:r>
        <w:t xml:space="preserve">écision </w:t>
      </w:r>
      <w:hyperlink r:id="rId37" w:history="1">
        <w:r>
          <w:rPr>
            <w:rStyle w:val="Lienhypertexte"/>
          </w:rPr>
          <w:t>17.COM</w:t>
        </w:r>
        <w:r w:rsidR="00A95ED2">
          <w:rPr>
            <w:rStyle w:val="Lienhypertexte"/>
          </w:rPr>
          <w:t> </w:t>
        </w:r>
        <w:r>
          <w:rPr>
            <w:rStyle w:val="Lienhypertexte"/>
          </w:rPr>
          <w:t xml:space="preserve"> 8.a</w:t>
        </w:r>
      </w:hyperlink>
      <w:r w:rsidR="003B6F03">
        <w:t xml:space="preserve"> ; </w:t>
      </w:r>
      <w:r>
        <w:t xml:space="preserve">document </w:t>
      </w:r>
      <w:hyperlink r:id="rId38" w:history="1">
        <w:r>
          <w:rPr>
            <w:rStyle w:val="Lienhypertexte"/>
          </w:rPr>
          <w:t>LHE/22/17.COM 8</w:t>
        </w:r>
      </w:hyperlink>
      <w:r>
        <w:t>). Le Comité a considéré que les allégations de racisme et de discrimination concernant le personnage du « Sauvage » étaient des questions extrêmement graves, qui doivent être traitées car elles touchent aux principes fondateurs de l</w:t>
      </w:r>
      <w:r w:rsidR="00C44269">
        <w:t>’</w:t>
      </w:r>
      <w:r>
        <w:t>UNESCO que sont la dignité, l</w:t>
      </w:r>
      <w:r w:rsidR="00C44269">
        <w:t>’</w:t>
      </w:r>
      <w:r>
        <w:t>égalité et le respect mutuel entre les peuples, tels que reflétés dans le préambule de l</w:t>
      </w:r>
      <w:r w:rsidR="00C44269">
        <w:t>’</w:t>
      </w:r>
      <w:r>
        <w:t>Acte constitutif de l</w:t>
      </w:r>
      <w:r w:rsidR="00C44269">
        <w:t>’</w:t>
      </w:r>
      <w:r>
        <w:t>Organisation, ainsi que l</w:t>
      </w:r>
      <w:r w:rsidR="00C44269">
        <w:t>’</w:t>
      </w:r>
      <w:r>
        <w:t>exigence du respect mutuel entre communautés, groupes et individus, telle que stipulée dans l</w:t>
      </w:r>
      <w:r w:rsidR="00C44269">
        <w:t>’</w:t>
      </w:r>
      <w:r>
        <w:t>article 2 de la Convention.</w:t>
      </w:r>
    </w:p>
    <w:p w14:paraId="1B08DF9D" w14:textId="77777777" w:rsidR="00190205" w:rsidRPr="006C0CE5" w:rsidRDefault="00190205" w:rsidP="00D86BB3">
      <w:pPr>
        <w:rPr>
          <w:rFonts w:ascii="Arial" w:eastAsia="SimSun" w:hAnsi="Arial" w:cs="Arial"/>
          <w:sz w:val="22"/>
          <w:szCs w:val="22"/>
          <w:u w:val="single"/>
        </w:rPr>
      </w:pPr>
    </w:p>
    <w:sectPr w:rsidR="00190205" w:rsidRPr="006C0CE5" w:rsidSect="00771232">
      <w:headerReference w:type="even" r:id="rId39"/>
      <w:headerReference w:type="default" r:id="rId40"/>
      <w:headerReference w:type="first" r:id="rId41"/>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4A8E9" w14:textId="77777777" w:rsidR="00771232" w:rsidRDefault="00771232" w:rsidP="00655736">
      <w:r>
        <w:separator/>
      </w:r>
    </w:p>
  </w:endnote>
  <w:endnote w:type="continuationSeparator" w:id="0">
    <w:p w14:paraId="1E6161B0" w14:textId="77777777" w:rsidR="00771232" w:rsidRDefault="00771232" w:rsidP="00655736">
      <w:r>
        <w:continuationSeparator/>
      </w:r>
    </w:p>
  </w:endnote>
  <w:endnote w:type="continuationNotice" w:id="1">
    <w:p w14:paraId="670CB7D2" w14:textId="77777777" w:rsidR="00771232" w:rsidRDefault="007712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4B878" w14:textId="77777777" w:rsidR="00771232" w:rsidRDefault="00771232" w:rsidP="00655736">
      <w:r>
        <w:separator/>
      </w:r>
    </w:p>
  </w:footnote>
  <w:footnote w:type="continuationSeparator" w:id="0">
    <w:p w14:paraId="2E0D341C" w14:textId="77777777" w:rsidR="00771232" w:rsidRDefault="00771232" w:rsidP="00655736">
      <w:r>
        <w:continuationSeparator/>
      </w:r>
    </w:p>
  </w:footnote>
  <w:footnote w:type="continuationNotice" w:id="1">
    <w:p w14:paraId="2B301B9E" w14:textId="77777777" w:rsidR="00771232" w:rsidRDefault="007712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A055" w14:textId="0882092B" w:rsidR="00D95C4C" w:rsidRPr="00C23A97" w:rsidRDefault="00C5776D" w:rsidP="00C5776D">
    <w:pPr>
      <w:pStyle w:val="En-tte"/>
      <w:rPr>
        <w:rFonts w:ascii="Arial" w:hAnsi="Arial" w:cs="Arial"/>
      </w:rPr>
    </w:pPr>
    <w:r>
      <w:rPr>
        <w:rFonts w:ascii="Arial" w:hAnsi="Arial"/>
        <w:sz w:val="20"/>
      </w:rPr>
      <w:t xml:space="preserve">LHE/24/10.GA/5 – page </w:t>
    </w:r>
    <w:r w:rsidR="00D95C4C" w:rsidRPr="00C23A97">
      <w:rPr>
        <w:rStyle w:val="Numrodepage"/>
        <w:rFonts w:ascii="Arial" w:hAnsi="Arial" w:cs="Arial"/>
        <w:sz w:val="20"/>
      </w:rPr>
      <w:fldChar w:fldCharType="begin"/>
    </w:r>
    <w:r w:rsidR="00D95C4C" w:rsidRPr="00C23A97">
      <w:rPr>
        <w:rStyle w:val="Numrodepage"/>
        <w:rFonts w:ascii="Arial" w:hAnsi="Arial" w:cs="Arial"/>
        <w:sz w:val="20"/>
      </w:rPr>
      <w:instrText xml:space="preserve"> PAGE </w:instrText>
    </w:r>
    <w:r w:rsidR="00D95C4C" w:rsidRPr="00C23A97">
      <w:rPr>
        <w:rStyle w:val="Numrodepage"/>
        <w:rFonts w:ascii="Arial" w:hAnsi="Arial" w:cs="Arial"/>
        <w:sz w:val="20"/>
      </w:rPr>
      <w:fldChar w:fldCharType="separate"/>
    </w:r>
    <w:r w:rsidR="006E75EB">
      <w:rPr>
        <w:rStyle w:val="Numrodepage"/>
        <w:rFonts w:ascii="Arial" w:hAnsi="Arial" w:cs="Arial"/>
        <w:sz w:val="20"/>
      </w:rPr>
      <w:t>2</w:t>
    </w:r>
    <w:r w:rsidR="00D95C4C" w:rsidRPr="00C23A97">
      <w:rPr>
        <w:rStyle w:val="Numrodepage"/>
        <w:rFonts w:ascii="Arial" w:hAnsi="Arial" w:cs="Arial"/>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231B" w14:textId="1670C21C" w:rsidR="00D95C4C" w:rsidRPr="0063300C" w:rsidRDefault="00C5776D" w:rsidP="00C5776D">
    <w:pPr>
      <w:pStyle w:val="En-tte"/>
      <w:jc w:val="right"/>
      <w:rPr>
        <w:rFonts w:ascii="Arial" w:hAnsi="Arial" w:cs="Arial"/>
      </w:rPr>
    </w:pPr>
    <w:r>
      <w:rPr>
        <w:rFonts w:ascii="Arial" w:hAnsi="Arial"/>
        <w:sz w:val="20"/>
      </w:rPr>
      <w:t xml:space="preserve">LHE/24/10.GA/5 – page </w:t>
    </w:r>
    <w:r w:rsidR="004A34A0" w:rsidRPr="0063300C">
      <w:rPr>
        <w:rStyle w:val="Numrodepage"/>
        <w:rFonts w:ascii="Arial" w:hAnsi="Arial" w:cs="Arial"/>
        <w:sz w:val="20"/>
      </w:rPr>
      <w:fldChar w:fldCharType="begin"/>
    </w:r>
    <w:r w:rsidR="004A34A0" w:rsidRPr="0063300C">
      <w:rPr>
        <w:rStyle w:val="Numrodepage"/>
        <w:rFonts w:ascii="Arial" w:hAnsi="Arial" w:cs="Arial"/>
        <w:sz w:val="20"/>
      </w:rPr>
      <w:instrText xml:space="preserve"> PAGE </w:instrText>
    </w:r>
    <w:r w:rsidR="004A34A0" w:rsidRPr="0063300C">
      <w:rPr>
        <w:rStyle w:val="Numrodepage"/>
        <w:rFonts w:ascii="Arial" w:hAnsi="Arial" w:cs="Arial"/>
        <w:sz w:val="20"/>
      </w:rPr>
      <w:fldChar w:fldCharType="separate"/>
    </w:r>
    <w:r w:rsidR="00190205">
      <w:rPr>
        <w:rStyle w:val="Numrodepage"/>
        <w:rFonts w:ascii="Arial" w:hAnsi="Arial" w:cs="Arial"/>
        <w:sz w:val="20"/>
      </w:rPr>
      <w:t>3</w:t>
    </w:r>
    <w:r w:rsidR="004A34A0" w:rsidRPr="0063300C">
      <w:rPr>
        <w:rStyle w:val="Numrodepage"/>
        <w:rFonts w:ascii="Arial" w:hAnsi="Arial" w:cs="Arial"/>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959B6" w14:textId="4D1AEBB9" w:rsidR="002B75A6" w:rsidRPr="00E95AE2" w:rsidRDefault="009B682B" w:rsidP="002B75A6">
    <w:pPr>
      <w:pStyle w:val="En-tte"/>
      <w:rPr>
        <w:sz w:val="22"/>
        <w:szCs w:val="22"/>
      </w:rPr>
    </w:pPr>
    <w:r>
      <w:rPr>
        <w:noProof/>
      </w:rPr>
      <w:drawing>
        <wp:anchor distT="0" distB="0" distL="114300" distR="114300" simplePos="0" relativeHeight="251661312" behindDoc="0" locked="0" layoutInCell="1" allowOverlap="1" wp14:anchorId="59473485" wp14:editId="4A3CE149">
          <wp:simplePos x="0" y="0"/>
          <wp:positionH relativeFrom="column">
            <wp:posOffset>0</wp:posOffset>
          </wp:positionH>
          <wp:positionV relativeFrom="paragraph">
            <wp:posOffset>160655</wp:posOffset>
          </wp:positionV>
          <wp:extent cx="1657350" cy="1391920"/>
          <wp:effectExtent l="0" t="0" r="0" b="0"/>
          <wp:wrapThrough wrapText="bothSides">
            <wp:wrapPolygon edited="0">
              <wp:start x="0" y="0"/>
              <wp:lineTo x="0" y="9460"/>
              <wp:lineTo x="10676" y="9460"/>
              <wp:lineTo x="0" y="10938"/>
              <wp:lineTo x="0" y="21285"/>
              <wp:lineTo x="8690" y="21285"/>
              <wp:lineTo x="14897" y="18920"/>
              <wp:lineTo x="21352" y="14781"/>
              <wp:lineTo x="21352" y="11234"/>
              <wp:lineTo x="10676" y="9460"/>
              <wp:lineTo x="21352" y="9460"/>
              <wp:lineTo x="21352" y="0"/>
              <wp:lineTo x="0" y="0"/>
            </wp:wrapPolygon>
          </wp:wrapThrough>
          <wp:docPr id="2" name="Imag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Logo, company name&#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anchor>
      </w:drawing>
    </w:r>
  </w:p>
  <w:p w14:paraId="1803587C" w14:textId="1B1D41CF" w:rsidR="002B75A6" w:rsidRPr="00D7105A" w:rsidRDefault="002B75A6" w:rsidP="002B75A6">
    <w:pPr>
      <w:pStyle w:val="En-tte"/>
      <w:spacing w:after="520"/>
      <w:jc w:val="right"/>
      <w:rPr>
        <w:rFonts w:ascii="Arial" w:hAnsi="Arial" w:cs="Arial"/>
        <w:b/>
        <w:sz w:val="44"/>
        <w:szCs w:val="44"/>
      </w:rPr>
    </w:pPr>
    <w:r>
      <w:rPr>
        <w:rFonts w:ascii="Arial" w:hAnsi="Arial"/>
        <w:b/>
        <w:sz w:val="44"/>
      </w:rPr>
      <w:t>10 GA</w:t>
    </w:r>
  </w:p>
  <w:p w14:paraId="53665DD2" w14:textId="77777777" w:rsidR="002B75A6" w:rsidRPr="00D7105A" w:rsidRDefault="002B75A6" w:rsidP="002B75A6">
    <w:pPr>
      <w:jc w:val="right"/>
      <w:rPr>
        <w:rFonts w:ascii="Arial" w:hAnsi="Arial" w:cs="Arial"/>
        <w:b/>
        <w:sz w:val="22"/>
        <w:szCs w:val="22"/>
      </w:rPr>
    </w:pPr>
    <w:r>
      <w:rPr>
        <w:rFonts w:ascii="Arial" w:hAnsi="Arial"/>
        <w:b/>
        <w:sz w:val="22"/>
      </w:rPr>
      <w:t>LHE/24/10.GA/5</w:t>
    </w:r>
  </w:p>
  <w:p w14:paraId="192A13CA" w14:textId="4F921D4E" w:rsidR="002B75A6" w:rsidRPr="00D7105A" w:rsidRDefault="002B75A6" w:rsidP="002B75A6">
    <w:pPr>
      <w:jc w:val="right"/>
      <w:rPr>
        <w:rFonts w:ascii="Arial" w:eastAsiaTheme="minorEastAsia" w:hAnsi="Arial" w:cs="Arial"/>
        <w:b/>
        <w:sz w:val="22"/>
        <w:szCs w:val="22"/>
      </w:rPr>
    </w:pPr>
    <w:r>
      <w:rPr>
        <w:rFonts w:ascii="Arial" w:hAnsi="Arial"/>
        <w:b/>
        <w:sz w:val="22"/>
      </w:rPr>
      <w:t xml:space="preserve">Paris, le </w:t>
    </w:r>
    <w:r w:rsidR="003577E4">
      <w:rPr>
        <w:rFonts w:ascii="Arial" w:hAnsi="Arial"/>
        <w:b/>
        <w:sz w:val="22"/>
      </w:rPr>
      <w:t>13</w:t>
    </w:r>
    <w:r>
      <w:rPr>
        <w:rFonts w:ascii="Arial" w:hAnsi="Arial"/>
        <w:b/>
        <w:sz w:val="22"/>
      </w:rPr>
      <w:t xml:space="preserve"> mai 2024</w:t>
    </w:r>
  </w:p>
  <w:p w14:paraId="7E45DF55" w14:textId="7C4A9E6C" w:rsidR="002B75A6" w:rsidRPr="009316D2" w:rsidRDefault="002B75A6" w:rsidP="002B75A6">
    <w:pPr>
      <w:spacing w:after="120"/>
      <w:jc w:val="right"/>
      <w:rPr>
        <w:rFonts w:ascii="Arial" w:hAnsi="Arial" w:cs="Arial"/>
        <w:b/>
        <w:sz w:val="22"/>
        <w:szCs w:val="22"/>
      </w:rPr>
    </w:pPr>
    <w:r>
      <w:rPr>
        <w:rFonts w:ascii="Arial" w:hAnsi="Arial"/>
        <w:b/>
        <w:sz w:val="22"/>
      </w:rPr>
      <w:t xml:space="preserve">Original : </w:t>
    </w:r>
    <w:r w:rsidR="00F478FD">
      <w:rPr>
        <w:rFonts w:ascii="Arial" w:hAnsi="Arial"/>
        <w:b/>
        <w:sz w:val="22"/>
      </w:rPr>
      <w:t>a</w:t>
    </w:r>
    <w:r>
      <w:rPr>
        <w:rFonts w:ascii="Arial" w:hAnsi="Arial"/>
        <w:b/>
        <w:sz w:val="22"/>
      </w:rPr>
      <w:t>nglais</w:t>
    </w:r>
  </w:p>
  <w:p w14:paraId="1C182F00" w14:textId="77777777" w:rsidR="002B75A6" w:rsidRDefault="002B75A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52DE94AE"/>
    <w:lvl w:ilvl="0">
      <w:start w:val="1"/>
      <w:numFmt w:val="upperRoman"/>
      <w:lvlText w:val="%1."/>
      <w:lvlJc w:val="left"/>
      <w:pPr>
        <w:tabs>
          <w:tab w:val="num" w:pos="720"/>
        </w:tabs>
        <w:ind w:left="720" w:hanging="360"/>
      </w:pPr>
      <w:rPr>
        <w:rFonts w:ascii="Arial" w:eastAsia="Arial" w:hAnsi="Arial" w:cs="Arial" w:hint="default"/>
        <w:b/>
        <w:bCs/>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2E411C8"/>
    <w:multiLevelType w:val="hybridMultilevel"/>
    <w:tmpl w:val="AFC481B0"/>
    <w:lvl w:ilvl="0" w:tplc="CF1ACF60">
      <w:start w:val="1"/>
      <w:numFmt w:val="lowerLetter"/>
      <w:lvlText w:val="%1)"/>
      <w:lvlJc w:val="left"/>
      <w:pPr>
        <w:ind w:left="720" w:hanging="360"/>
      </w:pPr>
      <w:rPr>
        <w:rFonts w:ascii="Arial" w:hAnsi="Arial" w:hint="default"/>
        <w:b/>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2F807A4"/>
    <w:multiLevelType w:val="hybridMultilevel"/>
    <w:tmpl w:val="DC648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4" w15:restartNumberingAfterBreak="0">
    <w:nsid w:val="1BA40D70"/>
    <w:multiLevelType w:val="hybridMultilevel"/>
    <w:tmpl w:val="FA48674E"/>
    <w:lvl w:ilvl="0" w:tplc="FFFFFFFF">
      <w:start w:val="1"/>
      <w:numFmt w:val="upperLetter"/>
      <w:lvlText w:val="%1."/>
      <w:lvlJc w:val="left"/>
      <w:pPr>
        <w:ind w:left="502"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6"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AB35019"/>
    <w:multiLevelType w:val="multilevel"/>
    <w:tmpl w:val="BBCAB5AA"/>
    <w:lvl w:ilvl="0">
      <w:start w:val="1"/>
      <w:numFmt w:val="decimal"/>
      <w:lvlText w:val="%1."/>
      <w:lvlJc w:val="left"/>
      <w:pPr>
        <w:tabs>
          <w:tab w:val="num" w:pos="502"/>
        </w:tabs>
        <w:ind w:left="502" w:hanging="360"/>
      </w:pPr>
      <w:rPr>
        <w:rFonts w:ascii="Arial" w:eastAsia="Arial" w:hAnsi="Arial" w:cs="Arial"/>
        <w:i w:val="0"/>
        <w:sz w:val="22"/>
        <w:szCs w:val="22"/>
        <w:lang w:val="en-G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0515124"/>
    <w:multiLevelType w:val="hybridMultilevel"/>
    <w:tmpl w:val="93DAB1A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1"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2" w15:restartNumberingAfterBreak="0">
    <w:nsid w:val="3AC30BD2"/>
    <w:multiLevelType w:val="hybridMultilevel"/>
    <w:tmpl w:val="2F02E984"/>
    <w:lvl w:ilvl="0" w:tplc="DFC65752">
      <w:start w:val="1"/>
      <w:numFmt w:val="upperRoman"/>
      <w:pStyle w:val="Titre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4"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5"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C627CF4"/>
    <w:multiLevelType w:val="hybridMultilevel"/>
    <w:tmpl w:val="FA48674E"/>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611668966">
    <w:abstractNumId w:val="15"/>
  </w:num>
  <w:num w:numId="2" w16cid:durableId="2065563776">
    <w:abstractNumId w:val="10"/>
  </w:num>
  <w:num w:numId="3" w16cid:durableId="1020739083">
    <w:abstractNumId w:val="5"/>
  </w:num>
  <w:num w:numId="4" w16cid:durableId="1040784650">
    <w:abstractNumId w:val="17"/>
  </w:num>
  <w:num w:numId="5" w16cid:durableId="2075468720">
    <w:abstractNumId w:val="16"/>
  </w:num>
  <w:num w:numId="6" w16cid:durableId="203055422">
    <w:abstractNumId w:val="3"/>
  </w:num>
  <w:num w:numId="7" w16cid:durableId="1782646727">
    <w:abstractNumId w:val="6"/>
  </w:num>
  <w:num w:numId="8" w16cid:durableId="2115050787">
    <w:abstractNumId w:val="14"/>
  </w:num>
  <w:num w:numId="9" w16cid:durableId="1350982379">
    <w:abstractNumId w:val="9"/>
  </w:num>
  <w:num w:numId="10" w16cid:durableId="1053962472">
    <w:abstractNumId w:val="11"/>
  </w:num>
  <w:num w:numId="11" w16cid:durableId="405107303">
    <w:abstractNumId w:val="13"/>
  </w:num>
  <w:num w:numId="12" w16cid:durableId="1037002035">
    <w:abstractNumId w:val="12"/>
  </w:num>
  <w:num w:numId="13" w16cid:durableId="1071274331">
    <w:abstractNumId w:val="18"/>
  </w:num>
  <w:num w:numId="14" w16cid:durableId="1436513841">
    <w:abstractNumId w:val="8"/>
  </w:num>
  <w:num w:numId="15" w16cid:durableId="2089577342">
    <w:abstractNumId w:val="9"/>
  </w:num>
  <w:num w:numId="16" w16cid:durableId="68501445">
    <w:abstractNumId w:val="9"/>
  </w:num>
  <w:num w:numId="17" w16cid:durableId="734008514">
    <w:abstractNumId w:val="9"/>
  </w:num>
  <w:num w:numId="18" w16cid:durableId="397748683">
    <w:abstractNumId w:val="9"/>
  </w:num>
  <w:num w:numId="19" w16cid:durableId="1705208989">
    <w:abstractNumId w:val="9"/>
  </w:num>
  <w:num w:numId="20" w16cid:durableId="1192262028">
    <w:abstractNumId w:val="9"/>
  </w:num>
  <w:num w:numId="21" w16cid:durableId="340083876">
    <w:abstractNumId w:val="4"/>
  </w:num>
  <w:num w:numId="22" w16cid:durableId="1490320657">
    <w:abstractNumId w:val="9"/>
  </w:num>
  <w:num w:numId="23" w16cid:durableId="2143763606">
    <w:abstractNumId w:val="7"/>
  </w:num>
  <w:num w:numId="24" w16cid:durableId="1921131692">
    <w:abstractNumId w:val="0"/>
  </w:num>
  <w:num w:numId="25" w16cid:durableId="418722922">
    <w:abstractNumId w:val="1"/>
  </w:num>
  <w:num w:numId="26" w16cid:durableId="4573416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099768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0729492">
    <w:abstractNumId w:val="11"/>
  </w:num>
  <w:num w:numId="29" w16cid:durableId="1008945293">
    <w:abstractNumId w:val="11"/>
  </w:num>
  <w:num w:numId="30" w16cid:durableId="292715052">
    <w:abstractNumId w:val="11"/>
  </w:num>
  <w:num w:numId="31" w16cid:durableId="958758632">
    <w:abstractNumId w:val="11"/>
  </w:num>
  <w:num w:numId="32" w16cid:durableId="632951289">
    <w:abstractNumId w:val="11"/>
  </w:num>
  <w:num w:numId="33" w16cid:durableId="1988120789">
    <w:abstractNumId w:val="11"/>
  </w:num>
  <w:num w:numId="34" w16cid:durableId="1638795413">
    <w:abstractNumId w:val="11"/>
  </w:num>
  <w:num w:numId="35" w16cid:durableId="1615477475">
    <w:abstractNumId w:val="11"/>
  </w:num>
  <w:num w:numId="36" w16cid:durableId="46146615">
    <w:abstractNumId w:val="11"/>
  </w:num>
  <w:num w:numId="37" w16cid:durableId="20240449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542"/>
    <w:rsid w:val="00000673"/>
    <w:rsid w:val="0000109F"/>
    <w:rsid w:val="000048ED"/>
    <w:rsid w:val="00014915"/>
    <w:rsid w:val="00022CCC"/>
    <w:rsid w:val="00023C1C"/>
    <w:rsid w:val="00025D4C"/>
    <w:rsid w:val="00041A66"/>
    <w:rsid w:val="00042D88"/>
    <w:rsid w:val="00043BBF"/>
    <w:rsid w:val="0005176E"/>
    <w:rsid w:val="000765F7"/>
    <w:rsid w:val="0007725F"/>
    <w:rsid w:val="00077AB7"/>
    <w:rsid w:val="00081CD8"/>
    <w:rsid w:val="000A7F0E"/>
    <w:rsid w:val="000B1C8F"/>
    <w:rsid w:val="000C0D61"/>
    <w:rsid w:val="000D6EB2"/>
    <w:rsid w:val="000F2CB0"/>
    <w:rsid w:val="000F3A3F"/>
    <w:rsid w:val="00102557"/>
    <w:rsid w:val="00130A0A"/>
    <w:rsid w:val="00130A20"/>
    <w:rsid w:val="00135C78"/>
    <w:rsid w:val="00147A38"/>
    <w:rsid w:val="00161EAB"/>
    <w:rsid w:val="00164D56"/>
    <w:rsid w:val="00167B10"/>
    <w:rsid w:val="0017074C"/>
    <w:rsid w:val="00173204"/>
    <w:rsid w:val="0017402F"/>
    <w:rsid w:val="00190205"/>
    <w:rsid w:val="00190CEF"/>
    <w:rsid w:val="001912B2"/>
    <w:rsid w:val="001952DC"/>
    <w:rsid w:val="00196C1B"/>
    <w:rsid w:val="001A3D5E"/>
    <w:rsid w:val="001B0F73"/>
    <w:rsid w:val="001C2DB7"/>
    <w:rsid w:val="001D14FE"/>
    <w:rsid w:val="001D5C04"/>
    <w:rsid w:val="001F26CF"/>
    <w:rsid w:val="00205B20"/>
    <w:rsid w:val="00221177"/>
    <w:rsid w:val="00222A2D"/>
    <w:rsid w:val="00223029"/>
    <w:rsid w:val="00234745"/>
    <w:rsid w:val="002351A6"/>
    <w:rsid w:val="00236BBE"/>
    <w:rsid w:val="002407AF"/>
    <w:rsid w:val="00245501"/>
    <w:rsid w:val="00245E82"/>
    <w:rsid w:val="00254B26"/>
    <w:rsid w:val="0026221A"/>
    <w:rsid w:val="002705EA"/>
    <w:rsid w:val="0027466B"/>
    <w:rsid w:val="002769B4"/>
    <w:rsid w:val="002814F6"/>
    <w:rsid w:val="002838A5"/>
    <w:rsid w:val="00285BB4"/>
    <w:rsid w:val="00286147"/>
    <w:rsid w:val="00290950"/>
    <w:rsid w:val="00296921"/>
    <w:rsid w:val="002A71C0"/>
    <w:rsid w:val="002B6BBE"/>
    <w:rsid w:val="002B75A6"/>
    <w:rsid w:val="002C09E3"/>
    <w:rsid w:val="002C36EF"/>
    <w:rsid w:val="002C5B7C"/>
    <w:rsid w:val="002C6A2C"/>
    <w:rsid w:val="002D1244"/>
    <w:rsid w:val="002F16BE"/>
    <w:rsid w:val="00304D97"/>
    <w:rsid w:val="00310E49"/>
    <w:rsid w:val="00311777"/>
    <w:rsid w:val="00312BF5"/>
    <w:rsid w:val="00312DE1"/>
    <w:rsid w:val="003249F1"/>
    <w:rsid w:val="00330628"/>
    <w:rsid w:val="00337CEB"/>
    <w:rsid w:val="0034419B"/>
    <w:rsid w:val="00344B58"/>
    <w:rsid w:val="0034539A"/>
    <w:rsid w:val="00345CB4"/>
    <w:rsid w:val="0034730F"/>
    <w:rsid w:val="003577E4"/>
    <w:rsid w:val="003659C6"/>
    <w:rsid w:val="00374E88"/>
    <w:rsid w:val="00375D42"/>
    <w:rsid w:val="00376166"/>
    <w:rsid w:val="003878BD"/>
    <w:rsid w:val="003B6F03"/>
    <w:rsid w:val="003D069C"/>
    <w:rsid w:val="003D7646"/>
    <w:rsid w:val="003F113A"/>
    <w:rsid w:val="003F3E63"/>
    <w:rsid w:val="003F5CB0"/>
    <w:rsid w:val="00407480"/>
    <w:rsid w:val="00414643"/>
    <w:rsid w:val="00424A0C"/>
    <w:rsid w:val="004313C4"/>
    <w:rsid w:val="00433E5B"/>
    <w:rsid w:val="004421E5"/>
    <w:rsid w:val="00451630"/>
    <w:rsid w:val="00452284"/>
    <w:rsid w:val="00455D8F"/>
    <w:rsid w:val="00457C8E"/>
    <w:rsid w:val="00460C81"/>
    <w:rsid w:val="00480175"/>
    <w:rsid w:val="004856CA"/>
    <w:rsid w:val="00487E67"/>
    <w:rsid w:val="004906B7"/>
    <w:rsid w:val="0049705E"/>
    <w:rsid w:val="004A18E5"/>
    <w:rsid w:val="004A2875"/>
    <w:rsid w:val="004A34A0"/>
    <w:rsid w:val="004C7C82"/>
    <w:rsid w:val="004D609E"/>
    <w:rsid w:val="004F6975"/>
    <w:rsid w:val="005008A8"/>
    <w:rsid w:val="0050378B"/>
    <w:rsid w:val="00517FD8"/>
    <w:rsid w:val="005221E1"/>
    <w:rsid w:val="00526B7B"/>
    <w:rsid w:val="005274D2"/>
    <w:rsid w:val="005306A1"/>
    <w:rsid w:val="005308CE"/>
    <w:rsid w:val="0053318C"/>
    <w:rsid w:val="00536A64"/>
    <w:rsid w:val="00540458"/>
    <w:rsid w:val="0054535F"/>
    <w:rsid w:val="0056311A"/>
    <w:rsid w:val="0057022F"/>
    <w:rsid w:val="0057439C"/>
    <w:rsid w:val="0058306E"/>
    <w:rsid w:val="00583EBF"/>
    <w:rsid w:val="00591EBD"/>
    <w:rsid w:val="005960FA"/>
    <w:rsid w:val="005B0127"/>
    <w:rsid w:val="005B7A35"/>
    <w:rsid w:val="005C4B73"/>
    <w:rsid w:val="005C5423"/>
    <w:rsid w:val="005C792B"/>
    <w:rsid w:val="005E117D"/>
    <w:rsid w:val="005E1D2B"/>
    <w:rsid w:val="005E7074"/>
    <w:rsid w:val="005F2BAF"/>
    <w:rsid w:val="005F54B4"/>
    <w:rsid w:val="00600D93"/>
    <w:rsid w:val="00626BEA"/>
    <w:rsid w:val="0063300C"/>
    <w:rsid w:val="00651A5B"/>
    <w:rsid w:val="00655736"/>
    <w:rsid w:val="00657600"/>
    <w:rsid w:val="00663B8D"/>
    <w:rsid w:val="00664468"/>
    <w:rsid w:val="006946D0"/>
    <w:rsid w:val="00696C8D"/>
    <w:rsid w:val="006A2AC2"/>
    <w:rsid w:val="006A3617"/>
    <w:rsid w:val="006B4452"/>
    <w:rsid w:val="006C0CE5"/>
    <w:rsid w:val="006E46E4"/>
    <w:rsid w:val="006E5076"/>
    <w:rsid w:val="006E75EB"/>
    <w:rsid w:val="007065CD"/>
    <w:rsid w:val="00710FAC"/>
    <w:rsid w:val="00717DA5"/>
    <w:rsid w:val="00724A7B"/>
    <w:rsid w:val="00733192"/>
    <w:rsid w:val="007333D0"/>
    <w:rsid w:val="0074002E"/>
    <w:rsid w:val="00744484"/>
    <w:rsid w:val="00747566"/>
    <w:rsid w:val="00765F2D"/>
    <w:rsid w:val="00771232"/>
    <w:rsid w:val="007713DA"/>
    <w:rsid w:val="00773188"/>
    <w:rsid w:val="007827B7"/>
    <w:rsid w:val="00783782"/>
    <w:rsid w:val="00784B8C"/>
    <w:rsid w:val="007879E1"/>
    <w:rsid w:val="007B6883"/>
    <w:rsid w:val="007C4441"/>
    <w:rsid w:val="007E1DEC"/>
    <w:rsid w:val="007E57AA"/>
    <w:rsid w:val="00823A11"/>
    <w:rsid w:val="008349D1"/>
    <w:rsid w:val="008402A1"/>
    <w:rsid w:val="0085405E"/>
    <w:rsid w:val="0085414A"/>
    <w:rsid w:val="008565A0"/>
    <w:rsid w:val="00857EB9"/>
    <w:rsid w:val="0086269D"/>
    <w:rsid w:val="0086543A"/>
    <w:rsid w:val="008724E5"/>
    <w:rsid w:val="008765C9"/>
    <w:rsid w:val="00883A2B"/>
    <w:rsid w:val="00884A9D"/>
    <w:rsid w:val="0088512B"/>
    <w:rsid w:val="008864CF"/>
    <w:rsid w:val="00892A62"/>
    <w:rsid w:val="008A2B2D"/>
    <w:rsid w:val="008A4E1E"/>
    <w:rsid w:val="008A6458"/>
    <w:rsid w:val="008C296C"/>
    <w:rsid w:val="008C742C"/>
    <w:rsid w:val="008D4305"/>
    <w:rsid w:val="008E1A85"/>
    <w:rsid w:val="008E344F"/>
    <w:rsid w:val="008F405F"/>
    <w:rsid w:val="009033A5"/>
    <w:rsid w:val="00903D3B"/>
    <w:rsid w:val="009163A7"/>
    <w:rsid w:val="00920569"/>
    <w:rsid w:val="009278A5"/>
    <w:rsid w:val="009316D2"/>
    <w:rsid w:val="00932ED2"/>
    <w:rsid w:val="00937D53"/>
    <w:rsid w:val="00946D0B"/>
    <w:rsid w:val="00947FFC"/>
    <w:rsid w:val="00955877"/>
    <w:rsid w:val="00962034"/>
    <w:rsid w:val="0096687E"/>
    <w:rsid w:val="00977C1E"/>
    <w:rsid w:val="00982AFA"/>
    <w:rsid w:val="00987E70"/>
    <w:rsid w:val="009A0F4B"/>
    <w:rsid w:val="009A18CD"/>
    <w:rsid w:val="009A373B"/>
    <w:rsid w:val="009B682B"/>
    <w:rsid w:val="009C0BE6"/>
    <w:rsid w:val="009C21F4"/>
    <w:rsid w:val="009C3FD0"/>
    <w:rsid w:val="009D01C0"/>
    <w:rsid w:val="009D5428"/>
    <w:rsid w:val="009F7DC3"/>
    <w:rsid w:val="00A12558"/>
    <w:rsid w:val="00A13903"/>
    <w:rsid w:val="00A34ED5"/>
    <w:rsid w:val="00A45DBF"/>
    <w:rsid w:val="00A63EE6"/>
    <w:rsid w:val="00A66381"/>
    <w:rsid w:val="00A725CF"/>
    <w:rsid w:val="00A755A2"/>
    <w:rsid w:val="00A84C16"/>
    <w:rsid w:val="00A91430"/>
    <w:rsid w:val="00A95ED2"/>
    <w:rsid w:val="00AA3DC3"/>
    <w:rsid w:val="00AA590D"/>
    <w:rsid w:val="00AA6660"/>
    <w:rsid w:val="00AB18E0"/>
    <w:rsid w:val="00AB2C36"/>
    <w:rsid w:val="00AB6DDE"/>
    <w:rsid w:val="00AB70B6"/>
    <w:rsid w:val="00AC18C1"/>
    <w:rsid w:val="00AC601C"/>
    <w:rsid w:val="00AD1A86"/>
    <w:rsid w:val="00AD5C46"/>
    <w:rsid w:val="00AE103E"/>
    <w:rsid w:val="00AF0A07"/>
    <w:rsid w:val="00AF4AEC"/>
    <w:rsid w:val="00AF625E"/>
    <w:rsid w:val="00B139BE"/>
    <w:rsid w:val="00B2172B"/>
    <w:rsid w:val="00B34428"/>
    <w:rsid w:val="00B766A2"/>
    <w:rsid w:val="00B917D2"/>
    <w:rsid w:val="00B95DB5"/>
    <w:rsid w:val="00B97EB3"/>
    <w:rsid w:val="00BA241A"/>
    <w:rsid w:val="00BB04AF"/>
    <w:rsid w:val="00BB6EEC"/>
    <w:rsid w:val="00BD52C9"/>
    <w:rsid w:val="00BE6354"/>
    <w:rsid w:val="00BF3EA3"/>
    <w:rsid w:val="00C02D78"/>
    <w:rsid w:val="00C138D1"/>
    <w:rsid w:val="00C23A97"/>
    <w:rsid w:val="00C42DB7"/>
    <w:rsid w:val="00C44269"/>
    <w:rsid w:val="00C5052A"/>
    <w:rsid w:val="00C5131C"/>
    <w:rsid w:val="00C52EBE"/>
    <w:rsid w:val="00C536D5"/>
    <w:rsid w:val="00C5776D"/>
    <w:rsid w:val="00C608AB"/>
    <w:rsid w:val="00C64855"/>
    <w:rsid w:val="00C663F0"/>
    <w:rsid w:val="00C677A9"/>
    <w:rsid w:val="00C70EA7"/>
    <w:rsid w:val="00C72F32"/>
    <w:rsid w:val="00C7433F"/>
    <w:rsid w:val="00C7516E"/>
    <w:rsid w:val="00C75770"/>
    <w:rsid w:val="00C807E7"/>
    <w:rsid w:val="00C80D60"/>
    <w:rsid w:val="00C9673B"/>
    <w:rsid w:val="00CA039B"/>
    <w:rsid w:val="00CA56BB"/>
    <w:rsid w:val="00CB0542"/>
    <w:rsid w:val="00CB45C9"/>
    <w:rsid w:val="00CD4A12"/>
    <w:rsid w:val="00CF1AC7"/>
    <w:rsid w:val="00CF7036"/>
    <w:rsid w:val="00D00B2B"/>
    <w:rsid w:val="00D21B86"/>
    <w:rsid w:val="00D24877"/>
    <w:rsid w:val="00D33502"/>
    <w:rsid w:val="00D63318"/>
    <w:rsid w:val="00D67C95"/>
    <w:rsid w:val="00D7105A"/>
    <w:rsid w:val="00D8250F"/>
    <w:rsid w:val="00D85A07"/>
    <w:rsid w:val="00D86BB3"/>
    <w:rsid w:val="00D95C4C"/>
    <w:rsid w:val="00D964AB"/>
    <w:rsid w:val="00DA36ED"/>
    <w:rsid w:val="00DC2886"/>
    <w:rsid w:val="00DC49CB"/>
    <w:rsid w:val="00DE34F1"/>
    <w:rsid w:val="00DE6160"/>
    <w:rsid w:val="00DF26A4"/>
    <w:rsid w:val="00DF4942"/>
    <w:rsid w:val="00E2125F"/>
    <w:rsid w:val="00E244E1"/>
    <w:rsid w:val="00E31F24"/>
    <w:rsid w:val="00E3741D"/>
    <w:rsid w:val="00E4150C"/>
    <w:rsid w:val="00E4446E"/>
    <w:rsid w:val="00E627B1"/>
    <w:rsid w:val="00E663FE"/>
    <w:rsid w:val="00E70169"/>
    <w:rsid w:val="00E73A05"/>
    <w:rsid w:val="00E85399"/>
    <w:rsid w:val="00E9376C"/>
    <w:rsid w:val="00E95AE2"/>
    <w:rsid w:val="00EA05B5"/>
    <w:rsid w:val="00EA2405"/>
    <w:rsid w:val="00EA335E"/>
    <w:rsid w:val="00EA528C"/>
    <w:rsid w:val="00EA580C"/>
    <w:rsid w:val="00EB6122"/>
    <w:rsid w:val="00EC6F8D"/>
    <w:rsid w:val="00ED3736"/>
    <w:rsid w:val="00ED39B2"/>
    <w:rsid w:val="00ED51C7"/>
    <w:rsid w:val="00ED5C85"/>
    <w:rsid w:val="00EE49F4"/>
    <w:rsid w:val="00EE67E0"/>
    <w:rsid w:val="00EF34E2"/>
    <w:rsid w:val="00F071AF"/>
    <w:rsid w:val="00F30DC6"/>
    <w:rsid w:val="00F31F96"/>
    <w:rsid w:val="00F32C23"/>
    <w:rsid w:val="00F33F84"/>
    <w:rsid w:val="00F415F0"/>
    <w:rsid w:val="00F478FD"/>
    <w:rsid w:val="00F53DE9"/>
    <w:rsid w:val="00F576CB"/>
    <w:rsid w:val="00F628C6"/>
    <w:rsid w:val="00F661E8"/>
    <w:rsid w:val="00F7035D"/>
    <w:rsid w:val="00F70CC5"/>
    <w:rsid w:val="00F71A02"/>
    <w:rsid w:val="00F9217E"/>
    <w:rsid w:val="00FA0D63"/>
    <w:rsid w:val="00FB4BEB"/>
    <w:rsid w:val="00FD1226"/>
    <w:rsid w:val="00FD4BC8"/>
    <w:rsid w:val="00FE2CF0"/>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Titre2">
    <w:name w:val="heading 2"/>
    <w:basedOn w:val="Normal"/>
    <w:next w:val="Normal"/>
    <w:link w:val="Titre2Car"/>
    <w:uiPriority w:val="9"/>
    <w:rsid w:val="00564DDB"/>
    <w:pPr>
      <w:keepNext/>
      <w:spacing w:before="240" w:after="60"/>
      <w:outlineLvl w:val="1"/>
    </w:pPr>
    <w:rPr>
      <w:rFonts w:ascii="Cambria" w:hAnsi="Cambria"/>
      <w:b/>
      <w:bCs/>
      <w:i/>
      <w:iCs/>
      <w:sz w:val="28"/>
      <w:szCs w:val="28"/>
    </w:rPr>
  </w:style>
  <w:style w:type="paragraph" w:styleId="Titre4">
    <w:name w:val="heading 4"/>
    <w:aliases w:val="COM Heading"/>
    <w:basedOn w:val="Normal"/>
    <w:next w:val="Normal"/>
    <w:link w:val="Titre4C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pPr>
  </w:style>
  <w:style w:type="character" w:customStyle="1" w:styleId="En-tteCar">
    <w:name w:val="En-tête Car"/>
    <w:link w:val="En-tte"/>
    <w:rsid w:val="008724E5"/>
    <w:rPr>
      <w:lang w:val="fr-FR"/>
    </w:rPr>
  </w:style>
  <w:style w:type="paragraph" w:styleId="Pieddepage">
    <w:name w:val="footer"/>
    <w:basedOn w:val="Normal"/>
    <w:link w:val="PieddepageCar"/>
    <w:uiPriority w:val="99"/>
    <w:unhideWhenUsed/>
    <w:rsid w:val="008724E5"/>
    <w:pPr>
      <w:tabs>
        <w:tab w:val="center" w:pos="4536"/>
        <w:tab w:val="right" w:pos="9072"/>
      </w:tabs>
    </w:pPr>
  </w:style>
  <w:style w:type="character" w:customStyle="1" w:styleId="PieddepageCar">
    <w:name w:val="Pied de page Car"/>
    <w:link w:val="Pieddepage"/>
    <w:uiPriority w:val="99"/>
    <w:rsid w:val="008724E5"/>
    <w:rPr>
      <w:lang w:val="fr-FR"/>
    </w:rPr>
  </w:style>
  <w:style w:type="paragraph" w:styleId="Textedebulles">
    <w:name w:val="Balloon Text"/>
    <w:basedOn w:val="Normal"/>
    <w:link w:val="TextedebullesCar"/>
    <w:uiPriority w:val="99"/>
    <w:semiHidden/>
    <w:unhideWhenUsed/>
    <w:rsid w:val="008724E5"/>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fr-FR"/>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COM Heading Car"/>
    <w:link w:val="Titre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pPr>
    <w:rPr>
      <w:rFonts w:ascii="Arial" w:eastAsia="Times New Roman" w:hAnsi="Arial" w:cs="Arial"/>
      <w:snapToGrid w:val="0"/>
      <w:sz w:val="22"/>
      <w:szCs w:val="22"/>
      <w:lang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qFormat/>
    <w:rsid w:val="00345CB4"/>
    <w:pPr>
      <w:numPr>
        <w:numId w:val="10"/>
      </w:numPr>
      <w:autoSpaceDE w:val="0"/>
      <w:autoSpaceDN w:val="0"/>
      <w:adjustRightInd w:val="0"/>
      <w:spacing w:after="120"/>
      <w:jc w:val="both"/>
    </w:pPr>
    <w:rPr>
      <w:rFonts w:ascii="Arial" w:eastAsia="SimSun" w:hAnsi="Arial" w:cs="Arial"/>
      <w:sz w:val="22"/>
      <w:szCs w:val="22"/>
      <w:u w:val="single"/>
    </w:rPr>
  </w:style>
  <w:style w:type="table" w:customStyle="1" w:styleId="TableGrid1">
    <w:name w:val="Table Grid1"/>
    <w:basedOn w:val="TableauNormal"/>
    <w:next w:val="Grilledutableau"/>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aliases w:val="List Paragraph (numbered (a)),Lapis Bulleted List,Dot pt,F5 List Paragraph,List Paragraph Char Char Char,Indicator Text,Numbered Para 1,Bullet 1,List Paragraph12,Bullet Points,MAIN CONTENT,List Paragraph1"/>
    <w:basedOn w:val="Normal"/>
    <w:link w:val="ParagraphedelisteCar"/>
    <w:uiPriority w:val="34"/>
    <w:qFormat/>
    <w:rsid w:val="004A2875"/>
    <w:pPr>
      <w:ind w:left="720"/>
      <w:contextualSpacing/>
    </w:pPr>
  </w:style>
  <w:style w:type="paragraph" w:styleId="Notedebasdepage">
    <w:name w:val="footnote text"/>
    <w:basedOn w:val="Normal"/>
    <w:link w:val="NotedebasdepageCar"/>
    <w:uiPriority w:val="99"/>
    <w:semiHidden/>
    <w:unhideWhenUsed/>
    <w:rsid w:val="004313C4"/>
    <w:rPr>
      <w:sz w:val="20"/>
      <w:szCs w:val="20"/>
    </w:rPr>
  </w:style>
  <w:style w:type="character" w:customStyle="1" w:styleId="NotedebasdepageCar">
    <w:name w:val="Note de bas de page Car"/>
    <w:basedOn w:val="Policepardfaut"/>
    <w:link w:val="Notedebasdepage"/>
    <w:uiPriority w:val="99"/>
    <w:semiHidden/>
    <w:rsid w:val="004313C4"/>
    <w:rPr>
      <w:rFonts w:ascii="Times New Roman" w:eastAsia="Times New Roman" w:hAnsi="Times New Roman"/>
    </w:rPr>
  </w:style>
  <w:style w:type="character" w:styleId="Appelnotedebasdep">
    <w:name w:val="footnote reference"/>
    <w:basedOn w:val="Policepardfaut"/>
    <w:uiPriority w:val="99"/>
    <w:semiHidden/>
    <w:unhideWhenUsed/>
    <w:rsid w:val="004313C4"/>
    <w:rPr>
      <w:vertAlign w:val="superscript"/>
    </w:rPr>
  </w:style>
  <w:style w:type="paragraph" w:customStyle="1" w:styleId="GAParaResolution">
    <w:name w:val="GA Para Resolution"/>
    <w:basedOn w:val="Normal"/>
    <w:qFormat/>
    <w:rsid w:val="005C792B"/>
    <w:pPr>
      <w:autoSpaceDE w:val="0"/>
      <w:autoSpaceDN w:val="0"/>
      <w:adjustRightInd w:val="0"/>
      <w:spacing w:after="120"/>
      <w:ind w:left="1287" w:hanging="360"/>
      <w:jc w:val="both"/>
    </w:pPr>
    <w:rPr>
      <w:rFonts w:ascii="Arial" w:eastAsia="SimSun" w:hAnsi="Arial" w:cs="Arial"/>
      <w:sz w:val="22"/>
      <w:szCs w:val="22"/>
      <w:u w:val="single"/>
    </w:rPr>
  </w:style>
  <w:style w:type="character" w:styleId="Lienhypertexte">
    <w:name w:val="Hyperlink"/>
    <w:basedOn w:val="Policepardfaut"/>
    <w:uiPriority w:val="99"/>
    <w:unhideWhenUsed/>
    <w:rsid w:val="009A373B"/>
    <w:rPr>
      <w:color w:val="0000FF" w:themeColor="hyperlink"/>
      <w:u w:val="single"/>
    </w:rPr>
  </w:style>
  <w:style w:type="character" w:customStyle="1" w:styleId="MargeChar">
    <w:name w:val="Marge Char"/>
    <w:link w:val="Marge"/>
    <w:locked/>
    <w:rsid w:val="009A373B"/>
    <w:rPr>
      <w:rFonts w:ascii="Arial" w:eastAsia="Times New Roman" w:hAnsi="Arial"/>
      <w:snapToGrid w:val="0"/>
      <w:sz w:val="22"/>
      <w:szCs w:val="24"/>
      <w:lang w:eastAsia="en-US"/>
    </w:rPr>
  </w:style>
  <w:style w:type="character" w:customStyle="1" w:styleId="ParagraphedelisteCar">
    <w:name w:val="Paragraphe de liste Car"/>
    <w:aliases w:val="List Paragraph (numbered (a)) Car,Lapis Bulleted List Car,Dot pt Car,F5 List Paragraph Car,List Paragraph Char Char Char Car,Indicator Text Car,Numbered Para 1 Car,Bullet 1 Car,List Paragraph12 Car,Bullet Points Car"/>
    <w:link w:val="Paragraphedeliste"/>
    <w:uiPriority w:val="34"/>
    <w:locked/>
    <w:rsid w:val="009A373B"/>
    <w:rPr>
      <w:rFonts w:ascii="Times New Roman" w:eastAsia="Times New Roman" w:hAnsi="Times New Roman"/>
      <w:sz w:val="24"/>
      <w:szCs w:val="24"/>
    </w:rPr>
  </w:style>
  <w:style w:type="paragraph" w:styleId="Rvision">
    <w:name w:val="Revision"/>
    <w:hidden/>
    <w:uiPriority w:val="99"/>
    <w:semiHidden/>
    <w:rsid w:val="00E73A05"/>
    <w:rPr>
      <w:rFonts w:ascii="Times New Roman" w:eastAsia="Times New Roman" w:hAnsi="Times New Roman"/>
      <w:sz w:val="24"/>
      <w:szCs w:val="24"/>
    </w:rPr>
  </w:style>
  <w:style w:type="character" w:styleId="Marquedecommentaire">
    <w:name w:val="annotation reference"/>
    <w:basedOn w:val="Policepardfaut"/>
    <w:uiPriority w:val="99"/>
    <w:semiHidden/>
    <w:unhideWhenUsed/>
    <w:rsid w:val="00E73A05"/>
    <w:rPr>
      <w:sz w:val="16"/>
      <w:szCs w:val="16"/>
    </w:rPr>
  </w:style>
  <w:style w:type="paragraph" w:styleId="Commentaire">
    <w:name w:val="annotation text"/>
    <w:basedOn w:val="Normal"/>
    <w:link w:val="CommentaireCar"/>
    <w:uiPriority w:val="99"/>
    <w:unhideWhenUsed/>
    <w:rsid w:val="00E73A05"/>
    <w:rPr>
      <w:sz w:val="20"/>
      <w:szCs w:val="20"/>
    </w:rPr>
  </w:style>
  <w:style w:type="character" w:customStyle="1" w:styleId="CommentaireCar">
    <w:name w:val="Commentaire Car"/>
    <w:basedOn w:val="Policepardfaut"/>
    <w:link w:val="Commentaire"/>
    <w:uiPriority w:val="99"/>
    <w:rsid w:val="00E73A05"/>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E73A05"/>
    <w:rPr>
      <w:b/>
      <w:bCs/>
    </w:rPr>
  </w:style>
  <w:style w:type="character" w:customStyle="1" w:styleId="ObjetducommentaireCar">
    <w:name w:val="Objet du commentaire Car"/>
    <w:basedOn w:val="CommentaireCar"/>
    <w:link w:val="Objetducommentaire"/>
    <w:uiPriority w:val="99"/>
    <w:semiHidden/>
    <w:rsid w:val="00E73A05"/>
    <w:rPr>
      <w:rFonts w:ascii="Times New Roman" w:eastAsia="Times New Roman" w:hAnsi="Times New Roman"/>
      <w:b/>
      <w:bCs/>
    </w:rPr>
  </w:style>
  <w:style w:type="character" w:styleId="Mentionnonrsolue">
    <w:name w:val="Unresolved Mention"/>
    <w:basedOn w:val="Policepardfaut"/>
    <w:uiPriority w:val="99"/>
    <w:semiHidden/>
    <w:unhideWhenUsed/>
    <w:rsid w:val="005C5423"/>
    <w:rPr>
      <w:color w:val="605E5C"/>
      <w:shd w:val="clear" w:color="auto" w:fill="E1DFDD"/>
    </w:rPr>
  </w:style>
  <w:style w:type="character" w:styleId="Lienhypertextesuivivisit">
    <w:name w:val="FollowedHyperlink"/>
    <w:basedOn w:val="Policepardfaut"/>
    <w:uiPriority w:val="99"/>
    <w:semiHidden/>
    <w:unhideWhenUsed/>
    <w:rsid w:val="007E1D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468216">
      <w:bodyDiv w:val="1"/>
      <w:marLeft w:val="0"/>
      <w:marRight w:val="0"/>
      <w:marTop w:val="0"/>
      <w:marBottom w:val="0"/>
      <w:divBdr>
        <w:top w:val="none" w:sz="0" w:space="0" w:color="auto"/>
        <w:left w:val="none" w:sz="0" w:space="0" w:color="auto"/>
        <w:bottom w:val="none" w:sz="0" w:space="0" w:color="auto"/>
        <w:right w:val="none" w:sz="0" w:space="0" w:color="auto"/>
      </w:divBdr>
    </w:div>
    <w:div w:id="718823553">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195580815">
      <w:bodyDiv w:val="1"/>
      <w:marLeft w:val="0"/>
      <w:marRight w:val="0"/>
      <w:marTop w:val="0"/>
      <w:marBottom w:val="0"/>
      <w:divBdr>
        <w:top w:val="none" w:sz="0" w:space="0" w:color="auto"/>
        <w:left w:val="none" w:sz="0" w:space="0" w:color="auto"/>
        <w:bottom w:val="none" w:sz="0" w:space="0" w:color="auto"/>
        <w:right w:val="none" w:sz="0" w:space="0" w:color="auto"/>
      </w:divBdr>
    </w:div>
    <w:div w:id="1494683761">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626933593">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fr/decisions/6.GA/5" TargetMode="External"/><Relationship Id="rId13" Type="http://schemas.openxmlformats.org/officeDocument/2006/relationships/hyperlink" Target="https://ich.unesco.org/fr/decisions/9.GA/10" TargetMode="External"/><Relationship Id="rId18" Type="http://schemas.openxmlformats.org/officeDocument/2006/relationships/hyperlink" Target="https://ich.unesco.org/fr/decisions/17.COM/13" TargetMode="External"/><Relationship Id="rId26" Type="http://schemas.openxmlformats.org/officeDocument/2006/relationships/hyperlink" Target="https://ich.unesco.org/fr/Decisions/16.COM/12"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ich.unesco.org/fr/decisions/18.COM/12" TargetMode="External"/><Relationship Id="rId34" Type="http://schemas.openxmlformats.org/officeDocument/2006/relationships/hyperlink" Target="https://ich.unesco.org/fr/Decisions/9.GA/9"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ch.unesco.org/fr/decisions/18.COM/7.C" TargetMode="External"/><Relationship Id="rId17" Type="http://schemas.openxmlformats.org/officeDocument/2006/relationships/hyperlink" Target="https://ich.unesco.org/fr/decisions/18.COM/5" TargetMode="External"/><Relationship Id="rId25" Type="http://schemas.openxmlformats.org/officeDocument/2006/relationships/hyperlink" Target="https://ich.unesco.org/fr/Decisions/12.COM/6" TargetMode="External"/><Relationship Id="rId33" Type="http://schemas.openxmlformats.org/officeDocument/2006/relationships/hyperlink" Target="https://ich.unesco.org/fr/decisions/5.EXT.COM/5" TargetMode="External"/><Relationship Id="rId38" Type="http://schemas.openxmlformats.org/officeDocument/2006/relationships/hyperlink" Target="https://ich.unesco.org/doc/src/LHE-22-17.COM-8-FR.docx" TargetMode="External"/><Relationship Id="rId2" Type="http://schemas.openxmlformats.org/officeDocument/2006/relationships/numbering" Target="numbering.xml"/><Relationship Id="rId16" Type="http://schemas.openxmlformats.org/officeDocument/2006/relationships/hyperlink" Target="https://ich.unesco.org/fr/decisions/17.COM/5" TargetMode="External"/><Relationship Id="rId20" Type="http://schemas.openxmlformats.org/officeDocument/2006/relationships/hyperlink" Target="https://ich.unesco.org/fr/decisions/17.COM/13" TargetMode="External"/><Relationship Id="rId29" Type="http://schemas.openxmlformats.org/officeDocument/2006/relationships/hyperlink" Target="https://ich.unesco.org/fr/decisions/18.COM/7.A"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fr/decisions/6.GA/5" TargetMode="External"/><Relationship Id="rId24" Type="http://schemas.openxmlformats.org/officeDocument/2006/relationships/hyperlink" Target="https://ich.unesco.org/doc/src/LHE-23-18.COM-14_FR.docx" TargetMode="External"/><Relationship Id="rId32" Type="http://schemas.openxmlformats.org/officeDocument/2006/relationships/hyperlink" Target="https://ich.unesco.org/fr/decisions/18.COM/7.C" TargetMode="External"/><Relationship Id="rId37" Type="http://schemas.openxmlformats.org/officeDocument/2006/relationships/hyperlink" Target="https://ich.unesco.org/fr/decisions/17.COM/8.A"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ich.unesco.org/fr/decisions/18.COM/11" TargetMode="External"/><Relationship Id="rId23" Type="http://schemas.openxmlformats.org/officeDocument/2006/relationships/hyperlink" Target="https://ich.unesco.org/fr/Decisions/14.COM/7" TargetMode="External"/><Relationship Id="rId28" Type="http://schemas.openxmlformats.org/officeDocument/2006/relationships/hyperlink" Target="https://ich.unesco.org/fr/Decisions/17.COM/6.a" TargetMode="External"/><Relationship Id="rId36" Type="http://schemas.openxmlformats.org/officeDocument/2006/relationships/hyperlink" Target="https://ich.unesco.org/fr/Decisions/5.EXT.COM/4" TargetMode="External"/><Relationship Id="rId10" Type="http://schemas.openxmlformats.org/officeDocument/2006/relationships/hyperlink" Target="https://ich.unesco.org/doc/src/LHE-24-10.GA-INF.8_FR.docx" TargetMode="External"/><Relationship Id="rId19" Type="http://schemas.openxmlformats.org/officeDocument/2006/relationships/hyperlink" Target="https://ich.unesco.org/fr/decisions/18.COM/12" TargetMode="External"/><Relationship Id="rId31" Type="http://schemas.openxmlformats.org/officeDocument/2006/relationships/hyperlink" Target="https://ich.unesco.org/fr/decisions/18.COM/7.B" TargetMode="External"/><Relationship Id="rId4" Type="http://schemas.openxmlformats.org/officeDocument/2006/relationships/settings" Target="settings.xml"/><Relationship Id="rId9" Type="http://schemas.openxmlformats.org/officeDocument/2006/relationships/hyperlink" Target="https://ich.unesco.org/doc/src/LHE-24-10.GA-6_FR.docx" TargetMode="External"/><Relationship Id="rId14" Type="http://schemas.openxmlformats.org/officeDocument/2006/relationships/hyperlink" Target="https://ich.unesco.org/fr/Decisions/17.COM/10" TargetMode="External"/><Relationship Id="rId22" Type="http://schemas.openxmlformats.org/officeDocument/2006/relationships/hyperlink" Target="https://ich.unesco.org/fr/decisions/18.COM/14" TargetMode="External"/><Relationship Id="rId27" Type="http://schemas.openxmlformats.org/officeDocument/2006/relationships/hyperlink" Target="https://ich.unesco.org/doc/src/LHE-23-18.COM-INF.14_FR.docx" TargetMode="External"/><Relationship Id="rId30" Type="http://schemas.openxmlformats.org/officeDocument/2006/relationships/hyperlink" Target="https://ich.unesco.org/fr/decisions/17.COM/6.B" TargetMode="External"/><Relationship Id="rId35" Type="http://schemas.openxmlformats.org/officeDocument/2006/relationships/hyperlink" Target="https://ich.unesco.org/fr/Decisions/16.COM/14" TargetMode="External"/><Relationship Id="rId43"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Metadata/LabelInfo.xml><?xml version="1.0" encoding="utf-8"?>
<clbl:labelList xmlns:clbl="http://schemas.microsoft.com/office/2020/mipLabelMetadata">
  <clbl:label id="{11904f23-f0db-4cdc-96f7-390bd55fcee8}" enabled="0" method="" siteId="{11904f23-f0db-4cdc-96f7-390bd55fcee8}" removed="1"/>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3609</Words>
  <Characters>19852</Characters>
  <Application>Microsoft Office Word</Application>
  <DocSecurity>0</DocSecurity>
  <Lines>165</Lines>
  <Paragraphs>46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2024-05-07T12:43:00Z</dcterms:created>
  <dcterms:modified xsi:type="dcterms:W3CDTF">2024-05-13T20:11:00Z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12a407d17a10f107ac422350a04e29ffe0571041c851a5438245e07e71e5477f</vt:lpwstr>
  </property>
</Properties>
</file>