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E7D5" w14:textId="62D6A72C" w:rsidR="002B75A6" w:rsidRPr="00BB6EEC" w:rsidRDefault="00C15C1C" w:rsidP="0014558D">
      <w:pPr>
        <w:tabs>
          <w:tab w:val="right" w:pos="3259"/>
        </w:tabs>
        <w:bidi/>
        <w:spacing w:before="1440"/>
        <w:rPr>
          <w:rFonts w:ascii="Arial" w:hAnsi="Arial" w:cs="Arial"/>
          <w:b/>
          <w:sz w:val="22"/>
          <w:szCs w:val="22"/>
          <w:rtl/>
        </w:rPr>
      </w:pPr>
      <w:r>
        <w:rPr>
          <w:rFonts w:ascii="Arial" w:hAnsi="Arial"/>
          <w:b/>
          <w:bCs/>
          <w:sz w:val="22"/>
          <w:szCs w:val="22"/>
        </w:rPr>
        <w:t xml:space="preserve"> </w:t>
      </w:r>
      <w:r>
        <w:rPr>
          <w:rFonts w:ascii="Arial" w:hAnsi="Arial"/>
          <w:b/>
          <w:bCs/>
          <w:sz w:val="22"/>
          <w:szCs w:val="22"/>
        </w:rPr>
        <w:tab/>
      </w:r>
      <w:r>
        <w:rPr>
          <w:rFonts w:ascii="Arial" w:hAnsi="Arial"/>
          <w:b/>
          <w:bCs/>
          <w:sz w:val="22"/>
          <w:szCs w:val="22"/>
        </w:rPr>
        <w:tab/>
      </w:r>
      <w:r w:rsidR="002B75A6">
        <w:rPr>
          <w:rFonts w:ascii="Arial" w:hAnsi="Arial" w:hint="cs"/>
          <w:b/>
          <w:bCs/>
          <w:sz w:val="22"/>
          <w:szCs w:val="22"/>
          <w:rtl/>
        </w:rPr>
        <w:t>اتفاقية صون التراث الثقافي غير المادي</w:t>
      </w:r>
    </w:p>
    <w:p w14:paraId="6255D8FA" w14:textId="77777777" w:rsidR="002B75A6" w:rsidRPr="00BB6EEC" w:rsidRDefault="002B75A6" w:rsidP="002B75A6">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1271DFBE" w14:textId="77777777" w:rsidR="002B75A6" w:rsidRPr="00BB6EEC" w:rsidRDefault="002B75A6" w:rsidP="002B75A6">
      <w:pPr>
        <w:bidi/>
        <w:spacing w:before="840"/>
        <w:jc w:val="center"/>
        <w:rPr>
          <w:rFonts w:ascii="Arial" w:hAnsi="Arial" w:cs="Arial"/>
          <w:b/>
          <w:sz w:val="22"/>
          <w:szCs w:val="22"/>
          <w:rtl/>
        </w:rPr>
      </w:pPr>
      <w:r>
        <w:rPr>
          <w:rFonts w:ascii="Arial" w:hAnsi="Arial" w:hint="cs"/>
          <w:b/>
          <w:bCs/>
          <w:sz w:val="22"/>
          <w:szCs w:val="22"/>
          <w:rtl/>
        </w:rPr>
        <w:t>الدورة العاشرة</w:t>
      </w:r>
    </w:p>
    <w:p w14:paraId="35A1253C" w14:textId="02C7E5F4" w:rsidR="002B75A6" w:rsidRPr="00BB6EEC" w:rsidRDefault="002B75A6" w:rsidP="002B75A6">
      <w:pPr>
        <w:bidi/>
        <w:jc w:val="center"/>
        <w:rPr>
          <w:rFonts w:ascii="Arial" w:hAnsi="Arial" w:cs="Arial"/>
          <w:b/>
          <w:sz w:val="22"/>
          <w:szCs w:val="22"/>
          <w:rtl/>
        </w:rPr>
      </w:pPr>
      <w:r>
        <w:rPr>
          <w:rFonts w:ascii="Arial" w:hAnsi="Arial" w:hint="cs"/>
          <w:b/>
          <w:bCs/>
          <w:sz w:val="22"/>
          <w:szCs w:val="22"/>
          <w:rtl/>
        </w:rPr>
        <w:t xml:space="preserve">مقر اليونسكو، </w:t>
      </w:r>
      <w:r w:rsidR="009C4A60" w:rsidRPr="00952F22">
        <w:rPr>
          <w:rFonts w:ascii="Arial" w:hAnsi="Arial"/>
          <w:b/>
          <w:bCs/>
          <w:sz w:val="22"/>
          <w:szCs w:val="22"/>
          <w:rtl/>
        </w:rPr>
        <w:t>القاعة</w:t>
      </w:r>
      <w:r w:rsidR="009C4A60" w:rsidDel="009C4A60">
        <w:rPr>
          <w:rFonts w:ascii="Arial" w:hAnsi="Arial" w:hint="cs"/>
          <w:b/>
          <w:bCs/>
          <w:sz w:val="22"/>
          <w:szCs w:val="22"/>
          <w:rtl/>
        </w:rPr>
        <w:t xml:space="preserve"> </w:t>
      </w:r>
      <w:r>
        <w:rPr>
          <w:rFonts w:ascii="Arial" w:hAnsi="Arial" w:hint="cs"/>
          <w:b/>
          <w:bCs/>
          <w:sz w:val="22"/>
          <w:szCs w:val="22"/>
          <w:rtl/>
        </w:rPr>
        <w:t>1</w:t>
      </w:r>
    </w:p>
    <w:p w14:paraId="021E44E5" w14:textId="6C65D6CD" w:rsidR="002B75A6" w:rsidRPr="00BB6EEC" w:rsidRDefault="002B75A6" w:rsidP="002B75A6">
      <w:pPr>
        <w:bidi/>
        <w:jc w:val="center"/>
        <w:rPr>
          <w:rFonts w:ascii="Arial" w:hAnsi="Arial" w:cs="Arial"/>
          <w:b/>
          <w:sz w:val="22"/>
          <w:szCs w:val="22"/>
          <w:rtl/>
        </w:rPr>
      </w:pPr>
      <w:r>
        <w:rPr>
          <w:rFonts w:ascii="Arial" w:hAnsi="Arial" w:hint="cs"/>
          <w:b/>
          <w:bCs/>
          <w:sz w:val="22"/>
          <w:szCs w:val="22"/>
          <w:rtl/>
        </w:rPr>
        <w:t xml:space="preserve">11 إلى </w:t>
      </w:r>
      <w:r w:rsidR="00C15C1C">
        <w:rPr>
          <w:rFonts w:ascii="Arial" w:hAnsi="Arial"/>
          <w:b/>
          <w:bCs/>
          <w:sz w:val="22"/>
          <w:szCs w:val="22"/>
        </w:rPr>
        <w:t>12</w:t>
      </w:r>
      <w:r w:rsidR="00C15C1C">
        <w:rPr>
          <w:rFonts w:ascii="Arial" w:hAnsi="Arial" w:hint="cs"/>
          <w:b/>
          <w:bCs/>
          <w:sz w:val="22"/>
          <w:szCs w:val="22"/>
          <w:rtl/>
        </w:rPr>
        <w:t xml:space="preserve"> </w:t>
      </w:r>
      <w:r>
        <w:rPr>
          <w:rFonts w:ascii="Arial" w:hAnsi="Arial" w:hint="cs"/>
          <w:b/>
          <w:bCs/>
          <w:sz w:val="22"/>
          <w:szCs w:val="22"/>
          <w:rtl/>
        </w:rPr>
        <w:t>حزيران/يونيو 2024</w:t>
      </w:r>
    </w:p>
    <w:p w14:paraId="5E45AD5A" w14:textId="77777777" w:rsidR="002B75A6" w:rsidRPr="00BB6EEC" w:rsidRDefault="002B75A6" w:rsidP="002B75A6">
      <w:pPr>
        <w:pStyle w:val="Sansinterligne2"/>
        <w:bidi/>
        <w:spacing w:before="1200"/>
        <w:jc w:val="center"/>
        <w:rPr>
          <w:rFonts w:ascii="Arial" w:hAnsi="Arial" w:cs="Arial"/>
          <w:b/>
          <w:sz w:val="22"/>
          <w:szCs w:val="22"/>
          <w:rtl/>
        </w:rPr>
      </w:pPr>
      <w:r>
        <w:rPr>
          <w:rFonts w:ascii="Arial" w:hAnsi="Arial" w:hint="cs"/>
          <w:b/>
          <w:bCs/>
          <w:sz w:val="22"/>
          <w:szCs w:val="22"/>
          <w:u w:val="single"/>
          <w:rtl/>
        </w:rPr>
        <w:t>البند الخامس من جدول الأعمال المؤقت</w:t>
      </w:r>
      <w:r>
        <w:rPr>
          <w:rFonts w:ascii="Arial" w:hAnsi="Arial" w:hint="cs"/>
          <w:b/>
          <w:bCs/>
          <w:sz w:val="22"/>
          <w:szCs w:val="22"/>
          <w:rtl/>
        </w:rPr>
        <w:t>:</w:t>
      </w:r>
    </w:p>
    <w:p w14:paraId="4E91B326" w14:textId="77777777" w:rsidR="009C4A60" w:rsidRDefault="002B75A6" w:rsidP="0014558D">
      <w:pPr>
        <w:pStyle w:val="Sansinterligne2"/>
        <w:bidi/>
        <w:jc w:val="center"/>
        <w:rPr>
          <w:rFonts w:ascii="Arial" w:hAnsi="Arial"/>
          <w:b/>
          <w:bCs/>
          <w:sz w:val="22"/>
          <w:szCs w:val="22"/>
        </w:rPr>
      </w:pPr>
      <w:r>
        <w:rPr>
          <w:rFonts w:ascii="Arial" w:hAnsi="Arial" w:hint="cs"/>
          <w:b/>
          <w:bCs/>
          <w:sz w:val="22"/>
          <w:szCs w:val="22"/>
          <w:rtl/>
        </w:rPr>
        <w:t>تقرير اللجنة إلى الجمعية العامة</w:t>
      </w:r>
    </w:p>
    <w:p w14:paraId="32183D53" w14:textId="787228BC" w:rsidR="002B75A6" w:rsidRPr="00BB6EEC" w:rsidRDefault="002B75A6" w:rsidP="009C4A60">
      <w:pPr>
        <w:pStyle w:val="Sansinterligne2"/>
        <w:bidi/>
        <w:spacing w:after="960"/>
        <w:jc w:val="center"/>
        <w:rPr>
          <w:rFonts w:ascii="Arial" w:hAnsi="Arial" w:cs="Arial"/>
          <w:bCs/>
          <w:sz w:val="22"/>
          <w:szCs w:val="22"/>
          <w:rtl/>
        </w:rPr>
      </w:pPr>
      <w:r>
        <w:rPr>
          <w:rFonts w:ascii="Arial" w:hAnsi="Arial" w:hint="cs"/>
          <w:b/>
          <w:bCs/>
          <w:sz w:val="22"/>
          <w:szCs w:val="22"/>
          <w:rtl/>
        </w:rPr>
        <w:t xml:space="preserve"> (كانون الثاني/يناير 2022 إلى كانون الأول/ديسمبر 2023)</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B75A6" w:rsidRPr="009A373B" w14:paraId="06F236C5" w14:textId="77777777" w:rsidTr="00E85399">
        <w:trPr>
          <w:jc w:val="center"/>
        </w:trPr>
        <w:tc>
          <w:tcPr>
            <w:tcW w:w="5670" w:type="dxa"/>
            <w:vAlign w:val="center"/>
          </w:tcPr>
          <w:p w14:paraId="66F56BA5" w14:textId="77777777" w:rsidR="002B75A6" w:rsidRPr="00BB6EEC" w:rsidRDefault="002B75A6" w:rsidP="00E85399">
            <w:pPr>
              <w:pStyle w:val="Sansinterligne1"/>
              <w:bidi/>
              <w:spacing w:before="200" w:after="200"/>
              <w:jc w:val="center"/>
              <w:rPr>
                <w:rFonts w:ascii="Arial" w:hAnsi="Arial" w:cs="Arial"/>
                <w:b/>
                <w:sz w:val="22"/>
                <w:szCs w:val="22"/>
                <w:rtl/>
              </w:rPr>
            </w:pPr>
            <w:r>
              <w:rPr>
                <w:rFonts w:ascii="Arial" w:hAnsi="Arial" w:hint="cs"/>
                <w:b/>
                <w:bCs/>
                <w:sz w:val="22"/>
                <w:szCs w:val="22"/>
                <w:rtl/>
              </w:rPr>
              <w:t>الملخص</w:t>
            </w:r>
          </w:p>
          <w:p w14:paraId="702F989E" w14:textId="19EE5DCD" w:rsidR="002B75A6" w:rsidRPr="00ED3736" w:rsidRDefault="002B75A6" w:rsidP="00E85399">
            <w:pPr>
              <w:pStyle w:val="Sansinterligne1"/>
              <w:bidi/>
              <w:jc w:val="both"/>
              <w:rPr>
                <w:rFonts w:ascii="Arial" w:hAnsi="Arial" w:cs="Arial"/>
                <w:bCs/>
                <w:sz w:val="22"/>
                <w:szCs w:val="22"/>
                <w:rtl/>
              </w:rPr>
            </w:pPr>
            <w:r>
              <w:rPr>
                <w:rFonts w:ascii="Arial" w:hAnsi="Arial" w:hint="cs"/>
                <w:sz w:val="22"/>
                <w:szCs w:val="22"/>
                <w:rtl/>
              </w:rPr>
              <w:t xml:space="preserve">تنص المادة 30.1 من اتفاقية عام 2003 على أن "ترفع اللجنة </w:t>
            </w:r>
            <w:r w:rsidR="009C4A60" w:rsidRPr="00952F22">
              <w:rPr>
                <w:rFonts w:ascii="Arial" w:hAnsi="Arial"/>
                <w:sz w:val="22"/>
                <w:szCs w:val="22"/>
                <w:rtl/>
              </w:rPr>
              <w:t>إلى كل دورة من دورات الجمعية العامة تقريراً تعده بالاستناد إلى أنشطتها وإلى</w:t>
            </w:r>
            <w:r w:rsidR="009C4A60" w:rsidRPr="00952F22">
              <w:rPr>
                <w:rFonts w:ascii="Arial" w:hAnsi="Arial"/>
                <w:sz w:val="22"/>
                <w:szCs w:val="22"/>
              </w:rPr>
              <w:t xml:space="preserve"> </w:t>
            </w:r>
            <w:r w:rsidR="009C4A60" w:rsidRPr="00952F22">
              <w:rPr>
                <w:rFonts w:ascii="Arial" w:hAnsi="Arial"/>
                <w:sz w:val="22"/>
                <w:szCs w:val="22"/>
                <w:rtl/>
              </w:rPr>
              <w:t>تقارير</w:t>
            </w:r>
            <w:r w:rsidR="009C4A60" w:rsidRPr="00952F22">
              <w:rPr>
                <w:rFonts w:ascii="Arial" w:hAnsi="Arial"/>
                <w:sz w:val="22"/>
                <w:szCs w:val="22"/>
              </w:rPr>
              <w:t xml:space="preserve"> </w:t>
            </w:r>
            <w:r w:rsidR="009C4A60" w:rsidRPr="00952F22">
              <w:rPr>
                <w:rFonts w:ascii="Arial" w:hAnsi="Arial"/>
                <w:sz w:val="22"/>
                <w:szCs w:val="22"/>
                <w:rtl/>
              </w:rPr>
              <w:t>الدول</w:t>
            </w:r>
            <w:r w:rsidR="009C4A60" w:rsidRPr="00952F22">
              <w:rPr>
                <w:rFonts w:ascii="Arial" w:hAnsi="Arial"/>
                <w:sz w:val="22"/>
                <w:szCs w:val="22"/>
              </w:rPr>
              <w:t xml:space="preserve"> </w:t>
            </w:r>
            <w:r w:rsidR="009C4A60" w:rsidRPr="00952F22">
              <w:rPr>
                <w:rFonts w:ascii="Arial" w:hAnsi="Arial"/>
                <w:sz w:val="22"/>
                <w:szCs w:val="22"/>
                <w:rtl/>
              </w:rPr>
              <w:t xml:space="preserve">الأطراف </w:t>
            </w:r>
            <w:r>
              <w:rPr>
                <w:rFonts w:ascii="Arial" w:hAnsi="Arial" w:hint="cs"/>
                <w:sz w:val="22"/>
                <w:szCs w:val="22"/>
                <w:rtl/>
              </w:rPr>
              <w:t>[...]". تحتوي هذه الوثيقة على تقرير عن أنشطة اللجنة في الفترة من كانون الثاني/يناير 2022 إلى كانون الأول/ديسمبر 2023، بما يشمل مراجعة تقارير الدول الأطراف المعتمدة في الدورتين السابعة عشرة والثامنة عشرة للجنة.</w:t>
            </w:r>
          </w:p>
          <w:p w14:paraId="6CFED304" w14:textId="77777777" w:rsidR="002B75A6" w:rsidRPr="00BB6EEC" w:rsidRDefault="002B75A6" w:rsidP="00E85399">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4</w:t>
            </w:r>
          </w:p>
        </w:tc>
      </w:tr>
    </w:tbl>
    <w:p w14:paraId="152BCFDA" w14:textId="77777777" w:rsidR="002B75A6" w:rsidRPr="00BB6EEC" w:rsidRDefault="002B75A6" w:rsidP="002B75A6">
      <w:pPr>
        <w:pStyle w:val="Paragraphedeliste"/>
        <w:keepLines/>
        <w:numPr>
          <w:ilvl w:val="0"/>
          <w:numId w:val="13"/>
        </w:numPr>
        <w:bidi/>
        <w:spacing w:after="240"/>
        <w:ind w:left="567" w:hanging="567"/>
        <w:contextualSpacing w:val="0"/>
        <w:rPr>
          <w:rFonts w:ascii="Arial" w:hAnsi="Arial" w:cs="Arial"/>
          <w:b/>
          <w:snapToGrid w:val="0"/>
          <w:sz w:val="22"/>
          <w:szCs w:val="22"/>
          <w:rtl/>
        </w:rPr>
      </w:pPr>
      <w:r>
        <w:rPr>
          <w:rFonts w:hint="cs"/>
          <w:rtl/>
        </w:rPr>
        <w:br w:type="page"/>
      </w:r>
    </w:p>
    <w:p w14:paraId="4CD19F15" w14:textId="68914787" w:rsidR="002B75A6" w:rsidRPr="00BB6EEC" w:rsidRDefault="002B75A6" w:rsidP="002B75A6">
      <w:pPr>
        <w:pStyle w:val="COMPara"/>
        <w:numPr>
          <w:ilvl w:val="0"/>
          <w:numId w:val="0"/>
        </w:numPr>
        <w:bidi/>
        <w:spacing w:before="240"/>
        <w:jc w:val="both"/>
        <w:rPr>
          <w:b/>
          <w:bCs/>
          <w:rtl/>
        </w:rPr>
      </w:pPr>
      <w:bookmarkStart w:id="0" w:name="_Hlk124351255"/>
      <w:r>
        <w:rPr>
          <w:rFonts w:hint="cs"/>
          <w:b/>
          <w:bCs/>
          <w:rtl/>
        </w:rPr>
        <w:lastRenderedPageBreak/>
        <w:t>ا</w:t>
      </w:r>
      <w:r w:rsidR="005A2C21">
        <w:rPr>
          <w:rFonts w:hint="cs"/>
          <w:b/>
          <w:bCs/>
          <w:rtl/>
        </w:rPr>
        <w:t>لخلفية</w:t>
      </w:r>
    </w:p>
    <w:bookmarkEnd w:id="0"/>
    <w:p w14:paraId="20D0CE02" w14:textId="21E73EC5" w:rsidR="002B75A6" w:rsidRPr="00BB6EEC" w:rsidRDefault="002B75A6" w:rsidP="002B75A6">
      <w:pPr>
        <w:pStyle w:val="COMPara"/>
        <w:bidi/>
        <w:ind w:left="567" w:hanging="567"/>
        <w:jc w:val="both"/>
        <w:rPr>
          <w:rtl/>
        </w:rPr>
      </w:pPr>
      <w:r>
        <w:rPr>
          <w:rFonts w:hint="cs"/>
          <w:rtl/>
        </w:rPr>
        <w:t xml:space="preserve">تنص المادة 30.1 من اتفاقية صون التراث الثقافي غير المادي لعام 2003 على أن "ترفع اللجنة </w:t>
      </w:r>
      <w:r w:rsidR="008506C5" w:rsidRPr="0000662E">
        <w:rPr>
          <w:rFonts w:asciiTheme="majorBidi" w:hAnsiTheme="majorBidi" w:cstheme="majorBidi"/>
          <w:rtl/>
        </w:rPr>
        <w:t>إلى كل دورة من دورات الجمعية العامة تقريراً تعده بالاستناد إلى أنشطتها وإلى</w:t>
      </w:r>
      <w:r w:rsidR="008506C5" w:rsidRPr="0000662E">
        <w:rPr>
          <w:rFonts w:asciiTheme="majorBidi" w:hAnsiTheme="majorBidi" w:cstheme="majorBidi"/>
        </w:rPr>
        <w:t xml:space="preserve"> </w:t>
      </w:r>
      <w:r w:rsidR="008506C5" w:rsidRPr="0000662E">
        <w:rPr>
          <w:rFonts w:asciiTheme="majorBidi" w:hAnsiTheme="majorBidi" w:cstheme="majorBidi"/>
          <w:rtl/>
        </w:rPr>
        <w:t>تقارير</w:t>
      </w:r>
      <w:r w:rsidR="008506C5" w:rsidRPr="0000662E">
        <w:rPr>
          <w:rFonts w:asciiTheme="majorBidi" w:hAnsiTheme="majorBidi" w:cstheme="majorBidi"/>
        </w:rPr>
        <w:t xml:space="preserve"> </w:t>
      </w:r>
      <w:r w:rsidR="008506C5" w:rsidRPr="0000662E">
        <w:rPr>
          <w:rFonts w:asciiTheme="majorBidi" w:hAnsiTheme="majorBidi" w:cstheme="majorBidi"/>
          <w:rtl/>
        </w:rPr>
        <w:t>الدول</w:t>
      </w:r>
      <w:r w:rsidR="008506C5" w:rsidRPr="0000662E">
        <w:rPr>
          <w:rFonts w:asciiTheme="majorBidi" w:hAnsiTheme="majorBidi" w:cstheme="majorBidi"/>
        </w:rPr>
        <w:t xml:space="preserve"> </w:t>
      </w:r>
      <w:r w:rsidR="008506C5" w:rsidRPr="0000662E">
        <w:rPr>
          <w:rFonts w:asciiTheme="majorBidi" w:hAnsiTheme="majorBidi" w:cstheme="majorBidi"/>
          <w:rtl/>
        </w:rPr>
        <w:t xml:space="preserve">الأطراف </w:t>
      </w:r>
      <w:r>
        <w:rPr>
          <w:rFonts w:hint="cs"/>
          <w:rtl/>
        </w:rPr>
        <w:t>[...]". وتستطرد المادة 30.2 للإشارة إلى "</w:t>
      </w:r>
      <w:r w:rsidR="00C8136C" w:rsidRPr="0000662E">
        <w:rPr>
          <w:rFonts w:asciiTheme="majorBidi" w:hAnsiTheme="majorBidi" w:cstheme="majorBidi"/>
          <w:rtl/>
        </w:rPr>
        <w:t>...ويعرض</w:t>
      </w:r>
      <w:r w:rsidR="00C8136C" w:rsidRPr="0000662E">
        <w:rPr>
          <w:rFonts w:asciiTheme="majorBidi" w:hAnsiTheme="majorBidi" w:cstheme="majorBidi"/>
        </w:rPr>
        <w:t xml:space="preserve"> </w:t>
      </w:r>
      <w:r w:rsidR="00C8136C" w:rsidRPr="0000662E">
        <w:rPr>
          <w:rFonts w:asciiTheme="majorBidi" w:hAnsiTheme="majorBidi" w:cstheme="majorBidi"/>
          <w:rtl/>
        </w:rPr>
        <w:t>هذا التقرير على المؤتمر العام لليونسكو</w:t>
      </w:r>
      <w:r>
        <w:rPr>
          <w:rFonts w:hint="cs"/>
          <w:rtl/>
        </w:rPr>
        <w:t>". وتمتد الفترة التي يغطيها هذا التقرير من كانون الثاني/يناير 2022 إلى كانون الأول/ديسمبر 2023.</w:t>
      </w:r>
    </w:p>
    <w:p w14:paraId="057BF35A" w14:textId="07B12AB5" w:rsidR="002B75A6" w:rsidRPr="00CD4A12" w:rsidRDefault="002B75A6" w:rsidP="002B75A6">
      <w:pPr>
        <w:pStyle w:val="COMPara"/>
        <w:bidi/>
        <w:ind w:left="567" w:hanging="567"/>
        <w:jc w:val="both"/>
        <w:rPr>
          <w:rtl/>
        </w:rPr>
      </w:pPr>
      <w:r>
        <w:rPr>
          <w:rFonts w:hint="cs"/>
          <w:rtl/>
        </w:rPr>
        <w:t xml:space="preserve">وتتبع فترة التقرير هذه القرار </w:t>
      </w:r>
      <w:hyperlink r:id="rId8" w:history="1">
        <w:r w:rsidR="008506C5" w:rsidRPr="0014558D">
          <w:rPr>
            <w:rStyle w:val="Lienhypertexte"/>
            <w:rFonts w:asciiTheme="minorBidi" w:hAnsiTheme="minorBidi" w:cstheme="minorBidi"/>
          </w:rPr>
          <w:t>6.GA 5</w:t>
        </w:r>
      </w:hyperlink>
      <w:r>
        <w:rPr>
          <w:rFonts w:hint="cs"/>
          <w:rtl/>
        </w:rPr>
        <w:t>، حيث طلبت الجمعية العامة في عام 2016 أن تعتمد اللجنة سنة تقويمية لفترة السنتين لإعداد التقارير المستقبلية. وفي هذا الصدد، يرد تقرير اللجنة في مرفق هذه الوثيقة. ويتضمن التقرير أيضاً استعراضاً للتقارير الوطنية المقدمة من الدول الأطراف، بالمعنى المقصود في المادة 29 من الاتفاقية، والتي اعتمدتها اللجنة خلال دورتيها السابعة عشرة والثامنة عشرة.</w:t>
      </w:r>
    </w:p>
    <w:p w14:paraId="7F338840" w14:textId="49148D3B" w:rsidR="002B75A6" w:rsidRPr="00CD4A12" w:rsidRDefault="002B75A6" w:rsidP="002B75A6">
      <w:pPr>
        <w:pStyle w:val="COMPara"/>
        <w:bidi/>
        <w:ind w:left="567" w:hanging="567"/>
        <w:jc w:val="both"/>
        <w:rPr>
          <w:rtl/>
        </w:rPr>
      </w:pPr>
      <w:r>
        <w:rPr>
          <w:rFonts w:hint="cs"/>
          <w:rtl/>
        </w:rPr>
        <w:t xml:space="preserve">بالإضافة إلى ذلك، ينبغي قراءة هذا التقرير بالاقتران مع تقرير الأمانة عن أنشطتها (الوثيقة </w:t>
      </w:r>
      <w:hyperlink r:id="rId9" w:history="1">
        <w:r>
          <w:rPr>
            <w:rStyle w:val="Lienhypertexte"/>
          </w:rPr>
          <w:t>LHE/24/10.GA/6</w:t>
        </w:r>
      </w:hyperlink>
      <w:r>
        <w:rPr>
          <w:rFonts w:hint="cs"/>
          <w:rtl/>
        </w:rPr>
        <w:t xml:space="preserve">) والتقرير </w:t>
      </w:r>
      <w:r w:rsidR="00ED037E" w:rsidRPr="0000662E">
        <w:rPr>
          <w:rFonts w:asciiTheme="majorBidi" w:hAnsiTheme="majorBidi" w:cstheme="majorBidi"/>
          <w:rtl/>
        </w:rPr>
        <w:t xml:space="preserve">الخاص بصندوق </w:t>
      </w:r>
      <w:r>
        <w:rPr>
          <w:rFonts w:hint="cs"/>
          <w:rtl/>
        </w:rPr>
        <w:t>التراث الثقافي غير المادي</w:t>
      </w:r>
      <w:r>
        <w:rPr>
          <w:rFonts w:hint="cs"/>
          <w:i/>
          <w:iCs/>
          <w:rtl/>
        </w:rPr>
        <w:t xml:space="preserve"> </w:t>
      </w:r>
      <w:r>
        <w:rPr>
          <w:rFonts w:hint="cs"/>
          <w:rtl/>
        </w:rPr>
        <w:t>(</w:t>
      </w:r>
      <w:r w:rsidR="00ED037E" w:rsidRPr="0000662E">
        <w:rPr>
          <w:rFonts w:asciiTheme="majorBidi" w:hAnsiTheme="majorBidi" w:cstheme="majorBidi" w:hint="eastAsia"/>
          <w:rtl/>
        </w:rPr>
        <w:t>الوثيقة</w:t>
      </w:r>
      <w:r w:rsidR="00ED037E" w:rsidDel="00ED037E">
        <w:rPr>
          <w:rFonts w:hint="cs"/>
          <w:rtl/>
        </w:rPr>
        <w:t xml:space="preserve"> </w:t>
      </w:r>
      <w:r w:rsidR="00E11B4D">
        <w:t>.</w:t>
      </w:r>
      <w:r w:rsidR="00ED037E">
        <w:t>(</w:t>
      </w:r>
      <w:hyperlink r:id="rId10" w:history="1">
        <w:r>
          <w:rPr>
            <w:rStyle w:val="Lienhypertexte"/>
          </w:rPr>
          <w:t>LHE/24/10.GA/INF.8</w:t>
        </w:r>
      </w:hyperlink>
    </w:p>
    <w:p w14:paraId="76FF072B" w14:textId="347AE507" w:rsidR="002B75A6" w:rsidRPr="00BB6EEC" w:rsidRDefault="00ED037E" w:rsidP="002B75A6">
      <w:pPr>
        <w:pStyle w:val="COMPara"/>
        <w:bidi/>
        <w:ind w:left="567" w:hanging="567"/>
        <w:rPr>
          <w:rtl/>
        </w:rPr>
      </w:pPr>
      <w:r w:rsidRPr="0000662E">
        <w:rPr>
          <w:rFonts w:asciiTheme="majorBidi" w:hAnsiTheme="majorBidi" w:cstheme="majorBidi"/>
          <w:rtl/>
        </w:rPr>
        <w:t xml:space="preserve">قد ترغب </w:t>
      </w:r>
      <w:r w:rsidRPr="002E3628">
        <w:rPr>
          <w:rFonts w:asciiTheme="majorBidi" w:hAnsiTheme="majorBidi" w:cstheme="majorBidi"/>
          <w:rtl/>
        </w:rPr>
        <w:t>الجمعية العامة</w:t>
      </w:r>
      <w:r w:rsidRPr="0000662E">
        <w:rPr>
          <w:rFonts w:asciiTheme="majorBidi" w:hAnsiTheme="majorBidi" w:cstheme="majorBidi"/>
          <w:rtl/>
        </w:rPr>
        <w:t xml:space="preserve"> في </w:t>
      </w:r>
      <w:r w:rsidR="002B75A6">
        <w:rPr>
          <w:rFonts w:hint="cs"/>
          <w:rtl/>
        </w:rPr>
        <w:t>اعتماد القرار التالي:</w:t>
      </w:r>
    </w:p>
    <w:p w14:paraId="30C2E9A5" w14:textId="77777777" w:rsidR="002B75A6" w:rsidRPr="00BB6EEC" w:rsidRDefault="002B75A6" w:rsidP="002B75A6">
      <w:pPr>
        <w:pStyle w:val="COMTitleDecision"/>
        <w:bidi/>
        <w:rPr>
          <w:rFonts w:eastAsia="SimSun"/>
          <w:rtl/>
        </w:rPr>
      </w:pPr>
      <w:r w:rsidRPr="0014558D">
        <w:rPr>
          <w:rFonts w:hint="eastAsia"/>
          <w:b w:val="0"/>
          <w:bCs/>
          <w:rtl/>
        </w:rPr>
        <w:t>مشروع</w:t>
      </w:r>
      <w:r w:rsidRPr="0014558D">
        <w:rPr>
          <w:b w:val="0"/>
          <w:bCs/>
          <w:rtl/>
        </w:rPr>
        <w:t xml:space="preserve"> </w:t>
      </w:r>
      <w:r w:rsidRPr="0014558D">
        <w:rPr>
          <w:rFonts w:hint="eastAsia"/>
          <w:b w:val="0"/>
          <w:bCs/>
          <w:rtl/>
        </w:rPr>
        <w:t>القرار</w:t>
      </w:r>
      <w:r>
        <w:rPr>
          <w:rFonts w:hint="cs"/>
          <w:rtl/>
        </w:rPr>
        <w:t xml:space="preserve"> </w:t>
      </w:r>
      <w:r>
        <w:t>‎10.GA 5</w:t>
      </w:r>
    </w:p>
    <w:p w14:paraId="408A1D82" w14:textId="5AF4C8C6" w:rsidR="002B75A6" w:rsidRPr="00BB6EEC" w:rsidRDefault="00993731" w:rsidP="002B75A6">
      <w:pPr>
        <w:pStyle w:val="COMPreambulaDecisions"/>
        <w:bidi/>
        <w:rPr>
          <w:rFonts w:eastAsia="SimSun"/>
          <w:rtl/>
        </w:rPr>
      </w:pPr>
      <w:r w:rsidRPr="0000662E">
        <w:rPr>
          <w:rFonts w:asciiTheme="majorBidi" w:hAnsiTheme="majorBidi" w:cstheme="majorBidi"/>
          <w:rtl/>
        </w:rPr>
        <w:t>إن</w:t>
      </w:r>
      <w:r>
        <w:rPr>
          <w:rFonts w:hint="cs"/>
          <w:rtl/>
        </w:rPr>
        <w:t xml:space="preserve"> </w:t>
      </w:r>
      <w:r w:rsidR="002B75A6">
        <w:rPr>
          <w:rFonts w:hint="cs"/>
          <w:rtl/>
        </w:rPr>
        <w:t>الجمعية العامة،</w:t>
      </w:r>
    </w:p>
    <w:p w14:paraId="0D9AD168" w14:textId="77777777" w:rsidR="002B75A6" w:rsidRPr="00BB6EEC" w:rsidRDefault="002B75A6" w:rsidP="00310E49">
      <w:pPr>
        <w:pStyle w:val="COMParaDecision"/>
        <w:bidi/>
        <w:ind w:left="1134" w:hanging="567"/>
        <w:rPr>
          <w:rtl/>
        </w:rPr>
      </w:pPr>
      <w:r>
        <w:rPr>
          <w:rFonts w:hint="cs"/>
          <w:rtl/>
        </w:rPr>
        <w:t>وقد درست</w:t>
      </w:r>
      <w:r>
        <w:rPr>
          <w:rFonts w:hint="cs"/>
          <w:u w:val="none"/>
          <w:rtl/>
        </w:rPr>
        <w:t xml:space="preserve"> الوثيقة رقم </w:t>
      </w:r>
      <w:r>
        <w:rPr>
          <w:u w:val="none"/>
        </w:rPr>
        <w:t>LHE/24/10.GA/5</w:t>
      </w:r>
    </w:p>
    <w:p w14:paraId="076039B5" w14:textId="1DAD881E" w:rsidR="002B75A6" w:rsidRPr="003B3594" w:rsidRDefault="00993731" w:rsidP="00310E49">
      <w:pPr>
        <w:pStyle w:val="COMParaDecision"/>
        <w:bidi/>
        <w:ind w:left="1134" w:hanging="567"/>
        <w:rPr>
          <w:rtl/>
        </w:rPr>
      </w:pPr>
      <w:r w:rsidRPr="0000662E">
        <w:rPr>
          <w:rFonts w:asciiTheme="majorBidi" w:hAnsiTheme="majorBidi" w:cstheme="majorBidi"/>
          <w:rtl/>
        </w:rPr>
        <w:t>وإذ تذكّر</w:t>
      </w:r>
      <w:r w:rsidRPr="0000662E">
        <w:rPr>
          <w:rFonts w:asciiTheme="majorBidi" w:hAnsiTheme="majorBidi" w:cstheme="majorBidi"/>
          <w:u w:val="none"/>
          <w:rtl/>
        </w:rPr>
        <w:t xml:space="preserve"> بالمادة</w:t>
      </w:r>
      <w:r w:rsidDel="00993731">
        <w:rPr>
          <w:rFonts w:hint="cs"/>
          <w:u w:val="none"/>
          <w:rtl/>
        </w:rPr>
        <w:t xml:space="preserve"> </w:t>
      </w:r>
      <w:r w:rsidR="002B75A6">
        <w:rPr>
          <w:rFonts w:hint="cs"/>
          <w:u w:val="none"/>
          <w:rtl/>
        </w:rPr>
        <w:t xml:space="preserve">30 من الاتفاقية والقرار </w:t>
      </w:r>
      <w:r w:rsidR="002B75A6">
        <w:rPr>
          <w:u w:val="none"/>
        </w:rPr>
        <w:t>‎</w:t>
      </w:r>
      <w:hyperlink r:id="rId11" w:history="1">
        <w:r w:rsidR="002B75A6" w:rsidRPr="003A27E4">
          <w:rPr>
            <w:rStyle w:val="Lienhypertexte"/>
          </w:rPr>
          <w:t>6.GA 5</w:t>
        </w:r>
      </w:hyperlink>
      <w:r w:rsidR="002B75A6">
        <w:rPr>
          <w:rFonts w:hint="cs"/>
          <w:u w:val="none"/>
          <w:rtl/>
        </w:rPr>
        <w:t>،</w:t>
      </w:r>
    </w:p>
    <w:p w14:paraId="11928DB4" w14:textId="77777777" w:rsidR="002B75A6" w:rsidRPr="008565A0" w:rsidRDefault="002B75A6" w:rsidP="00310E49">
      <w:pPr>
        <w:pStyle w:val="COMParaDecision"/>
        <w:bidi/>
        <w:ind w:left="1134" w:hanging="567"/>
        <w:rPr>
          <w:rtl/>
        </w:rPr>
      </w:pPr>
      <w:r>
        <w:rPr>
          <w:rFonts w:hint="cs"/>
          <w:rtl/>
        </w:rPr>
        <w:t>ترحب</w:t>
      </w:r>
      <w:r>
        <w:rPr>
          <w:rFonts w:hint="cs"/>
          <w:u w:val="none"/>
          <w:rtl/>
        </w:rPr>
        <w:t xml:space="preserve"> بسان مارينو، التي صدقت على الاتفاقية خلال الفترة المشمولة بالتقرير، وكذلك ليبيا والمملكة المتحدة لبريطانيا العظمى وأيرلندا الشمالية بعد الفترة المشمولة بالتقرير، ليصل العدد الإجمالي للدول الأطراف إلى 183 دولة، </w:t>
      </w:r>
      <w:r w:rsidRPr="0014558D">
        <w:rPr>
          <w:rtl/>
        </w:rPr>
        <w:t>وتشجع</w:t>
      </w:r>
      <w:r>
        <w:rPr>
          <w:rFonts w:hint="cs"/>
          <w:u w:val="none"/>
          <w:rtl/>
        </w:rPr>
        <w:t xml:space="preserve"> الدول التي لم تصدق بعد على الاتفاقية على النظر في القيام بذلك؛</w:t>
      </w:r>
    </w:p>
    <w:p w14:paraId="3E52E7AA" w14:textId="77777777" w:rsidR="002B75A6" w:rsidRPr="005C792B" w:rsidRDefault="002B75A6" w:rsidP="00310E49">
      <w:pPr>
        <w:pStyle w:val="COMParaDecision"/>
        <w:bidi/>
        <w:ind w:left="1134" w:hanging="567"/>
        <w:rPr>
          <w:rtl/>
        </w:rPr>
      </w:pPr>
      <w:r>
        <w:rPr>
          <w:rFonts w:hint="cs"/>
          <w:rtl/>
        </w:rPr>
        <w:t>وتحيط علماً</w:t>
      </w:r>
      <w:r>
        <w:rPr>
          <w:rFonts w:hint="cs"/>
          <w:u w:val="none"/>
          <w:rtl/>
        </w:rPr>
        <w:t xml:space="preserve"> بتقرير اللجنة المرفوع إلى الجمعية العامة عن أنشطتها في الفترة من كانون الثاني/يناير 2022 إلى كانون الأول/ديسمبر 2023، على النحو المرفق بهذه الوثيقة، و</w:t>
      </w:r>
      <w:r>
        <w:rPr>
          <w:rFonts w:hint="cs"/>
          <w:rtl/>
        </w:rPr>
        <w:t>تشكر</w:t>
      </w:r>
      <w:r>
        <w:rPr>
          <w:rFonts w:hint="cs"/>
          <w:u w:val="none"/>
          <w:rtl/>
        </w:rPr>
        <w:t xml:space="preserve"> اللجنة لعملها الفعال؛</w:t>
      </w:r>
    </w:p>
    <w:p w14:paraId="0D8E4438" w14:textId="00DE3E46" w:rsidR="002B75A6" w:rsidRPr="00BB6EEC" w:rsidRDefault="00993731" w:rsidP="00310E49">
      <w:pPr>
        <w:pStyle w:val="COMParaDecision"/>
        <w:bidi/>
        <w:ind w:left="1134" w:hanging="567"/>
        <w:rPr>
          <w:rtl/>
        </w:rPr>
      </w:pPr>
      <w:r w:rsidRPr="0000662E">
        <w:rPr>
          <w:rFonts w:asciiTheme="majorBidi" w:hAnsiTheme="majorBidi" w:cstheme="majorBidi"/>
          <w:rtl/>
        </w:rPr>
        <w:t>وتهنيء</w:t>
      </w:r>
      <w:r w:rsidDel="00993731">
        <w:rPr>
          <w:rFonts w:hint="cs"/>
          <w:rtl/>
        </w:rPr>
        <w:t xml:space="preserve"> </w:t>
      </w:r>
      <w:r>
        <w:rPr>
          <w:rFonts w:hint="cs"/>
          <w:u w:val="none"/>
          <w:rtl/>
        </w:rPr>
        <w:t>اللجنة</w:t>
      </w:r>
      <w:r w:rsidR="002B75A6">
        <w:rPr>
          <w:rFonts w:hint="cs"/>
          <w:u w:val="none"/>
          <w:rtl/>
        </w:rPr>
        <w:t xml:space="preserve"> إعداد المذكرة التوجيهية بالأبعاد الاقتصادية لصون التراث الثقافي غير المادي، و</w:t>
      </w:r>
      <w:r w:rsidR="002B75A6">
        <w:rPr>
          <w:rFonts w:hint="cs"/>
          <w:rtl/>
        </w:rPr>
        <w:t>تحيط علماً</w:t>
      </w:r>
      <w:r w:rsidR="002B75A6">
        <w:rPr>
          <w:rFonts w:hint="cs"/>
          <w:u w:val="none"/>
          <w:rtl/>
        </w:rPr>
        <w:t xml:space="preserve"> بالعمل الجاري في المبادرات المواضيعية بشأن صون التراث الثقافي غير المادي وتغير المناخ وصون التراث الثقافي غير المادي في السياقات الحضرية؛</w:t>
      </w:r>
    </w:p>
    <w:p w14:paraId="25DBDB8E" w14:textId="44EAD4EE" w:rsidR="002B75A6" w:rsidRPr="00BB6EEC" w:rsidRDefault="005A2C21" w:rsidP="00310E49">
      <w:pPr>
        <w:pStyle w:val="COMParaDecision"/>
        <w:bidi/>
        <w:ind w:left="1134" w:hanging="567"/>
        <w:rPr>
          <w:rtl/>
        </w:rPr>
      </w:pPr>
      <w:r w:rsidRPr="0000662E">
        <w:rPr>
          <w:rFonts w:asciiTheme="majorBidi" w:hAnsiTheme="majorBidi" w:cstheme="majorBidi"/>
          <w:rtl/>
        </w:rPr>
        <w:t>وكما تهنيء</w:t>
      </w:r>
      <w:r w:rsidRPr="0000662E">
        <w:rPr>
          <w:rFonts w:asciiTheme="majorBidi" w:hAnsiTheme="majorBidi" w:cstheme="majorBidi"/>
          <w:u w:val="none"/>
          <w:rtl/>
        </w:rPr>
        <w:t xml:space="preserve"> </w:t>
      </w:r>
      <w:r w:rsidR="002B75A6">
        <w:rPr>
          <w:rFonts w:hint="cs"/>
          <w:u w:val="none"/>
          <w:rtl/>
        </w:rPr>
        <w:t>على اللجنة على التقدم الذي أحرزته فيما يتعلق بالتفكير العالمي في التنفيذ الأوسع للمادة 18، من خلال عملية تشاور شاملة مع الخبراء والفريق العامل الحكومي الدولي المفتوح العضوية؛</w:t>
      </w:r>
    </w:p>
    <w:p w14:paraId="1AA16428" w14:textId="54858D2F" w:rsidR="00EE67E0" w:rsidRPr="00EE67E0" w:rsidRDefault="002B75A6" w:rsidP="00310E49">
      <w:pPr>
        <w:pStyle w:val="COMParaDecision"/>
        <w:bidi/>
        <w:ind w:left="1134" w:hanging="567"/>
        <w:rPr>
          <w:rtl/>
        </w:rPr>
      </w:pPr>
      <w:r>
        <w:rPr>
          <w:rFonts w:hint="cs"/>
          <w:rtl/>
        </w:rPr>
        <w:t>كما تحيط علماً مع الارتياح</w:t>
      </w:r>
      <w:r>
        <w:rPr>
          <w:rFonts w:hint="cs"/>
          <w:u w:val="none"/>
          <w:rtl/>
        </w:rPr>
        <w:t xml:space="preserve"> بتحسن معدلات التقديم في إطار الدورة المستمرة للتقارير الدورية و</w:t>
      </w:r>
      <w:r>
        <w:rPr>
          <w:rFonts w:hint="cs"/>
          <w:rtl/>
        </w:rPr>
        <w:t>ترحب</w:t>
      </w:r>
      <w:r>
        <w:rPr>
          <w:rFonts w:hint="cs"/>
          <w:u w:val="none"/>
          <w:rtl/>
        </w:rPr>
        <w:t xml:space="preserve"> بقرار اللجنة بشأن المواءمة المقترحة لآليات تقديم التقارير مع نظام تقديم عالمي واحد تحضيراً للتقرير العالمي الذي يقدم كل أربع سنوات عن السياسات الثقافية اعتباراً من عام 2025 (القرار </w:t>
      </w:r>
      <w:hyperlink r:id="rId12" w:history="1">
        <w:r w:rsidR="00E11B4D">
          <w:rPr>
            <w:rStyle w:val="Lienhypertexte"/>
          </w:rPr>
          <w:t>(18.</w:t>
        </w:r>
        <w:r>
          <w:rPr>
            <w:rStyle w:val="Lienhypertexte"/>
          </w:rPr>
          <w:t>COM 7.c</w:t>
        </w:r>
      </w:hyperlink>
    </w:p>
    <w:p w14:paraId="76527BCB" w14:textId="6699FAB0" w:rsidR="002B75A6" w:rsidRPr="00000673" w:rsidRDefault="002B75A6" w:rsidP="00310E49">
      <w:pPr>
        <w:pStyle w:val="COMParaDecision"/>
        <w:bidi/>
        <w:ind w:left="1134" w:hanging="567"/>
        <w:rPr>
          <w:rtl/>
        </w:rPr>
      </w:pPr>
      <w:r>
        <w:rPr>
          <w:rFonts w:hint="cs"/>
          <w:rtl/>
        </w:rPr>
        <w:t>و</w:t>
      </w:r>
      <w:r w:rsidR="005A2C21">
        <w:rPr>
          <w:rFonts w:hint="cs"/>
          <w:rtl/>
        </w:rPr>
        <w:t xml:space="preserve">كما </w:t>
      </w:r>
      <w:r>
        <w:rPr>
          <w:rFonts w:hint="cs"/>
          <w:rtl/>
        </w:rPr>
        <w:t>ترحب</w:t>
      </w:r>
      <w:r>
        <w:rPr>
          <w:rFonts w:hint="cs"/>
          <w:u w:val="none"/>
          <w:rtl/>
        </w:rPr>
        <w:t xml:space="preserve"> بالعمل المستمر في أولويتي التمويل العالمي للاتفاقية، "تعزيزاً للقدرات المتعلقة بصون التراث الثقافي غير المادي باستخدام نُهج متعددة الوسائط والمساهمة في التنمية المستدامة" و"صون التراث الثقافي غير المادي في التعليم النظامي وغير النظامي"، في ضوء خطة التنمية المستدامة لعام 2030 وإعداد خطة ما بعد عام 2030؛</w:t>
      </w:r>
    </w:p>
    <w:p w14:paraId="5564115B" w14:textId="22861BBE" w:rsidR="002B75A6" w:rsidRPr="00BB6EEC" w:rsidRDefault="005A2C21" w:rsidP="00310E49">
      <w:pPr>
        <w:pStyle w:val="COMParaDecision"/>
        <w:bidi/>
        <w:ind w:left="1134" w:hanging="567"/>
        <w:rPr>
          <w:rtl/>
        </w:rPr>
      </w:pPr>
      <w:r w:rsidRPr="0014558D">
        <w:rPr>
          <w:rtl/>
        </w:rPr>
        <w:t>وتعترف</w:t>
      </w:r>
      <w:r w:rsidR="002B75A6">
        <w:rPr>
          <w:rFonts w:hint="cs"/>
          <w:u w:val="none"/>
          <w:rtl/>
        </w:rPr>
        <w:t xml:space="preserve"> بقرار اللجنة باستخدام الإجراء المستحدث للحذف لإزالة جزء من أحد البنود المدرجة في إحدى قوائم الاتفاقية، بما يتماشى مع المبادئ التأسيسية لليونسكو ومبادئ الاتفاقية المتمثلة في الكرامة والمساواة والاحترام المتبادل بين الشعوب؛</w:t>
      </w:r>
    </w:p>
    <w:p w14:paraId="7AFABE93" w14:textId="4CD95E36" w:rsidR="002B75A6" w:rsidRPr="00664468" w:rsidRDefault="002B75A6" w:rsidP="00310E49">
      <w:pPr>
        <w:pStyle w:val="COMParaDecision"/>
        <w:bidi/>
        <w:ind w:left="1134" w:hanging="567"/>
        <w:rPr>
          <w:rtl/>
        </w:rPr>
      </w:pPr>
      <w:r>
        <w:rPr>
          <w:rFonts w:hint="cs"/>
          <w:rtl/>
        </w:rPr>
        <w:t>وتطلب</w:t>
      </w:r>
      <w:r>
        <w:rPr>
          <w:rFonts w:hint="cs"/>
          <w:u w:val="none"/>
          <w:rtl/>
        </w:rPr>
        <w:t xml:space="preserve"> من المدير</w:t>
      </w:r>
      <w:r w:rsidR="00E334B1">
        <w:rPr>
          <w:rFonts w:hint="cs"/>
          <w:u w:val="none"/>
          <w:rtl/>
        </w:rPr>
        <w:t>ة</w:t>
      </w:r>
      <w:r>
        <w:rPr>
          <w:rFonts w:hint="cs"/>
          <w:u w:val="none"/>
          <w:rtl/>
        </w:rPr>
        <w:t xml:space="preserve"> العام</w:t>
      </w:r>
      <w:r w:rsidR="00E334B1">
        <w:rPr>
          <w:rFonts w:hint="cs"/>
          <w:u w:val="none"/>
          <w:rtl/>
        </w:rPr>
        <w:t>ة</w:t>
      </w:r>
      <w:r>
        <w:rPr>
          <w:rFonts w:hint="cs"/>
          <w:u w:val="none"/>
          <w:rtl/>
        </w:rPr>
        <w:t xml:space="preserve"> عرض هذا التقرير على المؤتمر العام لليونسكو وفقاً للفقرة 2 من المادة 30 من الاتفاقية.</w:t>
      </w:r>
    </w:p>
    <w:p w14:paraId="1D881339" w14:textId="77777777" w:rsidR="009A373B" w:rsidRPr="003C1CCC" w:rsidRDefault="009A373B" w:rsidP="009A373B">
      <w:pPr>
        <w:pageBreakBefore/>
        <w:bidi/>
        <w:spacing w:after="240"/>
        <w:jc w:val="center"/>
        <w:rPr>
          <w:rFonts w:ascii="Arial" w:hAnsi="Arial" w:cs="Arial"/>
          <w:sz w:val="22"/>
          <w:szCs w:val="22"/>
          <w:rtl/>
        </w:rPr>
      </w:pPr>
      <w:r>
        <w:rPr>
          <w:rFonts w:ascii="Arial" w:hAnsi="Arial" w:hint="cs"/>
          <w:b/>
          <w:bCs/>
          <w:sz w:val="22"/>
          <w:szCs w:val="22"/>
          <w:u w:val="single"/>
          <w:rtl/>
        </w:rPr>
        <w:lastRenderedPageBreak/>
        <w:t>الملحق</w:t>
      </w:r>
    </w:p>
    <w:p w14:paraId="08563B97" w14:textId="0A638B4B" w:rsidR="009A373B" w:rsidRPr="003C1CCC" w:rsidRDefault="009A373B" w:rsidP="009A373B">
      <w:pPr>
        <w:bidi/>
        <w:spacing w:after="360"/>
        <w:jc w:val="center"/>
        <w:rPr>
          <w:rFonts w:ascii="Arial" w:hAnsi="Arial" w:cs="Arial"/>
          <w:sz w:val="22"/>
          <w:szCs w:val="22"/>
          <w:rtl/>
        </w:rPr>
      </w:pPr>
      <w:r>
        <w:rPr>
          <w:rFonts w:ascii="Arial" w:hAnsi="Arial" w:hint="cs"/>
          <w:b/>
          <w:bCs/>
          <w:sz w:val="22"/>
          <w:szCs w:val="22"/>
          <w:rtl/>
        </w:rPr>
        <w:t>تقرير</w:t>
      </w:r>
      <w:r w:rsidR="00ED037E" w:rsidRPr="00ED037E">
        <w:rPr>
          <w:rFonts w:ascii="Arial" w:hAnsi="Arial"/>
          <w:b/>
          <w:bCs/>
          <w:sz w:val="22"/>
          <w:szCs w:val="22"/>
          <w:rtl/>
        </w:rPr>
        <w:t xml:space="preserve"> </w:t>
      </w:r>
      <w:r>
        <w:rPr>
          <w:rFonts w:ascii="Arial" w:hAnsi="Arial" w:hint="cs"/>
          <w:b/>
          <w:bCs/>
          <w:sz w:val="22"/>
          <w:szCs w:val="22"/>
          <w:rtl/>
        </w:rPr>
        <w:t xml:space="preserve">اللجنة إلى الجمعية العامة </w:t>
      </w:r>
      <w:r w:rsidR="00ED037E" w:rsidRPr="00952F22">
        <w:rPr>
          <w:rFonts w:ascii="Arial" w:hAnsi="Arial"/>
          <w:b/>
          <w:bCs/>
          <w:sz w:val="22"/>
          <w:szCs w:val="22"/>
          <w:rtl/>
        </w:rPr>
        <w:t>حول</w:t>
      </w:r>
      <w:r w:rsidR="00ED037E" w:rsidDel="00ED037E">
        <w:rPr>
          <w:rFonts w:ascii="Arial" w:hAnsi="Arial" w:hint="cs"/>
          <w:b/>
          <w:bCs/>
          <w:sz w:val="22"/>
          <w:szCs w:val="22"/>
          <w:rtl/>
        </w:rPr>
        <w:t xml:space="preserve"> </w:t>
      </w:r>
      <w:r>
        <w:rPr>
          <w:rFonts w:ascii="Arial" w:hAnsi="Arial" w:hint="cs"/>
          <w:b/>
          <w:bCs/>
          <w:sz w:val="22"/>
          <w:szCs w:val="22"/>
          <w:rtl/>
        </w:rPr>
        <w:t>أنشطتها</w:t>
      </w:r>
    </w:p>
    <w:p w14:paraId="6F38C713" w14:textId="77777777" w:rsidR="009A373B" w:rsidRPr="003C1CCC" w:rsidRDefault="009A373B" w:rsidP="009A373B">
      <w:pPr>
        <w:keepNext/>
        <w:numPr>
          <w:ilvl w:val="0"/>
          <w:numId w:val="24"/>
        </w:numPr>
        <w:tabs>
          <w:tab w:val="num" w:pos="567"/>
        </w:tabs>
        <w:bidi/>
        <w:snapToGrid w:val="0"/>
        <w:spacing w:before="240" w:after="120"/>
        <w:ind w:left="562" w:hanging="562"/>
        <w:jc w:val="both"/>
        <w:rPr>
          <w:rFonts w:asciiTheme="minorBidi" w:hAnsiTheme="minorBidi" w:cstheme="minorBidi"/>
          <w:szCs w:val="22"/>
          <w:rtl/>
        </w:rPr>
      </w:pPr>
      <w:r>
        <w:rPr>
          <w:rFonts w:ascii="Arial" w:hAnsi="Arial" w:hint="cs"/>
          <w:b/>
          <w:bCs/>
          <w:sz w:val="22"/>
          <w:szCs w:val="22"/>
          <w:rtl/>
        </w:rPr>
        <w:t>مقدمة</w:t>
      </w:r>
    </w:p>
    <w:p w14:paraId="703A1F15" w14:textId="77777777" w:rsidR="009A373B" w:rsidRPr="003C1CCC" w:rsidRDefault="009A373B" w:rsidP="009A373B">
      <w:pPr>
        <w:pStyle w:val="Marge"/>
        <w:numPr>
          <w:ilvl w:val="0"/>
          <w:numId w:val="23"/>
        </w:numPr>
        <w:tabs>
          <w:tab w:val="clear" w:pos="502"/>
          <w:tab w:val="clear" w:pos="567"/>
          <w:tab w:val="num" w:pos="1276"/>
        </w:tabs>
        <w:bidi/>
        <w:spacing w:after="120"/>
        <w:ind w:left="567" w:hanging="567"/>
        <w:rPr>
          <w:rFonts w:asciiTheme="minorBidi" w:hAnsiTheme="minorBidi" w:cstheme="minorBidi"/>
          <w:szCs w:val="22"/>
          <w:rtl/>
        </w:rPr>
      </w:pPr>
      <w:r>
        <w:rPr>
          <w:rFonts w:asciiTheme="minorBidi" w:hAnsiTheme="minorBidi" w:hint="cs"/>
          <w:rtl/>
        </w:rPr>
        <w:t>تم تحديد مهام اللجنة في اتفاقية 2003 لصون التراث الثقافي غير المادي وعلى وجه الخصوص مادة 7.</w:t>
      </w:r>
    </w:p>
    <w:p w14:paraId="00C75A26" w14:textId="77777777" w:rsidR="009A373B" w:rsidRPr="003C1CCC"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وفي عام 2022، جددت الجمعية العامة نصف اللجنة بانتخاب اثنتي عشرة دولة طرفاً إلى جانب الأعضاء الحاليين: إثيوبيا*، وألمانيا*، وأنغولا*، وأوزبكستان*، وباراغواي*، والبرازيل، وبنغلاديش*، وبنما، وبوتسوانا، وبوركينا فاسو*، وبيرو، والتشيك، وجمهورية كوريا، ورواندا، وسلوفاكيا*، والسويد، وسويسرا، وفيتنام*، وكوت ديفوار، وماليزيا*، والمغرب، والمملكة العربية السعودية، وموريتانيا*، والهند* (الدول المشار إليها بعلامة النجمة امتدت فترة اختصاصها بين عامي 2022 و2026؛ أما فترة اختصاص الدول التي لا يقترن اسمها بعلامة النجمة فتمتد بين عامي 2020 و2024).</w:t>
      </w:r>
    </w:p>
    <w:p w14:paraId="7ADA1E78" w14:textId="5CF3EA59" w:rsidR="009A373B" w:rsidRPr="003C1CCC"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 xml:space="preserve">وقد انعقدت الدورة العادية للجنة مرتين؛ كانت أولاهما في الفترة من 28 تشرين الثاني/نوفمبر إلى 3 كانون الأول/ديسمبر 2022 (الرباط بالمملكة المغربية) لدورتها السابعة عشرة </w:t>
      </w:r>
      <w:r w:rsidR="00C55E5A">
        <w:rPr>
          <w:rFonts w:asciiTheme="minorBidi" w:hAnsiTheme="minorBidi"/>
        </w:rPr>
        <w:t>(</w:t>
      </w:r>
      <w:r>
        <w:rPr>
          <w:rFonts w:asciiTheme="minorBidi" w:hAnsiTheme="minorBidi"/>
        </w:rPr>
        <w:t>‎17.COM)</w:t>
      </w:r>
      <w:r>
        <w:rPr>
          <w:rFonts w:asciiTheme="minorBidi" w:hAnsiTheme="minorBidi" w:hint="cs"/>
          <w:rtl/>
        </w:rPr>
        <w:t>، فيما انعقدت الثانية من 5 إلى 8 كانون الأول/ديسمبر 2023 (كاسان بجمهورية بوتسوانا) لدورتها الثامنة عشرة (</w:t>
      </w:r>
      <w:r>
        <w:rPr>
          <w:rFonts w:asciiTheme="minorBidi" w:hAnsiTheme="minorBidi"/>
        </w:rPr>
        <w:t>‎18.COM</w:t>
      </w:r>
      <w:r>
        <w:rPr>
          <w:rFonts w:asciiTheme="minorBidi" w:hAnsiTheme="minorBidi" w:hint="cs"/>
          <w:rtl/>
        </w:rPr>
        <w:t>). بالإضافة إلى ذلك، انعقدت الدورة مرة واحدة عبر الإنترنت في 1 تموز/يوليو 2022 لدورته الاستثنائية الخامسة (</w:t>
      </w:r>
      <w:r>
        <w:rPr>
          <w:rFonts w:asciiTheme="minorBidi" w:hAnsiTheme="minorBidi"/>
        </w:rPr>
        <w:t>‎5.EXT.COM</w:t>
      </w:r>
      <w:r>
        <w:rPr>
          <w:rFonts w:asciiTheme="minorBidi" w:hAnsiTheme="minorBidi" w:hint="cs"/>
          <w:rtl/>
        </w:rPr>
        <w:t xml:space="preserve">). وكان مكتب الدورة </w:t>
      </w:r>
      <w:r>
        <w:rPr>
          <w:rFonts w:asciiTheme="minorBidi" w:hAnsiTheme="minorBidi"/>
        </w:rPr>
        <w:t>‎</w:t>
      </w:r>
      <w:r>
        <w:rPr>
          <w:rFonts w:asciiTheme="minorBidi" w:hAnsiTheme="minorBidi" w:hint="cs"/>
          <w:rtl/>
        </w:rPr>
        <w:t xml:space="preserve">السابعة عشر يتألف من: معالي السيد سمير الظهر (المغرب) رئيساً؛ وسويسرا، وتشيكيا، وبنما، وجمهورية كوريا، وبوتسوانا نواباً للرئيس؛ والسيد راميرو موريس سيلفا ريفيرا (بيرو) مقرراً. وكان مكتب الدورة </w:t>
      </w:r>
      <w:r>
        <w:rPr>
          <w:rFonts w:asciiTheme="minorBidi" w:hAnsiTheme="minorBidi"/>
        </w:rPr>
        <w:t>‎18.COM</w:t>
      </w:r>
      <w:r>
        <w:rPr>
          <w:rFonts w:asciiTheme="minorBidi" w:hAnsiTheme="minorBidi" w:hint="cs"/>
          <w:rtl/>
        </w:rPr>
        <w:t xml:space="preserve"> فكان يتألف من: معالي السيد مشتاق مراد (بوتسوانا) رئيساً؛ وسويسرا، وسلوفاكيا، وبيرو، وبنغلاديش، والمغرب نواباً للرئيس؛ والسيدة إيفا كومينكوفا (التشيك) مقررة. وكان مكتب </w:t>
      </w:r>
      <w:r>
        <w:rPr>
          <w:rFonts w:asciiTheme="minorBidi" w:hAnsiTheme="minorBidi"/>
        </w:rPr>
        <w:t>‎</w:t>
      </w:r>
      <w:r>
        <w:rPr>
          <w:rFonts w:asciiTheme="minorBidi" w:hAnsiTheme="minorBidi" w:hint="cs"/>
          <w:rtl/>
        </w:rPr>
        <w:t>الدورة التنفيذية الخامسة للجنة (5.</w:t>
      </w:r>
      <w:r>
        <w:rPr>
          <w:rFonts w:asciiTheme="minorBidi" w:hAnsiTheme="minorBidi"/>
        </w:rPr>
        <w:t>EXT.COM</w:t>
      </w:r>
      <w:r>
        <w:rPr>
          <w:rFonts w:asciiTheme="minorBidi" w:hAnsiTheme="minorBidi" w:hint="cs"/>
          <w:rtl/>
        </w:rPr>
        <w:t xml:space="preserve">) مماثلاً لمكتب الدورة </w:t>
      </w:r>
      <w:r>
        <w:rPr>
          <w:rFonts w:asciiTheme="minorBidi" w:hAnsiTheme="minorBidi"/>
        </w:rPr>
        <w:t>‎‎</w:t>
      </w:r>
      <w:r>
        <w:rPr>
          <w:rFonts w:asciiTheme="minorBidi" w:hAnsiTheme="minorBidi" w:hint="cs"/>
          <w:rtl/>
        </w:rPr>
        <w:t>السابعة عشر (</w:t>
      </w:r>
      <w:r>
        <w:rPr>
          <w:rFonts w:asciiTheme="minorBidi" w:hAnsiTheme="minorBidi"/>
        </w:rPr>
        <w:t>‎17.COM</w:t>
      </w:r>
      <w:r>
        <w:rPr>
          <w:rFonts w:asciiTheme="minorBidi" w:hAnsiTheme="minorBidi" w:hint="cs"/>
          <w:rtl/>
        </w:rPr>
        <w:t>).</w:t>
      </w:r>
    </w:p>
    <w:p w14:paraId="1CCFEA6B" w14:textId="6209DA86" w:rsidR="009A373B" w:rsidRPr="00E666FE"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 xml:space="preserve">وقد اجتمع المكتب خلال دورات اللجنة من الثلاثاء إلى السبت. وخلال الفترة المشمولة بالتقرير، فقد اجتمع المكتب أيضاً أربع مرات في مقر اليونسكو في 4 تشرين الأول/أكتوبر 2022 </w:t>
      </w:r>
      <w:r w:rsidR="00C55E5A">
        <w:rPr>
          <w:rFonts w:asciiTheme="minorBidi" w:hAnsiTheme="minorBidi"/>
        </w:rPr>
        <w:t>(</w:t>
      </w:r>
      <w:r>
        <w:rPr>
          <w:rFonts w:asciiTheme="minorBidi" w:hAnsiTheme="minorBidi"/>
        </w:rPr>
        <w:t>‎17.COM 5.BUR)</w:t>
      </w:r>
      <w:r>
        <w:rPr>
          <w:rFonts w:asciiTheme="minorBidi" w:hAnsiTheme="minorBidi" w:hint="cs"/>
          <w:rtl/>
        </w:rPr>
        <w:t>، و22 آذار/مارس 2023 (</w:t>
      </w:r>
      <w:r>
        <w:rPr>
          <w:rFonts w:asciiTheme="minorBidi" w:hAnsiTheme="minorBidi"/>
        </w:rPr>
        <w:t>‎</w:t>
      </w:r>
      <w:r w:rsidR="00C55E5A">
        <w:rPr>
          <w:rFonts w:asciiTheme="minorBidi" w:hAnsiTheme="minorBidi"/>
        </w:rPr>
        <w:t>(</w:t>
      </w:r>
      <w:r>
        <w:rPr>
          <w:rFonts w:asciiTheme="minorBidi" w:hAnsiTheme="minorBidi"/>
        </w:rPr>
        <w:t>18.COM</w:t>
      </w:r>
      <w:r w:rsidR="00C55E5A">
        <w:rPr>
          <w:rFonts w:asciiTheme="minorBidi" w:hAnsiTheme="minorBidi"/>
        </w:rPr>
        <w:t> 1.BUR</w:t>
      </w:r>
      <w:r>
        <w:rPr>
          <w:rFonts w:asciiTheme="minorBidi" w:hAnsiTheme="minorBidi" w:hint="cs"/>
          <w:rtl/>
        </w:rPr>
        <w:t>، و5 حزيران/يونيو 2023 (</w:t>
      </w:r>
      <w:r w:rsidR="00C55E5A">
        <w:rPr>
          <w:rFonts w:asciiTheme="minorBidi" w:hAnsiTheme="minorBidi"/>
        </w:rPr>
        <w:t>18.</w:t>
      </w:r>
      <w:r>
        <w:rPr>
          <w:rFonts w:asciiTheme="minorBidi" w:hAnsiTheme="minorBidi"/>
        </w:rPr>
        <w:t>COM 2.BUR</w:t>
      </w:r>
      <w:r>
        <w:rPr>
          <w:rFonts w:asciiTheme="minorBidi" w:hAnsiTheme="minorBidi" w:hint="cs"/>
          <w:rtl/>
        </w:rPr>
        <w:t xml:space="preserve">) و2 تشرين الأول/أكتوبر 2023 </w:t>
      </w:r>
      <w:r w:rsidR="00C55E5A">
        <w:rPr>
          <w:rFonts w:asciiTheme="minorBidi" w:hAnsiTheme="minorBidi"/>
        </w:rPr>
        <w:t>(18.</w:t>
      </w:r>
      <w:r>
        <w:rPr>
          <w:rFonts w:asciiTheme="minorBidi" w:hAnsiTheme="minorBidi"/>
        </w:rPr>
        <w:t>COM</w:t>
      </w:r>
      <w:r w:rsidR="00C55E5A">
        <w:rPr>
          <w:rFonts w:asciiTheme="minorBidi" w:hAnsiTheme="minorBidi"/>
        </w:rPr>
        <w:t> </w:t>
      </w:r>
      <w:r>
        <w:rPr>
          <w:rFonts w:asciiTheme="minorBidi" w:hAnsiTheme="minorBidi"/>
        </w:rPr>
        <w:t>3.BUR)</w:t>
      </w:r>
      <w:r>
        <w:rPr>
          <w:rFonts w:asciiTheme="minorBidi" w:hAnsiTheme="minorBidi" w:hint="cs"/>
          <w:rtl/>
        </w:rPr>
        <w:t>، ثلاث مرات عبر الإنترنت في 7 آذار/مارس 2022</w:t>
      </w:r>
      <w:r>
        <w:rPr>
          <w:rFonts w:asciiTheme="minorBidi" w:hAnsiTheme="minorBidi"/>
        </w:rPr>
        <w:t>17.COM 1.BUR</w:t>
      </w:r>
      <w:r w:rsidR="00C55E5A">
        <w:rPr>
          <w:rFonts w:asciiTheme="minorBidi" w:hAnsiTheme="minorBidi"/>
        </w:rPr>
        <w:t xml:space="preserve">) </w:t>
      </w:r>
      <w:r w:rsidR="00C55E5A" w:rsidDel="00C55E5A">
        <w:rPr>
          <w:rFonts w:asciiTheme="minorBidi" w:hAnsiTheme="minorBidi" w:hint="cs"/>
          <w:rtl/>
        </w:rPr>
        <w:t xml:space="preserve"> </w:t>
      </w:r>
      <w:r w:rsidR="00C55E5A">
        <w:rPr>
          <w:rFonts w:asciiTheme="minorBidi" w:hAnsiTheme="minorBidi"/>
        </w:rPr>
        <w:t>(</w:t>
      </w:r>
      <w:r w:rsidR="00C55E5A">
        <w:rPr>
          <w:rFonts w:asciiTheme="minorBidi" w:hAnsiTheme="minorBidi" w:hint="cs"/>
          <w:rtl/>
        </w:rPr>
        <w:t>،</w:t>
      </w:r>
      <w:r w:rsidR="00C55E5A">
        <w:rPr>
          <w:rFonts w:asciiTheme="minorBidi" w:hAnsiTheme="minorBidi"/>
        </w:rPr>
        <w:t xml:space="preserve"> </w:t>
      </w:r>
      <w:r>
        <w:rPr>
          <w:rFonts w:asciiTheme="minorBidi" w:hAnsiTheme="minorBidi" w:hint="cs"/>
          <w:rtl/>
        </w:rPr>
        <w:t xml:space="preserve">و6 أيار/مايو 2022 </w:t>
      </w:r>
      <w:r>
        <w:rPr>
          <w:rFonts w:asciiTheme="minorBidi" w:hAnsiTheme="minorBidi"/>
        </w:rPr>
        <w:t>‎</w:t>
      </w:r>
      <w:r w:rsidR="00C55E5A">
        <w:rPr>
          <w:rFonts w:asciiTheme="minorBidi" w:hAnsiTheme="minorBidi"/>
        </w:rPr>
        <w:t>(</w:t>
      </w:r>
      <w:r>
        <w:rPr>
          <w:rFonts w:asciiTheme="minorBidi" w:hAnsiTheme="minorBidi"/>
        </w:rPr>
        <w:t>17.COM 3.BUR)</w:t>
      </w:r>
      <w:r>
        <w:rPr>
          <w:rFonts w:asciiTheme="minorBidi" w:hAnsiTheme="minorBidi" w:hint="cs"/>
          <w:rtl/>
        </w:rPr>
        <w:t xml:space="preserve">، و23 حزيران/يونيو 2022 </w:t>
      </w:r>
      <w:r w:rsidR="00C55E5A">
        <w:rPr>
          <w:rFonts w:asciiTheme="minorBidi" w:hAnsiTheme="minorBidi"/>
        </w:rPr>
        <w:t>(</w:t>
      </w:r>
      <w:r>
        <w:rPr>
          <w:rFonts w:asciiTheme="minorBidi" w:hAnsiTheme="minorBidi"/>
        </w:rPr>
        <w:t>‎17.COM 4.BUR)</w:t>
      </w:r>
      <w:r>
        <w:rPr>
          <w:rFonts w:asciiTheme="minorBidi" w:hAnsiTheme="minorBidi" w:hint="cs"/>
          <w:rtl/>
        </w:rPr>
        <w:t>، ومرة واحدة في كاسان بجمهورية بوتسوانا في 3 كانون الأول/ديسمبر 2023 (</w:t>
      </w:r>
      <w:r>
        <w:rPr>
          <w:rFonts w:asciiTheme="minorBidi" w:hAnsiTheme="minorBidi"/>
        </w:rPr>
        <w:t>‎18.COM 4.BUR</w:t>
      </w:r>
      <w:r>
        <w:rPr>
          <w:rFonts w:asciiTheme="minorBidi" w:hAnsiTheme="minorBidi" w:hint="cs"/>
          <w:rtl/>
        </w:rPr>
        <w:t>). بالإضافة إلى ذلك، عُقدت استشارة إلكترونية واحدة في آذار/مارس 2022 (</w:t>
      </w:r>
      <w:r>
        <w:rPr>
          <w:rFonts w:asciiTheme="minorBidi" w:hAnsiTheme="minorBidi"/>
        </w:rPr>
        <w:t>‎17.COM 2.BUR</w:t>
      </w:r>
      <w:r>
        <w:rPr>
          <w:rFonts w:asciiTheme="minorBidi" w:hAnsiTheme="minorBidi" w:hint="cs"/>
          <w:rtl/>
        </w:rPr>
        <w:t>).</w:t>
      </w:r>
    </w:p>
    <w:p w14:paraId="6F60BD72" w14:textId="2B85B252" w:rsidR="009A373B"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وقامت اللجنة ومكتبها بفحص ما مجموعه 91 بنداً مدرجاً في جداول أعمالهم، والتي كانت مصحوبة بـ 94 وثيقة عمل أو وثيقة معلومات، و10 ترشيحات لقائمة الصون العاجل، و91 ترشيحاً للقائمة التمثيلية، و10 مقترحات لسجل أفضل ممارسات الصون، 30 طلباً للمساعدة الدولية، و10</w:t>
      </w:r>
      <w:r w:rsidR="002D07D0">
        <w:rPr>
          <w:rFonts w:asciiTheme="minorBidi" w:hAnsiTheme="minorBidi" w:hint="cs"/>
          <w:rtl/>
        </w:rPr>
        <w:t>1</w:t>
      </w:r>
      <w:r>
        <w:rPr>
          <w:rFonts w:asciiTheme="minorBidi" w:hAnsiTheme="minorBidi" w:hint="cs"/>
          <w:rtl/>
        </w:rPr>
        <w:t xml:space="preserve"> تقرير دوري مقدم من الدول الأطراف، و164 طلباً للاعتماد أو التجديد من المنظمات غير الحكومية.</w:t>
      </w:r>
    </w:p>
    <w:p w14:paraId="6D50AF8E" w14:textId="42C83592" w:rsidR="009A373B" w:rsidRPr="003C1CCC" w:rsidRDefault="009A373B" w:rsidP="009A373B">
      <w:pPr>
        <w:widowControl w:val="0"/>
        <w:numPr>
          <w:ilvl w:val="0"/>
          <w:numId w:val="24"/>
        </w:numPr>
        <w:tabs>
          <w:tab w:val="num" w:pos="567"/>
        </w:tabs>
        <w:bidi/>
        <w:snapToGrid w:val="0"/>
        <w:spacing w:after="120"/>
        <w:ind w:left="567" w:hanging="567"/>
        <w:jc w:val="both"/>
        <w:rPr>
          <w:rFonts w:ascii="Arial" w:hAnsi="Arial" w:cs="Arial"/>
          <w:b/>
          <w:sz w:val="22"/>
          <w:szCs w:val="22"/>
          <w:rtl/>
        </w:rPr>
      </w:pPr>
      <w:r>
        <w:rPr>
          <w:rFonts w:ascii="Arial" w:hAnsi="Arial" w:hint="cs"/>
          <w:b/>
          <w:bCs/>
          <w:sz w:val="22"/>
          <w:szCs w:val="22"/>
          <w:rtl/>
        </w:rPr>
        <w:t>تعزيز أهداف الاتفاقية، وتشجيع</w:t>
      </w:r>
      <w:r w:rsidR="00EC2F6C">
        <w:rPr>
          <w:rFonts w:ascii="Arial" w:hAnsi="Arial"/>
          <w:b/>
          <w:bCs/>
          <w:sz w:val="22"/>
          <w:szCs w:val="22"/>
        </w:rPr>
        <w:t xml:space="preserve"> </w:t>
      </w:r>
      <w:r w:rsidR="00EC2F6C">
        <w:rPr>
          <w:rFonts w:ascii="Arial" w:hAnsi="Arial" w:hint="cs"/>
          <w:b/>
          <w:bCs/>
          <w:sz w:val="22"/>
          <w:szCs w:val="22"/>
          <w:rtl/>
        </w:rPr>
        <w:t>ورصد</w:t>
      </w:r>
      <w:r>
        <w:rPr>
          <w:rFonts w:ascii="Arial" w:hAnsi="Arial" w:hint="cs"/>
          <w:b/>
          <w:bCs/>
          <w:sz w:val="22"/>
          <w:szCs w:val="22"/>
          <w:rtl/>
        </w:rPr>
        <w:t xml:space="preserve"> تنفيذها، وتقديم </w:t>
      </w:r>
      <w:r w:rsidR="00EC2F6C" w:rsidRPr="002D0AF9">
        <w:rPr>
          <w:rFonts w:ascii="Arial" w:hAnsi="Arial"/>
          <w:b/>
          <w:bCs/>
          <w:sz w:val="22"/>
          <w:szCs w:val="22"/>
          <w:rtl/>
        </w:rPr>
        <w:t>إرشادات</w:t>
      </w:r>
      <w:r>
        <w:rPr>
          <w:rFonts w:ascii="Arial" w:hAnsi="Arial" w:hint="cs"/>
          <w:b/>
          <w:bCs/>
          <w:sz w:val="22"/>
          <w:szCs w:val="22"/>
          <w:rtl/>
        </w:rPr>
        <w:t xml:space="preserve"> بشأن تدابير الصون والممارسات الجيدة </w:t>
      </w:r>
      <w:r>
        <w:rPr>
          <w:rFonts w:ascii="Arial" w:hAnsi="Arial" w:hint="cs"/>
          <w:sz w:val="22"/>
          <w:szCs w:val="22"/>
          <w:rtl/>
        </w:rPr>
        <w:t>(المادة 7[أ] و7[ب])</w:t>
      </w:r>
    </w:p>
    <w:p w14:paraId="4B6BBF37" w14:textId="15BBF271" w:rsidR="009A373B" w:rsidRPr="003C1CCC" w:rsidRDefault="009A373B" w:rsidP="009A373B">
      <w:pPr>
        <w:pStyle w:val="Paragraphedeliste"/>
        <w:widowControl w:val="0"/>
        <w:numPr>
          <w:ilvl w:val="0"/>
          <w:numId w:val="25"/>
        </w:numPr>
        <w:tabs>
          <w:tab w:val="num" w:pos="567"/>
        </w:tabs>
        <w:bidi/>
        <w:snapToGrid w:val="0"/>
        <w:spacing w:before="240" w:after="120"/>
        <w:ind w:left="567" w:hanging="567"/>
        <w:contextualSpacing w:val="0"/>
        <w:rPr>
          <w:rFonts w:ascii="Arial" w:hAnsi="Arial" w:cs="Arial"/>
          <w:b/>
          <w:sz w:val="22"/>
          <w:szCs w:val="22"/>
          <w:rtl/>
        </w:rPr>
      </w:pPr>
      <w:r>
        <w:rPr>
          <w:rFonts w:ascii="Arial" w:hAnsi="Arial" w:hint="cs"/>
          <w:b/>
          <w:bCs/>
          <w:sz w:val="22"/>
          <w:szCs w:val="22"/>
          <w:rtl/>
        </w:rPr>
        <w:t>التصديق</w:t>
      </w:r>
    </w:p>
    <w:p w14:paraId="7F9378B8" w14:textId="0BFD92B8" w:rsidR="009A373B" w:rsidRPr="003C1CCC"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 xml:space="preserve">بعد تصديق سان مارينو الأخير، ارتفع عدد الدول الأطراف في الاتفاقية إلى 181 دولة بتاريخ 31 </w:t>
      </w:r>
      <w:r>
        <w:rPr>
          <w:rFonts w:asciiTheme="minorBidi" w:hAnsiTheme="minorBidi" w:hint="cs"/>
          <w:rtl/>
        </w:rPr>
        <w:t>كانون الأول/ديسمبر</w:t>
      </w:r>
      <w:r>
        <w:rPr>
          <w:rFonts w:hint="cs"/>
          <w:rtl/>
        </w:rPr>
        <w:t xml:space="preserve"> 2023.</w:t>
      </w:r>
    </w:p>
    <w:p w14:paraId="578B1F95" w14:textId="665088B4" w:rsidR="009A373B" w:rsidRPr="003C1CCC" w:rsidRDefault="009A373B" w:rsidP="009A373B">
      <w:pPr>
        <w:pStyle w:val="Paragraphedeliste"/>
        <w:widowControl w:val="0"/>
        <w:numPr>
          <w:ilvl w:val="0"/>
          <w:numId w:val="25"/>
        </w:numPr>
        <w:bidi/>
        <w:spacing w:before="240" w:after="120"/>
        <w:ind w:left="562" w:hanging="562"/>
        <w:contextualSpacing w:val="0"/>
        <w:rPr>
          <w:rFonts w:ascii="Arial" w:hAnsi="Arial" w:cs="Arial"/>
          <w:b/>
          <w:sz w:val="22"/>
          <w:szCs w:val="22"/>
          <w:rtl/>
        </w:rPr>
      </w:pPr>
      <w:r>
        <w:rPr>
          <w:rFonts w:ascii="Arial" w:hAnsi="Arial" w:hint="cs"/>
          <w:b/>
          <w:bCs/>
          <w:sz w:val="22"/>
          <w:szCs w:val="22"/>
          <w:rtl/>
        </w:rPr>
        <w:t xml:space="preserve">ضمان </w:t>
      </w:r>
      <w:r w:rsidR="00ED037E" w:rsidRPr="002D0AF9">
        <w:rPr>
          <w:rFonts w:ascii="Arial" w:hAnsi="Arial"/>
          <w:b/>
          <w:bCs/>
          <w:sz w:val="22"/>
          <w:szCs w:val="22"/>
          <w:rtl/>
        </w:rPr>
        <w:t>الحوكمة الجيدة</w:t>
      </w:r>
      <w:r w:rsidR="00ED037E" w:rsidRPr="002D0AF9" w:rsidDel="00567176">
        <w:rPr>
          <w:rFonts w:ascii="Arial" w:hAnsi="Arial"/>
          <w:b/>
          <w:bCs/>
          <w:sz w:val="22"/>
          <w:szCs w:val="22"/>
          <w:rtl/>
        </w:rPr>
        <w:t xml:space="preserve"> </w:t>
      </w:r>
    </w:p>
    <w:p w14:paraId="0F4770F9" w14:textId="71831BC5" w:rsidR="009A373B"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وافقت الدورة التاسعة للجمعية العامة (من 5 إلى 7 تموز/يوليو 2022 بمقر اليونسكو؛ والمشار إلى جلستها فيما يلي باسم '</w:t>
      </w:r>
      <w:r>
        <w:rPr>
          <w:rFonts w:asciiTheme="minorBidi" w:hAnsiTheme="minorBidi"/>
        </w:rPr>
        <w:t>‎</w:t>
      </w:r>
      <w:r w:rsidR="001D6D1E">
        <w:rPr>
          <w:rFonts w:asciiTheme="minorBidi" w:hAnsiTheme="minorBidi"/>
        </w:rPr>
        <w:t>''</w:t>
      </w:r>
      <w:r>
        <w:rPr>
          <w:rFonts w:asciiTheme="minorBidi" w:hAnsiTheme="minorBidi"/>
        </w:rPr>
        <w:t>9.GA'</w:t>
      </w:r>
      <w:r>
        <w:rPr>
          <w:rFonts w:asciiTheme="minorBidi" w:hAnsiTheme="minorBidi" w:hint="cs"/>
          <w:rtl/>
        </w:rPr>
        <w:t xml:space="preserve">) على خطة لتوظيف موارد صندوق التراث الثقافي غير المادي (المشار إليه فيما يلي باسم "الصندوق") للفترة من 1 كانون الثاني/يناير 2022 إلى 31 كانون الأول/ديسمبر 2023، والتي خصصت 20 في المئة من الميزانية (1,746,531 دولاراً أمريكياً) "للمهام الأخرى للجنة". علاوة على ذلك، تم تخصيص مبلغ إجمالي قدره 436.633 دولاراً أمريكياً (25 في المئة من بند "المهام الأخرى للجنة") لضمان حسن إدارة الاتفاقية القرار </w:t>
      </w:r>
      <w:hyperlink r:id="rId13" w:history="1">
        <w:r>
          <w:rPr>
            <w:rStyle w:val="Lienhypertexte"/>
            <w:rFonts w:asciiTheme="minorBidi" w:hAnsiTheme="minorBidi"/>
          </w:rPr>
          <w:t>‎</w:t>
        </w:r>
        <w:r w:rsidR="001D6D1E" w:rsidRPr="002D07D0">
          <w:rPr>
            <w:rStyle w:val="Lienhypertexte"/>
            <w:rFonts w:asciiTheme="minorBidi" w:hAnsiTheme="minorBidi"/>
            <w:color w:val="auto"/>
            <w:u w:val="none"/>
          </w:rPr>
          <w:t>.(</w:t>
        </w:r>
        <w:r>
          <w:rPr>
            <w:rStyle w:val="Lienhypertexte"/>
            <w:rFonts w:asciiTheme="minorBidi" w:hAnsiTheme="minorBidi"/>
          </w:rPr>
          <w:t>9.GA 10</w:t>
        </w:r>
      </w:hyperlink>
      <w:r w:rsidRPr="002D07D0">
        <w:rPr>
          <w:rStyle w:val="Lienhypertexte"/>
          <w:rFonts w:asciiTheme="minorBidi" w:hAnsiTheme="minorBidi"/>
          <w:color w:val="auto"/>
          <w:u w:val="none"/>
        </w:rPr>
        <w:t>)</w:t>
      </w:r>
    </w:p>
    <w:p w14:paraId="42C5ABC4" w14:textId="0849EA68" w:rsidR="009A373B" w:rsidRPr="007810F4"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snapToGrid/>
          <w:rtl/>
        </w:rPr>
        <w:t>تنظر عملية التفكير الجارية على الصعيد العالمي</w:t>
      </w:r>
      <w:r>
        <w:rPr>
          <w:rFonts w:asciiTheme="minorBidi" w:hAnsiTheme="minorBidi" w:hint="cs"/>
          <w:rtl/>
        </w:rPr>
        <w:t xml:space="preserve"> في التنفيذ الأوسع للمادة 18 من اتفاقية عام 2003 في كيفية تبادل التجارب الجيدة لصون التراث الحي على نطاق أوسع وكيفية إبراز أصوات المجتمعات وتطلعاتها لحماية تراثها الحي. بالإشارة إلى موضوعات التفكير التي حددتها الجلسة السابعة عشر للجنة (القرار </w:t>
      </w:r>
      <w:hyperlink r:id="rId14" w:history="1">
        <w:r>
          <w:rPr>
            <w:rStyle w:val="Lienhypertexte"/>
            <w:rFonts w:asciiTheme="minorBidi" w:hAnsiTheme="minorBidi"/>
          </w:rPr>
          <w:t>‎17.COM 10</w:t>
        </w:r>
      </w:hyperlink>
      <w:r>
        <w:rPr>
          <w:rFonts w:asciiTheme="minorBidi" w:hAnsiTheme="minorBidi" w:hint="cs"/>
          <w:rtl/>
        </w:rPr>
        <w:t xml:space="preserve">) وعلى الأساس الذي وضعه اجتماع الخبراء من الفئة السادسة (من 19 إلى 21 نيسان/أبريل 2023 بستوكهولم في السويد)، </w:t>
      </w:r>
      <w:r>
        <w:rPr>
          <w:rFonts w:hint="cs"/>
          <w:rtl/>
        </w:rPr>
        <w:t xml:space="preserve">انعقد اجتماع الفريق العامل الحكومي الدولي المفتوح العضوية الذي أسسته اللجنة في الفترة من 4 إلى 5 تموز/يوليو 2023 في مقر اليونسكو. وتضمنت توصيات </w:t>
      </w:r>
      <w:r>
        <w:rPr>
          <w:rFonts w:hint="cs"/>
          <w:rtl/>
        </w:rPr>
        <w:lastRenderedPageBreak/>
        <w:t>المجموعة إجراء تنقيحات لمعايير السجل واتباع نهج تدريجي لإنشاء منصة على الإنترنت لتبادل تجارب الصون الجيدة.</w:t>
      </w:r>
      <w:r>
        <w:rPr>
          <w:rFonts w:asciiTheme="minorBidi" w:hAnsiTheme="minorBidi" w:hint="cs"/>
          <w:rtl/>
        </w:rPr>
        <w:t xml:space="preserve"> وبناء على توصية الدورة الثامنة عشرة للجنة </w:t>
      </w:r>
      <w:r w:rsidR="0055513A">
        <w:rPr>
          <w:rFonts w:asciiTheme="minorBidi" w:hAnsiTheme="minorBidi"/>
        </w:rPr>
        <w:t>)</w:t>
      </w:r>
      <w:r w:rsidR="0055513A">
        <w:rPr>
          <w:rFonts w:asciiTheme="minorBidi" w:hAnsiTheme="minorBidi" w:hint="cs"/>
          <w:rtl/>
        </w:rPr>
        <w:t xml:space="preserve">القرار </w:t>
      </w:r>
      <w:hyperlink r:id="rId15" w:history="1">
        <w:r w:rsidR="0055513A" w:rsidRPr="002D07D0">
          <w:rPr>
            <w:rStyle w:val="Lienhypertexte"/>
            <w:rFonts w:asciiTheme="minorBidi" w:hAnsiTheme="minorBidi"/>
            <w:color w:val="auto"/>
            <w:u w:val="none"/>
          </w:rPr>
          <w:t xml:space="preserve"> </w:t>
        </w:r>
        <w:r w:rsidR="0055513A" w:rsidRPr="002D07D0">
          <w:rPr>
            <w:rStyle w:val="Lienhypertexte"/>
            <w:rFonts w:asciiTheme="minorBidi" w:hAnsiTheme="minorBidi"/>
            <w:color w:val="auto"/>
            <w:u w:val="none"/>
            <w:cs/>
          </w:rPr>
          <w:t>‎</w:t>
        </w:r>
        <w:r w:rsidR="0055513A" w:rsidRPr="002D07D0">
          <w:rPr>
            <w:rStyle w:val="Lienhypertexte"/>
            <w:rFonts w:asciiTheme="minorBidi" w:hAnsiTheme="minorBidi"/>
            <w:color w:val="auto"/>
            <w:u w:val="none"/>
          </w:rPr>
          <w:t>(</w:t>
        </w:r>
        <w:r w:rsidR="0055513A">
          <w:rPr>
            <w:rStyle w:val="Lienhypertexte"/>
            <w:rFonts w:asciiTheme="minorBidi" w:hAnsiTheme="minorBidi"/>
          </w:rPr>
          <w:t>18.COM 11</w:t>
        </w:r>
      </w:hyperlink>
      <w:r w:rsidR="0055513A">
        <w:rPr>
          <w:rFonts w:hint="cs"/>
          <w:rtl/>
        </w:rPr>
        <w:t>،</w:t>
      </w:r>
      <w:r>
        <w:rPr>
          <w:rFonts w:asciiTheme="minorBidi" w:hAnsiTheme="minorBidi" w:hint="cs"/>
          <w:rtl/>
        </w:rPr>
        <w:t xml:space="preserve"> </w:t>
      </w:r>
      <w:r w:rsidR="0055513A">
        <w:rPr>
          <w:rFonts w:asciiTheme="minorBidi" w:hAnsiTheme="minorBidi" w:hint="cs"/>
          <w:rtl/>
        </w:rPr>
        <w:t xml:space="preserve">من </w:t>
      </w:r>
      <w:r>
        <w:rPr>
          <w:rFonts w:asciiTheme="minorBidi" w:hAnsiTheme="minorBidi" w:hint="cs"/>
          <w:rtl/>
        </w:rPr>
        <w:t>المقرر أن يتم النظر في مسودة التعديلات على التوجيهات التنفيذية في الدورة العاشرة للجمعية العامة.</w:t>
      </w:r>
    </w:p>
    <w:p w14:paraId="345B5798" w14:textId="6912ABA7" w:rsidR="009A373B" w:rsidRPr="00A61B41"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hint="cs"/>
          <w:rtl/>
        </w:rPr>
        <w:t xml:space="preserve">تم ضمان خدمات إدارة المعرفة الخاصة بالاتفاقية لدعم إدارتها السليمة. ويتضمن ذلك، من بين نقاط أخرى، التشغيل السلس لواجهة رفع التقارير </w:t>
      </w:r>
      <w:r>
        <w:rPr>
          <w:rFonts w:asciiTheme="minorBidi" w:hAnsiTheme="minorBidi" w:hint="cs"/>
          <w:rtl/>
        </w:rPr>
        <w:t>الدورية</w:t>
      </w:r>
      <w:r>
        <w:rPr>
          <w:rFonts w:hint="cs"/>
          <w:rtl/>
        </w:rPr>
        <w:t xml:space="preserve"> عبر الإنترنت، والتي استخدمتها الدول الأطراف في أوروبا في عام 2022 وفي الدول العربية في عام 2023. كما تم توفير العديد من الأدوات التعليمية وإدارة المعرفة عبر الإنترنت في شكل وصول مفتوح.</w:t>
      </w:r>
    </w:p>
    <w:p w14:paraId="2F3C3072" w14:textId="77777777" w:rsidR="009A373B" w:rsidRPr="00A61B41" w:rsidRDefault="009A373B" w:rsidP="009A373B">
      <w:pPr>
        <w:pStyle w:val="Paragraphedeliste"/>
        <w:keepNext/>
        <w:numPr>
          <w:ilvl w:val="0"/>
          <w:numId w:val="25"/>
        </w:numPr>
        <w:bidi/>
        <w:spacing w:before="240" w:after="120"/>
        <w:ind w:left="562" w:hanging="562"/>
        <w:contextualSpacing w:val="0"/>
        <w:jc w:val="both"/>
        <w:rPr>
          <w:rFonts w:ascii="Arial" w:hAnsi="Arial" w:cs="Arial"/>
          <w:b/>
          <w:sz w:val="22"/>
          <w:szCs w:val="22"/>
          <w:rtl/>
        </w:rPr>
      </w:pPr>
      <w:r>
        <w:rPr>
          <w:rFonts w:ascii="Arial" w:hAnsi="Arial" w:hint="cs"/>
          <w:b/>
          <w:bCs/>
          <w:sz w:val="22"/>
          <w:szCs w:val="22"/>
          <w:rtl/>
        </w:rPr>
        <w:t>تعزيز برنامج بناء القدرات والمبادئ التوجيهية بشأن تدابير الصون والممارسات الجيدة</w:t>
      </w:r>
    </w:p>
    <w:p w14:paraId="331B512B" w14:textId="33A5DF54" w:rsidR="009A373B" w:rsidRPr="007810F4"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hint="cs"/>
          <w:rtl/>
        </w:rPr>
        <w:t xml:space="preserve">لا يزال بناء القدرات يشكل أهمية مركزية في فترة اختصاص اتفاقية عام 2003 كواحدة من أولويتي التمويل العالمي للاتفاقية وهي المتمثلة في "تعزيز القدرات على صون التراث الثقافي غير المادي باستخدام نُهج متعددة الوسائط والمساهمة في </w:t>
      </w:r>
      <w:r>
        <w:rPr>
          <w:rFonts w:asciiTheme="minorBidi" w:hAnsiTheme="minorBidi" w:hint="cs"/>
          <w:rtl/>
        </w:rPr>
        <w:t>التنمية</w:t>
      </w:r>
      <w:r>
        <w:rPr>
          <w:rFonts w:hint="cs"/>
          <w:rtl/>
        </w:rPr>
        <w:t xml:space="preserve"> المستدامة". وبالتالي، فقد تم تخصيص مبلغ إجمالي قدره</w:t>
      </w:r>
      <w:r w:rsidR="0055513A">
        <w:t xml:space="preserve">576,355 </w:t>
      </w:r>
      <w:r>
        <w:rPr>
          <w:rFonts w:hint="cs"/>
          <w:rtl/>
        </w:rPr>
        <w:t xml:space="preserve"> دولار أمريكي – أي بواقع 33 في المئة من بند "المهام الأخرى للجنة" – للفترة من كانون الثاني/يناير 2022 إلى كانون الأول/ديسمبر 2023. وقد أكد المعدل المرتفع لتقديم التقارير الدورية من الدول في المناطق الثلاث الأولى التي نفذت هذه العملية، وهي أمريكا اللاتينية ومنطقة البحر الكاريبي، وأوروبا والدول العربية، على فعالية النهج المعتمد لبناء القدرات. وقد رحبت الجلستان السابعة عشرة واللجنة الثامنة عشرة بإعادة توجيه البرنامج العالمي لبناء القدرات، بما في ذلك التحرك نحو نهج التنفيذ المتعدد الوسائط وتوسيع الشبكة العالمية للميسرين (القراران </w:t>
      </w:r>
      <w:hyperlink r:id="rId16" w:history="1">
        <w:r>
          <w:rPr>
            <w:rStyle w:val="Lienhypertexte"/>
          </w:rPr>
          <w:t>‎17.COM 5</w:t>
        </w:r>
      </w:hyperlink>
      <w:r>
        <w:rPr>
          <w:rStyle w:val="Lienhypertexte"/>
          <w:rFonts w:hint="cs"/>
          <w:u w:val="none"/>
          <w:rtl/>
        </w:rPr>
        <w:t xml:space="preserve"> </w:t>
      </w:r>
      <w:r w:rsidRPr="0014558D">
        <w:rPr>
          <w:rStyle w:val="Lienhypertexte"/>
          <w:rFonts w:hint="eastAsia"/>
          <w:color w:val="auto"/>
          <w:u w:val="none"/>
          <w:rtl/>
        </w:rPr>
        <w:t>و</w:t>
      </w:r>
      <w:hyperlink r:id="rId17" w:history="1">
        <w:r w:rsidR="0014558D">
          <w:t>.(</w:t>
        </w:r>
        <w:r>
          <w:rPr>
            <w:rStyle w:val="Lienhypertexte"/>
          </w:rPr>
          <w:t>18.COM 5</w:t>
        </w:r>
      </w:hyperlink>
    </w:p>
    <w:p w14:paraId="3A05AA99" w14:textId="77777777" w:rsidR="009A373B" w:rsidRPr="003C1CCC" w:rsidRDefault="009A373B" w:rsidP="009A373B">
      <w:pPr>
        <w:pStyle w:val="Paragraphedeliste"/>
        <w:keepNext/>
        <w:numPr>
          <w:ilvl w:val="0"/>
          <w:numId w:val="25"/>
        </w:numPr>
        <w:bidi/>
        <w:spacing w:before="240" w:after="120"/>
        <w:ind w:left="562" w:hanging="562"/>
        <w:contextualSpacing w:val="0"/>
        <w:jc w:val="both"/>
        <w:rPr>
          <w:rFonts w:asciiTheme="minorBidi" w:hAnsiTheme="minorBidi" w:cstheme="minorBidi"/>
          <w:b/>
          <w:sz w:val="22"/>
          <w:szCs w:val="22"/>
          <w:rtl/>
        </w:rPr>
      </w:pPr>
      <w:r>
        <w:rPr>
          <w:rFonts w:asciiTheme="minorBidi" w:hAnsiTheme="minorBidi" w:hint="cs"/>
          <w:b/>
          <w:bCs/>
          <w:sz w:val="22"/>
          <w:szCs w:val="22"/>
          <w:rtl/>
        </w:rPr>
        <w:t>دمج التراث الثقافي غير المادي في خطط وسياسات وبرامج التنمية</w:t>
      </w:r>
    </w:p>
    <w:p w14:paraId="066E9078" w14:textId="5DD7FD70" w:rsidR="009A373B"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يعد دمج التراث الثقافي غير المادي في خطط وسياسات وبرامج التنمية أمراً أساسياً لتعزيز أهداف الاتفاقية في سياق خطة التنمية المستدامة لعام 2030. وتم تخصيص مبلغ إجمالي قدره 323,108 دولارات أمريكية لهذا الغرض؛ أي 19 في المئة من بند "المهام الأخرى للجنة" - للفترة 2022-2023. وتماشياً مع أولوية التمويل العالمية الخاصة "بصون التراث الثقافي غير المادي في التعليم النظامي وغير النظامي"، فقد استعرض حوالي خمسين بلداً دمج التراث الحي في سياقاتها التعليمية. كما تم أيضاً تأسيس شبكة تعليمية عالمية تضم أشخاصاً ذوي خبرة، ومركز تبادل المعلومات العالمي لتبادل المعرفة حول التراث الحي والتعليم، والدورة التدريبية المفتوحة الضخمة عبر الإنترنت حول صون التراث الثقافي غير المادي والتنمية المستدامة (</w:t>
      </w:r>
      <w:r>
        <w:t>MOOC</w:t>
      </w:r>
      <w:r>
        <w:rPr>
          <w:rFonts w:hint="cs"/>
          <w:rtl/>
        </w:rPr>
        <w:t>)</w:t>
      </w:r>
      <w:r>
        <w:rPr>
          <w:rFonts w:asciiTheme="minorBidi" w:hAnsiTheme="minorBidi" w:hint="cs"/>
          <w:rtl/>
        </w:rPr>
        <w:t>.</w:t>
      </w:r>
    </w:p>
    <w:p w14:paraId="5AA8F9C0" w14:textId="747E5ECA" w:rsidR="009A373B" w:rsidRPr="00D332EB"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 xml:space="preserve">في إطار المبادرات المواضيعية بموجب اتفاقية عام 2003 واستجابة للطلب المقدم من الدورة السابعة عشرة للجنة (القرار </w:t>
      </w:r>
      <w:hyperlink r:id="rId18" w:history="1">
        <w:r>
          <w:rPr>
            <w:color w:val="0000FF"/>
            <w:u w:val="single"/>
          </w:rPr>
          <w:t>‎17.COM 13</w:t>
        </w:r>
      </w:hyperlink>
      <w:r>
        <w:rPr>
          <w:rFonts w:hint="cs"/>
          <w:rtl/>
        </w:rPr>
        <w:t xml:space="preserve">)، أحاطت الدورة الثامنة عشرة للجنة علماً بمذكرة توجيهية بشأن الأبعاد الاقتصادية لصون التراث الثقافي غير المادي والتي تهدف إلى استكشاف طرق لتعظيم الآثار الإيجابية على </w:t>
      </w:r>
      <w:r w:rsidR="00D81F18" w:rsidRPr="0014558D">
        <w:rPr>
          <w:rtl/>
        </w:rPr>
        <w:t>الجماعات</w:t>
      </w:r>
      <w:r>
        <w:rPr>
          <w:rFonts w:hint="cs"/>
          <w:rtl/>
        </w:rPr>
        <w:t xml:space="preserve"> والمجموعات والأفراد، مع التخفيف من الآثار السلبية للأنشطة الاقتصادية على صون التراث الحي </w:t>
      </w:r>
      <w:r w:rsidR="00D81F18">
        <w:rPr>
          <w:rFonts w:hint="cs"/>
          <w:rtl/>
        </w:rPr>
        <w:t>والتنمية</w:t>
      </w:r>
      <w:r>
        <w:rPr>
          <w:rFonts w:hint="cs"/>
          <w:rtl/>
        </w:rPr>
        <w:t xml:space="preserve"> </w:t>
      </w:r>
      <w:r w:rsidR="00D81F18">
        <w:rPr>
          <w:rFonts w:hint="cs"/>
          <w:rtl/>
        </w:rPr>
        <w:t>ال</w:t>
      </w:r>
      <w:r>
        <w:rPr>
          <w:rFonts w:hint="cs"/>
          <w:rtl/>
        </w:rPr>
        <w:t xml:space="preserve">مستدامة (القرار </w:t>
      </w:r>
      <w:r>
        <w:t>‎</w:t>
      </w:r>
      <w:r w:rsidR="00D81F18">
        <w:t>.(</w:t>
      </w:r>
      <w:hyperlink r:id="rId19" w:history="1">
        <w:r w:rsidRPr="00D81F18">
          <w:rPr>
            <w:rStyle w:val="Lienhypertexte"/>
          </w:rPr>
          <w:t>18.COM 12</w:t>
        </w:r>
      </w:hyperlink>
      <w:r>
        <w:rPr>
          <w:rFonts w:hint="cs"/>
          <w:rtl/>
        </w:rPr>
        <w:t xml:space="preserve"> وتحقيقاً لهذه الغاية، تم تنظيم اجتماع خبراء من الفئة السادسة في الفترة من 27 إلى 28 أيلول/سبتمبر 2023 (مقر اليونسكو) وفي 20 تشرين الأول/أكتوبر 2023 (عبر الإنترنت). علاوة على ذلك، هناك موضوعان إضافيان حول التراث الحي و</w:t>
      </w:r>
      <w:r>
        <w:rPr>
          <w:rFonts w:asciiTheme="minorBidi" w:hAnsiTheme="minorBidi" w:hint="cs"/>
          <w:rtl/>
        </w:rPr>
        <w:t>التنمية</w:t>
      </w:r>
      <w:r>
        <w:rPr>
          <w:rFonts w:hint="cs"/>
          <w:rtl/>
        </w:rPr>
        <w:t xml:space="preserve"> المستدامة كانا مستمرين، مع التركيز على: (1) صون التراث الثقافي غير المادي وتغير المناخ، (2) صون التراث الثقافي غير المادي في السياقات الحضرية. أحاطت الدورتان السابعة عشر والثامنة عشر للجنة علماً بالتقدم المحرز (القراران </w:t>
      </w:r>
      <w:hyperlink r:id="rId20" w:history="1">
        <w:r>
          <w:rPr>
            <w:rStyle w:val="Lienhypertexte"/>
          </w:rPr>
          <w:t>‎17.COM 13</w:t>
        </w:r>
      </w:hyperlink>
      <w:r>
        <w:rPr>
          <w:rFonts w:hint="cs"/>
          <w:rtl/>
        </w:rPr>
        <w:t xml:space="preserve"> و</w:t>
      </w:r>
      <w:hyperlink r:id="rId21" w:history="1">
        <w:r>
          <w:rPr>
            <w:rStyle w:val="Lienhypertexte"/>
          </w:rPr>
          <w:t>‎</w:t>
        </w:r>
        <w:r w:rsidR="00D81F18" w:rsidRPr="002D07D0">
          <w:rPr>
            <w:rStyle w:val="Lienhypertexte"/>
            <w:color w:val="auto"/>
            <w:u w:val="none"/>
          </w:rPr>
          <w:t>.(</w:t>
        </w:r>
        <w:r>
          <w:rPr>
            <w:rStyle w:val="Lienhypertexte"/>
          </w:rPr>
          <w:t>18.COM 12</w:t>
        </w:r>
      </w:hyperlink>
    </w:p>
    <w:p w14:paraId="1F821065" w14:textId="2F076478" w:rsidR="009A373B" w:rsidRPr="003C1CCC" w:rsidRDefault="009A373B" w:rsidP="009A373B">
      <w:pPr>
        <w:pStyle w:val="Paragraphedeliste"/>
        <w:keepNext/>
        <w:numPr>
          <w:ilvl w:val="0"/>
          <w:numId w:val="25"/>
        </w:numPr>
        <w:tabs>
          <w:tab w:val="num" w:pos="567"/>
        </w:tabs>
        <w:bidi/>
        <w:spacing w:before="240" w:after="120"/>
        <w:ind w:left="562" w:hanging="562"/>
        <w:contextualSpacing w:val="0"/>
        <w:rPr>
          <w:rFonts w:ascii="Arial" w:hAnsi="Arial" w:cs="Arial"/>
          <w:b/>
          <w:sz w:val="22"/>
          <w:szCs w:val="22"/>
          <w:rtl/>
        </w:rPr>
      </w:pPr>
      <w:r>
        <w:rPr>
          <w:rFonts w:ascii="Arial" w:hAnsi="Arial" w:hint="cs"/>
          <w:b/>
          <w:bCs/>
          <w:sz w:val="22"/>
          <w:szCs w:val="22"/>
          <w:rtl/>
        </w:rPr>
        <w:t xml:space="preserve">التوعية </w:t>
      </w:r>
      <w:r w:rsidR="00ED037E" w:rsidRPr="002D0AF9">
        <w:rPr>
          <w:rFonts w:ascii="Arial" w:hAnsi="Arial"/>
          <w:b/>
          <w:bCs/>
          <w:sz w:val="22"/>
          <w:szCs w:val="22"/>
          <w:rtl/>
        </w:rPr>
        <w:t>ونشر المعلومات</w:t>
      </w:r>
      <w:r w:rsidR="00ED037E" w:rsidDel="00ED037E">
        <w:rPr>
          <w:rFonts w:ascii="Arial" w:hAnsi="Arial" w:hint="cs"/>
          <w:b/>
          <w:bCs/>
          <w:sz w:val="22"/>
          <w:szCs w:val="22"/>
          <w:rtl/>
        </w:rPr>
        <w:t xml:space="preserve"> </w:t>
      </w:r>
    </w:p>
    <w:p w14:paraId="5BBBBDC5" w14:textId="436C4DF8" w:rsidR="009A373B" w:rsidRPr="003C1CCC"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تُعتبر التوعية بأهمية التراث الثقافي غير المادي وتعزيز أهداف</w:t>
      </w:r>
      <w:r>
        <w:rPr>
          <w:rFonts w:asciiTheme="minorBidi" w:hAnsiTheme="minorBidi" w:hint="cs"/>
          <w:rtl/>
        </w:rPr>
        <w:t xml:space="preserve"> </w:t>
      </w:r>
      <w:r>
        <w:rPr>
          <w:rFonts w:hint="cs"/>
          <w:rtl/>
        </w:rPr>
        <w:t>الاتفاقية بمثابة إجراءات صون في حد ذاتها، وذلك على النحو المحدد في المادة 2.3 من الاتفاقية. وتم تخصيص مبلغ إجمالي قدره 410,435 دولاراً أمريكياً - أي 23 في المئة من بند "المهام الأخرى للجنة" - لدعم مبادرة الأمانة في مجالات العمل هذه للفترة 2022-2023.</w:t>
      </w:r>
    </w:p>
    <w:p w14:paraId="4C6C088E" w14:textId="03DE780A" w:rsidR="009A373B" w:rsidRPr="008A59AE"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 xml:space="preserve">صادف عام 2023 الذكرى السنوية العشرين لاتفاقية عام 2003 لصون التراث الثقافي غير المادي. وكانت هذه فرصة لجميع الأطراف المعنية المشاركة لتقييم التقدم المحرز والتفكير في الاتجاهات المستقبلية التي ينبغي للاتفاقية أن تتخذها. وكانت الذكرى السنوية، التي نُظمت تحت شعار "نحن التراث الحي" </w:t>
      </w:r>
      <w:r>
        <w:rPr>
          <w:rFonts w:asciiTheme="minorBidi" w:hAnsiTheme="minorBidi"/>
        </w:rPr>
        <w:t>‎#LivingHeritage)</w:t>
      </w:r>
      <w:r w:rsidR="00833889" w:rsidDel="00833889">
        <w:rPr>
          <w:rFonts w:asciiTheme="minorBidi" w:hAnsiTheme="minorBidi" w:hint="cs"/>
          <w:rtl/>
        </w:rPr>
        <w:t xml:space="preserve"> </w:t>
      </w:r>
      <w:r w:rsidR="00833889">
        <w:rPr>
          <w:rFonts w:asciiTheme="minorBidi" w:hAnsiTheme="minorBidi"/>
        </w:rPr>
        <w:t>(</w:t>
      </w:r>
      <w:r w:rsidR="00833889">
        <w:rPr>
          <w:rFonts w:asciiTheme="minorBidi" w:hAnsiTheme="minorBidi" w:hint="cs"/>
          <w:rtl/>
        </w:rPr>
        <w:t>،</w:t>
      </w:r>
      <w:r>
        <w:rPr>
          <w:rFonts w:asciiTheme="minorBidi" w:hAnsiTheme="minorBidi" w:hint="cs"/>
          <w:rtl/>
        </w:rPr>
        <w:t xml:space="preserve"> بمثابة فرصة للتفكير في دور اتفاقية عام 2003 في رفع مستوى الوعي حول تنوع وثراء التراث الثقافي غير المادي وفي تعزيز التعاون الدولي. ومن أبرز الفعاليات التي تم تنظيمها للاحتفال بالذكرى السنوية الاجتماع العالمي الذي نتج عنه "رؤية سيول لمستقبل صون التراث الحي من أجل التنمية المستدامة والسلام" (25 إلى 26 تموز/يوليو 2023، سيول، جمهورية كوريا).</w:t>
      </w:r>
    </w:p>
    <w:p w14:paraId="67910F31" w14:textId="0DF91E77" w:rsidR="009A373B" w:rsidRPr="00C369A4"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 xml:space="preserve">في أعقاب الممارسة التي تم طرحها عام 2020، فقد نظرت الدورتان السابعة عشر والثامنة عشر للجنة في "تقرير منتدى المنظمات غير الحكومية" ضمن بند مستقل في جدول الأعمال. استطراداً لعملية التفكير الذي جرت (2018-2020) حول كيفية استكشاف الإمكانات غير المستغلة للمنظمات غير الحكومية المعتمدة، فقد أجرى منتدى المنظمات غير الحكومية المعنية </w:t>
      </w:r>
      <w:r>
        <w:rPr>
          <w:rFonts w:hint="cs"/>
          <w:rtl/>
        </w:rPr>
        <w:lastRenderedPageBreak/>
        <w:t>بالتراث الثقافي غير المادي عملية رسم خرائط لتحديد مجالات اختصاص خمس وستين منظمة غير حكومية معتمدة؛ وتم تقديم الرسوم الإعلامية الناتجة بفضل هذه العملية إلى الدورة الثامنة عشر للجنة.</w:t>
      </w:r>
    </w:p>
    <w:p w14:paraId="4300C250" w14:textId="323DE2C3" w:rsidR="009A373B" w:rsidRPr="003C1CCC" w:rsidRDefault="009A373B" w:rsidP="009A373B">
      <w:pPr>
        <w:keepNext/>
        <w:numPr>
          <w:ilvl w:val="0"/>
          <w:numId w:val="24"/>
        </w:numPr>
        <w:tabs>
          <w:tab w:val="num" w:pos="567"/>
        </w:tabs>
        <w:bidi/>
        <w:snapToGrid w:val="0"/>
        <w:spacing w:before="240" w:after="120"/>
        <w:ind w:left="567" w:hanging="567"/>
        <w:jc w:val="both"/>
        <w:rPr>
          <w:rFonts w:ascii="Arial" w:hAnsi="Arial" w:cs="Arial"/>
          <w:sz w:val="22"/>
          <w:szCs w:val="22"/>
          <w:rtl/>
        </w:rPr>
      </w:pPr>
      <w:r>
        <w:rPr>
          <w:rFonts w:ascii="Arial" w:hAnsi="Arial" w:hint="cs"/>
          <w:b/>
          <w:bCs/>
          <w:sz w:val="22"/>
          <w:szCs w:val="22"/>
          <w:rtl/>
        </w:rPr>
        <w:t xml:space="preserve">إعداد مشروع خطة </w:t>
      </w:r>
      <w:r w:rsidR="00ED037E" w:rsidRPr="002D0AF9">
        <w:rPr>
          <w:rFonts w:ascii="Arial" w:hAnsi="Arial"/>
          <w:b/>
          <w:bCs/>
          <w:sz w:val="22"/>
          <w:szCs w:val="22"/>
          <w:rtl/>
        </w:rPr>
        <w:t>لاستخدام</w:t>
      </w:r>
      <w:r>
        <w:rPr>
          <w:rFonts w:ascii="Arial" w:hAnsi="Arial" w:hint="cs"/>
          <w:b/>
          <w:bCs/>
          <w:sz w:val="22"/>
          <w:szCs w:val="22"/>
          <w:rtl/>
        </w:rPr>
        <w:t xml:space="preserve"> موارد الصندوق </w:t>
      </w:r>
      <w:r w:rsidR="00ED037E" w:rsidRPr="002D0AF9">
        <w:rPr>
          <w:rFonts w:ascii="Arial" w:hAnsi="Arial"/>
          <w:b/>
          <w:bCs/>
          <w:sz w:val="22"/>
          <w:szCs w:val="22"/>
          <w:rtl/>
        </w:rPr>
        <w:t>وزيادتها</w:t>
      </w:r>
      <w:r w:rsidR="00ED037E" w:rsidDel="00ED037E">
        <w:rPr>
          <w:rFonts w:ascii="Arial" w:hAnsi="Arial" w:hint="cs"/>
          <w:b/>
          <w:bCs/>
          <w:sz w:val="22"/>
          <w:szCs w:val="22"/>
          <w:rtl/>
        </w:rPr>
        <w:t xml:space="preserve"> </w:t>
      </w:r>
      <w:r>
        <w:rPr>
          <w:rFonts w:ascii="Arial" w:hAnsi="Arial" w:hint="cs"/>
          <w:sz w:val="22"/>
          <w:szCs w:val="22"/>
          <w:rtl/>
        </w:rPr>
        <w:t>(المادتان 7[ج] و7[د])</w:t>
      </w:r>
    </w:p>
    <w:p w14:paraId="0F2B460A" w14:textId="74000BC0" w:rsidR="009A373B" w:rsidRPr="00CD4A12"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r>
        <w:rPr>
          <w:rFonts w:asciiTheme="minorBidi" w:hAnsiTheme="minorBidi" w:hint="cs"/>
          <w:rtl/>
        </w:rPr>
        <w:t xml:space="preserve">ونظرت اللجنة في دورتها الثامنة عشرة في مشروع خطة لاستخدام موارد الصندوق للفترة من 1 كانون الثاني/يناير 2024 إلى 31 كانون الأول/ديسمبر 2025، وعلى أساس مؤقت، في النصف الأول من عام 2026 (القرار </w:t>
      </w:r>
      <w:hyperlink r:id="rId22" w:history="1">
        <w:r>
          <w:rPr>
            <w:rStyle w:val="Lienhypertexte"/>
            <w:rFonts w:asciiTheme="minorBidi" w:hAnsiTheme="minorBidi"/>
          </w:rPr>
          <w:t>‎</w:t>
        </w:r>
        <w:r w:rsidR="00AD314B" w:rsidRPr="002D07D0">
          <w:rPr>
            <w:rStyle w:val="Lienhypertexte"/>
            <w:rFonts w:asciiTheme="minorBidi" w:hAnsiTheme="minorBidi"/>
            <w:color w:val="auto"/>
            <w:u w:val="none"/>
          </w:rPr>
          <w:t>.(</w:t>
        </w:r>
        <w:r>
          <w:rPr>
            <w:rStyle w:val="Lienhypertexte"/>
            <w:rFonts w:asciiTheme="minorBidi" w:hAnsiTheme="minorBidi"/>
          </w:rPr>
          <w:t>18.COM 14</w:t>
        </w:r>
      </w:hyperlink>
      <w:r>
        <w:rPr>
          <w:rFonts w:asciiTheme="minorBidi" w:hAnsiTheme="minorBidi" w:hint="cs"/>
          <w:rtl/>
        </w:rPr>
        <w:t xml:space="preserve"> تماشياً مع إجراءات الموافقة التي أدخلتها اللجنة في عام 2019 على "المهام الأخرى للجنة" (</w:t>
      </w:r>
      <w:r w:rsidR="00AD314B">
        <w:rPr>
          <w:rFonts w:asciiTheme="minorBidi" w:hAnsiTheme="minorBidi" w:hint="cs"/>
          <w:rtl/>
        </w:rPr>
        <w:t>القرار</w:t>
      </w:r>
      <w:r w:rsidR="00AD314B" w:rsidDel="00AD314B">
        <w:rPr>
          <w:rFonts w:asciiTheme="minorBidi" w:hAnsiTheme="minorBidi" w:hint="cs"/>
          <w:rtl/>
        </w:rPr>
        <w:t xml:space="preserve"> </w:t>
      </w:r>
      <w:hyperlink r:id="rId23" w:history="1">
        <w:r>
          <w:rPr>
            <w:rStyle w:val="Lienhypertexte"/>
            <w:rFonts w:asciiTheme="minorBidi" w:hAnsiTheme="minorBidi"/>
          </w:rPr>
          <w:t>‎</w:t>
        </w:r>
        <w:r w:rsidR="00AD314B" w:rsidRPr="002D07D0">
          <w:rPr>
            <w:rStyle w:val="Lienhypertexte"/>
            <w:rFonts w:asciiTheme="minorBidi" w:hAnsiTheme="minorBidi"/>
            <w:color w:val="auto"/>
            <w:u w:val="none"/>
          </w:rPr>
          <w:t xml:space="preserve"> (</w:t>
        </w:r>
        <w:r>
          <w:rPr>
            <w:rStyle w:val="Lienhypertexte"/>
            <w:rFonts w:asciiTheme="minorBidi" w:hAnsiTheme="minorBidi"/>
          </w:rPr>
          <w:t>14.COM 7</w:t>
        </w:r>
      </w:hyperlink>
      <w:r>
        <w:rPr>
          <w:rFonts w:asciiTheme="minorBidi" w:hAnsiTheme="minorBidi" w:hint="cs"/>
          <w:rtl/>
        </w:rPr>
        <w:t xml:space="preserve">تم تقديم مشروع الخطة مع توزيع النسبة المئوية تحت بند الميزانية "المهام الأخرى للجنة"، من حيث النتائج المتوقعة وفقاً للوثيقة </w:t>
      </w:r>
      <w:r>
        <w:rPr>
          <w:rFonts w:asciiTheme="minorBidi" w:hAnsiTheme="minorBidi"/>
        </w:rPr>
        <w:t>C/5</w:t>
      </w:r>
      <w:r>
        <w:rPr>
          <w:rFonts w:asciiTheme="minorBidi" w:hAnsiTheme="minorBidi" w:hint="cs"/>
          <w:rtl/>
        </w:rPr>
        <w:t xml:space="preserve"> المعتمدة. وسيتم تقديم مشروع الخطة هذا إلى الدورة العاشرة للجمعية العامة في عام 2024 للموافقة عليه. ولا تزال النسبة الأكبر مخصصة للمساعدة الدولية (انظر</w:t>
      </w:r>
      <w:r w:rsidR="00BF33CE" w:rsidRPr="00BF33CE">
        <w:rPr>
          <w:rFonts w:asciiTheme="minorBidi" w:hAnsiTheme="minorBidi" w:hint="cs"/>
          <w:rtl/>
        </w:rPr>
        <w:t xml:space="preserve"> </w:t>
      </w:r>
      <w:r w:rsidR="00BF33CE">
        <w:rPr>
          <w:rFonts w:asciiTheme="minorBidi" w:hAnsiTheme="minorBidi" w:hint="cs"/>
          <w:rtl/>
        </w:rPr>
        <w:t>الوثيقة</w:t>
      </w:r>
      <w:r>
        <w:rPr>
          <w:rFonts w:asciiTheme="minorBidi" w:hAnsiTheme="minorBidi" w:hint="cs"/>
          <w:rtl/>
        </w:rPr>
        <w:t xml:space="preserve"> </w:t>
      </w:r>
      <w:hyperlink r:id="rId24" w:history="1">
        <w:r>
          <w:rPr>
            <w:rStyle w:val="Lienhypertexte"/>
            <w:rFonts w:asciiTheme="minorBidi" w:hAnsiTheme="minorBidi"/>
          </w:rPr>
          <w:t>LHE/23/18.COM/14</w:t>
        </w:r>
      </w:hyperlink>
      <w:r>
        <w:rPr>
          <w:rFonts w:asciiTheme="minorBidi" w:hAnsiTheme="minorBidi" w:hint="cs"/>
          <w:rtl/>
        </w:rPr>
        <w:t xml:space="preserve"> للاطلاع على الخطة التفصيلية).</w:t>
      </w:r>
    </w:p>
    <w:p w14:paraId="0A2AB258" w14:textId="7DE33509" w:rsidR="009A373B" w:rsidRPr="00CD4A12"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bookmarkStart w:id="1" w:name="_Hlk144213364"/>
      <w:r>
        <w:rPr>
          <w:rFonts w:asciiTheme="minorBidi" w:hAnsiTheme="minorBidi" w:hint="cs"/>
          <w:rtl/>
        </w:rPr>
        <w:t>خلال الفترة المشمولة بالتقرير، تم تقديم مساهمات تكميلية طوعية للصندوق بقيمة 196,046.80 دولاراً أمريكياً من هولندا والمركز الدولي للإعلام والربط الشبكي في مجال التراث الثقافي غير المادي لمنطقة آسيا والمحيط الهادي تحت رعاية اليونسكو (</w:t>
      </w:r>
      <w:r>
        <w:rPr>
          <w:rFonts w:asciiTheme="minorBidi" w:hAnsiTheme="minorBidi"/>
        </w:rPr>
        <w:t>ICHCAP</w:t>
      </w:r>
      <w:r>
        <w:rPr>
          <w:rFonts w:asciiTheme="minorBidi" w:hAnsiTheme="minorBidi" w:hint="cs"/>
          <w:rtl/>
        </w:rPr>
        <w:t>، جمهورية كوريا). مولت هذه المساهمات أول أولويات التمويل، "تعزيز القدرات على صون التراث الثقافي غير المادي والمساهمة في التنمية المستدامة وصون التراث الثقافي غير المادي في التعليم النظامي وغير النظامي"، والتي تمت الموافقة عليها للفترة 2018-2021 (</w:t>
      </w:r>
      <w:r w:rsidR="00BF33CE">
        <w:rPr>
          <w:rFonts w:asciiTheme="minorBidi" w:hAnsiTheme="minorBidi" w:hint="cs"/>
          <w:rtl/>
        </w:rPr>
        <w:t>ال</w:t>
      </w:r>
      <w:r>
        <w:rPr>
          <w:rFonts w:asciiTheme="minorBidi" w:hAnsiTheme="minorBidi" w:hint="cs"/>
          <w:rtl/>
        </w:rPr>
        <w:t xml:space="preserve">قرار </w:t>
      </w:r>
      <w:hyperlink r:id="rId25" w:history="1">
        <w:r>
          <w:rPr>
            <w:rStyle w:val="Lienhypertexte"/>
            <w:rFonts w:asciiTheme="minorBidi" w:hAnsiTheme="minorBidi"/>
          </w:rPr>
          <w:t>‎12.COM 6</w:t>
        </w:r>
      </w:hyperlink>
      <w:r>
        <w:rPr>
          <w:rFonts w:asciiTheme="minorBidi" w:hAnsiTheme="minorBidi" w:hint="cs"/>
          <w:rtl/>
        </w:rPr>
        <w:t xml:space="preserve">) وتم تجديده بالتالي في الدورة السادسة عشرة للجنة (القرار </w:t>
      </w:r>
      <w:hyperlink r:id="rId26" w:history="1">
        <w:r>
          <w:rPr>
            <w:rStyle w:val="Lienhypertexte"/>
            <w:rFonts w:asciiTheme="minorBidi" w:hAnsiTheme="minorBidi"/>
          </w:rPr>
          <w:t>‎16.COM 12</w:t>
        </w:r>
      </w:hyperlink>
      <w:r>
        <w:rPr>
          <w:rFonts w:asciiTheme="minorBidi" w:hAnsiTheme="minorBidi" w:hint="cs"/>
          <w:rtl/>
        </w:rPr>
        <w:t xml:space="preserve">) للفترة 2022-2025. كما تلقى الصندوق الفرعي للصندوق – المخصص حصرياً لتعزيز القدرات البشرية للأمانة – مساهمات قدرها 134,201.81 دولاراً أمريكياً من فرنسا وليتوانيا وموناكو وسلوفاكيا وسلوفينيا (الوثيقة </w:t>
      </w:r>
      <w:r w:rsidR="00BF33CE">
        <w:rPr>
          <w:rFonts w:asciiTheme="minorBidi" w:hAnsiTheme="minorBidi"/>
        </w:rPr>
        <w:t xml:space="preserve"> .(</w:t>
      </w:r>
      <w:hyperlink r:id="rId27" w:history="1">
        <w:r>
          <w:rPr>
            <w:rStyle w:val="Lienhypertexte"/>
            <w:rFonts w:asciiTheme="minorBidi" w:hAnsiTheme="minorBidi"/>
          </w:rPr>
          <w:t>LHE/23/18.COM/INF.14</w:t>
        </w:r>
      </w:hyperlink>
    </w:p>
    <w:bookmarkEnd w:id="1"/>
    <w:p w14:paraId="2308A31A" w14:textId="77777777" w:rsidR="009A373B" w:rsidRPr="00CD4A12" w:rsidRDefault="009A373B" w:rsidP="009A373B">
      <w:pPr>
        <w:keepNext/>
        <w:numPr>
          <w:ilvl w:val="0"/>
          <w:numId w:val="24"/>
        </w:numPr>
        <w:tabs>
          <w:tab w:val="clear" w:pos="720"/>
          <w:tab w:val="num" w:pos="567"/>
        </w:tabs>
        <w:bidi/>
        <w:spacing w:before="240" w:after="120"/>
        <w:ind w:left="562" w:hanging="562"/>
        <w:rPr>
          <w:rFonts w:ascii="Arial" w:hAnsi="Arial" w:cs="Arial"/>
          <w:b/>
          <w:sz w:val="22"/>
          <w:szCs w:val="22"/>
          <w:rtl/>
        </w:rPr>
      </w:pPr>
      <w:r>
        <w:rPr>
          <w:rFonts w:ascii="Arial" w:hAnsi="Arial" w:hint="cs"/>
          <w:b/>
          <w:bCs/>
          <w:sz w:val="22"/>
          <w:szCs w:val="22"/>
          <w:rtl/>
        </w:rPr>
        <w:t>فحص التقارير الدورية</w:t>
      </w:r>
      <w:r>
        <w:rPr>
          <w:rFonts w:ascii="Arial" w:hAnsi="Arial" w:hint="cs"/>
          <w:sz w:val="22"/>
          <w:szCs w:val="22"/>
          <w:rtl/>
        </w:rPr>
        <w:t xml:space="preserve"> (المادة 7[و])</w:t>
      </w:r>
    </w:p>
    <w:p w14:paraId="1D65DAB7" w14:textId="4A63DD63" w:rsidR="009A373B" w:rsidRPr="00CD4A12"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rtl/>
        </w:rPr>
      </w:pPr>
      <w:r>
        <w:rPr>
          <w:rFonts w:asciiTheme="minorBidi" w:hAnsiTheme="minorBidi" w:hint="cs"/>
          <w:rtl/>
        </w:rPr>
        <w:t xml:space="preserve">نظرت اللجنة في تسعة وثلاثين تقريراً عن حالة العناصر المدرجة في قائمة الصون العاجل – أربعة وعشرون تقريراً في دورتها السابعة عشرة في عام 2022 وخمسة عشر في دورتها الثامنة عشرة في عام 2023. وفي معرض النظر في هذه التقارير، أقرت اللجنة بتعزيز صلاحية بعض العناصر المدرجة، والتي أشارت التقارير إلى أنها لم تعد بحاجة إلى صون عاجل، وأحاطت علماً بالدول الأطراف التي أعربت عن رغبتها في نقل عناصر من قائمة الصون العاجل إلى القائمة التمثيلية (القرار </w:t>
      </w:r>
      <w:hyperlink r:id="rId28" w:history="1">
        <w:r>
          <w:rPr>
            <w:rStyle w:val="Lienhypertexte"/>
            <w:rFonts w:asciiTheme="minorBidi" w:hAnsiTheme="minorBidi"/>
          </w:rPr>
          <w:t>‎17.COM 6.a</w:t>
        </w:r>
      </w:hyperlink>
      <w:r>
        <w:rPr>
          <w:rFonts w:asciiTheme="minorBidi" w:hAnsiTheme="minorBidi" w:hint="cs"/>
          <w:rtl/>
        </w:rPr>
        <w:t xml:space="preserve"> والقرار </w:t>
      </w:r>
      <w:hyperlink r:id="rId29" w:history="1">
        <w:r>
          <w:rPr>
            <w:rStyle w:val="Lienhypertexte"/>
            <w:rFonts w:asciiTheme="minorBidi" w:hAnsiTheme="minorBidi"/>
          </w:rPr>
          <w:t>‎</w:t>
        </w:r>
        <w:r w:rsidR="00BF33CE" w:rsidRPr="002D07D0">
          <w:rPr>
            <w:rStyle w:val="Lienhypertexte"/>
            <w:rFonts w:asciiTheme="minorBidi" w:hAnsiTheme="minorBidi"/>
            <w:color w:val="auto"/>
            <w:u w:val="none"/>
          </w:rPr>
          <w:t>.(</w:t>
        </w:r>
        <w:r>
          <w:rPr>
            <w:rStyle w:val="Lienhypertexte"/>
            <w:rFonts w:asciiTheme="minorBidi" w:hAnsiTheme="minorBidi"/>
          </w:rPr>
          <w:t>18.COM 7.a</w:t>
        </w:r>
      </w:hyperlink>
    </w:p>
    <w:p w14:paraId="67844FC8" w14:textId="13DA3EA0" w:rsidR="009A373B" w:rsidRPr="00CD4A12" w:rsidRDefault="009A373B" w:rsidP="009A373B">
      <w:pPr>
        <w:pStyle w:val="Marge"/>
        <w:numPr>
          <w:ilvl w:val="0"/>
          <w:numId w:val="23"/>
        </w:numPr>
        <w:tabs>
          <w:tab w:val="clear" w:pos="502"/>
          <w:tab w:val="num" w:pos="567"/>
        </w:tabs>
        <w:bidi/>
        <w:spacing w:before="120" w:after="120"/>
        <w:ind w:left="567" w:hanging="567"/>
        <w:rPr>
          <w:rFonts w:asciiTheme="minorBidi" w:hAnsiTheme="minorBidi" w:cstheme="minorBidi"/>
          <w:szCs w:val="22"/>
          <w:rtl/>
        </w:rPr>
      </w:pPr>
      <w:bookmarkStart w:id="2" w:name="_Hlk165283084"/>
      <w:r>
        <w:rPr>
          <w:rFonts w:asciiTheme="minorBidi" w:hAnsiTheme="minorBidi" w:hint="cs"/>
          <w:rtl/>
        </w:rPr>
        <w:t xml:space="preserve">في إطار الدورة المستمرة لنظام التقارير الدورية، نظرت اللجنة في إجمالي اثنين وستين تقريراً: إذ فحصت الدورة السابعة عشر للجنة التقارير المقدمة من جميع الدول الأطراف الأربع والأربعين في أوروبا (القرار </w:t>
      </w:r>
      <w:hyperlink r:id="rId30" w:history="1">
        <w:r>
          <w:rPr>
            <w:rStyle w:val="Lienhypertexte"/>
            <w:rFonts w:asciiTheme="minorBidi" w:hAnsiTheme="minorBidi"/>
          </w:rPr>
          <w:t>‎17.COM 6.b</w:t>
        </w:r>
      </w:hyperlink>
      <w:r>
        <w:rPr>
          <w:rFonts w:asciiTheme="minorBidi" w:hAnsiTheme="minorBidi" w:hint="cs"/>
          <w:rtl/>
        </w:rPr>
        <w:t xml:space="preserve">) وقامت الدورة الثامنة عشر للجنة بدراسة التقارير المقدمة من جميع الدول الأطراف الثماني عشرة في الدول العربية (القرار </w:t>
      </w:r>
      <w:hyperlink r:id="rId31" w:history="1">
        <w:r w:rsidRPr="002D07D0">
          <w:rPr>
            <w:rStyle w:val="Lienhypertexte"/>
            <w:rFonts w:asciiTheme="minorBidi" w:hAnsiTheme="minorBidi"/>
            <w:color w:val="auto"/>
            <w:u w:val="none"/>
          </w:rPr>
          <w:t>‎</w:t>
        </w:r>
        <w:r w:rsidR="003A27E4" w:rsidRPr="002D07D0">
          <w:rPr>
            <w:rStyle w:val="Lienhypertexte"/>
            <w:rFonts w:asciiTheme="minorBidi" w:hAnsiTheme="minorBidi"/>
            <w:color w:val="auto"/>
            <w:u w:val="none"/>
          </w:rPr>
          <w:t>(</w:t>
        </w:r>
        <w:r>
          <w:rPr>
            <w:rStyle w:val="Lienhypertexte"/>
            <w:rFonts w:asciiTheme="minorBidi" w:hAnsiTheme="minorBidi"/>
          </w:rPr>
          <w:t>18.COM</w:t>
        </w:r>
        <w:r w:rsidR="003A27E4">
          <w:rPr>
            <w:rStyle w:val="Lienhypertexte"/>
            <w:rFonts w:asciiTheme="minorBidi" w:hAnsiTheme="minorBidi"/>
          </w:rPr>
          <w:t> </w:t>
        </w:r>
        <w:r>
          <w:rPr>
            <w:rStyle w:val="Lienhypertexte"/>
            <w:rFonts w:asciiTheme="minorBidi" w:hAnsiTheme="minorBidi"/>
          </w:rPr>
          <w:t>7.b</w:t>
        </w:r>
      </w:hyperlink>
      <w:r>
        <w:rPr>
          <w:rFonts w:asciiTheme="minorBidi" w:hAnsiTheme="minorBidi" w:hint="cs"/>
          <w:rtl/>
        </w:rPr>
        <w:t>؛ اعتباراً من كانون الأول/ديسمبر 2023).</w:t>
      </w:r>
      <w:bookmarkStart w:id="3" w:name="_Hlk164940138"/>
      <w:r>
        <w:rPr>
          <w:rFonts w:asciiTheme="minorBidi" w:hAnsiTheme="minorBidi" w:hint="cs"/>
          <w:rtl/>
        </w:rPr>
        <w:t xml:space="preserve"> وقد تناولت الدورة الثامنة عشر للجنة </w:t>
      </w:r>
      <w:bookmarkStart w:id="4" w:name="_Hlk162280304"/>
      <w:r>
        <w:rPr>
          <w:rFonts w:asciiTheme="minorBidi" w:hAnsiTheme="minorBidi" w:hint="cs"/>
          <w:rtl/>
        </w:rPr>
        <w:t xml:space="preserve">سبل المضي قدماً لمواءمة آلية إعداد التقارير الدورية، بما في ذلك بهدف إنتاج تقرير عالمي كل أربع سنوات عن السياسات الثقافية اعتباراً من عام 2025 بما يتماشى مع إعلان موندياكولت 2022، </w:t>
      </w:r>
      <w:bookmarkEnd w:id="4"/>
      <w:r>
        <w:rPr>
          <w:rFonts w:asciiTheme="minorBidi" w:hAnsiTheme="minorBidi" w:hint="cs"/>
          <w:rtl/>
        </w:rPr>
        <w:t xml:space="preserve">(القرار </w:t>
      </w:r>
      <w:hyperlink r:id="rId32" w:history="1">
        <w:r>
          <w:rPr>
            <w:rStyle w:val="Lienhypertexte"/>
            <w:rFonts w:asciiTheme="minorBidi" w:hAnsiTheme="minorBidi"/>
          </w:rPr>
          <w:t>‎</w:t>
        </w:r>
        <w:r w:rsidR="003A27E4" w:rsidRPr="002D07D0">
          <w:rPr>
            <w:rStyle w:val="Lienhypertexte"/>
            <w:rFonts w:asciiTheme="minorBidi" w:hAnsiTheme="minorBidi"/>
            <w:color w:val="auto"/>
            <w:u w:val="none"/>
          </w:rPr>
          <w:t>.(</w:t>
        </w:r>
        <w:r>
          <w:rPr>
            <w:rStyle w:val="Lienhypertexte"/>
            <w:rFonts w:asciiTheme="minorBidi" w:hAnsiTheme="minorBidi"/>
          </w:rPr>
          <w:t>18.COM 7.c</w:t>
        </w:r>
      </w:hyperlink>
      <w:bookmarkEnd w:id="3"/>
    </w:p>
    <w:bookmarkEnd w:id="2"/>
    <w:p w14:paraId="59F5996D" w14:textId="098D3153" w:rsidR="009A373B" w:rsidRPr="00D33F36" w:rsidRDefault="00ED037E" w:rsidP="009A373B">
      <w:pPr>
        <w:widowControl w:val="0"/>
        <w:numPr>
          <w:ilvl w:val="0"/>
          <w:numId w:val="24"/>
        </w:numPr>
        <w:tabs>
          <w:tab w:val="clear" w:pos="720"/>
        </w:tabs>
        <w:bidi/>
        <w:spacing w:before="240" w:after="120"/>
        <w:ind w:left="567" w:hanging="567"/>
        <w:jc w:val="both"/>
        <w:rPr>
          <w:rFonts w:ascii="Arial" w:hAnsi="Arial" w:cs="Arial"/>
          <w:b/>
          <w:sz w:val="22"/>
          <w:szCs w:val="22"/>
          <w:rtl/>
        </w:rPr>
      </w:pPr>
      <w:r w:rsidRPr="002D0AF9">
        <w:rPr>
          <w:rFonts w:ascii="Arial" w:hAnsi="Arial"/>
          <w:b/>
          <w:bCs/>
          <w:sz w:val="22"/>
          <w:szCs w:val="22"/>
          <w:rtl/>
        </w:rPr>
        <w:t xml:space="preserve">إدراج العناصر على </w:t>
      </w:r>
      <w:r w:rsidR="009A373B">
        <w:rPr>
          <w:rFonts w:ascii="Arial" w:hAnsi="Arial" w:hint="cs"/>
          <w:b/>
          <w:bCs/>
          <w:sz w:val="22"/>
          <w:szCs w:val="22"/>
          <w:rtl/>
        </w:rPr>
        <w:t xml:space="preserve">قوائم الاتفاقية واختيار ممارسات الصون الجيدة </w:t>
      </w:r>
      <w:r w:rsidRPr="002D0AF9">
        <w:rPr>
          <w:rFonts w:ascii="Arial" w:hAnsi="Arial"/>
          <w:b/>
          <w:bCs/>
          <w:sz w:val="22"/>
          <w:szCs w:val="22"/>
          <w:rtl/>
        </w:rPr>
        <w:t>وتقديم</w:t>
      </w:r>
      <w:r w:rsidR="009A373B">
        <w:rPr>
          <w:rFonts w:ascii="Arial" w:hAnsi="Arial" w:hint="cs"/>
          <w:b/>
          <w:bCs/>
          <w:sz w:val="22"/>
          <w:szCs w:val="22"/>
          <w:rtl/>
        </w:rPr>
        <w:t xml:space="preserve"> المساعدة الدولية</w:t>
      </w:r>
      <w:r w:rsidR="009A373B">
        <w:rPr>
          <w:rFonts w:ascii="Arial" w:hAnsi="Arial" w:hint="cs"/>
          <w:sz w:val="22"/>
          <w:szCs w:val="22"/>
          <w:rtl/>
        </w:rPr>
        <w:t xml:space="preserve"> (المادة 7[ز])</w:t>
      </w:r>
    </w:p>
    <w:p w14:paraId="3E0BC869" w14:textId="1425EF63" w:rsidR="009A373B" w:rsidRPr="00D33F36" w:rsidRDefault="009A373B" w:rsidP="009A373B">
      <w:pPr>
        <w:pStyle w:val="Marge"/>
        <w:numPr>
          <w:ilvl w:val="0"/>
          <w:numId w:val="23"/>
        </w:numPr>
        <w:tabs>
          <w:tab w:val="clear" w:pos="502"/>
          <w:tab w:val="num" w:pos="567"/>
        </w:tabs>
        <w:bidi/>
        <w:spacing w:before="120" w:after="120"/>
        <w:ind w:left="567" w:hanging="567"/>
        <w:rPr>
          <w:rFonts w:asciiTheme="minorBidi" w:hAnsiTheme="minorBidi"/>
          <w:szCs w:val="22"/>
          <w:rtl/>
        </w:rPr>
      </w:pPr>
      <w:r>
        <w:rPr>
          <w:rFonts w:asciiTheme="minorBidi" w:hAnsiTheme="minorBidi" w:hint="cs"/>
          <w:rtl/>
        </w:rPr>
        <w:t>درست اللجنة 111 ملفاً وأدرجت ما مجموعه 103 عناصر في قوائم الاتفاقية: والتي ضمت 11 عنصراً في قائمة الصون العاجل و84 في القائمة التمثيلية. بالإضافة إلى ذلك، فقد اختارت اللجنة ثماني ممارسات صون جيدة.</w:t>
      </w:r>
    </w:p>
    <w:p w14:paraId="65142781" w14:textId="38E77CBD" w:rsidR="009A373B"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 xml:space="preserve">وقد وافقت اللجنة (للطلبات التي تتخطى قيمتها 100,000 دولار أمريكي) والمكتب (للطلبات التي تصل قيمتها إلى 100,000 دولار أمريكي وطلبات الطوارئ) على ثلاثين </w:t>
      </w:r>
      <w:r>
        <w:rPr>
          <w:rFonts w:asciiTheme="minorBidi" w:hAnsiTheme="minorBidi" w:hint="cs"/>
          <w:rtl/>
        </w:rPr>
        <w:t>طلباً</w:t>
      </w:r>
      <w:r>
        <w:rPr>
          <w:rFonts w:hint="cs"/>
          <w:rtl/>
        </w:rPr>
        <w:t xml:space="preserve"> للمساعدات الدولية بمبلغ إجمالي قدره 3,492,482 دولاراً أمريكياً. وقد تلقى ما مجموعه ستة وثلاثون بلداً مساعدات مالية من الصندوق خلال الفترة المشمولة بالتقرير.</w:t>
      </w:r>
    </w:p>
    <w:p w14:paraId="513C6504" w14:textId="7CDCC700" w:rsidR="009A373B" w:rsidRPr="00136E73" w:rsidRDefault="009A373B" w:rsidP="009A373B">
      <w:pPr>
        <w:pStyle w:val="Marge"/>
        <w:numPr>
          <w:ilvl w:val="0"/>
          <w:numId w:val="23"/>
        </w:numPr>
        <w:tabs>
          <w:tab w:val="clear" w:pos="502"/>
          <w:tab w:val="num" w:pos="567"/>
        </w:tabs>
        <w:bidi/>
        <w:spacing w:before="120" w:after="120"/>
        <w:ind w:left="567" w:hanging="567"/>
        <w:rPr>
          <w:rFonts w:cs="Arial"/>
          <w:szCs w:val="22"/>
          <w:rtl/>
        </w:rPr>
      </w:pPr>
      <w:r>
        <w:rPr>
          <w:rFonts w:hint="cs"/>
          <w:rtl/>
        </w:rPr>
        <w:t xml:space="preserve">في سياق الحرب المستمرة في أوكرانيا، قررت الدورة الاستثنائية الخامسة للجنة إدراج "ثقافة طهو حساء الشمندر الأوكراني" في قائمة الصون العاجلة، كمسألة ملحة للغاية من خلال تطبيق المادة 17.3 من الاتفاقية لأول مرة (القرار </w:t>
      </w:r>
      <w:hyperlink r:id="rId33" w:history="1">
        <w:r>
          <w:rPr>
            <w:rStyle w:val="Lienhypertexte"/>
          </w:rPr>
          <w:t>‎</w:t>
        </w:r>
        <w:r w:rsidR="00363930" w:rsidRPr="002D07D0">
          <w:rPr>
            <w:rStyle w:val="Lienhypertexte"/>
            <w:color w:val="auto"/>
            <w:u w:val="none"/>
          </w:rPr>
          <w:t>(</w:t>
        </w:r>
        <w:r>
          <w:rPr>
            <w:rStyle w:val="Lienhypertexte"/>
          </w:rPr>
          <w:t>5.EXT.COM</w:t>
        </w:r>
        <w:r w:rsidR="00363930">
          <w:rPr>
            <w:rStyle w:val="Lienhypertexte"/>
          </w:rPr>
          <w:t> </w:t>
        </w:r>
        <w:r>
          <w:rPr>
            <w:rStyle w:val="Lienhypertexte"/>
          </w:rPr>
          <w:t>5</w:t>
        </w:r>
      </w:hyperlink>
      <w:r>
        <w:t>)</w:t>
      </w:r>
      <w:r>
        <w:rPr>
          <w:rFonts w:hint="cs"/>
          <w:rtl/>
        </w:rPr>
        <w:t xml:space="preserve"> </w:t>
      </w:r>
      <w:r w:rsidR="00363930">
        <w:t>.</w:t>
      </w:r>
      <w:r>
        <w:rPr>
          <w:rFonts w:hint="cs"/>
          <w:rtl/>
        </w:rPr>
        <w:t>وتثبت المعالجة السريعة للطلب، في غضون عشرة أسابيع من استلامه، قدرة اللجنة على الاستجابة بما يتماشى مع المبادئ التشغيلية وطرائق صون التراث الثقافي غير المادي في حالات الطوارئ.</w:t>
      </w:r>
    </w:p>
    <w:p w14:paraId="14FC2C8A" w14:textId="7F76147F" w:rsidR="009A373B" w:rsidRPr="002931FD" w:rsidRDefault="009A373B" w:rsidP="009A373B">
      <w:pPr>
        <w:pStyle w:val="Marge"/>
        <w:numPr>
          <w:ilvl w:val="0"/>
          <w:numId w:val="23"/>
        </w:numPr>
        <w:tabs>
          <w:tab w:val="clear" w:pos="502"/>
          <w:tab w:val="num" w:pos="567"/>
        </w:tabs>
        <w:bidi/>
        <w:spacing w:before="120" w:after="120"/>
        <w:ind w:left="567" w:hanging="567"/>
        <w:rPr>
          <w:rFonts w:asciiTheme="minorBidi" w:hAnsiTheme="minorBidi"/>
          <w:szCs w:val="22"/>
          <w:rtl/>
        </w:rPr>
      </w:pPr>
      <w:r>
        <w:rPr>
          <w:rFonts w:asciiTheme="minorBidi" w:hAnsiTheme="minorBidi" w:hint="cs"/>
          <w:rtl/>
        </w:rPr>
        <w:t xml:space="preserve">وشهدت الفترة المشمولة بالتقرير اختتام عملية التفكير على الصعيد العالمي بشأن آليات الإدراج. وعقب اجتماع الخبراء والاجتماع المكوّن من ثلاثة أجزاء للفريق العامل الحكومي الدولي المفتوح العضوية (بما في ذلك اجتماع الجزء الثالث، الذي عقد عبر الإنترنت يومي 25 و26 نيسان/أبريل 2022)، فقد نظرت الدورة التاسعة للجمعية العامة في تموز/يوليو 2022 في توصيات الفريق العامل ووافقت على التعديلات على التوجيهات </w:t>
      </w:r>
      <w:r w:rsidR="00363930">
        <w:rPr>
          <w:rFonts w:asciiTheme="minorBidi" w:hAnsiTheme="minorBidi" w:hint="cs"/>
          <w:rtl/>
        </w:rPr>
        <w:t>التنفيذية</w:t>
      </w:r>
      <w:r>
        <w:rPr>
          <w:rFonts w:asciiTheme="minorBidi" w:hAnsiTheme="minorBidi" w:hint="cs"/>
          <w:rtl/>
        </w:rPr>
        <w:t xml:space="preserve"> (القرار </w:t>
      </w:r>
      <w:hyperlink r:id="rId34" w:history="1">
        <w:r>
          <w:rPr>
            <w:rStyle w:val="Lienhypertexte"/>
            <w:rFonts w:asciiTheme="minorBidi" w:hAnsiTheme="minorBidi"/>
          </w:rPr>
          <w:t>‎9.GA 9</w:t>
        </w:r>
      </w:hyperlink>
      <w:r>
        <w:rPr>
          <w:rFonts w:asciiTheme="minorBidi" w:hAnsiTheme="minorBidi" w:hint="cs"/>
          <w:rtl/>
        </w:rPr>
        <w:t>) التي أقرتها الدورة السادسة عشرة للجنة (</w:t>
      </w:r>
      <w:r>
        <w:rPr>
          <w:rFonts w:hint="cs"/>
          <w:rtl/>
        </w:rPr>
        <w:t xml:space="preserve">قرار </w:t>
      </w:r>
      <w:hyperlink r:id="rId35" w:history="1">
        <w:r>
          <w:rPr>
            <w:rStyle w:val="Lienhypertexte"/>
            <w:rFonts w:asciiTheme="minorBidi" w:hAnsiTheme="minorBidi"/>
            <w:snapToGrid/>
          </w:rPr>
          <w:t>‎</w:t>
        </w:r>
        <w:r w:rsidR="00363930" w:rsidRPr="002D07D0">
          <w:rPr>
            <w:rStyle w:val="Lienhypertexte"/>
            <w:rFonts w:asciiTheme="minorBidi" w:hAnsiTheme="minorBidi"/>
            <w:snapToGrid/>
            <w:color w:val="auto"/>
            <w:u w:val="none"/>
          </w:rPr>
          <w:t>(</w:t>
        </w:r>
        <w:r>
          <w:rPr>
            <w:rStyle w:val="Lienhypertexte"/>
            <w:rFonts w:asciiTheme="minorBidi" w:hAnsiTheme="minorBidi"/>
            <w:snapToGrid/>
          </w:rPr>
          <w:t>16.COM 14</w:t>
        </w:r>
      </w:hyperlink>
      <w:r>
        <w:rPr>
          <w:rFonts w:asciiTheme="minorBidi" w:hAnsiTheme="minorBidi" w:hint="cs"/>
          <w:rtl/>
        </w:rPr>
        <w:t xml:space="preserve"> والدورة الاستثنائية الخامسة للجنة (القرار </w:t>
      </w:r>
      <w:hyperlink r:id="rId36" w:history="1">
        <w:r>
          <w:rPr>
            <w:rStyle w:val="Lienhypertexte"/>
            <w:rFonts w:asciiTheme="minorBidi" w:hAnsiTheme="minorBidi"/>
          </w:rPr>
          <w:t>‎</w:t>
        </w:r>
        <w:r w:rsidR="00363930" w:rsidRPr="002D07D0">
          <w:rPr>
            <w:rStyle w:val="Lienhypertexte"/>
            <w:rFonts w:asciiTheme="minorBidi" w:hAnsiTheme="minorBidi"/>
            <w:color w:val="auto"/>
            <w:u w:val="none"/>
          </w:rPr>
          <w:t>.(</w:t>
        </w:r>
        <w:r>
          <w:rPr>
            <w:rStyle w:val="Lienhypertexte"/>
            <w:rFonts w:asciiTheme="minorBidi" w:hAnsiTheme="minorBidi"/>
          </w:rPr>
          <w:t>5.EXT.COM 4</w:t>
        </w:r>
      </w:hyperlink>
      <w:r>
        <w:rPr>
          <w:rFonts w:asciiTheme="minorBidi" w:hAnsiTheme="minorBidi" w:hint="cs"/>
          <w:rtl/>
        </w:rPr>
        <w:t xml:space="preserve"> وبشكل ملموس، فقد حدد </w:t>
      </w:r>
      <w:r>
        <w:rPr>
          <w:rFonts w:asciiTheme="minorBidi" w:hAnsiTheme="minorBidi" w:hint="cs"/>
          <w:rtl/>
        </w:rPr>
        <w:lastRenderedPageBreak/>
        <w:t>الإصلاح، من بين تعديلات أخرى، إجراءات نقل العناصر بين القائمتين وإدراج العناصر على أساس موسع أو مخفض على المستويين الوطني والدولي، فضلاً عن إجراءات إزالة عنصر من إحدى القوائم و آلية متابعة للعنصر المدرج حالياً.</w:t>
      </w:r>
    </w:p>
    <w:p w14:paraId="294554B2" w14:textId="61E548AE" w:rsidR="009A373B" w:rsidRPr="00AA5CFF" w:rsidRDefault="009A373B" w:rsidP="009A373B">
      <w:pPr>
        <w:pStyle w:val="Marge"/>
        <w:numPr>
          <w:ilvl w:val="0"/>
          <w:numId w:val="23"/>
        </w:numPr>
        <w:tabs>
          <w:tab w:val="clear" w:pos="502"/>
          <w:tab w:val="clear" w:pos="567"/>
        </w:tabs>
        <w:bidi/>
        <w:spacing w:before="120" w:after="120"/>
        <w:ind w:left="567" w:hanging="567"/>
        <w:rPr>
          <w:rFonts w:cs="Arial"/>
          <w:szCs w:val="22"/>
          <w:rtl/>
        </w:rPr>
      </w:pPr>
      <w:r>
        <w:rPr>
          <w:rFonts w:hint="cs"/>
          <w:rtl/>
        </w:rPr>
        <w:t xml:space="preserve">وبتطبيق إجراءات الإزالة المستحدثة لأول مرة، فقد قررت الدورة السابعة عشر للجنة إزالة "مهرجان مدينة آت" من عنصر "العمالقة والتنانين في المواكب في بلجيكا وفرنسا" (بلجيكا وفرنسا) من القائمة التمثيلية (القرار </w:t>
      </w:r>
      <w:hyperlink r:id="rId37" w:history="1">
        <w:r>
          <w:rPr>
            <w:rStyle w:val="Lienhypertexte"/>
          </w:rPr>
          <w:t>‎17.COM 8.a</w:t>
        </w:r>
      </w:hyperlink>
      <w:r>
        <w:rPr>
          <w:rFonts w:hint="cs"/>
          <w:rtl/>
        </w:rPr>
        <w:t xml:space="preserve">؛ والوثيقة </w:t>
      </w:r>
      <w:hyperlink r:id="rId38" w:history="1">
        <w:r>
          <w:rPr>
            <w:rStyle w:val="Lienhypertexte"/>
          </w:rPr>
          <w:t>LHE/22/17.COM 8</w:t>
        </w:r>
      </w:hyperlink>
      <w:r>
        <w:rPr>
          <w:rFonts w:hint="cs"/>
          <w:rtl/>
        </w:rPr>
        <w:t xml:space="preserve"> </w:t>
      </w:r>
      <w:r w:rsidR="00363930">
        <w:t>. (</w:t>
      </w:r>
      <w:r>
        <w:rPr>
          <w:rFonts w:hint="cs"/>
          <w:rtl/>
        </w:rPr>
        <w:t>واعتبرت اللجنة أن ادعاءات العنصرية والتمييز المثارة فيما يتعلق بشخصية "السافاج" هي مسألة خطيرة يجب معالجتها لأنها تمس المبادئ التأسيسية لليونسكو المتمثلة في الكرامة والمساواة والاحترام المتبادل بين الشعوب، على النحو المبين في ديباجة النظام الأساسي للمنظمة، فضلاً عن ضرورة الاحترام المتبادل بين الجماعات و</w:t>
      </w:r>
      <w:r w:rsidR="00363930" w:rsidRPr="0014558D">
        <w:rPr>
          <w:rtl/>
        </w:rPr>
        <w:t>المجموعات</w:t>
      </w:r>
      <w:r w:rsidR="00363930" w:rsidDel="00363930">
        <w:rPr>
          <w:rFonts w:hint="cs"/>
          <w:rtl/>
        </w:rPr>
        <w:t xml:space="preserve"> </w:t>
      </w:r>
      <w:r>
        <w:rPr>
          <w:rFonts w:hint="cs"/>
          <w:rtl/>
        </w:rPr>
        <w:t xml:space="preserve"> والأفراد، على النحو المنصوص عليه في المادة 2 من الاتفاقية.</w:t>
      </w:r>
    </w:p>
    <w:p w14:paraId="1B08DF9D" w14:textId="77777777" w:rsidR="00190205" w:rsidRPr="00BB6EEC" w:rsidRDefault="00190205" w:rsidP="00D86BB3">
      <w:pPr>
        <w:rPr>
          <w:rFonts w:ascii="Arial" w:eastAsia="SimSun" w:hAnsi="Arial" w:cs="Arial"/>
          <w:sz w:val="22"/>
          <w:szCs w:val="22"/>
          <w:u w:val="single"/>
          <w:lang w:val="en-GB"/>
        </w:rPr>
      </w:pPr>
    </w:p>
    <w:sectPr w:rsidR="00190205" w:rsidRPr="00BB6EEC" w:rsidSect="00373A40">
      <w:headerReference w:type="even" r:id="rId39"/>
      <w:headerReference w:type="default" r:id="rId40"/>
      <w:headerReference w:type="first" r:id="rId41"/>
      <w:pgSz w:w="11906" w:h="16838" w:code="9"/>
      <w:pgMar w:top="1418"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A8E9" w14:textId="77777777" w:rsidR="00771232" w:rsidRDefault="00771232" w:rsidP="00655736">
      <w:r>
        <w:separator/>
      </w:r>
    </w:p>
  </w:endnote>
  <w:endnote w:type="continuationSeparator" w:id="0">
    <w:p w14:paraId="1E6161B0" w14:textId="77777777" w:rsidR="00771232" w:rsidRDefault="00771232" w:rsidP="00655736">
      <w:r>
        <w:continuationSeparator/>
      </w:r>
    </w:p>
  </w:endnote>
  <w:endnote w:type="continuationNotice" w:id="1">
    <w:p w14:paraId="670CB7D2" w14:textId="77777777" w:rsidR="00771232" w:rsidRDefault="00771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878" w14:textId="77777777" w:rsidR="00771232" w:rsidRDefault="00771232" w:rsidP="00655736">
      <w:r>
        <w:separator/>
      </w:r>
    </w:p>
  </w:footnote>
  <w:footnote w:type="continuationSeparator" w:id="0">
    <w:p w14:paraId="2E0D341C" w14:textId="77777777" w:rsidR="00771232" w:rsidRDefault="00771232" w:rsidP="00655736">
      <w:r>
        <w:continuationSeparator/>
      </w:r>
    </w:p>
  </w:footnote>
  <w:footnote w:type="continuationNotice" w:id="1">
    <w:p w14:paraId="2B301B9E" w14:textId="77777777" w:rsidR="00771232" w:rsidRDefault="00771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882092B" w:rsidR="00D95C4C" w:rsidRPr="00C23A97" w:rsidRDefault="00C5776D" w:rsidP="00C5776D">
    <w:pPr>
      <w:pStyle w:val="En-tte"/>
      <w:bidi/>
      <w:rPr>
        <w:rFonts w:ascii="Arial" w:hAnsi="Arial" w:cs="Arial"/>
        <w:rtl/>
      </w:rPr>
    </w:pPr>
    <w:r>
      <w:rPr>
        <w:rFonts w:ascii="Arial" w:hAnsi="Arial"/>
        <w:sz w:val="20"/>
        <w:szCs w:val="20"/>
      </w:rPr>
      <w:t>LHE/24/10.GA/5</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670C21C" w:rsidR="00D95C4C" w:rsidRPr="0063300C" w:rsidRDefault="00C5776D" w:rsidP="00C5776D">
    <w:pPr>
      <w:pStyle w:val="En-tte"/>
      <w:bidi/>
      <w:jc w:val="right"/>
      <w:rPr>
        <w:rFonts w:ascii="Arial" w:hAnsi="Arial" w:cs="Arial"/>
        <w:rtl/>
      </w:rPr>
    </w:pPr>
    <w:r>
      <w:rPr>
        <w:rFonts w:ascii="Arial" w:hAnsi="Arial"/>
        <w:sz w:val="20"/>
        <w:szCs w:val="20"/>
      </w:rPr>
      <w:t>LHE/24/10.GA/5</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59B6" w14:textId="0825693B" w:rsidR="002B75A6" w:rsidRPr="00E95AE2" w:rsidRDefault="00373A40" w:rsidP="002B75A6">
    <w:pPr>
      <w:pStyle w:val="En-tte"/>
      <w:bidi/>
      <w:rPr>
        <w:sz w:val="22"/>
        <w:szCs w:val="22"/>
        <w:rtl/>
      </w:rPr>
    </w:pPr>
    <w:r>
      <w:rPr>
        <w:noProof/>
      </w:rPr>
      <w:drawing>
        <wp:anchor distT="0" distB="0" distL="114300" distR="114300" simplePos="0" relativeHeight="251659264" behindDoc="0" locked="0" layoutInCell="1" allowOverlap="1" wp14:anchorId="1E42A62C" wp14:editId="56BA8A86">
          <wp:simplePos x="0" y="0"/>
          <wp:positionH relativeFrom="margin">
            <wp:posOffset>4210685</wp:posOffset>
          </wp:positionH>
          <wp:positionV relativeFrom="paragraph">
            <wp:posOffset>38100</wp:posOffset>
          </wp:positionV>
          <wp:extent cx="1843200" cy="1440000"/>
          <wp:effectExtent l="0" t="0" r="5080" b="8255"/>
          <wp:wrapSquare wrapText="bothSides"/>
          <wp:docPr id="1738987198" name="Image 173898719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3587C" w14:textId="77777777" w:rsidR="002B75A6" w:rsidRPr="00D7105A" w:rsidRDefault="002B75A6" w:rsidP="00373A40">
    <w:pPr>
      <w:pStyle w:val="En-tte"/>
      <w:bidi/>
      <w:jc w:val="right"/>
      <w:rPr>
        <w:rFonts w:ascii="Arial" w:hAnsi="Arial" w:cs="Arial"/>
        <w:b/>
        <w:sz w:val="44"/>
        <w:szCs w:val="44"/>
        <w:rtl/>
      </w:rPr>
    </w:pPr>
    <w:r>
      <w:rPr>
        <w:rFonts w:ascii="Arial" w:hAnsi="Arial"/>
        <w:b/>
        <w:bCs/>
        <w:sz w:val="44"/>
        <w:szCs w:val="44"/>
      </w:rPr>
      <w:t>‎10 GA</w:t>
    </w:r>
  </w:p>
  <w:p w14:paraId="53665DD2" w14:textId="77777777" w:rsidR="002B75A6" w:rsidRPr="00D7105A" w:rsidRDefault="002B75A6" w:rsidP="002B75A6">
    <w:pPr>
      <w:bidi/>
      <w:jc w:val="right"/>
      <w:rPr>
        <w:rFonts w:ascii="Arial" w:hAnsi="Arial" w:cs="Arial"/>
        <w:b/>
        <w:sz w:val="22"/>
        <w:szCs w:val="22"/>
        <w:rtl/>
      </w:rPr>
    </w:pPr>
    <w:r>
      <w:rPr>
        <w:rFonts w:ascii="Arial" w:hAnsi="Arial"/>
        <w:b/>
        <w:bCs/>
        <w:sz w:val="22"/>
        <w:szCs w:val="22"/>
      </w:rPr>
      <w:t>LHE/24/10.GA/5</w:t>
    </w:r>
  </w:p>
  <w:p w14:paraId="192A13CA" w14:textId="34222AC8" w:rsidR="002B75A6" w:rsidRPr="00D7105A" w:rsidRDefault="002B75A6" w:rsidP="002B75A6">
    <w:pPr>
      <w:bidi/>
      <w:jc w:val="right"/>
      <w:rPr>
        <w:rFonts w:ascii="Arial" w:eastAsiaTheme="minorEastAsia" w:hAnsi="Arial" w:cs="Arial"/>
        <w:b/>
        <w:sz w:val="22"/>
        <w:szCs w:val="22"/>
        <w:rtl/>
      </w:rPr>
    </w:pPr>
    <w:r>
      <w:rPr>
        <w:rFonts w:ascii="Arial" w:hAnsi="Arial" w:hint="cs"/>
        <w:b/>
        <w:bCs/>
        <w:sz w:val="22"/>
        <w:szCs w:val="22"/>
        <w:rtl/>
      </w:rPr>
      <w:t xml:space="preserve">باريس، </w:t>
    </w:r>
    <w:r w:rsidR="00C15C1C">
      <w:rPr>
        <w:rFonts w:ascii="Arial" w:hAnsi="Arial"/>
        <w:b/>
        <w:bCs/>
        <w:sz w:val="22"/>
        <w:szCs w:val="22"/>
      </w:rPr>
      <w:t>13</w:t>
    </w:r>
    <w:r w:rsidR="00C15C1C">
      <w:rPr>
        <w:rFonts w:ascii="Arial" w:hAnsi="Arial" w:hint="cs"/>
        <w:b/>
        <w:bCs/>
        <w:sz w:val="22"/>
        <w:szCs w:val="22"/>
        <w:rtl/>
      </w:rPr>
      <w:t xml:space="preserve"> </w:t>
    </w:r>
    <w:r>
      <w:rPr>
        <w:rFonts w:ascii="Arial" w:hAnsi="Arial" w:hint="cs"/>
        <w:b/>
        <w:bCs/>
        <w:sz w:val="22"/>
        <w:szCs w:val="22"/>
        <w:rtl/>
      </w:rPr>
      <w:t>أيار/مايو 2024</w:t>
    </w:r>
  </w:p>
  <w:p w14:paraId="7E45DF55" w14:textId="77777777" w:rsidR="002B75A6" w:rsidRPr="009316D2" w:rsidRDefault="002B75A6" w:rsidP="002B75A6">
    <w:pPr>
      <w:bidi/>
      <w:spacing w:after="120"/>
      <w:jc w:val="right"/>
      <w:rPr>
        <w:rFonts w:ascii="Arial" w:hAnsi="Arial" w:cs="Arial"/>
        <w:b/>
        <w:sz w:val="22"/>
        <w:szCs w:val="22"/>
        <w:rtl/>
      </w:rPr>
    </w:pPr>
    <w:r>
      <w:rPr>
        <w:rFonts w:ascii="Arial" w:hAnsi="Arial" w:hint="cs"/>
        <w:b/>
        <w:bCs/>
        <w:sz w:val="22"/>
        <w:szCs w:val="22"/>
        <w:rtl/>
      </w:rPr>
      <w:t>الأصل: إنجليزي</w:t>
    </w:r>
  </w:p>
  <w:p w14:paraId="1C182F00" w14:textId="77777777" w:rsidR="002B75A6" w:rsidRDefault="002B7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59C09978"/>
    <w:lvl w:ilvl="0" w:tplc="4EDCD7A2">
      <w:start w:val="1"/>
      <w:numFmt w:val="upp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5"/>
  </w:num>
  <w:num w:numId="2" w16cid:durableId="699629408">
    <w:abstractNumId w:val="10"/>
  </w:num>
  <w:num w:numId="3" w16cid:durableId="164177712">
    <w:abstractNumId w:val="5"/>
  </w:num>
  <w:num w:numId="4" w16cid:durableId="1416590798">
    <w:abstractNumId w:val="17"/>
  </w:num>
  <w:num w:numId="5" w16cid:durableId="1762608160">
    <w:abstractNumId w:val="16"/>
  </w:num>
  <w:num w:numId="6" w16cid:durableId="2146270374">
    <w:abstractNumId w:val="3"/>
  </w:num>
  <w:num w:numId="7" w16cid:durableId="1113592211">
    <w:abstractNumId w:val="6"/>
  </w:num>
  <w:num w:numId="8" w16cid:durableId="1920598164">
    <w:abstractNumId w:val="14"/>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18"/>
  </w:num>
  <w:num w:numId="14" w16cid:durableId="395903570">
    <w:abstractNumId w:val="8"/>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4"/>
  </w:num>
  <w:num w:numId="22" w16cid:durableId="2046514942">
    <w:abstractNumId w:val="9"/>
  </w:num>
  <w:num w:numId="23" w16cid:durableId="236406030">
    <w:abstractNumId w:val="7"/>
  </w:num>
  <w:num w:numId="24" w16cid:durableId="1762335666">
    <w:abstractNumId w:val="0"/>
  </w:num>
  <w:num w:numId="25" w16cid:durableId="1089079700">
    <w:abstractNumId w:val="1"/>
  </w:num>
  <w:num w:numId="26" w16cid:durableId="1019699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721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199634">
    <w:abstractNumId w:val="11"/>
  </w:num>
  <w:num w:numId="29" w16cid:durableId="119425097">
    <w:abstractNumId w:val="11"/>
  </w:num>
  <w:num w:numId="30" w16cid:durableId="1745948977">
    <w:abstractNumId w:val="11"/>
  </w:num>
  <w:num w:numId="31" w16cid:durableId="1990671890">
    <w:abstractNumId w:val="11"/>
  </w:num>
  <w:num w:numId="32" w16cid:durableId="1372924443">
    <w:abstractNumId w:val="11"/>
  </w:num>
  <w:num w:numId="33" w16cid:durableId="766657519">
    <w:abstractNumId w:val="11"/>
  </w:num>
  <w:num w:numId="34" w16cid:durableId="1258246341">
    <w:abstractNumId w:val="11"/>
  </w:num>
  <w:num w:numId="35" w16cid:durableId="1557929828">
    <w:abstractNumId w:val="11"/>
  </w:num>
  <w:num w:numId="36" w16cid:durableId="840703704">
    <w:abstractNumId w:val="11"/>
  </w:num>
  <w:num w:numId="37" w16cid:durableId="1463037067">
    <w:abstractNumId w:val="11"/>
  </w:num>
  <w:num w:numId="38" w16cid:durableId="1710953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0673"/>
    <w:rsid w:val="0000109F"/>
    <w:rsid w:val="000048ED"/>
    <w:rsid w:val="00014915"/>
    <w:rsid w:val="00022CCC"/>
    <w:rsid w:val="00025D4C"/>
    <w:rsid w:val="00041A66"/>
    <w:rsid w:val="00042D88"/>
    <w:rsid w:val="00043BBF"/>
    <w:rsid w:val="0005176E"/>
    <w:rsid w:val="000765F7"/>
    <w:rsid w:val="00076C58"/>
    <w:rsid w:val="0007725F"/>
    <w:rsid w:val="00077AB7"/>
    <w:rsid w:val="00081CD8"/>
    <w:rsid w:val="000A7F0E"/>
    <w:rsid w:val="000B1C8F"/>
    <w:rsid w:val="000C0D61"/>
    <w:rsid w:val="000E7F9A"/>
    <w:rsid w:val="000F2CB0"/>
    <w:rsid w:val="000F3A3F"/>
    <w:rsid w:val="00102557"/>
    <w:rsid w:val="00130A0A"/>
    <w:rsid w:val="0014558D"/>
    <w:rsid w:val="00147A38"/>
    <w:rsid w:val="00161EAB"/>
    <w:rsid w:val="00164D56"/>
    <w:rsid w:val="00167B10"/>
    <w:rsid w:val="0017074C"/>
    <w:rsid w:val="00173204"/>
    <w:rsid w:val="0017402F"/>
    <w:rsid w:val="00190205"/>
    <w:rsid w:val="00190CEF"/>
    <w:rsid w:val="001912B2"/>
    <w:rsid w:val="00193793"/>
    <w:rsid w:val="001952DC"/>
    <w:rsid w:val="00196C1B"/>
    <w:rsid w:val="001A3D5E"/>
    <w:rsid w:val="001B0F73"/>
    <w:rsid w:val="001C2786"/>
    <w:rsid w:val="001C2DB7"/>
    <w:rsid w:val="001D14FE"/>
    <w:rsid w:val="001D5C04"/>
    <w:rsid w:val="001D6D1E"/>
    <w:rsid w:val="001F26CF"/>
    <w:rsid w:val="00221177"/>
    <w:rsid w:val="00222A2D"/>
    <w:rsid w:val="00223029"/>
    <w:rsid w:val="00234745"/>
    <w:rsid w:val="002351A6"/>
    <w:rsid w:val="002407AF"/>
    <w:rsid w:val="00245501"/>
    <w:rsid w:val="00245E82"/>
    <w:rsid w:val="0024682A"/>
    <w:rsid w:val="00254B26"/>
    <w:rsid w:val="0026221A"/>
    <w:rsid w:val="002705EA"/>
    <w:rsid w:val="0027466B"/>
    <w:rsid w:val="002769B4"/>
    <w:rsid w:val="002814F6"/>
    <w:rsid w:val="002838A5"/>
    <w:rsid w:val="00285BB4"/>
    <w:rsid w:val="00290950"/>
    <w:rsid w:val="00296921"/>
    <w:rsid w:val="002A71C0"/>
    <w:rsid w:val="002B6BBE"/>
    <w:rsid w:val="002B75A6"/>
    <w:rsid w:val="002C09E3"/>
    <w:rsid w:val="002C36EF"/>
    <w:rsid w:val="002C5B7C"/>
    <w:rsid w:val="002C6A2C"/>
    <w:rsid w:val="002D07D0"/>
    <w:rsid w:val="002D1244"/>
    <w:rsid w:val="002F16BE"/>
    <w:rsid w:val="00304D97"/>
    <w:rsid w:val="00310E49"/>
    <w:rsid w:val="00312BF5"/>
    <w:rsid w:val="00312DE1"/>
    <w:rsid w:val="00337CEB"/>
    <w:rsid w:val="00344B58"/>
    <w:rsid w:val="0034539A"/>
    <w:rsid w:val="00345CB4"/>
    <w:rsid w:val="0034730F"/>
    <w:rsid w:val="00363930"/>
    <w:rsid w:val="00373A40"/>
    <w:rsid w:val="00374E88"/>
    <w:rsid w:val="00375D42"/>
    <w:rsid w:val="003878BD"/>
    <w:rsid w:val="003A27E4"/>
    <w:rsid w:val="003D069C"/>
    <w:rsid w:val="003D7646"/>
    <w:rsid w:val="003F113A"/>
    <w:rsid w:val="003F3E63"/>
    <w:rsid w:val="003F5CB0"/>
    <w:rsid w:val="00407480"/>
    <w:rsid w:val="00414643"/>
    <w:rsid w:val="00424A0C"/>
    <w:rsid w:val="004313C4"/>
    <w:rsid w:val="00433E5B"/>
    <w:rsid w:val="004421E5"/>
    <w:rsid w:val="00451630"/>
    <w:rsid w:val="00452284"/>
    <w:rsid w:val="00455D8F"/>
    <w:rsid w:val="00457C8E"/>
    <w:rsid w:val="00460C81"/>
    <w:rsid w:val="00480175"/>
    <w:rsid w:val="004856CA"/>
    <w:rsid w:val="00487E67"/>
    <w:rsid w:val="004906B7"/>
    <w:rsid w:val="0049705E"/>
    <w:rsid w:val="004A2875"/>
    <w:rsid w:val="004A34A0"/>
    <w:rsid w:val="004C7C82"/>
    <w:rsid w:val="004D609E"/>
    <w:rsid w:val="004F6975"/>
    <w:rsid w:val="005008A8"/>
    <w:rsid w:val="00517FD8"/>
    <w:rsid w:val="00526B7B"/>
    <w:rsid w:val="005274D2"/>
    <w:rsid w:val="005308CE"/>
    <w:rsid w:val="005327F6"/>
    <w:rsid w:val="0053318C"/>
    <w:rsid w:val="00536A64"/>
    <w:rsid w:val="00540458"/>
    <w:rsid w:val="0054535F"/>
    <w:rsid w:val="0055513A"/>
    <w:rsid w:val="0057022F"/>
    <w:rsid w:val="0057439C"/>
    <w:rsid w:val="0058306E"/>
    <w:rsid w:val="00583EBF"/>
    <w:rsid w:val="00591EBD"/>
    <w:rsid w:val="005960FA"/>
    <w:rsid w:val="005A2C21"/>
    <w:rsid w:val="005B0127"/>
    <w:rsid w:val="005B7A35"/>
    <w:rsid w:val="005C4B73"/>
    <w:rsid w:val="005C5423"/>
    <w:rsid w:val="005C792B"/>
    <w:rsid w:val="005E1D2B"/>
    <w:rsid w:val="005E7074"/>
    <w:rsid w:val="005F2BAF"/>
    <w:rsid w:val="005F54B4"/>
    <w:rsid w:val="00600D93"/>
    <w:rsid w:val="00626BEA"/>
    <w:rsid w:val="0063300C"/>
    <w:rsid w:val="00651A5B"/>
    <w:rsid w:val="00655736"/>
    <w:rsid w:val="00657600"/>
    <w:rsid w:val="00663B8D"/>
    <w:rsid w:val="00664468"/>
    <w:rsid w:val="006946D0"/>
    <w:rsid w:val="00696C8D"/>
    <w:rsid w:val="006A2AC2"/>
    <w:rsid w:val="006A3617"/>
    <w:rsid w:val="006B4452"/>
    <w:rsid w:val="006E46E4"/>
    <w:rsid w:val="006E75EB"/>
    <w:rsid w:val="007065CD"/>
    <w:rsid w:val="00710FAC"/>
    <w:rsid w:val="00717DA5"/>
    <w:rsid w:val="00724A7B"/>
    <w:rsid w:val="007333D0"/>
    <w:rsid w:val="00744484"/>
    <w:rsid w:val="00747566"/>
    <w:rsid w:val="00771232"/>
    <w:rsid w:val="00773188"/>
    <w:rsid w:val="00783782"/>
    <w:rsid w:val="00784B8C"/>
    <w:rsid w:val="007879E1"/>
    <w:rsid w:val="007A6F54"/>
    <w:rsid w:val="007B6883"/>
    <w:rsid w:val="007C4441"/>
    <w:rsid w:val="007E1DEC"/>
    <w:rsid w:val="007E57AA"/>
    <w:rsid w:val="00823A11"/>
    <w:rsid w:val="00833889"/>
    <w:rsid w:val="008349D1"/>
    <w:rsid w:val="008402A1"/>
    <w:rsid w:val="008506C5"/>
    <w:rsid w:val="0085405E"/>
    <w:rsid w:val="0085414A"/>
    <w:rsid w:val="008565A0"/>
    <w:rsid w:val="00857EB9"/>
    <w:rsid w:val="0086269D"/>
    <w:rsid w:val="0086543A"/>
    <w:rsid w:val="008724E5"/>
    <w:rsid w:val="008765C9"/>
    <w:rsid w:val="00883A2B"/>
    <w:rsid w:val="00884A9D"/>
    <w:rsid w:val="0088512B"/>
    <w:rsid w:val="008864CF"/>
    <w:rsid w:val="00892A62"/>
    <w:rsid w:val="008A2B2D"/>
    <w:rsid w:val="008A4E1E"/>
    <w:rsid w:val="008A6458"/>
    <w:rsid w:val="008C296C"/>
    <w:rsid w:val="008C742C"/>
    <w:rsid w:val="008D4305"/>
    <w:rsid w:val="008E1A85"/>
    <w:rsid w:val="008E344F"/>
    <w:rsid w:val="008F405F"/>
    <w:rsid w:val="00903D3B"/>
    <w:rsid w:val="009163A7"/>
    <w:rsid w:val="00920569"/>
    <w:rsid w:val="009278A5"/>
    <w:rsid w:val="009316D2"/>
    <w:rsid w:val="00932ED2"/>
    <w:rsid w:val="00937D53"/>
    <w:rsid w:val="00946D0B"/>
    <w:rsid w:val="00947FFC"/>
    <w:rsid w:val="00955877"/>
    <w:rsid w:val="00962034"/>
    <w:rsid w:val="0096687E"/>
    <w:rsid w:val="00977C1E"/>
    <w:rsid w:val="00987E70"/>
    <w:rsid w:val="00993731"/>
    <w:rsid w:val="009A18CD"/>
    <w:rsid w:val="009A373B"/>
    <w:rsid w:val="009C0BE6"/>
    <w:rsid w:val="009C21F4"/>
    <w:rsid w:val="009C4A60"/>
    <w:rsid w:val="009D01C0"/>
    <w:rsid w:val="009D5428"/>
    <w:rsid w:val="009F7DC3"/>
    <w:rsid w:val="00A12558"/>
    <w:rsid w:val="00A13903"/>
    <w:rsid w:val="00A34ED5"/>
    <w:rsid w:val="00A45DBF"/>
    <w:rsid w:val="00A63EE6"/>
    <w:rsid w:val="00A66381"/>
    <w:rsid w:val="00A725CF"/>
    <w:rsid w:val="00A755A2"/>
    <w:rsid w:val="00A84C16"/>
    <w:rsid w:val="00A91430"/>
    <w:rsid w:val="00AA590D"/>
    <w:rsid w:val="00AA6660"/>
    <w:rsid w:val="00AB18E0"/>
    <w:rsid w:val="00AB2C36"/>
    <w:rsid w:val="00AB6DDE"/>
    <w:rsid w:val="00AB70B6"/>
    <w:rsid w:val="00AC18C1"/>
    <w:rsid w:val="00AD1A86"/>
    <w:rsid w:val="00AD314B"/>
    <w:rsid w:val="00AD5C46"/>
    <w:rsid w:val="00AE103E"/>
    <w:rsid w:val="00AF0A07"/>
    <w:rsid w:val="00AF4AEC"/>
    <w:rsid w:val="00AF625E"/>
    <w:rsid w:val="00B139BE"/>
    <w:rsid w:val="00B2172B"/>
    <w:rsid w:val="00B34428"/>
    <w:rsid w:val="00B766A2"/>
    <w:rsid w:val="00B917D2"/>
    <w:rsid w:val="00B97EB3"/>
    <w:rsid w:val="00BA241A"/>
    <w:rsid w:val="00BB04AF"/>
    <w:rsid w:val="00BB6EEC"/>
    <w:rsid w:val="00BD52C9"/>
    <w:rsid w:val="00BE6354"/>
    <w:rsid w:val="00BE6CBD"/>
    <w:rsid w:val="00BE6F47"/>
    <w:rsid w:val="00BF33CE"/>
    <w:rsid w:val="00BF3EA3"/>
    <w:rsid w:val="00C02D78"/>
    <w:rsid w:val="00C138D1"/>
    <w:rsid w:val="00C15C1C"/>
    <w:rsid w:val="00C17FFD"/>
    <w:rsid w:val="00C23A97"/>
    <w:rsid w:val="00C42DB7"/>
    <w:rsid w:val="00C5052A"/>
    <w:rsid w:val="00C5131C"/>
    <w:rsid w:val="00C52EBE"/>
    <w:rsid w:val="00C55E5A"/>
    <w:rsid w:val="00C5776D"/>
    <w:rsid w:val="00C608AB"/>
    <w:rsid w:val="00C64855"/>
    <w:rsid w:val="00C663F0"/>
    <w:rsid w:val="00C70EA7"/>
    <w:rsid w:val="00C72F32"/>
    <w:rsid w:val="00C7433F"/>
    <w:rsid w:val="00C7516E"/>
    <w:rsid w:val="00C75770"/>
    <w:rsid w:val="00C807E7"/>
    <w:rsid w:val="00C80D60"/>
    <w:rsid w:val="00C8136C"/>
    <w:rsid w:val="00C9673B"/>
    <w:rsid w:val="00CA039B"/>
    <w:rsid w:val="00CA56BB"/>
    <w:rsid w:val="00CB0542"/>
    <w:rsid w:val="00CD4A12"/>
    <w:rsid w:val="00CF1AC7"/>
    <w:rsid w:val="00CF7036"/>
    <w:rsid w:val="00D00B2B"/>
    <w:rsid w:val="00D21B86"/>
    <w:rsid w:val="00D24877"/>
    <w:rsid w:val="00D63318"/>
    <w:rsid w:val="00D67C95"/>
    <w:rsid w:val="00D7105A"/>
    <w:rsid w:val="00D81F18"/>
    <w:rsid w:val="00D8250F"/>
    <w:rsid w:val="00D85A07"/>
    <w:rsid w:val="00D86BB3"/>
    <w:rsid w:val="00D95C4C"/>
    <w:rsid w:val="00D964AB"/>
    <w:rsid w:val="00DA36ED"/>
    <w:rsid w:val="00DC2886"/>
    <w:rsid w:val="00DC49CB"/>
    <w:rsid w:val="00DE34F1"/>
    <w:rsid w:val="00DE6160"/>
    <w:rsid w:val="00DF26A4"/>
    <w:rsid w:val="00DF4942"/>
    <w:rsid w:val="00E11B4D"/>
    <w:rsid w:val="00E2125F"/>
    <w:rsid w:val="00E244E1"/>
    <w:rsid w:val="00E334B1"/>
    <w:rsid w:val="00E3741D"/>
    <w:rsid w:val="00E4150C"/>
    <w:rsid w:val="00E4446E"/>
    <w:rsid w:val="00E627B1"/>
    <w:rsid w:val="00E663FE"/>
    <w:rsid w:val="00E70169"/>
    <w:rsid w:val="00E73A05"/>
    <w:rsid w:val="00E85399"/>
    <w:rsid w:val="00E9376C"/>
    <w:rsid w:val="00E95AE2"/>
    <w:rsid w:val="00EA2405"/>
    <w:rsid w:val="00EA335E"/>
    <w:rsid w:val="00EA528C"/>
    <w:rsid w:val="00EA580C"/>
    <w:rsid w:val="00EC2F6C"/>
    <w:rsid w:val="00EC6F8D"/>
    <w:rsid w:val="00ED037E"/>
    <w:rsid w:val="00ED3736"/>
    <w:rsid w:val="00ED39B2"/>
    <w:rsid w:val="00ED51C7"/>
    <w:rsid w:val="00ED5C85"/>
    <w:rsid w:val="00EE49F4"/>
    <w:rsid w:val="00EE67E0"/>
    <w:rsid w:val="00EF34E2"/>
    <w:rsid w:val="00F071AF"/>
    <w:rsid w:val="00F30DC6"/>
    <w:rsid w:val="00F31F96"/>
    <w:rsid w:val="00F32C23"/>
    <w:rsid w:val="00F33F84"/>
    <w:rsid w:val="00F415F0"/>
    <w:rsid w:val="00F53DE9"/>
    <w:rsid w:val="00F576CB"/>
    <w:rsid w:val="00F7035D"/>
    <w:rsid w:val="00F70CC5"/>
    <w:rsid w:val="00F71A02"/>
    <w:rsid w:val="00F9217E"/>
    <w:rsid w:val="00FA0D63"/>
    <w:rsid w:val="00FB4BEB"/>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9A373B"/>
    <w:rPr>
      <w:color w:val="0000FF" w:themeColor="hyperlink"/>
      <w:u w:val="single"/>
    </w:rPr>
  </w:style>
  <w:style w:type="character" w:customStyle="1" w:styleId="MargeChar">
    <w:name w:val="Marge Char"/>
    <w:link w:val="Marge"/>
    <w:locked/>
    <w:rsid w:val="009A373B"/>
    <w:rPr>
      <w:rFonts w:ascii="Arial" w:eastAsia="Times New Roman" w:hAnsi="Arial"/>
      <w:snapToGrid w:val="0"/>
      <w:sz w:val="22"/>
      <w:szCs w:val="24"/>
      <w:lang w:eastAsia="en-US"/>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9A373B"/>
    <w:rPr>
      <w:rFonts w:ascii="Times New Roman" w:eastAsia="Times New Roman" w:hAnsi="Times New Roman"/>
      <w:sz w:val="24"/>
      <w:szCs w:val="24"/>
    </w:rPr>
  </w:style>
  <w:style w:type="paragraph" w:styleId="Rvision">
    <w:name w:val="Revision"/>
    <w:hidden/>
    <w:uiPriority w:val="99"/>
    <w:semiHidden/>
    <w:rsid w:val="00E73A05"/>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E73A05"/>
    <w:rPr>
      <w:sz w:val="16"/>
      <w:szCs w:val="16"/>
    </w:rPr>
  </w:style>
  <w:style w:type="paragraph" w:styleId="Commentaire">
    <w:name w:val="annotation text"/>
    <w:basedOn w:val="Normal"/>
    <w:link w:val="CommentaireCar"/>
    <w:uiPriority w:val="99"/>
    <w:unhideWhenUsed/>
    <w:rsid w:val="00E73A05"/>
    <w:rPr>
      <w:sz w:val="20"/>
      <w:szCs w:val="20"/>
    </w:rPr>
  </w:style>
  <w:style w:type="character" w:customStyle="1" w:styleId="CommentaireCar">
    <w:name w:val="Commentaire Car"/>
    <w:basedOn w:val="Policepardfaut"/>
    <w:link w:val="Commentaire"/>
    <w:uiPriority w:val="99"/>
    <w:rsid w:val="00E73A0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73A05"/>
    <w:rPr>
      <w:b/>
      <w:bCs/>
    </w:rPr>
  </w:style>
  <w:style w:type="character" w:customStyle="1" w:styleId="ObjetducommentaireCar">
    <w:name w:val="Objet du commentaire Car"/>
    <w:basedOn w:val="CommentaireCar"/>
    <w:link w:val="Objetducommentaire"/>
    <w:uiPriority w:val="99"/>
    <w:semiHidden/>
    <w:rsid w:val="00E73A05"/>
    <w:rPr>
      <w:rFonts w:ascii="Times New Roman" w:eastAsia="Times New Roman" w:hAnsi="Times New Roman"/>
      <w:b/>
      <w:bCs/>
    </w:rPr>
  </w:style>
  <w:style w:type="character" w:styleId="Mentionnonrsolue">
    <w:name w:val="Unresolved Mention"/>
    <w:basedOn w:val="Policepardfaut"/>
    <w:uiPriority w:val="99"/>
    <w:semiHidden/>
    <w:unhideWhenUsed/>
    <w:rsid w:val="005C5423"/>
    <w:rPr>
      <w:color w:val="605E5C"/>
      <w:shd w:val="clear" w:color="auto" w:fill="E1DFDD"/>
    </w:rPr>
  </w:style>
  <w:style w:type="character" w:styleId="Lienhypertextesuivivisit">
    <w:name w:val="FollowedHyperlink"/>
    <w:basedOn w:val="Policepardfaut"/>
    <w:uiPriority w:val="99"/>
    <w:semiHidden/>
    <w:unhideWhenUsed/>
    <w:rsid w:val="007E1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8216">
      <w:bodyDiv w:val="1"/>
      <w:marLeft w:val="0"/>
      <w:marRight w:val="0"/>
      <w:marTop w:val="0"/>
      <w:marBottom w:val="0"/>
      <w:divBdr>
        <w:top w:val="none" w:sz="0" w:space="0" w:color="auto"/>
        <w:left w:val="none" w:sz="0" w:space="0" w:color="auto"/>
        <w:bottom w:val="none" w:sz="0" w:space="0" w:color="auto"/>
        <w:right w:val="none" w:sz="0" w:space="0" w:color="auto"/>
      </w:divBdr>
    </w:div>
    <w:div w:id="71882355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5580815">
      <w:bodyDiv w:val="1"/>
      <w:marLeft w:val="0"/>
      <w:marRight w:val="0"/>
      <w:marTop w:val="0"/>
      <w:marBottom w:val="0"/>
      <w:divBdr>
        <w:top w:val="none" w:sz="0" w:space="0" w:color="auto"/>
        <w:left w:val="none" w:sz="0" w:space="0" w:color="auto"/>
        <w:bottom w:val="none" w:sz="0" w:space="0" w:color="auto"/>
        <w:right w:val="none" w:sz="0" w:space="0" w:color="auto"/>
      </w:divBdr>
    </w:div>
    <w:div w:id="14946837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693359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_6.GA-Resolutions_AR.docx" TargetMode="External"/><Relationship Id="rId13" Type="http://schemas.openxmlformats.org/officeDocument/2006/relationships/hyperlink" Target="https://ich.unesco.org/doc/src/LHE-22-9.GA-Resolutions-ZH.docx" TargetMode="External"/><Relationship Id="rId18" Type="http://schemas.openxmlformats.org/officeDocument/2006/relationships/hyperlink" Target="https://ich.unesco.org/en/Decisions/17.COM/13" TargetMode="External"/><Relationship Id="rId26" Type="http://schemas.openxmlformats.org/officeDocument/2006/relationships/hyperlink" Target="https://ich.unesco.org/en/Decisions/16.COM/1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en/decisions/18.COM/12" TargetMode="External"/><Relationship Id="rId34" Type="http://schemas.openxmlformats.org/officeDocument/2006/relationships/hyperlink" Target="https://ich.unesco.org/en/Decisions/9.GA/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8.COM/7.C" TargetMode="External"/><Relationship Id="rId17" Type="http://schemas.openxmlformats.org/officeDocument/2006/relationships/hyperlink" Target="https://ich.unesco.org/en/Decisions/18.COM/5" TargetMode="External"/><Relationship Id="rId25" Type="http://schemas.openxmlformats.org/officeDocument/2006/relationships/hyperlink" Target="https://ich.unesco.org/en/Decisions/12.COM/6" TargetMode="External"/><Relationship Id="rId33" Type="http://schemas.openxmlformats.org/officeDocument/2006/relationships/hyperlink" Target="https://ich.unesco.org/en/5extcom" TargetMode="External"/><Relationship Id="rId38" Type="http://schemas.openxmlformats.org/officeDocument/2006/relationships/hyperlink" Target="https://ich.unesco.org/doc/src/LHE-22-17.COM-8-EN.docx" TargetMode="External"/><Relationship Id="rId2" Type="http://schemas.openxmlformats.org/officeDocument/2006/relationships/numbering" Target="numbering.xml"/><Relationship Id="rId16" Type="http://schemas.openxmlformats.org/officeDocument/2006/relationships/hyperlink" Target="https://ich.unesco.org/en/Decisions/17.COM/5" TargetMode="External"/><Relationship Id="rId20" Type="http://schemas.openxmlformats.org/officeDocument/2006/relationships/hyperlink" Target="https://ich.unesco.org/en/Decisions/17.COM/13" TargetMode="External"/><Relationship Id="rId29" Type="http://schemas.openxmlformats.org/officeDocument/2006/relationships/hyperlink" Target="https://ich.unesco.org/en/decisions/18.COM/7.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6_6.GA-Resolutions_AR.docx" TargetMode="External"/><Relationship Id="rId24" Type="http://schemas.openxmlformats.org/officeDocument/2006/relationships/hyperlink" Target="https://ich.unesco.org/doc/src/LHE-23-18.COM-14_EN.docx" TargetMode="External"/><Relationship Id="rId32" Type="http://schemas.openxmlformats.org/officeDocument/2006/relationships/hyperlink" Target="https://ich.unesco.org/en/decisions/18.COM/7.C" TargetMode="External"/><Relationship Id="rId37" Type="http://schemas.openxmlformats.org/officeDocument/2006/relationships/hyperlink" Target="https://ich.unesco.org/en/Decisions/17.COM/8.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8.COM/11" TargetMode="External"/><Relationship Id="rId23" Type="http://schemas.openxmlformats.org/officeDocument/2006/relationships/hyperlink" Target="https://ich.unesco.org/en/Decisions/14.COM/7" TargetMode="External"/><Relationship Id="rId28" Type="http://schemas.openxmlformats.org/officeDocument/2006/relationships/hyperlink" Target="https://ich.unesco.org/en/Decisions/17.COM/6.a" TargetMode="External"/><Relationship Id="rId36" Type="http://schemas.openxmlformats.org/officeDocument/2006/relationships/hyperlink" Target="https://ich.unesco.org/en/Decisions/5.EXT.COM/4" TargetMode="External"/><Relationship Id="rId10" Type="http://schemas.openxmlformats.org/officeDocument/2006/relationships/hyperlink" Target="https://ich.unesco.org/doc/src/LHE-24-10.GA-INF.8-EN.docx" TargetMode="External"/><Relationship Id="rId19" Type="http://schemas.openxmlformats.org/officeDocument/2006/relationships/hyperlink" Target="https://ich.unesco.org/en/decisions/18.COM/12" TargetMode="External"/><Relationship Id="rId31" Type="http://schemas.openxmlformats.org/officeDocument/2006/relationships/hyperlink" Target="https://ich.unesco.org/en/decisions/18.COM/7.B" TargetMode="External"/><Relationship Id="rId4" Type="http://schemas.openxmlformats.org/officeDocument/2006/relationships/settings" Target="settings.xml"/><Relationship Id="rId9" Type="http://schemas.openxmlformats.org/officeDocument/2006/relationships/hyperlink" Target="https://ich.unesco.org/doc/src/LHE-24-10.GA-6-EN.docx" TargetMode="External"/><Relationship Id="rId14" Type="http://schemas.openxmlformats.org/officeDocument/2006/relationships/hyperlink" Target="https://ich.unesco.org/en/Decisions/17.COM/10" TargetMode="External"/><Relationship Id="rId22" Type="http://schemas.openxmlformats.org/officeDocument/2006/relationships/hyperlink" Target="https://ich.unesco.org/en/decisions/18.COM/14" TargetMode="External"/><Relationship Id="rId27" Type="http://schemas.openxmlformats.org/officeDocument/2006/relationships/hyperlink" Target="https://ich.unesco.org/doc/src/LHE-23-18.COM-INF.14_EN.docx" TargetMode="External"/><Relationship Id="rId30" Type="http://schemas.openxmlformats.org/officeDocument/2006/relationships/hyperlink" Target="https://ich.unesco.org/en/Decisions/17.COM/6.b" TargetMode="External"/><Relationship Id="rId35" Type="http://schemas.openxmlformats.org/officeDocument/2006/relationships/hyperlink" Target="https://ich.unesco.org/en/Decisions/16.COM/14"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2941</Words>
  <Characters>16181</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2024-05-07T07:54:00Z</dcterms:created>
  <dcterms:modified xsi:type="dcterms:W3CDTF">2024-05-13T14:46:00Z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12a407d17a10f107ac422350a04e29ffe0571041c851a5438245e07e71e5477f</vt:lpwstr>
  </property>
</Properties>
</file>