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3C73EFB5" w:rsidR="00BC3420" w:rsidRPr="00A61C6E" w:rsidRDefault="00886994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86994">
        <w:rPr>
          <w:rFonts w:ascii="Arial" w:hAnsi="Arial" w:cs="Arial"/>
          <w:b/>
          <w:sz w:val="22"/>
          <w:szCs w:val="22"/>
        </w:rPr>
        <w:t>ASSEMBLÉE GÉNÉRALE DES ÉTATS PARTIES À LA CONVENTION</w:t>
      </w:r>
    </w:p>
    <w:p w14:paraId="32D15B6C" w14:textId="0CAD5B06" w:rsidR="00BC3420" w:rsidRPr="00B43974" w:rsidRDefault="007A000F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</w:t>
      </w:r>
      <w:r w:rsidR="00886994">
        <w:rPr>
          <w:rFonts w:ascii="Arial" w:eastAsiaTheme="minorEastAsia" w:hAnsi="Arial" w:cs="Arial"/>
          <w:b/>
          <w:sz w:val="22"/>
          <w:szCs w:val="22"/>
          <w:lang w:eastAsia="ko-KR"/>
        </w:rPr>
        <w:t>ièm</w:t>
      </w:r>
      <w:r>
        <w:rPr>
          <w:rFonts w:ascii="Arial" w:hAnsi="Arial" w:cs="Arial"/>
          <w:b/>
          <w:sz w:val="22"/>
          <w:szCs w:val="22"/>
        </w:rPr>
        <w:t>e</w:t>
      </w:r>
      <w:r w:rsidR="00F4581D" w:rsidRPr="00F4581D">
        <w:rPr>
          <w:rFonts w:ascii="Arial" w:hAnsi="Arial" w:cs="Arial"/>
          <w:b/>
          <w:sz w:val="22"/>
          <w:szCs w:val="22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7309CEF6" w14:textId="5F6FA9C8" w:rsidR="00F4581D" w:rsidRPr="00F4581D" w:rsidRDefault="00886994" w:rsidP="00886994">
      <w:pPr>
        <w:tabs>
          <w:tab w:val="center" w:pos="4819"/>
          <w:tab w:val="left" w:pos="7073"/>
        </w:tabs>
        <w:jc w:val="center"/>
        <w:rPr>
          <w:rFonts w:ascii="Arial" w:hAnsi="Arial"/>
          <w:b/>
          <w:sz w:val="22"/>
        </w:rPr>
      </w:pPr>
      <w:r w:rsidRPr="00886994">
        <w:rPr>
          <w:rFonts w:ascii="Arial" w:hAnsi="Arial"/>
          <w:b/>
          <w:sz w:val="22"/>
        </w:rPr>
        <w:t>Siège de l’UNESCO, Salle I</w:t>
      </w:r>
    </w:p>
    <w:p w14:paraId="552550E8" w14:textId="1FB212F5" w:rsidR="00EF74E3" w:rsidRPr="00F4581D" w:rsidRDefault="007C38A9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</w:t>
      </w:r>
      <w:r w:rsidR="00F4581D" w:rsidRPr="00F4581D">
        <w:rPr>
          <w:rFonts w:ascii="Arial" w:hAnsi="Arial"/>
          <w:b/>
          <w:sz w:val="22"/>
        </w:rPr>
        <w:t> </w:t>
      </w:r>
      <w:r w:rsidR="007A000F">
        <w:rPr>
          <w:rFonts w:ascii="Arial" w:hAnsi="Arial"/>
          <w:b/>
          <w:sz w:val="22"/>
        </w:rPr>
        <w:t>–</w:t>
      </w:r>
      <w:r w:rsidR="00F4581D" w:rsidRPr="00F4581D">
        <w:rPr>
          <w:rFonts w:ascii="Arial" w:hAnsi="Arial"/>
          <w:b/>
          <w:sz w:val="22"/>
        </w:rPr>
        <w:t xml:space="preserve"> </w:t>
      </w:r>
      <w:r w:rsidR="00D46464">
        <w:rPr>
          <w:rFonts w:ascii="Arial" w:hAnsi="Arial"/>
          <w:b/>
          <w:sz w:val="22"/>
        </w:rPr>
        <w:t xml:space="preserve">12 </w:t>
      </w:r>
      <w:r>
        <w:rPr>
          <w:rFonts w:ascii="Arial" w:hAnsi="Arial"/>
          <w:b/>
          <w:sz w:val="22"/>
        </w:rPr>
        <w:t>juin</w:t>
      </w:r>
      <w:r w:rsidR="00F4581D" w:rsidRPr="00F4581D">
        <w:rPr>
          <w:rFonts w:ascii="Arial" w:hAnsi="Arial"/>
          <w:b/>
          <w:sz w:val="22"/>
        </w:rPr>
        <w:t> 202</w:t>
      </w:r>
      <w:r w:rsidR="00886994">
        <w:rPr>
          <w:rFonts w:ascii="Arial" w:hAnsi="Arial"/>
          <w:b/>
          <w:sz w:val="22"/>
        </w:rPr>
        <w:t>4</w:t>
      </w:r>
    </w:p>
    <w:p w14:paraId="72EF57E2" w14:textId="0DB8F36B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>Point</w:t>
      </w:r>
      <w:r w:rsidR="00D237DD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6504B359" w:rsidR="008F09EC" w:rsidRPr="00B43974" w:rsidRDefault="00D237DD" w:rsidP="00114C01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237DD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6233FD1C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>paragraphe</w:t>
            </w:r>
            <w:r w:rsidR="00D237DD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7ECE0167" w:rsidR="007E60C6" w:rsidRPr="00886994" w:rsidRDefault="00886994" w:rsidP="00886994">
      <w:pPr>
        <w:pStyle w:val="COMParabodytext"/>
        <w:numPr>
          <w:ilvl w:val="0"/>
          <w:numId w:val="18"/>
        </w:numPr>
        <w:ind w:left="567" w:hanging="567"/>
        <w:jc w:val="left"/>
        <w:rPr>
          <w:lang w:val="fr-FR"/>
        </w:rPr>
      </w:pPr>
      <w:r w:rsidRPr="00886994">
        <w:rPr>
          <w:lang w:val="fr-FR"/>
        </w:rPr>
        <w:lastRenderedPageBreak/>
        <w:t>L’Assemblée générale souhaitera peut-être adopter la résolution suivante :</w:t>
      </w:r>
    </w:p>
    <w:p w14:paraId="182ADC81" w14:textId="636EEEB9" w:rsidR="007E60C6" w:rsidRPr="00B43974" w:rsidRDefault="007E60C6" w:rsidP="007E60C6">
      <w:pPr>
        <w:pStyle w:val="GATitleResolution"/>
      </w:pPr>
      <w:r w:rsidRPr="0020150F">
        <w:t xml:space="preserve">PROJET DE </w:t>
      </w:r>
      <w:r w:rsidR="00886994">
        <w:t>RÉSOLUTION 10</w:t>
      </w:r>
      <w:r w:rsidR="00886994" w:rsidRPr="0020150F">
        <w:t>.</w:t>
      </w:r>
      <w:r w:rsidR="00886994">
        <w:t>GA</w:t>
      </w:r>
      <w:r w:rsidR="00D237DD">
        <w:t xml:space="preserve"> 3</w:t>
      </w:r>
    </w:p>
    <w:p w14:paraId="3F5A1010" w14:textId="49120E56" w:rsidR="007E60C6" w:rsidRPr="00B43974" w:rsidRDefault="00886994" w:rsidP="007E60C6">
      <w:pPr>
        <w:pStyle w:val="COMPreambulaDecision"/>
      </w:pPr>
      <w:r w:rsidRPr="00886994">
        <w:t>L’Assemblée générale,</w:t>
      </w:r>
    </w:p>
    <w:p w14:paraId="7D270F6C" w14:textId="1085FA2A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4514DE">
        <w:rPr>
          <w:u w:val="none"/>
        </w:rPr>
        <w:t>4</w:t>
      </w:r>
      <w:r>
        <w:rPr>
          <w:u w:val="none"/>
        </w:rPr>
        <w:t>/1</w:t>
      </w:r>
      <w:r w:rsidR="004514DE">
        <w:rPr>
          <w:u w:val="none"/>
        </w:rPr>
        <w:t>0</w:t>
      </w:r>
      <w:r w:rsidRPr="00B43974">
        <w:rPr>
          <w:u w:val="none"/>
        </w:rPr>
        <w:t>.</w:t>
      </w:r>
      <w:r w:rsidR="004514DE">
        <w:rPr>
          <w:u w:val="none"/>
        </w:rPr>
        <w:t>GA</w:t>
      </w:r>
      <w:r w:rsidRPr="00B43974">
        <w:rPr>
          <w:u w:val="none"/>
        </w:rPr>
        <w:t>/</w:t>
      </w:r>
      <w:r w:rsidR="00D237DD">
        <w:rPr>
          <w:u w:val="none"/>
        </w:rPr>
        <w:t>3</w:t>
      </w:r>
      <w:r w:rsidR="00D46464">
        <w:rPr>
          <w:u w:val="none"/>
        </w:rPr>
        <w:t xml:space="preserve"> </w:t>
      </w:r>
      <w:proofErr w:type="spellStart"/>
      <w:r w:rsidR="00D46464">
        <w:rPr>
          <w:u w:val="none"/>
        </w:rPr>
        <w:t>Rev</w:t>
      </w:r>
      <w:proofErr w:type="spellEnd"/>
      <w:r w:rsidR="00D46464">
        <w:rPr>
          <w:u w:val="none"/>
        </w:rPr>
        <w:t>.</w:t>
      </w:r>
      <w:r w:rsidR="009B223B">
        <w:rPr>
          <w:u w:val="none"/>
        </w:rPr>
        <w:t>,</w:t>
      </w:r>
    </w:p>
    <w:p w14:paraId="5E87ABBA" w14:textId="1B5BB3AD" w:rsidR="007E60C6" w:rsidRPr="00D237DD" w:rsidRDefault="00D237DD" w:rsidP="007E60C6">
      <w:pPr>
        <w:pStyle w:val="COMParaDecision"/>
        <w:jc w:val="left"/>
      </w:pPr>
      <w:r>
        <w:t>Adopte</w:t>
      </w:r>
      <w:r w:rsidR="007E60C6" w:rsidRPr="00B43974">
        <w:rPr>
          <w:u w:val="none"/>
        </w:rPr>
        <w:t xml:space="preserve"> </w:t>
      </w:r>
      <w:r>
        <w:rPr>
          <w:u w:val="none"/>
        </w:rPr>
        <w:t>l’</w:t>
      </w:r>
      <w:r w:rsidR="00B1273A">
        <w:rPr>
          <w:u w:val="none"/>
        </w:rPr>
        <w:t>ordre du jour</w:t>
      </w:r>
      <w:r>
        <w:rPr>
          <w:u w:val="none"/>
        </w:rPr>
        <w:t xml:space="preserve"> de sa dixième session (Paris, </w:t>
      </w:r>
      <w:r w:rsidR="00B1273A">
        <w:rPr>
          <w:u w:val="none"/>
        </w:rPr>
        <w:t>s</w:t>
      </w:r>
      <w:r>
        <w:rPr>
          <w:u w:val="none"/>
        </w:rPr>
        <w:t xml:space="preserve">iège de l’UNESCO, 11 </w:t>
      </w:r>
      <w:r w:rsidR="00B1273A">
        <w:rPr>
          <w:u w:val="none"/>
        </w:rPr>
        <w:t>–</w:t>
      </w:r>
      <w:r>
        <w:rPr>
          <w:u w:val="none"/>
        </w:rPr>
        <w:t xml:space="preserve"> </w:t>
      </w:r>
      <w:r w:rsidR="00D46464">
        <w:rPr>
          <w:u w:val="none"/>
        </w:rPr>
        <w:t xml:space="preserve">12 </w:t>
      </w:r>
      <w:r>
        <w:rPr>
          <w:u w:val="none"/>
        </w:rPr>
        <w:t>juin 2024) comme suit :</w:t>
      </w:r>
    </w:p>
    <w:p w14:paraId="6D63B014" w14:textId="708CF86F" w:rsidR="00D237DD" w:rsidRPr="00D237DD" w:rsidRDefault="00D237DD" w:rsidP="00D237DD">
      <w:pPr>
        <w:pStyle w:val="COMParaDecision"/>
        <w:numPr>
          <w:ilvl w:val="0"/>
          <w:numId w:val="0"/>
        </w:numPr>
        <w:spacing w:before="360" w:after="240"/>
        <w:ind w:left="1134"/>
        <w:jc w:val="left"/>
        <w:rPr>
          <w:b/>
          <w:bCs/>
          <w:u w:val="none"/>
        </w:rPr>
      </w:pPr>
      <w:r>
        <w:rPr>
          <w:b/>
          <w:bCs/>
          <w:u w:val="none"/>
        </w:rPr>
        <w:t>Ordre du jour</w:t>
      </w:r>
    </w:p>
    <w:p w14:paraId="65261340" w14:textId="357AC862" w:rsidR="002E2F53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Ouverture</w:t>
      </w:r>
    </w:p>
    <w:p w14:paraId="36C4514C" w14:textId="776354D6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 xml:space="preserve">Élection du Bureau </w:t>
      </w:r>
    </w:p>
    <w:p w14:paraId="5502F3B0" w14:textId="77777777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>Adoption de l’ordre du jour</w:t>
      </w:r>
    </w:p>
    <w:p w14:paraId="5CE93FA4" w14:textId="77777777" w:rsidR="00D237DD" w:rsidRP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Distribution des sièges au Comité par groupe électoral</w:t>
      </w:r>
    </w:p>
    <w:p w14:paraId="793A5445" w14:textId="7C587588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Rapport du Comité à l’Assemblée générale (de janvier 202</w:t>
      </w:r>
      <w:r w:rsidR="00B1273A">
        <w:rPr>
          <w:u w:val="none"/>
        </w:rPr>
        <w:t>2</w:t>
      </w:r>
      <w:r w:rsidRPr="00D237DD">
        <w:rPr>
          <w:u w:val="none"/>
        </w:rPr>
        <w:t xml:space="preserve"> à décembre 202</w:t>
      </w:r>
      <w:r w:rsidR="00B1273A">
        <w:rPr>
          <w:u w:val="none"/>
        </w:rPr>
        <w:t>3</w:t>
      </w:r>
      <w:r w:rsidRPr="00D237DD">
        <w:rPr>
          <w:u w:val="none"/>
        </w:rPr>
        <w:t>)</w:t>
      </w:r>
    </w:p>
    <w:p w14:paraId="14DEF91F" w14:textId="22A149CB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Rapport du Secrétariat sur ses activités (de janvier 202</w:t>
      </w:r>
      <w:r w:rsidR="00B1273A">
        <w:rPr>
          <w:u w:val="none"/>
        </w:rPr>
        <w:t>2</w:t>
      </w:r>
      <w:r w:rsidRPr="00D237DD">
        <w:rPr>
          <w:u w:val="none"/>
        </w:rPr>
        <w:t xml:space="preserve"> à décembre 202</w:t>
      </w:r>
      <w:r w:rsidR="00B1273A">
        <w:rPr>
          <w:u w:val="none"/>
        </w:rPr>
        <w:t>3</w:t>
      </w:r>
      <w:r w:rsidRPr="00D237DD">
        <w:rPr>
          <w:u w:val="none"/>
        </w:rPr>
        <w:t>)</w:t>
      </w:r>
    </w:p>
    <w:p w14:paraId="1FBD9862" w14:textId="2B7D6499" w:rsidR="00B1273A" w:rsidRDefault="009362A0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>R</w:t>
      </w:r>
      <w:r w:rsidR="00B1273A">
        <w:rPr>
          <w:u w:val="none"/>
        </w:rPr>
        <w:t>évision</w:t>
      </w:r>
      <w:r>
        <w:rPr>
          <w:u w:val="none"/>
        </w:rPr>
        <w:t>s proposées aux</w:t>
      </w:r>
      <w:r w:rsidR="00221B0B">
        <w:rPr>
          <w:u w:val="none"/>
        </w:rPr>
        <w:t xml:space="preserve"> Directives opérationnelles pour la mise en œuvre de la Convention </w:t>
      </w:r>
    </w:p>
    <w:p w14:paraId="5F013690" w14:textId="77777777" w:rsidR="00B1273A" w:rsidRPr="00B1273A" w:rsidRDefault="00B1273A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Utilisation des ressources du Fonds du patrimoine culturel immatériel</w:t>
      </w:r>
    </w:p>
    <w:p w14:paraId="2CD336F3" w14:textId="660470F1" w:rsidR="00D237DD" w:rsidRDefault="00D237DD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237DD">
        <w:rPr>
          <w:rFonts w:ascii="Arial" w:hAnsi="Arial" w:cs="Arial"/>
          <w:sz w:val="22"/>
          <w:szCs w:val="22"/>
        </w:rPr>
        <w:t>Accréditation des organisations non gouvernementales à des fins d’assistance consultative auprès du Comité</w:t>
      </w:r>
    </w:p>
    <w:p w14:paraId="5D68DB6B" w14:textId="59C28D42" w:rsidR="00B1273A" w:rsidRDefault="00B1273A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Rapport sur le vingtième anniversaire de la Convention </w:t>
      </w:r>
      <w:r w:rsidR="007C2851">
        <w:rPr>
          <w:rFonts w:ascii="Arial" w:hAnsi="Arial" w:cs="Arial"/>
          <w:sz w:val="22"/>
          <w:szCs w:val="22"/>
        </w:rPr>
        <w:t xml:space="preserve">de 2003 </w:t>
      </w:r>
      <w:r>
        <w:rPr>
          <w:rFonts w:ascii="Arial" w:hAnsi="Arial" w:cs="Arial"/>
          <w:sz w:val="22"/>
          <w:szCs w:val="22"/>
        </w:rPr>
        <w:t>en 2023</w:t>
      </w:r>
    </w:p>
    <w:p w14:paraId="227AAFF5" w14:textId="77777777" w:rsidR="00B1273A" w:rsidRPr="00B1273A" w:rsidRDefault="00B1273A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Élection des membres du Comité intergouvernemental de sauvegarde du patrimoine culturel immatériel</w:t>
      </w:r>
    </w:p>
    <w:p w14:paraId="4905D2FB" w14:textId="77777777" w:rsidR="00B1273A" w:rsidRPr="00B1273A" w:rsidRDefault="00B1273A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Questions diverses</w:t>
      </w:r>
    </w:p>
    <w:p w14:paraId="35394545" w14:textId="3CF9C91D" w:rsidR="00D237DD" w:rsidRPr="00B1273A" w:rsidRDefault="00B1273A" w:rsidP="00B1273A">
      <w:pPr>
        <w:pStyle w:val="ListParagraph"/>
        <w:numPr>
          <w:ilvl w:val="0"/>
          <w:numId w:val="20"/>
        </w:numPr>
        <w:spacing w:after="120"/>
        <w:ind w:left="1701" w:hanging="567"/>
        <w:contextualSpacing w:val="0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Clôture</w:t>
      </w:r>
    </w:p>
    <w:sectPr w:rsidR="00D237DD" w:rsidRPr="00B1273A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53C9883A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886994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886994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  <w:lang w:val="en-US"/>
      </w:rPr>
      <w:t>.</w:t>
    </w:r>
    <w:r w:rsidR="00886994">
      <w:rPr>
        <w:rFonts w:ascii="Arial" w:hAnsi="Arial" w:cs="Arial"/>
        <w:sz w:val="20"/>
        <w:szCs w:val="20"/>
        <w:lang w:val="en-US"/>
      </w:rPr>
      <w:t>GA</w:t>
    </w:r>
    <w:r w:rsidR="00E9376C">
      <w:rPr>
        <w:rFonts w:ascii="Arial" w:hAnsi="Arial" w:cs="Arial"/>
        <w:sz w:val="20"/>
        <w:szCs w:val="20"/>
        <w:lang w:val="en-US"/>
      </w:rPr>
      <w:t>/</w:t>
    </w:r>
    <w:r w:rsidR="00C40006">
      <w:rPr>
        <w:rFonts w:ascii="Arial" w:hAnsi="Arial" w:cs="Arial"/>
        <w:sz w:val="20"/>
        <w:szCs w:val="20"/>
        <w:lang w:val="en-US"/>
      </w:rPr>
      <w:t>3</w:t>
    </w:r>
    <w:r w:rsidR="00D46464">
      <w:rPr>
        <w:rFonts w:ascii="Arial" w:hAnsi="Arial" w:cs="Arial"/>
        <w:sz w:val="20"/>
        <w:szCs w:val="20"/>
        <w:lang w:val="en-US"/>
      </w:rPr>
      <w:t xml:space="preserve"> Rev.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0FEFF0E2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48558A">
      <w:rPr>
        <w:rFonts w:ascii="Arial" w:hAnsi="Arial" w:cs="Arial"/>
        <w:sz w:val="20"/>
        <w:szCs w:val="20"/>
        <w:lang w:val="en-US"/>
      </w:rPr>
      <w:t>4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48558A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  <w:lang w:val="en-US"/>
      </w:rPr>
      <w:t>.</w:t>
    </w:r>
    <w:r w:rsidR="0048558A">
      <w:rPr>
        <w:rFonts w:ascii="Arial" w:hAnsi="Arial" w:cs="Arial"/>
        <w:sz w:val="20"/>
        <w:szCs w:val="20"/>
        <w:lang w:val="en-US"/>
      </w:rPr>
      <w:t>GA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42A0A2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5AF538ED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886994">
      <w:rPr>
        <w:rFonts w:ascii="Arial" w:hAnsi="Arial" w:cs="Arial"/>
        <w:b/>
        <w:sz w:val="44"/>
        <w:szCs w:val="44"/>
        <w:lang w:val="pt-PT"/>
      </w:rPr>
      <w:t>0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886994">
      <w:rPr>
        <w:rFonts w:ascii="Arial" w:hAnsi="Arial" w:cs="Arial"/>
        <w:b/>
        <w:sz w:val="44"/>
        <w:szCs w:val="44"/>
        <w:lang w:val="pt-PT"/>
      </w:rPr>
      <w:t>GA</w:t>
    </w:r>
  </w:p>
  <w:p w14:paraId="4AD38C3D" w14:textId="69D14632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86994">
      <w:rPr>
        <w:rFonts w:ascii="Arial" w:hAnsi="Arial" w:cs="Arial"/>
        <w:b/>
        <w:sz w:val="22"/>
        <w:szCs w:val="22"/>
        <w:lang w:val="pt-PT"/>
      </w:rPr>
      <w:t>4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886994">
      <w:rPr>
        <w:rFonts w:ascii="Arial" w:hAnsi="Arial" w:cs="Arial"/>
        <w:b/>
        <w:sz w:val="22"/>
        <w:szCs w:val="22"/>
        <w:lang w:val="pt-PT"/>
      </w:rPr>
      <w:t>0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886994">
      <w:rPr>
        <w:rFonts w:ascii="Arial" w:hAnsi="Arial" w:cs="Arial"/>
        <w:b/>
        <w:sz w:val="22"/>
        <w:szCs w:val="22"/>
        <w:lang w:val="pt-PT"/>
      </w:rPr>
      <w:t>GA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D237DD">
      <w:rPr>
        <w:rFonts w:ascii="Arial" w:hAnsi="Arial" w:cs="Arial"/>
        <w:b/>
        <w:sz w:val="22"/>
        <w:szCs w:val="22"/>
        <w:lang w:val="pt-PT"/>
      </w:rPr>
      <w:t>3</w:t>
    </w:r>
    <w:r w:rsidR="00D46464">
      <w:rPr>
        <w:rFonts w:ascii="Arial" w:hAnsi="Arial" w:cs="Arial"/>
        <w:b/>
        <w:sz w:val="22"/>
        <w:szCs w:val="22"/>
        <w:lang w:val="pt-PT"/>
      </w:rPr>
      <w:t xml:space="preserve"> Rev.</w:t>
    </w:r>
  </w:p>
  <w:p w14:paraId="30B7DEB9" w14:textId="53BA1A6B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D46464">
      <w:rPr>
        <w:rFonts w:ascii="Arial" w:hAnsi="Arial" w:cs="Arial"/>
        <w:b/>
        <w:sz w:val="22"/>
        <w:szCs w:val="22"/>
        <w:lang w:val="pt-PT"/>
      </w:rPr>
      <w:t>13 mai</w:t>
    </w:r>
    <w:r w:rsidR="002955F3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86994">
      <w:rPr>
        <w:rFonts w:ascii="Arial" w:hAnsi="Arial" w:cs="Arial"/>
        <w:b/>
        <w:sz w:val="22"/>
        <w:szCs w:val="22"/>
        <w:lang w:val="pt-PT"/>
      </w:rPr>
      <w:t>4</w:t>
    </w:r>
  </w:p>
  <w:p w14:paraId="18E81B87" w14:textId="68D973C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>:</w:t>
    </w:r>
    <w:r w:rsidR="00D237DD">
      <w:rPr>
        <w:rFonts w:ascii="Arial" w:hAnsi="Arial" w:cs="Arial"/>
        <w:b/>
        <w:sz w:val="22"/>
        <w:szCs w:val="22"/>
      </w:rPr>
      <w:t xml:space="preserve"> 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FFC"/>
    <w:multiLevelType w:val="hybridMultilevel"/>
    <w:tmpl w:val="8FA2D8B6"/>
    <w:lvl w:ilvl="0" w:tplc="7CD8DD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864D2D"/>
    <w:multiLevelType w:val="hybridMultilevel"/>
    <w:tmpl w:val="232A5FE0"/>
    <w:lvl w:ilvl="0" w:tplc="5B704648">
      <w:start w:val="1"/>
      <w:numFmt w:val="decimal"/>
      <w:lvlText w:val="%1."/>
      <w:lvlJc w:val="left"/>
      <w:pPr>
        <w:ind w:left="1287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2148">
    <w:abstractNumId w:val="14"/>
  </w:num>
  <w:num w:numId="2" w16cid:durableId="853350057">
    <w:abstractNumId w:val="7"/>
  </w:num>
  <w:num w:numId="3" w16cid:durableId="1589851626">
    <w:abstractNumId w:val="1"/>
  </w:num>
  <w:num w:numId="4" w16cid:durableId="1870560250">
    <w:abstractNumId w:val="18"/>
  </w:num>
  <w:num w:numId="5" w16cid:durableId="1596859225">
    <w:abstractNumId w:val="15"/>
  </w:num>
  <w:num w:numId="6" w16cid:durableId="2080975943">
    <w:abstractNumId w:val="0"/>
  </w:num>
  <w:num w:numId="7" w16cid:durableId="1851137970">
    <w:abstractNumId w:val="2"/>
  </w:num>
  <w:num w:numId="8" w16cid:durableId="1715739635">
    <w:abstractNumId w:val="10"/>
  </w:num>
  <w:num w:numId="9" w16cid:durableId="1954705027">
    <w:abstractNumId w:val="6"/>
  </w:num>
  <w:num w:numId="10" w16cid:durableId="1949507549">
    <w:abstractNumId w:val="8"/>
  </w:num>
  <w:num w:numId="11" w16cid:durableId="671029231">
    <w:abstractNumId w:val="5"/>
  </w:num>
  <w:num w:numId="12" w16cid:durableId="1165126896">
    <w:abstractNumId w:val="4"/>
  </w:num>
  <w:num w:numId="13" w16cid:durableId="90053317">
    <w:abstractNumId w:val="13"/>
  </w:num>
  <w:num w:numId="14" w16cid:durableId="1645357661">
    <w:abstractNumId w:val="3"/>
  </w:num>
  <w:num w:numId="15" w16cid:durableId="797996451">
    <w:abstractNumId w:val="17"/>
  </w:num>
  <w:num w:numId="16" w16cid:durableId="164127508">
    <w:abstractNumId w:val="11"/>
  </w:num>
  <w:num w:numId="17" w16cid:durableId="1405369454">
    <w:abstractNumId w:val="8"/>
    <w:lvlOverride w:ilvl="0">
      <w:startOverride w:val="1"/>
    </w:lvlOverride>
  </w:num>
  <w:num w:numId="18" w16cid:durableId="918949064">
    <w:abstractNumId w:val="16"/>
  </w:num>
  <w:num w:numId="19" w16cid:durableId="1916747193">
    <w:abstractNumId w:val="9"/>
  </w:num>
  <w:num w:numId="20" w16cid:durableId="113792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3DC"/>
    <w:rsid w:val="00077AB7"/>
    <w:rsid w:val="00081CD8"/>
    <w:rsid w:val="0008329C"/>
    <w:rsid w:val="00084F78"/>
    <w:rsid w:val="000949E3"/>
    <w:rsid w:val="000A7F0E"/>
    <w:rsid w:val="000E6CD7"/>
    <w:rsid w:val="000F3A3F"/>
    <w:rsid w:val="00114C01"/>
    <w:rsid w:val="00164D56"/>
    <w:rsid w:val="00165170"/>
    <w:rsid w:val="00167B10"/>
    <w:rsid w:val="0019264E"/>
    <w:rsid w:val="00196C1B"/>
    <w:rsid w:val="001A766C"/>
    <w:rsid w:val="001B0F73"/>
    <w:rsid w:val="001B28AF"/>
    <w:rsid w:val="0020150F"/>
    <w:rsid w:val="00221B0B"/>
    <w:rsid w:val="00222A2D"/>
    <w:rsid w:val="002407AF"/>
    <w:rsid w:val="00277FF5"/>
    <w:rsid w:val="00280D62"/>
    <w:rsid w:val="002955F3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17A7"/>
    <w:rsid w:val="004421E5"/>
    <w:rsid w:val="00443880"/>
    <w:rsid w:val="00443C2D"/>
    <w:rsid w:val="004514DE"/>
    <w:rsid w:val="00452284"/>
    <w:rsid w:val="00461168"/>
    <w:rsid w:val="00467FBE"/>
    <w:rsid w:val="0048558A"/>
    <w:rsid w:val="00486948"/>
    <w:rsid w:val="00495C25"/>
    <w:rsid w:val="0049705E"/>
    <w:rsid w:val="005158FF"/>
    <w:rsid w:val="00526B7B"/>
    <w:rsid w:val="005308CE"/>
    <w:rsid w:val="005437CD"/>
    <w:rsid w:val="005678AF"/>
    <w:rsid w:val="0057439C"/>
    <w:rsid w:val="005B0127"/>
    <w:rsid w:val="005C094D"/>
    <w:rsid w:val="005C4B73"/>
    <w:rsid w:val="00600D93"/>
    <w:rsid w:val="006042C6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6F444F"/>
    <w:rsid w:val="00717AAB"/>
    <w:rsid w:val="00717DBD"/>
    <w:rsid w:val="00741016"/>
    <w:rsid w:val="00764CF9"/>
    <w:rsid w:val="00784B8C"/>
    <w:rsid w:val="007A000F"/>
    <w:rsid w:val="007C2851"/>
    <w:rsid w:val="007C354B"/>
    <w:rsid w:val="007C38A9"/>
    <w:rsid w:val="007E60C6"/>
    <w:rsid w:val="008064F0"/>
    <w:rsid w:val="00823A11"/>
    <w:rsid w:val="00824EF7"/>
    <w:rsid w:val="00850505"/>
    <w:rsid w:val="0085414A"/>
    <w:rsid w:val="0086269D"/>
    <w:rsid w:val="00863302"/>
    <w:rsid w:val="008712A2"/>
    <w:rsid w:val="00871C8F"/>
    <w:rsid w:val="008724E5"/>
    <w:rsid w:val="00884A9D"/>
    <w:rsid w:val="00886994"/>
    <w:rsid w:val="008A4E1E"/>
    <w:rsid w:val="008B64DF"/>
    <w:rsid w:val="008C0E44"/>
    <w:rsid w:val="008C296C"/>
    <w:rsid w:val="008D4305"/>
    <w:rsid w:val="008D4D0D"/>
    <w:rsid w:val="008F09EC"/>
    <w:rsid w:val="008F5A4F"/>
    <w:rsid w:val="00913D86"/>
    <w:rsid w:val="009163A7"/>
    <w:rsid w:val="00922E3E"/>
    <w:rsid w:val="00933C6B"/>
    <w:rsid w:val="009362A0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35FB"/>
    <w:rsid w:val="00AD1A86"/>
    <w:rsid w:val="00AE103E"/>
    <w:rsid w:val="00AE3322"/>
    <w:rsid w:val="00AF0A07"/>
    <w:rsid w:val="00AF5AE5"/>
    <w:rsid w:val="00AF625E"/>
    <w:rsid w:val="00AF721B"/>
    <w:rsid w:val="00B1273A"/>
    <w:rsid w:val="00B152B1"/>
    <w:rsid w:val="00B43974"/>
    <w:rsid w:val="00B45750"/>
    <w:rsid w:val="00B5229C"/>
    <w:rsid w:val="00B675B6"/>
    <w:rsid w:val="00B90701"/>
    <w:rsid w:val="00B907C4"/>
    <w:rsid w:val="00BC3420"/>
    <w:rsid w:val="00BD041B"/>
    <w:rsid w:val="00BD52C9"/>
    <w:rsid w:val="00BE6354"/>
    <w:rsid w:val="00C06C42"/>
    <w:rsid w:val="00C318BF"/>
    <w:rsid w:val="00C358C4"/>
    <w:rsid w:val="00C377F5"/>
    <w:rsid w:val="00C40006"/>
    <w:rsid w:val="00C70EA7"/>
    <w:rsid w:val="00C7516E"/>
    <w:rsid w:val="00CD0D5A"/>
    <w:rsid w:val="00D02494"/>
    <w:rsid w:val="00D237DD"/>
    <w:rsid w:val="00D24877"/>
    <w:rsid w:val="00D46464"/>
    <w:rsid w:val="00D520C1"/>
    <w:rsid w:val="00D5368D"/>
    <w:rsid w:val="00D75D42"/>
    <w:rsid w:val="00DA36ED"/>
    <w:rsid w:val="00DB4217"/>
    <w:rsid w:val="00DB4A84"/>
    <w:rsid w:val="00DC0F3C"/>
    <w:rsid w:val="00DE34F1"/>
    <w:rsid w:val="00DF4942"/>
    <w:rsid w:val="00E22288"/>
    <w:rsid w:val="00E47AD3"/>
    <w:rsid w:val="00E60B9D"/>
    <w:rsid w:val="00E627B1"/>
    <w:rsid w:val="00E62B4C"/>
    <w:rsid w:val="00E9376C"/>
    <w:rsid w:val="00E95FAF"/>
    <w:rsid w:val="00EA602C"/>
    <w:rsid w:val="00ED3691"/>
    <w:rsid w:val="00EF74E3"/>
    <w:rsid w:val="00F134B7"/>
    <w:rsid w:val="00F4581D"/>
    <w:rsid w:val="00F576CB"/>
    <w:rsid w:val="00F62542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A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A4F"/>
    <w:rPr>
      <w:vertAlign w:val="superscript"/>
    </w:rPr>
  </w:style>
  <w:style w:type="paragraph" w:customStyle="1" w:styleId="COMPara">
    <w:name w:val="COM Para"/>
    <w:qFormat/>
    <w:rsid w:val="008F5A4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F625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Iturralde Agirre, Beñat</cp:lastModifiedBy>
  <cp:revision>5</cp:revision>
  <cp:lastPrinted>2011-08-06T10:22:00Z</cp:lastPrinted>
  <dcterms:created xsi:type="dcterms:W3CDTF">2024-05-06T16:45:00Z</dcterms:created>
  <dcterms:modified xsi:type="dcterms:W3CDTF">2024-05-13T08:07:00Z</dcterms:modified>
</cp:coreProperties>
</file>