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6EE6D6D8" w:rsidR="00EC6F8D" w:rsidRPr="00BB6EEC" w:rsidRDefault="00EC6F8D" w:rsidP="007711FA">
      <w:pPr>
        <w:tabs>
          <w:tab w:val="left" w:pos="1350"/>
          <w:tab w:val="left" w:pos="8515"/>
        </w:tabs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КОНВЕНЦИЯ ОБ ОХРАНЕ </w:t>
      </w:r>
      <w:r w:rsidR="007859B9">
        <w:rPr>
          <w:rFonts w:ascii="Arial" w:hAnsi="Arial"/>
          <w:b/>
          <w:sz w:val="22"/>
        </w:rPr>
        <w:br/>
      </w:r>
      <w:r>
        <w:rPr>
          <w:rFonts w:ascii="Arial" w:hAnsi="Arial"/>
          <w:b/>
          <w:sz w:val="22"/>
        </w:rPr>
        <w:t>НЕМАТЕРИАЛЬНОГО КУЛЬТУРНОГО НАСЛЕДИЯ</w:t>
      </w:r>
    </w:p>
    <w:p w14:paraId="3F72B1D3" w14:textId="5FB4B33C" w:rsidR="00EC6F8D" w:rsidRPr="00BB6EEC" w:rsidRDefault="005C792B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</w:t>
      </w:r>
      <w:r w:rsidR="007859B9" w:rsidRPr="002402C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</w:rPr>
        <w:t>УЧАСТНИКОВ КОНВЕНЦИИ</w:t>
      </w:r>
    </w:p>
    <w:p w14:paraId="2E1CD4B4" w14:textId="1F59B9D4" w:rsidR="00EC6F8D" w:rsidRPr="00BB6EEC" w:rsidRDefault="005C792B" w:rsidP="001D14F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Десятая сессия</w:t>
      </w:r>
    </w:p>
    <w:p w14:paraId="1FD89575" w14:textId="05D2C62D" w:rsidR="00B2172B" w:rsidRPr="00BB6EEC" w:rsidRDefault="005C792B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52EA6D50" w14:textId="3986A4F8" w:rsidR="00B2172B" w:rsidRPr="007859B9" w:rsidRDefault="009B4202" w:rsidP="00B217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11–12</w:t>
      </w:r>
      <w:r w:rsidR="0054535F">
        <w:rPr>
          <w:rFonts w:ascii="Arial" w:hAnsi="Arial"/>
          <w:b/>
          <w:sz w:val="22"/>
        </w:rPr>
        <w:t xml:space="preserve"> июня 2024 г</w:t>
      </w:r>
      <w:r w:rsidR="007859B9" w:rsidRPr="007859B9">
        <w:rPr>
          <w:rFonts w:ascii="Arial" w:hAnsi="Arial"/>
          <w:b/>
          <w:sz w:val="22"/>
        </w:rPr>
        <w:t>.</w:t>
      </w:r>
    </w:p>
    <w:p w14:paraId="0365203A" w14:textId="1DCDADC8" w:rsidR="00EC6F8D" w:rsidRPr="00BB6EEC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10 предварительной повестки дня</w:t>
      </w:r>
      <w:r>
        <w:rPr>
          <w:rFonts w:ascii="Arial" w:hAnsi="Arial"/>
          <w:b/>
          <w:sz w:val="22"/>
        </w:rPr>
        <w:t>:</w:t>
      </w:r>
    </w:p>
    <w:p w14:paraId="59920478" w14:textId="77AD2855" w:rsidR="004A2875" w:rsidRPr="00BB6EEC" w:rsidRDefault="0074517B" w:rsidP="004A2875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  <w:sz w:val="22"/>
        </w:rPr>
        <w:t>Доклад о двадцатой годовщине Конвенции 2003 г. в 2023 году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74517B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4EE7F3B4" w14:textId="77777777" w:rsidR="007859B9" w:rsidRPr="00BB6EEC" w:rsidRDefault="007859B9" w:rsidP="007859B9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3631">
              <w:rPr>
                <w:rFonts w:ascii="Arial" w:hAnsi="Arial"/>
                <w:b/>
                <w:sz w:val="22"/>
              </w:rPr>
              <w:t>Содержание</w:t>
            </w:r>
          </w:p>
          <w:p w14:paraId="2A83DD17" w14:textId="47B1FA63" w:rsidR="00B67733" w:rsidRPr="002166A6" w:rsidRDefault="00B67733" w:rsidP="00B67733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В 2023 году отмечалась двадцатая годовщина Конвенции 2003 года. В настоящем документе сообщается об основных мероприятиях и событиях, проведенных в честь этой годовщины.</w:t>
            </w:r>
          </w:p>
          <w:p w14:paraId="290310E8" w14:textId="12EC2A7F" w:rsidR="00EC6F8D" w:rsidRPr="00BB6EEC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параграф 12</w:t>
            </w:r>
          </w:p>
        </w:tc>
      </w:tr>
    </w:tbl>
    <w:p w14:paraId="713D819F" w14:textId="77777777" w:rsidR="004A2875" w:rsidRPr="00BB6EEC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>
        <w:br w:type="page"/>
      </w:r>
    </w:p>
    <w:p w14:paraId="6C62585F" w14:textId="1FBD00B9" w:rsidR="00F70CC5" w:rsidRPr="00BB6EEC" w:rsidRDefault="00FD4BC8" w:rsidP="00F70CC5">
      <w:pPr>
        <w:pStyle w:val="COMPara"/>
        <w:numPr>
          <w:ilvl w:val="0"/>
          <w:numId w:val="0"/>
        </w:numPr>
        <w:spacing w:before="240"/>
        <w:jc w:val="both"/>
        <w:rPr>
          <w:b/>
          <w:bCs/>
        </w:rPr>
      </w:pPr>
      <w:bookmarkStart w:id="0" w:name="_Hlk124351255"/>
      <w:r>
        <w:rPr>
          <w:b/>
        </w:rPr>
        <w:lastRenderedPageBreak/>
        <w:t>История вопроса</w:t>
      </w:r>
    </w:p>
    <w:bookmarkEnd w:id="0"/>
    <w:p w14:paraId="1127A551" w14:textId="5A8959AE" w:rsidR="00B67733" w:rsidRPr="00FC502D" w:rsidRDefault="00B67733" w:rsidP="00B67733">
      <w:pPr>
        <w:pStyle w:val="COMPara"/>
        <w:ind w:left="567" w:hanging="567"/>
        <w:jc w:val="both"/>
      </w:pPr>
      <w:r>
        <w:t xml:space="preserve">В 2023 году отмечалась двадцатая годовщина Конвенции, которая была принята на тридцать второй сессии Генеральной конференции ЮНЕСКО 17 октября 2003 года. За двадцать лет осуществления Конвенция значительно расширила понятие культурного наследия и достигла одной из своих главных целей: повысить осведомленность о важности охраны нематериального культурного наследия, сделать его более заметным на всех уровнях и активно привлечь сообщество к усилиям по сохранению наследия. Более того, если двадцать лет назад лишь несколько стран включили живое наследие в свою политику, то сегодня Конвенция стала ключевым ориентиром при создании институтов и реализации государственной политики и законов, о чем свидетельствует периодическая отчетность. </w:t>
      </w:r>
      <w:r>
        <w:rPr>
          <w:color w:val="000000"/>
          <w:shd w:val="clear" w:color="auto" w:fill="FFFFFF"/>
        </w:rPr>
        <w:t>Несмотря на то, что это одна из самых молодых конвенций ЮНЕСКО в области культуры, она ратифицируется необычайно быстрыми темпами: на сегодняшний день ее участниками являются 183 государства, и она близка к приобретению глобального характера.</w:t>
      </w:r>
    </w:p>
    <w:p w14:paraId="38FDD4F1" w14:textId="34580AD9" w:rsidR="00B67733" w:rsidRPr="00FC502D" w:rsidRDefault="00DC683A" w:rsidP="00B67733">
      <w:pPr>
        <w:pStyle w:val="COMPara"/>
        <w:ind w:left="567" w:hanging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рекомендациями девятой сессии Генеральной Ассамблеи, состоявшейся в июле 2022 года </w:t>
      </w:r>
      <w:r>
        <w:t xml:space="preserve">(Резолюция </w:t>
      </w:r>
      <w:hyperlink r:id="rId8" w:history="1">
        <w:r>
          <w:rPr>
            <w:rStyle w:val="Lienhypertexte"/>
          </w:rPr>
          <w:t>9.</w:t>
        </w:r>
        <w:r w:rsidR="00B45A29">
          <w:rPr>
            <w:rStyle w:val="Lienhypertexte"/>
          </w:rPr>
          <w:t>GA</w:t>
        </w:r>
        <w:r w:rsidR="00B45A29">
          <w:rPr>
            <w:rStyle w:val="Lienhypertexte"/>
            <w:lang w:val="fr-FR"/>
          </w:rPr>
          <w:t> </w:t>
        </w:r>
        <w:r>
          <w:rPr>
            <w:rStyle w:val="Lienhypertexte"/>
          </w:rPr>
          <w:t>13</w:t>
        </w:r>
      </w:hyperlink>
      <w:r>
        <w:t xml:space="preserve">), </w:t>
      </w:r>
      <w:r>
        <w:rPr>
          <w:color w:val="000000"/>
          <w:shd w:val="clear" w:color="auto" w:fill="FFFFFF"/>
        </w:rPr>
        <w:t>празднование предоставило заинтересованным сторонам важную возможность: (a) подвести итоги воздействия Конвенции за последние двадцать лет,(b) повысить осведомленность общественности о важности охраны живого наследия, и</w:t>
      </w:r>
      <w:r w:rsidR="007711FA" w:rsidRPr="007711F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(c) проанализировать будущие направления, по которым должна двигаться Конвенция в ближайшие десятилетия. В настоящем документе сообщается об основных мероприятиях и событиях, проведенных в честь этой годовщины, в развитие доклада, представленного восемнадцатой сессии Комитета в декабре 2023 года (Документ </w:t>
      </w:r>
      <w:hyperlink r:id="rId9" w:history="1">
        <w:r>
          <w:rPr>
            <w:rStyle w:val="Lienhypertexte"/>
            <w:shd w:val="clear" w:color="auto" w:fill="FFFFFF"/>
          </w:rPr>
          <w:t>LHE/23/18.COM/6 Rev</w:t>
        </w:r>
      </w:hyperlink>
      <w:r>
        <w:rPr>
          <w:rStyle w:val="Lienhypertexte"/>
          <w:shd w:val="clear" w:color="auto" w:fill="FFFFFF"/>
        </w:rPr>
        <w:t>.</w:t>
      </w:r>
      <w:r>
        <w:rPr>
          <w:shd w:val="clear" w:color="auto" w:fill="FFFFFF"/>
        </w:rPr>
        <w:t xml:space="preserve"> и Решение </w:t>
      </w:r>
      <w:hyperlink r:id="rId10" w:history="1">
        <w:r>
          <w:rPr>
            <w:rStyle w:val="Lienhypertexte"/>
            <w:shd w:val="clear" w:color="auto" w:fill="FFFFFF"/>
          </w:rPr>
          <w:t>18.COM 6</w:t>
        </w:r>
      </w:hyperlink>
      <w:r>
        <w:rPr>
          <w:color w:val="000000"/>
          <w:shd w:val="clear" w:color="auto" w:fill="FFFFFF"/>
        </w:rPr>
        <w:t>).</w:t>
      </w:r>
    </w:p>
    <w:p w14:paraId="123B6521" w14:textId="154F8ECE" w:rsidR="00F70CC5" w:rsidRPr="00BB6EEC" w:rsidRDefault="00546F2F" w:rsidP="006F59C9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Глобальная кампания</w:t>
      </w:r>
    </w:p>
    <w:p w14:paraId="72859D87" w14:textId="34D33F97" w:rsidR="00546F2F" w:rsidRDefault="00546F2F" w:rsidP="00546F2F">
      <w:pPr>
        <w:pStyle w:val="COMPara"/>
        <w:ind w:left="567" w:hanging="567"/>
        <w:jc w:val="both"/>
      </w:pPr>
      <w:r>
        <w:t xml:space="preserve">Двадцатая юбилейная кампания прошла под лозунгом «We are #LivingHeritage» («Мы – живое наследие») и сопровождалась </w:t>
      </w:r>
      <w:hyperlink r:id="rId11" w:history="1">
        <w:r>
          <w:rPr>
            <w:rStyle w:val="Lienhypertexte"/>
          </w:rPr>
          <w:t>тематическим видеороликом</w:t>
        </w:r>
      </w:hyperlink>
      <w:r>
        <w:t xml:space="preserve"> с тем же названием. Для предоставления информации о ключевых событиях годовщины была создана </w:t>
      </w:r>
      <w:hyperlink r:id="rId12" w:history="1">
        <w:r>
          <w:rPr>
            <w:rStyle w:val="Lienhypertexte"/>
          </w:rPr>
          <w:t>специальная веб-страница</w:t>
        </w:r>
      </w:hyperlink>
      <w:r>
        <w:t xml:space="preserve">. На веб-странице представлена полная хронология Конвенции с подробным описанием значимых вех в ее истории. На веб-странице также размещен </w:t>
      </w:r>
      <w:hyperlink r:id="rId13" w:history="1">
        <w:r>
          <w:rPr>
            <w:rStyle w:val="Lienhypertexte"/>
          </w:rPr>
          <w:t>пакет шаблонов для социальных сетей</w:t>
        </w:r>
      </w:hyperlink>
      <w:r>
        <w:t>, который заинтересованные стороны могли скачать прямо с сайта.</w:t>
      </w:r>
    </w:p>
    <w:p w14:paraId="6D8C89D6" w14:textId="77777777" w:rsidR="00546F2F" w:rsidRPr="001F72AE" w:rsidRDefault="00546F2F" w:rsidP="00546F2F">
      <w:pPr>
        <w:pStyle w:val="COMPara"/>
        <w:numPr>
          <w:ilvl w:val="0"/>
          <w:numId w:val="0"/>
        </w:numPr>
        <w:ind w:firstLine="567"/>
        <w:jc w:val="both"/>
        <w:rPr>
          <w:u w:val="single"/>
        </w:rPr>
      </w:pPr>
      <w:r>
        <w:rPr>
          <w:u w:val="single"/>
        </w:rPr>
        <w:t>Инициативы в области социальных сетей</w:t>
      </w:r>
    </w:p>
    <w:p w14:paraId="4390C7CF" w14:textId="384BADDB" w:rsidR="00546F2F" w:rsidRDefault="00546F2F" w:rsidP="00546F2F">
      <w:pPr>
        <w:pStyle w:val="COMPara"/>
        <w:ind w:left="567" w:hanging="567"/>
        <w:jc w:val="both"/>
      </w:pPr>
      <w:r>
        <w:t xml:space="preserve">В течение всего года ЮНЕСКО проводила кампанию в социальных сетях в поддержку празднования годовщины. В частности, в рамках кампании был продемонстрирован выбранный опыт охраны наследия и элементы нематериального культурного наследия, включенные в списки Конвенции. </w:t>
      </w:r>
      <w:bookmarkStart w:id="1" w:name="_Hlk145413233"/>
      <w:r>
        <w:t xml:space="preserve">Например, инициатива «Поделись своим голосом!» поощряла активное участие носителей и практиков, используя лозунг и хэштег #SharingHumanity, в то время как </w:t>
      </w:r>
      <w:bookmarkEnd w:id="1"/>
      <w:r>
        <w:t xml:space="preserve">многие сообщения кампании содержали общий лозунг #LivingHeritage. Основные показатели доклада включают: 697 постов, охват 20,9 млн человек (30,2 % в возрасте </w:t>
      </w:r>
      <w:r w:rsidR="009B4202">
        <w:t xml:space="preserve">18–24 </w:t>
      </w:r>
      <w:r>
        <w:t>лет и 46,3 % в возрасте 25</w:t>
      </w:r>
      <w:r w:rsidR="00B45A29">
        <w:t>–</w:t>
      </w:r>
      <w:r>
        <w:t>34 года на основе социально-демографических данных, собранных в период с марта по декабрь 2023 года) и 13 464 168 совокупных просмотров видео. Instagram стал самой результативной платформой, обеспечив наибольший охват аудитории и вовлеченность. Благодаря визуальному повествованию и стратегическому использованию языковых хэштегов контент был адаптирован для соответствующих языковых учетных записей.</w:t>
      </w:r>
    </w:p>
    <w:p w14:paraId="663F4CD6" w14:textId="3CC74465" w:rsidR="00546F2F" w:rsidRPr="00B3028A" w:rsidRDefault="00546F2F" w:rsidP="00546F2F">
      <w:pPr>
        <w:pStyle w:val="COMPara"/>
        <w:keepNext/>
        <w:numPr>
          <w:ilvl w:val="0"/>
          <w:numId w:val="0"/>
        </w:numPr>
        <w:ind w:firstLine="567"/>
        <w:jc w:val="both"/>
        <w:rPr>
          <w:u w:val="single"/>
        </w:rPr>
      </w:pPr>
      <w:r>
        <w:rPr>
          <w:u w:val="single"/>
        </w:rPr>
        <w:t>Мероприятия по всему миру и в ЮНЕСКО</w:t>
      </w:r>
    </w:p>
    <w:p w14:paraId="25739F43" w14:textId="64509038" w:rsidR="00546F2F" w:rsidRDefault="00546F2F" w:rsidP="00DA327D">
      <w:pPr>
        <w:pStyle w:val="COMPara"/>
        <w:ind w:left="567" w:hanging="567"/>
        <w:jc w:val="both"/>
      </w:pPr>
      <w:r>
        <w:t xml:space="preserve">В соответствии с рекомендациями девятой сессии Генеральной Ассамблеи, состоявшейся в июле 2022 года (Резолюция </w:t>
      </w:r>
      <w:hyperlink r:id="rId14" w:history="1">
        <w:r>
          <w:rPr>
            <w:rStyle w:val="Lienhypertexte"/>
          </w:rPr>
          <w:t>9.</w:t>
        </w:r>
        <w:r w:rsidR="00B45A29">
          <w:rPr>
            <w:rStyle w:val="Lienhypertexte"/>
          </w:rPr>
          <w:t>GA</w:t>
        </w:r>
        <w:r w:rsidR="00B45A29">
          <w:rPr>
            <w:rStyle w:val="Lienhypertexte"/>
            <w:lang w:val="fr-FR"/>
          </w:rPr>
          <w:t> </w:t>
        </w:r>
        <w:r>
          <w:rPr>
            <w:rStyle w:val="Lienhypertexte"/>
          </w:rPr>
          <w:t>13</w:t>
        </w:r>
      </w:hyperlink>
      <w:r>
        <w:t xml:space="preserve">), заинтересованные стороны Конвенции по всему миру провели ряд мероприятий, посвященных празднованию годовщины. Информация об этих торжествах была размещена на вышеупомянутой специальной веб-странице Конвенции. Для поддержки этих инициатив был выпущен и </w:t>
      </w:r>
      <w:r>
        <w:lastRenderedPageBreak/>
        <w:t>адаптирован на требуемых языках логотип двадцатой годовщины, включающий текст «В поддержку 20-й годовщины Конвенции 2003 года».</w:t>
      </w:r>
    </w:p>
    <w:p w14:paraId="206AD518" w14:textId="77777777" w:rsidR="00D212B2" w:rsidRDefault="00C3291E" w:rsidP="006F59C9">
      <w:pPr>
        <w:pStyle w:val="COMPara"/>
        <w:numPr>
          <w:ilvl w:val="0"/>
          <w:numId w:val="53"/>
        </w:numPr>
        <w:ind w:left="1134" w:hanging="567"/>
        <w:jc w:val="both"/>
      </w:pPr>
      <w:r>
        <w:t xml:space="preserve">Всего на веб-странице представлено 179 мероприятий, распределенных по регионам следующим образом: Электоральная группа I: 73 мероприятия; Электоральная группа II: 54 мероприятия; Электоральная группа III: 13 мероприятий; Электоральная группа IV: 27 мероприятий; Электоральная группа V(a): 4 мероприятия; Электоральная группа V(b): 4 мероприятия; мультирегиональная группа: 4 мероприятия. Большинство организованных мероприятий – это конференции (27 %) и фестивали (21 %), за ними следуют выставки (8 %) и семинары (6 %), а также другие виды деятельности (35 %), такие как запуск публикаций (3 %). </w:t>
      </w:r>
    </w:p>
    <w:p w14:paraId="6A05577E" w14:textId="2BF99235" w:rsidR="00AD72B1" w:rsidRDefault="00AD72B1" w:rsidP="006F59C9">
      <w:pPr>
        <w:pStyle w:val="COMPara"/>
        <w:numPr>
          <w:ilvl w:val="0"/>
          <w:numId w:val="53"/>
        </w:numPr>
        <w:ind w:left="1134" w:hanging="567"/>
        <w:jc w:val="both"/>
      </w:pPr>
      <w:r>
        <w:t>Значительное количество, а именно 44 % мероприятий, были организованы государственными учреждениями, такими как министерства культуры, национальные культурные центры или другие типы национальных или региональных учреждений. В то же время следует отметить участие университетов или других учебных заведений (5 %) и неправительственных организаций (24 %).</w:t>
      </w:r>
    </w:p>
    <w:p w14:paraId="322E46BC" w14:textId="41236F90" w:rsidR="00DA327D" w:rsidRDefault="00783522" w:rsidP="00D212B2">
      <w:pPr>
        <w:pStyle w:val="COMPara"/>
        <w:numPr>
          <w:ilvl w:val="0"/>
          <w:numId w:val="53"/>
        </w:numPr>
        <w:ind w:left="1134" w:hanging="567"/>
        <w:jc w:val="both"/>
      </w:pPr>
      <w:r>
        <w:t>Некоторые из юбилейных мероприятий прошли на региональном уровне. В качестве примера можно привести ряд инициатив, предпринятых заинтересованными сторонами из стран Латинской Америки и Карибского бассейна, включая конференцию</w:t>
      </w:r>
      <w:r w:rsidR="00F561D6">
        <w:rPr>
          <w:rStyle w:val="Appelnotedebasdep"/>
        </w:rPr>
        <w:footnoteReference w:id="1"/>
      </w:r>
      <w:r>
        <w:t xml:space="preserve"> в штаб-квартире ЮНЕСКО, встречу</w:t>
      </w:r>
      <w:r w:rsidR="00916721">
        <w:rPr>
          <w:rStyle w:val="Appelnotedebasdep"/>
        </w:rPr>
        <w:footnoteReference w:id="2"/>
      </w:r>
      <w:r>
        <w:t xml:space="preserve"> экспертов, организованную в Перу в сотрудничестве с центром категории 2 CRESPIAL, и выпуск публикации</w:t>
      </w:r>
      <w:r w:rsidR="004815E1">
        <w:rPr>
          <w:rStyle w:val="Appelnotedebasdep"/>
        </w:rPr>
        <w:footnoteReference w:id="3"/>
      </w:r>
      <w:r>
        <w:t>, обобщающей результаты регионального анализа.</w:t>
      </w:r>
    </w:p>
    <w:p w14:paraId="686E9571" w14:textId="32FB37D7" w:rsidR="00C110E9" w:rsidRPr="002166A6" w:rsidRDefault="00B726DB" w:rsidP="00C110E9">
      <w:pPr>
        <w:pStyle w:val="COMPara"/>
        <w:ind w:left="567" w:hanging="567"/>
        <w:jc w:val="both"/>
      </w:pPr>
      <w:r>
        <w:t xml:space="preserve">Как сообщалось на восемнадцатой сессии Комитета, Секретариат поддержал проведение в Штаб-квартире ЮНЕСКО мероприятий, центральной темой которых стало нематериальное культурное наследие и которые были посвящены двадцатой годовщине Конвенции. Другие информационно-просветительские инициативы включали фотовыставку, выпуск праздничной марки в рамках партнерства с французским почтовым отделением La Poste (Документ </w:t>
      </w:r>
      <w:hyperlink r:id="rId15" w:history="1">
        <w:r>
          <w:rPr>
            <w:rStyle w:val="Lienhypertexte"/>
            <w:rFonts w:asciiTheme="minorBidi" w:hAnsiTheme="minorBidi"/>
          </w:rPr>
          <w:t>LHE/23/18.COM/6 Rev.</w:t>
        </w:r>
      </w:hyperlink>
      <w:r>
        <w:rPr>
          <w:rFonts w:asciiTheme="minorBidi" w:hAnsiTheme="minorBidi"/>
        </w:rPr>
        <w:t xml:space="preserve">). </w:t>
      </w:r>
      <w:r>
        <w:t>Праздничный настрой 2023 года также привел к изучению и запуску нескольких других инициатив. Среди них, например, три инициативы, связанные с изданием книг, и карта, посвященная охране живого наследия. Несмотря на то, что эти проекты не были полностью завершены в юбилейный год, они были перенесены на 2024 год.</w:t>
      </w:r>
    </w:p>
    <w:p w14:paraId="638C8FE6" w14:textId="69CE8FC7" w:rsidR="00546F2F" w:rsidRPr="00F759BD" w:rsidRDefault="00DD0801" w:rsidP="00546F2F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</w:rPr>
      </w:pPr>
      <w:r>
        <w:rPr>
          <w:b/>
        </w:rPr>
        <w:t>Основные мероприятия и рамочные документы</w:t>
      </w:r>
    </w:p>
    <w:p w14:paraId="68FEF434" w14:textId="7D4C69AE" w:rsidR="00AE212F" w:rsidRDefault="00546F2F" w:rsidP="006F59C9">
      <w:pPr>
        <w:pStyle w:val="COMPara"/>
        <w:ind w:left="567" w:hanging="567"/>
        <w:jc w:val="both"/>
      </w:pPr>
      <w:r>
        <w:t>В качестве знакового события 25-26 июля 2023 года в Сеуле (Республика Корея</w:t>
      </w:r>
      <w:r w:rsidR="00EC099F">
        <w:rPr>
          <w:rStyle w:val="Appelnotedebasdep"/>
          <w:rFonts w:asciiTheme="minorBidi" w:hAnsiTheme="minorBidi" w:cstheme="minorBidi"/>
          <w:lang w:val="en-US"/>
        </w:rPr>
        <w:footnoteReference w:id="4"/>
      </w:r>
      <w:r>
        <w:t xml:space="preserve">) состоялась Глобальная встреча на тему «Использование потенциала живого наследия в интересах устойчивого развития и мира», на которой обсуждался вклад охраны живого наследия в достижение Целей устойчивого развития, в частности, в установление мира, укрепление солидарности и инклюзивности, сохранение биоразнообразия и океанов, а также реагирование на медицинские, социальные и экономические кризисы. По результатам встречи был подготовлен итоговый документ </w:t>
      </w:r>
      <w:hyperlink r:id="rId16" w:history="1">
        <w:r>
          <w:rPr>
            <w:rStyle w:val="Lienhypertexte"/>
            <w:rFonts w:asciiTheme="minorBidi" w:hAnsiTheme="minorBidi"/>
          </w:rPr>
          <w:t xml:space="preserve">«Сеульская концепция </w:t>
        </w:r>
        <w:r>
          <w:rPr>
            <w:rStyle w:val="Lienhypertexte"/>
            <w:rFonts w:asciiTheme="minorBidi" w:hAnsiTheme="minorBidi"/>
          </w:rPr>
          <w:lastRenderedPageBreak/>
          <w:t>будущего охраны живого наследия в интересах устойчивого развития и мира»</w:t>
        </w:r>
      </w:hyperlink>
      <w:r>
        <w:t>, в котором указаны конкретные области, в которых Конвенция может получить дальнейшее развитие. Эти направления включают такие области, как охрана живого наследия и источников средств к существованию, деятельность в области климата и городской контекст, а также живое наследие в чрезвычайных ситуациях, интеграция культуры в образование и живое наследие в цифровой среде.</w:t>
      </w:r>
    </w:p>
    <w:p w14:paraId="12CCF155" w14:textId="2E6BE1E9" w:rsidR="00240001" w:rsidRDefault="002E1232" w:rsidP="00240001">
      <w:pPr>
        <w:pStyle w:val="COMPara"/>
        <w:ind w:left="567" w:hanging="567"/>
        <w:jc w:val="both"/>
      </w:pPr>
      <w:r>
        <w:t xml:space="preserve">В поисках усиления синергии в охране материального и нематериального культурного наследия с 27 по 29 ноября 2023 года в Неаполе (Италия) была организована </w:t>
      </w:r>
      <w:hyperlink r:id="rId17" w:history="1">
        <w:r>
          <w:rPr>
            <w:rStyle w:val="Lienhypertexte"/>
          </w:rPr>
          <w:t>«Неаполитанская конференция по культурному наследию в XXI веке</w:t>
        </w:r>
      </w:hyperlink>
      <w:r>
        <w:rPr>
          <w:rStyle w:val="Appelnotedebasdep"/>
        </w:rPr>
        <w:footnoteReference w:id="5"/>
      </w:r>
      <w:r>
        <w:t>. Основная цель этой встречи заключалась в том, чтобы способствовать развитию новых форм охраны наследия, которые способствуют применению подхода, основанного на участии общин, например, обеспечение самого широкого участия общин в принятии решений и соблюдение их прав. Перспективы, которыми поделились участники конференции, вдохновляют на целостный подход к наследию, учитывающий тесную взаимосвязь между природой и культурой, материальным и нематериальным. На встрече также обсуждались уроки, извлеченные из размышлений по случаю 50-й и 20-й годовщин принятия Конвенций 1972 и 2003 годов соответственно, и был принят призыв к действиям: «</w:t>
      </w:r>
      <w:hyperlink r:id="rId18" w:history="1">
        <w:r>
          <w:rPr>
            <w:rStyle w:val="Lienhypertexte"/>
          </w:rPr>
          <w:t>Дух Неаполя</w:t>
        </w:r>
      </w:hyperlink>
      <w:r>
        <w:t>», в котором изложены одиннадцать принципов перспективного видения политики и программ в области охраны наследия.</w:t>
      </w:r>
    </w:p>
    <w:p w14:paraId="0F2665DB" w14:textId="1D2F5C6E" w:rsidR="00D44AC8" w:rsidRDefault="00710AFF" w:rsidP="00E431A5">
      <w:pPr>
        <w:pStyle w:val="COMPara"/>
        <w:ind w:left="567" w:hanging="567"/>
        <w:jc w:val="both"/>
      </w:pPr>
      <w:r>
        <w:t>В завершение юбилейного года в ходе восемнадцатой сессии Комитета в Касане, Республика Ботсвана, 7 декабря 2023 года состоялось торжественное мероприятие. На этом пленарном заседании были освещены основные достижения Конвенции, а также проведено несколько тематических исследований, демонстрирующих различные подходы к обеспечению охраны наследия. В мероприятии также приняли участие ученики начальной школы Мабеле, продемонстрировавшие танец сепуру, и группа народа нама из Намибии, представившая яркое выступление Aboxan Musik ǀŌb ǂÂns tsî ǁKhasigu.</w:t>
      </w:r>
    </w:p>
    <w:p w14:paraId="68591A5B" w14:textId="6AD60DFA" w:rsidR="005364BF" w:rsidRPr="00091600" w:rsidRDefault="00091600" w:rsidP="005364BF">
      <w:pPr>
        <w:pStyle w:val="COMPara"/>
        <w:numPr>
          <w:ilvl w:val="0"/>
          <w:numId w:val="21"/>
        </w:numPr>
        <w:spacing w:before="240"/>
        <w:ind w:left="567" w:hanging="567"/>
        <w:jc w:val="both"/>
        <w:rPr>
          <w:b/>
          <w:bCs/>
        </w:rPr>
      </w:pPr>
      <w:r>
        <w:rPr>
          <w:b/>
        </w:rPr>
        <w:t>Будущие действия</w:t>
      </w:r>
    </w:p>
    <w:p w14:paraId="5F467115" w14:textId="05F44548" w:rsidR="00091600" w:rsidRDefault="00091600" w:rsidP="00091600">
      <w:pPr>
        <w:pStyle w:val="COMPara"/>
        <w:ind w:left="567" w:hanging="567"/>
        <w:jc w:val="both"/>
      </w:pPr>
      <w:r>
        <w:t xml:space="preserve">События и мероприятия, проведенные по всему миру в течение 2023 года, отражают вовлеченность и энтузиазм заинтересованных сторон в достижении общей цели Конвенции – повысить осведомленность о важности нематериального культурного наследия. Юбилейный год позволил всем вовлеченным в процесс участникам продвигать цели Конвенции, подводить итоги прошлых достижений и изучать перспективы ее развития. Кампания в социальных сетях продемонстрировала потенциал использования технологий для охраны наследия, а также для охвата ранее непривлеченной аудиторий, </w:t>
      </w:r>
      <w:r w:rsidR="009B4202">
        <w:t>например</w:t>
      </w:r>
      <w:r>
        <w:t xml:space="preserve"> молодежи. Повышение активности было достигнуто благодаря решению 42-й сессии Генеральной конференции, состоявшейся в ноябре 2023 года, которая в контексте двадцатой годовщины Конвенции 2003 года провозгласила 17 октября Международным днем нематериального культурного наследия (</w:t>
      </w:r>
      <w:hyperlink r:id="rId19" w:history="1">
        <w:r>
          <w:rPr>
            <w:rStyle w:val="Lienhypertexte"/>
          </w:rPr>
          <w:t>42 C/Резолюция 34</w:t>
        </w:r>
      </w:hyperlink>
      <w:r>
        <w:t>).</w:t>
      </w:r>
    </w:p>
    <w:p w14:paraId="0FE558A0" w14:textId="1BDD0AF6" w:rsidR="00E33C76" w:rsidRDefault="00E33C76" w:rsidP="00E33C76">
      <w:pPr>
        <w:pStyle w:val="COMPara"/>
        <w:ind w:left="567" w:hanging="567"/>
        <w:jc w:val="both"/>
      </w:pPr>
      <w:r>
        <w:t xml:space="preserve">Сети, сформированные вокруг Конвенции и составляющие «семью живого наследия», действительно являются одним из главных достижений последних двадцати лет. В дальнейшем осуществление Конвенции будет опираться на поддержку и сотрудничество этих заинтересованных сторон во всем мире, поскольку они будут совместно работать над реализацией будущих направлений, изученных в юбилейный год и изложенных в заявлении «Сеульская концепция». Эта мощная сеть, укрепившаяся за год, сегодня состоит из 183 государств-участников и сообществ, практикующих 730 элементов, включенных в списки, а также 206 аккредитованных НПО под эгидой Форума </w:t>
      </w:r>
      <w:r>
        <w:lastRenderedPageBreak/>
        <w:t>НПО НКН, глобальной сети координаторов, состоящей из 255 членов, 19 кафедр ЮНЕСКО и сетей УНИТВИН, а также восьми центров категории 2 под эгидой ЮНЕСКО.</w:t>
      </w:r>
    </w:p>
    <w:p w14:paraId="6F27FD2F" w14:textId="68CF8508" w:rsidR="00EA121D" w:rsidRPr="000423FE" w:rsidRDefault="005C792B" w:rsidP="000423FE">
      <w:pPr>
        <w:pStyle w:val="COMPara"/>
        <w:ind w:left="567" w:hanging="567"/>
      </w:pPr>
      <w:r>
        <w:t xml:space="preserve">Генеральная </w:t>
      </w:r>
      <w:r w:rsidR="007859B9">
        <w:t>а</w:t>
      </w:r>
      <w:r>
        <w:t>ссамблея, возможно, пожелает принять следующую резолюцию:</w:t>
      </w:r>
    </w:p>
    <w:p w14:paraId="6CEB1E9D" w14:textId="1D08695E" w:rsidR="00D95C4C" w:rsidRPr="00BB6EEC" w:rsidRDefault="004A34A0" w:rsidP="001D14FE">
      <w:pPr>
        <w:pStyle w:val="COMTitleDecision"/>
        <w:rPr>
          <w:rFonts w:eastAsia="SimSun"/>
        </w:rPr>
      </w:pPr>
      <w:r>
        <w:t>ПРОЕКТ РЕЗОЛЮЦИИ 10.GA 10</w:t>
      </w:r>
    </w:p>
    <w:p w14:paraId="13024F0B" w14:textId="4348763C" w:rsidR="00D95C4C" w:rsidRPr="00BB6EEC" w:rsidRDefault="005C792B" w:rsidP="00285BB4">
      <w:pPr>
        <w:pStyle w:val="COMPreambulaDecisions"/>
        <w:rPr>
          <w:rFonts w:eastAsia="SimSun"/>
        </w:rPr>
      </w:pPr>
      <w:r>
        <w:t xml:space="preserve">Генеральная </w:t>
      </w:r>
      <w:r w:rsidR="007859B9">
        <w:t>а</w:t>
      </w:r>
      <w:r>
        <w:t>ссамблея,</w:t>
      </w:r>
    </w:p>
    <w:p w14:paraId="5A9F22F3" w14:textId="071298AD" w:rsidR="0057439C" w:rsidRPr="00BB6EEC" w:rsidRDefault="00422238" w:rsidP="005808E7">
      <w:pPr>
        <w:pStyle w:val="COMParaDecision"/>
        <w:ind w:left="1134" w:hanging="567"/>
      </w:pPr>
      <w:r>
        <w:rPr>
          <w:lang w:val="fr-FR"/>
        </w:rPr>
        <w:t>P</w:t>
      </w:r>
      <w:r w:rsidR="00D95C4C">
        <w:t>ассмотрев</w:t>
      </w:r>
      <w:r w:rsidR="00D95C4C">
        <w:rPr>
          <w:u w:val="none"/>
        </w:rPr>
        <w:t xml:space="preserve"> документ LHE/24/10.GA/10,</w:t>
      </w:r>
    </w:p>
    <w:p w14:paraId="260CA8D5" w14:textId="646D916B" w:rsidR="0057439C" w:rsidRPr="005C792B" w:rsidRDefault="00422238" w:rsidP="005808E7">
      <w:pPr>
        <w:pStyle w:val="COMParaDecision"/>
        <w:ind w:left="1134" w:hanging="567"/>
      </w:pPr>
      <w:r>
        <w:rPr>
          <w:lang w:val="fr-FR"/>
        </w:rPr>
        <w:t>C</w:t>
      </w:r>
      <w:r w:rsidR="0057439C">
        <w:t>сылаясь</w:t>
      </w:r>
      <w:r w:rsidR="0057439C">
        <w:rPr>
          <w:u w:val="none"/>
        </w:rPr>
        <w:t xml:space="preserve"> на Резолюцию </w:t>
      </w:r>
      <w:hyperlink r:id="rId20" w:history="1">
        <w:r w:rsidR="0057439C">
          <w:rPr>
            <w:rStyle w:val="Lienhypertexte"/>
          </w:rPr>
          <w:t>9.GA 13</w:t>
        </w:r>
      </w:hyperlink>
      <w:r w:rsidR="0057439C">
        <w:rPr>
          <w:u w:val="none"/>
        </w:rPr>
        <w:t xml:space="preserve"> и Решение </w:t>
      </w:r>
      <w:hyperlink r:id="rId21" w:history="1">
        <w:r w:rsidR="0057439C">
          <w:rPr>
            <w:rStyle w:val="Lienhypertexte"/>
          </w:rPr>
          <w:t>18.COM 6</w:t>
        </w:r>
      </w:hyperlink>
      <w:r w:rsidR="0057439C">
        <w:rPr>
          <w:rStyle w:val="Lienhypertexte"/>
          <w:color w:val="auto"/>
          <w:u w:val="none"/>
        </w:rPr>
        <w:t>,</w:t>
      </w:r>
    </w:p>
    <w:p w14:paraId="26AA27DD" w14:textId="2B518A46" w:rsidR="005C792B" w:rsidRPr="00345CB4" w:rsidRDefault="00422238" w:rsidP="005808E7">
      <w:pPr>
        <w:pStyle w:val="COMParaDecision"/>
        <w:ind w:left="1134" w:hanging="567"/>
        <w:jc w:val="left"/>
      </w:pPr>
      <w:r>
        <w:rPr>
          <w:lang w:val="fr-FR"/>
        </w:rPr>
        <w:t>T</w:t>
      </w:r>
      <w:r w:rsidR="005C792B">
        <w:t>акже ссылаясь</w:t>
      </w:r>
      <w:r w:rsidR="005C792B">
        <w:rPr>
          <w:u w:val="none"/>
        </w:rPr>
        <w:t xml:space="preserve"> </w:t>
      </w:r>
      <w:r w:rsidR="005C792B" w:rsidRPr="005808E7">
        <w:rPr>
          <w:u w:val="none"/>
        </w:rPr>
        <w:t xml:space="preserve">на </w:t>
      </w:r>
      <w:hyperlink r:id="rId22" w:history="1">
        <w:r w:rsidR="005C792B">
          <w:rPr>
            <w:rStyle w:val="Lienhypertexte"/>
          </w:rPr>
          <w:t>42 C/Резолюция 34</w:t>
        </w:r>
      </w:hyperlink>
      <w:r w:rsidR="005C792B">
        <w:rPr>
          <w:u w:val="none"/>
        </w:rPr>
        <w:t xml:space="preserve"> Генеральной конференции ЮНЕСКО,</w:t>
      </w:r>
    </w:p>
    <w:p w14:paraId="64535288" w14:textId="72326855" w:rsidR="00DC1332" w:rsidRPr="00BC39DE" w:rsidRDefault="00422238" w:rsidP="005808E7">
      <w:pPr>
        <w:pStyle w:val="COMParaDecision"/>
        <w:ind w:left="1134" w:hanging="567"/>
      </w:pPr>
      <w:r w:rsidRPr="005808E7">
        <w:t>П</w:t>
      </w:r>
      <w:r w:rsidR="007F75E9" w:rsidRPr="00422238">
        <w:t>р</w:t>
      </w:r>
      <w:r w:rsidR="007F75E9">
        <w:t>иветствует</w:t>
      </w:r>
      <w:r w:rsidR="007F75E9">
        <w:rPr>
          <w:u w:val="none"/>
        </w:rPr>
        <w:t xml:space="preserve"> провозглашение 17 октября Международным днем нематериального культурного наследия;</w:t>
      </w:r>
    </w:p>
    <w:p w14:paraId="067DE13F" w14:textId="12D97AF8" w:rsidR="00E3435D" w:rsidRDefault="00422238" w:rsidP="005808E7">
      <w:pPr>
        <w:pStyle w:val="COMParaDecision"/>
        <w:ind w:left="1134" w:hanging="567"/>
        <w:rPr>
          <w:u w:val="none"/>
        </w:rPr>
      </w:pPr>
      <w:r>
        <w:rPr>
          <w:lang w:val="fr-FR"/>
        </w:rPr>
        <w:t>B</w:t>
      </w:r>
      <w:r w:rsidR="00DE4387">
        <w:t>ысоко оценивает</w:t>
      </w:r>
      <w:r w:rsidR="00DE4387">
        <w:rPr>
          <w:u w:val="none"/>
        </w:rPr>
        <w:t xml:space="preserve"> мероприятия, проведенные всеми электоральными группами на национальном, региональном и международном уровнях в рамках празднования двадцатой годовщины Конвенции, включая конференции, фестивали, встречи экспертов, выставки, публикации, кампании по повышению осведомленности и т.д;</w:t>
      </w:r>
    </w:p>
    <w:p w14:paraId="6D848E82" w14:textId="3C4F39C3" w:rsidR="00DE4387" w:rsidRPr="008540F9" w:rsidRDefault="00422238" w:rsidP="005808E7">
      <w:pPr>
        <w:pStyle w:val="COMParaDecision"/>
        <w:ind w:left="1134" w:hanging="567"/>
        <w:rPr>
          <w:u w:val="none"/>
        </w:rPr>
      </w:pPr>
      <w:r>
        <w:rPr>
          <w:lang w:val="fr-FR"/>
        </w:rPr>
        <w:t>B</w:t>
      </w:r>
      <w:r w:rsidR="00DE4387">
        <w:t>ыражает</w:t>
      </w:r>
      <w:r w:rsidR="00DE4387">
        <w:rPr>
          <w:u w:val="none"/>
        </w:rPr>
        <w:t xml:space="preserve"> благодарность Республике Корея за проведение в Сеуле Глобальной встречи, посвященной двадцатой годовщине Конвенции 2003 года, и </w:t>
      </w:r>
      <w:r w:rsidR="00DE4387">
        <w:t>приветствует</w:t>
      </w:r>
      <w:r w:rsidR="00DE4387">
        <w:rPr>
          <w:u w:val="none"/>
        </w:rPr>
        <w:t xml:space="preserve"> направления будущих действий, обозначенные в «Сеульской концепции будущего охраны живого наследия в интересах устойчивого развития и мира»;</w:t>
      </w:r>
    </w:p>
    <w:p w14:paraId="115C04EB" w14:textId="4667B41F" w:rsidR="00DE4387" w:rsidRDefault="00422238" w:rsidP="005808E7">
      <w:pPr>
        <w:pStyle w:val="COMParaDecision"/>
        <w:ind w:left="1134" w:hanging="567"/>
        <w:rPr>
          <w:u w:val="none"/>
        </w:rPr>
      </w:pPr>
      <w:r>
        <w:rPr>
          <w:lang w:val="fr-FR"/>
        </w:rPr>
        <w:t>B</w:t>
      </w:r>
      <w:r w:rsidR="00DE4387">
        <w:t>ыражает также признательность</w:t>
      </w:r>
      <w:r w:rsidR="00DE4387">
        <w:rPr>
          <w:u w:val="none"/>
        </w:rPr>
        <w:t xml:space="preserve"> Италии за проведение в Неаполе Конференции по культурному наследию в XXI веке и </w:t>
      </w:r>
      <w:r w:rsidR="00DE4387">
        <w:t>приветствует</w:t>
      </w:r>
      <w:r w:rsidR="00DE4387">
        <w:rPr>
          <w:u w:val="none"/>
        </w:rPr>
        <w:t xml:space="preserve"> принятый по ее итогам Призыв к действиям, в котором изложены одиннадцать основных принципов, призванных обеспечить перспективное видение охраны наследия;</w:t>
      </w:r>
    </w:p>
    <w:p w14:paraId="13C1BE2D" w14:textId="3729C272" w:rsidR="007859B9" w:rsidRPr="007859B9" w:rsidRDefault="00422238" w:rsidP="005808E7">
      <w:pPr>
        <w:pStyle w:val="COMParaDecision"/>
        <w:ind w:left="1134" w:hanging="567"/>
      </w:pPr>
      <w:r>
        <w:rPr>
          <w:lang w:val="fr-FR"/>
        </w:rPr>
        <w:t>B</w:t>
      </w:r>
      <w:r w:rsidR="007859B9" w:rsidRPr="0096448B">
        <w:t>ыражает также признательность</w:t>
      </w:r>
      <w:r w:rsidR="007859B9" w:rsidRPr="005808E7">
        <w:rPr>
          <w:u w:val="none"/>
        </w:rPr>
        <w:t xml:space="preserve"> государствам-участникам из Латинской Америки и Карибского бассейна за региональные инициативы, отражающие достижения и будущее развитие Конвенции, включая конференцию, проведенную в штаб-квартире ЮНЕСКО, встречу экспертов, организованную в Перу в сотрудничестве с центром категории 2 </w:t>
      </w:r>
      <w:r w:rsidR="007859B9" w:rsidRPr="005808E7">
        <w:rPr>
          <w:u w:val="none"/>
          <w:lang w:val="en-GB"/>
        </w:rPr>
        <w:t>CRESPIAL</w:t>
      </w:r>
      <w:r w:rsidR="007859B9" w:rsidRPr="005808E7">
        <w:rPr>
          <w:u w:val="none"/>
        </w:rPr>
        <w:t>, и выпуск публикации, в которой собраны результаты регионального анализа;</w:t>
      </w:r>
    </w:p>
    <w:p w14:paraId="5713A973" w14:textId="58156282" w:rsidR="00E3435D" w:rsidRDefault="00422238" w:rsidP="005808E7">
      <w:pPr>
        <w:pStyle w:val="COMParaDecision"/>
        <w:ind w:left="1134" w:hanging="567"/>
      </w:pPr>
      <w:r w:rsidRPr="00422238">
        <w:t>Б</w:t>
      </w:r>
      <w:r w:rsidR="00DE4387">
        <w:t>лагодарит</w:t>
      </w:r>
      <w:r w:rsidR="00DE4387" w:rsidRPr="005808E7">
        <w:rPr>
          <w:u w:val="none"/>
        </w:rPr>
        <w:t xml:space="preserve"> государства-участников, которые щедро предоставили внебюджетную поддержку или поддержку в натуральной форме для празднования двадцатой годовщины Конвенции;</w:t>
      </w:r>
    </w:p>
    <w:p w14:paraId="7CB47518" w14:textId="4770FFED" w:rsidR="0051321C" w:rsidRPr="007E1B3A" w:rsidRDefault="00422238" w:rsidP="005808E7">
      <w:pPr>
        <w:pStyle w:val="COMParaDecision"/>
        <w:ind w:left="1134" w:hanging="567"/>
      </w:pPr>
      <w:r>
        <w:rPr>
          <w:lang w:val="fr-FR"/>
        </w:rPr>
        <w:t>B</w:t>
      </w:r>
      <w:r w:rsidR="0051321C">
        <w:t>ыражает признательность</w:t>
      </w:r>
      <w:r w:rsidR="0051321C">
        <w:rPr>
          <w:u w:val="none"/>
        </w:rPr>
        <w:t xml:space="preserve"> Секретариату, всем государствам-участникам, сообществам и другим заинтересованным сторонам за их активное участие в праздновании в течение всего юбилейного года, особенно в продвижении целей Конвенции, подведении итогов прошлых достижений и изучении будущего развития Конвенции.</w:t>
      </w:r>
    </w:p>
    <w:p w14:paraId="23366B11" w14:textId="3AE34488" w:rsidR="00AF3FF2" w:rsidRPr="00785994" w:rsidRDefault="00AF3FF2" w:rsidP="005808E7">
      <w:pPr>
        <w:pStyle w:val="COMParaDecision"/>
        <w:numPr>
          <w:ilvl w:val="0"/>
          <w:numId w:val="0"/>
        </w:numPr>
        <w:ind w:left="927" w:hanging="360"/>
      </w:pPr>
    </w:p>
    <w:sectPr w:rsidR="00AF3FF2" w:rsidRPr="00785994" w:rsidSect="00117152">
      <w:headerReference w:type="even" r:id="rId23"/>
      <w:headerReference w:type="default" r:id="rId24"/>
      <w:headerReference w:type="first" r:id="rId25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C096" w14:textId="77777777" w:rsidR="00117152" w:rsidRDefault="00117152" w:rsidP="00655736">
      <w:r>
        <w:separator/>
      </w:r>
    </w:p>
  </w:endnote>
  <w:endnote w:type="continuationSeparator" w:id="0">
    <w:p w14:paraId="16C45610" w14:textId="77777777" w:rsidR="00117152" w:rsidRDefault="0011715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D596" w14:textId="77777777" w:rsidR="00117152" w:rsidRDefault="00117152" w:rsidP="00655736">
      <w:r>
        <w:separator/>
      </w:r>
    </w:p>
  </w:footnote>
  <w:footnote w:type="continuationSeparator" w:id="0">
    <w:p w14:paraId="08C76C86" w14:textId="77777777" w:rsidR="00117152" w:rsidRDefault="00117152" w:rsidP="00655736">
      <w:r>
        <w:continuationSeparator/>
      </w:r>
    </w:p>
  </w:footnote>
  <w:footnote w:id="1">
    <w:p w14:paraId="3B670565" w14:textId="4B8B60D8" w:rsidR="00F561D6" w:rsidRPr="006F59C9" w:rsidRDefault="00F561D6" w:rsidP="007711FA">
      <w:pPr>
        <w:pStyle w:val="Notedebasdepage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hyperlink r:id="rId1" w:history="1">
        <w:r>
          <w:rPr>
            <w:rStyle w:val="Lienhypertexte"/>
            <w:rFonts w:ascii="Arial" w:hAnsi="Arial"/>
            <w:sz w:val="18"/>
          </w:rPr>
          <w:t>Конференция</w:t>
        </w:r>
      </w:hyperlink>
      <w:r>
        <w:rPr>
          <w:rStyle w:val="lev"/>
          <w:rFonts w:ascii="Arial" w:hAnsi="Arial"/>
          <w:b w:val="0"/>
          <w:sz w:val="18"/>
        </w:rPr>
        <w:t>была организована в рамках Недели Латинской Америки и Карибского бассейна в ЮНЕСКО 21, 22 и 30 июня 2023 года.</w:t>
      </w:r>
    </w:p>
  </w:footnote>
  <w:footnote w:id="2">
    <w:p w14:paraId="4B622FAB" w14:textId="63A1A391" w:rsidR="00916721" w:rsidRPr="006F59C9" w:rsidRDefault="00916721" w:rsidP="007711FA">
      <w:pPr>
        <w:pStyle w:val="Notedebasdepage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hyperlink r:id="rId2" w:history="1">
        <w:r>
          <w:rPr>
            <w:rStyle w:val="Lienhypertexte"/>
            <w:rFonts w:ascii="Arial" w:hAnsi="Arial"/>
            <w:sz w:val="18"/>
          </w:rPr>
          <w:t>Международный форум:</w:t>
        </w:r>
      </w:hyperlink>
      <w:hyperlink r:id="rId3" w:history="1">
        <w:r>
          <w:rPr>
            <w:rStyle w:val="Lienhypertexte"/>
            <w:rFonts w:ascii="Arial" w:hAnsi="Arial"/>
            <w:sz w:val="18"/>
          </w:rPr>
          <w:t>Живое наследие Латинской Америки</w:t>
        </w:r>
      </w:hyperlink>
      <w:r>
        <w:rPr>
          <w:rFonts w:ascii="Arial" w:hAnsi="Arial"/>
          <w:sz w:val="18"/>
        </w:rPr>
        <w:t xml:space="preserve"> был организован Министерством культуры Перу, Региональным центром по охране нематериального культурного наследия Латинской Америки - CRESPIAL и Бюро ЮНЕСКО в Перу с 19 по 21 октября 2023 года в Лиме, Перу.</w:t>
      </w:r>
    </w:p>
  </w:footnote>
  <w:footnote w:id="3">
    <w:p w14:paraId="2CBF00B9" w14:textId="56F81DBB" w:rsidR="004815E1" w:rsidRPr="006802B1" w:rsidRDefault="004815E1" w:rsidP="007711FA">
      <w:pPr>
        <w:pStyle w:val="Notedebasdepage"/>
        <w:spacing w:after="120"/>
        <w:ind w:left="284" w:hanging="284"/>
      </w:pPr>
      <w:r>
        <w:rPr>
          <w:rStyle w:val="Appelnotedebasdep"/>
        </w:rPr>
        <w:footnoteRef/>
      </w:r>
      <w:r>
        <w:t xml:space="preserve"> </w:t>
      </w:r>
      <w:r>
        <w:tab/>
      </w:r>
      <w:hyperlink r:id="rId4" w:history="1">
        <w:r>
          <w:rPr>
            <w:rStyle w:val="Lienhypertexte"/>
            <w:rFonts w:ascii="Arial" w:hAnsi="Arial"/>
            <w:sz w:val="18"/>
          </w:rPr>
          <w:t>Публикация</w:t>
        </w:r>
      </w:hyperlink>
      <w:r>
        <w:rPr>
          <w:rStyle w:val="lev"/>
          <w:rFonts w:ascii="Arial" w:hAnsi="Arial"/>
          <w:sz w:val="18"/>
        </w:rPr>
        <w:t xml:space="preserve"> </w:t>
      </w:r>
      <w:r>
        <w:rPr>
          <w:rStyle w:val="lev"/>
          <w:rFonts w:ascii="Arial" w:hAnsi="Arial"/>
          <w:b w:val="0"/>
          <w:sz w:val="18"/>
        </w:rPr>
        <w:t>«20-летие Конвенции об охране нематериального культурного наследия: стратегии и опыт стран Латинской Америки и Карибского бассейна».</w:t>
      </w:r>
    </w:p>
  </w:footnote>
  <w:footnote w:id="4">
    <w:p w14:paraId="20FA2DA1" w14:textId="7B40CE5E" w:rsidR="00EC099F" w:rsidRPr="006F59C9" w:rsidRDefault="00EC099F" w:rsidP="007711FA">
      <w:pPr>
        <w:pStyle w:val="Notedebasdepage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Организаторами </w:t>
      </w:r>
      <w:hyperlink r:id="rId5" w:history="1">
        <w:r>
          <w:rPr>
            <w:rStyle w:val="Lienhypertexte"/>
            <w:rFonts w:ascii="Arial" w:hAnsi="Arial"/>
            <w:sz w:val="18"/>
          </w:rPr>
          <w:t>встречи</w:t>
        </w:r>
      </w:hyperlink>
      <w:r>
        <w:rPr>
          <w:rFonts w:ascii="Arial" w:hAnsi="Arial"/>
          <w:sz w:val="18"/>
        </w:rPr>
        <w:t xml:space="preserve"> выступили Министерство иностранных дел Республики Корея (МИД), Администрация культурного наследия Республики Корея в сотрудничестве с ЮНЕСКО, Международный центр информации и сетевого взаимодействия по нематериальному культурному наследию в Азиатско-Тихоокеанском регионе под эгидой ЮНЕСКО (ICHCAP) и Корейский фонд культурного наследия.</w:t>
      </w:r>
    </w:p>
  </w:footnote>
  <w:footnote w:id="5">
    <w:p w14:paraId="144B9669" w14:textId="64DABC3B" w:rsidR="002E1232" w:rsidRPr="006F59C9" w:rsidRDefault="002E1232" w:rsidP="007711FA">
      <w:pPr>
        <w:pStyle w:val="Notedebasdepage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hyperlink r:id="rId6" w:history="1">
        <w:r>
          <w:rPr>
            <w:rStyle w:val="Lienhypertexte"/>
            <w:rFonts w:ascii="Arial" w:hAnsi="Arial"/>
            <w:sz w:val="18"/>
          </w:rPr>
          <w:t>Конференция</w:t>
        </w:r>
      </w:hyperlink>
      <w:r>
        <w:rPr>
          <w:rFonts w:ascii="Arial" w:hAnsi="Arial"/>
          <w:sz w:val="18"/>
        </w:rPr>
        <w:t xml:space="preserve"> была организована в сотрудничестве с Министерством иностранных дел и международного сотрудничества Италии, а также Министерством культуры Италии при поддержке города Неаполя.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3C158596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>LHE/24/10.GA/10</w:t>
    </w:r>
    <w:r w:rsidR="007859B9">
      <w:rPr>
        <w:rFonts w:ascii="Arial" w:hAnsi="Arial"/>
        <w:sz w:val="20"/>
      </w:rPr>
      <w:t xml:space="preserve"> – </w:t>
    </w:r>
    <w:r>
      <w:rPr>
        <w:rFonts w:ascii="Arial" w:hAnsi="Arial"/>
        <w:sz w:val="20"/>
      </w:rPr>
      <w:t xml:space="preserve">страница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4933163D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>LHE/24/10.GA/10</w:t>
    </w:r>
    <w:r w:rsidR="007859B9">
      <w:rPr>
        <w:rFonts w:ascii="Arial" w:hAnsi="Arial"/>
        <w:sz w:val="20"/>
      </w:rPr>
      <w:t xml:space="preserve"> –</w:t>
    </w:r>
    <w:r>
      <w:rPr>
        <w:rFonts w:ascii="Arial" w:hAnsi="Arial"/>
        <w:sz w:val="20"/>
      </w:rPr>
      <w:t xml:space="preserve"> страница 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E95AE2" w:rsidRDefault="00962034">
    <w:pPr>
      <w:pStyle w:val="En-tt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484C05" wp14:editId="78288569">
          <wp:simplePos x="0" y="0"/>
          <wp:positionH relativeFrom="margin">
            <wp:posOffset>105410</wp:posOffset>
          </wp:positionH>
          <wp:positionV relativeFrom="paragraph">
            <wp:posOffset>100330</wp:posOffset>
          </wp:positionV>
          <wp:extent cx="1507490" cy="12960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482825F8" w:rsidR="00D95C4C" w:rsidRPr="00D7105A" w:rsidRDefault="005C792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10 GA</w:t>
    </w:r>
  </w:p>
  <w:p w14:paraId="306484B8" w14:textId="67622C89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LHE/24/10.GA/10</w:t>
    </w:r>
  </w:p>
  <w:p w14:paraId="1B4446C3" w14:textId="5516F3C0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>Париж, 13 мая 2024 г</w:t>
    </w:r>
    <w:r w:rsidR="00B45A29" w:rsidRPr="005808E7">
      <w:rPr>
        <w:rFonts w:ascii="Arial" w:hAnsi="Arial"/>
        <w:b/>
        <w:sz w:val="22"/>
      </w:rPr>
      <w:t>.</w:t>
    </w:r>
  </w:p>
  <w:p w14:paraId="255B57FF" w14:textId="2569E2C0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3C4B8B1B" w14:textId="77777777" w:rsidR="00D95C4C" w:rsidRPr="00E95AE2" w:rsidRDefault="00D95C4C">
    <w:pPr>
      <w:pStyle w:val="En-tte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439"/>
    <w:multiLevelType w:val="hybridMultilevel"/>
    <w:tmpl w:val="E6A4CB00"/>
    <w:lvl w:ilvl="0" w:tplc="040C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15" w:hanging="360"/>
      </w:pPr>
    </w:lvl>
    <w:lvl w:ilvl="2" w:tplc="FFFFFFFF">
      <w:start w:val="1"/>
      <w:numFmt w:val="lowerRoman"/>
      <w:lvlText w:val="%3."/>
      <w:lvlJc w:val="right"/>
      <w:pPr>
        <w:ind w:left="1735" w:hanging="180"/>
      </w:pPr>
    </w:lvl>
    <w:lvl w:ilvl="3" w:tplc="FFFFFFFF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A5C55"/>
    <w:multiLevelType w:val="hybridMultilevel"/>
    <w:tmpl w:val="F1C2669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8141F2"/>
    <w:multiLevelType w:val="hybridMultilevel"/>
    <w:tmpl w:val="83CEE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01FEE4DE"/>
    <w:lvl w:ilvl="0" w:tplc="918ACE6A">
      <w:start w:val="1"/>
      <w:numFmt w:val="decimal"/>
      <w:pStyle w:val="COMParaDecision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5201A69"/>
    <w:multiLevelType w:val="hybridMultilevel"/>
    <w:tmpl w:val="6C5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B4448"/>
    <w:multiLevelType w:val="hybridMultilevel"/>
    <w:tmpl w:val="5FB40D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5"/>
  </w:num>
  <w:num w:numId="2" w16cid:durableId="699629408">
    <w:abstractNumId w:val="9"/>
  </w:num>
  <w:num w:numId="3" w16cid:durableId="164177712">
    <w:abstractNumId w:val="4"/>
  </w:num>
  <w:num w:numId="4" w16cid:durableId="1416590798">
    <w:abstractNumId w:val="18"/>
  </w:num>
  <w:num w:numId="5" w16cid:durableId="1762608160">
    <w:abstractNumId w:val="16"/>
  </w:num>
  <w:num w:numId="6" w16cid:durableId="2146270374">
    <w:abstractNumId w:val="1"/>
  </w:num>
  <w:num w:numId="7" w16cid:durableId="1113592211">
    <w:abstractNumId w:val="6"/>
  </w:num>
  <w:num w:numId="8" w16cid:durableId="1920598164">
    <w:abstractNumId w:val="13"/>
  </w:num>
  <w:num w:numId="9" w16cid:durableId="1533764642">
    <w:abstractNumId w:val="8"/>
  </w:num>
  <w:num w:numId="10" w16cid:durableId="1246129">
    <w:abstractNumId w:val="10"/>
  </w:num>
  <w:num w:numId="11" w16cid:durableId="111829808">
    <w:abstractNumId w:val="12"/>
  </w:num>
  <w:num w:numId="12" w16cid:durableId="1088770206">
    <w:abstractNumId w:val="11"/>
  </w:num>
  <w:num w:numId="13" w16cid:durableId="1263951029">
    <w:abstractNumId w:val="19"/>
  </w:num>
  <w:num w:numId="14" w16cid:durableId="395903570">
    <w:abstractNumId w:val="7"/>
  </w:num>
  <w:num w:numId="15" w16cid:durableId="1857570918">
    <w:abstractNumId w:val="8"/>
  </w:num>
  <w:num w:numId="16" w16cid:durableId="248199808">
    <w:abstractNumId w:val="8"/>
  </w:num>
  <w:num w:numId="17" w16cid:durableId="350380342">
    <w:abstractNumId w:val="8"/>
  </w:num>
  <w:num w:numId="18" w16cid:durableId="944581980">
    <w:abstractNumId w:val="8"/>
  </w:num>
  <w:num w:numId="19" w16cid:durableId="772675100">
    <w:abstractNumId w:val="8"/>
  </w:num>
  <w:num w:numId="20" w16cid:durableId="1253010311">
    <w:abstractNumId w:val="8"/>
  </w:num>
  <w:num w:numId="21" w16cid:durableId="540821319">
    <w:abstractNumId w:val="2"/>
  </w:num>
  <w:num w:numId="22" w16cid:durableId="2046514942">
    <w:abstractNumId w:val="8"/>
  </w:num>
  <w:num w:numId="23" w16cid:durableId="1137143166">
    <w:abstractNumId w:val="8"/>
  </w:num>
  <w:num w:numId="24" w16cid:durableId="845705957">
    <w:abstractNumId w:val="0"/>
  </w:num>
  <w:num w:numId="25" w16cid:durableId="1548907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804543">
    <w:abstractNumId w:val="8"/>
  </w:num>
  <w:num w:numId="27" w16cid:durableId="1850870069">
    <w:abstractNumId w:val="8"/>
  </w:num>
  <w:num w:numId="28" w16cid:durableId="1390222850">
    <w:abstractNumId w:val="8"/>
  </w:num>
  <w:num w:numId="29" w16cid:durableId="634220986">
    <w:abstractNumId w:val="8"/>
  </w:num>
  <w:num w:numId="30" w16cid:durableId="1612131814">
    <w:abstractNumId w:val="8"/>
  </w:num>
  <w:num w:numId="31" w16cid:durableId="481654889">
    <w:abstractNumId w:val="3"/>
  </w:num>
  <w:num w:numId="32" w16cid:durableId="611940547">
    <w:abstractNumId w:val="8"/>
  </w:num>
  <w:num w:numId="33" w16cid:durableId="67655107">
    <w:abstractNumId w:val="17"/>
  </w:num>
  <w:num w:numId="34" w16cid:durableId="1482582023">
    <w:abstractNumId w:val="8"/>
  </w:num>
  <w:num w:numId="35" w16cid:durableId="1445269033">
    <w:abstractNumId w:val="8"/>
  </w:num>
  <w:num w:numId="36" w16cid:durableId="626938009">
    <w:abstractNumId w:val="5"/>
  </w:num>
  <w:num w:numId="37" w16cid:durableId="1817137503">
    <w:abstractNumId w:val="8"/>
  </w:num>
  <w:num w:numId="38" w16cid:durableId="1443188985">
    <w:abstractNumId w:val="8"/>
  </w:num>
  <w:num w:numId="39" w16cid:durableId="1703091294">
    <w:abstractNumId w:val="8"/>
  </w:num>
  <w:num w:numId="40" w16cid:durableId="201095490">
    <w:abstractNumId w:val="8"/>
  </w:num>
  <w:num w:numId="41" w16cid:durableId="155415393">
    <w:abstractNumId w:val="8"/>
  </w:num>
  <w:num w:numId="42" w16cid:durableId="848443413">
    <w:abstractNumId w:val="8"/>
  </w:num>
  <w:num w:numId="43" w16cid:durableId="1217159771">
    <w:abstractNumId w:val="8"/>
  </w:num>
  <w:num w:numId="44" w16cid:durableId="496384258">
    <w:abstractNumId w:val="8"/>
  </w:num>
  <w:num w:numId="45" w16cid:durableId="1401363196">
    <w:abstractNumId w:val="8"/>
  </w:num>
  <w:num w:numId="46" w16cid:durableId="353456430">
    <w:abstractNumId w:val="8"/>
  </w:num>
  <w:num w:numId="47" w16cid:durableId="686979864">
    <w:abstractNumId w:val="8"/>
  </w:num>
  <w:num w:numId="48" w16cid:durableId="1358584799">
    <w:abstractNumId w:val="8"/>
  </w:num>
  <w:num w:numId="49" w16cid:durableId="1772965719">
    <w:abstractNumId w:val="8"/>
  </w:num>
  <w:num w:numId="50" w16cid:durableId="47267269">
    <w:abstractNumId w:val="8"/>
  </w:num>
  <w:num w:numId="51" w16cid:durableId="1823765661">
    <w:abstractNumId w:val="8"/>
  </w:num>
  <w:num w:numId="52" w16cid:durableId="1995330384">
    <w:abstractNumId w:val="8"/>
  </w:num>
  <w:num w:numId="53" w16cid:durableId="1929188023">
    <w:abstractNumId w:val="14"/>
  </w:num>
  <w:num w:numId="54" w16cid:durableId="2066685604">
    <w:abstractNumId w:val="8"/>
  </w:num>
  <w:num w:numId="55" w16cid:durableId="330761844">
    <w:abstractNumId w:val="8"/>
  </w:num>
  <w:num w:numId="56" w16cid:durableId="770778786">
    <w:abstractNumId w:val="8"/>
  </w:num>
  <w:num w:numId="57" w16cid:durableId="1681811726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2CC4"/>
    <w:rsid w:val="00003C13"/>
    <w:rsid w:val="000048ED"/>
    <w:rsid w:val="00014838"/>
    <w:rsid w:val="00014915"/>
    <w:rsid w:val="000169C9"/>
    <w:rsid w:val="00041A66"/>
    <w:rsid w:val="000423FE"/>
    <w:rsid w:val="00042D88"/>
    <w:rsid w:val="000430C0"/>
    <w:rsid w:val="00043CB0"/>
    <w:rsid w:val="0005176E"/>
    <w:rsid w:val="00053287"/>
    <w:rsid w:val="00054FBF"/>
    <w:rsid w:val="000563C2"/>
    <w:rsid w:val="00064120"/>
    <w:rsid w:val="00073053"/>
    <w:rsid w:val="000765F7"/>
    <w:rsid w:val="0007725F"/>
    <w:rsid w:val="00077AB7"/>
    <w:rsid w:val="00081CD8"/>
    <w:rsid w:val="000829D1"/>
    <w:rsid w:val="000832C1"/>
    <w:rsid w:val="00091600"/>
    <w:rsid w:val="000A5639"/>
    <w:rsid w:val="000A7F0E"/>
    <w:rsid w:val="000B1C8F"/>
    <w:rsid w:val="000B2942"/>
    <w:rsid w:val="000C0D61"/>
    <w:rsid w:val="000C53B7"/>
    <w:rsid w:val="000D0CE8"/>
    <w:rsid w:val="000D4193"/>
    <w:rsid w:val="000E4940"/>
    <w:rsid w:val="000F3A3F"/>
    <w:rsid w:val="00102557"/>
    <w:rsid w:val="00117152"/>
    <w:rsid w:val="00130A5C"/>
    <w:rsid w:val="00147A38"/>
    <w:rsid w:val="00164D56"/>
    <w:rsid w:val="00167B10"/>
    <w:rsid w:val="0017402F"/>
    <w:rsid w:val="00190205"/>
    <w:rsid w:val="001969E7"/>
    <w:rsid w:val="00196C1B"/>
    <w:rsid w:val="001B0F73"/>
    <w:rsid w:val="001C2DB7"/>
    <w:rsid w:val="001D14FE"/>
    <w:rsid w:val="001D39AA"/>
    <w:rsid w:val="001D5C04"/>
    <w:rsid w:val="001F26CF"/>
    <w:rsid w:val="002159FE"/>
    <w:rsid w:val="00215C3E"/>
    <w:rsid w:val="0021711C"/>
    <w:rsid w:val="00220B39"/>
    <w:rsid w:val="00222A2D"/>
    <w:rsid w:val="00223029"/>
    <w:rsid w:val="00227D52"/>
    <w:rsid w:val="00234745"/>
    <w:rsid w:val="002351A6"/>
    <w:rsid w:val="00237490"/>
    <w:rsid w:val="00240001"/>
    <w:rsid w:val="002407AF"/>
    <w:rsid w:val="00245501"/>
    <w:rsid w:val="00254B26"/>
    <w:rsid w:val="002559CE"/>
    <w:rsid w:val="0026221A"/>
    <w:rsid w:val="0027466B"/>
    <w:rsid w:val="002814F6"/>
    <w:rsid w:val="00282F01"/>
    <w:rsid w:val="002838A5"/>
    <w:rsid w:val="00285BB4"/>
    <w:rsid w:val="00292978"/>
    <w:rsid w:val="00293958"/>
    <w:rsid w:val="002A42E1"/>
    <w:rsid w:val="002C09E3"/>
    <w:rsid w:val="002C6A2C"/>
    <w:rsid w:val="002D1244"/>
    <w:rsid w:val="002E1232"/>
    <w:rsid w:val="002E6D2D"/>
    <w:rsid w:val="002F6B42"/>
    <w:rsid w:val="00301B12"/>
    <w:rsid w:val="00303F7B"/>
    <w:rsid w:val="003057A5"/>
    <w:rsid w:val="00323460"/>
    <w:rsid w:val="003368E3"/>
    <w:rsid w:val="00337CEB"/>
    <w:rsid w:val="00344B58"/>
    <w:rsid w:val="0034539A"/>
    <w:rsid w:val="00345CB4"/>
    <w:rsid w:val="00352482"/>
    <w:rsid w:val="00356576"/>
    <w:rsid w:val="00360A16"/>
    <w:rsid w:val="00361810"/>
    <w:rsid w:val="00365B27"/>
    <w:rsid w:val="00375D42"/>
    <w:rsid w:val="0037718D"/>
    <w:rsid w:val="003869C8"/>
    <w:rsid w:val="00396E77"/>
    <w:rsid w:val="003A4448"/>
    <w:rsid w:val="003A7B1E"/>
    <w:rsid w:val="003B0E58"/>
    <w:rsid w:val="003B22CD"/>
    <w:rsid w:val="003D069C"/>
    <w:rsid w:val="003D7646"/>
    <w:rsid w:val="003E09A8"/>
    <w:rsid w:val="003F113A"/>
    <w:rsid w:val="003F3E63"/>
    <w:rsid w:val="00407480"/>
    <w:rsid w:val="00411D34"/>
    <w:rsid w:val="00414643"/>
    <w:rsid w:val="00422238"/>
    <w:rsid w:val="004231C4"/>
    <w:rsid w:val="00425664"/>
    <w:rsid w:val="004313C4"/>
    <w:rsid w:val="00431F1F"/>
    <w:rsid w:val="004421E5"/>
    <w:rsid w:val="00452284"/>
    <w:rsid w:val="0045687D"/>
    <w:rsid w:val="00457C8E"/>
    <w:rsid w:val="00464B9B"/>
    <w:rsid w:val="0047068A"/>
    <w:rsid w:val="00480175"/>
    <w:rsid w:val="004815E1"/>
    <w:rsid w:val="004856CA"/>
    <w:rsid w:val="00487E67"/>
    <w:rsid w:val="004905B6"/>
    <w:rsid w:val="004905D5"/>
    <w:rsid w:val="004906B7"/>
    <w:rsid w:val="0049705E"/>
    <w:rsid w:val="004A2875"/>
    <w:rsid w:val="004A34A0"/>
    <w:rsid w:val="004B381E"/>
    <w:rsid w:val="004C752D"/>
    <w:rsid w:val="004C7C82"/>
    <w:rsid w:val="004E5125"/>
    <w:rsid w:val="004F7BA5"/>
    <w:rsid w:val="005008A8"/>
    <w:rsid w:val="0051321C"/>
    <w:rsid w:val="00517FD8"/>
    <w:rsid w:val="00526B7B"/>
    <w:rsid w:val="005274D2"/>
    <w:rsid w:val="005308CE"/>
    <w:rsid w:val="0053120D"/>
    <w:rsid w:val="0053318C"/>
    <w:rsid w:val="005364BF"/>
    <w:rsid w:val="0054535F"/>
    <w:rsid w:val="00546F2F"/>
    <w:rsid w:val="00555437"/>
    <w:rsid w:val="00556997"/>
    <w:rsid w:val="0057439C"/>
    <w:rsid w:val="005808E7"/>
    <w:rsid w:val="005960FA"/>
    <w:rsid w:val="005B0127"/>
    <w:rsid w:val="005B7A35"/>
    <w:rsid w:val="005C34AD"/>
    <w:rsid w:val="005C4B73"/>
    <w:rsid w:val="005C792B"/>
    <w:rsid w:val="005D6C6B"/>
    <w:rsid w:val="005E1D2B"/>
    <w:rsid w:val="005E7074"/>
    <w:rsid w:val="005F2BAF"/>
    <w:rsid w:val="00600D93"/>
    <w:rsid w:val="00606659"/>
    <w:rsid w:val="00610534"/>
    <w:rsid w:val="00626BEA"/>
    <w:rsid w:val="0063300C"/>
    <w:rsid w:val="006418D1"/>
    <w:rsid w:val="00642499"/>
    <w:rsid w:val="006446E2"/>
    <w:rsid w:val="00651A5B"/>
    <w:rsid w:val="00655736"/>
    <w:rsid w:val="0065733A"/>
    <w:rsid w:val="00657810"/>
    <w:rsid w:val="00662F6A"/>
    <w:rsid w:val="00663B8D"/>
    <w:rsid w:val="0067031C"/>
    <w:rsid w:val="0067063A"/>
    <w:rsid w:val="006802B1"/>
    <w:rsid w:val="0068602C"/>
    <w:rsid w:val="00696C8D"/>
    <w:rsid w:val="006A1294"/>
    <w:rsid w:val="006A2AC2"/>
    <w:rsid w:val="006A3617"/>
    <w:rsid w:val="006B4452"/>
    <w:rsid w:val="006B5E89"/>
    <w:rsid w:val="006D7C09"/>
    <w:rsid w:val="006E46E4"/>
    <w:rsid w:val="006E75EB"/>
    <w:rsid w:val="006F05A6"/>
    <w:rsid w:val="006F59C9"/>
    <w:rsid w:val="006F7DB4"/>
    <w:rsid w:val="00703675"/>
    <w:rsid w:val="00710AFF"/>
    <w:rsid w:val="0071522E"/>
    <w:rsid w:val="00717DA5"/>
    <w:rsid w:val="00723DAD"/>
    <w:rsid w:val="007333D0"/>
    <w:rsid w:val="00744484"/>
    <w:rsid w:val="00744740"/>
    <w:rsid w:val="0074517B"/>
    <w:rsid w:val="00747566"/>
    <w:rsid w:val="00766969"/>
    <w:rsid w:val="007711FA"/>
    <w:rsid w:val="00773188"/>
    <w:rsid w:val="00783522"/>
    <w:rsid w:val="00783782"/>
    <w:rsid w:val="00784B8C"/>
    <w:rsid w:val="00785994"/>
    <w:rsid w:val="007859B9"/>
    <w:rsid w:val="007879E1"/>
    <w:rsid w:val="007D233A"/>
    <w:rsid w:val="007E1B3A"/>
    <w:rsid w:val="007E57AA"/>
    <w:rsid w:val="007F75E9"/>
    <w:rsid w:val="00801A61"/>
    <w:rsid w:val="00820775"/>
    <w:rsid w:val="00823A11"/>
    <w:rsid w:val="00851A4A"/>
    <w:rsid w:val="0085405E"/>
    <w:rsid w:val="0085414A"/>
    <w:rsid w:val="00856231"/>
    <w:rsid w:val="008578E9"/>
    <w:rsid w:val="00857EB9"/>
    <w:rsid w:val="0086269D"/>
    <w:rsid w:val="00862DD4"/>
    <w:rsid w:val="0086436A"/>
    <w:rsid w:val="0086543A"/>
    <w:rsid w:val="0087093E"/>
    <w:rsid w:val="00871BA1"/>
    <w:rsid w:val="008724E5"/>
    <w:rsid w:val="008765C9"/>
    <w:rsid w:val="0088172F"/>
    <w:rsid w:val="00884A9D"/>
    <w:rsid w:val="0088512B"/>
    <w:rsid w:val="008862CA"/>
    <w:rsid w:val="008911DD"/>
    <w:rsid w:val="00895F5D"/>
    <w:rsid w:val="008A2B2D"/>
    <w:rsid w:val="008A4E1E"/>
    <w:rsid w:val="008A6458"/>
    <w:rsid w:val="008A7AEC"/>
    <w:rsid w:val="008B28E4"/>
    <w:rsid w:val="008B45BD"/>
    <w:rsid w:val="008C296C"/>
    <w:rsid w:val="008D4305"/>
    <w:rsid w:val="008E1A85"/>
    <w:rsid w:val="008E344F"/>
    <w:rsid w:val="008E6F4F"/>
    <w:rsid w:val="008F256E"/>
    <w:rsid w:val="009017EE"/>
    <w:rsid w:val="00907B8E"/>
    <w:rsid w:val="009163A7"/>
    <w:rsid w:val="00916721"/>
    <w:rsid w:val="00916ADD"/>
    <w:rsid w:val="009249AB"/>
    <w:rsid w:val="0093085F"/>
    <w:rsid w:val="009320F0"/>
    <w:rsid w:val="00937D53"/>
    <w:rsid w:val="00946D0B"/>
    <w:rsid w:val="0094766F"/>
    <w:rsid w:val="00955877"/>
    <w:rsid w:val="00962034"/>
    <w:rsid w:val="00976D89"/>
    <w:rsid w:val="00977211"/>
    <w:rsid w:val="009858BB"/>
    <w:rsid w:val="009A18CD"/>
    <w:rsid w:val="009B4202"/>
    <w:rsid w:val="009C6319"/>
    <w:rsid w:val="009D066C"/>
    <w:rsid w:val="009D3023"/>
    <w:rsid w:val="009D5428"/>
    <w:rsid w:val="009D6EE6"/>
    <w:rsid w:val="009E4D70"/>
    <w:rsid w:val="009F1FD3"/>
    <w:rsid w:val="009F7F73"/>
    <w:rsid w:val="00A12558"/>
    <w:rsid w:val="00A13903"/>
    <w:rsid w:val="00A31B7E"/>
    <w:rsid w:val="00A34ED5"/>
    <w:rsid w:val="00A45D32"/>
    <w:rsid w:val="00A45DBF"/>
    <w:rsid w:val="00A67391"/>
    <w:rsid w:val="00A725CF"/>
    <w:rsid w:val="00A73080"/>
    <w:rsid w:val="00A755A2"/>
    <w:rsid w:val="00A75B98"/>
    <w:rsid w:val="00A8111A"/>
    <w:rsid w:val="00A91430"/>
    <w:rsid w:val="00AA590D"/>
    <w:rsid w:val="00AA6660"/>
    <w:rsid w:val="00AB2C36"/>
    <w:rsid w:val="00AB6DDE"/>
    <w:rsid w:val="00AB70B6"/>
    <w:rsid w:val="00AC18C1"/>
    <w:rsid w:val="00AC3549"/>
    <w:rsid w:val="00AC4BF9"/>
    <w:rsid w:val="00AD1A86"/>
    <w:rsid w:val="00AD5C46"/>
    <w:rsid w:val="00AD6C1F"/>
    <w:rsid w:val="00AD72B1"/>
    <w:rsid w:val="00AE103E"/>
    <w:rsid w:val="00AE212F"/>
    <w:rsid w:val="00AE54F3"/>
    <w:rsid w:val="00AF0A07"/>
    <w:rsid w:val="00AF3FF2"/>
    <w:rsid w:val="00AF4107"/>
    <w:rsid w:val="00AF4AEC"/>
    <w:rsid w:val="00AF625E"/>
    <w:rsid w:val="00B05A76"/>
    <w:rsid w:val="00B139BE"/>
    <w:rsid w:val="00B2172B"/>
    <w:rsid w:val="00B23753"/>
    <w:rsid w:val="00B264AB"/>
    <w:rsid w:val="00B30877"/>
    <w:rsid w:val="00B34428"/>
    <w:rsid w:val="00B45A29"/>
    <w:rsid w:val="00B64020"/>
    <w:rsid w:val="00B67733"/>
    <w:rsid w:val="00B726DB"/>
    <w:rsid w:val="00B75825"/>
    <w:rsid w:val="00B917D2"/>
    <w:rsid w:val="00B97EB3"/>
    <w:rsid w:val="00BA241A"/>
    <w:rsid w:val="00BA5F94"/>
    <w:rsid w:val="00BB04AF"/>
    <w:rsid w:val="00BB380D"/>
    <w:rsid w:val="00BB6EEC"/>
    <w:rsid w:val="00BC39DE"/>
    <w:rsid w:val="00BD52C9"/>
    <w:rsid w:val="00BD7CC8"/>
    <w:rsid w:val="00BE6354"/>
    <w:rsid w:val="00C03E96"/>
    <w:rsid w:val="00C04412"/>
    <w:rsid w:val="00C10438"/>
    <w:rsid w:val="00C110E9"/>
    <w:rsid w:val="00C138D1"/>
    <w:rsid w:val="00C1532B"/>
    <w:rsid w:val="00C16B33"/>
    <w:rsid w:val="00C23A97"/>
    <w:rsid w:val="00C3291E"/>
    <w:rsid w:val="00C40823"/>
    <w:rsid w:val="00C42679"/>
    <w:rsid w:val="00C445E5"/>
    <w:rsid w:val="00C45B17"/>
    <w:rsid w:val="00C52EBE"/>
    <w:rsid w:val="00C5776D"/>
    <w:rsid w:val="00C64855"/>
    <w:rsid w:val="00C65C52"/>
    <w:rsid w:val="00C70EA7"/>
    <w:rsid w:val="00C7183C"/>
    <w:rsid w:val="00C7433F"/>
    <w:rsid w:val="00C7516E"/>
    <w:rsid w:val="00C75770"/>
    <w:rsid w:val="00C806FC"/>
    <w:rsid w:val="00C80BB6"/>
    <w:rsid w:val="00C91319"/>
    <w:rsid w:val="00CA56BB"/>
    <w:rsid w:val="00CB0542"/>
    <w:rsid w:val="00CB2DA5"/>
    <w:rsid w:val="00CC1DEF"/>
    <w:rsid w:val="00CC7552"/>
    <w:rsid w:val="00CF02BE"/>
    <w:rsid w:val="00CF1B20"/>
    <w:rsid w:val="00D00B2B"/>
    <w:rsid w:val="00D02258"/>
    <w:rsid w:val="00D072AD"/>
    <w:rsid w:val="00D11BE4"/>
    <w:rsid w:val="00D125B9"/>
    <w:rsid w:val="00D212B2"/>
    <w:rsid w:val="00D24877"/>
    <w:rsid w:val="00D44AC8"/>
    <w:rsid w:val="00D63318"/>
    <w:rsid w:val="00D7105A"/>
    <w:rsid w:val="00D77E42"/>
    <w:rsid w:val="00D8250F"/>
    <w:rsid w:val="00D86BB3"/>
    <w:rsid w:val="00D95C4C"/>
    <w:rsid w:val="00DA327D"/>
    <w:rsid w:val="00DA36ED"/>
    <w:rsid w:val="00DA4358"/>
    <w:rsid w:val="00DB6495"/>
    <w:rsid w:val="00DC1332"/>
    <w:rsid w:val="00DC19A8"/>
    <w:rsid w:val="00DC49CB"/>
    <w:rsid w:val="00DC4ED2"/>
    <w:rsid w:val="00DC683A"/>
    <w:rsid w:val="00DD0801"/>
    <w:rsid w:val="00DE34F1"/>
    <w:rsid w:val="00DE4387"/>
    <w:rsid w:val="00DE4D42"/>
    <w:rsid w:val="00DE6160"/>
    <w:rsid w:val="00DF16EA"/>
    <w:rsid w:val="00DF4942"/>
    <w:rsid w:val="00E01FDF"/>
    <w:rsid w:val="00E134F2"/>
    <w:rsid w:val="00E2125F"/>
    <w:rsid w:val="00E22C10"/>
    <w:rsid w:val="00E244E1"/>
    <w:rsid w:val="00E31740"/>
    <w:rsid w:val="00E33C76"/>
    <w:rsid w:val="00E3435D"/>
    <w:rsid w:val="00E353A5"/>
    <w:rsid w:val="00E4150C"/>
    <w:rsid w:val="00E431A5"/>
    <w:rsid w:val="00E627B1"/>
    <w:rsid w:val="00E63D35"/>
    <w:rsid w:val="00E70169"/>
    <w:rsid w:val="00E8372D"/>
    <w:rsid w:val="00E84279"/>
    <w:rsid w:val="00E9376C"/>
    <w:rsid w:val="00E95AE2"/>
    <w:rsid w:val="00EA121D"/>
    <w:rsid w:val="00EA335E"/>
    <w:rsid w:val="00EA4A9D"/>
    <w:rsid w:val="00EA528C"/>
    <w:rsid w:val="00EA580C"/>
    <w:rsid w:val="00EA7B5E"/>
    <w:rsid w:val="00EB126F"/>
    <w:rsid w:val="00EC099F"/>
    <w:rsid w:val="00EC6F8D"/>
    <w:rsid w:val="00EC7742"/>
    <w:rsid w:val="00ED39B2"/>
    <w:rsid w:val="00ED64D7"/>
    <w:rsid w:val="00ED67F9"/>
    <w:rsid w:val="00EE49F4"/>
    <w:rsid w:val="00EF34E2"/>
    <w:rsid w:val="00F01B97"/>
    <w:rsid w:val="00F03479"/>
    <w:rsid w:val="00F03949"/>
    <w:rsid w:val="00F11D4D"/>
    <w:rsid w:val="00F1417A"/>
    <w:rsid w:val="00F23DCF"/>
    <w:rsid w:val="00F30DC6"/>
    <w:rsid w:val="00F31F96"/>
    <w:rsid w:val="00F32C23"/>
    <w:rsid w:val="00F3313D"/>
    <w:rsid w:val="00F53DE9"/>
    <w:rsid w:val="00F561D6"/>
    <w:rsid w:val="00F568BD"/>
    <w:rsid w:val="00F576CB"/>
    <w:rsid w:val="00F7035D"/>
    <w:rsid w:val="00F70CC5"/>
    <w:rsid w:val="00F71A02"/>
    <w:rsid w:val="00F93852"/>
    <w:rsid w:val="00FA0D63"/>
    <w:rsid w:val="00FA1291"/>
    <w:rsid w:val="00FA4860"/>
    <w:rsid w:val="00FC09D0"/>
    <w:rsid w:val="00FC3C10"/>
    <w:rsid w:val="00FC493A"/>
    <w:rsid w:val="00FD1226"/>
    <w:rsid w:val="00FD243E"/>
    <w:rsid w:val="00FD4BC8"/>
    <w:rsid w:val="00FE3826"/>
    <w:rsid w:val="00FE664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Lienhypertexte">
    <w:name w:val="Hyperlink"/>
    <w:basedOn w:val="Policepardfaut"/>
    <w:uiPriority w:val="99"/>
    <w:unhideWhenUsed/>
    <w:rsid w:val="00FC493A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3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42E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D30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30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D3023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30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3023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C7183C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Policepardfaut"/>
    <w:rsid w:val="00FA4860"/>
  </w:style>
  <w:style w:type="character" w:styleId="lev">
    <w:name w:val="Strong"/>
    <w:basedOn w:val="Policepardfaut"/>
    <w:uiPriority w:val="22"/>
    <w:qFormat/>
    <w:rsid w:val="00F56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2-9.GA-Resolutions-RU.docx" TargetMode="External"/><Relationship Id="rId13" Type="http://schemas.openxmlformats.org/officeDocument/2006/relationships/hyperlink" Target="https://trello.com/b/HVCYR3Rj/ich-20th-anniversary-2023" TargetMode="External"/><Relationship Id="rId18" Type="http://schemas.openxmlformats.org/officeDocument/2006/relationships/hyperlink" Target="https://www.unesco.org/sites/default/files/medias/fichiers/2023/11/UNESCO_CALL_FOR_ACTION_NAPLE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ch.unesco.org/en/decisions/18.COM/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ch.unesco.org/en/anniversary" TargetMode="External"/><Relationship Id="rId17" Type="http://schemas.openxmlformats.org/officeDocument/2006/relationships/hyperlink" Target="https://www.unesco.org/en/culture/naples-conferenc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doc/src/61291-EN.pdf" TargetMode="External"/><Relationship Id="rId20" Type="http://schemas.openxmlformats.org/officeDocument/2006/relationships/hyperlink" Target="https://ich.unesco.org/doc/src/LHE-22-9.GA-Resolutions-RU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download.php?versionID=6982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8.COM/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ch.unesco.org/en/decisions/18.COM/6" TargetMode="External"/><Relationship Id="rId19" Type="http://schemas.openxmlformats.org/officeDocument/2006/relationships/hyperlink" Target="https://unesdoc.unesco.org/ark:/48223/pf0000388394_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doc/src/LHE-23-18.COM-6_EN_Rev.docx" TargetMode="External"/><Relationship Id="rId14" Type="http://schemas.openxmlformats.org/officeDocument/2006/relationships/hyperlink" Target="https://ich.unesco.org/doc/src/LHE-22-9.GA-Resolutions-RU.docx" TargetMode="External"/><Relationship Id="rId22" Type="http://schemas.openxmlformats.org/officeDocument/2006/relationships/hyperlink" Target="https://unesdoc.unesco.org/ark:/48223/pf0000388394_ru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b.pe/institucion/cultura/campa%C3%B1as/40108-foro-internacional-patrimonio-vivo-latinoamericano" TargetMode="External"/><Relationship Id="rId2" Type="http://schemas.openxmlformats.org/officeDocument/2006/relationships/hyperlink" Target="https://www.gob.pe/institucion/cultura/campa%C3%B1as/40108-foro-internacional-patrimonio-vivo-latinoamericano" TargetMode="External"/><Relationship Id="rId1" Type="http://schemas.openxmlformats.org/officeDocument/2006/relationships/hyperlink" Target="https://ich.unesco.org/en/activities/semaine-de-l-amerique-latine-et-des-caraibes-20-ans-de-la-convention-de-2003-patrimoine-vivant-jeunesse-et-peid-00367" TargetMode="External"/><Relationship Id="rId6" Type="http://schemas.openxmlformats.org/officeDocument/2006/relationships/hyperlink" Target="https://www.unesco.org/en/culture/naples-conference" TargetMode="External"/><Relationship Id="rId5" Type="http://schemas.openxmlformats.org/officeDocument/2006/relationships/hyperlink" Target="https://ich.unesco.org/en/events/celebration-of-20th-anniversary-of-the-2003-convention-in-seoul-00974" TargetMode="External"/><Relationship Id="rId4" Type="http://schemas.openxmlformats.org/officeDocument/2006/relationships/hyperlink" Target="https://unesdoc.unesco.org/ark:/48223/pf000038821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26</TotalTime>
  <Pages>5</Pages>
  <Words>2121</Words>
  <Characters>11670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Nakata Glenat, Keiichi Julien</cp:lastModifiedBy>
  <cp:revision>12</cp:revision>
  <cp:lastPrinted>2011-08-06T10:22:00Z</cp:lastPrinted>
  <dcterms:created xsi:type="dcterms:W3CDTF">2024-05-13T09:27:00Z</dcterms:created>
  <dcterms:modified xsi:type="dcterms:W3CDTF">2024-05-13T15:48:00Z</dcterms:modified>
</cp:coreProperties>
</file>