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711044F0" w:rsidR="00EC6F8D" w:rsidRPr="00BB6EEC" w:rsidRDefault="00EC6F8D" w:rsidP="00A54398">
      <w:pPr>
        <w:bidi/>
        <w:spacing w:before="1440"/>
        <w:jc w:val="center"/>
        <w:rPr>
          <w:rFonts w:ascii="Arial" w:hAnsi="Arial" w:cs="Arial"/>
          <w:b/>
          <w:sz w:val="22"/>
          <w:szCs w:val="22"/>
          <w:rtl/>
        </w:rPr>
      </w:pPr>
      <w:r>
        <w:rPr>
          <w:rFonts w:ascii="Arial" w:hAnsi="Arial" w:hint="cs"/>
          <w:b/>
          <w:bCs/>
          <w:sz w:val="22"/>
          <w:szCs w:val="22"/>
          <w:rtl/>
        </w:rPr>
        <w:t>اتفاقية صون التراث الثقافي غير المادي</w:t>
      </w:r>
    </w:p>
    <w:p w14:paraId="3F72B1D3" w14:textId="37133200" w:rsidR="00EC6F8D" w:rsidRPr="00BB6EEC" w:rsidRDefault="005C792B" w:rsidP="00EC6F8D">
      <w:pPr>
        <w:bidi/>
        <w:spacing w:before="1200"/>
        <w:jc w:val="center"/>
        <w:rPr>
          <w:rFonts w:ascii="Arial" w:hAnsi="Arial" w:cs="Arial"/>
          <w:b/>
          <w:sz w:val="22"/>
          <w:szCs w:val="22"/>
          <w:rtl/>
        </w:rPr>
      </w:pPr>
      <w:r>
        <w:rPr>
          <w:rFonts w:ascii="Arial" w:hAnsi="Arial" w:hint="cs"/>
          <w:b/>
          <w:bCs/>
          <w:sz w:val="22"/>
          <w:szCs w:val="22"/>
          <w:rtl/>
        </w:rPr>
        <w:t>الجمعية العامة للدول الأطراف في الاتفاقية</w:t>
      </w:r>
    </w:p>
    <w:p w14:paraId="2E1CD4B4" w14:textId="1F59B9D4" w:rsidR="00EC6F8D" w:rsidRPr="00BB6EEC" w:rsidRDefault="005C792B" w:rsidP="001D14FE">
      <w:pPr>
        <w:bidi/>
        <w:spacing w:before="840"/>
        <w:jc w:val="center"/>
        <w:rPr>
          <w:rFonts w:ascii="Arial" w:hAnsi="Arial" w:cs="Arial"/>
          <w:b/>
          <w:sz w:val="22"/>
          <w:szCs w:val="22"/>
          <w:rtl/>
        </w:rPr>
      </w:pPr>
      <w:r>
        <w:rPr>
          <w:rFonts w:ascii="Arial" w:hAnsi="Arial" w:hint="cs"/>
          <w:b/>
          <w:bCs/>
          <w:sz w:val="22"/>
          <w:szCs w:val="22"/>
          <w:rtl/>
        </w:rPr>
        <w:t>الدورة العاشرة</w:t>
      </w:r>
    </w:p>
    <w:p w14:paraId="1FD89575" w14:textId="14E0BC22" w:rsidR="00B2172B" w:rsidRPr="00BB6EEC" w:rsidRDefault="005C792B" w:rsidP="00B2172B">
      <w:pPr>
        <w:bidi/>
        <w:jc w:val="center"/>
        <w:rPr>
          <w:rFonts w:ascii="Arial" w:hAnsi="Arial" w:cs="Arial"/>
          <w:b/>
          <w:sz w:val="22"/>
          <w:szCs w:val="22"/>
          <w:rtl/>
        </w:rPr>
      </w:pPr>
      <w:r>
        <w:rPr>
          <w:rFonts w:ascii="Arial" w:hAnsi="Arial" w:hint="cs"/>
          <w:b/>
          <w:bCs/>
          <w:sz w:val="22"/>
          <w:szCs w:val="22"/>
          <w:rtl/>
        </w:rPr>
        <w:t xml:space="preserve">مقر اليونسكو، </w:t>
      </w:r>
      <w:r w:rsidR="00A54398" w:rsidRPr="00382BBD">
        <w:rPr>
          <w:rFonts w:ascii="Arial" w:hAnsi="Arial" w:hint="cs"/>
          <w:b/>
          <w:bCs/>
          <w:sz w:val="22"/>
          <w:szCs w:val="22"/>
          <w:rtl/>
        </w:rPr>
        <w:t>القاعة</w:t>
      </w:r>
      <w:r>
        <w:rPr>
          <w:rFonts w:ascii="Arial" w:hAnsi="Arial" w:hint="cs"/>
          <w:b/>
          <w:bCs/>
          <w:sz w:val="22"/>
          <w:szCs w:val="22"/>
          <w:rtl/>
        </w:rPr>
        <w:t xml:space="preserve"> 1</w:t>
      </w:r>
    </w:p>
    <w:p w14:paraId="52EA6D50" w14:textId="0C9E13DC" w:rsidR="00B2172B" w:rsidRPr="00BB6EEC" w:rsidRDefault="0054535F" w:rsidP="00B2172B">
      <w:pPr>
        <w:bidi/>
        <w:jc w:val="center"/>
        <w:rPr>
          <w:rFonts w:ascii="Arial" w:hAnsi="Arial" w:cs="Arial"/>
          <w:b/>
          <w:sz w:val="22"/>
          <w:szCs w:val="22"/>
          <w:rtl/>
        </w:rPr>
      </w:pPr>
      <w:r>
        <w:rPr>
          <w:rFonts w:ascii="Arial" w:hAnsi="Arial" w:hint="cs"/>
          <w:b/>
          <w:bCs/>
          <w:sz w:val="22"/>
          <w:szCs w:val="22"/>
          <w:rtl/>
        </w:rPr>
        <w:t>11 إلى 12 حزيران/يونيو 2024</w:t>
      </w:r>
    </w:p>
    <w:p w14:paraId="0365203A" w14:textId="1DCDADC8" w:rsidR="00EC6F8D" w:rsidRPr="00BB6EEC" w:rsidRDefault="00EC6F8D" w:rsidP="00EC6F8D">
      <w:pPr>
        <w:pStyle w:val="Sansinterligne2"/>
        <w:bidi/>
        <w:spacing w:before="1200"/>
        <w:jc w:val="center"/>
        <w:rPr>
          <w:rFonts w:ascii="Arial" w:hAnsi="Arial" w:cs="Arial"/>
          <w:b/>
          <w:sz w:val="22"/>
          <w:szCs w:val="22"/>
          <w:rtl/>
        </w:rPr>
      </w:pPr>
      <w:r>
        <w:rPr>
          <w:rFonts w:ascii="Arial" w:hAnsi="Arial" w:hint="cs"/>
          <w:b/>
          <w:bCs/>
          <w:sz w:val="22"/>
          <w:szCs w:val="22"/>
          <w:u w:val="single"/>
          <w:rtl/>
        </w:rPr>
        <w:t>البند العاشر من جدول الأعمال المؤقت</w:t>
      </w:r>
      <w:r>
        <w:rPr>
          <w:rFonts w:ascii="Arial" w:hAnsi="Arial" w:hint="cs"/>
          <w:b/>
          <w:bCs/>
          <w:sz w:val="22"/>
          <w:szCs w:val="22"/>
          <w:rtl/>
        </w:rPr>
        <w:t>:</w:t>
      </w:r>
    </w:p>
    <w:p w14:paraId="59920478" w14:textId="0E0E2354" w:rsidR="004A2875" w:rsidRPr="00BB6EEC" w:rsidRDefault="0074517B" w:rsidP="004A2875">
      <w:pPr>
        <w:pStyle w:val="Sansinterligne2"/>
        <w:bidi/>
        <w:spacing w:after="960"/>
        <w:jc w:val="center"/>
        <w:rPr>
          <w:rFonts w:ascii="Arial" w:hAnsi="Arial" w:cs="Arial"/>
          <w:bCs/>
          <w:sz w:val="22"/>
          <w:szCs w:val="22"/>
          <w:rtl/>
        </w:rPr>
      </w:pPr>
      <w:r>
        <w:rPr>
          <w:rFonts w:ascii="Arial" w:hAnsi="Arial" w:hint="cs"/>
          <w:b/>
          <w:bCs/>
          <w:sz w:val="22"/>
          <w:szCs w:val="22"/>
          <w:rtl/>
        </w:rPr>
        <w:t xml:space="preserve">تقرير </w:t>
      </w:r>
      <w:r w:rsidR="00A54398" w:rsidRPr="00D60185">
        <w:rPr>
          <w:rFonts w:ascii="Arial" w:hAnsi="Arial" w:hint="eastAsia"/>
          <w:b/>
          <w:bCs/>
          <w:sz w:val="22"/>
          <w:szCs w:val="22"/>
          <w:rtl/>
        </w:rPr>
        <w:t>عن</w:t>
      </w:r>
      <w:r w:rsidR="00A54398">
        <w:rPr>
          <w:rFonts w:ascii="Arial" w:hAnsi="Arial" w:hint="cs"/>
          <w:b/>
          <w:bCs/>
          <w:sz w:val="22"/>
          <w:szCs w:val="22"/>
          <w:rtl/>
        </w:rPr>
        <w:t xml:space="preserve"> </w:t>
      </w:r>
      <w:r>
        <w:rPr>
          <w:rFonts w:ascii="Arial" w:hAnsi="Arial" w:hint="cs"/>
          <w:b/>
          <w:bCs/>
          <w:sz w:val="22"/>
          <w:szCs w:val="22"/>
          <w:rtl/>
        </w:rPr>
        <w:t>الذكرى العشرين لاتفاقية عام 2003 في عام 2023</w:t>
      </w:r>
    </w:p>
    <w:tbl>
      <w:tblPr>
        <w:bidiVisual/>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4517B" w14:paraId="75AC6221" w14:textId="77777777" w:rsidTr="00EC6F8D">
        <w:trPr>
          <w:jc w:val="center"/>
        </w:trPr>
        <w:tc>
          <w:tcPr>
            <w:tcW w:w="5670" w:type="dxa"/>
            <w:vAlign w:val="center"/>
          </w:tcPr>
          <w:p w14:paraId="51C260A9" w14:textId="77777777" w:rsidR="00EC6F8D" w:rsidRPr="00BB6EEC" w:rsidRDefault="00EC6F8D" w:rsidP="00CA56BB">
            <w:pPr>
              <w:pStyle w:val="Sansinterligne1"/>
              <w:bidi/>
              <w:spacing w:before="200" w:after="200"/>
              <w:jc w:val="center"/>
              <w:rPr>
                <w:rFonts w:ascii="Arial" w:hAnsi="Arial" w:cs="Arial"/>
                <w:b/>
                <w:sz w:val="22"/>
                <w:szCs w:val="22"/>
                <w:rtl/>
              </w:rPr>
            </w:pPr>
            <w:r>
              <w:rPr>
                <w:rFonts w:ascii="Arial" w:hAnsi="Arial" w:hint="cs"/>
                <w:b/>
                <w:bCs/>
                <w:sz w:val="22"/>
                <w:szCs w:val="22"/>
                <w:rtl/>
              </w:rPr>
              <w:t>الملخص</w:t>
            </w:r>
          </w:p>
          <w:p w14:paraId="2A83DD17" w14:textId="47B1FA63" w:rsidR="00B67733" w:rsidRPr="002166A6" w:rsidRDefault="00B67733" w:rsidP="00B67733">
            <w:pPr>
              <w:pStyle w:val="Sansinterligne1"/>
              <w:bidi/>
              <w:jc w:val="both"/>
              <w:rPr>
                <w:rFonts w:ascii="Arial" w:hAnsi="Arial" w:cs="Arial"/>
                <w:bCs/>
                <w:sz w:val="22"/>
                <w:szCs w:val="22"/>
                <w:rtl/>
              </w:rPr>
            </w:pPr>
            <w:r>
              <w:rPr>
                <w:rFonts w:ascii="Arial" w:hAnsi="Arial" w:hint="cs"/>
                <w:sz w:val="22"/>
                <w:szCs w:val="22"/>
                <w:rtl/>
              </w:rPr>
              <w:t>يصادف عام 2023 الذكرى السنوية العشرين لاتفاقية عام 2003. وتتناول هذه الوثيقة الأنشطة والفعاليات الرئيسية التي تم الاضطلاع بها للاحتفال بهذه الذكرى.</w:t>
            </w:r>
          </w:p>
          <w:p w14:paraId="290310E8" w14:textId="12EC2A7F" w:rsidR="00EC6F8D" w:rsidRPr="00BB6EEC" w:rsidRDefault="00EC6F8D" w:rsidP="00CA56BB">
            <w:pPr>
              <w:pStyle w:val="Sansinterligne2"/>
              <w:bidi/>
              <w:spacing w:before="200" w:after="200"/>
              <w:jc w:val="both"/>
              <w:rPr>
                <w:rFonts w:ascii="Arial" w:hAnsi="Arial" w:cs="Arial"/>
                <w:b/>
                <w:sz w:val="22"/>
                <w:szCs w:val="22"/>
                <w:rtl/>
              </w:rPr>
            </w:pPr>
            <w:r>
              <w:rPr>
                <w:rFonts w:ascii="Arial" w:hAnsi="Arial" w:hint="cs"/>
                <w:b/>
                <w:bCs/>
                <w:sz w:val="22"/>
                <w:szCs w:val="22"/>
                <w:rtl/>
              </w:rPr>
              <w:t xml:space="preserve">القرار المطلوب: </w:t>
            </w:r>
            <w:r>
              <w:rPr>
                <w:rFonts w:ascii="Arial" w:hAnsi="Arial" w:hint="cs"/>
                <w:sz w:val="22"/>
                <w:szCs w:val="22"/>
                <w:rtl/>
              </w:rPr>
              <w:t>الفقرة 12</w:t>
            </w:r>
          </w:p>
        </w:tc>
      </w:tr>
    </w:tbl>
    <w:p w14:paraId="713D819F" w14:textId="77777777" w:rsidR="004A2875" w:rsidRPr="00BB6EEC" w:rsidRDefault="00655736" w:rsidP="004A2875">
      <w:pPr>
        <w:pStyle w:val="Paragraphedeliste"/>
        <w:keepLines/>
        <w:numPr>
          <w:ilvl w:val="0"/>
          <w:numId w:val="13"/>
        </w:numPr>
        <w:bidi/>
        <w:spacing w:after="240"/>
        <w:ind w:left="567" w:hanging="567"/>
        <w:contextualSpacing w:val="0"/>
        <w:rPr>
          <w:rFonts w:ascii="Arial" w:hAnsi="Arial" w:cs="Arial"/>
          <w:b/>
          <w:snapToGrid w:val="0"/>
          <w:sz w:val="22"/>
          <w:szCs w:val="22"/>
          <w:rtl/>
        </w:rPr>
      </w:pPr>
      <w:r>
        <w:rPr>
          <w:rFonts w:hint="cs"/>
          <w:rtl/>
        </w:rPr>
        <w:br w:type="page"/>
      </w:r>
    </w:p>
    <w:p w14:paraId="6C62585F" w14:textId="0C24DA20" w:rsidR="00F70CC5" w:rsidRPr="00BB6EEC" w:rsidRDefault="00FD4BC8" w:rsidP="00F70CC5">
      <w:pPr>
        <w:pStyle w:val="COMPara"/>
        <w:numPr>
          <w:ilvl w:val="0"/>
          <w:numId w:val="0"/>
        </w:numPr>
        <w:bidi/>
        <w:spacing w:before="240"/>
        <w:jc w:val="both"/>
        <w:rPr>
          <w:b/>
          <w:bCs/>
          <w:rtl/>
        </w:rPr>
      </w:pPr>
      <w:bookmarkStart w:id="0" w:name="_Hlk124351255"/>
      <w:r>
        <w:rPr>
          <w:rFonts w:hint="cs"/>
          <w:b/>
          <w:bCs/>
          <w:rtl/>
        </w:rPr>
        <w:lastRenderedPageBreak/>
        <w:t>ال</w:t>
      </w:r>
      <w:r w:rsidR="00A54398" w:rsidRPr="00D60185">
        <w:rPr>
          <w:rFonts w:hint="eastAsia"/>
          <w:b/>
          <w:bCs/>
          <w:rtl/>
        </w:rPr>
        <w:t>خلفية</w:t>
      </w:r>
      <w:r w:rsidR="00A54398" w:rsidDel="00A54398">
        <w:rPr>
          <w:rFonts w:hint="cs"/>
          <w:b/>
          <w:bCs/>
          <w:rtl/>
        </w:rPr>
        <w:t xml:space="preserve"> </w:t>
      </w:r>
    </w:p>
    <w:bookmarkEnd w:id="0"/>
    <w:p w14:paraId="1127A551" w14:textId="5C937486" w:rsidR="00B67733" w:rsidRPr="00FC502D" w:rsidRDefault="00B67733" w:rsidP="00B67733">
      <w:pPr>
        <w:pStyle w:val="COMPara"/>
        <w:bidi/>
        <w:ind w:left="567" w:hanging="567"/>
        <w:jc w:val="both"/>
        <w:rPr>
          <w:rtl/>
        </w:rPr>
      </w:pPr>
      <w:r>
        <w:rPr>
          <w:rFonts w:hint="cs"/>
          <w:rtl/>
        </w:rPr>
        <w:t xml:space="preserve">يصادف عام 2023 الذكرى السنوية العشرين للاتفاقية التي اعتمدتها الدورة الثانية والثلاثون للمؤتمر العام لليونسكو في 17 تشرين الأول/أكتوبر 2003. خلال عشرين عاماً من تنفيذ الاتفاقية، فقد حققت توسعاً كبيراً في مفهوم التراث الثقافي وحققت أحد أهدافها الرئيسية المتمثل في زيادة الوعي بأهمية صون التراث الثقافي غير المادي، وزيادة ظهوره على جميع المستويات، ووضع </w:t>
      </w:r>
      <w:r w:rsidR="00975DC6">
        <w:rPr>
          <w:rFonts w:ascii="YakoutLinotypeLight-Regular" w:eastAsia="SimSun" w:hAnsi="Calibri" w:cs="YakoutLinotypeLight-Regular" w:hint="cs"/>
          <w:rtl/>
          <w:lang w:bidi="ar-SA"/>
        </w:rPr>
        <w:t>الجماعات</w:t>
      </w:r>
      <w:r w:rsidR="00975DC6" w:rsidDel="00975DC6">
        <w:rPr>
          <w:rFonts w:hint="cs"/>
          <w:rtl/>
        </w:rPr>
        <w:t xml:space="preserve"> </w:t>
      </w:r>
      <w:r>
        <w:rPr>
          <w:rFonts w:hint="cs"/>
          <w:rtl/>
        </w:rPr>
        <w:t xml:space="preserve">المحلية في قلب جهود الصون. وفي حين لم يقم سوى عدد قليل من البلدان قبل عشرين عاماً بدمج التراث الحي في سياساتها، أصبحت الاتفاقية اليوم مرجعاً رئيسياً في إنشاء المؤسسات وتنفيذ السياسات والقوانين العامة، كما يتضح من التقارير الدورية. </w:t>
      </w:r>
      <w:r>
        <w:rPr>
          <w:rFonts w:hint="cs"/>
          <w:color w:val="000000"/>
          <w:shd w:val="clear" w:color="auto" w:fill="FFFFFF"/>
          <w:rtl/>
        </w:rPr>
        <w:t>على الرغم من كونها واحدة من أحدث اتفاقيات اليونسكو في مجال الثقافة، فقد شهدت معدل تصديق سريع على نحو استثنائي، حيث بلغ عدد الدول الأطراف فيها 183 دولة حتى الآن، ما يقربها من بلوغ الإجماع العالمي.</w:t>
      </w:r>
    </w:p>
    <w:p w14:paraId="38FDD4F1" w14:textId="3AB46E78" w:rsidR="00B67733" w:rsidRPr="00FC502D" w:rsidRDefault="00DC683A" w:rsidP="00B67733">
      <w:pPr>
        <w:pStyle w:val="COMPara"/>
        <w:bidi/>
        <w:ind w:left="567" w:hanging="567"/>
        <w:jc w:val="both"/>
        <w:rPr>
          <w:color w:val="000000"/>
          <w:shd w:val="clear" w:color="auto" w:fill="FFFFFF"/>
          <w:rtl/>
        </w:rPr>
      </w:pPr>
      <w:r>
        <w:rPr>
          <w:rFonts w:hint="cs"/>
          <w:color w:val="000000"/>
          <w:shd w:val="clear" w:color="auto" w:fill="FFFFFF"/>
          <w:rtl/>
        </w:rPr>
        <w:t xml:space="preserve">بعد التشجيعات التي قدمتها الدورة التاسعة للجمعية </w:t>
      </w:r>
      <w:r w:rsidR="00975DC6" w:rsidRPr="00D60185">
        <w:rPr>
          <w:rFonts w:hint="eastAsia"/>
          <w:color w:val="000000"/>
          <w:shd w:val="clear" w:color="auto" w:fill="FFFFFF"/>
          <w:rtl/>
        </w:rPr>
        <w:t>العامة</w:t>
      </w:r>
      <w:r w:rsidR="00975DC6" w:rsidDel="00975DC6">
        <w:rPr>
          <w:rFonts w:hint="cs"/>
          <w:color w:val="000000"/>
          <w:shd w:val="clear" w:color="auto" w:fill="FFFFFF"/>
          <w:rtl/>
        </w:rPr>
        <w:t xml:space="preserve"> </w:t>
      </w:r>
      <w:r>
        <w:rPr>
          <w:rFonts w:hint="cs"/>
          <w:color w:val="000000"/>
          <w:shd w:val="clear" w:color="auto" w:fill="FFFFFF"/>
          <w:rtl/>
        </w:rPr>
        <w:t>في تموز/يوليو 2022</w:t>
      </w:r>
      <w:r>
        <w:rPr>
          <w:rFonts w:hint="cs"/>
          <w:rtl/>
        </w:rPr>
        <w:t xml:space="preserve"> (المقرر </w:t>
      </w:r>
      <w:hyperlink r:id="rId8" w:history="1">
        <w:r>
          <w:rPr>
            <w:rStyle w:val="Lienhypertexte"/>
          </w:rPr>
          <w:t>‎9.GA 13</w:t>
        </w:r>
      </w:hyperlink>
      <w:r>
        <w:rPr>
          <w:rFonts w:hint="cs"/>
          <w:rtl/>
        </w:rPr>
        <w:t>) ف</w:t>
      </w:r>
      <w:r>
        <w:rPr>
          <w:rFonts w:hint="cs"/>
          <w:color w:val="000000"/>
          <w:shd w:val="clear" w:color="auto" w:fill="FFFFFF"/>
          <w:rtl/>
        </w:rPr>
        <w:t xml:space="preserve">قد أتاح الاحتفال فرصة مهمة لأطراف المعنية للقيام بما يلي: (أ) تقييم تأثيرات الاتفاقية على مدى السنوات العشرين الماضية، و(ب) تعزيز الوعي العام بأهمية صون التراث الحي، و(جـ) التفكير في الاتجاهات المستقبلية التي ينبغي للاتفاقية أن تسلكها في العقود القادمة. كما تتناول هذه الوثيقة الأنشطة والفعاليات الرئيسية التي تم الاضطلاع بها للاحتفال بهذه الذكرى، بناءً على التقرير المقدم إلى الدورة الثامنة عشرة للجنة في ديسمبر/كانون الأول 2023 (الوثيقة </w:t>
      </w:r>
      <w:hyperlink r:id="rId9" w:history="1">
        <w:r>
          <w:rPr>
            <w:rStyle w:val="Lienhypertexte"/>
            <w:shd w:val="clear" w:color="auto" w:fill="FFFFFF"/>
          </w:rPr>
          <w:t>LHE/23/18.COM/6 Rev</w:t>
        </w:r>
      </w:hyperlink>
      <w:r>
        <w:rPr>
          <w:rStyle w:val="Lienhypertexte"/>
          <w:shd w:val="clear" w:color="auto" w:fill="FFFFFF"/>
        </w:rPr>
        <w:t>.‎</w:t>
      </w:r>
      <w:r>
        <w:rPr>
          <w:rFonts w:hint="cs"/>
          <w:color w:val="000000"/>
          <w:shd w:val="clear" w:color="auto" w:fill="FFFFFF"/>
          <w:rtl/>
        </w:rPr>
        <w:t xml:space="preserve"> والقرار </w:t>
      </w:r>
      <w:hyperlink r:id="rId10" w:history="1">
        <w:r>
          <w:rPr>
            <w:rStyle w:val="Lienhypertexte"/>
            <w:shd w:val="clear" w:color="auto" w:fill="FFFFFF"/>
          </w:rPr>
          <w:t>‎</w:t>
        </w:r>
        <w:r w:rsidR="00975DC6" w:rsidRPr="00D60185">
          <w:rPr>
            <w:rStyle w:val="Lienhypertexte"/>
            <w:color w:val="auto"/>
            <w:u w:val="none"/>
            <w:shd w:val="clear" w:color="auto" w:fill="FFFFFF"/>
          </w:rPr>
          <w:t>.</w:t>
        </w:r>
        <w:r w:rsidR="00975DC6" w:rsidRPr="00A11DDE">
          <w:rPr>
            <w:rStyle w:val="Lienhypertexte"/>
            <w:color w:val="auto"/>
            <w:u w:val="none"/>
            <w:shd w:val="clear" w:color="auto" w:fill="FFFFFF"/>
          </w:rPr>
          <w:t>(</w:t>
        </w:r>
        <w:r>
          <w:rPr>
            <w:rStyle w:val="Lienhypertexte"/>
            <w:shd w:val="clear" w:color="auto" w:fill="FFFFFF"/>
          </w:rPr>
          <w:t>18.COM 6</w:t>
        </w:r>
      </w:hyperlink>
    </w:p>
    <w:p w14:paraId="123B6521" w14:textId="154F8ECE" w:rsidR="00F70CC5" w:rsidRPr="00BB6EEC" w:rsidRDefault="00546F2F" w:rsidP="006F59C9">
      <w:pPr>
        <w:pStyle w:val="COMPara"/>
        <w:numPr>
          <w:ilvl w:val="0"/>
          <w:numId w:val="21"/>
        </w:numPr>
        <w:bidi/>
        <w:spacing w:before="240"/>
        <w:ind w:left="567" w:hanging="567"/>
        <w:jc w:val="both"/>
        <w:rPr>
          <w:b/>
          <w:bCs/>
          <w:rtl/>
        </w:rPr>
      </w:pPr>
      <w:r>
        <w:rPr>
          <w:rFonts w:hint="cs"/>
          <w:b/>
          <w:bCs/>
          <w:rtl/>
        </w:rPr>
        <w:t>الحملة العالمية</w:t>
      </w:r>
    </w:p>
    <w:p w14:paraId="72859D87" w14:textId="3ECCC240" w:rsidR="00546F2F" w:rsidRDefault="00546F2F" w:rsidP="00546F2F">
      <w:pPr>
        <w:pStyle w:val="COMPara"/>
        <w:bidi/>
        <w:ind w:left="567" w:hanging="567"/>
        <w:jc w:val="both"/>
        <w:rPr>
          <w:rtl/>
        </w:rPr>
      </w:pPr>
      <w:r>
        <w:rPr>
          <w:rFonts w:hint="cs"/>
          <w:rtl/>
        </w:rPr>
        <w:t>تم تنظيم حملة بمناسبة الذكرى العشرين تحت شعار "</w:t>
      </w:r>
      <w:r>
        <w:t>We are #LivingHeritage</w:t>
      </w:r>
      <w:r w:rsidR="00975DC6">
        <w:rPr>
          <w:rFonts w:hint="cs"/>
          <w:rtl/>
        </w:rPr>
        <w:t xml:space="preserve">" </w:t>
      </w:r>
      <w:r>
        <w:rPr>
          <w:rFonts w:hint="cs"/>
          <w:rtl/>
        </w:rPr>
        <w:t xml:space="preserve">(نحن التراث الحي)، رافقتها فقرة تضمنت </w:t>
      </w:r>
      <w:hyperlink r:id="rId11" w:history="1">
        <w:r>
          <w:rPr>
            <w:rStyle w:val="Lienhypertexte"/>
            <w:rFonts w:hint="cs"/>
            <w:rtl/>
          </w:rPr>
          <w:t>مقطع فيديو موضوعياً</w:t>
        </w:r>
      </w:hyperlink>
      <w:r>
        <w:rPr>
          <w:rFonts w:hint="cs"/>
          <w:rtl/>
        </w:rPr>
        <w:t xml:space="preserve"> يحمل نفس العنوان. كما تم تأسيس </w:t>
      </w:r>
      <w:hyperlink r:id="rId12" w:history="1">
        <w:r>
          <w:rPr>
            <w:rStyle w:val="Lienhypertexte"/>
            <w:rFonts w:hint="cs"/>
            <w:rtl/>
          </w:rPr>
          <w:t>صفحة شبكية مخصصة</w:t>
        </w:r>
      </w:hyperlink>
      <w:r>
        <w:rPr>
          <w:rFonts w:hint="cs"/>
          <w:rtl/>
        </w:rPr>
        <w:t xml:space="preserve"> لتقديم معلومات عن الفعاليات الرئيسية التي جرت خلال الذكرى السنوية. وتضمنت الصفحة الشبكية جدولاً زمنياً شاملاً للاتفاقية، يعرض بالتفصيل المعالم الهامة في تاريخها. كما استضافت الصفحة الشبكية أيضًا </w:t>
      </w:r>
      <w:hyperlink r:id="rId13" w:history="1">
        <w:r>
          <w:rPr>
            <w:rStyle w:val="Lienhypertexte"/>
            <w:rFonts w:hint="cs"/>
            <w:rtl/>
          </w:rPr>
          <w:t>مجموعة من قوالب الوسائط الاجتماعية</w:t>
        </w:r>
      </w:hyperlink>
      <w:r>
        <w:rPr>
          <w:rFonts w:hint="cs"/>
          <w:rtl/>
        </w:rPr>
        <w:t xml:space="preserve"> والتي يمكن تنزيلها </w:t>
      </w:r>
      <w:r w:rsidR="00975DC6">
        <w:rPr>
          <w:rFonts w:hint="cs"/>
          <w:rtl/>
        </w:rPr>
        <w:t xml:space="preserve">من قبل الأطراف المعنية </w:t>
      </w:r>
      <w:r>
        <w:rPr>
          <w:rFonts w:hint="cs"/>
          <w:rtl/>
        </w:rPr>
        <w:t>مباشرة من الموقع الشبكي.</w:t>
      </w:r>
    </w:p>
    <w:p w14:paraId="6D8C89D6" w14:textId="77777777" w:rsidR="00546F2F" w:rsidRPr="001F72AE" w:rsidRDefault="00546F2F" w:rsidP="00546F2F">
      <w:pPr>
        <w:pStyle w:val="COMPara"/>
        <w:numPr>
          <w:ilvl w:val="0"/>
          <w:numId w:val="0"/>
        </w:numPr>
        <w:bidi/>
        <w:ind w:firstLine="567"/>
        <w:jc w:val="both"/>
        <w:rPr>
          <w:u w:val="single"/>
          <w:rtl/>
        </w:rPr>
      </w:pPr>
      <w:r>
        <w:rPr>
          <w:rFonts w:hint="cs"/>
          <w:u w:val="single"/>
          <w:rtl/>
        </w:rPr>
        <w:t>مبادرات وسائل التواصل الاجتماعي</w:t>
      </w:r>
    </w:p>
    <w:p w14:paraId="4390C7CF" w14:textId="49F5CA7C" w:rsidR="00546F2F" w:rsidRDefault="00546F2F" w:rsidP="00546F2F">
      <w:pPr>
        <w:pStyle w:val="COMPara"/>
        <w:bidi/>
        <w:ind w:left="567" w:hanging="567"/>
        <w:jc w:val="both"/>
        <w:rPr>
          <w:rtl/>
        </w:rPr>
      </w:pPr>
      <w:r>
        <w:rPr>
          <w:rFonts w:hint="cs"/>
          <w:rtl/>
        </w:rPr>
        <w:t>نظمت اليونسكو حملة على وسائل التواصل الاجتماعي على مدار العام لدعم الاحتفالات بالذكرى السنوية. وعلى وجه الخصوص، عرضت الحملة تجارب منتقاة لصون التراث وعناصر التراث الثقافي غير المادي المدرجة في قوائم الاتفاقية.</w:t>
      </w:r>
      <w:bookmarkStart w:id="1" w:name="_Hlk145413233"/>
      <w:r>
        <w:rPr>
          <w:rFonts w:hint="cs"/>
          <w:rtl/>
        </w:rPr>
        <w:t xml:space="preserve"> وقامت مبادرة "شارك بصوتك!" على سبيل المثال بتشجيع المشاركة النشطة لروادها وللمشتغلين بها باستخدام الشعار </w:t>
      </w:r>
      <w:proofErr w:type="spellStart"/>
      <w:r>
        <w:rPr>
          <w:rFonts w:hint="cs"/>
          <w:rtl/>
        </w:rPr>
        <w:t>والهاشتاغ</w:t>
      </w:r>
      <w:proofErr w:type="spellEnd"/>
      <w:r>
        <w:rPr>
          <w:rFonts w:hint="cs"/>
          <w:rtl/>
        </w:rPr>
        <w:t xml:space="preserve"> </w:t>
      </w:r>
      <w:r>
        <w:t>‎#</w:t>
      </w:r>
      <w:proofErr w:type="spellStart"/>
      <w:r>
        <w:t>SharingHumanity</w:t>
      </w:r>
      <w:proofErr w:type="spellEnd"/>
      <w:r>
        <w:rPr>
          <w:rFonts w:hint="cs"/>
          <w:rtl/>
        </w:rPr>
        <w:t xml:space="preserve"> (مشاركة الإنسانية)، في حين </w:t>
      </w:r>
      <w:bookmarkEnd w:id="1"/>
      <w:r>
        <w:rPr>
          <w:rFonts w:hint="cs"/>
          <w:rtl/>
        </w:rPr>
        <w:t xml:space="preserve">حملت العديد من رسائل الحملة الشعار العام </w:t>
      </w:r>
      <w:r>
        <w:t>‎#</w:t>
      </w:r>
      <w:proofErr w:type="spellStart"/>
      <w:r>
        <w:t>LivingHeritage</w:t>
      </w:r>
      <w:proofErr w:type="spellEnd"/>
      <w:r>
        <w:rPr>
          <w:rFonts w:hint="cs"/>
          <w:rtl/>
        </w:rPr>
        <w:t xml:space="preserve"> (التراث الحي). يتضمن تقرير المقاييس الرئيسية ما يلي: 697 مشاركة، كما تم الوصول إلى 20.9 مليون شخص (30.2% منهم تتراوح أعمارهم بين 18-24 عاماً و46.3% تتراوح أعمارهم بين 25-34 عاماً بناءً على البيانات الاجتماعية والديموغرافية التي تم جمعها بين آذار/مارس وكانون الثاني/ديسمبر 2023)، كما حققت 13,464,168 مشاهدة فيديو تراكمية. برز انستاغرام باعتباره المنصة الأساسية الأفضل أداءً، إذ توفر أعلى مستوى من الوصول إلى الجمهور والمشاركة. ومن خلال التركيز على رواية القصص المرئية والاستخدام الاستراتيجي لوسوم اللغة، تم تصميم المحتوى وتكييفه مع حسابات اللغة المعنية.</w:t>
      </w:r>
    </w:p>
    <w:p w14:paraId="663F4CD6" w14:textId="3CC74465" w:rsidR="00546F2F" w:rsidRPr="00B3028A" w:rsidRDefault="00546F2F" w:rsidP="00546F2F">
      <w:pPr>
        <w:pStyle w:val="COMPara"/>
        <w:keepNext/>
        <w:numPr>
          <w:ilvl w:val="0"/>
          <w:numId w:val="0"/>
        </w:numPr>
        <w:bidi/>
        <w:ind w:firstLine="567"/>
        <w:jc w:val="both"/>
        <w:rPr>
          <w:u w:val="single"/>
          <w:rtl/>
        </w:rPr>
      </w:pPr>
      <w:r>
        <w:rPr>
          <w:rFonts w:hint="cs"/>
          <w:u w:val="single"/>
          <w:rtl/>
        </w:rPr>
        <w:t>الأنشطة في جميع أنحاء العالم وفي اليونسكو</w:t>
      </w:r>
    </w:p>
    <w:p w14:paraId="25739F43" w14:textId="384B25D1" w:rsidR="00546F2F" w:rsidRDefault="00546F2F" w:rsidP="00DA327D">
      <w:pPr>
        <w:pStyle w:val="COMPara"/>
        <w:bidi/>
        <w:ind w:left="567" w:hanging="567"/>
        <w:jc w:val="both"/>
        <w:rPr>
          <w:rtl/>
        </w:rPr>
      </w:pPr>
      <w:r>
        <w:rPr>
          <w:rFonts w:hint="cs"/>
          <w:rtl/>
        </w:rPr>
        <w:t>تماشياً مع التشجيعات التي قدمتها الدورة التاسعة للجمعية العامة في تموز/يوليو 2022 (</w:t>
      </w:r>
      <w:r w:rsidR="00975DC6">
        <w:rPr>
          <w:rFonts w:hint="cs"/>
          <w:color w:val="000000"/>
          <w:shd w:val="clear" w:color="auto" w:fill="FFFFFF"/>
          <w:rtl/>
        </w:rPr>
        <w:t>القرار</w:t>
      </w:r>
      <w:r>
        <w:rPr>
          <w:rFonts w:hint="cs"/>
          <w:rtl/>
        </w:rPr>
        <w:t xml:space="preserve"> </w:t>
      </w:r>
      <w:hyperlink r:id="rId14" w:history="1">
        <w:r w:rsidR="00975DC6">
          <w:rPr>
            <w:rStyle w:val="Lienhypertexte"/>
          </w:rPr>
          <w:t>9.</w:t>
        </w:r>
        <w:r>
          <w:rPr>
            <w:rStyle w:val="Lienhypertexte"/>
          </w:rPr>
          <w:t>GA 13</w:t>
        </w:r>
      </w:hyperlink>
      <w:r>
        <w:rPr>
          <w:rFonts w:hint="cs"/>
          <w:rtl/>
        </w:rPr>
        <w:t>)، نظمت الأطراف المعنية في الاتفاقية في جميع أنحاء العالم سلسلة من الفعاليات للاحتفال بالذكرى السنوية. وتم عرض هذه الاحتفالات من خلال الصفحة الشبكية المخصصة للاتفاقية المذكورة أعلاه. وقد تم توفير شعار الذكرى السنوية العشرين، الذي يتضمن النص "دعماً للذكرى العشرين لاتفاقية عام 2003"، وتم تطويعه باللغات المطلوبة لدعم هذه المبادرات.</w:t>
      </w:r>
    </w:p>
    <w:p w14:paraId="206AD518" w14:textId="77777777" w:rsidR="00D212B2" w:rsidRDefault="00C3291E" w:rsidP="006F59C9">
      <w:pPr>
        <w:pStyle w:val="COMPara"/>
        <w:numPr>
          <w:ilvl w:val="0"/>
          <w:numId w:val="53"/>
        </w:numPr>
        <w:bidi/>
        <w:ind w:left="1134" w:hanging="567"/>
        <w:jc w:val="both"/>
        <w:rPr>
          <w:rtl/>
        </w:rPr>
      </w:pPr>
      <w:r>
        <w:rPr>
          <w:rFonts w:hint="cs"/>
          <w:rtl/>
        </w:rPr>
        <w:t xml:space="preserve">يتم عرض ما مجموعه 179 فعالية على الصفحة الشبكية، موزعة حسب المنطقة على النحو التالي: المجموعة الانتخابية الأولى: 73 عنصراً؛ المجموعة الانتخابية الثانية: 54 عنصراً؛ المجموعة الانتخابية الثالثة: 13 عنصراً؛ المجموعة الانتخابية الرابعة: 27 عنصراً؛ المجموعة الانتخابية الخامسة (أ): 4 عناصر؛ المجموعة الانتخابية الخامسة (ب): 4 عناصر؛ مناطق متعددة: 4 عناصر. وخرجت غالبية الفعاليات المنظمة في صورة مؤتمرات (27%) ومهرجانات (21%)، تليها المعارض (8%)، وحلقات العمل (6%)، وأنواع أخرى من الأنشطة (35%)، مثل إطلاق المنشورات (3%). </w:t>
      </w:r>
    </w:p>
    <w:p w14:paraId="6A05577E" w14:textId="2BF99235" w:rsidR="00AD72B1" w:rsidRDefault="00AD72B1" w:rsidP="006F59C9">
      <w:pPr>
        <w:pStyle w:val="COMPara"/>
        <w:numPr>
          <w:ilvl w:val="0"/>
          <w:numId w:val="53"/>
        </w:numPr>
        <w:bidi/>
        <w:ind w:left="1134" w:hanging="567"/>
        <w:jc w:val="both"/>
        <w:rPr>
          <w:rtl/>
        </w:rPr>
      </w:pPr>
      <w:r>
        <w:rPr>
          <w:rFonts w:hint="cs"/>
          <w:rtl/>
        </w:rPr>
        <w:t>وتم تنظيم 44% من الفعاليات من قبل مؤسسات عامة، مثل وزارات الثقافة، أو المراكز الثقافية الوطنية، أو أنواع أخرى من المؤسسات الوطنية أو الإقليمية. وفي الوقت نفسه، كانت مشاركة الجامعات أو المؤسسات التعليمية الأخرى (5%) والمنظمات غير الحكومية (24%) جديرة بالملاحظة أيضاً.</w:t>
      </w:r>
    </w:p>
    <w:p w14:paraId="322E46BC" w14:textId="41236F90" w:rsidR="00DA327D" w:rsidRDefault="00783522" w:rsidP="00D212B2">
      <w:pPr>
        <w:pStyle w:val="COMPara"/>
        <w:numPr>
          <w:ilvl w:val="0"/>
          <w:numId w:val="53"/>
        </w:numPr>
        <w:bidi/>
        <w:ind w:left="1134" w:hanging="567"/>
        <w:jc w:val="both"/>
        <w:rPr>
          <w:rtl/>
        </w:rPr>
      </w:pPr>
      <w:r>
        <w:rPr>
          <w:rFonts w:hint="cs"/>
          <w:rtl/>
        </w:rPr>
        <w:t>وقد جرت بعض فعاليات الذكرى السنوية على المستوى الإقليمي. ومن بين الأمثلة على ذلك سلسلة المبادرات التي تم اتخاذها بين الأطراف المعنية من أمريكا اللاتينية ومنطقة البحر الكاريبي والتي تضمنت عقد مؤتمر</w:t>
      </w:r>
      <w:r w:rsidR="00F561D6">
        <w:rPr>
          <w:rStyle w:val="Appelnotedebasdep"/>
        </w:rPr>
        <w:footnoteReference w:id="1"/>
      </w:r>
      <w:r>
        <w:rPr>
          <w:rFonts w:hint="cs"/>
          <w:rtl/>
        </w:rPr>
        <w:t xml:space="preserve"> في مقر اليونسكو، واجتماعاً</w:t>
      </w:r>
      <w:r w:rsidR="00916721">
        <w:rPr>
          <w:rStyle w:val="Appelnotedebasdep"/>
        </w:rPr>
        <w:footnoteReference w:id="2"/>
      </w:r>
      <w:r>
        <w:rPr>
          <w:rFonts w:hint="cs"/>
          <w:rtl/>
        </w:rPr>
        <w:t xml:space="preserve"> </w:t>
      </w:r>
      <w:r>
        <w:rPr>
          <w:rFonts w:hint="cs"/>
          <w:rtl/>
        </w:rPr>
        <w:lastRenderedPageBreak/>
        <w:t xml:space="preserve">للخبراء جرى تنظيمه في البيرو بالتعاون مع المركز الإقليمي لصون التراث الثقافي غير المادي في أمريكا اللاتينية (كريسبيال) المصنّف ضمن الفئة </w:t>
      </w:r>
      <w:proofErr w:type="gramStart"/>
      <w:r>
        <w:rPr>
          <w:rFonts w:hint="cs"/>
          <w:rtl/>
        </w:rPr>
        <w:t>الثانية ،</w:t>
      </w:r>
      <w:proofErr w:type="gramEnd"/>
      <w:r>
        <w:rPr>
          <w:rFonts w:hint="cs"/>
          <w:rtl/>
        </w:rPr>
        <w:t xml:space="preserve"> وإطلاق منشور</w:t>
      </w:r>
      <w:r w:rsidR="004815E1">
        <w:rPr>
          <w:rStyle w:val="Appelnotedebasdep"/>
        </w:rPr>
        <w:footnoteReference w:id="3"/>
      </w:r>
      <w:r>
        <w:rPr>
          <w:rFonts w:hint="cs"/>
          <w:rtl/>
        </w:rPr>
        <w:t xml:space="preserve"> يجمّع نتائج عملية التفكير على الصعيد الإقليمي.</w:t>
      </w:r>
    </w:p>
    <w:p w14:paraId="686E9571" w14:textId="579D4E6A" w:rsidR="00C110E9" w:rsidRPr="002166A6" w:rsidRDefault="00B726DB" w:rsidP="00C110E9">
      <w:pPr>
        <w:pStyle w:val="COMPara"/>
        <w:bidi/>
        <w:ind w:left="567" w:hanging="567"/>
        <w:jc w:val="both"/>
        <w:rPr>
          <w:rtl/>
        </w:rPr>
      </w:pPr>
      <w:r>
        <w:rPr>
          <w:rFonts w:asciiTheme="minorBidi" w:hAnsiTheme="minorBidi" w:hint="cs"/>
          <w:rtl/>
        </w:rPr>
        <w:t xml:space="preserve">وكما ورد في تقرير الدورة الثامنة عشرة للجنة، دعمت الأمانة الاحتفال بالفعاليات </w:t>
      </w:r>
      <w:r>
        <w:rPr>
          <w:rFonts w:hint="cs"/>
          <w:rtl/>
        </w:rPr>
        <w:t>في مقر اليونسكو مع التركيز على التراث الثقافي غير المادي باعتباره الموضوع الرئيسي وبالإشارة إلى الذكرى السنوية العشرين للاتفاقية. و</w:t>
      </w:r>
      <w:r>
        <w:rPr>
          <w:rFonts w:asciiTheme="minorBidi" w:hAnsiTheme="minorBidi" w:hint="cs"/>
          <w:rtl/>
        </w:rPr>
        <w:t xml:space="preserve">تضمنت مبادرات التوعية الخاصة بها معرضاً للصور الفوتوغرافية، وطابعاً احتفالياً تم إصداره من خلال الشراكة مع مكتب البريد الفرنسي (الوثيقة </w:t>
      </w:r>
      <w:hyperlink r:id="rId15" w:history="1">
        <w:r>
          <w:rPr>
            <w:rStyle w:val="Lienhypertexte"/>
            <w:rFonts w:asciiTheme="minorBidi" w:hAnsiTheme="minorBidi"/>
          </w:rPr>
          <w:t>LHE/23/18.COM/6 Rev.‎</w:t>
        </w:r>
      </w:hyperlink>
      <w:r>
        <w:rPr>
          <w:rFonts w:asciiTheme="minorBidi" w:hAnsiTheme="minorBidi" w:hint="cs"/>
          <w:rtl/>
        </w:rPr>
        <w:t xml:space="preserve"> </w:t>
      </w:r>
      <w:r w:rsidR="00975DC6">
        <w:rPr>
          <w:rFonts w:asciiTheme="minorBidi" w:hAnsiTheme="minorBidi"/>
        </w:rPr>
        <w:t xml:space="preserve"> .(</w:t>
      </w:r>
      <w:r>
        <w:rPr>
          <w:rFonts w:hint="cs"/>
          <w:rtl/>
        </w:rPr>
        <w:t>كما أدى الزخم الاحتفالي في عام 2023 إلى استكشاف وإطلاق العديد من المبادرات الأخرى. وشملت هذه، على سبيل المثال، ثلاث مبادرات تتعلق بإصدارات الكتب وخريطة تركز على صون التراث الحي. وعلى الرغم من أن هذه المشاريع لم تكتمل بالكامل خلال الذكرى السنوية، فقد تم ترحيلها إلى عام 2024.</w:t>
      </w:r>
    </w:p>
    <w:p w14:paraId="638C8FE6" w14:textId="69CE8FC7" w:rsidR="00546F2F" w:rsidRPr="00F759BD" w:rsidRDefault="00DD0801" w:rsidP="00546F2F">
      <w:pPr>
        <w:pStyle w:val="COMPara"/>
        <w:numPr>
          <w:ilvl w:val="0"/>
          <w:numId w:val="21"/>
        </w:numPr>
        <w:bidi/>
        <w:spacing w:before="240"/>
        <w:ind w:left="567" w:hanging="567"/>
        <w:jc w:val="both"/>
        <w:rPr>
          <w:b/>
          <w:rtl/>
        </w:rPr>
      </w:pPr>
      <w:r>
        <w:rPr>
          <w:rFonts w:hint="cs"/>
          <w:b/>
          <w:bCs/>
          <w:rtl/>
        </w:rPr>
        <w:t>الفعاليات الكبرى والوثائق الإطارية</w:t>
      </w:r>
    </w:p>
    <w:p w14:paraId="68FEF434" w14:textId="5B43AAB9" w:rsidR="00AE212F" w:rsidRDefault="00546F2F" w:rsidP="006F59C9">
      <w:pPr>
        <w:pStyle w:val="COMPara"/>
        <w:bidi/>
        <w:ind w:left="567" w:hanging="567"/>
        <w:jc w:val="both"/>
        <w:rPr>
          <w:rtl/>
        </w:rPr>
      </w:pPr>
      <w:r>
        <w:rPr>
          <w:rFonts w:asciiTheme="minorBidi" w:hAnsiTheme="minorBidi" w:hint="cs"/>
          <w:rtl/>
        </w:rPr>
        <w:t>باعتبارها فعالية تاريخية، فقد عُقد اجتماع عالمي في سيول بجمهورية كوريا</w:t>
      </w:r>
      <w:r w:rsidR="00EC099F">
        <w:rPr>
          <w:rStyle w:val="Appelnotedebasdep"/>
          <w:rFonts w:asciiTheme="minorBidi" w:hAnsiTheme="minorBidi" w:cstheme="minorBidi"/>
          <w:lang w:val="en-US"/>
        </w:rPr>
        <w:footnoteReference w:id="4"/>
      </w:r>
      <w:r>
        <w:rPr>
          <w:rFonts w:asciiTheme="minorBidi" w:hAnsiTheme="minorBidi" w:hint="cs"/>
          <w:rtl/>
        </w:rPr>
        <w:t xml:space="preserve"> يومي 25 و26 تموز/يوليو 2023 تحت شعار "إطلاق العنان لقوة التراث الحي من أجل التنمية المستدامة والسلام"، والذي ناقش مساهمات صون التراث الحي في تحقيق أهداف التنمية المستدامة،</w:t>
      </w:r>
      <w:r>
        <w:rPr>
          <w:rFonts w:hint="cs"/>
          <w:rtl/>
        </w:rPr>
        <w:t xml:space="preserve"> ولا سيما إحلال السلام وتعزيز التضامن والشمول، والحفاظ على التنوع البيولوجي والمحيطات، والاستجابة للأزمات الصحية والاجتماعية والاقتصادية. </w:t>
      </w:r>
      <w:r>
        <w:rPr>
          <w:rFonts w:asciiTheme="minorBidi" w:hAnsiTheme="minorBidi" w:hint="cs"/>
          <w:rtl/>
        </w:rPr>
        <w:t xml:space="preserve">وخرج الاجتماع بوثيقة ختامية بعنوان </w:t>
      </w:r>
      <w:r w:rsidR="00975DC6">
        <w:rPr>
          <w:rFonts w:hint="cs"/>
          <w:rtl/>
        </w:rPr>
        <w:t>"</w:t>
      </w:r>
      <w:hyperlink r:id="rId16" w:history="1">
        <w:r>
          <w:rPr>
            <w:rStyle w:val="Lienhypertexte"/>
            <w:rFonts w:asciiTheme="minorBidi" w:hAnsiTheme="minorBidi" w:hint="cs"/>
            <w:rtl/>
          </w:rPr>
          <w:t>رؤية سيول لمستقبل صون التراث الحي من أجل التنمية المستدامة والسلام</w:t>
        </w:r>
      </w:hyperlink>
      <w:r w:rsidR="00975DC6">
        <w:rPr>
          <w:rFonts w:hint="cs"/>
          <w:rtl/>
        </w:rPr>
        <w:t>"</w:t>
      </w:r>
      <w:r>
        <w:rPr>
          <w:rFonts w:asciiTheme="minorBidi" w:hAnsiTheme="minorBidi" w:hint="cs"/>
          <w:rtl/>
        </w:rPr>
        <w:t>، والتي تشير إلى مجالات محددة يمكن من خلالها مواصلة تطوير الاتفاقية</w:t>
      </w:r>
      <w:r>
        <w:rPr>
          <w:rFonts w:hint="cs"/>
          <w:rtl/>
        </w:rPr>
        <w:t>. وتشمل هذه المجالات جوانب مثل صون التراث الحي وسبل العيش، والعمل المناخي والسياقات الحضرية، بالإضافة إلى التراث الحي في حالات الطوارئ، ودمج الثقافة في التعليم، والتراث الحي في البيئة الرقمية.</w:t>
      </w:r>
    </w:p>
    <w:p w14:paraId="12CCF155" w14:textId="18A1339F" w:rsidR="00240001" w:rsidRDefault="002E1232" w:rsidP="00240001">
      <w:pPr>
        <w:pStyle w:val="COMPara"/>
        <w:bidi/>
        <w:ind w:left="567" w:hanging="567"/>
        <w:jc w:val="both"/>
        <w:rPr>
          <w:rtl/>
        </w:rPr>
      </w:pPr>
      <w:r>
        <w:rPr>
          <w:rFonts w:hint="cs"/>
          <w:rtl/>
        </w:rPr>
        <w:t xml:space="preserve">سعياً إلى تعزيز التآزر في صون التراث الثقافي المادي وغير المادي، فقد تم تنظيم </w:t>
      </w:r>
      <w:hyperlink r:id="rId17" w:history="1">
        <w:r>
          <w:rPr>
            <w:rStyle w:val="Lienhypertexte"/>
            <w:rFonts w:hint="cs"/>
            <w:rtl/>
          </w:rPr>
          <w:t>مؤتمر نابولي حول التراث الثقافي في القرن الحادي والعشرين</w:t>
        </w:r>
      </w:hyperlink>
      <w:r>
        <w:rPr>
          <w:rFonts w:hint="cs"/>
          <w:rtl/>
        </w:rPr>
        <w:t xml:space="preserve"> في الفترة من 27 إلى 29 تشرين الثاني/نوفمبر 2023 في نابولي بإيطاليا</w:t>
      </w:r>
      <w:r>
        <w:rPr>
          <w:rStyle w:val="Appelnotedebasdep"/>
        </w:rPr>
        <w:footnoteReference w:id="5"/>
      </w:r>
      <w:r>
        <w:rPr>
          <w:rFonts w:hint="cs"/>
          <w:rtl/>
        </w:rPr>
        <w:t xml:space="preserve">. وكان الهدف الرئيسي لهذا الاجتماع هو تعزيز أشكال جديدة من الصون التي تعزز النهج المجتمعي، مثل ضمان المشاركة الأوسع </w:t>
      </w:r>
      <w:r w:rsidR="00861C99">
        <w:rPr>
          <w:rFonts w:ascii="YakoutLinotypeLight-Regular" w:eastAsia="SimSun" w:hAnsi="Calibri" w:cs="YakoutLinotypeLight-Regular" w:hint="cs"/>
          <w:rtl/>
          <w:lang w:bidi="ar-SA"/>
        </w:rPr>
        <w:t>للجماعات</w:t>
      </w:r>
      <w:r>
        <w:rPr>
          <w:rFonts w:hint="cs"/>
          <w:rtl/>
        </w:rPr>
        <w:t xml:space="preserve"> في صنع القرار واحترام حقوق </w:t>
      </w:r>
      <w:r w:rsidR="00861C99">
        <w:rPr>
          <w:rFonts w:ascii="YakoutLinotypeLight-Regular" w:eastAsia="SimSun" w:hAnsi="Calibri" w:cs="YakoutLinotypeLight-Regular" w:hint="cs"/>
          <w:rtl/>
          <w:lang w:bidi="ar-SA"/>
        </w:rPr>
        <w:t>الجماعات</w:t>
      </w:r>
      <w:r>
        <w:rPr>
          <w:rFonts w:hint="cs"/>
          <w:rtl/>
        </w:rPr>
        <w:t xml:space="preserve">. وقد ألهمت وجهات النظر التي تم تبادلها خلال المؤتمر اتباع نهج شمولي للتراث يراعي العلاقات الوثيقة بين الطبيعة والثقافة، </w:t>
      </w:r>
      <w:r w:rsidR="00861C99" w:rsidRPr="00D60185">
        <w:rPr>
          <w:rFonts w:hint="eastAsia"/>
          <w:rtl/>
        </w:rPr>
        <w:t>المادي</w:t>
      </w:r>
      <w:r w:rsidR="00861C99">
        <w:rPr>
          <w:rFonts w:hint="cs"/>
          <w:rtl/>
        </w:rPr>
        <w:t>ة</w:t>
      </w:r>
      <w:r w:rsidR="00861C99" w:rsidRPr="00D60185">
        <w:rPr>
          <w:rtl/>
        </w:rPr>
        <w:t xml:space="preserve"> </w:t>
      </w:r>
      <w:r w:rsidR="00861C99" w:rsidRPr="00D60185">
        <w:rPr>
          <w:rFonts w:hint="eastAsia"/>
          <w:rtl/>
        </w:rPr>
        <w:t>وغير</w:t>
      </w:r>
      <w:r w:rsidR="00861C99" w:rsidRPr="00D60185">
        <w:rPr>
          <w:rtl/>
        </w:rPr>
        <w:t xml:space="preserve"> </w:t>
      </w:r>
      <w:r w:rsidR="00861C99" w:rsidRPr="00D60185">
        <w:rPr>
          <w:rFonts w:hint="eastAsia"/>
          <w:rtl/>
        </w:rPr>
        <w:t>المادي</w:t>
      </w:r>
      <w:r w:rsidR="00861C99">
        <w:rPr>
          <w:rFonts w:hint="cs"/>
          <w:rtl/>
        </w:rPr>
        <w:t>ة</w:t>
      </w:r>
      <w:r>
        <w:rPr>
          <w:rFonts w:hint="cs"/>
          <w:rtl/>
        </w:rPr>
        <w:t xml:space="preserve">. كما أتاح الاجتماع أيضاً فرصة لمناقشة الدروس المستفادة من الأفكار التي جرت بمناسبة الذكرى السنوية الخمسين والعشرين لاتفاقيتي 1972 و2003 على التوالي، واعتمد الاجتماع دعوة للعمل تحت مسمى </w:t>
      </w:r>
      <w:r w:rsidR="00861C99">
        <w:rPr>
          <w:rFonts w:hint="cs"/>
          <w:rtl/>
        </w:rPr>
        <w:t>"</w:t>
      </w:r>
      <w:hyperlink r:id="rId18" w:history="1">
        <w:r>
          <w:rPr>
            <w:rStyle w:val="Lienhypertexte"/>
            <w:rFonts w:hint="cs"/>
            <w:rtl/>
          </w:rPr>
          <w:t>روح نابولي</w:t>
        </w:r>
      </w:hyperlink>
      <w:r>
        <w:rPr>
          <w:rFonts w:hint="cs"/>
          <w:rtl/>
        </w:rPr>
        <w:t>"، والتي تحدد أحد عشر مبدأً لرؤية مستقبلية بشأن سياسات صون التراث وبرامجه.</w:t>
      </w:r>
    </w:p>
    <w:p w14:paraId="0F2665DB" w14:textId="1D2F5C6E" w:rsidR="00D44AC8" w:rsidRDefault="00710AFF" w:rsidP="00E431A5">
      <w:pPr>
        <w:pStyle w:val="COMPara"/>
        <w:bidi/>
        <w:ind w:left="567" w:hanging="567"/>
        <w:jc w:val="both"/>
        <w:rPr>
          <w:rtl/>
        </w:rPr>
      </w:pPr>
      <w:r>
        <w:rPr>
          <w:rFonts w:hint="cs"/>
          <w:rtl/>
        </w:rPr>
        <w:t xml:space="preserve">وفي ختام عام الذكرى السنوية، أُقيم حفل احتفالي خلال الدورة الثامنة عشرة للجنة في كاساني بجمهورية بوتسوانا، في 7 كانون الأول/ديسمبر 2023. وقد سلطت هذه الجلسة العامة الضوء على الإنجازات الرئيسية للاتفاقية، مع العديد من دراسات الحالة التي عرضت مختلف مناهج الصون. واستقبلت الفعالية أيضاً تلاميذ صغار السن من مدرسة </w:t>
      </w:r>
      <w:proofErr w:type="spellStart"/>
      <w:r>
        <w:rPr>
          <w:rFonts w:hint="cs"/>
          <w:rtl/>
        </w:rPr>
        <w:t>مابيلي</w:t>
      </w:r>
      <w:proofErr w:type="spellEnd"/>
      <w:r>
        <w:rPr>
          <w:rFonts w:hint="cs"/>
          <w:rtl/>
        </w:rPr>
        <w:t xml:space="preserve"> الابتدائية الذين عرضوا رقصة "</w:t>
      </w:r>
      <w:proofErr w:type="spellStart"/>
      <w:r>
        <w:rPr>
          <w:rFonts w:hint="cs"/>
          <w:rtl/>
        </w:rPr>
        <w:t>سيبورو</w:t>
      </w:r>
      <w:proofErr w:type="spellEnd"/>
      <w:r>
        <w:rPr>
          <w:rFonts w:hint="cs"/>
          <w:rtl/>
        </w:rPr>
        <w:t xml:space="preserve">"، كما قدمت فرقة من شعب ناما من ناميبيا عرضاً بهيجاً لموسيقى </w:t>
      </w:r>
      <w:proofErr w:type="spellStart"/>
      <w:r>
        <w:t>Aboxan</w:t>
      </w:r>
      <w:proofErr w:type="spellEnd"/>
      <w:r>
        <w:t xml:space="preserve"> </w:t>
      </w:r>
      <w:proofErr w:type="spellStart"/>
      <w:r>
        <w:t>ƀŌb</w:t>
      </w:r>
      <w:proofErr w:type="spellEnd"/>
      <w:r>
        <w:t xml:space="preserve"> </w:t>
      </w:r>
      <w:proofErr w:type="spellStart"/>
      <w:r>
        <w:t>ƂÂns</w:t>
      </w:r>
      <w:proofErr w:type="spellEnd"/>
      <w:r>
        <w:t xml:space="preserve"> </w:t>
      </w:r>
      <w:proofErr w:type="spellStart"/>
      <w:r>
        <w:t>tsî</w:t>
      </w:r>
      <w:proofErr w:type="spellEnd"/>
      <w:r>
        <w:t xml:space="preserve"> à </w:t>
      </w:r>
      <w:proofErr w:type="spellStart"/>
      <w:r>
        <w:t>Khasigu</w:t>
      </w:r>
      <w:proofErr w:type="spellEnd"/>
      <w:r>
        <w:rPr>
          <w:rFonts w:hint="cs"/>
          <w:rtl/>
        </w:rPr>
        <w:t>.</w:t>
      </w:r>
    </w:p>
    <w:p w14:paraId="68591A5B" w14:textId="6AD60DFA" w:rsidR="005364BF" w:rsidRPr="00091600" w:rsidRDefault="00091600" w:rsidP="005364BF">
      <w:pPr>
        <w:pStyle w:val="COMPara"/>
        <w:numPr>
          <w:ilvl w:val="0"/>
          <w:numId w:val="21"/>
        </w:numPr>
        <w:bidi/>
        <w:spacing w:before="240"/>
        <w:ind w:left="567" w:hanging="567"/>
        <w:jc w:val="both"/>
        <w:rPr>
          <w:b/>
          <w:bCs/>
          <w:rtl/>
        </w:rPr>
      </w:pPr>
      <w:r>
        <w:rPr>
          <w:rFonts w:hint="cs"/>
          <w:b/>
          <w:bCs/>
          <w:rtl/>
        </w:rPr>
        <w:t>الخطوات المقبلة</w:t>
      </w:r>
    </w:p>
    <w:p w14:paraId="5F467115" w14:textId="7B461966" w:rsidR="00091600" w:rsidRDefault="00091600" w:rsidP="00091600">
      <w:pPr>
        <w:pStyle w:val="COMPara"/>
        <w:bidi/>
        <w:ind w:left="567" w:hanging="567"/>
        <w:jc w:val="both"/>
        <w:rPr>
          <w:rtl/>
        </w:rPr>
      </w:pPr>
      <w:r>
        <w:rPr>
          <w:rFonts w:hint="cs"/>
          <w:rtl/>
        </w:rPr>
        <w:t>تعكس الفعاليات والأنشطة التي أقيمت في جميع أنحاء العالم خلال عام 2023 مشاركة وحماس أطراف المعنية في السعي لتحقيق الهدف العام للاتفاقية؛ وهو المتمثل في زيادة الوعي بأهمية التراث الثقافي غير المادي. وقد أتاحت سنة الذكرى السنوية للمشاركين تعزيز أهداف الاتفاقية، وتقييم الإنجازات الماضية، واستكشاف تطور الاتفاقية في المستقبل. وأظهرت حملة وسائل التواصل الاجتماعي إمكانية توظيف التقنيات في مجال الصون، وكذلك للوصول إلى جماهير لم يتم استغلالها من قبل، مثل الشباب. وقد تحققت المشاركة المتزايدة بموجب القرار الصادر عن الدورة الثانية والأربعين للمؤتمر العام في تشرين الثاني/نوفمبر 2023، والذي أعلن – في سياق الذكرى السنوية العشرين لاتفاقية عام 2003 – يوم 17 تشرين الأول/أكتوبر باعتباره اليوم الدولي للتراث الثقافي غير المادي (</w:t>
      </w:r>
      <w:hyperlink r:id="rId19" w:history="1">
        <w:r>
          <w:rPr>
            <w:rStyle w:val="Lienhypertexte"/>
            <w:rFonts w:hint="cs"/>
            <w:rtl/>
          </w:rPr>
          <w:t>42 م/المقرر 34</w:t>
        </w:r>
      </w:hyperlink>
      <w:r>
        <w:rPr>
          <w:rFonts w:hint="cs"/>
          <w:rtl/>
        </w:rPr>
        <w:t>).</w:t>
      </w:r>
    </w:p>
    <w:p w14:paraId="0FE558A0" w14:textId="4B495890" w:rsidR="00E33C76" w:rsidRDefault="00E33C76" w:rsidP="00E33C76">
      <w:pPr>
        <w:pStyle w:val="COMPara"/>
        <w:bidi/>
        <w:ind w:left="567" w:hanging="567"/>
        <w:jc w:val="both"/>
        <w:rPr>
          <w:rtl/>
        </w:rPr>
      </w:pPr>
      <w:r>
        <w:rPr>
          <w:rFonts w:hint="cs"/>
          <w:rtl/>
        </w:rPr>
        <w:t>إن الشبكات التي تشكلت حول الاتفاقية والتي تشكل "عائلة التراث الحي" تبرز بالفعل باعتبارها إنجازاً كبيراً خلال العشرين عاماً الماضية. ومن الآن فصاعداً، سيستفيد التنفيذ المستمر للاتفاقية من دعم وتعاون هذه الأطراف المعنية في جميع أنحاء العالم، حيث يعملون معاً لتحقيق التوجهات المستقبلية التي تم استكشافها خلال عام الذكرى السنوية، على النحو المبين في بيان رؤية سيول. وتتكون هذه الشبكة القوية، التي تم توحيدها على مدار العام، من 183 دولة طرفاً و</w:t>
      </w:r>
      <w:r w:rsidR="00861C99">
        <w:rPr>
          <w:rFonts w:ascii="YakoutLinotypeLight-Regular" w:eastAsia="SimSun" w:hAnsi="Calibri" w:cs="YakoutLinotypeLight-Regular" w:hint="cs"/>
          <w:rtl/>
          <w:lang w:bidi="ar-SA"/>
        </w:rPr>
        <w:t>جماعات</w:t>
      </w:r>
      <w:r>
        <w:rPr>
          <w:rFonts w:hint="cs"/>
          <w:rtl/>
        </w:rPr>
        <w:t xml:space="preserve"> تمارس 730 عنصراً مدرجاً في القوائم، بالإضافة إلى 206 منظمة غير حكومية معتمدة تحت مظلة منتدى </w:t>
      </w:r>
      <w:proofErr w:type="spellStart"/>
      <w:r>
        <w:rPr>
          <w:rFonts w:hint="cs"/>
          <w:rtl/>
        </w:rPr>
        <w:t>منتدى</w:t>
      </w:r>
      <w:proofErr w:type="spellEnd"/>
      <w:r>
        <w:rPr>
          <w:rFonts w:hint="cs"/>
          <w:rtl/>
        </w:rPr>
        <w:t xml:space="preserve"> المنظمات غير الحكومية المعنية بالتراث الثقافي غير المادي، وهو شبكة عالمية من الميسرين تتألف من 255 عضواً و19 كرسياً جامعياً تابعاً لليونسكو وشبكة التوأمة بين الجامعات، وثمانية مراكز من الفئة الثانية تحت رعاية اليونسكو.</w:t>
      </w:r>
    </w:p>
    <w:p w14:paraId="6F27FD2F" w14:textId="57D7658D" w:rsidR="00EA121D" w:rsidRPr="000423FE" w:rsidRDefault="005C792B" w:rsidP="000423FE">
      <w:pPr>
        <w:pStyle w:val="COMPara"/>
        <w:bidi/>
        <w:ind w:left="567" w:hanging="567"/>
        <w:rPr>
          <w:rtl/>
        </w:rPr>
      </w:pPr>
      <w:r>
        <w:rPr>
          <w:rFonts w:hint="cs"/>
          <w:rtl/>
        </w:rPr>
        <w:t>قد ترغب الجمعية العامة اعتماد القرار التالي:</w:t>
      </w:r>
    </w:p>
    <w:p w14:paraId="6CEB1E9D" w14:textId="1D08695E" w:rsidR="00D95C4C" w:rsidRPr="00BB6EEC" w:rsidRDefault="004A34A0" w:rsidP="001D14FE">
      <w:pPr>
        <w:pStyle w:val="COMTitleDecision"/>
        <w:bidi/>
        <w:rPr>
          <w:rFonts w:eastAsia="SimSun"/>
          <w:rtl/>
        </w:rPr>
      </w:pPr>
      <w:r>
        <w:rPr>
          <w:rFonts w:hint="cs"/>
          <w:rtl/>
        </w:rPr>
        <w:lastRenderedPageBreak/>
        <w:t xml:space="preserve">مشروع القرار </w:t>
      </w:r>
      <w:r>
        <w:t>‎10.GA 10</w:t>
      </w:r>
    </w:p>
    <w:p w14:paraId="13024F0B" w14:textId="41415DA2" w:rsidR="00D95C4C" w:rsidRPr="00BB6EEC" w:rsidRDefault="00CB57E7" w:rsidP="00285BB4">
      <w:pPr>
        <w:pStyle w:val="COMPreambulaDecisions"/>
        <w:bidi/>
        <w:rPr>
          <w:rFonts w:eastAsia="SimSun"/>
          <w:rtl/>
        </w:rPr>
      </w:pPr>
      <w:r w:rsidRPr="0095419A">
        <w:rPr>
          <w:rtl/>
        </w:rPr>
        <w:t>إن</w:t>
      </w:r>
      <w:r>
        <w:rPr>
          <w:rFonts w:hint="cs"/>
          <w:rtl/>
        </w:rPr>
        <w:t xml:space="preserve"> </w:t>
      </w:r>
      <w:r w:rsidR="005C792B">
        <w:rPr>
          <w:rFonts w:hint="cs"/>
          <w:rtl/>
        </w:rPr>
        <w:t>الجمعية العامة،</w:t>
      </w:r>
    </w:p>
    <w:p w14:paraId="5A9F22F3" w14:textId="7D5FB8DF" w:rsidR="0057439C" w:rsidRPr="00BB6EEC" w:rsidRDefault="00D95C4C" w:rsidP="004A2875">
      <w:pPr>
        <w:pStyle w:val="COMParaDecision"/>
        <w:bidi/>
        <w:rPr>
          <w:rtl/>
        </w:rPr>
      </w:pPr>
      <w:r>
        <w:rPr>
          <w:rFonts w:hint="cs"/>
          <w:rtl/>
        </w:rPr>
        <w:t>وقد درست</w:t>
      </w:r>
      <w:r>
        <w:rPr>
          <w:rFonts w:hint="cs"/>
          <w:u w:val="none"/>
          <w:rtl/>
        </w:rPr>
        <w:t xml:space="preserve"> الوثيقة </w:t>
      </w:r>
      <w:r>
        <w:rPr>
          <w:u w:val="none"/>
        </w:rPr>
        <w:t>LHE/24/10.GA/10</w:t>
      </w:r>
      <w:r>
        <w:rPr>
          <w:rFonts w:hint="cs"/>
          <w:u w:val="none"/>
          <w:rtl/>
        </w:rPr>
        <w:t>،</w:t>
      </w:r>
    </w:p>
    <w:p w14:paraId="260CA8D5" w14:textId="5F607DBF" w:rsidR="0057439C" w:rsidRPr="005C792B" w:rsidRDefault="0057439C" w:rsidP="004A2875">
      <w:pPr>
        <w:pStyle w:val="COMParaDecision"/>
        <w:bidi/>
        <w:rPr>
          <w:rtl/>
        </w:rPr>
      </w:pPr>
      <w:r>
        <w:rPr>
          <w:rFonts w:hint="cs"/>
          <w:rtl/>
        </w:rPr>
        <w:t>وإذ تذكّر</w:t>
      </w:r>
      <w:r w:rsidR="00C8049D">
        <w:rPr>
          <w:u w:val="none"/>
        </w:rPr>
        <w:t xml:space="preserve"> </w:t>
      </w:r>
      <w:r>
        <w:rPr>
          <w:rFonts w:hint="cs"/>
          <w:u w:val="none"/>
          <w:rtl/>
        </w:rPr>
        <w:t>ب</w:t>
      </w:r>
      <w:r w:rsidR="00CB57E7">
        <w:rPr>
          <w:rFonts w:hint="cs"/>
          <w:u w:val="none"/>
          <w:rtl/>
        </w:rPr>
        <w:t>القرار</w:t>
      </w:r>
      <w:r>
        <w:rPr>
          <w:rFonts w:hint="cs"/>
          <w:u w:val="none"/>
          <w:rtl/>
        </w:rPr>
        <w:t xml:space="preserve"> </w:t>
      </w:r>
      <w:hyperlink r:id="rId20" w:history="1">
        <w:r>
          <w:rPr>
            <w:rStyle w:val="Lienhypertexte"/>
          </w:rPr>
          <w:t>‎9.GA 13</w:t>
        </w:r>
      </w:hyperlink>
      <w:r>
        <w:rPr>
          <w:rFonts w:hint="cs"/>
          <w:u w:val="none"/>
          <w:rtl/>
        </w:rPr>
        <w:t xml:space="preserve"> والقرار </w:t>
      </w:r>
      <w:hyperlink r:id="rId21" w:history="1">
        <w:r>
          <w:rPr>
            <w:rStyle w:val="Lienhypertexte"/>
          </w:rPr>
          <w:t>‎18.COM 6</w:t>
        </w:r>
      </w:hyperlink>
      <w:r>
        <w:rPr>
          <w:rStyle w:val="Lienhypertexte"/>
          <w:rFonts w:hint="cs"/>
          <w:color w:val="auto"/>
          <w:u w:val="none"/>
          <w:rtl/>
        </w:rPr>
        <w:t>،</w:t>
      </w:r>
    </w:p>
    <w:p w14:paraId="26AA27DD" w14:textId="07C50798" w:rsidR="005C792B" w:rsidRPr="00345CB4" w:rsidRDefault="005C792B" w:rsidP="005C792B">
      <w:pPr>
        <w:pStyle w:val="COMParaDecision"/>
        <w:bidi/>
        <w:jc w:val="left"/>
        <w:rPr>
          <w:rtl/>
        </w:rPr>
      </w:pPr>
      <w:r>
        <w:rPr>
          <w:rFonts w:hint="cs"/>
          <w:rtl/>
        </w:rPr>
        <w:t>كما تذكّر</w:t>
      </w:r>
      <w:r>
        <w:rPr>
          <w:rFonts w:hint="cs"/>
          <w:u w:val="none"/>
          <w:rtl/>
        </w:rPr>
        <w:t xml:space="preserve"> بالوثيقة </w:t>
      </w:r>
      <w:hyperlink r:id="rId22" w:history="1">
        <w:r>
          <w:rPr>
            <w:rStyle w:val="Lienhypertexte"/>
            <w:rFonts w:hint="cs"/>
            <w:rtl/>
          </w:rPr>
          <w:t>42 م/المق</w:t>
        </w:r>
        <w:r>
          <w:rPr>
            <w:rStyle w:val="Lienhypertexte"/>
            <w:rFonts w:hint="cs"/>
            <w:rtl/>
          </w:rPr>
          <w:t>ر</w:t>
        </w:r>
        <w:r>
          <w:rPr>
            <w:rStyle w:val="Lienhypertexte"/>
            <w:rFonts w:hint="cs"/>
            <w:rtl/>
          </w:rPr>
          <w:t>ر 34</w:t>
        </w:r>
      </w:hyperlink>
      <w:r>
        <w:rPr>
          <w:rFonts w:hint="cs"/>
          <w:u w:val="none"/>
          <w:rtl/>
        </w:rPr>
        <w:t xml:space="preserve"> للمؤتمر العام لليونسكو،</w:t>
      </w:r>
    </w:p>
    <w:p w14:paraId="64535288" w14:textId="55F32642" w:rsidR="00DC1332" w:rsidRPr="00BC39DE" w:rsidRDefault="007F75E9" w:rsidP="00DA0782">
      <w:pPr>
        <w:pStyle w:val="COMParaDecision"/>
        <w:bidi/>
        <w:rPr>
          <w:rtl/>
        </w:rPr>
      </w:pPr>
      <w:r>
        <w:rPr>
          <w:rFonts w:hint="cs"/>
          <w:rtl/>
        </w:rPr>
        <w:t>وترحب</w:t>
      </w:r>
      <w:r>
        <w:rPr>
          <w:rFonts w:hint="cs"/>
          <w:u w:val="none"/>
          <w:rtl/>
        </w:rPr>
        <w:t xml:space="preserve"> بإعلان يوم 17 تشرين الأول/أكتوبر يوماً دولياً للتراث الثقافي غير المادي؛</w:t>
      </w:r>
    </w:p>
    <w:p w14:paraId="067DE13F" w14:textId="0315BA13" w:rsidR="00E3435D" w:rsidRDefault="00C8049D" w:rsidP="00E3435D">
      <w:pPr>
        <w:pStyle w:val="COMParaDecision"/>
        <w:bidi/>
        <w:rPr>
          <w:u w:val="none"/>
          <w:rtl/>
        </w:rPr>
      </w:pPr>
      <w:r w:rsidRPr="0000662E">
        <w:rPr>
          <w:rFonts w:asciiTheme="majorBidi" w:hAnsiTheme="majorBidi" w:cstheme="majorBidi"/>
          <w:rtl/>
        </w:rPr>
        <w:t>وتهنيء</w:t>
      </w:r>
      <w:r w:rsidRPr="00D60185">
        <w:rPr>
          <w:rFonts w:asciiTheme="majorBidi" w:hAnsiTheme="majorBidi" w:cstheme="majorBidi"/>
          <w:u w:val="none"/>
        </w:rPr>
        <w:t xml:space="preserve"> </w:t>
      </w:r>
      <w:r w:rsidR="00DE4387">
        <w:rPr>
          <w:rFonts w:hint="cs"/>
          <w:u w:val="none"/>
          <w:rtl/>
        </w:rPr>
        <w:t>على الأنشطة التي تم الاضطلاع بها في جميع المجموعات الانتخابية، على المستويات الوطنية والإقليمية والدولية، في سياق الاحتفال بالذكرى السنوية العشرين للاتفاقية، بما في ذلك المؤتمرات والمهرجانات واجتماعات الخبراء والمعارض والمنشورات وحملات التوعية، من بين أمور أخرى؛</w:t>
      </w:r>
    </w:p>
    <w:p w14:paraId="6D848E82" w14:textId="73901AB4" w:rsidR="00DE4387" w:rsidRPr="008540F9" w:rsidRDefault="00DE4387" w:rsidP="00DE4387">
      <w:pPr>
        <w:pStyle w:val="COMParaDecision"/>
        <w:bidi/>
        <w:rPr>
          <w:u w:val="none"/>
          <w:rtl/>
        </w:rPr>
      </w:pPr>
      <w:r>
        <w:rPr>
          <w:rFonts w:hint="cs"/>
          <w:rtl/>
        </w:rPr>
        <w:t>وتُعرب</w:t>
      </w:r>
      <w:r>
        <w:rPr>
          <w:rFonts w:hint="cs"/>
          <w:u w:val="none"/>
          <w:rtl/>
        </w:rPr>
        <w:t xml:space="preserve"> عن </w:t>
      </w:r>
      <w:r w:rsidR="00CF3425" w:rsidRPr="00D60185">
        <w:rPr>
          <w:u w:val="none"/>
          <w:rtl/>
        </w:rPr>
        <w:t>امتنانها</w:t>
      </w:r>
      <w:r w:rsidR="00CF3425">
        <w:rPr>
          <w:rFonts w:hint="cs"/>
          <w:u w:val="none"/>
          <w:rtl/>
        </w:rPr>
        <w:t xml:space="preserve"> </w:t>
      </w:r>
      <w:r>
        <w:rPr>
          <w:rFonts w:hint="cs"/>
          <w:u w:val="none"/>
          <w:rtl/>
        </w:rPr>
        <w:t>لجمهورية كوريا لاستضافتها الاجتماع العالمي للاحتفال بالذكرى السنوية العشرين لاتفاقية عام 2003 في سيول، و</w:t>
      </w:r>
      <w:r>
        <w:rPr>
          <w:rFonts w:hint="cs"/>
          <w:rtl/>
        </w:rPr>
        <w:t>ترحب</w:t>
      </w:r>
      <w:r>
        <w:rPr>
          <w:rFonts w:hint="cs"/>
          <w:u w:val="none"/>
          <w:rtl/>
        </w:rPr>
        <w:t xml:space="preserve"> بمجالات العمل المستقبلي التي تم تسليط الضوء عليها في "رؤية سيول لمستقبل صون التراث الحي من أجل التنمية المستدامة والسلام"؛</w:t>
      </w:r>
    </w:p>
    <w:p w14:paraId="115C04EB" w14:textId="2783B9EF" w:rsidR="00DE4387" w:rsidRDefault="00DE4387" w:rsidP="00DE4387">
      <w:pPr>
        <w:pStyle w:val="COMParaDecision"/>
        <w:bidi/>
        <w:rPr>
          <w:u w:val="none"/>
        </w:rPr>
      </w:pPr>
      <w:r>
        <w:rPr>
          <w:rFonts w:hint="cs"/>
          <w:rtl/>
        </w:rPr>
        <w:t xml:space="preserve">كما تعرب عن </w:t>
      </w:r>
      <w:r w:rsidR="00305AF6" w:rsidRPr="00D60185">
        <w:rPr>
          <w:rFonts w:hint="cs"/>
          <w:rtl/>
        </w:rPr>
        <w:t>امتنا</w:t>
      </w:r>
      <w:r>
        <w:rPr>
          <w:rFonts w:hint="cs"/>
          <w:rtl/>
        </w:rPr>
        <w:t>نها</w:t>
      </w:r>
      <w:r>
        <w:rPr>
          <w:rFonts w:hint="cs"/>
          <w:u w:val="none"/>
          <w:rtl/>
        </w:rPr>
        <w:t xml:space="preserve"> إلى إيطاليا لاستضافة مؤتمر نابولي حول التراث الثقافي في القرن الحادي والعشرين، و</w:t>
      </w:r>
      <w:r w:rsidR="00C8049D">
        <w:rPr>
          <w:rFonts w:hint="cs"/>
          <w:rtl/>
        </w:rPr>
        <w:t xml:space="preserve">كما </w:t>
      </w:r>
      <w:r>
        <w:rPr>
          <w:rFonts w:hint="cs"/>
          <w:rtl/>
        </w:rPr>
        <w:t xml:space="preserve">ترحب </w:t>
      </w:r>
      <w:r>
        <w:rPr>
          <w:rFonts w:hint="cs"/>
          <w:u w:val="none"/>
          <w:rtl/>
        </w:rPr>
        <w:t>بالدعوة إلى العمل التي تمخض عنها المؤتمر، والتي تحدد أحد عشر مبدأ رئيسياً لضمان رؤية مستقبلية لصون التراث؛</w:t>
      </w:r>
    </w:p>
    <w:p w14:paraId="5DFFF130" w14:textId="52D107CC" w:rsidR="00C8049D" w:rsidRPr="008540F9" w:rsidRDefault="00C8049D" w:rsidP="00C8049D">
      <w:pPr>
        <w:pStyle w:val="COMParaDecision"/>
        <w:bidi/>
        <w:rPr>
          <w:u w:val="none"/>
          <w:rtl/>
        </w:rPr>
      </w:pPr>
      <w:r>
        <w:rPr>
          <w:rFonts w:hint="cs"/>
          <w:rtl/>
        </w:rPr>
        <w:t xml:space="preserve">وتعرب </w:t>
      </w:r>
      <w:r w:rsidRPr="00D60185">
        <w:rPr>
          <w:rFonts w:hint="cs"/>
          <w:rtl/>
        </w:rPr>
        <w:t>كذلك</w:t>
      </w:r>
      <w:r>
        <w:t xml:space="preserve"> </w:t>
      </w:r>
      <w:r>
        <w:rPr>
          <w:rFonts w:hint="cs"/>
          <w:rtl/>
        </w:rPr>
        <w:t xml:space="preserve">عن </w:t>
      </w:r>
      <w:r w:rsidR="00305AF6" w:rsidRPr="003D5376">
        <w:rPr>
          <w:rtl/>
        </w:rPr>
        <w:t>امتنا</w:t>
      </w:r>
      <w:r w:rsidR="00305AF6">
        <w:rPr>
          <w:rFonts w:hint="cs"/>
          <w:rtl/>
        </w:rPr>
        <w:t>نها</w:t>
      </w:r>
      <w:r w:rsidR="00305AF6">
        <w:rPr>
          <w:u w:val="none"/>
        </w:rPr>
        <w:t xml:space="preserve"> </w:t>
      </w:r>
      <w:r w:rsidR="00305AF6" w:rsidRPr="00D60185">
        <w:rPr>
          <w:rFonts w:hint="cs"/>
          <w:u w:val="none"/>
          <w:rtl/>
        </w:rPr>
        <w:t>للدول</w:t>
      </w:r>
      <w:r w:rsidR="00305AF6" w:rsidRPr="00D60185">
        <w:rPr>
          <w:u w:val="none"/>
          <w:rtl/>
        </w:rPr>
        <w:t xml:space="preserve"> </w:t>
      </w:r>
      <w:r w:rsidR="00305AF6" w:rsidRPr="00D60185">
        <w:rPr>
          <w:rFonts w:hint="cs"/>
          <w:u w:val="none"/>
          <w:rtl/>
        </w:rPr>
        <w:t>الأطراف</w:t>
      </w:r>
      <w:r w:rsidR="00305AF6" w:rsidRPr="00D60185">
        <w:rPr>
          <w:u w:val="none"/>
          <w:rtl/>
        </w:rPr>
        <w:t xml:space="preserve"> </w:t>
      </w:r>
      <w:r w:rsidR="00305AF6" w:rsidRPr="00D60185">
        <w:rPr>
          <w:rFonts w:hint="cs"/>
          <w:u w:val="none"/>
          <w:rtl/>
        </w:rPr>
        <w:t>من</w:t>
      </w:r>
      <w:r w:rsidR="00305AF6" w:rsidRPr="00D60185">
        <w:rPr>
          <w:u w:val="none"/>
          <w:rtl/>
        </w:rPr>
        <w:t xml:space="preserve"> </w:t>
      </w:r>
      <w:r w:rsidR="00305AF6" w:rsidRPr="00D60185">
        <w:rPr>
          <w:rFonts w:hint="cs"/>
          <w:u w:val="none"/>
          <w:rtl/>
        </w:rPr>
        <w:t>أمريكا</w:t>
      </w:r>
      <w:r w:rsidR="00305AF6" w:rsidRPr="00D60185">
        <w:rPr>
          <w:u w:val="none"/>
          <w:rtl/>
        </w:rPr>
        <w:t xml:space="preserve"> </w:t>
      </w:r>
      <w:r w:rsidR="00305AF6" w:rsidRPr="00D60185">
        <w:rPr>
          <w:rFonts w:hint="cs"/>
          <w:u w:val="none"/>
          <w:rtl/>
        </w:rPr>
        <w:t>اللاتينية</w:t>
      </w:r>
      <w:r w:rsidR="00305AF6" w:rsidRPr="00D60185">
        <w:rPr>
          <w:u w:val="none"/>
          <w:rtl/>
        </w:rPr>
        <w:t xml:space="preserve"> </w:t>
      </w:r>
      <w:r w:rsidR="00305AF6" w:rsidRPr="00D60185">
        <w:rPr>
          <w:rFonts w:hint="cs"/>
          <w:u w:val="none"/>
          <w:rtl/>
        </w:rPr>
        <w:t>ومنطقة</w:t>
      </w:r>
      <w:r w:rsidR="00305AF6" w:rsidRPr="00D60185">
        <w:rPr>
          <w:u w:val="none"/>
          <w:rtl/>
        </w:rPr>
        <w:t xml:space="preserve"> </w:t>
      </w:r>
      <w:r w:rsidR="00305AF6" w:rsidRPr="00D60185">
        <w:rPr>
          <w:rFonts w:hint="cs"/>
          <w:u w:val="none"/>
          <w:rtl/>
        </w:rPr>
        <w:t>البحر</w:t>
      </w:r>
      <w:r w:rsidR="00305AF6" w:rsidRPr="00D60185">
        <w:rPr>
          <w:u w:val="none"/>
          <w:rtl/>
        </w:rPr>
        <w:t xml:space="preserve"> </w:t>
      </w:r>
      <w:r w:rsidR="00305AF6" w:rsidRPr="00D60185">
        <w:rPr>
          <w:rFonts w:hint="cs"/>
          <w:u w:val="none"/>
          <w:rtl/>
        </w:rPr>
        <w:t>الكاريبي</w:t>
      </w:r>
      <w:r w:rsidR="00305AF6" w:rsidRPr="00D60185">
        <w:rPr>
          <w:u w:val="none"/>
          <w:rtl/>
        </w:rPr>
        <w:t xml:space="preserve"> </w:t>
      </w:r>
      <w:r w:rsidR="00305AF6" w:rsidRPr="00D60185">
        <w:rPr>
          <w:rFonts w:hint="cs"/>
          <w:u w:val="none"/>
          <w:rtl/>
        </w:rPr>
        <w:t>للمبادرات</w:t>
      </w:r>
      <w:r w:rsidR="00305AF6" w:rsidRPr="00D60185">
        <w:rPr>
          <w:u w:val="none"/>
          <w:rtl/>
        </w:rPr>
        <w:t xml:space="preserve"> </w:t>
      </w:r>
      <w:r w:rsidR="00305AF6" w:rsidRPr="00D60185">
        <w:rPr>
          <w:rFonts w:hint="cs"/>
          <w:u w:val="none"/>
          <w:rtl/>
        </w:rPr>
        <w:t>الإقليمية</w:t>
      </w:r>
      <w:r w:rsidR="00305AF6" w:rsidRPr="00D60185">
        <w:rPr>
          <w:u w:val="none"/>
          <w:rtl/>
        </w:rPr>
        <w:t xml:space="preserve"> </w:t>
      </w:r>
      <w:r w:rsidR="00305AF6" w:rsidRPr="00D60185">
        <w:rPr>
          <w:rFonts w:hint="cs"/>
          <w:u w:val="none"/>
          <w:rtl/>
        </w:rPr>
        <w:t>التي</w:t>
      </w:r>
      <w:r w:rsidR="00305AF6" w:rsidRPr="00D60185">
        <w:rPr>
          <w:u w:val="none"/>
          <w:rtl/>
        </w:rPr>
        <w:t xml:space="preserve"> </w:t>
      </w:r>
      <w:r w:rsidR="00305AF6" w:rsidRPr="00D60185">
        <w:rPr>
          <w:rFonts w:hint="cs"/>
          <w:u w:val="none"/>
          <w:rtl/>
        </w:rPr>
        <w:t>تناولت</w:t>
      </w:r>
      <w:r w:rsidR="00305AF6" w:rsidRPr="00D60185">
        <w:rPr>
          <w:u w:val="none"/>
          <w:rtl/>
        </w:rPr>
        <w:t xml:space="preserve"> </w:t>
      </w:r>
      <w:r w:rsidR="00305AF6" w:rsidRPr="00D60185">
        <w:rPr>
          <w:rFonts w:hint="cs"/>
          <w:u w:val="none"/>
          <w:rtl/>
        </w:rPr>
        <w:t>إنجازات</w:t>
      </w:r>
      <w:r w:rsidR="00305AF6" w:rsidRPr="00D60185">
        <w:rPr>
          <w:u w:val="none"/>
          <w:rtl/>
        </w:rPr>
        <w:t xml:space="preserve"> </w:t>
      </w:r>
      <w:r w:rsidR="00305AF6" w:rsidRPr="00D60185">
        <w:rPr>
          <w:rFonts w:hint="cs"/>
          <w:u w:val="none"/>
          <w:rtl/>
        </w:rPr>
        <w:t>الاتفاقية</w:t>
      </w:r>
      <w:r w:rsidR="00305AF6" w:rsidRPr="00D60185">
        <w:rPr>
          <w:u w:val="none"/>
          <w:rtl/>
        </w:rPr>
        <w:t xml:space="preserve"> </w:t>
      </w:r>
      <w:r w:rsidR="00305AF6" w:rsidRPr="00D60185">
        <w:rPr>
          <w:rFonts w:hint="cs"/>
          <w:u w:val="none"/>
          <w:rtl/>
        </w:rPr>
        <w:t>وتطوراتها</w:t>
      </w:r>
      <w:r w:rsidR="00305AF6" w:rsidRPr="00D60185">
        <w:rPr>
          <w:u w:val="none"/>
          <w:rtl/>
        </w:rPr>
        <w:t xml:space="preserve"> </w:t>
      </w:r>
      <w:r w:rsidR="00305AF6" w:rsidRPr="00D60185">
        <w:rPr>
          <w:rFonts w:hint="cs"/>
          <w:u w:val="none"/>
          <w:rtl/>
        </w:rPr>
        <w:t>المستقبلية،</w:t>
      </w:r>
      <w:r w:rsidR="00305AF6" w:rsidRPr="00D60185">
        <w:rPr>
          <w:u w:val="none"/>
          <w:rtl/>
        </w:rPr>
        <w:t xml:space="preserve"> </w:t>
      </w:r>
      <w:r w:rsidR="00305AF6" w:rsidRPr="00D60185">
        <w:rPr>
          <w:rFonts w:hint="cs"/>
          <w:u w:val="none"/>
          <w:rtl/>
        </w:rPr>
        <w:t>بما</w:t>
      </w:r>
      <w:r w:rsidR="00305AF6" w:rsidRPr="00D60185">
        <w:rPr>
          <w:u w:val="none"/>
          <w:rtl/>
        </w:rPr>
        <w:t xml:space="preserve"> </w:t>
      </w:r>
      <w:r w:rsidR="00305AF6" w:rsidRPr="00D60185">
        <w:rPr>
          <w:rFonts w:hint="cs"/>
          <w:u w:val="none"/>
          <w:rtl/>
        </w:rPr>
        <w:t>في</w:t>
      </w:r>
      <w:r w:rsidR="00305AF6" w:rsidRPr="00D60185">
        <w:rPr>
          <w:u w:val="none"/>
          <w:rtl/>
        </w:rPr>
        <w:t xml:space="preserve"> </w:t>
      </w:r>
      <w:r w:rsidR="00305AF6" w:rsidRPr="00D60185">
        <w:rPr>
          <w:rFonts w:hint="cs"/>
          <w:u w:val="none"/>
          <w:rtl/>
        </w:rPr>
        <w:t>ذلك</w:t>
      </w:r>
      <w:r w:rsidR="00305AF6" w:rsidRPr="00D60185">
        <w:rPr>
          <w:u w:val="none"/>
          <w:rtl/>
        </w:rPr>
        <w:t xml:space="preserve"> </w:t>
      </w:r>
      <w:r w:rsidR="00305AF6" w:rsidRPr="00D60185">
        <w:rPr>
          <w:rFonts w:hint="cs"/>
          <w:u w:val="none"/>
          <w:rtl/>
        </w:rPr>
        <w:t>المؤتمر</w:t>
      </w:r>
      <w:r w:rsidR="00305AF6" w:rsidRPr="00D60185">
        <w:rPr>
          <w:u w:val="none"/>
          <w:rtl/>
        </w:rPr>
        <w:t xml:space="preserve"> </w:t>
      </w:r>
      <w:r w:rsidR="00305AF6" w:rsidRPr="00D60185">
        <w:rPr>
          <w:rFonts w:hint="cs"/>
          <w:u w:val="none"/>
          <w:rtl/>
        </w:rPr>
        <w:t>الذي</w:t>
      </w:r>
      <w:r w:rsidR="00305AF6" w:rsidRPr="00D60185">
        <w:rPr>
          <w:u w:val="none"/>
          <w:rtl/>
        </w:rPr>
        <w:t xml:space="preserve"> </w:t>
      </w:r>
      <w:r w:rsidR="00305AF6" w:rsidRPr="00D60185">
        <w:rPr>
          <w:rFonts w:hint="cs"/>
          <w:u w:val="none"/>
          <w:rtl/>
        </w:rPr>
        <w:t>عقد</w:t>
      </w:r>
      <w:r w:rsidR="00305AF6" w:rsidRPr="00D60185">
        <w:rPr>
          <w:u w:val="none"/>
          <w:rtl/>
        </w:rPr>
        <w:t xml:space="preserve"> </w:t>
      </w:r>
      <w:r w:rsidR="00305AF6" w:rsidRPr="00D60185">
        <w:rPr>
          <w:rFonts w:hint="cs"/>
          <w:u w:val="none"/>
          <w:rtl/>
        </w:rPr>
        <w:t>في</w:t>
      </w:r>
      <w:r w:rsidR="00305AF6" w:rsidRPr="00D60185">
        <w:rPr>
          <w:u w:val="none"/>
          <w:rtl/>
        </w:rPr>
        <w:t xml:space="preserve"> </w:t>
      </w:r>
      <w:r w:rsidR="00305AF6" w:rsidRPr="00D60185">
        <w:rPr>
          <w:rFonts w:hint="cs"/>
          <w:u w:val="none"/>
          <w:rtl/>
        </w:rPr>
        <w:t>مقر</w:t>
      </w:r>
      <w:r w:rsidR="00305AF6" w:rsidRPr="00D60185">
        <w:rPr>
          <w:u w:val="none"/>
          <w:rtl/>
        </w:rPr>
        <w:t xml:space="preserve"> </w:t>
      </w:r>
      <w:r w:rsidR="00305AF6" w:rsidRPr="00D60185">
        <w:rPr>
          <w:rFonts w:hint="cs"/>
          <w:u w:val="none"/>
          <w:rtl/>
        </w:rPr>
        <w:t>اليونسكو،</w:t>
      </w:r>
      <w:r w:rsidR="00305AF6" w:rsidRPr="00D60185">
        <w:rPr>
          <w:u w:val="none"/>
          <w:rtl/>
        </w:rPr>
        <w:t xml:space="preserve"> </w:t>
      </w:r>
      <w:r w:rsidR="00305AF6" w:rsidRPr="00D60185">
        <w:rPr>
          <w:rFonts w:hint="cs"/>
          <w:u w:val="none"/>
          <w:rtl/>
        </w:rPr>
        <w:t>واجتماع</w:t>
      </w:r>
      <w:r w:rsidR="00305AF6" w:rsidRPr="00D60185">
        <w:rPr>
          <w:u w:val="none"/>
          <w:rtl/>
        </w:rPr>
        <w:t xml:space="preserve"> </w:t>
      </w:r>
      <w:r w:rsidR="00305AF6" w:rsidRPr="00D60185">
        <w:rPr>
          <w:rFonts w:hint="cs"/>
          <w:u w:val="none"/>
          <w:rtl/>
        </w:rPr>
        <w:t>الخبراء</w:t>
      </w:r>
      <w:r w:rsidR="00305AF6" w:rsidRPr="00D60185">
        <w:rPr>
          <w:u w:val="none"/>
          <w:rtl/>
        </w:rPr>
        <w:t xml:space="preserve"> </w:t>
      </w:r>
      <w:r w:rsidR="00305AF6" w:rsidRPr="00D60185">
        <w:rPr>
          <w:rFonts w:hint="cs"/>
          <w:u w:val="none"/>
          <w:rtl/>
        </w:rPr>
        <w:t>الذي</w:t>
      </w:r>
      <w:r w:rsidR="00305AF6" w:rsidRPr="00D60185">
        <w:rPr>
          <w:u w:val="none"/>
          <w:rtl/>
        </w:rPr>
        <w:t xml:space="preserve"> </w:t>
      </w:r>
      <w:r w:rsidR="00305AF6" w:rsidRPr="00D60185">
        <w:rPr>
          <w:rFonts w:hint="cs"/>
          <w:u w:val="none"/>
          <w:rtl/>
        </w:rPr>
        <w:t>تم</w:t>
      </w:r>
      <w:r w:rsidR="00305AF6" w:rsidRPr="00D60185">
        <w:rPr>
          <w:u w:val="none"/>
          <w:rtl/>
        </w:rPr>
        <w:t xml:space="preserve"> </w:t>
      </w:r>
      <w:r w:rsidR="00305AF6" w:rsidRPr="00D60185">
        <w:rPr>
          <w:rFonts w:hint="cs"/>
          <w:u w:val="none"/>
          <w:rtl/>
        </w:rPr>
        <w:t>تنظيمه</w:t>
      </w:r>
      <w:r w:rsidR="00305AF6" w:rsidRPr="00D60185">
        <w:rPr>
          <w:u w:val="none"/>
          <w:rtl/>
        </w:rPr>
        <w:t xml:space="preserve"> </w:t>
      </w:r>
      <w:r w:rsidR="00305AF6" w:rsidRPr="00D60185">
        <w:rPr>
          <w:rFonts w:hint="cs"/>
          <w:u w:val="none"/>
          <w:rtl/>
        </w:rPr>
        <w:t>في</w:t>
      </w:r>
      <w:r w:rsidR="00305AF6" w:rsidRPr="00D60185">
        <w:rPr>
          <w:u w:val="none"/>
          <w:rtl/>
        </w:rPr>
        <w:t xml:space="preserve"> </w:t>
      </w:r>
      <w:r w:rsidR="00305AF6" w:rsidRPr="00D60185">
        <w:rPr>
          <w:rFonts w:hint="cs"/>
          <w:u w:val="none"/>
          <w:rtl/>
        </w:rPr>
        <w:t>بيرو</w:t>
      </w:r>
      <w:r w:rsidR="00305AF6" w:rsidRPr="00D60185">
        <w:rPr>
          <w:u w:val="none"/>
          <w:rtl/>
        </w:rPr>
        <w:t xml:space="preserve"> </w:t>
      </w:r>
      <w:r w:rsidR="00305AF6" w:rsidRPr="00D60185">
        <w:rPr>
          <w:rFonts w:hint="cs"/>
          <w:u w:val="none"/>
          <w:rtl/>
        </w:rPr>
        <w:t>بالتعاون</w:t>
      </w:r>
      <w:r w:rsidR="00305AF6" w:rsidRPr="00D60185">
        <w:rPr>
          <w:u w:val="none"/>
          <w:rtl/>
        </w:rPr>
        <w:t xml:space="preserve"> </w:t>
      </w:r>
      <w:r w:rsidR="00305AF6" w:rsidRPr="00D60185">
        <w:rPr>
          <w:rFonts w:hint="cs"/>
          <w:u w:val="none"/>
          <w:rtl/>
        </w:rPr>
        <w:t>مع</w:t>
      </w:r>
      <w:r w:rsidR="00305AF6" w:rsidRPr="00D60185">
        <w:rPr>
          <w:u w:val="none"/>
          <w:rtl/>
        </w:rPr>
        <w:t xml:space="preserve"> </w:t>
      </w:r>
      <w:r w:rsidR="00305AF6" w:rsidRPr="00D60185">
        <w:rPr>
          <w:rFonts w:hint="cs"/>
          <w:u w:val="none"/>
          <w:rtl/>
        </w:rPr>
        <w:t>مركز</w:t>
      </w:r>
      <w:r w:rsidR="00305AF6" w:rsidRPr="00D60185">
        <w:rPr>
          <w:u w:val="none"/>
          <w:rtl/>
        </w:rPr>
        <w:t xml:space="preserve"> من الفئة الثانية </w:t>
      </w:r>
      <w:r w:rsidR="00305AF6" w:rsidRPr="00D60185">
        <w:rPr>
          <w:rFonts w:hint="cs"/>
          <w:u w:val="none"/>
          <w:rtl/>
        </w:rPr>
        <w:t>كريسبيال،</w:t>
      </w:r>
      <w:r w:rsidR="00305AF6" w:rsidRPr="00D60185">
        <w:rPr>
          <w:u w:val="none"/>
          <w:rtl/>
        </w:rPr>
        <w:t xml:space="preserve"> </w:t>
      </w:r>
      <w:r w:rsidR="00305AF6" w:rsidRPr="00D60185">
        <w:rPr>
          <w:rFonts w:hint="cs"/>
          <w:u w:val="none"/>
          <w:rtl/>
        </w:rPr>
        <w:t>وإطلاق</w:t>
      </w:r>
      <w:r w:rsidR="00305AF6" w:rsidRPr="00D60185">
        <w:rPr>
          <w:u w:val="none"/>
          <w:rtl/>
        </w:rPr>
        <w:t xml:space="preserve"> </w:t>
      </w:r>
      <w:r w:rsidR="00305AF6" w:rsidRPr="00D60185">
        <w:rPr>
          <w:rFonts w:hint="cs"/>
          <w:u w:val="none"/>
          <w:rtl/>
        </w:rPr>
        <w:t>منشور</w:t>
      </w:r>
      <w:r w:rsidR="00305AF6" w:rsidRPr="00D60185">
        <w:rPr>
          <w:u w:val="none"/>
          <w:rtl/>
        </w:rPr>
        <w:t xml:space="preserve"> </w:t>
      </w:r>
      <w:r w:rsidR="00305AF6" w:rsidRPr="00D60185">
        <w:rPr>
          <w:rFonts w:hint="cs"/>
          <w:u w:val="none"/>
          <w:rtl/>
        </w:rPr>
        <w:t>يجمع</w:t>
      </w:r>
      <w:r w:rsidR="00305AF6" w:rsidRPr="00D60185">
        <w:rPr>
          <w:u w:val="none"/>
          <w:rtl/>
        </w:rPr>
        <w:t xml:space="preserve"> </w:t>
      </w:r>
      <w:r w:rsidR="00305AF6" w:rsidRPr="00D60185">
        <w:rPr>
          <w:rFonts w:hint="cs"/>
          <w:u w:val="none"/>
          <w:rtl/>
        </w:rPr>
        <w:t>نتائج</w:t>
      </w:r>
      <w:r w:rsidR="00305AF6" w:rsidRPr="00D60185">
        <w:rPr>
          <w:u w:val="none"/>
          <w:rtl/>
        </w:rPr>
        <w:t xml:space="preserve"> </w:t>
      </w:r>
      <w:r w:rsidR="00305AF6" w:rsidRPr="00D60185">
        <w:rPr>
          <w:rFonts w:hint="cs"/>
          <w:u w:val="none"/>
          <w:rtl/>
        </w:rPr>
        <w:t>التفكير</w:t>
      </w:r>
      <w:r w:rsidR="00305AF6" w:rsidRPr="00D60185">
        <w:rPr>
          <w:u w:val="none"/>
          <w:rtl/>
        </w:rPr>
        <w:t xml:space="preserve"> </w:t>
      </w:r>
      <w:r w:rsidR="00305AF6" w:rsidRPr="00D60185">
        <w:rPr>
          <w:rFonts w:hint="cs"/>
          <w:u w:val="none"/>
          <w:rtl/>
        </w:rPr>
        <w:t>الإقليمي؛</w:t>
      </w:r>
    </w:p>
    <w:p w14:paraId="5713A973" w14:textId="7C3A5DEB" w:rsidR="00E3435D" w:rsidRDefault="00DE4387" w:rsidP="00E3435D">
      <w:pPr>
        <w:pStyle w:val="COMParaDecision"/>
        <w:bidi/>
        <w:rPr>
          <w:u w:val="none"/>
          <w:rtl/>
        </w:rPr>
      </w:pPr>
      <w:r>
        <w:rPr>
          <w:rFonts w:hint="cs"/>
          <w:rtl/>
        </w:rPr>
        <w:t>وتشكر</w:t>
      </w:r>
      <w:r>
        <w:rPr>
          <w:rFonts w:hint="cs"/>
          <w:u w:val="none"/>
          <w:rtl/>
        </w:rPr>
        <w:t xml:space="preserve"> الدول الأطراف التي قدمت بسخاء دعماً عينياً أو من خارج الميزانية للاحتفال بالذكرى السنوية العشرين للاتفاقية؛</w:t>
      </w:r>
    </w:p>
    <w:p w14:paraId="7CB47518" w14:textId="0380C631" w:rsidR="0051321C" w:rsidRPr="007E1B3A" w:rsidRDefault="0051321C" w:rsidP="0051321C">
      <w:pPr>
        <w:pStyle w:val="COMParaDecision"/>
        <w:bidi/>
        <w:rPr>
          <w:rtl/>
        </w:rPr>
      </w:pPr>
      <w:r>
        <w:rPr>
          <w:rFonts w:hint="cs"/>
          <w:rtl/>
        </w:rPr>
        <w:t>وتعرب عن تقديرها</w:t>
      </w:r>
      <w:r>
        <w:rPr>
          <w:rFonts w:hint="cs"/>
          <w:u w:val="none"/>
          <w:rtl/>
        </w:rPr>
        <w:t xml:space="preserve"> للأمانة وجميع الدول الأطراف و</w:t>
      </w:r>
      <w:r w:rsidR="00305AF6" w:rsidRPr="00D60185">
        <w:rPr>
          <w:u w:val="none"/>
          <w:rtl/>
        </w:rPr>
        <w:t>الجماعات</w:t>
      </w:r>
      <w:r>
        <w:rPr>
          <w:rFonts w:hint="cs"/>
          <w:u w:val="none"/>
          <w:rtl/>
        </w:rPr>
        <w:t xml:space="preserve"> والأطراف المعنية الأخرى لمشاركتها النشطة في الاحتفال طوال عام الذكرى السنوية، لا سيما في تعزيز أهداف الاتفاقية، وتقييم الإنجازات الماضية، واستكشاف تطور الاتفاقية في المستقبل.</w:t>
      </w:r>
    </w:p>
    <w:p w14:paraId="23366B11" w14:textId="3AE34488" w:rsidR="00AF3FF2" w:rsidRDefault="00AF3FF2" w:rsidP="00DE4D42">
      <w:pPr>
        <w:pStyle w:val="COMParaDecision"/>
        <w:numPr>
          <w:ilvl w:val="0"/>
          <w:numId w:val="0"/>
        </w:numPr>
        <w:ind w:left="1134" w:hanging="567"/>
      </w:pPr>
    </w:p>
    <w:sectPr w:rsidR="00AF3FF2" w:rsidSect="00117152">
      <w:headerReference w:type="even" r:id="rId23"/>
      <w:headerReference w:type="default" r:id="rId24"/>
      <w:headerReference w:type="first" r:id="rId2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C096" w14:textId="77777777" w:rsidR="00117152" w:rsidRDefault="00117152" w:rsidP="00655736">
      <w:r>
        <w:separator/>
      </w:r>
    </w:p>
  </w:endnote>
  <w:endnote w:type="continuationSeparator" w:id="0">
    <w:p w14:paraId="16C45610" w14:textId="77777777" w:rsidR="00117152" w:rsidRDefault="0011715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akoutLinotypeLight-Regular">
    <w:altName w:val="Arial"/>
    <w:panose1 w:val="00000000000000000000"/>
    <w:charset w:val="B2"/>
    <w:family w:val="auto"/>
    <w:notTrueType/>
    <w:pitch w:val="default"/>
    <w:sig w:usb0="00002001" w:usb1="00000000" w:usb2="00000000" w:usb3="00000000" w:csb0="0000004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D596" w14:textId="77777777" w:rsidR="00117152" w:rsidRDefault="00117152" w:rsidP="00655736">
      <w:r>
        <w:separator/>
      </w:r>
    </w:p>
  </w:footnote>
  <w:footnote w:type="continuationSeparator" w:id="0">
    <w:p w14:paraId="08C76C86" w14:textId="77777777" w:rsidR="00117152" w:rsidRDefault="00117152" w:rsidP="00655736">
      <w:r>
        <w:continuationSeparator/>
      </w:r>
    </w:p>
  </w:footnote>
  <w:footnote w:id="1">
    <w:p w14:paraId="3B670565" w14:textId="009F899F" w:rsidR="00F561D6" w:rsidRPr="006F59C9" w:rsidRDefault="00F561D6" w:rsidP="004815E1">
      <w:pPr>
        <w:pStyle w:val="Notedebasdepage"/>
        <w:bidi/>
        <w:spacing w:after="120"/>
        <w:jc w:val="both"/>
        <w:rPr>
          <w:rFonts w:ascii="Arial" w:hAnsi="Arial" w:cs="Arial"/>
          <w:sz w:val="18"/>
          <w:szCs w:val="18"/>
          <w:rtl/>
        </w:rPr>
      </w:pPr>
      <w:r w:rsidRPr="00A11DDE">
        <w:rPr>
          <w:rStyle w:val="Appelnotedebasdep"/>
        </w:rPr>
        <w:footnoteRef/>
      </w:r>
      <w:r w:rsidR="00A11DDE" w:rsidRPr="00A11DDE">
        <w:rPr>
          <w:vertAlign w:val="superscript"/>
        </w:rPr>
        <w:t>.</w:t>
      </w:r>
      <w:r>
        <w:rPr>
          <w:rFonts w:hint="cs"/>
          <w:rtl/>
        </w:rPr>
        <w:tab/>
      </w:r>
      <w:hyperlink r:id="rId1" w:history="1">
        <w:r>
          <w:rPr>
            <w:rFonts w:hint="cs"/>
            <w:rtl/>
          </w:rPr>
          <w:t xml:space="preserve"> </w:t>
        </w:r>
        <w:r>
          <w:rPr>
            <w:rStyle w:val="Lienhypertexte"/>
            <w:rFonts w:ascii="Arial" w:hAnsi="Arial" w:hint="cs"/>
            <w:color w:val="auto"/>
            <w:sz w:val="18"/>
            <w:u w:val="none"/>
            <w:rtl/>
          </w:rPr>
          <w:t xml:space="preserve">تم تنظيم </w:t>
        </w:r>
        <w:r>
          <w:rPr>
            <w:rStyle w:val="Lienhypertexte"/>
            <w:rFonts w:ascii="Arial" w:hAnsi="Arial" w:hint="cs"/>
            <w:sz w:val="18"/>
            <w:rtl/>
          </w:rPr>
          <w:t>المؤتمر</w:t>
        </w:r>
      </w:hyperlink>
      <w:r>
        <w:rPr>
          <w:rStyle w:val="lev"/>
          <w:rFonts w:ascii="Arial" w:hAnsi="Arial" w:hint="cs"/>
          <w:b w:val="0"/>
          <w:bCs w:val="0"/>
          <w:sz w:val="18"/>
          <w:szCs w:val="18"/>
          <w:rtl/>
        </w:rPr>
        <w:t xml:space="preserve"> كجزء من أسبوع أمريكا اللاتينية ومنطقة البحر الكاريبي في اليونسكو في 21 و22 و30 حزيران/يونيو 2023.</w:t>
      </w:r>
    </w:p>
  </w:footnote>
  <w:footnote w:id="2">
    <w:p w14:paraId="4B622FAB" w14:textId="036F3DDB" w:rsidR="00916721" w:rsidRPr="006F59C9" w:rsidRDefault="00916721" w:rsidP="004815E1">
      <w:pPr>
        <w:pStyle w:val="Notedebasdepage"/>
        <w:bidi/>
        <w:spacing w:after="120"/>
        <w:jc w:val="both"/>
        <w:rPr>
          <w:rFonts w:ascii="Arial" w:hAnsi="Arial" w:cs="Arial"/>
          <w:sz w:val="18"/>
          <w:szCs w:val="18"/>
          <w:rtl/>
        </w:rPr>
      </w:pPr>
      <w:r w:rsidRPr="00A11DDE">
        <w:rPr>
          <w:rStyle w:val="Appelnotedebasdep"/>
        </w:rPr>
        <w:footnoteRef/>
      </w:r>
      <w:r w:rsidR="00A11DDE" w:rsidRPr="00A11DDE">
        <w:rPr>
          <w:vertAlign w:val="superscript"/>
        </w:rPr>
        <w:t>.</w:t>
      </w:r>
      <w:r>
        <w:rPr>
          <w:rFonts w:hint="cs"/>
          <w:rtl/>
        </w:rPr>
        <w:tab/>
      </w:r>
      <w:hyperlink r:id="rId2" w:history="1">
        <w:r>
          <w:rPr>
            <w:rFonts w:ascii="Arial" w:hAnsi="Arial" w:hint="cs"/>
            <w:sz w:val="18"/>
            <w:szCs w:val="18"/>
            <w:rtl/>
          </w:rPr>
          <w:t xml:space="preserve"> </w:t>
        </w:r>
        <w:r>
          <w:rPr>
            <w:rStyle w:val="Lienhypertexte"/>
            <w:rFonts w:ascii="Arial" w:hAnsi="Arial" w:hint="cs"/>
            <w:sz w:val="18"/>
            <w:rtl/>
          </w:rPr>
          <w:t xml:space="preserve">المنتدى </w:t>
        </w:r>
        <w:proofErr w:type="spellStart"/>
        <w:r>
          <w:rPr>
            <w:rStyle w:val="Lienhypertexte"/>
            <w:rFonts w:ascii="Arial" w:hAnsi="Arial" w:hint="cs"/>
            <w:sz w:val="18"/>
            <w:rtl/>
          </w:rPr>
          <w:t>الدولي:</w:t>
        </w:r>
      </w:hyperlink>
      <w:r>
        <w:rPr>
          <w:rFonts w:hint="cs"/>
          <w:rtl/>
        </w:rPr>
        <w:t>تم</w:t>
      </w:r>
      <w:proofErr w:type="spellEnd"/>
      <w:r>
        <w:rPr>
          <w:rFonts w:hint="cs"/>
          <w:rtl/>
        </w:rPr>
        <w:t xml:space="preserve"> تنظيم </w:t>
      </w:r>
      <w:hyperlink r:id="rId3" w:history="1">
        <w:r>
          <w:rPr>
            <w:rStyle w:val="Lienhypertexte"/>
            <w:rFonts w:ascii="Arial" w:hAnsi="Arial" w:hint="cs"/>
            <w:sz w:val="18"/>
            <w:rtl/>
          </w:rPr>
          <w:t>التراث الحي لأمريكا اللاتينية</w:t>
        </w:r>
      </w:hyperlink>
      <w:r>
        <w:rPr>
          <w:rFonts w:ascii="Arial" w:hAnsi="Arial" w:hint="cs"/>
          <w:sz w:val="18"/>
          <w:szCs w:val="18"/>
          <w:rtl/>
        </w:rPr>
        <w:t xml:space="preserve"> من قبل وزارة الثقافة في بيرو والمركز الإقليمي لصون التراث الثقافي غير المادي في أمريكا اللاتينية </w:t>
      </w:r>
      <w:r w:rsidR="00975DC6">
        <w:rPr>
          <w:rFonts w:ascii="Arial" w:hAnsi="Arial"/>
          <w:sz w:val="18"/>
          <w:szCs w:val="18"/>
        </w:rPr>
        <w:tab/>
      </w:r>
      <w:r>
        <w:rPr>
          <w:rFonts w:ascii="Arial" w:hAnsi="Arial" w:hint="cs"/>
          <w:sz w:val="18"/>
          <w:szCs w:val="18"/>
          <w:rtl/>
        </w:rPr>
        <w:t>(</w:t>
      </w:r>
      <w:proofErr w:type="spellStart"/>
      <w:r>
        <w:rPr>
          <w:rFonts w:ascii="Arial" w:hAnsi="Arial" w:hint="cs"/>
          <w:sz w:val="18"/>
          <w:szCs w:val="18"/>
          <w:rtl/>
        </w:rPr>
        <w:t>كريسبال</w:t>
      </w:r>
      <w:proofErr w:type="spellEnd"/>
      <w:r>
        <w:rPr>
          <w:rFonts w:ascii="Arial" w:hAnsi="Arial" w:hint="cs"/>
          <w:sz w:val="18"/>
          <w:szCs w:val="18"/>
          <w:rtl/>
        </w:rPr>
        <w:t>) ومكتب اليونسكو في بيرو في الفترة من 19 إلى 21 تشرين الأول/أكتوبر 2023 في ليما، بيرو.</w:t>
      </w:r>
    </w:p>
  </w:footnote>
  <w:footnote w:id="3">
    <w:p w14:paraId="2CBF00B9" w14:textId="5DA4AAAA" w:rsidR="004815E1" w:rsidRPr="006802B1" w:rsidRDefault="004815E1" w:rsidP="006802B1">
      <w:pPr>
        <w:pStyle w:val="Notedebasdepage"/>
        <w:bidi/>
        <w:spacing w:after="120"/>
        <w:rPr>
          <w:rtl/>
        </w:rPr>
      </w:pPr>
      <w:r w:rsidRPr="00A11DDE">
        <w:rPr>
          <w:rStyle w:val="Appelnotedebasdep"/>
        </w:rPr>
        <w:footnoteRef/>
      </w:r>
      <w:r w:rsidR="00A11DDE" w:rsidRPr="00A11DDE">
        <w:rPr>
          <w:vertAlign w:val="superscript"/>
        </w:rPr>
        <w:t>.</w:t>
      </w:r>
      <w:r>
        <w:rPr>
          <w:rFonts w:hint="cs"/>
          <w:rtl/>
        </w:rPr>
        <w:tab/>
        <w:t xml:space="preserve"> </w:t>
      </w:r>
      <w:r>
        <w:rPr>
          <w:rStyle w:val="lev"/>
          <w:rFonts w:ascii="Arial" w:hAnsi="Arial" w:hint="cs"/>
          <w:b w:val="0"/>
          <w:bCs w:val="0"/>
          <w:sz w:val="18"/>
          <w:szCs w:val="18"/>
          <w:rtl/>
        </w:rPr>
        <w:t xml:space="preserve">حمل </w:t>
      </w:r>
      <w:hyperlink r:id="rId4" w:history="1">
        <w:r>
          <w:rPr>
            <w:rStyle w:val="Lienhypertexte"/>
            <w:rFonts w:ascii="Arial" w:hAnsi="Arial" w:hint="cs"/>
            <w:sz w:val="18"/>
            <w:rtl/>
          </w:rPr>
          <w:t>المنشور</w:t>
        </w:r>
      </w:hyperlink>
      <w:r>
        <w:rPr>
          <w:rStyle w:val="lev"/>
          <w:rFonts w:ascii="Arial" w:hAnsi="Arial" w:hint="cs"/>
          <w:b w:val="0"/>
          <w:bCs w:val="0"/>
          <w:sz w:val="18"/>
          <w:szCs w:val="18"/>
          <w:rtl/>
        </w:rPr>
        <w:t xml:space="preserve"> عنوان</w:t>
      </w:r>
      <w:r>
        <w:rPr>
          <w:rStyle w:val="lev"/>
          <w:rFonts w:ascii="Arial" w:hAnsi="Arial" w:hint="cs"/>
          <w:sz w:val="18"/>
          <w:szCs w:val="18"/>
          <w:rtl/>
        </w:rPr>
        <w:t xml:space="preserve"> '</w:t>
      </w:r>
      <w:r>
        <w:rPr>
          <w:rStyle w:val="lev"/>
          <w:rFonts w:ascii="Arial" w:hAnsi="Arial" w:hint="cs"/>
          <w:b w:val="0"/>
          <w:bCs w:val="0"/>
          <w:sz w:val="18"/>
          <w:szCs w:val="18"/>
          <w:rtl/>
        </w:rPr>
        <w:t>الذكرى السنوية العشرون لاتفاقية صون التراث الثقافي غير المادي: استراتيجيات وتجارب من أمريكا اللاتينية ومنطقة البحر الكاريبي'</w:t>
      </w:r>
    </w:p>
  </w:footnote>
  <w:footnote w:id="4">
    <w:p w14:paraId="20FA2DA1" w14:textId="11341243" w:rsidR="00EC099F" w:rsidRPr="006F59C9" w:rsidRDefault="00EC099F" w:rsidP="004815E1">
      <w:pPr>
        <w:pStyle w:val="Notedebasdepage"/>
        <w:bidi/>
        <w:spacing w:after="120"/>
        <w:jc w:val="both"/>
        <w:rPr>
          <w:rFonts w:ascii="Arial" w:hAnsi="Arial" w:cs="Arial"/>
          <w:sz w:val="18"/>
          <w:szCs w:val="18"/>
          <w:rtl/>
        </w:rPr>
      </w:pPr>
      <w:r w:rsidRPr="00A11DDE">
        <w:rPr>
          <w:rStyle w:val="Appelnotedebasdep"/>
          <w:rFonts w:ascii="Arial" w:hAnsi="Arial" w:cs="Arial"/>
          <w:sz w:val="18"/>
          <w:szCs w:val="18"/>
        </w:rPr>
        <w:footnoteRef/>
      </w:r>
      <w:r w:rsidR="00A11DDE" w:rsidRPr="00A11DDE">
        <w:rPr>
          <w:rFonts w:ascii="Arial" w:hAnsi="Arial"/>
          <w:sz w:val="18"/>
          <w:szCs w:val="18"/>
          <w:vertAlign w:val="superscript"/>
        </w:rPr>
        <w:t>.</w:t>
      </w:r>
      <w:r>
        <w:rPr>
          <w:rFonts w:ascii="Arial" w:hAnsi="Arial" w:hint="cs"/>
          <w:sz w:val="18"/>
          <w:szCs w:val="18"/>
          <w:rtl/>
        </w:rPr>
        <w:tab/>
        <w:t xml:space="preserve"> تمت استضافة </w:t>
      </w:r>
      <w:hyperlink r:id="rId5" w:history="1">
        <w:r>
          <w:rPr>
            <w:rStyle w:val="Lienhypertexte"/>
            <w:rFonts w:ascii="Arial" w:hAnsi="Arial" w:hint="cs"/>
            <w:sz w:val="18"/>
            <w:rtl/>
          </w:rPr>
          <w:t>الاجتماع</w:t>
        </w:r>
      </w:hyperlink>
      <w:r>
        <w:rPr>
          <w:rFonts w:ascii="Arial" w:hAnsi="Arial" w:hint="cs"/>
          <w:sz w:val="18"/>
          <w:szCs w:val="18"/>
          <w:rtl/>
        </w:rPr>
        <w:t xml:space="preserve"> من قبل وزارة الشؤون الخارجية لجمهورية كوريا، وإدارة التراث الثقافي لجمهورية كوريا، بالتعاون مع اليونسكو، والمركز الدولي </w:t>
      </w:r>
      <w:r w:rsidR="00861C99">
        <w:rPr>
          <w:rFonts w:ascii="Arial" w:hAnsi="Arial"/>
          <w:sz w:val="18"/>
          <w:szCs w:val="18"/>
        </w:rPr>
        <w:tab/>
      </w:r>
      <w:r>
        <w:rPr>
          <w:rFonts w:ascii="Arial" w:hAnsi="Arial" w:hint="cs"/>
          <w:sz w:val="18"/>
          <w:szCs w:val="18"/>
          <w:rtl/>
        </w:rPr>
        <w:t xml:space="preserve">للمعلومات والمركز الدولي للإعلام والربط الشبكي في مجال التراث الثقافي غير المادي لمنطقة آسيا والمحيط الهادي في إطار برنامج الأمم المتحدة الإنمائي تحت </w:t>
      </w:r>
      <w:r w:rsidR="00861C99">
        <w:rPr>
          <w:rFonts w:ascii="Arial" w:hAnsi="Arial"/>
          <w:sz w:val="18"/>
          <w:szCs w:val="18"/>
        </w:rPr>
        <w:tab/>
      </w:r>
      <w:r>
        <w:rPr>
          <w:rFonts w:ascii="Arial" w:hAnsi="Arial" w:hint="cs"/>
          <w:sz w:val="18"/>
          <w:szCs w:val="18"/>
          <w:rtl/>
        </w:rPr>
        <w:t>رعاية اليونسكو ومؤسسة التراث الثقافي الكوري.</w:t>
      </w:r>
    </w:p>
  </w:footnote>
  <w:footnote w:id="5">
    <w:p w14:paraId="144B9669" w14:textId="15AD480B" w:rsidR="002E1232" w:rsidRPr="006F59C9" w:rsidRDefault="002E1232" w:rsidP="004815E1">
      <w:pPr>
        <w:pStyle w:val="Notedebasdepage"/>
        <w:bidi/>
        <w:spacing w:after="120"/>
        <w:jc w:val="both"/>
        <w:rPr>
          <w:rFonts w:ascii="Arial" w:hAnsi="Arial" w:cs="Arial"/>
          <w:sz w:val="18"/>
          <w:szCs w:val="18"/>
          <w:rtl/>
        </w:rPr>
      </w:pPr>
      <w:r w:rsidRPr="00A11DDE">
        <w:rPr>
          <w:rStyle w:val="Appelnotedebasdep"/>
          <w:rFonts w:ascii="Arial" w:hAnsi="Arial" w:cs="Arial"/>
          <w:sz w:val="18"/>
          <w:szCs w:val="18"/>
        </w:rPr>
        <w:footnoteRef/>
      </w:r>
      <w:r w:rsidR="00A11DDE" w:rsidRPr="00A11DDE">
        <w:rPr>
          <w:rFonts w:ascii="Arial" w:hAnsi="Arial"/>
          <w:sz w:val="18"/>
          <w:szCs w:val="18"/>
          <w:vertAlign w:val="superscript"/>
        </w:rPr>
        <w:t>.</w:t>
      </w:r>
      <w:r>
        <w:rPr>
          <w:rFonts w:ascii="Arial" w:hAnsi="Arial" w:hint="cs"/>
          <w:sz w:val="18"/>
          <w:szCs w:val="18"/>
          <w:rtl/>
        </w:rPr>
        <w:tab/>
        <w:t xml:space="preserve"> تم تنظيم </w:t>
      </w:r>
      <w:hyperlink r:id="rId6" w:history="1">
        <w:r>
          <w:rPr>
            <w:rStyle w:val="Lienhypertexte"/>
            <w:rFonts w:ascii="Arial" w:hAnsi="Arial" w:hint="cs"/>
            <w:sz w:val="18"/>
            <w:rtl/>
          </w:rPr>
          <w:t>مؤتمر</w:t>
        </w:r>
      </w:hyperlink>
      <w:r>
        <w:rPr>
          <w:rFonts w:ascii="Arial" w:hAnsi="Arial" w:hint="cs"/>
          <w:sz w:val="18"/>
          <w:szCs w:val="18"/>
          <w:rtl/>
        </w:rPr>
        <w:t xml:space="preserve"> بالتعاون مع وزارة الخارجية والتعاون الدولي الإيطالية، وكذلك وزارة الثقافة الإيطالية، وبدعم من مدينة نابولي.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6E1D1D2" w:rsidR="00D95C4C" w:rsidRPr="00C23A97" w:rsidRDefault="00C5776D" w:rsidP="00C5776D">
    <w:pPr>
      <w:pStyle w:val="En-tte"/>
      <w:bidi/>
      <w:rPr>
        <w:rFonts w:ascii="Arial" w:hAnsi="Arial" w:cs="Arial"/>
        <w:rtl/>
      </w:rPr>
    </w:pPr>
    <w:r>
      <w:rPr>
        <w:rFonts w:ascii="Arial" w:hAnsi="Arial"/>
        <w:sz w:val="20"/>
        <w:szCs w:val="20"/>
      </w:rPr>
      <w:t>LHE/24/10.GA/10</w:t>
    </w:r>
    <w:r>
      <w:rPr>
        <w:rFonts w:ascii="Arial" w:hAnsi="Arial" w:hint="cs"/>
        <w:sz w:val="20"/>
        <w:szCs w:val="20"/>
        <w:rtl/>
      </w:rPr>
      <w:t xml:space="preserve"> – صفحة </w:t>
    </w:r>
    <w:r w:rsidR="00D95C4C" w:rsidRPr="00C23A97">
      <w:rPr>
        <w:rStyle w:val="Numrodepage"/>
        <w:rFonts w:ascii="Arial" w:hAnsi="Arial" w:cs="Arial" w:hint="cs"/>
        <w:sz w:val="20"/>
        <w:rtl/>
      </w:rPr>
      <w:fldChar w:fldCharType="begin"/>
    </w:r>
    <w:r>
      <w:rPr>
        <w:rtl/>
      </w:rPr>
      <w:instrText xml:space="preserve"> </w:instrText>
    </w:r>
    <w:r w:rsidR="00D95C4C" w:rsidRPr="00C23A97">
      <w:rPr>
        <w:rStyle w:val="Numrodepage"/>
        <w:rFonts w:ascii="Arial" w:hAnsi="Arial" w:cs="Arial" w:hint="cs"/>
        <w:sz w:val="20"/>
      </w:rPr>
      <w:instrText xml:space="preserve">PAGE </w:instrText>
    </w:r>
    <w:r w:rsidR="00D95C4C" w:rsidRPr="00C23A97">
      <w:rPr>
        <w:rStyle w:val="Numrodepage"/>
        <w:rFonts w:ascii="Arial" w:hAnsi="Arial" w:cs="Arial" w:hint="cs"/>
        <w:sz w:val="20"/>
        <w:rtl/>
      </w:rPr>
      <w:fldChar w:fldCharType="separate"/>
    </w:r>
    <w:r w:rsidR="006E75EB">
      <w:rPr>
        <w:rStyle w:val="Numrodepage"/>
        <w:rFonts w:ascii="Arial" w:hAnsi="Arial" w:cs="Arial" w:hint="cs"/>
        <w:sz w:val="20"/>
        <w:rtl/>
      </w:rPr>
      <w:t>2</w:t>
    </w:r>
    <w:r w:rsidR="00D95C4C" w:rsidRPr="00C23A97">
      <w:rPr>
        <w:rStyle w:val="Numrodepage"/>
        <w:rFonts w:ascii="Arial" w:hAnsi="Arial" w:cs="Arial" w:hint="cs"/>
        <w:sz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4FE0FE74" w:rsidR="00D95C4C" w:rsidRPr="0063300C" w:rsidRDefault="00C5776D" w:rsidP="00C5776D">
    <w:pPr>
      <w:pStyle w:val="En-tte"/>
      <w:bidi/>
      <w:jc w:val="right"/>
      <w:rPr>
        <w:rFonts w:ascii="Arial" w:hAnsi="Arial" w:cs="Arial"/>
        <w:rtl/>
      </w:rPr>
    </w:pPr>
    <w:r>
      <w:rPr>
        <w:rFonts w:ascii="Arial" w:hAnsi="Arial"/>
        <w:sz w:val="20"/>
        <w:szCs w:val="20"/>
      </w:rPr>
      <w:t>LHE/24/10.GA/10</w:t>
    </w:r>
    <w:r>
      <w:rPr>
        <w:rFonts w:ascii="Arial" w:hAnsi="Arial" w:hint="cs"/>
        <w:sz w:val="20"/>
        <w:szCs w:val="20"/>
        <w:rtl/>
      </w:rPr>
      <w:t xml:space="preserve"> – صفحة </w:t>
    </w:r>
    <w:r w:rsidR="004A34A0" w:rsidRPr="0063300C">
      <w:rPr>
        <w:rStyle w:val="Numrodepage"/>
        <w:rFonts w:ascii="Arial" w:hAnsi="Arial" w:cs="Arial" w:hint="cs"/>
        <w:sz w:val="20"/>
        <w:rtl/>
      </w:rPr>
      <w:fldChar w:fldCharType="begin"/>
    </w:r>
    <w:r>
      <w:rPr>
        <w:rtl/>
      </w:rPr>
      <w:instrText xml:space="preserve"> </w:instrText>
    </w:r>
    <w:r w:rsidR="004A34A0" w:rsidRPr="0063300C">
      <w:rPr>
        <w:rStyle w:val="Numrodepage"/>
        <w:rFonts w:ascii="Arial" w:hAnsi="Arial" w:cs="Arial" w:hint="cs"/>
        <w:sz w:val="20"/>
      </w:rPr>
      <w:instrText xml:space="preserve">PAGE </w:instrText>
    </w:r>
    <w:r w:rsidR="004A34A0" w:rsidRPr="0063300C">
      <w:rPr>
        <w:rStyle w:val="Numrodepage"/>
        <w:rFonts w:ascii="Arial" w:hAnsi="Arial" w:cs="Arial" w:hint="cs"/>
        <w:sz w:val="20"/>
        <w:rtl/>
      </w:rPr>
      <w:fldChar w:fldCharType="separate"/>
    </w:r>
    <w:r w:rsidR="00190205">
      <w:rPr>
        <w:rStyle w:val="Numrodepage"/>
        <w:rFonts w:ascii="Arial" w:hAnsi="Arial" w:cs="Arial" w:hint="cs"/>
        <w:sz w:val="20"/>
        <w:rtl/>
      </w:rPr>
      <w:t>3</w:t>
    </w:r>
    <w:r w:rsidR="004A34A0" w:rsidRPr="0063300C">
      <w:rPr>
        <w:rStyle w:val="Numrodepage"/>
        <w:rFonts w:ascii="Arial" w:hAnsi="Arial" w:cs="Arial" w:hint="cs"/>
        <w:sz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4C958BFC" w:rsidR="00D95C4C" w:rsidRPr="00E95AE2" w:rsidRDefault="002373F1">
    <w:pPr>
      <w:pStyle w:val="En-tte"/>
      <w:bidi/>
      <w:rPr>
        <w:sz w:val="22"/>
        <w:szCs w:val="22"/>
        <w:rtl/>
      </w:rPr>
    </w:pPr>
    <w:r>
      <w:rPr>
        <w:noProof/>
      </w:rPr>
      <w:drawing>
        <wp:anchor distT="0" distB="0" distL="114300" distR="114300" simplePos="0" relativeHeight="251659264" behindDoc="0" locked="0" layoutInCell="1" allowOverlap="1" wp14:anchorId="20281725" wp14:editId="313EA791">
          <wp:simplePos x="0" y="0"/>
          <wp:positionH relativeFrom="margin">
            <wp:posOffset>4182110</wp:posOffset>
          </wp:positionH>
          <wp:positionV relativeFrom="paragraph">
            <wp:posOffset>-47625</wp:posOffset>
          </wp:positionV>
          <wp:extent cx="1842770" cy="1439545"/>
          <wp:effectExtent l="0" t="0" r="5080" b="8255"/>
          <wp:wrapSquare wrapText="bothSides"/>
          <wp:docPr id="2052832974" name="Image 205283297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00725" name="Image 1463000725"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4B5804DB" w:rsidR="00D95C4C" w:rsidRPr="00D7105A" w:rsidRDefault="005C792B" w:rsidP="00C5776D">
    <w:pPr>
      <w:pStyle w:val="En-tte"/>
      <w:bidi/>
      <w:spacing w:after="520"/>
      <w:jc w:val="right"/>
      <w:rPr>
        <w:rFonts w:ascii="Arial" w:hAnsi="Arial" w:cs="Arial"/>
        <w:b/>
        <w:sz w:val="44"/>
        <w:szCs w:val="44"/>
        <w:rtl/>
      </w:rPr>
    </w:pPr>
    <w:r>
      <w:rPr>
        <w:rFonts w:ascii="Arial" w:hAnsi="Arial"/>
        <w:b/>
        <w:bCs/>
        <w:sz w:val="44"/>
        <w:szCs w:val="44"/>
      </w:rPr>
      <w:t>‎10 GA</w:t>
    </w:r>
  </w:p>
  <w:p w14:paraId="306484B8" w14:textId="67622C89" w:rsidR="00D95C4C" w:rsidRPr="00D7105A" w:rsidRDefault="00C5776D" w:rsidP="00C5776D">
    <w:pPr>
      <w:bidi/>
      <w:jc w:val="right"/>
      <w:rPr>
        <w:rFonts w:ascii="Arial" w:hAnsi="Arial" w:cs="Arial"/>
        <w:b/>
        <w:sz w:val="22"/>
        <w:szCs w:val="22"/>
        <w:rtl/>
      </w:rPr>
    </w:pPr>
    <w:r>
      <w:rPr>
        <w:rFonts w:ascii="Arial" w:hAnsi="Arial"/>
        <w:b/>
        <w:bCs/>
        <w:sz w:val="22"/>
        <w:szCs w:val="22"/>
      </w:rPr>
      <w:t>LHE/24/10.GA/10</w:t>
    </w:r>
  </w:p>
  <w:p w14:paraId="1B4446C3" w14:textId="3BC8E79A" w:rsidR="00D95C4C" w:rsidRPr="00D7105A" w:rsidRDefault="00D95C4C" w:rsidP="00655736">
    <w:pPr>
      <w:bidi/>
      <w:jc w:val="right"/>
      <w:rPr>
        <w:rFonts w:ascii="Arial" w:eastAsiaTheme="minorEastAsia" w:hAnsi="Arial" w:cs="Arial"/>
        <w:b/>
        <w:sz w:val="22"/>
        <w:szCs w:val="22"/>
        <w:rtl/>
      </w:rPr>
    </w:pPr>
    <w:r>
      <w:rPr>
        <w:rFonts w:ascii="Arial" w:hAnsi="Arial" w:hint="cs"/>
        <w:b/>
        <w:bCs/>
        <w:sz w:val="22"/>
        <w:szCs w:val="22"/>
        <w:rtl/>
      </w:rPr>
      <w:t>باريس، 13 أيار/مايو 2024</w:t>
    </w:r>
  </w:p>
  <w:p w14:paraId="255B57FF" w14:textId="2569E2C0" w:rsidR="00D95C4C" w:rsidRPr="00F32C23" w:rsidRDefault="00D95C4C" w:rsidP="00962034">
    <w:pPr>
      <w:bidi/>
      <w:spacing w:after="120"/>
      <w:jc w:val="right"/>
      <w:rPr>
        <w:rFonts w:ascii="Arial" w:hAnsi="Arial" w:cs="Arial"/>
        <w:b/>
        <w:sz w:val="22"/>
        <w:szCs w:val="22"/>
        <w:rtl/>
      </w:rPr>
    </w:pPr>
    <w:r>
      <w:rPr>
        <w:rFonts w:ascii="Arial" w:hAnsi="Arial" w:hint="cs"/>
        <w:b/>
        <w:bCs/>
        <w:sz w:val="22"/>
        <w:szCs w:val="22"/>
        <w:rtl/>
      </w:rPr>
      <w:t>الأصل: إنجليزي</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439"/>
    <w:multiLevelType w:val="hybridMultilevel"/>
    <w:tmpl w:val="E6A4CB00"/>
    <w:lvl w:ilvl="0" w:tplc="040C0001">
      <w:start w:val="1"/>
      <w:numFmt w:val="bullet"/>
      <w:lvlText w:val=""/>
      <w:lvlJc w:val="left"/>
      <w:pPr>
        <w:ind w:left="295" w:hanging="360"/>
      </w:pPr>
      <w:rPr>
        <w:rFonts w:ascii="Symbol" w:hAnsi="Symbol" w:hint="default"/>
      </w:rPr>
    </w:lvl>
    <w:lvl w:ilvl="1" w:tplc="FFFFFFFF">
      <w:start w:val="1"/>
      <w:numFmt w:val="lowerLetter"/>
      <w:lvlText w:val="%2."/>
      <w:lvlJc w:val="left"/>
      <w:pPr>
        <w:ind w:left="1015" w:hanging="360"/>
      </w:pPr>
    </w:lvl>
    <w:lvl w:ilvl="2" w:tplc="FFFFFFFF">
      <w:start w:val="1"/>
      <w:numFmt w:val="lowerRoman"/>
      <w:lvlText w:val="%3."/>
      <w:lvlJc w:val="right"/>
      <w:pPr>
        <w:ind w:left="1735" w:hanging="180"/>
      </w:pPr>
    </w:lvl>
    <w:lvl w:ilvl="3" w:tplc="FFFFFFFF">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BCA5C55"/>
    <w:multiLevelType w:val="hybridMultilevel"/>
    <w:tmpl w:val="F1C266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C8141F2"/>
    <w:multiLevelType w:val="hybridMultilevel"/>
    <w:tmpl w:val="83CEEFB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5201A69"/>
    <w:multiLevelType w:val="hybridMultilevel"/>
    <w:tmpl w:val="6C5A0FB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1B4448"/>
    <w:multiLevelType w:val="hybridMultilevel"/>
    <w:tmpl w:val="5FB40D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5"/>
  </w:num>
  <w:num w:numId="2" w16cid:durableId="699629408">
    <w:abstractNumId w:val="9"/>
  </w:num>
  <w:num w:numId="3" w16cid:durableId="164177712">
    <w:abstractNumId w:val="4"/>
  </w:num>
  <w:num w:numId="4" w16cid:durableId="1416590798">
    <w:abstractNumId w:val="18"/>
  </w:num>
  <w:num w:numId="5" w16cid:durableId="1762608160">
    <w:abstractNumId w:val="16"/>
  </w:num>
  <w:num w:numId="6" w16cid:durableId="2146270374">
    <w:abstractNumId w:val="1"/>
  </w:num>
  <w:num w:numId="7" w16cid:durableId="1113592211">
    <w:abstractNumId w:val="6"/>
  </w:num>
  <w:num w:numId="8" w16cid:durableId="1920598164">
    <w:abstractNumId w:val="13"/>
  </w:num>
  <w:num w:numId="9" w16cid:durableId="1533764642">
    <w:abstractNumId w:val="8"/>
  </w:num>
  <w:num w:numId="10" w16cid:durableId="1246129">
    <w:abstractNumId w:val="10"/>
  </w:num>
  <w:num w:numId="11" w16cid:durableId="111829808">
    <w:abstractNumId w:val="12"/>
  </w:num>
  <w:num w:numId="12" w16cid:durableId="1088770206">
    <w:abstractNumId w:val="11"/>
  </w:num>
  <w:num w:numId="13" w16cid:durableId="1263951029">
    <w:abstractNumId w:val="19"/>
  </w:num>
  <w:num w:numId="14" w16cid:durableId="395903570">
    <w:abstractNumId w:val="7"/>
  </w:num>
  <w:num w:numId="15" w16cid:durableId="1857570918">
    <w:abstractNumId w:val="8"/>
  </w:num>
  <w:num w:numId="16" w16cid:durableId="248199808">
    <w:abstractNumId w:val="8"/>
  </w:num>
  <w:num w:numId="17" w16cid:durableId="350380342">
    <w:abstractNumId w:val="8"/>
  </w:num>
  <w:num w:numId="18" w16cid:durableId="944581980">
    <w:abstractNumId w:val="8"/>
  </w:num>
  <w:num w:numId="19" w16cid:durableId="772675100">
    <w:abstractNumId w:val="8"/>
  </w:num>
  <w:num w:numId="20" w16cid:durableId="1253010311">
    <w:abstractNumId w:val="8"/>
  </w:num>
  <w:num w:numId="21" w16cid:durableId="540821319">
    <w:abstractNumId w:val="2"/>
  </w:num>
  <w:num w:numId="22" w16cid:durableId="2046514942">
    <w:abstractNumId w:val="8"/>
  </w:num>
  <w:num w:numId="23" w16cid:durableId="1137143166">
    <w:abstractNumId w:val="8"/>
  </w:num>
  <w:num w:numId="24" w16cid:durableId="845705957">
    <w:abstractNumId w:val="0"/>
  </w:num>
  <w:num w:numId="25" w16cid:durableId="1548907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2804543">
    <w:abstractNumId w:val="8"/>
  </w:num>
  <w:num w:numId="27" w16cid:durableId="1850870069">
    <w:abstractNumId w:val="8"/>
  </w:num>
  <w:num w:numId="28" w16cid:durableId="1390222850">
    <w:abstractNumId w:val="8"/>
  </w:num>
  <w:num w:numId="29" w16cid:durableId="634220986">
    <w:abstractNumId w:val="8"/>
  </w:num>
  <w:num w:numId="30" w16cid:durableId="1612131814">
    <w:abstractNumId w:val="8"/>
  </w:num>
  <w:num w:numId="31" w16cid:durableId="481654889">
    <w:abstractNumId w:val="3"/>
  </w:num>
  <w:num w:numId="32" w16cid:durableId="611940547">
    <w:abstractNumId w:val="8"/>
  </w:num>
  <w:num w:numId="33" w16cid:durableId="67655107">
    <w:abstractNumId w:val="17"/>
  </w:num>
  <w:num w:numId="34" w16cid:durableId="1482582023">
    <w:abstractNumId w:val="8"/>
  </w:num>
  <w:num w:numId="35" w16cid:durableId="1445269033">
    <w:abstractNumId w:val="8"/>
  </w:num>
  <w:num w:numId="36" w16cid:durableId="626938009">
    <w:abstractNumId w:val="5"/>
  </w:num>
  <w:num w:numId="37" w16cid:durableId="1817137503">
    <w:abstractNumId w:val="8"/>
  </w:num>
  <w:num w:numId="38" w16cid:durableId="1443188985">
    <w:abstractNumId w:val="8"/>
  </w:num>
  <w:num w:numId="39" w16cid:durableId="1703091294">
    <w:abstractNumId w:val="8"/>
  </w:num>
  <w:num w:numId="40" w16cid:durableId="201095490">
    <w:abstractNumId w:val="8"/>
  </w:num>
  <w:num w:numId="41" w16cid:durableId="155415393">
    <w:abstractNumId w:val="8"/>
  </w:num>
  <w:num w:numId="42" w16cid:durableId="848443413">
    <w:abstractNumId w:val="8"/>
  </w:num>
  <w:num w:numId="43" w16cid:durableId="1217159771">
    <w:abstractNumId w:val="8"/>
  </w:num>
  <w:num w:numId="44" w16cid:durableId="496384258">
    <w:abstractNumId w:val="8"/>
  </w:num>
  <w:num w:numId="45" w16cid:durableId="1401363196">
    <w:abstractNumId w:val="8"/>
  </w:num>
  <w:num w:numId="46" w16cid:durableId="353456430">
    <w:abstractNumId w:val="8"/>
  </w:num>
  <w:num w:numId="47" w16cid:durableId="686979864">
    <w:abstractNumId w:val="8"/>
  </w:num>
  <w:num w:numId="48" w16cid:durableId="1358584799">
    <w:abstractNumId w:val="8"/>
  </w:num>
  <w:num w:numId="49" w16cid:durableId="1772965719">
    <w:abstractNumId w:val="8"/>
  </w:num>
  <w:num w:numId="50" w16cid:durableId="47267269">
    <w:abstractNumId w:val="8"/>
  </w:num>
  <w:num w:numId="51" w16cid:durableId="1823765661">
    <w:abstractNumId w:val="8"/>
  </w:num>
  <w:num w:numId="52" w16cid:durableId="1995330384">
    <w:abstractNumId w:val="8"/>
  </w:num>
  <w:num w:numId="53" w16cid:durableId="1929188023">
    <w:abstractNumId w:val="14"/>
  </w:num>
  <w:num w:numId="54" w16cid:durableId="2066685604">
    <w:abstractNumId w:val="8"/>
  </w:num>
  <w:num w:numId="55" w16cid:durableId="330761844">
    <w:abstractNumId w:val="8"/>
  </w:num>
  <w:num w:numId="56" w16cid:durableId="770778786">
    <w:abstractNumId w:val="8"/>
  </w:num>
  <w:num w:numId="57" w16cid:durableId="168181172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2CC4"/>
    <w:rsid w:val="00003C13"/>
    <w:rsid w:val="000048ED"/>
    <w:rsid w:val="00014915"/>
    <w:rsid w:val="000169C9"/>
    <w:rsid w:val="00041A66"/>
    <w:rsid w:val="000423FE"/>
    <w:rsid w:val="00042D88"/>
    <w:rsid w:val="000430C0"/>
    <w:rsid w:val="00043CB0"/>
    <w:rsid w:val="0005176E"/>
    <w:rsid w:val="00053287"/>
    <w:rsid w:val="00054FBF"/>
    <w:rsid w:val="000563C2"/>
    <w:rsid w:val="00064120"/>
    <w:rsid w:val="00073053"/>
    <w:rsid w:val="000765F7"/>
    <w:rsid w:val="0007725F"/>
    <w:rsid w:val="00077AB7"/>
    <w:rsid w:val="00081CD8"/>
    <w:rsid w:val="000829D1"/>
    <w:rsid w:val="000832C1"/>
    <w:rsid w:val="00091600"/>
    <w:rsid w:val="000A5639"/>
    <w:rsid w:val="000A7F0E"/>
    <w:rsid w:val="000B1C8F"/>
    <w:rsid w:val="000B2942"/>
    <w:rsid w:val="000C0D61"/>
    <w:rsid w:val="000C53B7"/>
    <w:rsid w:val="000D0CE8"/>
    <w:rsid w:val="000D4193"/>
    <w:rsid w:val="000E4940"/>
    <w:rsid w:val="000F3A3F"/>
    <w:rsid w:val="00102557"/>
    <w:rsid w:val="00117152"/>
    <w:rsid w:val="00147A38"/>
    <w:rsid w:val="00164D56"/>
    <w:rsid w:val="00167B10"/>
    <w:rsid w:val="0017402F"/>
    <w:rsid w:val="00190205"/>
    <w:rsid w:val="001969E7"/>
    <w:rsid w:val="00196C1B"/>
    <w:rsid w:val="001B0F73"/>
    <w:rsid w:val="001C2DB7"/>
    <w:rsid w:val="001D14FE"/>
    <w:rsid w:val="001D39AA"/>
    <w:rsid w:val="001D5C04"/>
    <w:rsid w:val="001F26CF"/>
    <w:rsid w:val="002159FE"/>
    <w:rsid w:val="00215C3E"/>
    <w:rsid w:val="0021711C"/>
    <w:rsid w:val="00220B39"/>
    <w:rsid w:val="00222A2D"/>
    <w:rsid w:val="00223029"/>
    <w:rsid w:val="00227D52"/>
    <w:rsid w:val="00234745"/>
    <w:rsid w:val="002351A6"/>
    <w:rsid w:val="002373F1"/>
    <w:rsid w:val="00237490"/>
    <w:rsid w:val="00240001"/>
    <w:rsid w:val="002407AF"/>
    <w:rsid w:val="00245501"/>
    <w:rsid w:val="00254B26"/>
    <w:rsid w:val="002559CE"/>
    <w:rsid w:val="0026221A"/>
    <w:rsid w:val="0027466B"/>
    <w:rsid w:val="002814F6"/>
    <w:rsid w:val="00282F01"/>
    <w:rsid w:val="002838A5"/>
    <w:rsid w:val="00285BB4"/>
    <w:rsid w:val="00292978"/>
    <w:rsid w:val="00293958"/>
    <w:rsid w:val="002A42E1"/>
    <w:rsid w:val="002C09E3"/>
    <w:rsid w:val="002C6A2C"/>
    <w:rsid w:val="002D1244"/>
    <w:rsid w:val="002E1232"/>
    <w:rsid w:val="002E6D2D"/>
    <w:rsid w:val="002F6B42"/>
    <w:rsid w:val="00303F7B"/>
    <w:rsid w:val="003057A5"/>
    <w:rsid w:val="00305AF6"/>
    <w:rsid w:val="00323460"/>
    <w:rsid w:val="003368E3"/>
    <w:rsid w:val="00337CEB"/>
    <w:rsid w:val="00344B58"/>
    <w:rsid w:val="0034539A"/>
    <w:rsid w:val="00345CB4"/>
    <w:rsid w:val="00352482"/>
    <w:rsid w:val="00356576"/>
    <w:rsid w:val="00360A16"/>
    <w:rsid w:val="00361810"/>
    <w:rsid w:val="00365B27"/>
    <w:rsid w:val="00375D42"/>
    <w:rsid w:val="0037718D"/>
    <w:rsid w:val="003869C8"/>
    <w:rsid w:val="00396E77"/>
    <w:rsid w:val="003A4448"/>
    <w:rsid w:val="003B0E58"/>
    <w:rsid w:val="003B22CD"/>
    <w:rsid w:val="003D069C"/>
    <w:rsid w:val="003D7646"/>
    <w:rsid w:val="003E09A8"/>
    <w:rsid w:val="003F113A"/>
    <w:rsid w:val="003F3E63"/>
    <w:rsid w:val="00407480"/>
    <w:rsid w:val="00411D34"/>
    <w:rsid w:val="00414643"/>
    <w:rsid w:val="004231C4"/>
    <w:rsid w:val="004313C4"/>
    <w:rsid w:val="00431F1F"/>
    <w:rsid w:val="004421E5"/>
    <w:rsid w:val="00452284"/>
    <w:rsid w:val="0045687D"/>
    <w:rsid w:val="00457C8E"/>
    <w:rsid w:val="00464B9B"/>
    <w:rsid w:val="0047068A"/>
    <w:rsid w:val="00480175"/>
    <w:rsid w:val="004815E1"/>
    <w:rsid w:val="004856CA"/>
    <w:rsid w:val="00487E67"/>
    <w:rsid w:val="004905B6"/>
    <w:rsid w:val="004905D5"/>
    <w:rsid w:val="004906B7"/>
    <w:rsid w:val="0049705E"/>
    <w:rsid w:val="004A2875"/>
    <w:rsid w:val="004A34A0"/>
    <w:rsid w:val="004B381E"/>
    <w:rsid w:val="004C752D"/>
    <w:rsid w:val="004C7C82"/>
    <w:rsid w:val="004E5125"/>
    <w:rsid w:val="004F7BA5"/>
    <w:rsid w:val="005008A8"/>
    <w:rsid w:val="0051321C"/>
    <w:rsid w:val="00517FD8"/>
    <w:rsid w:val="00526B7B"/>
    <w:rsid w:val="005274D2"/>
    <w:rsid w:val="005308CE"/>
    <w:rsid w:val="0053120D"/>
    <w:rsid w:val="0053318C"/>
    <w:rsid w:val="005364BF"/>
    <w:rsid w:val="0054535F"/>
    <w:rsid w:val="00546F2F"/>
    <w:rsid w:val="00555437"/>
    <w:rsid w:val="00556997"/>
    <w:rsid w:val="0057439C"/>
    <w:rsid w:val="005960FA"/>
    <w:rsid w:val="005B0127"/>
    <w:rsid w:val="005B7A35"/>
    <w:rsid w:val="005C34AD"/>
    <w:rsid w:val="005C4B73"/>
    <w:rsid w:val="005C792B"/>
    <w:rsid w:val="005D6C6B"/>
    <w:rsid w:val="005E1D2B"/>
    <w:rsid w:val="005E7074"/>
    <w:rsid w:val="005F2BAF"/>
    <w:rsid w:val="00600D93"/>
    <w:rsid w:val="00606659"/>
    <w:rsid w:val="00610534"/>
    <w:rsid w:val="00626BEA"/>
    <w:rsid w:val="0063300C"/>
    <w:rsid w:val="006418D1"/>
    <w:rsid w:val="00642499"/>
    <w:rsid w:val="006446E2"/>
    <w:rsid w:val="00651A5B"/>
    <w:rsid w:val="00655736"/>
    <w:rsid w:val="0065733A"/>
    <w:rsid w:val="00657810"/>
    <w:rsid w:val="00663B8D"/>
    <w:rsid w:val="0067031C"/>
    <w:rsid w:val="0067063A"/>
    <w:rsid w:val="006802B1"/>
    <w:rsid w:val="0068602C"/>
    <w:rsid w:val="00696C8D"/>
    <w:rsid w:val="006A1294"/>
    <w:rsid w:val="006A2AC2"/>
    <w:rsid w:val="006A3617"/>
    <w:rsid w:val="006B4452"/>
    <w:rsid w:val="006B5E89"/>
    <w:rsid w:val="006D7C09"/>
    <w:rsid w:val="006E46E4"/>
    <w:rsid w:val="006E75EB"/>
    <w:rsid w:val="006F05A6"/>
    <w:rsid w:val="006F59C9"/>
    <w:rsid w:val="006F7DB4"/>
    <w:rsid w:val="00703675"/>
    <w:rsid w:val="00710AFF"/>
    <w:rsid w:val="0071522E"/>
    <w:rsid w:val="00717DA5"/>
    <w:rsid w:val="00723DAD"/>
    <w:rsid w:val="007333D0"/>
    <w:rsid w:val="00734C21"/>
    <w:rsid w:val="00744484"/>
    <w:rsid w:val="00744740"/>
    <w:rsid w:val="0074517B"/>
    <w:rsid w:val="00747566"/>
    <w:rsid w:val="00766969"/>
    <w:rsid w:val="00773188"/>
    <w:rsid w:val="00783522"/>
    <w:rsid w:val="00783782"/>
    <w:rsid w:val="00784B8C"/>
    <w:rsid w:val="007879E1"/>
    <w:rsid w:val="007D233A"/>
    <w:rsid w:val="007E1B3A"/>
    <w:rsid w:val="007E57AA"/>
    <w:rsid w:val="007F75E9"/>
    <w:rsid w:val="00801A61"/>
    <w:rsid w:val="00820775"/>
    <w:rsid w:val="00823A11"/>
    <w:rsid w:val="00851A4A"/>
    <w:rsid w:val="0085405E"/>
    <w:rsid w:val="0085414A"/>
    <w:rsid w:val="00856231"/>
    <w:rsid w:val="008578E9"/>
    <w:rsid w:val="00857EB9"/>
    <w:rsid w:val="00861C99"/>
    <w:rsid w:val="0086269D"/>
    <w:rsid w:val="00862DD4"/>
    <w:rsid w:val="0086436A"/>
    <w:rsid w:val="0086543A"/>
    <w:rsid w:val="0087093E"/>
    <w:rsid w:val="00871BA1"/>
    <w:rsid w:val="008724E5"/>
    <w:rsid w:val="008765C9"/>
    <w:rsid w:val="0088172F"/>
    <w:rsid w:val="00882825"/>
    <w:rsid w:val="00884A9D"/>
    <w:rsid w:val="0088512B"/>
    <w:rsid w:val="008862CA"/>
    <w:rsid w:val="008911DD"/>
    <w:rsid w:val="00895F5D"/>
    <w:rsid w:val="008A2B2D"/>
    <w:rsid w:val="008A4E1E"/>
    <w:rsid w:val="008A6458"/>
    <w:rsid w:val="008A7AEC"/>
    <w:rsid w:val="008B28E4"/>
    <w:rsid w:val="008B45BD"/>
    <w:rsid w:val="008B6BF3"/>
    <w:rsid w:val="008C296C"/>
    <w:rsid w:val="008D4305"/>
    <w:rsid w:val="008E1A85"/>
    <w:rsid w:val="008E344F"/>
    <w:rsid w:val="008E6F4F"/>
    <w:rsid w:val="008F256E"/>
    <w:rsid w:val="009017EE"/>
    <w:rsid w:val="00907B8E"/>
    <w:rsid w:val="009163A7"/>
    <w:rsid w:val="00916721"/>
    <w:rsid w:val="00916ADD"/>
    <w:rsid w:val="009249AB"/>
    <w:rsid w:val="0093085F"/>
    <w:rsid w:val="009320F0"/>
    <w:rsid w:val="00937D53"/>
    <w:rsid w:val="00946D0B"/>
    <w:rsid w:val="0094766F"/>
    <w:rsid w:val="00955877"/>
    <w:rsid w:val="00962034"/>
    <w:rsid w:val="00975DC6"/>
    <w:rsid w:val="00976D89"/>
    <w:rsid w:val="00977211"/>
    <w:rsid w:val="009858BB"/>
    <w:rsid w:val="009A18CD"/>
    <w:rsid w:val="009C6319"/>
    <w:rsid w:val="009D066C"/>
    <w:rsid w:val="009D3023"/>
    <w:rsid w:val="009D5428"/>
    <w:rsid w:val="009D6EE6"/>
    <w:rsid w:val="009E4D70"/>
    <w:rsid w:val="009F1FD3"/>
    <w:rsid w:val="009F7F73"/>
    <w:rsid w:val="00A11DDE"/>
    <w:rsid w:val="00A12558"/>
    <w:rsid w:val="00A13903"/>
    <w:rsid w:val="00A31B7E"/>
    <w:rsid w:val="00A34ED5"/>
    <w:rsid w:val="00A45D32"/>
    <w:rsid w:val="00A45DBF"/>
    <w:rsid w:val="00A54398"/>
    <w:rsid w:val="00A67391"/>
    <w:rsid w:val="00A725CF"/>
    <w:rsid w:val="00A73080"/>
    <w:rsid w:val="00A755A2"/>
    <w:rsid w:val="00A75B98"/>
    <w:rsid w:val="00A8111A"/>
    <w:rsid w:val="00A91430"/>
    <w:rsid w:val="00AA590D"/>
    <w:rsid w:val="00AA6660"/>
    <w:rsid w:val="00AB2C36"/>
    <w:rsid w:val="00AB6DDE"/>
    <w:rsid w:val="00AB70B6"/>
    <w:rsid w:val="00AC18C1"/>
    <w:rsid w:val="00AC3549"/>
    <w:rsid w:val="00AC4BF9"/>
    <w:rsid w:val="00AD1A86"/>
    <w:rsid w:val="00AD5C46"/>
    <w:rsid w:val="00AD6C1F"/>
    <w:rsid w:val="00AD72B1"/>
    <w:rsid w:val="00AE103E"/>
    <w:rsid w:val="00AE212F"/>
    <w:rsid w:val="00AE54F3"/>
    <w:rsid w:val="00AF0A07"/>
    <w:rsid w:val="00AF3FF2"/>
    <w:rsid w:val="00AF4107"/>
    <w:rsid w:val="00AF4AEC"/>
    <w:rsid w:val="00AF625E"/>
    <w:rsid w:val="00B05A76"/>
    <w:rsid w:val="00B139BE"/>
    <w:rsid w:val="00B2172B"/>
    <w:rsid w:val="00B23753"/>
    <w:rsid w:val="00B264AB"/>
    <w:rsid w:val="00B30877"/>
    <w:rsid w:val="00B34428"/>
    <w:rsid w:val="00B64020"/>
    <w:rsid w:val="00B67733"/>
    <w:rsid w:val="00B726DB"/>
    <w:rsid w:val="00B75825"/>
    <w:rsid w:val="00B917D2"/>
    <w:rsid w:val="00B97EB3"/>
    <w:rsid w:val="00BA241A"/>
    <w:rsid w:val="00BA5F94"/>
    <w:rsid w:val="00BB04AF"/>
    <w:rsid w:val="00BB380D"/>
    <w:rsid w:val="00BB6EEC"/>
    <w:rsid w:val="00BC39DE"/>
    <w:rsid w:val="00BD52C9"/>
    <w:rsid w:val="00BD7CC8"/>
    <w:rsid w:val="00BE6354"/>
    <w:rsid w:val="00C03E96"/>
    <w:rsid w:val="00C04412"/>
    <w:rsid w:val="00C10438"/>
    <w:rsid w:val="00C110E9"/>
    <w:rsid w:val="00C138D1"/>
    <w:rsid w:val="00C1532B"/>
    <w:rsid w:val="00C16B33"/>
    <w:rsid w:val="00C23A97"/>
    <w:rsid w:val="00C3291E"/>
    <w:rsid w:val="00C40823"/>
    <w:rsid w:val="00C42679"/>
    <w:rsid w:val="00C445E5"/>
    <w:rsid w:val="00C45B17"/>
    <w:rsid w:val="00C52EBE"/>
    <w:rsid w:val="00C5776D"/>
    <w:rsid w:val="00C64855"/>
    <w:rsid w:val="00C65C52"/>
    <w:rsid w:val="00C70EA7"/>
    <w:rsid w:val="00C7183C"/>
    <w:rsid w:val="00C7433F"/>
    <w:rsid w:val="00C7516E"/>
    <w:rsid w:val="00C75770"/>
    <w:rsid w:val="00C8049D"/>
    <w:rsid w:val="00C80BB6"/>
    <w:rsid w:val="00C91319"/>
    <w:rsid w:val="00CA56BB"/>
    <w:rsid w:val="00CB0542"/>
    <w:rsid w:val="00CB2DA5"/>
    <w:rsid w:val="00CB57E7"/>
    <w:rsid w:val="00CC1DEF"/>
    <w:rsid w:val="00CC7552"/>
    <w:rsid w:val="00CF02BE"/>
    <w:rsid w:val="00CF1B20"/>
    <w:rsid w:val="00CF3425"/>
    <w:rsid w:val="00D00B2B"/>
    <w:rsid w:val="00D02258"/>
    <w:rsid w:val="00D072AD"/>
    <w:rsid w:val="00D11BE4"/>
    <w:rsid w:val="00D125B9"/>
    <w:rsid w:val="00D212B2"/>
    <w:rsid w:val="00D24877"/>
    <w:rsid w:val="00D44AC8"/>
    <w:rsid w:val="00D60185"/>
    <w:rsid w:val="00D63318"/>
    <w:rsid w:val="00D7105A"/>
    <w:rsid w:val="00D77E42"/>
    <w:rsid w:val="00D8250F"/>
    <w:rsid w:val="00D86BB3"/>
    <w:rsid w:val="00D95C4C"/>
    <w:rsid w:val="00DA327D"/>
    <w:rsid w:val="00DA36ED"/>
    <w:rsid w:val="00DA4358"/>
    <w:rsid w:val="00DB6495"/>
    <w:rsid w:val="00DC1332"/>
    <w:rsid w:val="00DC19A8"/>
    <w:rsid w:val="00DC49CB"/>
    <w:rsid w:val="00DC4ED2"/>
    <w:rsid w:val="00DC683A"/>
    <w:rsid w:val="00DD0801"/>
    <w:rsid w:val="00DE34F1"/>
    <w:rsid w:val="00DE4387"/>
    <w:rsid w:val="00DE4D42"/>
    <w:rsid w:val="00DE6160"/>
    <w:rsid w:val="00DF16EA"/>
    <w:rsid w:val="00DF4942"/>
    <w:rsid w:val="00E01FDF"/>
    <w:rsid w:val="00E134F2"/>
    <w:rsid w:val="00E2125F"/>
    <w:rsid w:val="00E22C10"/>
    <w:rsid w:val="00E244E1"/>
    <w:rsid w:val="00E31740"/>
    <w:rsid w:val="00E33C76"/>
    <w:rsid w:val="00E3435D"/>
    <w:rsid w:val="00E353A5"/>
    <w:rsid w:val="00E4150C"/>
    <w:rsid w:val="00E431A5"/>
    <w:rsid w:val="00E627B1"/>
    <w:rsid w:val="00E63D35"/>
    <w:rsid w:val="00E70169"/>
    <w:rsid w:val="00E8372D"/>
    <w:rsid w:val="00E84279"/>
    <w:rsid w:val="00E9376C"/>
    <w:rsid w:val="00E95AE2"/>
    <w:rsid w:val="00EA121D"/>
    <w:rsid w:val="00EA335E"/>
    <w:rsid w:val="00EA528C"/>
    <w:rsid w:val="00EA580C"/>
    <w:rsid w:val="00EB126F"/>
    <w:rsid w:val="00EC099F"/>
    <w:rsid w:val="00EC6F8D"/>
    <w:rsid w:val="00EC7742"/>
    <w:rsid w:val="00ED39B2"/>
    <w:rsid w:val="00ED64D7"/>
    <w:rsid w:val="00ED67F9"/>
    <w:rsid w:val="00EE49F4"/>
    <w:rsid w:val="00EF34E2"/>
    <w:rsid w:val="00F01B97"/>
    <w:rsid w:val="00F03479"/>
    <w:rsid w:val="00F03949"/>
    <w:rsid w:val="00F11D4D"/>
    <w:rsid w:val="00F1417A"/>
    <w:rsid w:val="00F23DCF"/>
    <w:rsid w:val="00F30DC6"/>
    <w:rsid w:val="00F31F96"/>
    <w:rsid w:val="00F32C23"/>
    <w:rsid w:val="00F3313D"/>
    <w:rsid w:val="00F53DE9"/>
    <w:rsid w:val="00F561D6"/>
    <w:rsid w:val="00F568BD"/>
    <w:rsid w:val="00F576CB"/>
    <w:rsid w:val="00F7035D"/>
    <w:rsid w:val="00F70CC5"/>
    <w:rsid w:val="00F71A02"/>
    <w:rsid w:val="00F93852"/>
    <w:rsid w:val="00FA0D63"/>
    <w:rsid w:val="00FA1291"/>
    <w:rsid w:val="00FA4860"/>
    <w:rsid w:val="00FC09D0"/>
    <w:rsid w:val="00FC3C10"/>
    <w:rsid w:val="00FC493A"/>
    <w:rsid w:val="00FD1226"/>
    <w:rsid w:val="00FD243E"/>
    <w:rsid w:val="00FD4BC8"/>
    <w:rsid w:val="00FE38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EG"/>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lang w:val="en-GB"/>
    </w:rPr>
  </w:style>
  <w:style w:type="character" w:styleId="Lienhypertexte">
    <w:name w:val="Hyperlink"/>
    <w:basedOn w:val="Policepardfaut"/>
    <w:uiPriority w:val="99"/>
    <w:unhideWhenUsed/>
    <w:rsid w:val="00FC493A"/>
    <w:rPr>
      <w:color w:val="0563C1"/>
      <w:u w:val="single"/>
    </w:rPr>
  </w:style>
  <w:style w:type="character" w:styleId="Mentionnonrsolue">
    <w:name w:val="Unresolved Mention"/>
    <w:basedOn w:val="Policepardfaut"/>
    <w:uiPriority w:val="99"/>
    <w:semiHidden/>
    <w:unhideWhenUsed/>
    <w:rsid w:val="000423FE"/>
    <w:rPr>
      <w:color w:val="605E5C"/>
      <w:shd w:val="clear" w:color="auto" w:fill="E1DFDD"/>
    </w:rPr>
  </w:style>
  <w:style w:type="character" w:styleId="Lienhypertextesuivivisit">
    <w:name w:val="FollowedHyperlink"/>
    <w:basedOn w:val="Policepardfaut"/>
    <w:uiPriority w:val="99"/>
    <w:semiHidden/>
    <w:unhideWhenUsed/>
    <w:rsid w:val="002A42E1"/>
    <w:rPr>
      <w:color w:val="800080" w:themeColor="followedHyperlink"/>
      <w:u w:val="single"/>
    </w:rPr>
  </w:style>
  <w:style w:type="character" w:styleId="Marquedecommentaire">
    <w:name w:val="annotation reference"/>
    <w:basedOn w:val="Policepardfaut"/>
    <w:uiPriority w:val="99"/>
    <w:semiHidden/>
    <w:unhideWhenUsed/>
    <w:rsid w:val="009D3023"/>
    <w:rPr>
      <w:sz w:val="16"/>
      <w:szCs w:val="16"/>
    </w:rPr>
  </w:style>
  <w:style w:type="paragraph" w:styleId="Commentaire">
    <w:name w:val="annotation text"/>
    <w:basedOn w:val="Normal"/>
    <w:link w:val="CommentaireCar"/>
    <w:uiPriority w:val="99"/>
    <w:unhideWhenUsed/>
    <w:rsid w:val="009D3023"/>
    <w:rPr>
      <w:sz w:val="20"/>
      <w:szCs w:val="20"/>
    </w:rPr>
  </w:style>
  <w:style w:type="character" w:customStyle="1" w:styleId="CommentaireCar">
    <w:name w:val="Commentaire Car"/>
    <w:basedOn w:val="Policepardfaut"/>
    <w:link w:val="Commentaire"/>
    <w:uiPriority w:val="99"/>
    <w:rsid w:val="009D3023"/>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9D3023"/>
    <w:rPr>
      <w:b/>
      <w:bCs/>
    </w:rPr>
  </w:style>
  <w:style w:type="character" w:customStyle="1" w:styleId="ObjetducommentaireCar">
    <w:name w:val="Objet du commentaire Car"/>
    <w:basedOn w:val="CommentaireCar"/>
    <w:link w:val="Objetducommentaire"/>
    <w:uiPriority w:val="99"/>
    <w:semiHidden/>
    <w:rsid w:val="009D3023"/>
    <w:rPr>
      <w:rFonts w:ascii="Times New Roman" w:eastAsia="Times New Roman" w:hAnsi="Times New Roman"/>
      <w:b/>
      <w:bCs/>
    </w:rPr>
  </w:style>
  <w:style w:type="paragraph" w:styleId="Rvision">
    <w:name w:val="Revision"/>
    <w:hidden/>
    <w:uiPriority w:val="99"/>
    <w:semiHidden/>
    <w:rsid w:val="00C7183C"/>
    <w:rPr>
      <w:rFonts w:ascii="Times New Roman" w:eastAsia="Times New Roman" w:hAnsi="Times New Roman"/>
      <w:sz w:val="24"/>
      <w:szCs w:val="24"/>
    </w:rPr>
  </w:style>
  <w:style w:type="character" w:customStyle="1" w:styleId="ui-provider">
    <w:name w:val="ui-provider"/>
    <w:basedOn w:val="Policepardfaut"/>
    <w:rsid w:val="00FA4860"/>
  </w:style>
  <w:style w:type="character" w:styleId="lev">
    <w:name w:val="Strong"/>
    <w:basedOn w:val="Policepardfaut"/>
    <w:uiPriority w:val="22"/>
    <w:qFormat/>
    <w:rsid w:val="00F561D6"/>
    <w:rPr>
      <w:b/>
      <w:bCs/>
    </w:rPr>
  </w:style>
  <w:style w:type="character" w:customStyle="1" w:styleId="rynqvb">
    <w:name w:val="rynqvb"/>
    <w:basedOn w:val="Policepardfaut"/>
    <w:rsid w:val="00305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9.GA-Resolutions-AR.docx" TargetMode="External"/><Relationship Id="rId13" Type="http://schemas.openxmlformats.org/officeDocument/2006/relationships/hyperlink" Target="https://trello.com/b/HVCYR3Rj/ich-20th-anniversary-2023" TargetMode="External"/><Relationship Id="rId18" Type="http://schemas.openxmlformats.org/officeDocument/2006/relationships/hyperlink" Target="https://www.unesco.org/sites/default/files/medias/fichiers/2023/11/UNESCO_CALL_FOR_ACTION_NAPL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h.unesco.org/en/decisions/18.COM/6" TargetMode="External"/><Relationship Id="rId7" Type="http://schemas.openxmlformats.org/officeDocument/2006/relationships/endnotes" Target="endnotes.xml"/><Relationship Id="rId12" Type="http://schemas.openxmlformats.org/officeDocument/2006/relationships/hyperlink" Target="https://ich.unesco.org/en/anniversary" TargetMode="External"/><Relationship Id="rId17" Type="http://schemas.openxmlformats.org/officeDocument/2006/relationships/hyperlink" Target="https://www.unesco.org/en/culture/naples-conferenc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doc/src/61291-EN.pdf" TargetMode="External"/><Relationship Id="rId20" Type="http://schemas.openxmlformats.org/officeDocument/2006/relationships/hyperlink" Target="https://ich.unesco.org/doc/src/LHE-22-9.GA-Resolutions-A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download.php?versionID=6982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en/decisions/18.COM/6" TargetMode="External"/><Relationship Id="rId23" Type="http://schemas.openxmlformats.org/officeDocument/2006/relationships/header" Target="header1.xml"/><Relationship Id="rId10" Type="http://schemas.openxmlformats.org/officeDocument/2006/relationships/hyperlink" Target="https://ich.unesco.org/en/decisions/18.COM/6" TargetMode="External"/><Relationship Id="rId19" Type="http://schemas.openxmlformats.org/officeDocument/2006/relationships/hyperlink" Target="https://unesdoc.unesco.org/ark:/48223/pf0000388394" TargetMode="External"/><Relationship Id="rId4" Type="http://schemas.openxmlformats.org/officeDocument/2006/relationships/settings" Target="settings.xml"/><Relationship Id="rId9" Type="http://schemas.openxmlformats.org/officeDocument/2006/relationships/hyperlink" Target="https://ich.unesco.org/doc/src/LHE-23-18.COM-6_EN_Rev.docx" TargetMode="External"/><Relationship Id="rId14" Type="http://schemas.openxmlformats.org/officeDocument/2006/relationships/hyperlink" Target="https://ich.unesco.org/doc/src/LHE-22-9.GA-Resolutions-AR.docx" TargetMode="External"/><Relationship Id="rId22" Type="http://schemas.openxmlformats.org/officeDocument/2006/relationships/hyperlink" Target="https://unesdoc.unesco.org/ark:/48223/pf0000388394"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institucion/cultura/campa%C3%B1as/40108-foro-internacional-patrimonio-vivo-latinoamericano" TargetMode="External"/><Relationship Id="rId2" Type="http://schemas.openxmlformats.org/officeDocument/2006/relationships/hyperlink" Target="https://www.gob.pe/institucion/cultura/campa%C3%B1as/40108-foro-internacional-patrimonio-vivo-latinoamericano" TargetMode="External"/><Relationship Id="rId1" Type="http://schemas.openxmlformats.org/officeDocument/2006/relationships/hyperlink" Target="https://ich.unesco.org/en/activities/semaine-de-l-amerique-latine-et-des-caraibes-20-ans-de-la-convention-de-2003-patrimoine-vivant-jeunesse-et-peid-00367" TargetMode="External"/><Relationship Id="rId6" Type="http://schemas.openxmlformats.org/officeDocument/2006/relationships/hyperlink" Target="https://www.unesco.org/en/culture/naples-conference" TargetMode="External"/><Relationship Id="rId5" Type="http://schemas.openxmlformats.org/officeDocument/2006/relationships/hyperlink" Target="https://ich.unesco.org/en/events/celebration-of-20th-anniversary-of-the-2003-convention-in-seoul-00974" TargetMode="External"/><Relationship Id="rId4" Type="http://schemas.openxmlformats.org/officeDocument/2006/relationships/hyperlink" Target="https://unesdoc.unesco.org/ark:/48223/pf00003882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49</TotalTime>
  <Pages>4</Pages>
  <Words>1831</Words>
  <Characters>10072</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8</cp:revision>
  <cp:lastPrinted>2024-05-13T08:18:00Z</cp:lastPrinted>
  <dcterms:created xsi:type="dcterms:W3CDTF">2024-05-13T08:27:00Z</dcterms:created>
  <dcterms:modified xsi:type="dcterms:W3CDTF">2024-05-13T16:17:00Z</dcterms:modified>
</cp:coreProperties>
</file>