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4E1ECC" w:rsidRDefault="00BC3420" w:rsidP="00BC3420">
      <w:pPr>
        <w:spacing w:before="1440"/>
        <w:jc w:val="center"/>
        <w:rPr>
          <w:rFonts w:ascii="Arial" w:hAnsi="Arial" w:cs="Arial"/>
          <w:b/>
          <w:sz w:val="22"/>
          <w:szCs w:val="22"/>
        </w:rPr>
      </w:pPr>
      <w:r w:rsidRPr="004E1ECC">
        <w:rPr>
          <w:rFonts w:ascii="Arial" w:hAnsi="Arial" w:cs="Arial"/>
          <w:b/>
          <w:sz w:val="22"/>
          <w:szCs w:val="22"/>
        </w:rPr>
        <w:t>CONVENTION POUR LA SAUVEGARDE DU</w:t>
      </w:r>
      <w:r w:rsidRPr="004E1ECC">
        <w:rPr>
          <w:rFonts w:ascii="Arial" w:hAnsi="Arial" w:cs="Arial"/>
          <w:b/>
          <w:sz w:val="22"/>
          <w:szCs w:val="22"/>
        </w:rPr>
        <w:br/>
        <w:t>PATRIMOINE CULTUREL IMMATÉRIEL</w:t>
      </w:r>
    </w:p>
    <w:p w14:paraId="1B134B11" w14:textId="77777777" w:rsidR="006459E8" w:rsidRPr="004E1ECC" w:rsidRDefault="00430964" w:rsidP="00430964">
      <w:pPr>
        <w:spacing w:before="1200"/>
        <w:ind w:right="-1"/>
        <w:jc w:val="center"/>
        <w:rPr>
          <w:rFonts w:ascii="Arial" w:eastAsia="Calibri" w:hAnsi="Arial" w:cs="Arial"/>
          <w:b/>
          <w:bCs/>
          <w:sz w:val="22"/>
          <w:szCs w:val="22"/>
        </w:rPr>
      </w:pPr>
      <w:bookmarkStart w:id="0" w:name="_Hlk128593939"/>
      <w:bookmarkStart w:id="1" w:name="_Hlk145405383"/>
      <w:r w:rsidRPr="004E1ECC">
        <w:rPr>
          <w:rFonts w:ascii="Arial" w:eastAsia="Calibri" w:hAnsi="Arial" w:cs="Arial"/>
          <w:b/>
          <w:bCs/>
          <w:sz w:val="22"/>
          <w:szCs w:val="22"/>
        </w:rPr>
        <w:t>Réunion d’experts sur les dimensions économiques de</w:t>
      </w:r>
    </w:p>
    <w:p w14:paraId="14CEC8E2" w14:textId="4E33888B" w:rsidR="00BC3EB0" w:rsidRPr="004E1ECC" w:rsidRDefault="00430964" w:rsidP="006459E8">
      <w:pPr>
        <w:spacing w:before="1200"/>
        <w:contextualSpacing/>
        <w:jc w:val="center"/>
        <w:rPr>
          <w:rFonts w:ascii="Arial" w:eastAsia="Calibri" w:hAnsi="Arial" w:cs="Arial"/>
          <w:b/>
          <w:bCs/>
          <w:sz w:val="22"/>
          <w:szCs w:val="22"/>
        </w:rPr>
      </w:pPr>
      <w:r w:rsidRPr="004E1ECC">
        <w:rPr>
          <w:rFonts w:ascii="Arial" w:eastAsia="Calibri" w:hAnsi="Arial" w:cs="Arial"/>
          <w:b/>
          <w:bCs/>
          <w:sz w:val="22"/>
          <w:szCs w:val="22"/>
        </w:rPr>
        <w:t>la sauvegarde du patrimoine culturel immatériel</w:t>
      </w:r>
    </w:p>
    <w:p w14:paraId="04D4CC39" w14:textId="6AE82F51" w:rsidR="006459E8" w:rsidRPr="004E1ECC" w:rsidRDefault="006459E8" w:rsidP="0086314E">
      <w:pPr>
        <w:spacing w:before="840"/>
        <w:jc w:val="center"/>
        <w:rPr>
          <w:rFonts w:ascii="Arial" w:hAnsi="Arial" w:cs="Arial"/>
          <w:b/>
          <w:sz w:val="22"/>
          <w:szCs w:val="22"/>
        </w:rPr>
      </w:pPr>
      <w:bookmarkStart w:id="2" w:name="_Hlk145405926"/>
      <w:bookmarkEnd w:id="0"/>
      <w:r w:rsidRPr="004E1ECC">
        <w:rPr>
          <w:rFonts w:ascii="Arial" w:eastAsia="Calibri" w:hAnsi="Arial" w:cs="Arial"/>
          <w:b/>
          <w:bCs/>
          <w:sz w:val="22"/>
          <w:szCs w:val="22"/>
        </w:rPr>
        <w:t>27</w:t>
      </w:r>
      <w:r w:rsidR="0086314E" w:rsidRPr="004E1ECC">
        <w:rPr>
          <w:rFonts w:ascii="Arial" w:eastAsia="Calibri" w:hAnsi="Arial" w:cs="Arial"/>
          <w:b/>
          <w:bCs/>
          <w:sz w:val="22"/>
          <w:szCs w:val="22"/>
        </w:rPr>
        <w:t xml:space="preserve"> – </w:t>
      </w:r>
      <w:r w:rsidRPr="004E1ECC">
        <w:rPr>
          <w:rFonts w:ascii="Arial" w:hAnsi="Arial" w:cs="Arial"/>
          <w:b/>
          <w:sz w:val="22"/>
          <w:szCs w:val="22"/>
        </w:rPr>
        <w:t>28</w:t>
      </w:r>
      <w:r w:rsidR="0086314E" w:rsidRPr="004E1ECC">
        <w:rPr>
          <w:rFonts w:ascii="Arial" w:hAnsi="Arial" w:cs="Arial"/>
          <w:b/>
          <w:sz w:val="22"/>
          <w:szCs w:val="22"/>
        </w:rPr>
        <w:t xml:space="preserve"> </w:t>
      </w:r>
      <w:r w:rsidRPr="004E1ECC">
        <w:rPr>
          <w:rFonts w:ascii="Arial" w:eastAsia="Calibri" w:hAnsi="Arial" w:cs="Arial"/>
          <w:b/>
          <w:bCs/>
          <w:sz w:val="22"/>
          <w:szCs w:val="22"/>
        </w:rPr>
        <w:t>septembre</w:t>
      </w:r>
      <w:r w:rsidRPr="004E1ECC">
        <w:rPr>
          <w:rFonts w:ascii="Arial" w:hAnsi="Arial" w:cs="Arial"/>
          <w:b/>
          <w:sz w:val="22"/>
          <w:szCs w:val="22"/>
        </w:rPr>
        <w:t xml:space="preserve"> 2023</w:t>
      </w:r>
      <w:r w:rsidR="0086314E" w:rsidRPr="004E1ECC">
        <w:rPr>
          <w:rFonts w:ascii="Arial" w:hAnsi="Arial" w:cs="Arial"/>
          <w:b/>
          <w:sz w:val="22"/>
          <w:szCs w:val="22"/>
        </w:rPr>
        <w:t xml:space="preserve"> (partie I)</w:t>
      </w:r>
    </w:p>
    <w:p w14:paraId="1FD3B434" w14:textId="743B7091" w:rsidR="004F1B36" w:rsidRPr="004E1ECC" w:rsidRDefault="00430964" w:rsidP="006459E8">
      <w:pPr>
        <w:ind w:right="-1"/>
        <w:jc w:val="center"/>
        <w:rPr>
          <w:rFonts w:ascii="Arial" w:hAnsi="Arial" w:cs="Arial"/>
          <w:b/>
          <w:sz w:val="22"/>
          <w:szCs w:val="22"/>
        </w:rPr>
      </w:pPr>
      <w:r w:rsidRPr="004E1ECC">
        <w:rPr>
          <w:rFonts w:ascii="Arial" w:eastAsia="Calibri" w:hAnsi="Arial" w:cs="Arial"/>
          <w:b/>
          <w:bCs/>
          <w:sz w:val="22"/>
          <w:szCs w:val="22"/>
        </w:rPr>
        <w:t>Siège</w:t>
      </w:r>
      <w:r w:rsidRPr="004E1ECC">
        <w:rPr>
          <w:rFonts w:ascii="Arial" w:hAnsi="Arial" w:cs="Arial"/>
          <w:b/>
          <w:sz w:val="22"/>
          <w:szCs w:val="22"/>
        </w:rPr>
        <w:t xml:space="preserve"> de l’UNESCO</w:t>
      </w:r>
      <w:r w:rsidR="004F1B36" w:rsidRPr="004E1ECC">
        <w:rPr>
          <w:rFonts w:ascii="Arial" w:hAnsi="Arial" w:cs="Arial"/>
          <w:b/>
          <w:sz w:val="22"/>
          <w:szCs w:val="22"/>
        </w:rPr>
        <w:t xml:space="preserve">, </w:t>
      </w:r>
      <w:bookmarkStart w:id="3" w:name="_Hlk128491999"/>
      <w:r w:rsidRPr="004E1ECC">
        <w:rPr>
          <w:rFonts w:ascii="Arial" w:hAnsi="Arial" w:cs="Arial"/>
          <w:b/>
          <w:sz w:val="22"/>
          <w:szCs w:val="22"/>
        </w:rPr>
        <w:t>Paris</w:t>
      </w:r>
      <w:bookmarkEnd w:id="3"/>
    </w:p>
    <w:p w14:paraId="2E0B78A4" w14:textId="4A04A4F7" w:rsidR="006459E8" w:rsidRPr="004E1ECC" w:rsidRDefault="006459E8" w:rsidP="006459E8">
      <w:pPr>
        <w:spacing w:before="360"/>
        <w:ind w:right="-1"/>
        <w:jc w:val="center"/>
        <w:rPr>
          <w:rFonts w:ascii="Arial" w:hAnsi="Arial" w:cs="Arial"/>
          <w:b/>
          <w:sz w:val="22"/>
          <w:szCs w:val="22"/>
        </w:rPr>
      </w:pPr>
      <w:r w:rsidRPr="004E1ECC">
        <w:rPr>
          <w:rFonts w:ascii="Arial" w:hAnsi="Arial" w:cs="Arial"/>
          <w:b/>
          <w:sz w:val="22"/>
          <w:szCs w:val="22"/>
        </w:rPr>
        <w:t>20 octobre 2023</w:t>
      </w:r>
      <w:r w:rsidR="0086314E" w:rsidRPr="004E1ECC">
        <w:rPr>
          <w:rFonts w:ascii="Arial" w:hAnsi="Arial" w:cs="Arial"/>
          <w:b/>
          <w:sz w:val="22"/>
          <w:szCs w:val="22"/>
        </w:rPr>
        <w:t xml:space="preserve"> (partie II)</w:t>
      </w:r>
    </w:p>
    <w:p w14:paraId="4788707A" w14:textId="47BE771E" w:rsidR="006459E8" w:rsidRPr="004E1ECC" w:rsidRDefault="006459E8" w:rsidP="0086314E">
      <w:pPr>
        <w:spacing w:after="1200"/>
        <w:jc w:val="center"/>
        <w:rPr>
          <w:rFonts w:ascii="Arial" w:hAnsi="Arial" w:cs="Arial"/>
          <w:b/>
          <w:sz w:val="22"/>
          <w:szCs w:val="22"/>
        </w:rPr>
      </w:pPr>
      <w:r w:rsidRPr="004E1ECC">
        <w:rPr>
          <w:rFonts w:ascii="Arial" w:hAnsi="Arial" w:cs="Arial"/>
          <w:b/>
          <w:sz w:val="22"/>
          <w:szCs w:val="22"/>
        </w:rPr>
        <w:t xml:space="preserve">En </w:t>
      </w:r>
      <w:r w:rsidRPr="004E1ECC">
        <w:rPr>
          <w:rFonts w:ascii="Arial" w:eastAsia="Calibri" w:hAnsi="Arial" w:cs="Arial"/>
          <w:b/>
          <w:bCs/>
          <w:sz w:val="22"/>
          <w:szCs w:val="22"/>
          <w:lang w:eastAsia="en-US"/>
        </w:rPr>
        <w:t>ligne</w:t>
      </w:r>
    </w:p>
    <w:p w14:paraId="5072A522" w14:textId="17882502" w:rsidR="009B5302" w:rsidRPr="004E1ECC" w:rsidRDefault="00C26F11" w:rsidP="00C26F11">
      <w:pPr>
        <w:pStyle w:val="Sansinterligne2"/>
        <w:spacing w:before="600" w:after="1200"/>
        <w:jc w:val="center"/>
      </w:pPr>
      <w:r w:rsidRPr="004E1ECC">
        <w:rPr>
          <w:rFonts w:ascii="Arial" w:hAnsi="Arial" w:cs="Arial"/>
          <w:b/>
          <w:sz w:val="22"/>
          <w:szCs w:val="22"/>
        </w:rPr>
        <w:t>Études de cas</w:t>
      </w:r>
      <w:bookmarkEnd w:id="1"/>
      <w:bookmarkEnd w:id="2"/>
    </w:p>
    <w:p w14:paraId="36F6B26A" w14:textId="19ACAB00" w:rsidR="00C26F11" w:rsidRPr="004E1ECC" w:rsidRDefault="00C26F11" w:rsidP="00E10DF3">
      <w:pPr>
        <w:rPr>
          <w:rFonts w:ascii="Arial" w:hAnsi="Arial" w:cs="Arial"/>
          <w:sz w:val="22"/>
          <w:szCs w:val="22"/>
        </w:rPr>
        <w:sectPr w:rsidR="00C26F11" w:rsidRPr="004E1ECC"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bookmarkStart w:id="4" w:name="_Toc145504465" w:displacedByCustomXml="next"/>
    <w:sdt>
      <w:sdtPr>
        <w:rPr>
          <w:rFonts w:ascii="Times New Roman" w:eastAsia="Times New Roman" w:hAnsi="Times New Roman" w:cs="Times New Roman"/>
          <w:color w:val="auto"/>
          <w:sz w:val="24"/>
          <w:szCs w:val="24"/>
          <w:lang w:eastAsia="fr-FR"/>
        </w:rPr>
        <w:id w:val="825396573"/>
        <w:docPartObj>
          <w:docPartGallery w:val="Table of Contents"/>
          <w:docPartUnique/>
        </w:docPartObj>
      </w:sdtPr>
      <w:sdtEndPr>
        <w:rPr>
          <w:b/>
          <w:bCs/>
          <w:noProof/>
        </w:rPr>
      </w:sdtEndPr>
      <w:sdtContent>
        <w:bookmarkEnd w:id="4" w:displacedByCustomXml="prev"/>
        <w:p w14:paraId="1CC8AC7B" w14:textId="2F9D14A4" w:rsidR="00AB1A39" w:rsidRPr="004E1ECC" w:rsidRDefault="00AB1A39">
          <w:pPr>
            <w:pStyle w:val="TOCHeading"/>
          </w:pPr>
          <w:r w:rsidRPr="004E1ECC">
            <w:t>Liste d’études de cas</w:t>
          </w:r>
          <w:r w:rsidRPr="004E1ECC">
            <w:rPr>
              <w:rStyle w:val="FootnoteReference"/>
            </w:rPr>
            <w:footnoteReference w:id="1"/>
          </w:r>
        </w:p>
        <w:p w14:paraId="0AF2F5F8" w14:textId="291379AB" w:rsidR="00AB1A39" w:rsidRPr="004E1ECC" w:rsidRDefault="00AB1A39">
          <w:pPr>
            <w:pStyle w:val="TOC1"/>
            <w:rPr>
              <w:rFonts w:eastAsiaTheme="minorEastAsia"/>
              <w:noProof/>
              <w:kern w:val="2"/>
              <w:sz w:val="22"/>
              <w:szCs w:val="22"/>
              <w:lang w:eastAsia="zh-CN"/>
              <w14:ligatures w14:val="standardContextual"/>
            </w:rPr>
          </w:pPr>
          <w:r w:rsidRPr="004E1ECC">
            <w:fldChar w:fldCharType="begin"/>
          </w:r>
          <w:r w:rsidRPr="004E1ECC">
            <w:instrText xml:space="preserve"> TOC \o "1-3" \h \z \u </w:instrText>
          </w:r>
          <w:r w:rsidRPr="004E1ECC">
            <w:fldChar w:fldCharType="separate"/>
          </w:r>
          <w:hyperlink w:anchor="_Toc145504466" w:history="1">
            <w:r w:rsidRPr="004E1ECC">
              <w:rPr>
                <w:rStyle w:val="Hyperlink"/>
                <w:rFonts w:ascii="Calibri Light" w:hAnsi="Calibri Light" w:cs="Calibri Light"/>
                <w:noProof/>
              </w:rPr>
              <w:t>Aider les communautés à tirer profit des innovations patrimoniales : produits gastronomiques liés au bush, basés sur les traditions des Aborigènes et des Insulaires du détroit de Torrès (Australie)</w:t>
            </w:r>
            <w:r w:rsidRPr="004E1ECC">
              <w:rPr>
                <w:noProof/>
                <w:webHidden/>
              </w:rPr>
              <w:tab/>
            </w:r>
            <w:r w:rsidRPr="004E1ECC">
              <w:rPr>
                <w:noProof/>
                <w:webHidden/>
              </w:rPr>
              <w:fldChar w:fldCharType="begin"/>
            </w:r>
            <w:r w:rsidRPr="004E1ECC">
              <w:rPr>
                <w:noProof/>
                <w:webHidden/>
              </w:rPr>
              <w:instrText xml:space="preserve"> PAGEREF _Toc145504466 \h </w:instrText>
            </w:r>
            <w:r w:rsidRPr="004E1ECC">
              <w:rPr>
                <w:noProof/>
                <w:webHidden/>
              </w:rPr>
            </w:r>
            <w:r w:rsidRPr="004E1ECC">
              <w:rPr>
                <w:noProof/>
                <w:webHidden/>
              </w:rPr>
              <w:fldChar w:fldCharType="separate"/>
            </w:r>
            <w:r w:rsidR="00733109" w:rsidRPr="004E1ECC">
              <w:rPr>
                <w:noProof/>
                <w:webHidden/>
              </w:rPr>
              <w:t>3</w:t>
            </w:r>
            <w:r w:rsidRPr="004E1ECC">
              <w:rPr>
                <w:noProof/>
                <w:webHidden/>
              </w:rPr>
              <w:fldChar w:fldCharType="end"/>
            </w:r>
          </w:hyperlink>
        </w:p>
        <w:p w14:paraId="251EBF4F" w14:textId="465E744E" w:rsidR="00AB1A39" w:rsidRPr="004E1ECC" w:rsidRDefault="004D4868">
          <w:pPr>
            <w:pStyle w:val="TOC1"/>
            <w:rPr>
              <w:rFonts w:eastAsiaTheme="minorEastAsia"/>
              <w:noProof/>
              <w:kern w:val="2"/>
              <w:sz w:val="22"/>
              <w:szCs w:val="22"/>
              <w:lang w:eastAsia="zh-CN"/>
              <w14:ligatures w14:val="standardContextual"/>
            </w:rPr>
          </w:pPr>
          <w:hyperlink w:anchor="_Toc145504468" w:history="1">
            <w:r w:rsidR="00AB1A39" w:rsidRPr="004E1ECC">
              <w:rPr>
                <w:rStyle w:val="Hyperlink"/>
                <w:rFonts w:ascii="Calibri Light" w:hAnsi="Calibri Light" w:cs="Calibri Light"/>
                <w:noProof/>
              </w:rPr>
              <w:t>La Fondation Mundo Espiral et Artesanías de Colombia soutiennent la sauvegarde de l’élément verni de Pasto mopa-mopa de Putumayo et Nariño (Colombie)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_Toc145504468 \h </w:instrText>
            </w:r>
            <w:r w:rsidR="00AB1A39" w:rsidRPr="004E1ECC">
              <w:rPr>
                <w:noProof/>
                <w:webHidden/>
              </w:rPr>
            </w:r>
            <w:r w:rsidR="00AB1A39" w:rsidRPr="004E1ECC">
              <w:rPr>
                <w:noProof/>
                <w:webHidden/>
              </w:rPr>
              <w:fldChar w:fldCharType="separate"/>
            </w:r>
            <w:r w:rsidR="00733109" w:rsidRPr="004E1ECC">
              <w:rPr>
                <w:noProof/>
                <w:webHidden/>
              </w:rPr>
              <w:t>7</w:t>
            </w:r>
            <w:r w:rsidR="00AB1A39" w:rsidRPr="004E1ECC">
              <w:rPr>
                <w:noProof/>
                <w:webHidden/>
              </w:rPr>
              <w:fldChar w:fldCharType="end"/>
            </w:r>
          </w:hyperlink>
        </w:p>
        <w:p w14:paraId="734FAA1C" w14:textId="1367FE75" w:rsidR="00AB1A39" w:rsidRPr="004E1ECC" w:rsidRDefault="004D4868">
          <w:pPr>
            <w:pStyle w:val="TOC1"/>
            <w:rPr>
              <w:rFonts w:eastAsiaTheme="minorEastAsia"/>
              <w:noProof/>
              <w:kern w:val="2"/>
              <w:sz w:val="22"/>
              <w:szCs w:val="22"/>
              <w:lang w:eastAsia="zh-CN"/>
              <w14:ligatures w14:val="standardContextual"/>
            </w:rPr>
          </w:pPr>
          <w:hyperlink w:anchor="_Toc145504470" w:history="1">
            <w:r w:rsidR="00AB1A39" w:rsidRPr="004E1ECC">
              <w:rPr>
                <w:rStyle w:val="Hyperlink"/>
                <w:rFonts w:ascii="Calibri Light" w:hAnsi="Calibri Light" w:cs="Calibri Light"/>
                <w:noProof/>
              </w:rPr>
              <w:t>Art Jameel : une ONG qui forme et soutient les artistes entrepreneurs (</w:t>
            </w:r>
            <w:r w:rsidR="00E869DF" w:rsidRPr="004E1ECC">
              <w:rPr>
                <w:rStyle w:val="Hyperlink"/>
                <w:rFonts w:ascii="Calibri Light" w:hAnsi="Calibri Light" w:cs="Calibri Light"/>
                <w:noProof/>
              </w:rPr>
              <w:t xml:space="preserve">Égypte, </w:t>
            </w:r>
            <w:r w:rsidR="00AB1A39" w:rsidRPr="004E1ECC">
              <w:rPr>
                <w:rStyle w:val="Hyperlink"/>
                <w:rFonts w:ascii="Calibri Light" w:hAnsi="Calibri Light" w:cs="Calibri Light"/>
                <w:noProof/>
              </w:rPr>
              <w:t>Arabie saoudite)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_Toc145504470 \h </w:instrText>
            </w:r>
            <w:r w:rsidR="00AB1A39" w:rsidRPr="004E1ECC">
              <w:rPr>
                <w:noProof/>
                <w:webHidden/>
              </w:rPr>
            </w:r>
            <w:r w:rsidR="00AB1A39" w:rsidRPr="004E1ECC">
              <w:rPr>
                <w:noProof/>
                <w:webHidden/>
              </w:rPr>
              <w:fldChar w:fldCharType="separate"/>
            </w:r>
            <w:r w:rsidR="00733109" w:rsidRPr="004E1ECC">
              <w:rPr>
                <w:noProof/>
                <w:webHidden/>
              </w:rPr>
              <w:t>9</w:t>
            </w:r>
            <w:r w:rsidR="00AB1A39" w:rsidRPr="004E1ECC">
              <w:rPr>
                <w:noProof/>
                <w:webHidden/>
              </w:rPr>
              <w:fldChar w:fldCharType="end"/>
            </w:r>
          </w:hyperlink>
        </w:p>
        <w:p w14:paraId="29E3E5F1" w14:textId="179983C8" w:rsidR="00AB1A39" w:rsidRPr="004E1ECC" w:rsidRDefault="004D4868">
          <w:pPr>
            <w:pStyle w:val="TOC1"/>
            <w:rPr>
              <w:rFonts w:eastAsiaTheme="minorEastAsia"/>
              <w:noProof/>
              <w:kern w:val="2"/>
              <w:sz w:val="22"/>
              <w:szCs w:val="22"/>
              <w:lang w:eastAsia="zh-CN"/>
              <w14:ligatures w14:val="standardContextual"/>
            </w:rPr>
          </w:pPr>
          <w:hyperlink w:anchor="_Toc145504472" w:history="1">
            <w:r w:rsidR="00AB1A39" w:rsidRPr="004E1ECC">
              <w:rPr>
                <w:rStyle w:val="Hyperlink"/>
                <w:rFonts w:ascii="Calibri Light" w:hAnsi="Calibri Light" w:cs="Calibri Light"/>
                <w:noProof/>
              </w:rPr>
              <w:t xml:space="preserve">Association </w:t>
            </w:r>
            <w:r w:rsidR="00E869DF" w:rsidRPr="004E1ECC">
              <w:rPr>
                <w:rStyle w:val="Hyperlink"/>
                <w:rFonts w:ascii="Calibri Light" w:hAnsi="Calibri Light" w:cs="Calibri Light"/>
                <w:noProof/>
              </w:rPr>
              <w:t>du</w:t>
            </w:r>
            <w:r w:rsidR="00AB1A39" w:rsidRPr="004E1ECC">
              <w:rPr>
                <w:rStyle w:val="Hyperlink"/>
                <w:rFonts w:ascii="Calibri Light" w:hAnsi="Calibri Light" w:cs="Calibri Light"/>
                <w:noProof/>
              </w:rPr>
              <w:t xml:space="preserve"> patrimoine</w:t>
            </w:r>
            <w:r w:rsidR="00E869DF" w:rsidRPr="004E1ECC">
              <w:rPr>
                <w:rStyle w:val="Hyperlink"/>
                <w:rFonts w:ascii="Calibri Light" w:hAnsi="Calibri Light" w:cs="Calibri Light"/>
                <w:noProof/>
              </w:rPr>
              <w:t xml:space="preserve"> artisanal</w:t>
            </w:r>
            <w:r w:rsidR="00AB1A39" w:rsidRPr="004E1ECC">
              <w:rPr>
                <w:rStyle w:val="Hyperlink"/>
                <w:rFonts w:ascii="Calibri Light" w:hAnsi="Calibri Light" w:cs="Calibri Light"/>
                <w:noProof/>
              </w:rPr>
              <w:t xml:space="preserve"> géorgien : une organisation collective soutenant les artisans (Géorgie)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_Toc145504472 \h </w:instrText>
            </w:r>
            <w:r w:rsidR="00AB1A39" w:rsidRPr="004E1ECC">
              <w:rPr>
                <w:noProof/>
                <w:webHidden/>
              </w:rPr>
            </w:r>
            <w:r w:rsidR="00AB1A39" w:rsidRPr="004E1ECC">
              <w:rPr>
                <w:noProof/>
                <w:webHidden/>
              </w:rPr>
              <w:fldChar w:fldCharType="separate"/>
            </w:r>
            <w:r w:rsidR="00733109" w:rsidRPr="004E1ECC">
              <w:rPr>
                <w:noProof/>
                <w:webHidden/>
              </w:rPr>
              <w:t>11</w:t>
            </w:r>
            <w:r w:rsidR="00AB1A39" w:rsidRPr="004E1ECC">
              <w:rPr>
                <w:noProof/>
                <w:webHidden/>
              </w:rPr>
              <w:fldChar w:fldCharType="end"/>
            </w:r>
          </w:hyperlink>
        </w:p>
        <w:p w14:paraId="3DCC0A4E" w14:textId="64B4A70A" w:rsidR="00AB1A39" w:rsidRPr="004E1ECC" w:rsidRDefault="004D4868">
          <w:pPr>
            <w:pStyle w:val="TOC1"/>
            <w:rPr>
              <w:rFonts w:eastAsiaTheme="minorEastAsia"/>
              <w:noProof/>
              <w:kern w:val="2"/>
              <w:sz w:val="22"/>
              <w:szCs w:val="22"/>
              <w:lang w:eastAsia="zh-CN"/>
              <w14:ligatures w14:val="standardContextual"/>
            </w:rPr>
          </w:pPr>
          <w:hyperlink w:anchor="_Toc145504474" w:history="1">
            <w:r w:rsidR="00AB1A39" w:rsidRPr="004E1ECC">
              <w:rPr>
                <w:rStyle w:val="Hyperlink"/>
                <w:rFonts w:ascii="Calibri Light" w:hAnsi="Calibri Light" w:cs="Calibri Light"/>
                <w:noProof/>
              </w:rPr>
              <w:t>Coopération sud-sud et secteur privé pour soutenir les vanniers dans la région de Bolgatanga (Ghana)</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_Toc145504474 \h </w:instrText>
            </w:r>
            <w:r w:rsidR="00AB1A39" w:rsidRPr="004E1ECC">
              <w:rPr>
                <w:noProof/>
                <w:webHidden/>
              </w:rPr>
            </w:r>
            <w:r w:rsidR="00AB1A39" w:rsidRPr="004E1ECC">
              <w:rPr>
                <w:noProof/>
                <w:webHidden/>
              </w:rPr>
              <w:fldChar w:fldCharType="separate"/>
            </w:r>
            <w:r w:rsidR="00733109" w:rsidRPr="004E1ECC">
              <w:rPr>
                <w:noProof/>
                <w:webHidden/>
              </w:rPr>
              <w:t>13</w:t>
            </w:r>
            <w:r w:rsidR="00AB1A39" w:rsidRPr="004E1ECC">
              <w:rPr>
                <w:noProof/>
                <w:webHidden/>
              </w:rPr>
              <w:fldChar w:fldCharType="end"/>
            </w:r>
          </w:hyperlink>
        </w:p>
        <w:p w14:paraId="3537F5B8" w14:textId="6A30D752" w:rsidR="00AB1A39" w:rsidRPr="004E1ECC" w:rsidRDefault="004D4868">
          <w:pPr>
            <w:pStyle w:val="TOC1"/>
            <w:rPr>
              <w:rFonts w:eastAsiaTheme="minorEastAsia"/>
              <w:noProof/>
              <w:kern w:val="2"/>
              <w:sz w:val="22"/>
              <w:szCs w:val="22"/>
              <w:lang w:eastAsia="zh-CN"/>
              <w14:ligatures w14:val="standardContextual"/>
            </w:rPr>
          </w:pPr>
          <w:hyperlink w:anchor="_Toc145504476" w:history="1">
            <w:r w:rsidR="00AB1A39" w:rsidRPr="004E1ECC">
              <w:rPr>
                <w:rStyle w:val="Hyperlink"/>
                <w:rFonts w:ascii="Calibri Light" w:hAnsi="Calibri Light" w:cs="Calibri Light"/>
                <w:noProof/>
              </w:rPr>
              <w:t>Propriété intellectuelle et stratégies de commercialisation</w:t>
            </w:r>
            <w:r w:rsidR="00E869DF" w:rsidRPr="004E1ECC">
              <w:rPr>
                <w:rStyle w:val="Hyperlink"/>
                <w:rFonts w:ascii="Calibri Light" w:hAnsi="Calibri Light" w:cs="Calibri Light"/>
                <w:noProof/>
              </w:rPr>
              <w:t xml:space="preserve"> sensibles au</w:t>
            </w:r>
            <w:r w:rsidR="00AB1A39" w:rsidRPr="004E1ECC">
              <w:rPr>
                <w:rStyle w:val="Hyperlink"/>
                <w:rFonts w:ascii="Calibri Light" w:hAnsi="Calibri Light" w:cs="Calibri Light"/>
                <w:noProof/>
              </w:rPr>
              <w:t xml:space="preserve"> patrimoine pour la danse Chau et la fabrication de masques (Inde)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_Toc145504476 \h </w:instrText>
            </w:r>
            <w:r w:rsidR="00AB1A39" w:rsidRPr="004E1ECC">
              <w:rPr>
                <w:noProof/>
                <w:webHidden/>
              </w:rPr>
            </w:r>
            <w:r w:rsidR="00AB1A39" w:rsidRPr="004E1ECC">
              <w:rPr>
                <w:noProof/>
                <w:webHidden/>
              </w:rPr>
              <w:fldChar w:fldCharType="separate"/>
            </w:r>
            <w:r w:rsidR="00733109" w:rsidRPr="004E1ECC">
              <w:rPr>
                <w:noProof/>
                <w:webHidden/>
              </w:rPr>
              <w:t>16</w:t>
            </w:r>
            <w:r w:rsidR="00AB1A39" w:rsidRPr="004E1ECC">
              <w:rPr>
                <w:noProof/>
                <w:webHidden/>
              </w:rPr>
              <w:fldChar w:fldCharType="end"/>
            </w:r>
          </w:hyperlink>
        </w:p>
        <w:p w14:paraId="5CF0C145" w14:textId="0BEA7A59" w:rsidR="00AB1A39" w:rsidRPr="004E1ECC" w:rsidRDefault="004D4868">
          <w:pPr>
            <w:pStyle w:val="TOC1"/>
            <w:rPr>
              <w:rFonts w:eastAsiaTheme="minorEastAsia"/>
              <w:noProof/>
              <w:kern w:val="2"/>
              <w:sz w:val="22"/>
              <w:szCs w:val="22"/>
              <w:lang w:eastAsia="zh-CN"/>
              <w14:ligatures w14:val="standardContextual"/>
            </w:rPr>
          </w:pPr>
          <w:hyperlink w:anchor="_Toc145504478" w:history="1">
            <w:r w:rsidR="00AB1A39" w:rsidRPr="004E1ECC">
              <w:rPr>
                <w:rStyle w:val="Hyperlink"/>
                <w:rFonts w:ascii="Calibri Light" w:hAnsi="Calibri Light" w:cs="Calibri Light"/>
                <w:noProof/>
              </w:rPr>
              <w:t>Organisations communautaires sauvegardant la cérémonie rituelle des Voladores en soutenant les moyens de subsistance et en luttant contre le détournement</w:t>
            </w:r>
            <w:r w:rsidR="00E869DF" w:rsidRPr="004E1ECC">
              <w:rPr>
                <w:rStyle w:val="Hyperlink"/>
                <w:rFonts w:ascii="Calibri Light" w:hAnsi="Calibri Light" w:cs="Calibri Light"/>
                <w:noProof/>
              </w:rPr>
              <w:t xml:space="preserve"> (Mexique)</w:t>
            </w:r>
            <w:r w:rsidR="00AB1A39" w:rsidRPr="004E1ECC">
              <w:rPr>
                <w:noProof/>
                <w:webHidden/>
              </w:rPr>
              <w:fldChar w:fldCharType="begin"/>
            </w:r>
            <w:r w:rsidR="00AB1A39" w:rsidRPr="004E1ECC">
              <w:rPr>
                <w:noProof/>
                <w:webHidden/>
              </w:rPr>
              <w:instrText xml:space="preserve"> PAGEREF _Toc145504478 \h </w:instrText>
            </w:r>
            <w:r w:rsidR="00AB1A39" w:rsidRPr="004E1ECC">
              <w:rPr>
                <w:noProof/>
                <w:webHidden/>
              </w:rPr>
            </w:r>
            <w:r w:rsidR="00AB1A39" w:rsidRPr="004E1ECC">
              <w:rPr>
                <w:noProof/>
                <w:webHidden/>
              </w:rPr>
              <w:fldChar w:fldCharType="separate"/>
            </w:r>
            <w:r w:rsidR="00733109" w:rsidRPr="004E1ECC">
              <w:rPr>
                <w:noProof/>
                <w:webHidden/>
              </w:rPr>
              <w:t>18</w:t>
            </w:r>
            <w:r w:rsidR="00AB1A39" w:rsidRPr="004E1ECC">
              <w:rPr>
                <w:noProof/>
                <w:webHidden/>
              </w:rPr>
              <w:fldChar w:fldCharType="end"/>
            </w:r>
          </w:hyperlink>
        </w:p>
        <w:p w14:paraId="1D3A4CAF" w14:textId="3ACDDA75" w:rsidR="00AB1A39" w:rsidRPr="004E1ECC" w:rsidRDefault="004D4868">
          <w:pPr>
            <w:pStyle w:val="TOC1"/>
            <w:rPr>
              <w:rFonts w:eastAsiaTheme="minorEastAsia"/>
              <w:noProof/>
              <w:kern w:val="2"/>
              <w:sz w:val="22"/>
              <w:szCs w:val="22"/>
              <w:lang w:eastAsia="zh-CN"/>
              <w14:ligatures w14:val="standardContextual"/>
            </w:rPr>
          </w:pPr>
          <w:hyperlink w:anchor="_Toc145504480" w:history="1">
            <w:r w:rsidR="00AB1A39" w:rsidRPr="004E1ECC">
              <w:rPr>
                <w:rStyle w:val="Hyperlink"/>
                <w:rFonts w:ascii="Calibri Light" w:hAnsi="Calibri Light" w:cs="Calibri Light"/>
                <w:noProof/>
              </w:rPr>
              <w:t>Une organisation communautaire, des organismes publics et la protection de la propriété intellectuelle au service des apiculteurs slovènes (Slovénie)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_Toc145504480 \h </w:instrText>
            </w:r>
            <w:r w:rsidR="00AB1A39" w:rsidRPr="004E1ECC">
              <w:rPr>
                <w:noProof/>
                <w:webHidden/>
              </w:rPr>
            </w:r>
            <w:r w:rsidR="00AB1A39" w:rsidRPr="004E1ECC">
              <w:rPr>
                <w:noProof/>
                <w:webHidden/>
              </w:rPr>
              <w:fldChar w:fldCharType="separate"/>
            </w:r>
            <w:r w:rsidR="00733109" w:rsidRPr="004E1ECC">
              <w:rPr>
                <w:noProof/>
                <w:webHidden/>
              </w:rPr>
              <w:t>21</w:t>
            </w:r>
            <w:r w:rsidR="00AB1A39" w:rsidRPr="004E1ECC">
              <w:rPr>
                <w:noProof/>
                <w:webHidden/>
              </w:rPr>
              <w:fldChar w:fldCharType="end"/>
            </w:r>
          </w:hyperlink>
        </w:p>
        <w:p w14:paraId="734206DD" w14:textId="349DAFD4" w:rsidR="00AB1A39" w:rsidRPr="004E1ECC" w:rsidRDefault="004D4868">
          <w:pPr>
            <w:pStyle w:val="TOC1"/>
            <w:rPr>
              <w:rFonts w:eastAsiaTheme="minorEastAsia"/>
              <w:noProof/>
              <w:kern w:val="2"/>
              <w:sz w:val="22"/>
              <w:szCs w:val="22"/>
              <w:lang w:eastAsia="zh-CN"/>
              <w14:ligatures w14:val="standardContextual"/>
            </w:rPr>
          </w:pPr>
          <w:hyperlink w:anchor="_Toc145504482" w:history="1">
            <w:r w:rsidR="00AB1A39" w:rsidRPr="004E1ECC">
              <w:rPr>
                <w:rStyle w:val="Hyperlink"/>
                <w:rFonts w:ascii="Calibri Light" w:hAnsi="Calibri Light" w:cs="Calibri Light"/>
                <w:noProof/>
              </w:rPr>
              <w:t>!Khwa ttu : centre culturel et éducatif san qui crée des opportunités d’emploi tout en revitalisant et en sauvegardant le patrimoine (Afrique du Sud)</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_Toc145504482 \h </w:instrText>
            </w:r>
            <w:r w:rsidR="00AB1A39" w:rsidRPr="004E1ECC">
              <w:rPr>
                <w:noProof/>
                <w:webHidden/>
              </w:rPr>
            </w:r>
            <w:r w:rsidR="00AB1A39" w:rsidRPr="004E1ECC">
              <w:rPr>
                <w:noProof/>
                <w:webHidden/>
              </w:rPr>
              <w:fldChar w:fldCharType="separate"/>
            </w:r>
            <w:r w:rsidR="00733109" w:rsidRPr="004E1ECC">
              <w:rPr>
                <w:noProof/>
                <w:webHidden/>
              </w:rPr>
              <w:t>23</w:t>
            </w:r>
            <w:r w:rsidR="00AB1A39" w:rsidRPr="004E1ECC">
              <w:rPr>
                <w:noProof/>
                <w:webHidden/>
              </w:rPr>
              <w:fldChar w:fldCharType="end"/>
            </w:r>
          </w:hyperlink>
        </w:p>
        <w:p w14:paraId="069CB6FF" w14:textId="78665276" w:rsidR="00AB1A39" w:rsidRPr="004E1ECC" w:rsidRDefault="004D4868">
          <w:pPr>
            <w:pStyle w:val="TOC1"/>
            <w:rPr>
              <w:rFonts w:eastAsiaTheme="minorEastAsia"/>
              <w:noProof/>
              <w:kern w:val="2"/>
              <w:sz w:val="22"/>
              <w:szCs w:val="22"/>
              <w:lang w:eastAsia="zh-CN"/>
              <w14:ligatures w14:val="standardContextual"/>
            </w:rPr>
          </w:pPr>
          <w:hyperlink w:anchor="_Toc145504484" w:history="1">
            <w:r w:rsidR="00AB1A39" w:rsidRPr="004E1ECC">
              <w:rPr>
                <w:rStyle w:val="Hyperlink"/>
                <w:rFonts w:ascii="Calibri Light" w:hAnsi="Calibri Light" w:cs="Calibri Light"/>
                <w:noProof/>
              </w:rPr>
              <w:t>Un maître, mille maîtres (Bir Usta Bin Usta) projet (Türkiye)</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_Toc145504484 \h </w:instrText>
            </w:r>
            <w:r w:rsidR="00AB1A39" w:rsidRPr="004E1ECC">
              <w:rPr>
                <w:noProof/>
                <w:webHidden/>
              </w:rPr>
            </w:r>
            <w:r w:rsidR="00AB1A39" w:rsidRPr="004E1ECC">
              <w:rPr>
                <w:noProof/>
                <w:webHidden/>
              </w:rPr>
              <w:fldChar w:fldCharType="separate"/>
            </w:r>
            <w:r w:rsidR="00733109" w:rsidRPr="004E1ECC">
              <w:rPr>
                <w:noProof/>
                <w:webHidden/>
              </w:rPr>
              <w:t>26</w:t>
            </w:r>
            <w:r w:rsidR="00AB1A39" w:rsidRPr="004E1ECC">
              <w:rPr>
                <w:noProof/>
                <w:webHidden/>
              </w:rPr>
              <w:fldChar w:fldCharType="end"/>
            </w:r>
          </w:hyperlink>
        </w:p>
        <w:p w14:paraId="396A2A0F" w14:textId="3878F298" w:rsidR="00AB1A39" w:rsidRPr="004E1ECC" w:rsidRDefault="004D4868">
          <w:pPr>
            <w:pStyle w:val="TOC1"/>
            <w:rPr>
              <w:rFonts w:eastAsiaTheme="minorEastAsia"/>
              <w:noProof/>
              <w:kern w:val="2"/>
              <w:sz w:val="22"/>
              <w:szCs w:val="22"/>
              <w:lang w:eastAsia="zh-CN"/>
              <w14:ligatures w14:val="standardContextual"/>
            </w:rPr>
          </w:pPr>
          <w:hyperlink w:anchor="_Toc145504486" w:history="1">
            <w:r w:rsidR="00AB1A39" w:rsidRPr="004E1ECC">
              <w:rPr>
                <w:rStyle w:val="Hyperlink"/>
                <w:rFonts w:ascii="Calibri Light" w:hAnsi="Calibri Light" w:cs="Calibri Light"/>
                <w:noProof/>
              </w:rPr>
              <w:t>Divers facteurs économiques affectant la sauvegarde : culture du henné, pratiques culturelles et peinture corporelle (Yémen)</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_Toc145504486 \h </w:instrText>
            </w:r>
            <w:r w:rsidR="00AB1A39" w:rsidRPr="004E1ECC">
              <w:rPr>
                <w:noProof/>
                <w:webHidden/>
              </w:rPr>
            </w:r>
            <w:r w:rsidR="00AB1A39" w:rsidRPr="004E1ECC">
              <w:rPr>
                <w:noProof/>
                <w:webHidden/>
              </w:rPr>
              <w:fldChar w:fldCharType="separate"/>
            </w:r>
            <w:r w:rsidR="00733109" w:rsidRPr="004E1ECC">
              <w:rPr>
                <w:noProof/>
                <w:webHidden/>
              </w:rPr>
              <w:t>27</w:t>
            </w:r>
            <w:r w:rsidR="00AB1A39" w:rsidRPr="004E1ECC">
              <w:rPr>
                <w:noProof/>
                <w:webHidden/>
              </w:rPr>
              <w:fldChar w:fldCharType="end"/>
            </w:r>
          </w:hyperlink>
        </w:p>
        <w:p w14:paraId="79EBC8F0" w14:textId="3D644E05" w:rsidR="00AB1A39" w:rsidRPr="004E1ECC" w:rsidRDefault="004D4868">
          <w:pPr>
            <w:pStyle w:val="TOC1"/>
            <w:rPr>
              <w:rFonts w:eastAsiaTheme="minorEastAsia"/>
              <w:noProof/>
              <w:kern w:val="2"/>
              <w:sz w:val="22"/>
              <w:szCs w:val="22"/>
              <w:lang w:eastAsia="zh-CN"/>
              <w14:ligatures w14:val="standardContextual"/>
            </w:rPr>
          </w:pPr>
          <w:hyperlink w:anchor="_Toc145504488" w:history="1">
            <w:r w:rsidR="00AB1A39" w:rsidRPr="004E1ECC">
              <w:rPr>
                <w:rStyle w:val="Hyperlink"/>
                <w:rFonts w:ascii="Calibri Light" w:hAnsi="Calibri Light" w:cs="Calibri Light"/>
                <w:noProof/>
              </w:rPr>
              <w:t xml:space="preserve">Stratégies communautaires relatives aux aspects économiques du PCI en </w:t>
            </w:r>
            <w:r w:rsidR="00E869DF" w:rsidRPr="004E1ECC">
              <w:rPr>
                <w:rStyle w:val="Hyperlink"/>
                <w:rFonts w:ascii="Calibri Light" w:hAnsi="Calibri Light" w:cs="Calibri Light"/>
                <w:noProof/>
              </w:rPr>
              <w:t>Sápmi</w:t>
            </w:r>
            <w:r w:rsidR="00AB1A39" w:rsidRPr="004E1ECC">
              <w:rPr>
                <w:rStyle w:val="Hyperlink"/>
                <w:rFonts w:ascii="Calibri Light" w:hAnsi="Calibri Light" w:cs="Calibri Light"/>
                <w:noProof/>
              </w:rPr>
              <w:t xml:space="preserve"> </w:t>
            </w:r>
            <w:r w:rsidR="00AB1A39" w:rsidRPr="004E1ECC">
              <w:rPr>
                <w:noProof/>
                <w:webHidden/>
              </w:rPr>
              <w:tab/>
            </w:r>
            <w:r w:rsidR="00AB1A39" w:rsidRPr="004E1ECC">
              <w:rPr>
                <w:noProof/>
                <w:webHidden/>
              </w:rPr>
              <w:fldChar w:fldCharType="begin"/>
            </w:r>
            <w:r w:rsidR="00AB1A39" w:rsidRPr="004E1ECC">
              <w:rPr>
                <w:noProof/>
                <w:webHidden/>
              </w:rPr>
              <w:instrText xml:space="preserve"> PAGEREF _Toc145504488 \h </w:instrText>
            </w:r>
            <w:r w:rsidR="00AB1A39" w:rsidRPr="004E1ECC">
              <w:rPr>
                <w:noProof/>
                <w:webHidden/>
              </w:rPr>
            </w:r>
            <w:r w:rsidR="00AB1A39" w:rsidRPr="004E1ECC">
              <w:rPr>
                <w:noProof/>
                <w:webHidden/>
              </w:rPr>
              <w:fldChar w:fldCharType="separate"/>
            </w:r>
            <w:r w:rsidR="00733109" w:rsidRPr="004E1ECC">
              <w:rPr>
                <w:noProof/>
                <w:webHidden/>
              </w:rPr>
              <w:t>30</w:t>
            </w:r>
            <w:r w:rsidR="00AB1A39" w:rsidRPr="004E1ECC">
              <w:rPr>
                <w:noProof/>
                <w:webHidden/>
              </w:rPr>
              <w:fldChar w:fldCharType="end"/>
            </w:r>
          </w:hyperlink>
        </w:p>
        <w:p w14:paraId="598DA5E0" w14:textId="447A3B1C" w:rsidR="00AB1A39" w:rsidRPr="004E1ECC" w:rsidRDefault="00AB1A39">
          <w:pPr>
            <w:rPr>
              <w:rFonts w:ascii="Calibri Light" w:hAnsi="Calibri Light" w:cs="Calibri Light"/>
            </w:rPr>
          </w:pPr>
          <w:r w:rsidRPr="004E1ECC">
            <w:rPr>
              <w:rFonts w:ascii="Calibri Light" w:hAnsi="Calibri Light" w:cs="Calibri Light"/>
              <w:b/>
              <w:bCs/>
              <w:noProof/>
            </w:rPr>
            <w:fldChar w:fldCharType="end"/>
          </w:r>
        </w:p>
      </w:sdtContent>
    </w:sdt>
    <w:p w14:paraId="03C9B697" w14:textId="77777777" w:rsidR="00AB1A39" w:rsidRPr="004E1ECC" w:rsidRDefault="00AB1A39" w:rsidP="00496B28">
      <w:pPr>
        <w:pStyle w:val="TOCHeading"/>
      </w:pPr>
      <w:r w:rsidRPr="004E1ECC">
        <w:br w:type="page"/>
      </w:r>
    </w:p>
    <w:p w14:paraId="703CE3CF" w14:textId="2F9860E3" w:rsidR="00C26F11" w:rsidRPr="004E1ECC" w:rsidRDefault="00C26F11" w:rsidP="00496B28">
      <w:pPr>
        <w:pStyle w:val="TOCHeading"/>
      </w:pPr>
      <w:bookmarkStart w:id="5" w:name="_Toc145504466"/>
      <w:r w:rsidRPr="004E1ECC">
        <w:lastRenderedPageBreak/>
        <w:t>Aider les communautés à tirer profit des innovations patrimoniales : produits gastronomiques liés au bush,</w:t>
      </w:r>
      <w:bookmarkStart w:id="6" w:name="_Hlk127370666"/>
      <w:bookmarkEnd w:id="6"/>
      <w:r w:rsidRPr="004E1ECC">
        <w:t xml:space="preserve"> basés sur les traditions des Aborigènes et des Insulaires du détroit de Torrès (Australie)</w:t>
      </w:r>
      <w:r w:rsidRPr="004E1ECC">
        <w:rPr>
          <w:vertAlign w:val="superscript"/>
        </w:rPr>
        <w:footnoteReference w:id="2"/>
      </w:r>
      <w:bookmarkEnd w:id="5"/>
    </w:p>
    <w:p w14:paraId="6AFC7428" w14:textId="77777777" w:rsidR="00C26F11" w:rsidRPr="004E1ECC" w:rsidRDefault="00C26F11" w:rsidP="00B34A43">
      <w:pPr>
        <w:pStyle w:val="Parabodytext"/>
        <w:rPr>
          <w:lang w:val="fr-FR"/>
        </w:rPr>
      </w:pPr>
      <w:r w:rsidRPr="004E1ECC">
        <w:rPr>
          <w:lang w:val="fr-FR"/>
        </w:rPr>
        <w:t>Une approche de planification par « cartographie du système » fournit un exemple intéressant de stratégies multidimensionnelles d’une communauté pour la commercialisation de son PCI (savoir autochtone) en Australie. Cette approche a été développée par une équipe d’universitaires qui ont aidé une communauté de peuples autochtones à développer des stratégies de commercialisation de produits gastronomiques liés au bush australien, comme des sauces, des confitures, des tartes et du chutney.  Le but était de proposer des stratégies pour relever les défis auxquels la communauté, historiquement désavantagée, était confrontée et de protéger ses droits et ses intérêts sur le marché, tout en favorisant le contrôle de sa base de connaissances.</w:t>
      </w:r>
    </w:p>
    <w:p w14:paraId="72011B63" w14:textId="77777777" w:rsidR="00C26F11" w:rsidRPr="004E1ECC" w:rsidRDefault="00C26F11" w:rsidP="005931E2">
      <w:pPr>
        <w:pStyle w:val="Parabodytext"/>
        <w:rPr>
          <w:rFonts w:cstheme="minorHAnsi"/>
          <w:lang w:val="fr-FR"/>
        </w:rPr>
      </w:pPr>
      <w:r w:rsidRPr="004E1ECC">
        <w:rPr>
          <w:rFonts w:cstheme="minorHAnsi"/>
          <w:lang w:val="fr-FR"/>
        </w:rPr>
        <w:t>Les populations autochtones australiennes comprennent les Aborigènes d’Australie continentale et les Insulaires du détroit de Torrès des îles situées au nord de l’Australie continentale. Si les groupes aborigènes et insulaires du détroit de Torrès partagent de nombreuses pratiques culturelles, ils parlent des langues différentes, obéissent à des lois coutumières différentes, et leurs besoins et aspirations divergent en raison de leurs origines culturelles et socio-économiques diverses. Les moyens de subsistance, la santé et les pratiques culturelles de tous les Aborigènes et Insulaires du détroit de Torrès ont toutefois été affectés par la colonisation de l’Australie. Par exemple, ils n’ont plus accès à la terre, ce qui les empêche de pouvoir préserver leur patrimoine culturel, et ils ne sont plus impliqués dans les décisions gouvernementales concernant leur territoire, dont certaines ont conduit à la destruction de l’environnement. Malgré tout, les communautés autochtones parviennent aujourd’hui à conserver un lien étroit entre le « pays » et la culture, c’est-à-dire leur patrimoine matériel et immatériel. Comme l’a déclaré Tina Brown, aînée des Ngunnawal :</w:t>
      </w:r>
    </w:p>
    <w:p w14:paraId="2F84A4B8" w14:textId="77777777" w:rsidR="00C26F11" w:rsidRPr="004E1ECC" w:rsidRDefault="00C26F11" w:rsidP="00DC778D">
      <w:pPr>
        <w:pStyle w:val="Parabodytext"/>
        <w:tabs>
          <w:tab w:val="clear" w:pos="567"/>
          <w:tab w:val="left" w:pos="851"/>
        </w:tabs>
        <w:ind w:left="851"/>
        <w:rPr>
          <w:rFonts w:cstheme="minorHAnsi"/>
          <w:i/>
          <w:iCs/>
          <w:color w:val="404040" w:themeColor="text1" w:themeTint="BF"/>
          <w:lang w:val="fr-FR"/>
        </w:rPr>
      </w:pPr>
      <w:r w:rsidRPr="004E1ECC">
        <w:rPr>
          <w:rFonts w:cstheme="minorHAnsi"/>
          <w:i/>
          <w:iCs/>
          <w:color w:val="404040" w:themeColor="text1" w:themeTint="BF"/>
          <w:lang w:val="fr-FR"/>
        </w:rPr>
        <w:t xml:space="preserve">Les communautés autochtones maintiennent leur patrimoine culturel en vie en transmettant leurs connaissances, leurs arts, leurs cérémonies et leurs performances d’une génération à l’autre, en parlant et en enseignant les langues, en </w:t>
      </w:r>
      <w:r w:rsidRPr="004E1ECC">
        <w:rPr>
          <w:rFonts w:cstheme="minorHAnsi"/>
          <w:lang w:val="fr-FR"/>
        </w:rPr>
        <w:t>protégeant</w:t>
      </w:r>
      <w:r w:rsidRPr="004E1ECC">
        <w:rPr>
          <w:rFonts w:cstheme="minorHAnsi"/>
          <w:i/>
          <w:iCs/>
          <w:color w:val="404040" w:themeColor="text1" w:themeTint="BF"/>
          <w:lang w:val="fr-FR"/>
        </w:rPr>
        <w:t xml:space="preserve"> les matériaux culturels, les sites et les objets sacrés et significatifs. Pour les Autochtones australiens, la terre est au cœur de toute spiritualité et cette relation, ainsi que l’esprit du « pays », est au centre des questions majeures pour les Autochtones aujourd’hui</w:t>
      </w:r>
      <w:r w:rsidRPr="004E1ECC">
        <w:rPr>
          <w:rFonts w:cstheme="minorHAnsi"/>
          <w:i/>
          <w:iCs/>
          <w:color w:val="404040" w:themeColor="text1" w:themeTint="BF"/>
          <w:vertAlign w:val="superscript"/>
        </w:rPr>
        <w:footnoteReference w:id="3"/>
      </w:r>
      <w:r w:rsidRPr="004E1ECC">
        <w:rPr>
          <w:rFonts w:cstheme="minorHAnsi"/>
          <w:i/>
          <w:iCs/>
          <w:color w:val="404040" w:themeColor="text1" w:themeTint="BF"/>
          <w:lang w:val="fr-FR"/>
        </w:rPr>
        <w:t>.</w:t>
      </w:r>
    </w:p>
    <w:p w14:paraId="0EAFF526" w14:textId="77777777" w:rsidR="00C26F11" w:rsidRPr="004E1ECC" w:rsidRDefault="00C26F11" w:rsidP="005931E2">
      <w:pPr>
        <w:pStyle w:val="Parabodytext"/>
        <w:rPr>
          <w:rFonts w:cstheme="minorHAnsi"/>
          <w:lang w:val="fr-FR"/>
        </w:rPr>
      </w:pPr>
      <w:r w:rsidRPr="004E1ECC">
        <w:rPr>
          <w:rFonts w:cstheme="minorHAnsi"/>
          <w:lang w:val="fr-FR"/>
        </w:rPr>
        <w:t>Ce « pays » abrite de nombreuses espèces de plantes que les Aborigènes et les Insulaires du détroit de Torrès ont étudiées, qu’ils ont utilisées dans l’alimentation et la médecine, et qu’ils ont gérées pendant des millénaires. Pour les Aborigènes et les Insulaires du détroit de Torrès, le patrimoine n’est pas seulement quelque chose d’ancien, mais il « inclut [également] des éléments qui pourraient être créés à l’avenir</w:t>
      </w:r>
      <w:r w:rsidRPr="004E1ECC">
        <w:rPr>
          <w:rFonts w:cstheme="minorHAnsi"/>
          <w:vertAlign w:val="superscript"/>
        </w:rPr>
        <w:footnoteReference w:id="4"/>
      </w:r>
      <w:r w:rsidRPr="004E1ECC">
        <w:rPr>
          <w:rFonts w:cstheme="minorHAnsi"/>
          <w:lang w:val="fr-FR"/>
        </w:rPr>
        <w:t> ». Leurs connaissances ont contribué au développement commercial d’espèces « comestibles du bush australien » telles que le macadamia, le myrte citronné, les graines d’acacia, les tomates du bush australien, les prunes de Kakadu, la pomme à émeu et le quandong. Les bénéfices des entreprises commerciales dans ces secteurs ont été conséquents et continuent de croître avec la recrudescence de l’intérêt pour les nouveaux types d’aliments du bush australien au cours des dernières années. Cependant, il n’y a pas eu de soutien systématique des intérêts des communautés dans la commercialisation des aliments du bush, de sorte que les Aborigènes et les Insulaires du détroit de Torrès ont été contraints de compter sur la bonne volonté des gouvernements et des promoteurs pour tirer parti de ce processus.</w:t>
      </w:r>
    </w:p>
    <w:p w14:paraId="0F5C5F2A" w14:textId="77777777" w:rsidR="00C26F11" w:rsidRPr="004E1ECC" w:rsidRDefault="00C26F11" w:rsidP="005931E2">
      <w:pPr>
        <w:pStyle w:val="Parabodytext"/>
        <w:rPr>
          <w:rFonts w:cstheme="minorHAnsi"/>
          <w:lang w:val="fr-FR"/>
        </w:rPr>
      </w:pPr>
      <w:r w:rsidRPr="004E1ECC">
        <w:rPr>
          <w:rFonts w:cstheme="minorHAnsi"/>
          <w:lang w:val="fr-FR"/>
        </w:rPr>
        <w:lastRenderedPageBreak/>
        <w:t xml:space="preserve">Dans le projet décrit par Lingard et Martin (2016), les universitaires ont demandé aux membres de la communauté d’identifier leurs intérêts et problèmes. Les personnes interrogées souhaitaient mieux contrôler l’utilisation des plantes et des connaissances conformément au droit coutumier, partager équitablement les bénéfices, développer leurs propres entreprises et partenariats, et assurer la transmission et le maintien de leurs connaissances dans les pratiques culturelles (c’est-à-dire sauvegarder leurs connaissances autochtones). </w:t>
      </w:r>
    </w:p>
    <w:p w14:paraId="65BB961D" w14:textId="77777777" w:rsidR="00C26F11" w:rsidRPr="004E1ECC" w:rsidRDefault="00C26F11" w:rsidP="005931E2">
      <w:pPr>
        <w:pStyle w:val="Parabodytext"/>
        <w:rPr>
          <w:rFonts w:cstheme="minorHAnsi"/>
          <w:lang w:val="fr-FR"/>
        </w:rPr>
      </w:pPr>
      <w:r w:rsidRPr="004E1ECC">
        <w:rPr>
          <w:rFonts w:cstheme="minorHAnsi"/>
          <w:lang w:val="fr-FR"/>
        </w:rPr>
        <w:t>L’équipe de projet a ensuite passé en revue la littérature afin d’identifier différents types de mesures susceptibles de servir ces intérêts et de régler ces problèmes dans le cadre d’une stratégie globale de commercialisation. Les stratégies identifiées comprennent les bases de données de connaissances, les protocoles d’accès et le droit des contrats qui aident les Aborigènes et les Insulaires du détroit de Torrès à préserver et à exploiter leurs connaissances, les partenariats commerciaux, les accords de confidentialité et les marques déposées qui permettent d’accroître le contrôle des entreprises communautaires sur le marché, et diverses mesures en matière d’éducation, de télécommunication et de réglementation visant à aider les propriétaires fonciers à développer des entreprises de récolte sauvage et les membres de la communauté à participer au développement de l’alimentation du bush australien. En outre, l’équipe de projet a examiné les cadres juridiques internationaux protégeant les détenteurs de savoirs autochtones : elle a constaté l’absence de protection statutaire spécifique pour les savoirs autochtones et l’importance des approches fondées sur l’accès et le partage des bénéfices, ainsi que d’autres mécanismes.</w:t>
      </w:r>
    </w:p>
    <w:p w14:paraId="687AB7CA" w14:textId="77777777" w:rsidR="00C26F11" w:rsidRPr="004E1ECC" w:rsidRDefault="00C26F11" w:rsidP="005931E2">
      <w:pPr>
        <w:pStyle w:val="Parabodytext"/>
        <w:rPr>
          <w:rFonts w:asciiTheme="minorHAnsi" w:hAnsiTheme="minorHAnsi" w:cstheme="minorHAnsi"/>
        </w:rPr>
      </w:pPr>
      <w:r w:rsidRPr="004E1ECC">
        <w:rPr>
          <w:rFonts w:cstheme="minorHAnsi"/>
          <w:lang w:val="fr-FR"/>
        </w:rPr>
        <w:t xml:space="preserve">L’approche de planification décrite par Lingard et Martin (2016) s’est inspirée des modèles de cartographie des systèmes utilisés par les chercheurs en droit de l’environnement pour comprendre des problèmes politiques complexes et identifier des interventions réalisables dans des domaines tels </w:t>
      </w:r>
      <w:r w:rsidRPr="004E1ECC">
        <w:rPr>
          <w:rFonts w:asciiTheme="minorHAnsi" w:hAnsiTheme="minorHAnsi" w:cstheme="minorHAnsi"/>
          <w:lang w:val="fr-FR"/>
        </w:rPr>
        <w:t xml:space="preserve">que la consommation durable. La cartographie des systèmes consiste à « cartographier visuellement le système en question » et à identifier les éléments à modifier. </w:t>
      </w:r>
      <w:r w:rsidRPr="004E1ECC">
        <w:rPr>
          <w:rFonts w:asciiTheme="minorHAnsi" w:hAnsiTheme="minorHAnsi" w:cstheme="minorHAnsi"/>
        </w:rPr>
        <w:t>Cette approche propose les étapes suivantes :</w:t>
      </w:r>
    </w:p>
    <w:p w14:paraId="46E9B7BE" w14:textId="77777777" w:rsidR="00C26F11" w:rsidRPr="004E1ECC" w:rsidRDefault="00C26F11" w:rsidP="00C26F11">
      <w:pPr>
        <w:numPr>
          <w:ilvl w:val="0"/>
          <w:numId w:val="18"/>
        </w:numPr>
        <w:spacing w:after="160" w:line="259" w:lineRule="auto"/>
        <w:contextualSpacing/>
        <w:jc w:val="both"/>
        <w:rPr>
          <w:rFonts w:asciiTheme="minorHAnsi" w:eastAsiaTheme="minorHAnsi" w:hAnsiTheme="minorHAnsi" w:cstheme="minorHAnsi"/>
          <w:sz w:val="22"/>
          <w:szCs w:val="22"/>
          <w:lang w:eastAsia="en-US"/>
        </w:rPr>
      </w:pPr>
      <w:r w:rsidRPr="004E1ECC">
        <w:rPr>
          <w:rFonts w:asciiTheme="minorHAnsi" w:eastAsiaTheme="minorHAnsi" w:hAnsiTheme="minorHAnsi" w:cstheme="minorHAnsi"/>
          <w:sz w:val="22"/>
          <w:szCs w:val="22"/>
          <w:lang w:eastAsia="en-US"/>
        </w:rPr>
        <w:t>identifier les étapes et les actions de commercialisation ;</w:t>
      </w:r>
    </w:p>
    <w:p w14:paraId="0F3ADB6E" w14:textId="77777777" w:rsidR="00C26F11" w:rsidRPr="004E1ECC" w:rsidRDefault="00C26F11" w:rsidP="00C26F11">
      <w:pPr>
        <w:numPr>
          <w:ilvl w:val="0"/>
          <w:numId w:val="18"/>
        </w:numPr>
        <w:spacing w:after="160" w:line="259" w:lineRule="auto"/>
        <w:contextualSpacing/>
        <w:jc w:val="both"/>
        <w:rPr>
          <w:rFonts w:asciiTheme="minorHAnsi" w:eastAsiaTheme="minorHAnsi" w:hAnsiTheme="minorHAnsi" w:cstheme="minorHAnsi"/>
          <w:sz w:val="22"/>
          <w:szCs w:val="22"/>
          <w:lang w:eastAsia="en-US"/>
        </w:rPr>
      </w:pPr>
      <w:r w:rsidRPr="004E1ECC">
        <w:rPr>
          <w:rFonts w:asciiTheme="minorHAnsi" w:eastAsiaTheme="minorHAnsi" w:hAnsiTheme="minorHAnsi" w:cstheme="minorHAnsi"/>
          <w:sz w:val="22"/>
          <w:szCs w:val="22"/>
          <w:lang w:eastAsia="en-US"/>
        </w:rPr>
        <w:t>identifier les dispositions légales qui influencent chaque action ;</w:t>
      </w:r>
    </w:p>
    <w:p w14:paraId="6000B18C" w14:textId="77777777" w:rsidR="00C26F11" w:rsidRPr="004E1ECC" w:rsidRDefault="00C26F11" w:rsidP="00C26F11">
      <w:pPr>
        <w:numPr>
          <w:ilvl w:val="0"/>
          <w:numId w:val="18"/>
        </w:numPr>
        <w:spacing w:after="160" w:line="259" w:lineRule="auto"/>
        <w:contextualSpacing/>
        <w:jc w:val="both"/>
        <w:rPr>
          <w:rFonts w:asciiTheme="minorHAnsi" w:eastAsiaTheme="minorHAnsi" w:hAnsiTheme="minorHAnsi" w:cstheme="minorHAnsi"/>
          <w:sz w:val="22"/>
          <w:szCs w:val="22"/>
          <w:lang w:eastAsia="en-US"/>
        </w:rPr>
      </w:pPr>
      <w:r w:rsidRPr="004E1ECC">
        <w:rPr>
          <w:rFonts w:asciiTheme="minorHAnsi" w:eastAsiaTheme="minorHAnsi" w:hAnsiTheme="minorHAnsi" w:cstheme="minorHAnsi"/>
          <w:sz w:val="22"/>
          <w:szCs w:val="22"/>
          <w:lang w:eastAsia="en-US"/>
        </w:rPr>
        <w:t>évaluer la capacité de chaque accord à soutenir les intérêts de la communauté ; et</w:t>
      </w:r>
    </w:p>
    <w:p w14:paraId="15A8369B" w14:textId="77777777" w:rsidR="00C26F11" w:rsidRPr="004E1ECC" w:rsidRDefault="00C26F11" w:rsidP="00C26F11">
      <w:pPr>
        <w:numPr>
          <w:ilvl w:val="0"/>
          <w:numId w:val="18"/>
        </w:numPr>
        <w:spacing w:after="160" w:line="259" w:lineRule="auto"/>
        <w:contextualSpacing/>
        <w:jc w:val="both"/>
        <w:rPr>
          <w:rFonts w:asciiTheme="minorHAnsi" w:eastAsiaTheme="minorHAnsi" w:hAnsiTheme="minorHAnsi" w:cstheme="minorHAnsi"/>
          <w:sz w:val="22"/>
          <w:szCs w:val="22"/>
          <w:lang w:eastAsia="en-US"/>
        </w:rPr>
      </w:pPr>
      <w:r w:rsidRPr="004E1ECC">
        <w:rPr>
          <w:rFonts w:asciiTheme="minorHAnsi" w:eastAsiaTheme="minorHAnsi" w:hAnsiTheme="minorHAnsi" w:cstheme="minorHAnsi"/>
          <w:sz w:val="22"/>
          <w:szCs w:val="22"/>
          <w:lang w:eastAsia="en-US"/>
        </w:rPr>
        <w:t>identifier les stratégies possibles pour améliorer le soutien à ces intérêts.</w:t>
      </w:r>
    </w:p>
    <w:p w14:paraId="71439D9D" w14:textId="77777777" w:rsidR="00C26F11" w:rsidRPr="004E1ECC" w:rsidRDefault="00C26F11" w:rsidP="005931E2">
      <w:pPr>
        <w:pStyle w:val="Parabodytext"/>
        <w:rPr>
          <w:rFonts w:asciiTheme="minorHAnsi" w:hAnsiTheme="minorHAnsi" w:cstheme="minorHAnsi"/>
          <w:lang w:val="fr-FR"/>
        </w:rPr>
      </w:pPr>
      <w:r w:rsidRPr="004E1ECC">
        <w:rPr>
          <w:rFonts w:asciiTheme="minorHAnsi" w:hAnsiTheme="minorHAnsi" w:cstheme="minorHAnsi"/>
          <w:lang w:val="fr-FR"/>
        </w:rPr>
        <w:t xml:space="preserve">Les différentes étapes de la commercialisation (comme l’approvisionnement en matières premières, le développement de produits, le marketing, la distribution et les ventes) étaient liées à différents types de cadres juridiques possibles (tels que les réglementations régissant la récolte sauvage, le droit des contrats ou le droit des marques). L’approche de la cartographie des systèmes a permis à l’équipe du projet d’examiner les lacunes des cadres réglementaires existants. Par exemple, bien que les lois australiennes imposent d’obtenir une licence pour cultiver et vendre des plantes autochtones, elles n’exigent pas que les détenteurs ou les donneurs de ces licences prennent en compte les intérêts des Aborigènes et des Insulaires du détroit de Torrès. Certains de ces derniers se sont également heurtés à des obstacles pratiques, puisqu’ils n’avaient qu’un accès limité aux acheteurs, aux marchés en ligne, à la technologie, à l’information et à l’expertise commerciale. </w:t>
      </w:r>
    </w:p>
    <w:p w14:paraId="4A0290E9" w14:textId="77777777" w:rsidR="00C26F11" w:rsidRPr="004E1ECC" w:rsidRDefault="00C26F11" w:rsidP="005931E2">
      <w:pPr>
        <w:pStyle w:val="Parabodytext"/>
        <w:rPr>
          <w:rFonts w:cstheme="minorHAnsi"/>
          <w:lang w:val="fr-FR"/>
        </w:rPr>
      </w:pPr>
      <w:r w:rsidRPr="004E1ECC">
        <w:rPr>
          <w:rFonts w:cstheme="minorHAnsi"/>
          <w:lang w:val="fr-FR"/>
        </w:rPr>
        <w:t xml:space="preserve">Pour chaque étape de la commercialisation, différentes stratégies devant être prises en compte par les membres de la communauté et les régulateurs ont été identifiées. Certaines stratégies consistaient à aider la communauté à conclure des contrats avec des entreprises tierces ou à fournir un soutien gouvernemental supplémentaire pour les aider à créer leur propre entreprise (comme l’éducation, la création d’une unité commerciale spécialisée ou la réduction des frais d’exportation ou d’enregistrement de la marque). D’autres visaient à inciter ou obliger les fournisseurs et les distributeurs tiers à soutenir la communauté d’une manière éthique et socialement responsable, par exemple en versant des redevances ou en imposant des conditions de consentement pour l’enregistrement de l’entreprise. Le projet recommande de meilleures protections </w:t>
      </w:r>
      <w:r w:rsidRPr="004E1ECC">
        <w:rPr>
          <w:rFonts w:asciiTheme="minorHAnsi" w:hAnsiTheme="minorHAnsi" w:cstheme="minorHAnsi"/>
          <w:lang w:val="fr-FR"/>
        </w:rPr>
        <w:t>juridiques</w:t>
      </w:r>
      <w:r w:rsidRPr="004E1ECC">
        <w:rPr>
          <w:rFonts w:cstheme="minorHAnsi"/>
          <w:lang w:val="fr-FR"/>
        </w:rPr>
        <w:t xml:space="preserve">, par exemple en reconnaissant les droits des gardiens traditionnels à exploiter leurs espèces non développées, en interdisant l’utilisation non autorisée des connaissances publiées par les Aborigènes et les Insulaires du détroit de Torrès, et en interdisant l’utilisation non autorisée de mots et de symboles culturels. Des outils tels qu’un registre des gardiens traditionnels des zones liées aux emplacements naturels des espèces végétales et une base de données des revendications culturelles autochtones et des restrictions </w:t>
      </w:r>
      <w:r w:rsidRPr="004E1ECC">
        <w:rPr>
          <w:rFonts w:cstheme="minorHAnsi"/>
          <w:lang w:val="fr-FR"/>
        </w:rPr>
        <w:lastRenderedPageBreak/>
        <w:t>culturelles au partage des connaissances ont été élaborés pour faciliter la gestion des informations, des autorisations et des redevances, dans l’intérêt des communautés.</w:t>
      </w:r>
    </w:p>
    <w:p w14:paraId="5F7E24AB" w14:textId="77777777" w:rsidR="00C26F11" w:rsidRPr="004E1ECC" w:rsidRDefault="00C26F11" w:rsidP="005931E2">
      <w:pPr>
        <w:pStyle w:val="Parabodytext"/>
        <w:rPr>
          <w:rFonts w:cstheme="minorHAnsi"/>
          <w:lang w:val="fr-FR"/>
        </w:rPr>
      </w:pPr>
      <w:r w:rsidRPr="004E1ECC">
        <w:rPr>
          <w:rFonts w:cstheme="minorHAnsi"/>
          <w:lang w:val="fr-FR"/>
        </w:rPr>
        <w:t xml:space="preserve">Cette approche reconnaît qu’en tant qu’entrepreneurs, les détenteurs de connaissances aborigènes et insulaires du détroit de Torrès ont parfois des intérêts divergents de ceux de l’ensemble de la communauté, et qu’il faut mettre des stratégies en place pour réglementer le comportement entrepreneurial des personnes afin de protéger les ressources collectives, telles que les savoirs autochtones sur lesquels les produits sont fondés. Par exemple, certains Aborigènes et Insulaires du détroit de Torrès développent des produits à partir d’aliments secrets, mais les étiquettes des produits, qui contiennent des informations sur les ingrédients, violent ce secret. Plusieurs stratégies permettent de remédier à ce problème. Premièrement, on pourrait accorder le droit exclusif d’exploiter les espèces non développées aux gardiens traditionnels. Deuxièmement, en liant les lignes directrices éthiques à l’octroi de licences commerciales, les communautés pourraient contrôler les produits mis sur le marché. </w:t>
      </w:r>
    </w:p>
    <w:p w14:paraId="05518ECA" w14:textId="77777777" w:rsidR="00C26F11" w:rsidRPr="004E1ECC" w:rsidRDefault="00C26F11" w:rsidP="005931E2">
      <w:pPr>
        <w:pStyle w:val="Parabodytext"/>
        <w:rPr>
          <w:rFonts w:cstheme="minorHAnsi"/>
          <w:lang w:val="fr-FR"/>
        </w:rPr>
      </w:pPr>
      <w:r w:rsidRPr="004E1ECC">
        <w:rPr>
          <w:rFonts w:cstheme="minorHAnsi"/>
          <w:lang w:val="fr-FR"/>
        </w:rPr>
        <w:t>Ce travail a servi de base à la rédaction de plusieurs notes d’information suggérant des changements dans l’environnement réglementaire ou décisionnaire afin d’aider les entreprises autochtones de produits du bush australien à prospérer tout en protégeant les connaissances autochtones concernées (Lingard 2015a et b). Anika Valenti et Terri Janke and Company, un cabinet d’avocats autochtones, ont collaboré avec le Département australien des industries primaires et du développement régional (DIPDR) pour élaborer des guides par secteur à l’intention des populations autochtones souhaitant créer des entreprises dans le secteur des produits du bush</w:t>
      </w:r>
      <w:r w:rsidRPr="004E1ECC">
        <w:rPr>
          <w:rFonts w:cstheme="minorHAnsi"/>
          <w:vertAlign w:val="superscript"/>
        </w:rPr>
        <w:footnoteReference w:id="5"/>
      </w:r>
      <w:r w:rsidRPr="004E1ECC">
        <w:rPr>
          <w:rFonts w:cstheme="minorHAnsi"/>
          <w:lang w:val="fr-FR"/>
        </w:rPr>
        <w:t xml:space="preserve">. Lors d’un Forum sur la science des semences organisé dans les jardins botaniques, Terri Janke (auteur de </w:t>
      </w:r>
      <w:r w:rsidRPr="004E1ECC">
        <w:rPr>
          <w:rFonts w:cstheme="minorHAnsi"/>
          <w:i/>
          <w:iCs/>
          <w:lang w:val="fr-FR"/>
        </w:rPr>
        <w:t>True Tracks</w:t>
      </w:r>
      <w:r w:rsidRPr="004E1ECC">
        <w:rPr>
          <w:rFonts w:cstheme="minorHAnsi"/>
          <w:lang w:val="fr-FR"/>
        </w:rPr>
        <w:t>, 2019)</w:t>
      </w:r>
      <w:r w:rsidRPr="004E1ECC">
        <w:rPr>
          <w:rFonts w:cstheme="minorHAnsi"/>
          <w:vertAlign w:val="superscript"/>
          <w:lang w:eastAsia="en-GB"/>
        </w:rPr>
        <w:footnoteReference w:id="6"/>
      </w:r>
      <w:r w:rsidRPr="004E1ECC">
        <w:rPr>
          <w:rFonts w:cstheme="minorHAnsi"/>
          <w:lang w:val="fr-FR"/>
        </w:rPr>
        <w:t xml:space="preserve"> et d’autres intervenants autochtones ont sensibilisé les scientifiques aux défis posés par le libre accès au savoir autochtone. Le gouvernement australien étudie actuellement la possibilité de modifier l’environnement politique afin d’aider les Aborigènes et les Insulaires du détroit de Torrès à protéger et à commercialiser les savoirs autochtones</w:t>
      </w:r>
      <w:r w:rsidRPr="004E1ECC">
        <w:rPr>
          <w:rFonts w:cstheme="minorHAnsi"/>
          <w:vertAlign w:val="superscript"/>
        </w:rPr>
        <w:footnoteReference w:id="7"/>
      </w:r>
      <w:r w:rsidRPr="004E1ECC">
        <w:rPr>
          <w:rFonts w:cstheme="minorHAnsi"/>
          <w:lang w:val="fr-FR"/>
        </w:rPr>
        <w:t xml:space="preserve">.  </w:t>
      </w:r>
    </w:p>
    <w:p w14:paraId="24DF869E" w14:textId="77777777" w:rsidR="00C26F11" w:rsidRPr="004E1ECC" w:rsidRDefault="00C26F11" w:rsidP="00496B28">
      <w:pPr>
        <w:pStyle w:val="LEVEL2"/>
      </w:pPr>
      <w:bookmarkStart w:id="7" w:name="_Toc145504236"/>
      <w:bookmarkStart w:id="8" w:name="_Toc145504467"/>
      <w:r w:rsidRPr="004E1ECC">
        <w:t>Informations complémentaires</w:t>
      </w:r>
      <w:bookmarkEnd w:id="7"/>
      <w:bookmarkEnd w:id="8"/>
    </w:p>
    <w:p w14:paraId="2E3C2DD2" w14:textId="44D6ECCC" w:rsidR="00C26F11" w:rsidRPr="004E1ECC" w:rsidRDefault="00C26F11" w:rsidP="00003BDC">
      <w:pPr>
        <w:pStyle w:val="Parabodytext"/>
        <w:numPr>
          <w:ilvl w:val="0"/>
          <w:numId w:val="23"/>
        </w:numPr>
        <w:tabs>
          <w:tab w:val="clear" w:pos="567"/>
        </w:tabs>
        <w:snapToGrid/>
        <w:contextualSpacing/>
        <w:jc w:val="left"/>
        <w:rPr>
          <w:rFonts w:cstheme="minorHAnsi"/>
          <w:lang w:val="fr-FR"/>
        </w:rPr>
      </w:pPr>
      <w:r w:rsidRPr="004E1ECC">
        <w:rPr>
          <w:rFonts w:cstheme="minorHAnsi"/>
        </w:rPr>
        <w:t xml:space="preserve">K. Lingard, P. Martin, 2016. </w:t>
      </w:r>
      <w:r w:rsidRPr="004E1ECC">
        <w:rPr>
          <w:rFonts w:cstheme="minorHAnsi"/>
          <w:lang w:val="en-GB"/>
        </w:rPr>
        <w:t xml:space="preserve">« Strategies to Support the Interests of Aboriginal and Torres Strait </w:t>
      </w:r>
      <w:r w:rsidRPr="004E1ECC">
        <w:rPr>
          <w:rFonts w:cstheme="minorHAnsi"/>
        </w:rPr>
        <w:t>Islander</w:t>
      </w:r>
      <w:r w:rsidRPr="004E1ECC">
        <w:rPr>
          <w:rFonts w:cstheme="minorHAnsi"/>
          <w:lang w:val="en-GB"/>
        </w:rPr>
        <w:t xml:space="preserve"> Peoples in the Commercial Development of Gourmet Bush Food Products. » </w:t>
      </w:r>
      <w:r w:rsidRPr="004E1ECC">
        <w:rPr>
          <w:rFonts w:cstheme="minorHAnsi"/>
          <w:lang w:val="fr-FR"/>
        </w:rPr>
        <w:t xml:space="preserve">[Stratégies visant à soutenir les intérêts des Aborigènes et des Insulaires du détroit de Torrès dans le développement commercial des produits gastronomiques du bush australien] </w:t>
      </w:r>
      <w:r w:rsidRPr="004E1ECC">
        <w:rPr>
          <w:rFonts w:cstheme="minorHAnsi"/>
          <w:i/>
          <w:lang w:val="fr-FR"/>
        </w:rPr>
        <w:t>International Journal of Cultural Property,</w:t>
      </w:r>
      <w:r w:rsidRPr="004E1ECC">
        <w:rPr>
          <w:rFonts w:cstheme="minorHAnsi"/>
          <w:lang w:val="fr-FR"/>
        </w:rPr>
        <w:t xml:space="preserve"> </w:t>
      </w:r>
      <w:r w:rsidRPr="004E1ECC">
        <w:rPr>
          <w:rFonts w:cstheme="minorHAnsi"/>
          <w:i/>
          <w:lang w:val="fr-FR"/>
        </w:rPr>
        <w:t>23</w:t>
      </w:r>
      <w:r w:rsidRPr="004E1ECC">
        <w:rPr>
          <w:rFonts w:cstheme="minorHAnsi"/>
          <w:lang w:val="fr-FR"/>
        </w:rPr>
        <w:t>(1), p. 33–70. doi:</w:t>
      </w:r>
      <w:hyperlink r:id="rId11" w:history="1">
        <w:r w:rsidRPr="004E1ECC">
          <w:rPr>
            <w:rStyle w:val="Hyperlink"/>
            <w:rFonts w:cstheme="minorHAnsi"/>
            <w:lang w:val="fr-FR"/>
          </w:rPr>
          <w:t>10.1017/S0940739116000023</w:t>
        </w:r>
      </w:hyperlink>
    </w:p>
    <w:p w14:paraId="55B6A3A2" w14:textId="586E2865" w:rsidR="00C26F11" w:rsidRPr="004E1ECC" w:rsidRDefault="00C26F11" w:rsidP="00003BDC">
      <w:pPr>
        <w:pStyle w:val="Parabodytext"/>
        <w:numPr>
          <w:ilvl w:val="0"/>
          <w:numId w:val="23"/>
        </w:numPr>
        <w:tabs>
          <w:tab w:val="clear" w:pos="567"/>
        </w:tabs>
        <w:snapToGrid/>
        <w:ind w:left="357" w:hanging="357"/>
        <w:contextualSpacing/>
        <w:jc w:val="left"/>
        <w:rPr>
          <w:rFonts w:cstheme="minorHAnsi"/>
          <w:lang w:val="en-GB"/>
        </w:rPr>
      </w:pPr>
      <w:r w:rsidRPr="004E1ECC">
        <w:rPr>
          <w:rFonts w:cstheme="minorHAnsi"/>
          <w:lang w:val="en-GB"/>
        </w:rPr>
        <w:t xml:space="preserve">K. Lingard, N. Stoianoff, E. Wright, S. Wright, 2021. « Are we there yet? A review of proposed Aboriginal cultural heritage laws in New South Wales, Australia. » </w:t>
      </w:r>
      <w:r w:rsidRPr="004E1ECC">
        <w:rPr>
          <w:rFonts w:cstheme="minorHAnsi"/>
          <w:lang w:val="fr-FR"/>
        </w:rPr>
        <w:t xml:space="preserve">[Où en sommes-nous ? Un examen des propositions de loi sur le patrimoine culturel aborigène en Nouvelle-Galles du Sud, Australie.] </w:t>
      </w:r>
      <w:r w:rsidRPr="004E1ECC">
        <w:rPr>
          <w:rFonts w:cstheme="minorHAnsi"/>
          <w:i/>
          <w:lang w:val="en-GB"/>
        </w:rPr>
        <w:t>International Journal of Cultural Property,</w:t>
      </w:r>
      <w:r w:rsidRPr="004E1ECC">
        <w:rPr>
          <w:rFonts w:cstheme="minorHAnsi"/>
          <w:lang w:val="en-GB"/>
        </w:rPr>
        <w:t xml:space="preserve"> </w:t>
      </w:r>
      <w:r w:rsidRPr="004E1ECC">
        <w:rPr>
          <w:rFonts w:cstheme="minorHAnsi"/>
          <w:i/>
          <w:lang w:val="en-GB"/>
        </w:rPr>
        <w:t>28</w:t>
      </w:r>
      <w:r w:rsidRPr="004E1ECC">
        <w:rPr>
          <w:rFonts w:cstheme="minorHAnsi"/>
          <w:lang w:val="en-GB"/>
        </w:rPr>
        <w:t>(1), p. 107–135. doi:</w:t>
      </w:r>
      <w:hyperlink r:id="rId12" w:history="1">
        <w:r w:rsidRPr="004E1ECC">
          <w:rPr>
            <w:rStyle w:val="Hyperlink"/>
            <w:rFonts w:cstheme="minorHAnsi"/>
            <w:lang w:val="en-GB"/>
          </w:rPr>
          <w:t>10.1017/S0940739120000284</w:t>
        </w:r>
      </w:hyperlink>
      <w:r w:rsidRPr="004E1ECC">
        <w:rPr>
          <w:rFonts w:cstheme="minorHAnsi"/>
          <w:lang w:val="en-GB"/>
        </w:rPr>
        <w:t xml:space="preserve"> </w:t>
      </w:r>
    </w:p>
    <w:p w14:paraId="5AB06F97" w14:textId="77777777" w:rsidR="00C26F11" w:rsidRPr="004E1ECC" w:rsidRDefault="00C26F11" w:rsidP="00003BDC">
      <w:pPr>
        <w:pStyle w:val="Parabodytext"/>
        <w:numPr>
          <w:ilvl w:val="0"/>
          <w:numId w:val="23"/>
        </w:numPr>
        <w:tabs>
          <w:tab w:val="clear" w:pos="567"/>
        </w:tabs>
        <w:snapToGrid/>
        <w:contextualSpacing/>
        <w:jc w:val="left"/>
        <w:rPr>
          <w:rFonts w:cstheme="minorHAnsi"/>
          <w:lang w:val="fr-FR"/>
        </w:rPr>
      </w:pPr>
      <w:r w:rsidRPr="004E1ECC">
        <w:rPr>
          <w:rFonts w:cstheme="minorHAnsi"/>
          <w:lang w:val="en-GB"/>
        </w:rPr>
        <w:t xml:space="preserve">K. Lingard, 2015a. « The Potential of Law to Support Aboriginal and Torres Strait Islander Interests in Bush Food Commercialization ». </w:t>
      </w:r>
      <w:r w:rsidRPr="004E1ECC">
        <w:rPr>
          <w:rFonts w:cstheme="minorHAnsi"/>
          <w:lang w:val="fr-FR"/>
        </w:rPr>
        <w:t xml:space="preserve">[Potentiel du droit pour soutenir les intérêts des Aborigènes et des Insulaires du détroit de Torrès dans la commercialisation d’aliments du bush australien.] Note d’information politique de NintiOne. </w:t>
      </w:r>
      <w:hyperlink r:id="rId13" w:history="1">
        <w:r w:rsidRPr="004E1ECC">
          <w:rPr>
            <w:rFonts w:cstheme="minorHAnsi"/>
            <w:color w:val="0000FF" w:themeColor="hyperlink"/>
            <w:u w:val="single"/>
            <w:lang w:val="fr-FR"/>
          </w:rPr>
          <w:t>https://www.nintione.com.au/resource/PB005_PolicyBriefing_PotentialOfLawSupportAboriginalTorresStraitIslanderInterestsBushFoodCommercialisation.pdf</w:t>
        </w:r>
      </w:hyperlink>
      <w:r w:rsidRPr="004E1ECC">
        <w:rPr>
          <w:rFonts w:cstheme="minorHAnsi"/>
          <w:lang w:val="fr-FR"/>
        </w:rPr>
        <w:t xml:space="preserve"> </w:t>
      </w:r>
    </w:p>
    <w:p w14:paraId="62F4C4B4" w14:textId="77777777" w:rsidR="002F2310" w:rsidRPr="004E1ECC" w:rsidRDefault="00C26F11" w:rsidP="00003BDC">
      <w:pPr>
        <w:pStyle w:val="Parabodytext"/>
        <w:numPr>
          <w:ilvl w:val="0"/>
          <w:numId w:val="23"/>
        </w:numPr>
        <w:tabs>
          <w:tab w:val="clear" w:pos="567"/>
        </w:tabs>
        <w:snapToGrid/>
        <w:contextualSpacing/>
        <w:jc w:val="left"/>
        <w:rPr>
          <w:rFonts w:cstheme="minorHAnsi"/>
          <w:lang w:val="fr-FR"/>
        </w:rPr>
      </w:pPr>
      <w:r w:rsidRPr="004E1ECC">
        <w:rPr>
          <w:rFonts w:cstheme="minorHAnsi"/>
          <w:lang w:val="en-GB"/>
        </w:rPr>
        <w:t xml:space="preserve">K. Lingard, 2015b. « An inclusive governance framework for bush food commercialisation ». </w:t>
      </w:r>
      <w:r w:rsidRPr="004E1ECC">
        <w:rPr>
          <w:rFonts w:cstheme="minorHAnsi"/>
          <w:lang w:val="fr-FR"/>
        </w:rPr>
        <w:t xml:space="preserve">[Un cadre de gouvernance inclusif pour la commercialisation des aliments du bush australien.] Note d’information politique de NintiOne. </w:t>
      </w:r>
      <w:hyperlink r:id="rId14" w:history="1">
        <w:r w:rsidRPr="004E1ECC">
          <w:rPr>
            <w:rFonts w:cstheme="minorHAnsi"/>
            <w:color w:val="0000FF" w:themeColor="hyperlink"/>
            <w:u w:val="single"/>
            <w:lang w:val="fr-FR"/>
          </w:rPr>
          <w:t>http://www.nintione.com.au/resource/PB008_PolicyBriefing_InclusiveGovernanceFrameworkBushfoodCommercialisation.pdf</w:t>
        </w:r>
      </w:hyperlink>
      <w:r w:rsidRPr="004E1ECC">
        <w:rPr>
          <w:rFonts w:cstheme="minorHAnsi"/>
          <w:lang w:val="fr-FR"/>
        </w:rPr>
        <w:t xml:space="preserve"> </w:t>
      </w:r>
      <w:r w:rsidR="002F2310" w:rsidRPr="004E1ECC">
        <w:rPr>
          <w:rFonts w:cstheme="minorHAnsi"/>
          <w:lang w:val="fr-FR"/>
        </w:rPr>
        <w:t xml:space="preserve"> </w:t>
      </w:r>
    </w:p>
    <w:p w14:paraId="2C95181F" w14:textId="5EB849AB" w:rsidR="002F2310" w:rsidRPr="004E1ECC" w:rsidRDefault="002F2310" w:rsidP="00BE1050">
      <w:pPr>
        <w:pStyle w:val="Parabodytext"/>
        <w:numPr>
          <w:ilvl w:val="0"/>
          <w:numId w:val="23"/>
        </w:numPr>
        <w:tabs>
          <w:tab w:val="clear" w:pos="567"/>
        </w:tabs>
        <w:jc w:val="left"/>
        <w:rPr>
          <w:rFonts w:cstheme="minorHAnsi"/>
          <w:lang w:val="fr-FR"/>
        </w:rPr>
      </w:pPr>
      <w:r w:rsidRPr="004E1ECC">
        <w:rPr>
          <w:rFonts w:cstheme="minorHAnsi"/>
          <w:lang w:val="fr-FR"/>
        </w:rPr>
        <w:t xml:space="preserve">Site web de Terri Janke and Company, et leur ouvrage Setting up for success: bushfoods (Assurer son succès : la nourriture du bush) : </w:t>
      </w:r>
      <w:hyperlink r:id="rId15" w:history="1">
        <w:r w:rsidRPr="004E1ECC">
          <w:rPr>
            <w:rStyle w:val="Hyperlink"/>
            <w:rFonts w:cstheme="minorHAnsi"/>
            <w:lang w:val="fr-FR"/>
          </w:rPr>
          <w:t>https://www.terrijanke.com.au/setting-up-for-success-bushfoods</w:t>
        </w:r>
      </w:hyperlink>
      <w:r w:rsidRPr="004E1ECC">
        <w:rPr>
          <w:rFonts w:cstheme="minorHAnsi"/>
          <w:lang w:val="fr-FR"/>
        </w:rPr>
        <w:t xml:space="preserve"> </w:t>
      </w:r>
    </w:p>
    <w:p w14:paraId="58CDD223" w14:textId="6ECB25B7" w:rsidR="00C12687" w:rsidRPr="004E1ECC" w:rsidRDefault="00C12687" w:rsidP="00BE1050">
      <w:pPr>
        <w:pStyle w:val="Parabodytext"/>
        <w:tabs>
          <w:tab w:val="clear" w:pos="567"/>
        </w:tabs>
        <w:ind w:left="720"/>
        <w:jc w:val="left"/>
        <w:rPr>
          <w:rFonts w:cstheme="minorHAnsi"/>
          <w:lang w:val="fr-FR"/>
        </w:rPr>
      </w:pPr>
    </w:p>
    <w:p w14:paraId="438D0A42" w14:textId="77777777" w:rsidR="00915304" w:rsidRPr="004E1ECC" w:rsidRDefault="00915304" w:rsidP="00BE1050">
      <w:pPr>
        <w:pStyle w:val="TOCHeading"/>
        <w:jc w:val="left"/>
      </w:pPr>
      <w:r w:rsidRPr="004E1ECC">
        <w:br w:type="page"/>
      </w:r>
    </w:p>
    <w:p w14:paraId="0F1C2ABE" w14:textId="4D6C01C7" w:rsidR="00C26F11" w:rsidRPr="004E1ECC" w:rsidRDefault="00C26F11" w:rsidP="00496B28">
      <w:pPr>
        <w:pStyle w:val="TOCHeading"/>
      </w:pPr>
      <w:bookmarkStart w:id="9" w:name="_Toc145504468"/>
      <w:r w:rsidRPr="004E1ECC">
        <w:lastRenderedPageBreak/>
        <w:t>La Fondation Mundo Espiral et Artesanías de Colombia soutiennent la sauvegarde de l’élément verni de Pasto mopa-mopa de Putumayo et Nariño</w:t>
      </w:r>
      <w:r w:rsidRPr="004E1ECC">
        <w:rPr>
          <w:vertAlign w:val="superscript"/>
        </w:rPr>
        <w:footnoteReference w:id="8"/>
      </w:r>
      <w:r w:rsidRPr="004E1ECC">
        <w:t xml:space="preserve"> </w:t>
      </w:r>
      <w:r w:rsidR="000A7EC2" w:rsidRPr="004E1ECC">
        <w:t>(Colombie)</w:t>
      </w:r>
      <w:bookmarkEnd w:id="9"/>
    </w:p>
    <w:p w14:paraId="15BE7F07" w14:textId="77777777" w:rsidR="00C26F11" w:rsidRPr="004E1ECC" w:rsidRDefault="00C26F11" w:rsidP="002F2310">
      <w:pPr>
        <w:pStyle w:val="Parabodytext"/>
        <w:rPr>
          <w:lang w:val="fr-FR"/>
        </w:rPr>
      </w:pPr>
      <w:r w:rsidRPr="004E1ECC">
        <w:rPr>
          <w:lang w:val="fr-FR"/>
        </w:rPr>
        <w:t>Les communautés confrontées à des problèmes de sauvegarde du PCI liés à une rémunération insuffisante ont bénéficié d’une planification de la sauvegarde qui tient compte du rôle du marché dans l’élaboration d’une stratégie commune pour les entreprises des praticiens ainsi que pour leur pratique du patrimoine. Les agences gouvernementales et les ONG peuvent assister les communautés, par exemple en leur donnant accès à des plateformes de renforcement des capacités et de commercialisation.</w:t>
      </w:r>
    </w:p>
    <w:p w14:paraId="481BD9CD" w14:textId="77777777" w:rsidR="00C26F11" w:rsidRPr="004E1ECC" w:rsidRDefault="00C26F11" w:rsidP="002F2310">
      <w:pPr>
        <w:pStyle w:val="Parabodytext"/>
        <w:rPr>
          <w:lang w:val="fr-FR"/>
        </w:rPr>
      </w:pPr>
      <w:r w:rsidRPr="004E1ECC">
        <w:rPr>
          <w:lang w:val="fr-FR"/>
        </w:rPr>
        <w:t>Les connaissances et techniques traditionnelles associées au vernis de Pasto mopa-mopa de Putumayo et Nariño (Colombie) ont été inscrites sur la Liste de sauvegarde urgente en décembre 2020</w:t>
      </w:r>
      <w:r w:rsidRPr="004E1ECC">
        <w:rPr>
          <w:vertAlign w:val="superscript"/>
        </w:rPr>
        <w:footnoteReference w:id="9"/>
      </w:r>
      <w:r w:rsidRPr="004E1ECC">
        <w:rPr>
          <w:lang w:val="fr-FR"/>
        </w:rPr>
        <w:t xml:space="preserve">. La chaîne de production de l’élément commence dans la zone de Mocoa avec la collecte de fruits ou de bourgeons de mopa-mopa, se poursuit à Nariño avec la fabrication d’objets en bois, et se termine à Pasto où la résine de mopa-mopa est appliquée sur les objets en bois en guise de décoration. Les praticiens et les détenteurs de l’élément comprennent les cueilleurs de fruits du mopa-mopa, les maîtres ou artisans du bois qui fabriquent des meubles ou des sculptures, et les maîtres du vernis qui transforment les fruits du mopa-mopa en fines feuilles colorées utilisées pour décorer les objets en bois. Les techniques associées à la récolte de mopa-mopa, au traitement du bois et au vernissage décoratif sont des marqueurs identitaires pour les communautés de l’Amazonie et des Andes ; elles renforcent les liens familiaux qui transcendent les différences générationnelles et territoriales. </w:t>
      </w:r>
    </w:p>
    <w:p w14:paraId="6F7F7865" w14:textId="77777777" w:rsidR="00C26F11" w:rsidRPr="004E1ECC" w:rsidRDefault="00C26F11" w:rsidP="002F2310">
      <w:pPr>
        <w:pStyle w:val="Parabodytext"/>
        <w:rPr>
          <w:lang w:val="fr-FR"/>
        </w:rPr>
      </w:pPr>
      <w:r w:rsidRPr="004E1ECC">
        <w:rPr>
          <w:lang w:val="fr-FR"/>
        </w:rPr>
        <w:t>La décision du Comité concernant le dossier de candidature a souligné le lien entre la rémunération insuffisante des détenteurs et le manque de transmission du savoir-faire, conduisant à son statut d’élément en péril</w:t>
      </w:r>
      <w:r w:rsidRPr="004E1ECC">
        <w:rPr>
          <w:vertAlign w:val="superscript"/>
        </w:rPr>
        <w:footnoteReference w:id="10"/>
      </w:r>
      <w:r w:rsidRPr="004E1ECC">
        <w:rPr>
          <w:lang w:val="fr-FR"/>
        </w:rPr>
        <w:t>. Les praticiens locaux du vernis de Pasto sont parfois des travailleurs indépendants, liés par des guildes et des structures commerciales familiales. Cependant, le mopa-mopa se raréfie, les sites de collecte sont considérés comme dangereux, les praticiens sont peu nombreux et ils ne transmettent pas systématiquement leur savoir. Les praticiens ne jouissent pas d’un statut social élevé en tant que récolteurs ou artisans, et les objets en bois sont sous-évalués et mal commercialisés. Les praticiens sont donc mal rémunérés pour leur travail. Chacun baisse les prix au minimum pour vendre, ce qui suscite une concurrence au sein de la corporation des artisans. Dans les décennies précédant l’inscription, le nombre de praticiens a rapidement diminué et beaucoup ont cherché un emploi ailleurs.</w:t>
      </w:r>
    </w:p>
    <w:p w14:paraId="083A9C40" w14:textId="77777777" w:rsidR="00C26F11" w:rsidRPr="004E1ECC" w:rsidRDefault="00C26F11" w:rsidP="002F2310">
      <w:pPr>
        <w:pStyle w:val="Parabodytext"/>
        <w:rPr>
          <w:lang w:val="fr-FR"/>
        </w:rPr>
      </w:pPr>
      <w:r w:rsidRPr="004E1ECC">
        <w:rPr>
          <w:lang w:val="fr-FR"/>
        </w:rPr>
        <w:t xml:space="preserve">Des efforts ont été déployés pour soutenir les praticiens de cette tradition avant l’inscription, notamment des recherches et l’enregistrement d’une appellation d’origine (indication géographique) pour le « vernis de Pasto mopa-mopa » en 2011. La </w:t>
      </w:r>
      <w:hyperlink r:id="rId16" w:history="1">
        <w:r w:rsidRPr="004E1ECC">
          <w:rPr>
            <w:color w:val="0000FF" w:themeColor="hyperlink"/>
            <w:u w:val="single"/>
            <w:lang w:val="fr-FR"/>
          </w:rPr>
          <w:t>fondation Mundo Espiral</w:t>
        </w:r>
      </w:hyperlink>
      <w:r w:rsidRPr="004E1ECC">
        <w:rPr>
          <w:lang w:val="fr-FR"/>
        </w:rPr>
        <w:t xml:space="preserve">, une ONG </w:t>
      </w:r>
      <w:hyperlink r:id="rId17" w:history="1">
        <w:r w:rsidRPr="004E1ECC">
          <w:rPr>
            <w:color w:val="0000FF" w:themeColor="hyperlink"/>
            <w:u w:val="single"/>
            <w:lang w:val="fr-FR"/>
          </w:rPr>
          <w:t>accréditée</w:t>
        </w:r>
      </w:hyperlink>
      <w:r w:rsidRPr="004E1ECC">
        <w:rPr>
          <w:lang w:val="fr-FR"/>
        </w:rPr>
        <w:t xml:space="preserve"> dans le cadre de la Convention de 2003, est l’une des organisations qui aident la communauté à sauvegarder l’élément </w:t>
      </w:r>
      <w:r w:rsidRPr="004E1ECC">
        <w:rPr>
          <w:color w:val="000000"/>
          <w:lang w:val="fr-FR"/>
        </w:rPr>
        <w:t>depuis 2012</w:t>
      </w:r>
      <w:r w:rsidRPr="004E1ECC">
        <w:rPr>
          <w:lang w:val="fr-FR"/>
        </w:rPr>
        <w:t xml:space="preserve">. La Fondation aide les communautés à sauvegarder leur patrimoine culturel dans le sud de la Colombie, notamment en préparant des inventaires, des dossiers de candidature et des plans de sauvegarde spéciaux. La Fondation a collaboré avec l’organisation de praticiens « Fondation culturelle du vernis de Pasto » et divers organismes gouvernementaux pour élaborer le premier plan de sauvegarde spécial pour le vernis de Pasto mopa-mopa (2019-2023). </w:t>
      </w:r>
    </w:p>
    <w:p w14:paraId="4B8909E8" w14:textId="77777777" w:rsidR="00C26F11" w:rsidRPr="004E1ECC" w:rsidRDefault="00C26F11" w:rsidP="002F2310">
      <w:pPr>
        <w:pStyle w:val="Parabodytext"/>
        <w:rPr>
          <w:lang w:val="fr-FR"/>
        </w:rPr>
      </w:pPr>
      <w:r w:rsidRPr="004E1ECC">
        <w:rPr>
          <w:lang w:val="fr-FR"/>
        </w:rPr>
        <w:t xml:space="preserve">Le plan de sauvegarde spécial comprend des mesures visant à garantir l’accès aux matières premières et leur durabilité environnementale, à renforcer l’organisation et la participation de la communauté, à documenter les techniques de vernissage et d’artisanat des détenteurs, à améliorer les conditions de travail dans les ateliers et la transmission des connaissances et savoir-faire, à sensibiliser le public par le biais d’événements, </w:t>
      </w:r>
      <w:r w:rsidRPr="004E1ECC">
        <w:rPr>
          <w:lang w:val="fr-FR"/>
        </w:rPr>
        <w:lastRenderedPageBreak/>
        <w:t xml:space="preserve">d’expositions et de foires, à organiser des réunions pour que les détenteurs fixent les prix ensemble, à élaborer un plan de tourisme durable et à améliorer l’entrepreneuriat culturel et le marketing. </w:t>
      </w:r>
    </w:p>
    <w:p w14:paraId="634DEE22" w14:textId="77777777" w:rsidR="00C26F11" w:rsidRPr="004E1ECC" w:rsidRDefault="00C26F11" w:rsidP="002F2310">
      <w:pPr>
        <w:pStyle w:val="Parabodytext"/>
        <w:rPr>
          <w:lang w:val="fr-FR"/>
        </w:rPr>
      </w:pPr>
      <w:r w:rsidRPr="004E1ECC">
        <w:rPr>
          <w:lang w:val="fr-FR"/>
        </w:rPr>
        <w:t xml:space="preserve">Pour mettre ce plan en œuvre, des alliances ont été conclues avec diverses organisations, dont </w:t>
      </w:r>
      <w:hyperlink r:id="rId18" w:history="1">
        <w:r w:rsidRPr="004E1ECC">
          <w:rPr>
            <w:color w:val="0000FF" w:themeColor="hyperlink"/>
            <w:u w:val="single"/>
            <w:lang w:val="fr-FR"/>
          </w:rPr>
          <w:t>Artesanías de Colombia</w:t>
        </w:r>
      </w:hyperlink>
      <w:r w:rsidRPr="004E1ECC">
        <w:rPr>
          <w:lang w:val="fr-FR"/>
        </w:rPr>
        <w:t xml:space="preserve"> (Artisanats de Colombie) et la Fondation Mundo Espiral. Artesanias de Colombia est une organisation colombienne financée par le gouvernement qui aide les communautés à partager leurs savoir-faire pour fabriquer des produits commercialisables basés sur leur PCI, à commercialiser ces produits sur une plateforme numérique commune et à protéger leurs entreprises à l’aide du droit de la propriété intellectuelle</w:t>
      </w:r>
      <w:r w:rsidRPr="004E1ECC">
        <w:rPr>
          <w:rFonts w:cs="Arial"/>
          <w:vertAlign w:val="superscript"/>
        </w:rPr>
        <w:footnoteReference w:id="11"/>
      </w:r>
      <w:r w:rsidRPr="004E1ECC">
        <w:rPr>
          <w:lang w:val="fr-FR"/>
        </w:rPr>
        <w:t>. Les guides de voyage d’Artesanias de Colombia présentent les routes artisanales traditionnelles</w:t>
      </w:r>
      <w:r w:rsidRPr="004E1ECC">
        <w:rPr>
          <w:rFonts w:cs="Arial"/>
          <w:vertAlign w:val="superscript"/>
        </w:rPr>
        <w:footnoteReference w:id="12"/>
      </w:r>
      <w:r w:rsidRPr="004E1ECC">
        <w:rPr>
          <w:lang w:val="fr-FR"/>
        </w:rPr>
        <w:t xml:space="preserve">. L’organisation aide aussi les artistes à se défendre contre les violations de leurs droits par le biais d’actions en justice. Artesanías de Colombia a soutenu le renforcement des capacités et le soutien au marché pour le vernis de Pasto mopa-mopa. L’organisation propose des formations commerciales, organise des </w:t>
      </w:r>
      <w:hyperlink r:id="rId19" w:history="1">
        <w:r w:rsidRPr="004E1ECC">
          <w:rPr>
            <w:color w:val="0000FF" w:themeColor="hyperlink"/>
            <w:u w:val="single"/>
            <w:lang w:val="fr-FR"/>
          </w:rPr>
          <w:t>concours</w:t>
        </w:r>
      </w:hyperlink>
      <w:r w:rsidRPr="004E1ECC">
        <w:rPr>
          <w:lang w:val="fr-FR"/>
        </w:rPr>
        <w:t xml:space="preserve"> et des </w:t>
      </w:r>
      <w:hyperlink r:id="rId20" w:history="1">
        <w:r w:rsidRPr="004E1ECC">
          <w:rPr>
            <w:color w:val="0000FF" w:themeColor="hyperlink"/>
            <w:u w:val="single"/>
            <w:lang w:val="fr-FR"/>
          </w:rPr>
          <w:t>événements</w:t>
        </w:r>
      </w:hyperlink>
      <w:r w:rsidRPr="004E1ECC">
        <w:rPr>
          <w:lang w:val="fr-FR"/>
        </w:rPr>
        <w:t xml:space="preserve">, et crée des </w:t>
      </w:r>
      <w:hyperlink r:id="rId21" w:history="1">
        <w:r w:rsidRPr="004E1ECC">
          <w:rPr>
            <w:color w:val="0000FF" w:themeColor="hyperlink"/>
            <w:u w:val="single"/>
            <w:lang w:val="fr-FR"/>
          </w:rPr>
          <w:t>plateformes de marketing</w:t>
        </w:r>
      </w:hyperlink>
      <w:r w:rsidRPr="004E1ECC">
        <w:rPr>
          <w:lang w:val="fr-FR"/>
        </w:rPr>
        <w:t xml:space="preserve"> pour la communauté. Ces efforts ont permis d’améliorer le statut des praticiens en tant qu’artistes d’un artisanat patrimonial et de garantir qu’ils disposent des savoir-faire et des infrastructures nécessaires pour vivre décemment de leur art, grâce à la récolte durable de la plante. De plus en plus de jeunes s’intéressent désormais à l’apprentissage de ce métier. Dans la deuxième phase du plan de sauvegarde, à partir de 2023, l’administration locale s’est associée à des étudiants en design de l’université de Nariño pour créer de nouvelles </w:t>
      </w:r>
      <w:hyperlink r:id="rId22" w:history="1">
        <w:r w:rsidRPr="004E1ECC">
          <w:rPr>
            <w:color w:val="0000FF" w:themeColor="hyperlink"/>
            <w:u w:val="single"/>
            <w:lang w:val="fr-FR"/>
          </w:rPr>
          <w:t>façades</w:t>
        </w:r>
      </w:hyperlink>
      <w:r w:rsidRPr="004E1ECC">
        <w:rPr>
          <w:lang w:val="fr-FR"/>
        </w:rPr>
        <w:t xml:space="preserve"> pour les ateliers afin d’attirer les visiteurs.</w:t>
      </w:r>
    </w:p>
    <w:p w14:paraId="3FB57AEC" w14:textId="77777777" w:rsidR="00C26F11" w:rsidRPr="004E1ECC" w:rsidRDefault="00C26F11" w:rsidP="002F2310">
      <w:pPr>
        <w:pStyle w:val="Parabodytext"/>
        <w:rPr>
          <w:rFonts w:cstheme="minorHAnsi"/>
          <w:lang w:val="fr-FR"/>
        </w:rPr>
      </w:pPr>
      <w:r w:rsidRPr="004E1ECC">
        <w:rPr>
          <w:rFonts w:cstheme="minorHAnsi"/>
          <w:lang w:val="fr-FR"/>
        </w:rPr>
        <w:t xml:space="preserve">Pour sa part, la Fondation Mundo Espiral a contribué à la mise en œuvre d’un </w:t>
      </w:r>
      <w:hyperlink r:id="rId23" w:history="1">
        <w:r w:rsidRPr="004E1ECC">
          <w:rPr>
            <w:rFonts w:cstheme="minorHAnsi"/>
            <w:color w:val="0000FF" w:themeColor="hyperlink"/>
            <w:u w:val="single"/>
            <w:lang w:val="fr-FR"/>
          </w:rPr>
          <w:t>projet de sauvegarde</w:t>
        </w:r>
      </w:hyperlink>
      <w:r w:rsidRPr="004E1ECC">
        <w:rPr>
          <w:rFonts w:cstheme="minorHAnsi"/>
          <w:lang w:val="fr-FR"/>
        </w:rPr>
        <w:t xml:space="preserve"> soutenu par le ministère de la Culture et le Fonds du PCI de l’UNESCO. Ce projet était intitulé « Entre </w:t>
      </w:r>
      <w:r w:rsidRPr="004E1ECC">
        <w:rPr>
          <w:lang w:val="fr-FR"/>
        </w:rPr>
        <w:t>l’Amazonie</w:t>
      </w:r>
      <w:r w:rsidRPr="004E1ECC">
        <w:rPr>
          <w:rFonts w:cstheme="minorHAnsi"/>
          <w:lang w:val="fr-FR"/>
        </w:rPr>
        <w:t xml:space="preserve"> et les Andes : sauvegarde et transmission des connaissances et techniques traditionnelles associées au vernis de Pasto mopa-mopa des départements colombiens de Putumayo et Nariño » (2022-2024). Son objectif principal est de promouvoir la sauvegarde, notamment en aidant les praticiens à former davantage d’apprentis. Le projet comprend quatre activités principales : (a) une formation de renforcement des capacités des formateurs destinée à cinquante-cinq praticiens dans différents domaines pratiques (récolte de la plante, travail du bois, sculpture, polissage et vernissage) ; (b) un programme pilote d’apprentissage dans lequel chaque praticien travaillera aux côtés d’un apprenti dans un environnement d’apprentissage individuel ; (c) une documentation sur la vie et le travail des praticiens du vernis de Pasto mopa-mopa pour comprendre leurs besoins et circonstances ; et (d) des initiatives de sensibilisation ciblant les jeunes apprentis, les communautés de Nariño et de Putumayo et les parties prenantes clés, telles que le secteur privé, les entités publiques locales et les organisations non gouvernementales locales. </w:t>
      </w:r>
    </w:p>
    <w:p w14:paraId="30399124" w14:textId="77777777" w:rsidR="00C26F11" w:rsidRPr="004E1ECC" w:rsidRDefault="00C26F11" w:rsidP="002F2310">
      <w:pPr>
        <w:pStyle w:val="Parabodytext"/>
        <w:rPr>
          <w:lang w:val="fr-FR"/>
        </w:rPr>
      </w:pPr>
      <w:r w:rsidRPr="004E1ECC">
        <w:rPr>
          <w:lang w:val="fr-FR"/>
        </w:rPr>
        <w:t>Ce travail de sauvegarde permettra non seulement d’inciter davantage de personnes à apprendre cette pratique, mais aussi d’améliorer la coopération entre les récolteurs de mopa-mopa et les artisans du vernis de Pasto mopa-mopa, et de renforcer la commercialisation afin que les praticiens puissent être rémunérés de manière équitable. Grâce à ce travail, la sauvegarde du vernis de Pasto mopa-mopa</w:t>
      </w:r>
      <w:r w:rsidRPr="004E1ECC">
        <w:rPr>
          <w:color w:val="000000"/>
          <w:lang w:val="fr-FR"/>
        </w:rPr>
        <w:t xml:space="preserve"> est considérée comme un processus intégral visant à stimuler la participation et le respect du patrimoine lui-même, et à aider les entreprises qui en dépendent à prospérer d’une manière durable sur le plan économique et environnemental</w:t>
      </w:r>
      <w:r w:rsidRPr="004E1ECC">
        <w:rPr>
          <w:lang w:val="fr-FR"/>
        </w:rPr>
        <w:t>.</w:t>
      </w:r>
    </w:p>
    <w:p w14:paraId="2B81F104" w14:textId="77777777" w:rsidR="00C26F11" w:rsidRPr="004E1ECC" w:rsidRDefault="00C26F11" w:rsidP="00496B28">
      <w:pPr>
        <w:pStyle w:val="LEVEL2"/>
      </w:pPr>
      <w:bookmarkStart w:id="10" w:name="_Toc145504238"/>
      <w:bookmarkStart w:id="11" w:name="_Toc145504469"/>
      <w:r w:rsidRPr="004E1ECC">
        <w:t>Informations complémentaires</w:t>
      </w:r>
      <w:bookmarkEnd w:id="10"/>
      <w:bookmarkEnd w:id="11"/>
    </w:p>
    <w:p w14:paraId="3307DF40" w14:textId="4564BFCE" w:rsidR="00C26F11" w:rsidRPr="004E1ECC" w:rsidRDefault="00C26F11" w:rsidP="00003BDC">
      <w:pPr>
        <w:pStyle w:val="Parabodytext"/>
        <w:numPr>
          <w:ilvl w:val="0"/>
          <w:numId w:val="24"/>
        </w:numPr>
        <w:tabs>
          <w:tab w:val="clear" w:pos="567"/>
        </w:tabs>
        <w:snapToGrid/>
        <w:ind w:left="357" w:hanging="357"/>
        <w:contextualSpacing/>
        <w:jc w:val="left"/>
        <w:rPr>
          <w:lang w:val="es-ES"/>
        </w:rPr>
      </w:pPr>
      <w:r w:rsidRPr="004E1ECC">
        <w:rPr>
          <w:lang w:val="es-ES"/>
        </w:rPr>
        <w:t>Artesanías de Colombia :</w:t>
      </w:r>
      <w:r w:rsidR="002F2310" w:rsidRPr="004E1ECC">
        <w:rPr>
          <w:lang w:val="es-ES"/>
        </w:rPr>
        <w:t xml:space="preserve"> </w:t>
      </w:r>
      <w:hyperlink r:id="rId24" w:history="1">
        <w:r w:rsidR="002F2310" w:rsidRPr="004E1ECC">
          <w:rPr>
            <w:rStyle w:val="Hyperlink"/>
            <w:lang w:val="es-ES"/>
          </w:rPr>
          <w:t>https://artesaniasdecolombia.com.co/PortalAC/General/template_index.jsf</w:t>
        </w:r>
      </w:hyperlink>
      <w:r w:rsidRPr="004E1ECC">
        <w:rPr>
          <w:lang w:val="es-ES"/>
        </w:rPr>
        <w:t xml:space="preserve"> </w:t>
      </w:r>
    </w:p>
    <w:p w14:paraId="500C67F3" w14:textId="77777777" w:rsidR="00C26F11" w:rsidRPr="004E1ECC" w:rsidRDefault="00C26F11" w:rsidP="00003BDC">
      <w:pPr>
        <w:pStyle w:val="Parabodytext"/>
        <w:numPr>
          <w:ilvl w:val="0"/>
          <w:numId w:val="24"/>
        </w:numPr>
        <w:tabs>
          <w:tab w:val="clear" w:pos="567"/>
        </w:tabs>
        <w:snapToGrid/>
        <w:ind w:left="357" w:hanging="357"/>
        <w:contextualSpacing/>
      </w:pPr>
      <w:r w:rsidRPr="004E1ECC">
        <w:t xml:space="preserve">Fondation Mundo Espiral : </w:t>
      </w:r>
      <w:hyperlink r:id="rId25" w:history="1">
        <w:r w:rsidRPr="004E1ECC">
          <w:rPr>
            <w:color w:val="0000FF" w:themeColor="hyperlink"/>
            <w:u w:val="single"/>
          </w:rPr>
          <w:t>http://fundacionmundoespiral.blogspot.com/p/quienes-somos.html</w:t>
        </w:r>
      </w:hyperlink>
      <w:r w:rsidRPr="004E1ECC">
        <w:t xml:space="preserve"> </w:t>
      </w:r>
    </w:p>
    <w:p w14:paraId="63FF6753" w14:textId="77777777" w:rsidR="00DC778D" w:rsidRPr="004E1ECC" w:rsidRDefault="00C26F11" w:rsidP="00003BDC">
      <w:pPr>
        <w:pStyle w:val="Parabodytext"/>
        <w:numPr>
          <w:ilvl w:val="0"/>
          <w:numId w:val="24"/>
        </w:numPr>
        <w:tabs>
          <w:tab w:val="clear" w:pos="567"/>
        </w:tabs>
        <w:snapToGrid/>
        <w:ind w:left="357" w:hanging="357"/>
        <w:contextualSpacing/>
        <w:rPr>
          <w:lang w:val="pt-BR"/>
        </w:rPr>
      </w:pPr>
      <w:r w:rsidRPr="004E1ECC">
        <w:rPr>
          <w:lang w:val="pt-BR"/>
        </w:rPr>
        <w:t xml:space="preserve">Barniz de Pasto Mopa-Mopa : </w:t>
      </w:r>
      <w:hyperlink r:id="rId26" w:history="1">
        <w:r w:rsidRPr="004E1ECC">
          <w:rPr>
            <w:color w:val="0000FF" w:themeColor="hyperlink"/>
            <w:u w:val="single"/>
            <w:lang w:val="pt-BR"/>
          </w:rPr>
          <w:t>https://barnizpasto.wixsite.com/mopamopa</w:t>
        </w:r>
      </w:hyperlink>
      <w:r w:rsidR="00DC778D" w:rsidRPr="004E1ECC">
        <w:rPr>
          <w:color w:val="0000FF" w:themeColor="hyperlink"/>
          <w:u w:val="single"/>
          <w:lang w:val="pt-BR"/>
        </w:rPr>
        <w:t xml:space="preserve"> </w:t>
      </w:r>
    </w:p>
    <w:p w14:paraId="159E6284" w14:textId="1A4BAB82" w:rsidR="00DC778D" w:rsidRPr="004E1ECC" w:rsidRDefault="00DC778D" w:rsidP="00003BDC">
      <w:pPr>
        <w:pStyle w:val="Parabodytext"/>
        <w:numPr>
          <w:ilvl w:val="0"/>
          <w:numId w:val="24"/>
        </w:numPr>
        <w:tabs>
          <w:tab w:val="clear" w:pos="567"/>
        </w:tabs>
        <w:snapToGrid/>
        <w:ind w:left="357" w:hanging="357"/>
        <w:contextualSpacing/>
        <w:rPr>
          <w:lang w:val="pt-BR"/>
        </w:rPr>
      </w:pPr>
      <w:r w:rsidRPr="004E1ECC">
        <w:rPr>
          <w:lang w:val="pt-BR"/>
        </w:rPr>
        <w:t xml:space="preserve">PES –Barniz de Pasto Mopa-Mopa 2015 : </w:t>
      </w:r>
      <w:hyperlink r:id="rId27" w:history="1">
        <w:r w:rsidRPr="004E1ECC">
          <w:rPr>
            <w:color w:val="0000FF" w:themeColor="hyperlink"/>
            <w:u w:val="single"/>
            <w:lang w:val="pt-BR"/>
          </w:rPr>
          <w:t>https://youtu.be/ko7M8w3WJ8k</w:t>
        </w:r>
      </w:hyperlink>
      <w:r w:rsidR="00C26F11" w:rsidRPr="004E1ECC">
        <w:rPr>
          <w:lang w:val="pt-BR"/>
        </w:rPr>
        <w:t xml:space="preserve"> </w:t>
      </w:r>
    </w:p>
    <w:p w14:paraId="5E14D8A0" w14:textId="77777777" w:rsidR="008A6E55" w:rsidRPr="004E1ECC" w:rsidRDefault="008A6E55" w:rsidP="00DC778D">
      <w:pPr>
        <w:pStyle w:val="Parabodytext"/>
        <w:tabs>
          <w:tab w:val="clear" w:pos="567"/>
        </w:tabs>
        <w:rPr>
          <w:lang w:val="pt-BR"/>
        </w:rPr>
      </w:pPr>
    </w:p>
    <w:p w14:paraId="74A915B2" w14:textId="0077BDB0" w:rsidR="000A7EC2" w:rsidRPr="004E1ECC" w:rsidRDefault="000A7EC2" w:rsidP="00496B28">
      <w:pPr>
        <w:pStyle w:val="TOCHeading"/>
      </w:pPr>
      <w:bookmarkStart w:id="12" w:name="_Toc145504470"/>
      <w:r w:rsidRPr="004E1ECC">
        <w:lastRenderedPageBreak/>
        <w:t>Art Jameel : une ONG qui forme et soutient les artistes entrepreneurs (Égypte</w:t>
      </w:r>
      <w:r w:rsidR="006E4755" w:rsidRPr="004E1ECC">
        <w:t>, Arabie saoudite</w:t>
      </w:r>
      <w:r w:rsidRPr="004E1ECC">
        <w:t>)</w:t>
      </w:r>
      <w:bookmarkEnd w:id="12"/>
    </w:p>
    <w:p w14:paraId="15B24DF2" w14:textId="77777777" w:rsidR="000A7EC2" w:rsidRPr="004E1ECC" w:rsidRDefault="000A7EC2" w:rsidP="003E1D03">
      <w:pPr>
        <w:pStyle w:val="Parabodytext"/>
        <w:rPr>
          <w:lang w:val="fr-FR"/>
        </w:rPr>
      </w:pPr>
      <w:r w:rsidRPr="004E1ECC">
        <w:rPr>
          <w:lang w:val="fr-FR"/>
        </w:rPr>
        <w:t xml:space="preserve">Les ONG jouent un rôle clé en soutenant les artistes entrepreneurs de sorte à contribuer à la sauvegarde du PCI sous-jacent. </w:t>
      </w:r>
    </w:p>
    <w:p w14:paraId="7464EF30" w14:textId="77777777" w:rsidR="000A7EC2" w:rsidRPr="004E1ECC" w:rsidRDefault="000A7EC2" w:rsidP="003E1D03">
      <w:pPr>
        <w:pStyle w:val="Parabodytext"/>
        <w:rPr>
          <w:lang w:val="fr-FR"/>
        </w:rPr>
      </w:pPr>
      <w:r w:rsidRPr="004E1ECC">
        <w:rPr>
          <w:lang w:val="fr-FR"/>
        </w:rPr>
        <w:t>Art Jameel est une organisation non gouvernementale qui encourage et promeut l’art contemporain, la protection du patrimoine culturel et l’esprit d’entreprise créatif au Moyen-Orient, en Afrique du Nord, en Turquie et ailleurs. Art Jameel a ouvert plusieurs centres de formation, notamment la Maison des arts traditionnels de Jameel au Caire (créée en 2008)</w:t>
      </w:r>
      <w:r w:rsidRPr="004E1ECC">
        <w:rPr>
          <w:vertAlign w:val="superscript"/>
        </w:rPr>
        <w:footnoteReference w:id="13"/>
      </w:r>
      <w:r w:rsidRPr="004E1ECC">
        <w:rPr>
          <w:lang w:val="fr-FR"/>
        </w:rPr>
        <w:t>, la Maison des arts traditionnels de Jameel à Djeddah (créée en 2015)</w:t>
      </w:r>
      <w:r w:rsidRPr="004E1ECC">
        <w:rPr>
          <w:vertAlign w:val="superscript"/>
        </w:rPr>
        <w:footnoteReference w:id="14"/>
      </w:r>
      <w:r w:rsidRPr="004E1ECC">
        <w:rPr>
          <w:lang w:val="fr-FR"/>
        </w:rPr>
        <w:t xml:space="preserve"> et soutient la création de la Maison des arts traditionnels de Jameel sur le domaine de Dumfries House, en Écosse. L’organisation vise à sauvegarder les arts et l’artisanat traditionnels en soutenant la formation des artisans et en aidant les diplômés à appliquer ces compétences à la restauration du patrimoine ou en tant qu’entrepreneurs</w:t>
      </w:r>
      <w:r w:rsidRPr="004E1ECC">
        <w:rPr>
          <w:vertAlign w:val="superscript"/>
        </w:rPr>
        <w:footnoteReference w:id="15"/>
      </w:r>
      <w:r w:rsidRPr="004E1ECC">
        <w:rPr>
          <w:lang w:val="fr-FR"/>
        </w:rPr>
        <w:t>. Art Jameel considère que la préservation et la sauvegarde du patrimoine culturel – qu’il s’agisse de monuments, d’antiquités ou d’objets artisanaux traditionnel – sont essentielles pour libérer le potentiel créatif de demain et, outre les industries créatives, pour aider les communautés locales à maintenir leurs moyens de subsistance et leur expression culturelle</w:t>
      </w:r>
      <w:r w:rsidRPr="004E1ECC">
        <w:rPr>
          <w:vertAlign w:val="superscript"/>
        </w:rPr>
        <w:footnoteReference w:id="16"/>
      </w:r>
      <w:r w:rsidRPr="004E1ECC">
        <w:rPr>
          <w:lang w:val="fr-FR"/>
        </w:rPr>
        <w:t xml:space="preserve">. </w:t>
      </w:r>
    </w:p>
    <w:p w14:paraId="5F390011" w14:textId="77777777" w:rsidR="000A7EC2" w:rsidRPr="004E1ECC" w:rsidRDefault="000A7EC2" w:rsidP="003E1D03">
      <w:pPr>
        <w:pStyle w:val="Parabodytext"/>
        <w:rPr>
          <w:lang w:val="fr-FR"/>
        </w:rPr>
      </w:pPr>
      <w:r w:rsidRPr="004E1ECC">
        <w:rPr>
          <w:lang w:val="fr-FR"/>
        </w:rPr>
        <w:t>Chaque année, une vingtaine de jeunes Égyptiens obtiennent à la Maison des arts traditionnels de Jameel du Caire un diplôme de deux ans en arts islamiques traditionnels, comprenant la géométrie, le dessin, l’harmonie des couleurs et l’étude des arabesques, ainsi qu’une formation spécialisée au travail de la céramique, du verre et du plâtre, ainsi qu’en métallurgie et en menuiserie. Les étudiants entreprennent des projets sur le terrain dans les principaux monuments et des projets pratiques de conception et de fabrication. Art Jameel aide les diplômés du programme à chercher un emploi ou à créer des entreprises dans le domaine des arts traditionnels. L’Atelier Art Jameel du Caire est l’un des moyens utilisés pour atteindre cet objectif. Il s’agit d’un espace de coworking réservé aux entrepreneurs du secteur artisanal, d’une galerie et d’un magasin d’artisanat, ainsi que d’un lieu où sont organisés des ateliers publics dans le domaine des arts traditionnels. L’Atelier Art Jameel du Caire propose des programmes d’entrepreneuriat adaptés aux besoins spécifiques des artisans créateurs, notamment un programme de formation à la création ou au développement d’une entreprise artisanale, un programme d’accès au financement et un programme d’accès au marché</w:t>
      </w:r>
      <w:r w:rsidRPr="004E1ECC">
        <w:rPr>
          <w:vertAlign w:val="superscript"/>
        </w:rPr>
        <w:footnoteReference w:id="17"/>
      </w:r>
      <w:r w:rsidRPr="004E1ECC">
        <w:rPr>
          <w:lang w:val="fr-FR"/>
        </w:rPr>
        <w:t>.</w:t>
      </w:r>
    </w:p>
    <w:p w14:paraId="28C4814A" w14:textId="77777777" w:rsidR="000A7EC2" w:rsidRPr="004E1ECC" w:rsidRDefault="000A7EC2" w:rsidP="003E1D03">
      <w:pPr>
        <w:pStyle w:val="Parabodytext"/>
        <w:rPr>
          <w:lang w:val="fr-FR"/>
        </w:rPr>
      </w:pPr>
      <w:r w:rsidRPr="004E1ECC">
        <w:rPr>
          <w:lang w:val="fr-FR"/>
        </w:rPr>
        <w:t>La Maison des arts traditionnels de Jameel à Djeddah est un centre d’artisanat, d’architecture et de préservation du patrimoine. Ce programme d’un an est axé sur la géométrie, les motifs et le design islamiques, les ornements nabati, l’harmonie des couleurs et les techniques ornementales, le travail du bois, la sculpture sur plâtre et d’autres artisanats traditionnels liés au patrimoine architectural très riche de la vieille ville. Le programme a été élargi en 2019 pour inclure la conception de produits. L’ajout de ce nouveau module vise à assurer que les artisans d’Arabie saoudite aient des moyens de subsistance durables dans la pratique de leur métier, grâce à la conception de produits destinés au marché. Les participants reçoivent une formation dispensée par des artistes et des concepteurs locaux, ainsi que par des tuteurs étrangers, sous l’égide de l’École d’arts traditionnels de la Fondation du Prince au Royaume-Uni. Le nouveau module vise à aider les participants à mettre leurs compétences artisanales au service de la restauration et de la conception de produits, deux voies essentielles à l’obtention d’un emploi durable en tant qu’artisan</w:t>
      </w:r>
      <w:r w:rsidRPr="004E1ECC">
        <w:rPr>
          <w:vertAlign w:val="superscript"/>
        </w:rPr>
        <w:footnoteReference w:id="18"/>
      </w:r>
      <w:r w:rsidRPr="004E1ECC">
        <w:rPr>
          <w:lang w:val="fr-FR"/>
        </w:rPr>
        <w:t>. Toujours à Djeddah, la plateforme éducative Hayy Learning d’Art Jameel, axée sur la communauté, propose une formation en personne et virtuelle, des recherches et des apprentissages.</w:t>
      </w:r>
    </w:p>
    <w:p w14:paraId="15A0CA0E" w14:textId="77777777" w:rsidR="000A7EC2" w:rsidRPr="004E1ECC" w:rsidRDefault="000A7EC2" w:rsidP="003E1D03">
      <w:pPr>
        <w:pStyle w:val="Parabodytext"/>
        <w:rPr>
          <w:lang w:val="fr-FR"/>
        </w:rPr>
      </w:pPr>
      <w:r w:rsidRPr="004E1ECC">
        <w:rPr>
          <w:lang w:val="fr-FR"/>
        </w:rPr>
        <w:lastRenderedPageBreak/>
        <w:t>L’organisation a également soutenu directement des artistes en cas de besoin. En réponse aux défis posés par la pandémie de COVID-19 et à ses effets sur le secteur des arts et de la création, Art Jameel a mis en place en 2020 une plateforme de recherche et de pratique pour les praticiens indépendants</w:t>
      </w:r>
      <w:r w:rsidRPr="004E1ECC">
        <w:rPr>
          <w:vertAlign w:val="superscript"/>
        </w:rPr>
        <w:footnoteReference w:id="19"/>
      </w:r>
      <w:r w:rsidRPr="004E1ECC">
        <w:rPr>
          <w:lang w:val="fr-FR"/>
        </w:rPr>
        <w:t>. Le programme s’adressait principalement à ceux qui travaillent par projet et dont les pratiques sont affectées par les annulations de programmes et les changements de projets, au niveau local ou mondial. Il était ouvert à tous les praticiens basés dans la région du Moyen-Orient et de l’Afrique du Nord</w:t>
      </w:r>
      <w:r w:rsidRPr="004E1ECC">
        <w:rPr>
          <w:vertAlign w:val="superscript"/>
        </w:rPr>
        <w:footnoteReference w:id="20"/>
      </w:r>
      <w:r w:rsidRPr="004E1ECC">
        <w:rPr>
          <w:lang w:val="fr-FR"/>
        </w:rPr>
        <w:t>.</w:t>
      </w:r>
    </w:p>
    <w:p w14:paraId="54742A37" w14:textId="77777777" w:rsidR="000A7EC2" w:rsidRPr="004E1ECC" w:rsidRDefault="000A7EC2" w:rsidP="003E1D03">
      <w:pPr>
        <w:pStyle w:val="LEVEL2"/>
      </w:pPr>
      <w:bookmarkStart w:id="13" w:name="_Toc145504240"/>
      <w:bookmarkStart w:id="14" w:name="_Toc145504471"/>
      <w:r w:rsidRPr="004E1ECC">
        <w:t>Informations complémentaires</w:t>
      </w:r>
      <w:bookmarkEnd w:id="13"/>
      <w:bookmarkEnd w:id="14"/>
    </w:p>
    <w:p w14:paraId="0784637D" w14:textId="1B61F1E5" w:rsidR="000A7EC2" w:rsidRPr="004E1ECC" w:rsidRDefault="000A7EC2" w:rsidP="003E1D03">
      <w:pPr>
        <w:pStyle w:val="Parabodytext"/>
        <w:numPr>
          <w:ilvl w:val="0"/>
          <w:numId w:val="26"/>
        </w:numPr>
        <w:tabs>
          <w:tab w:val="clear" w:pos="567"/>
        </w:tabs>
      </w:pPr>
      <w:r w:rsidRPr="004E1ECC">
        <w:t xml:space="preserve">Site web d’Art Jameel : </w:t>
      </w:r>
      <w:hyperlink r:id="rId28" w:history="1">
        <w:r w:rsidRPr="004E1ECC">
          <w:rPr>
            <w:color w:val="0000FF" w:themeColor="hyperlink"/>
            <w:u w:val="single"/>
          </w:rPr>
          <w:t>https://artjameel.org/</w:t>
        </w:r>
      </w:hyperlink>
    </w:p>
    <w:p w14:paraId="1027EDDF" w14:textId="77777777" w:rsidR="00915304" w:rsidRPr="004E1ECC" w:rsidRDefault="00915304" w:rsidP="00496B28">
      <w:pPr>
        <w:pStyle w:val="TOCHeading"/>
        <w:rPr>
          <w:lang w:val="en-US"/>
        </w:rPr>
      </w:pPr>
      <w:r w:rsidRPr="004E1ECC">
        <w:rPr>
          <w:lang w:val="en-US"/>
        </w:rPr>
        <w:br w:type="page"/>
      </w:r>
    </w:p>
    <w:p w14:paraId="4DC7B733" w14:textId="77D0F567" w:rsidR="00C26F11" w:rsidRPr="004E1ECC" w:rsidRDefault="00C26F11" w:rsidP="00496B28">
      <w:pPr>
        <w:pStyle w:val="TOCHeading"/>
        <w:rPr>
          <w:rFonts w:cs="Calibri"/>
        </w:rPr>
      </w:pPr>
      <w:bookmarkStart w:id="15" w:name="_Toc145504472"/>
      <w:r w:rsidRPr="004E1ECC">
        <w:lastRenderedPageBreak/>
        <w:t>Association du patrimoine</w:t>
      </w:r>
      <w:r w:rsidR="006E4755" w:rsidRPr="004E1ECC">
        <w:t xml:space="preserve"> artisanal</w:t>
      </w:r>
      <w:r w:rsidRPr="004E1ECC">
        <w:t xml:space="preserve"> géorgien : une organisation collective soutenant les artisans (Géorgie)</w:t>
      </w:r>
      <w:r w:rsidRPr="004E1ECC">
        <w:rPr>
          <w:rFonts w:eastAsia="Malgun Gothic Semilight" w:cs="Calibri"/>
          <w:vertAlign w:val="superscript"/>
        </w:rPr>
        <w:footnoteReference w:id="21"/>
      </w:r>
      <w:bookmarkEnd w:id="15"/>
    </w:p>
    <w:p w14:paraId="01CC0CB4" w14:textId="4D1186A6" w:rsidR="00C26F11" w:rsidRPr="004E1ECC" w:rsidRDefault="00C26F11" w:rsidP="00CC02B3">
      <w:pPr>
        <w:pStyle w:val="Parabodytext"/>
        <w:rPr>
          <w:lang w:val="fr-FR"/>
        </w:rPr>
      </w:pPr>
      <w:r w:rsidRPr="004E1ECC">
        <w:rPr>
          <w:lang w:val="fr-FR"/>
        </w:rPr>
        <w:t>Les organisations collectives aident les praticiens à tirer le meilleur parti de leur engagement sur le marché et à sensibiliser le public à la valeur de leur patrimoine. L’Association du patrimoine</w:t>
      </w:r>
      <w:r w:rsidR="006E4755" w:rsidRPr="004E1ECC">
        <w:rPr>
          <w:lang w:val="fr-FR"/>
        </w:rPr>
        <w:t xml:space="preserve"> artisanal</w:t>
      </w:r>
      <w:r w:rsidRPr="004E1ECC">
        <w:rPr>
          <w:lang w:val="fr-FR"/>
        </w:rPr>
        <w:t xml:space="preserve"> géorgien (</w:t>
      </w:r>
      <w:hyperlink r:id="rId29" w:history="1">
        <w:r w:rsidR="006E4755" w:rsidRPr="004E1ECC">
          <w:rPr>
            <w:color w:val="0000FF" w:themeColor="hyperlink"/>
            <w:u w:val="single"/>
            <w:lang w:val="fr-FR"/>
          </w:rPr>
          <w:t>APAG</w:t>
        </w:r>
      </w:hyperlink>
      <w:r w:rsidRPr="004E1ECC">
        <w:rPr>
          <w:lang w:val="fr-FR"/>
        </w:rPr>
        <w:t>) a été créée en 2015 : il s’agit d’une organisation collective aidant les artisans du patrimoine à sauvegarder leur patrimoine et à soutenir leurs moyens de subsistance. Avec ses 300 membres, l’AP</w:t>
      </w:r>
      <w:r w:rsidR="006E4755" w:rsidRPr="004E1ECC">
        <w:rPr>
          <w:lang w:val="fr-FR"/>
        </w:rPr>
        <w:t>A</w:t>
      </w:r>
      <w:r w:rsidRPr="004E1ECC">
        <w:rPr>
          <w:lang w:val="fr-FR"/>
        </w:rPr>
        <w:t>G est la plus grande organisation du secteur de l’artisanat en Géorgie. Elle a créé une plateforme de mise en réseau pour les individus, les artisans, les organisations et les guildes, mobilisant et soutenant les artisans au niveau local et menant des campagnes de sensibilisation auprès des organismes publics afin de poursuivre des stratégies basées sur les besoins au profit des praticiens.</w:t>
      </w:r>
    </w:p>
    <w:p w14:paraId="0C0FFB75" w14:textId="7FBC91F8" w:rsidR="00C26F11" w:rsidRPr="004E1ECC" w:rsidRDefault="00C26F11" w:rsidP="00CC02B3">
      <w:pPr>
        <w:pStyle w:val="Parabodytext"/>
        <w:rPr>
          <w:lang w:val="fr-FR"/>
        </w:rPr>
      </w:pPr>
      <w:r w:rsidRPr="004E1ECC">
        <w:rPr>
          <w:lang w:val="fr-FR"/>
        </w:rPr>
        <w:t>Les artisans de Géorgie ont une longue tradition de développement et de transmission de leurs savoir-faire. Cependant, ils sont aujourd’hui confrontés à de nombreux défis. Les traditions artisanales riches et variées de la Géorgie en matière de céramique, de sculpture sur bois, de travail de la pierre, du métal et du cuir, de tressage de paniers et de textiles ont été façonnées par des siècles d’échanges commerciaux entre l’est et l’ouest. Au cours des deux derniers siècles, les guildes artisanales se sont démenées pour répondre à la demande croissante du marché local en matière de vaisselle, de tapis, etc. Pendant la période de contrôle soviétique (1921-1991), certains de ces métiers ont été subventionnés par l’État et se sont industrialisés. Après l’effondrement du système soviétique, les praticiens de ces secteurs artisanaux ont perdu leurs subventions et ont souffert d’un potentiel d’auto-emploi limité, de compétences commerciales insuffisantes et d’un accès pratiquement inexistant à de nouveaux marchés. Ce sont ces défis qui ont inspiré la création de l’AP</w:t>
      </w:r>
      <w:r w:rsidR="006E4755" w:rsidRPr="004E1ECC">
        <w:rPr>
          <w:lang w:val="fr-FR"/>
        </w:rPr>
        <w:t>A</w:t>
      </w:r>
      <w:r w:rsidRPr="004E1ECC">
        <w:rPr>
          <w:lang w:val="fr-FR"/>
        </w:rPr>
        <w:t>G. Depuis ses débuts, l’AP</w:t>
      </w:r>
      <w:r w:rsidR="006E4755" w:rsidRPr="004E1ECC">
        <w:rPr>
          <w:lang w:val="fr-FR"/>
        </w:rPr>
        <w:t>A</w:t>
      </w:r>
      <w:r w:rsidRPr="004E1ECC">
        <w:rPr>
          <w:lang w:val="fr-FR"/>
        </w:rPr>
        <w:t>G s’est engagée dans diverses activités visant à soutenir l’artisanat et les praticiens du patrimoine en Géorgie, notamment :</w:t>
      </w:r>
    </w:p>
    <w:p w14:paraId="5C2E7578" w14:textId="77777777" w:rsidR="00C26F11" w:rsidRPr="004E1ECC" w:rsidRDefault="00C26F11" w:rsidP="00CC02B3">
      <w:pPr>
        <w:pStyle w:val="Parabodytext"/>
        <w:numPr>
          <w:ilvl w:val="1"/>
          <w:numId w:val="27"/>
        </w:numPr>
        <w:rPr>
          <w:lang w:val="fr-FR"/>
        </w:rPr>
      </w:pPr>
      <w:r w:rsidRPr="004E1ECC">
        <w:rPr>
          <w:b/>
          <w:lang w:val="fr-FR"/>
        </w:rPr>
        <w:t xml:space="preserve">entreprendre des travaux de recherche, d’inventaire et de documentation </w:t>
      </w:r>
      <w:r w:rsidRPr="004E1ECC">
        <w:rPr>
          <w:lang w:val="fr-FR"/>
        </w:rPr>
        <w:t xml:space="preserve">pour identifier les métiers du patrimoine en péril à revitaliser et évaluer les besoins des praticiens ; </w:t>
      </w:r>
    </w:p>
    <w:p w14:paraId="7D5D75BD" w14:textId="77777777" w:rsidR="00C26F11" w:rsidRPr="004E1ECC" w:rsidRDefault="00C26F11" w:rsidP="00CC02B3">
      <w:pPr>
        <w:pStyle w:val="Parabodytext"/>
        <w:numPr>
          <w:ilvl w:val="1"/>
          <w:numId w:val="27"/>
        </w:numPr>
        <w:rPr>
          <w:lang w:val="fr-FR"/>
        </w:rPr>
      </w:pPr>
      <w:r w:rsidRPr="004E1ECC">
        <w:rPr>
          <w:b/>
          <w:lang w:val="fr-FR"/>
        </w:rPr>
        <w:t>créer de nouvelles possibilités de transmission des compétences liées à l’artisanat</w:t>
      </w:r>
      <w:r w:rsidRPr="004E1ECC">
        <w:rPr>
          <w:lang w:val="fr-FR"/>
        </w:rPr>
        <w:t xml:space="preserve"> par les artisans en recourant à l’éducation formelle et non formelle ; </w:t>
      </w:r>
    </w:p>
    <w:p w14:paraId="057ADFEE" w14:textId="77777777" w:rsidR="00C26F11" w:rsidRPr="004E1ECC" w:rsidRDefault="00C26F11" w:rsidP="00CC02B3">
      <w:pPr>
        <w:pStyle w:val="Parabodytext"/>
        <w:numPr>
          <w:ilvl w:val="1"/>
          <w:numId w:val="27"/>
        </w:numPr>
        <w:rPr>
          <w:lang w:val="fr-FR"/>
        </w:rPr>
      </w:pPr>
      <w:r w:rsidRPr="004E1ECC">
        <w:rPr>
          <w:b/>
          <w:lang w:val="fr-FR"/>
        </w:rPr>
        <w:t>renforcer les capacités et la commercialisation</w:t>
      </w:r>
      <w:r w:rsidRPr="004E1ECC">
        <w:rPr>
          <w:lang w:val="fr-FR"/>
        </w:rPr>
        <w:t xml:space="preserve"> pour améliorer le potentiel économique et la compétitivité du secteur de l’artisanat du patrimoine géorgien et soutenir les moyens de subsistance des praticiens ; et </w:t>
      </w:r>
    </w:p>
    <w:p w14:paraId="55ED6222" w14:textId="77777777" w:rsidR="00C26F11" w:rsidRPr="004E1ECC" w:rsidRDefault="00C26F11" w:rsidP="00CC02B3">
      <w:pPr>
        <w:pStyle w:val="Parabodytext"/>
        <w:numPr>
          <w:ilvl w:val="1"/>
          <w:numId w:val="27"/>
        </w:numPr>
        <w:rPr>
          <w:lang w:val="fr-FR"/>
        </w:rPr>
      </w:pPr>
      <w:r w:rsidRPr="004E1ECC">
        <w:rPr>
          <w:b/>
          <w:lang w:val="fr-FR"/>
        </w:rPr>
        <w:t xml:space="preserve">organiser des publications, des prix, des festivals et des événements </w:t>
      </w:r>
      <w:r w:rsidRPr="004E1ECC">
        <w:rPr>
          <w:lang w:val="fr-FR"/>
        </w:rPr>
        <w:t>visant à sensibiliser le public à l’artisanat géorgien et à le faire apprécier tant à l’échelle nationale qu’internationale.</w:t>
      </w:r>
    </w:p>
    <w:p w14:paraId="0EDAA6CB" w14:textId="67C69A63" w:rsidR="00C26F11" w:rsidRPr="004E1ECC" w:rsidRDefault="00C26F11" w:rsidP="00CC02B3">
      <w:pPr>
        <w:pStyle w:val="Parabodytext"/>
        <w:rPr>
          <w:lang w:val="fr-FR"/>
        </w:rPr>
      </w:pPr>
      <w:r w:rsidRPr="004E1ECC">
        <w:rPr>
          <w:lang w:val="fr-FR"/>
        </w:rPr>
        <w:t>L’AP</w:t>
      </w:r>
      <w:r w:rsidR="006E4755" w:rsidRPr="004E1ECC">
        <w:rPr>
          <w:lang w:val="fr-FR"/>
        </w:rPr>
        <w:t>A</w:t>
      </w:r>
      <w:r w:rsidRPr="004E1ECC">
        <w:rPr>
          <w:lang w:val="fr-FR"/>
        </w:rPr>
        <w:t>G a entrepris d’inventorier et de documenter les métiers du patrimoine, en interrogeant environ 1 000 praticiens géorgiens. Cette enquête a fourni des informations sur les métiers du patrimoine en péril, les modes de transmission, les praticiens et les défis sociaux et économiques auxquels ils sont confrontés, afin d’éclairer les activités de soutien au secteur. En 2020-2021, par exemple, l’AP</w:t>
      </w:r>
      <w:r w:rsidR="006E4755" w:rsidRPr="004E1ECC">
        <w:rPr>
          <w:lang w:val="fr-FR"/>
        </w:rPr>
        <w:t>A</w:t>
      </w:r>
      <w:r w:rsidRPr="004E1ECC">
        <w:rPr>
          <w:lang w:val="fr-FR"/>
        </w:rPr>
        <w:t>G a mis en œuvre un projet pilote intitulé « </w:t>
      </w:r>
      <w:hyperlink r:id="rId30" w:history="1">
        <w:r w:rsidRPr="004E1ECC">
          <w:rPr>
            <w:color w:val="0000FF" w:themeColor="hyperlink"/>
            <w:u w:val="single"/>
            <w:lang w:val="fr-FR"/>
          </w:rPr>
          <w:t>Inventaire communautaire du patrimoine culturel immatériel lié aux activités traditionnelles génératrices de revenus dans le vieux Tbilissi</w:t>
        </w:r>
      </w:hyperlink>
      <w:r w:rsidRPr="004E1ECC">
        <w:rPr>
          <w:lang w:val="fr-FR"/>
        </w:rPr>
        <w:t> » dans le cadre du projet de l’UNESCO « Patrimoine culturel immatériel et créativité pour des villes durables ». Les activités du projet comprenaient des réunions avec les membres des communautés locales et le renforcement des capacités en matière d’inventaire communautaire. Ainsi, 25 jeunes animateurs locaux et travailleurs culturels de Tbilissi ont acquis des compétences et une expérience pratique en travaillant avec les communautés sur la documentation audiovisuelle du PCI. Toujours dans le cadre de ce projet, l’AP</w:t>
      </w:r>
      <w:r w:rsidR="006E4755" w:rsidRPr="004E1ECC">
        <w:rPr>
          <w:lang w:val="fr-FR"/>
        </w:rPr>
        <w:t>A</w:t>
      </w:r>
      <w:r w:rsidRPr="004E1ECC">
        <w:rPr>
          <w:lang w:val="fr-FR"/>
        </w:rPr>
        <w:t xml:space="preserve">G a produit et publié 20 reportages vidéos et a lancé la </w:t>
      </w:r>
      <w:hyperlink r:id="rId31" w:history="1">
        <w:r w:rsidRPr="004E1ECC">
          <w:rPr>
            <w:color w:val="0000FF" w:themeColor="hyperlink"/>
            <w:u w:val="single"/>
            <w:lang w:val="fr-FR"/>
          </w:rPr>
          <w:t>Semaine du PCI de Tbilissi du 4 au 11 juillet 2021</w:t>
        </w:r>
      </w:hyperlink>
      <w:r w:rsidRPr="004E1ECC">
        <w:rPr>
          <w:lang w:val="fr-FR"/>
        </w:rPr>
        <w:t>, un projet qui a touché près de 60 000 personnes sur les médias sociaux pendant tout le mois qu’a duré le festival.</w:t>
      </w:r>
    </w:p>
    <w:p w14:paraId="753D778F" w14:textId="491DB1B0" w:rsidR="00C26F11" w:rsidRPr="004E1ECC" w:rsidRDefault="00C26F11" w:rsidP="00CC02B3">
      <w:pPr>
        <w:pStyle w:val="Parabodytext"/>
        <w:rPr>
          <w:lang w:val="fr-FR"/>
        </w:rPr>
      </w:pPr>
      <w:r w:rsidRPr="004E1ECC">
        <w:rPr>
          <w:lang w:val="fr-FR"/>
        </w:rPr>
        <w:lastRenderedPageBreak/>
        <w:t>Sur la base des besoins des praticiens identifiés par les recherches susmentionnées, l’AP</w:t>
      </w:r>
      <w:r w:rsidR="006E4755" w:rsidRPr="004E1ECC">
        <w:rPr>
          <w:lang w:val="fr-FR"/>
        </w:rPr>
        <w:t>A</w:t>
      </w:r>
      <w:r w:rsidRPr="004E1ECC">
        <w:rPr>
          <w:lang w:val="fr-FR"/>
        </w:rPr>
        <w:t xml:space="preserve">G a lancé un programme spécial de formation et d’éducation. Il y a deux aspects principaux à ce projet. Tout d’abord, des fonds ont été collectés auprès de diverses sources pour rénover et équiper 40 ateliers dans tout le pays afin de dispenser une formation pratique et de transmettre les savoir-faire traditionnels aux jeunes générations, avec un accent sur les zones rurales et les métiers en péril. Ces centres continuent à fonctionner comme des centres de formation qui brassent plus de 200 jeunes apprentis à travers le pays. Les praticiens expérimentés ont également été incités à s’engager plus activement dans le système éducatif formel par le biais d’un protocole d’accord avec la toute nouvelle </w:t>
      </w:r>
      <w:hyperlink r:id="rId32" w:history="1">
        <w:r w:rsidRPr="004E1ECC">
          <w:rPr>
            <w:color w:val="0000FF" w:themeColor="hyperlink"/>
            <w:u w:val="single"/>
            <w:lang w:val="fr-FR"/>
          </w:rPr>
          <w:t>Agence pour les compétences professionnelles</w:t>
        </w:r>
      </w:hyperlink>
      <w:r w:rsidRPr="004E1ECC">
        <w:rPr>
          <w:lang w:val="fr-FR"/>
        </w:rPr>
        <w:t xml:space="preserve"> et d’autres parties prenantes. L’objectif est de créer une nouvelle entité institutionnelle pour permettre une meilleure intégration des acteurs de l’artisanat, des enseignants et des entreprises pivots dans le système éducatif.</w:t>
      </w:r>
    </w:p>
    <w:p w14:paraId="5220A388" w14:textId="0D5170E2" w:rsidR="00C26F11" w:rsidRPr="004E1ECC" w:rsidRDefault="00C26F11" w:rsidP="00CC02B3">
      <w:pPr>
        <w:pStyle w:val="Parabodytext"/>
        <w:rPr>
          <w:lang w:val="fr-FR"/>
        </w:rPr>
      </w:pPr>
      <w:r w:rsidRPr="004E1ECC">
        <w:rPr>
          <w:lang w:val="fr-FR"/>
        </w:rPr>
        <w:t>Deuxièmement, l’AP</w:t>
      </w:r>
      <w:r w:rsidR="006E4755" w:rsidRPr="004E1ECC">
        <w:rPr>
          <w:lang w:val="fr-FR"/>
        </w:rPr>
        <w:t>A</w:t>
      </w:r>
      <w:r w:rsidRPr="004E1ECC">
        <w:rPr>
          <w:lang w:val="fr-FR"/>
        </w:rPr>
        <w:t>G a fourni une formation et un soutien en matière de compétences commerciales afin que les praticiens puissent tirer des revenus décents de la vente de leurs produits. Plus de 300 praticiens de toute la Géorgie ont été formés au développement de produits, à la création et la gestion d’une marque et de l’emballage des produits, au marketing numérique, aux réglementations en matière d’exportation et au développement de l’expérience des visiteurs. L’AP</w:t>
      </w:r>
      <w:r w:rsidR="006E4755" w:rsidRPr="004E1ECC">
        <w:rPr>
          <w:lang w:val="fr-FR"/>
        </w:rPr>
        <w:t>A</w:t>
      </w:r>
      <w:r w:rsidRPr="004E1ECC">
        <w:rPr>
          <w:lang w:val="fr-FR"/>
        </w:rPr>
        <w:t xml:space="preserve">G a aidé les praticiens à appliquer ces compétences et les techniques traditionnelles à de nouveaux produits. L’organisation a développé de nouveaux marchés pour la vente d’objets artisanaux traditionnels, notamment des foires thématiques (Noël, Journées de la femme, </w:t>
      </w:r>
      <w:hyperlink r:id="rId33" w:history="1">
        <w:r w:rsidRPr="004E1ECC">
          <w:rPr>
            <w:color w:val="0000FF" w:themeColor="hyperlink"/>
            <w:u w:val="single"/>
            <w:lang w:val="fr-FR"/>
          </w:rPr>
          <w:t>foires</w:t>
        </w:r>
      </w:hyperlink>
      <w:r w:rsidRPr="004E1ECC">
        <w:rPr>
          <w:lang w:val="fr-FR"/>
        </w:rPr>
        <w:t xml:space="preserve"> et festivals de Pâques) et une boutique AP</w:t>
      </w:r>
      <w:r w:rsidR="006E4755" w:rsidRPr="004E1ECC">
        <w:rPr>
          <w:lang w:val="fr-FR"/>
        </w:rPr>
        <w:t>A</w:t>
      </w:r>
      <w:r w:rsidRPr="004E1ECC">
        <w:rPr>
          <w:lang w:val="fr-FR"/>
        </w:rPr>
        <w:t xml:space="preserve">G </w:t>
      </w:r>
      <w:hyperlink r:id="rId34" w:history="1">
        <w:r w:rsidRPr="004E1ECC">
          <w:rPr>
            <w:color w:val="0000FF" w:themeColor="hyperlink"/>
            <w:u w:val="single"/>
            <w:lang w:val="fr-FR"/>
          </w:rPr>
          <w:t>«</w:t>
        </w:r>
        <w:r w:rsidR="00CC02B3" w:rsidRPr="004E1ECC">
          <w:rPr>
            <w:color w:val="0000FF" w:themeColor="hyperlink"/>
            <w:u w:val="single"/>
            <w:lang w:val="fr-FR"/>
          </w:rPr>
          <w:t> </w:t>
        </w:r>
        <w:r w:rsidRPr="004E1ECC">
          <w:rPr>
            <w:color w:val="0000FF" w:themeColor="hyperlink"/>
            <w:u w:val="single"/>
            <w:lang w:val="fr-FR"/>
          </w:rPr>
          <w:t>EthnoDesign</w:t>
        </w:r>
      </w:hyperlink>
      <w:r w:rsidR="00CC02B3" w:rsidRPr="004E1ECC">
        <w:rPr>
          <w:color w:val="0000FF" w:themeColor="hyperlink"/>
          <w:u w:val="single"/>
          <w:lang w:val="fr-FR"/>
        </w:rPr>
        <w:t> »</w:t>
      </w:r>
      <w:r w:rsidRPr="004E1ECC">
        <w:rPr>
          <w:lang w:val="fr-FR"/>
        </w:rPr>
        <w:t>. Cette boutique a réussi à collecter environ 1 million de dollars américains par le biais de ventes directes entre 2016 et 2021. Avec l’aide de la Division des savoirs traditionnels de l’OMPI, l’AP</w:t>
      </w:r>
      <w:r w:rsidR="006E4755" w:rsidRPr="004E1ECC">
        <w:rPr>
          <w:lang w:val="fr-FR"/>
        </w:rPr>
        <w:t>A</w:t>
      </w:r>
      <w:r w:rsidRPr="004E1ECC">
        <w:rPr>
          <w:lang w:val="fr-FR"/>
        </w:rPr>
        <w:t>G travaille actuellement à l’utilisation d’outils de propriété intellectuelle tels que les marques et les indications géographiques pour différents produits liés à l’artisanat.</w:t>
      </w:r>
      <w:r w:rsidRPr="004E1ECC">
        <w:rPr>
          <w:color w:val="26282A"/>
          <w:shd w:val="clear" w:color="auto" w:fill="FFFFFF"/>
          <w:lang w:val="fr-FR"/>
        </w:rPr>
        <w:t> </w:t>
      </w:r>
      <w:r w:rsidRPr="004E1ECC">
        <w:rPr>
          <w:lang w:val="fr-FR"/>
        </w:rPr>
        <w:t>Avec le soutien du Centre de recherche stratégique et de développement de Géorgie, l’AP</w:t>
      </w:r>
      <w:r w:rsidR="006E4755" w:rsidRPr="004E1ECC">
        <w:rPr>
          <w:lang w:val="fr-FR"/>
        </w:rPr>
        <w:t>A</w:t>
      </w:r>
      <w:r w:rsidRPr="004E1ECC">
        <w:rPr>
          <w:lang w:val="fr-FR"/>
        </w:rPr>
        <w:t>G a récemment lancé un nouveau projet intitulé « Pop-up Ethnodesign », visant à créer un « magasin sur roues » qui se déplacera dans différents endroits du pays.</w:t>
      </w:r>
    </w:p>
    <w:p w14:paraId="492E788A" w14:textId="0C483901" w:rsidR="00C26F11" w:rsidRPr="004E1ECC" w:rsidRDefault="00C26F11" w:rsidP="00CC02B3">
      <w:pPr>
        <w:pStyle w:val="Parabodytext"/>
        <w:rPr>
          <w:lang w:val="fr-FR"/>
        </w:rPr>
      </w:pPr>
      <w:r w:rsidRPr="004E1ECC">
        <w:rPr>
          <w:lang w:val="fr-FR"/>
        </w:rPr>
        <w:t>Pour mieux faire connaître l’artisanat du patrimoine et promouvoir ses praticiens à l’échelle locale, l’AP</w:t>
      </w:r>
      <w:r w:rsidR="006E4755" w:rsidRPr="004E1ECC">
        <w:rPr>
          <w:lang w:val="fr-FR"/>
        </w:rPr>
        <w:t>A</w:t>
      </w:r>
      <w:r w:rsidRPr="004E1ECC">
        <w:rPr>
          <w:lang w:val="fr-FR"/>
        </w:rPr>
        <w:t xml:space="preserve">G a lancé en 2015 un prix spécial intitulé « Artisan de l’année », qui récompense les maîtres praticiens engagés dans la transmission, ainsi que certains des meilleurs jeunes apprentis. Elle a également sensibilisé le public par le biais de </w:t>
      </w:r>
      <w:hyperlink r:id="rId35" w:history="1">
        <w:r w:rsidRPr="004E1ECC">
          <w:rPr>
            <w:color w:val="0000FF" w:themeColor="hyperlink"/>
            <w:u w:val="single"/>
            <w:lang w:val="fr-FR"/>
          </w:rPr>
          <w:t>publications</w:t>
        </w:r>
      </w:hyperlink>
      <w:r w:rsidRPr="004E1ECC">
        <w:rPr>
          <w:lang w:val="fr-FR"/>
        </w:rPr>
        <w:t xml:space="preserve"> telles que des guides d’ateliers d’artisanat, des articles, des livres et des rapports. La mise en valeur internationale de l’artisanat géorgien et de ses praticiens est également essentielle pour la sensibilisation et le développement du marché. </w:t>
      </w:r>
      <w:r w:rsidRPr="004E1ECC">
        <w:rPr>
          <w:shd w:val="clear" w:color="auto" w:fill="FFFFFF"/>
          <w:lang w:val="fr-FR"/>
        </w:rPr>
        <w:t>En 2018-2019, l’AP</w:t>
      </w:r>
      <w:r w:rsidR="006E4755" w:rsidRPr="004E1ECC">
        <w:rPr>
          <w:shd w:val="clear" w:color="auto" w:fill="FFFFFF"/>
          <w:lang w:val="fr-FR"/>
        </w:rPr>
        <w:t>A</w:t>
      </w:r>
      <w:r w:rsidRPr="004E1ECC">
        <w:rPr>
          <w:shd w:val="clear" w:color="auto" w:fill="FFFFFF"/>
          <w:lang w:val="fr-FR"/>
        </w:rPr>
        <w:t xml:space="preserve">G a lancé </w:t>
      </w:r>
      <w:r w:rsidRPr="004E1ECC">
        <w:rPr>
          <w:lang w:val="fr-FR"/>
        </w:rPr>
        <w:t xml:space="preserve">le </w:t>
      </w:r>
      <w:hyperlink r:id="rId36" w:history="1">
        <w:r w:rsidRPr="004E1ECC">
          <w:rPr>
            <w:color w:val="0000FF" w:themeColor="hyperlink"/>
            <w:u w:val="single"/>
            <w:lang w:val="fr-FR"/>
          </w:rPr>
          <w:t>Festival international des ateliers d’artisanat traditionnel</w:t>
        </w:r>
      </w:hyperlink>
      <w:r w:rsidRPr="004E1ECC">
        <w:rPr>
          <w:lang w:val="fr-FR"/>
        </w:rPr>
        <w:t>, organisé au château de Rabati, à Akhaltsikhe, en partenariat avec</w:t>
      </w:r>
      <w:r w:rsidRPr="004E1ECC">
        <w:rPr>
          <w:shd w:val="clear" w:color="auto" w:fill="FFFFFF"/>
          <w:lang w:val="fr-FR"/>
        </w:rPr>
        <w:t xml:space="preserve"> le </w:t>
      </w:r>
      <w:r w:rsidRPr="004E1ECC">
        <w:rPr>
          <w:lang w:val="fr-FR"/>
        </w:rPr>
        <w:t xml:space="preserve">Musée d’État géorgien des arts populaires et appliqués, soutenu par le ministère géorgien de l’Éducation, des sciences, de la culture et des sports et l’USAID. Le festival a rassemblé des artisans de toute la Géorgie et du monde entier, pour un total de 150 participants. Il incluait des ateliers de démonstration pour des métiers tels que la céramique, la sculpture sur bois, le tissage de tapis et d’étoffes, l’utilisation de teintures naturelles, le feutre et la fabrication de bijoux. L’objectif était de sensibiliser le public aux maîtres praticiens et à la diversité de l’artisanat local, ainsi que d’améliorer l’intégration des ateliers d’artisans dans les itinéraires touristiques locaux. Pendant la pandémie de COVID-19, le festival a été mis en ligne en 2020-2021, avec 22 masterclasses vidéo documentant et démontrant les processus de fabrication et les histoires des détenteurs. Sur les médias sociaux, l’engagement pendant la semaine du festival s’est étendu à près de 53 000 interactions. Certaines de ces vidéos ont été diffusées sur la plateforme </w:t>
      </w:r>
      <w:hyperlink r:id="rId37" w:history="1">
        <w:r w:rsidRPr="004E1ECC">
          <w:rPr>
            <w:color w:val="0000FF" w:themeColor="hyperlink"/>
            <w:u w:val="single"/>
            <w:lang w:val="fr-FR"/>
          </w:rPr>
          <w:t>Create Day</w:t>
        </w:r>
      </w:hyperlink>
      <w:r w:rsidRPr="004E1ECC">
        <w:rPr>
          <w:lang w:val="fr-FR"/>
        </w:rPr>
        <w:t xml:space="preserve"> (2020-2021), une initiative mondiale lancée par la Semaine de l’Artisanat à Londres. Avec l’aide de la Fondation Michelangelo, l’AMPG a pu aider des maîtres praticiens à assister à </w:t>
      </w:r>
      <w:hyperlink r:id="rId38" w:history="1">
        <w:r w:rsidRPr="004E1ECC">
          <w:rPr>
            <w:color w:val="0000FF" w:themeColor="hyperlink"/>
            <w:u w:val="single"/>
            <w:lang w:val="fr-FR"/>
          </w:rPr>
          <w:t>l’événement Homo Faber 2022 à Venise</w:t>
        </w:r>
      </w:hyperlink>
      <w:r w:rsidRPr="004E1ECC">
        <w:rPr>
          <w:color w:val="000000"/>
          <w:lang w:val="fr-FR"/>
        </w:rPr>
        <w:t xml:space="preserve"> et à être inscrits sur le </w:t>
      </w:r>
      <w:hyperlink r:id="rId39" w:history="1">
        <w:r w:rsidRPr="004E1ECC">
          <w:rPr>
            <w:color w:val="0000FF" w:themeColor="hyperlink"/>
            <w:u w:val="single"/>
            <w:lang w:val="fr-FR"/>
          </w:rPr>
          <w:t>Guide Homo Faber</w:t>
        </w:r>
      </w:hyperlink>
      <w:r w:rsidRPr="004E1ECC">
        <w:rPr>
          <w:color w:val="000000"/>
          <w:lang w:val="fr-FR"/>
        </w:rPr>
        <w:t xml:space="preserve">, une plateforme en ligne qui promeut le meilleur de l’artisanat européen. </w:t>
      </w:r>
      <w:r w:rsidRPr="004E1ECC">
        <w:rPr>
          <w:lang w:val="fr-FR"/>
        </w:rPr>
        <w:t xml:space="preserve">En 2022, l’AMPG a rejoint les </w:t>
      </w:r>
      <w:hyperlink r:id="rId40" w:tgtFrame="new" w:history="1">
        <w:r w:rsidRPr="004E1ECC">
          <w:rPr>
            <w:color w:val="007BFF"/>
            <w:u w:val="single"/>
            <w:shd w:val="clear" w:color="auto" w:fill="FFFFFF"/>
            <w:lang w:val="fr-FR"/>
          </w:rPr>
          <w:t>Journées Européennes des Métiers d’Art</w:t>
        </w:r>
      </w:hyperlink>
      <w:r w:rsidRPr="004E1ECC">
        <w:rPr>
          <w:shd w:val="clear" w:color="auto" w:fill="FFFFFF"/>
          <w:lang w:val="fr-FR"/>
        </w:rPr>
        <w:t xml:space="preserve"> (JEMA), une autre initiative visant à promouvoir les créateurs géorgiens à l’échelle internationale. </w:t>
      </w:r>
    </w:p>
    <w:p w14:paraId="16D321B3" w14:textId="77777777" w:rsidR="00C26F11" w:rsidRPr="004E1ECC" w:rsidRDefault="00C26F11" w:rsidP="003E5D57">
      <w:pPr>
        <w:pStyle w:val="LEVEL2"/>
        <w:rPr>
          <w:rFonts w:cs="Calibri"/>
        </w:rPr>
      </w:pPr>
      <w:bookmarkStart w:id="16" w:name="_Toc145504242"/>
      <w:bookmarkStart w:id="17" w:name="_Toc145504473"/>
      <w:r w:rsidRPr="004E1ECC">
        <w:t>Informations complémentaires</w:t>
      </w:r>
      <w:bookmarkEnd w:id="16"/>
      <w:bookmarkEnd w:id="17"/>
    </w:p>
    <w:p w14:paraId="3CC08228" w14:textId="49BFA41E" w:rsidR="00C26F11" w:rsidRPr="004E1ECC" w:rsidRDefault="00C26F11" w:rsidP="0027493C">
      <w:pPr>
        <w:pStyle w:val="Parabodytext"/>
        <w:numPr>
          <w:ilvl w:val="0"/>
          <w:numId w:val="30"/>
        </w:numPr>
        <w:rPr>
          <w:u w:val="single"/>
          <w:lang w:val="fr-FR"/>
        </w:rPr>
      </w:pPr>
      <w:r w:rsidRPr="004E1ECC">
        <w:rPr>
          <w:rFonts w:cstheme="minorHAnsi"/>
          <w:lang w:val="fr-FR"/>
        </w:rPr>
        <w:t>Site web de l’A</w:t>
      </w:r>
      <w:r w:rsidR="006E4755" w:rsidRPr="004E1ECC">
        <w:rPr>
          <w:rFonts w:cstheme="minorHAnsi"/>
          <w:lang w:val="fr-FR"/>
        </w:rPr>
        <w:t>PA</w:t>
      </w:r>
      <w:r w:rsidRPr="004E1ECC">
        <w:rPr>
          <w:rFonts w:cstheme="minorHAnsi"/>
          <w:lang w:val="fr-FR"/>
        </w:rPr>
        <w:t xml:space="preserve">G : </w:t>
      </w:r>
      <w:hyperlink r:id="rId41" w:history="1">
        <w:r w:rsidRPr="004E1ECC">
          <w:rPr>
            <w:rStyle w:val="Hyperlink"/>
            <w:rFonts w:cstheme="minorHAnsi"/>
            <w:lang w:val="fr-FR"/>
          </w:rPr>
          <w:t>https://crafts.ge/</w:t>
        </w:r>
      </w:hyperlink>
      <w:r w:rsidRPr="004E1ECC">
        <w:rPr>
          <w:rFonts w:cstheme="minorHAnsi"/>
          <w:lang w:val="fr-FR"/>
        </w:rPr>
        <w:t xml:space="preserve"> </w:t>
      </w:r>
    </w:p>
    <w:p w14:paraId="0B5D9821" w14:textId="77777777" w:rsidR="00C26F11" w:rsidRPr="004E1ECC" w:rsidRDefault="00C26F11" w:rsidP="00496B28">
      <w:pPr>
        <w:pStyle w:val="TOCHeading"/>
      </w:pPr>
      <w:bookmarkStart w:id="18" w:name="_Toc145504474"/>
      <w:r w:rsidRPr="004E1ECC">
        <w:lastRenderedPageBreak/>
        <w:t>Coopération sud-sud et secteur privé pour soutenir les vanniers dans la région de Bolgatanga (Ghana)</w:t>
      </w:r>
      <w:r w:rsidRPr="004E1ECC">
        <w:rPr>
          <w:rFonts w:cstheme="minorHAnsi"/>
          <w:vertAlign w:val="superscript"/>
        </w:rPr>
        <w:footnoteReference w:id="22"/>
      </w:r>
      <w:bookmarkEnd w:id="18"/>
    </w:p>
    <w:p w14:paraId="20A1F179" w14:textId="77777777" w:rsidR="00C26F11" w:rsidRPr="004E1ECC" w:rsidRDefault="00C26F11" w:rsidP="00624E8C">
      <w:pPr>
        <w:pStyle w:val="Parabodytext"/>
        <w:rPr>
          <w:lang w:val="fr-FR"/>
        </w:rPr>
      </w:pPr>
      <w:r w:rsidRPr="004E1ECC">
        <w:rPr>
          <w:lang w:val="fr-FR"/>
        </w:rPr>
        <w:t>Les partenariats Sud-Sud et le soutien du secteur privé aident les praticiens à innover en tenant compte du patrimoine et à développer des pratiques commerciales équitables pour relever les défis de leurs marchés locaux affectant la pratique et la transmission du PCI.</w:t>
      </w:r>
    </w:p>
    <w:p w14:paraId="7FB96D5E" w14:textId="77777777" w:rsidR="00C26F11" w:rsidRPr="004E1ECC" w:rsidRDefault="00C26F11" w:rsidP="00624E8C">
      <w:pPr>
        <w:pStyle w:val="Parabodytext"/>
        <w:rPr>
          <w:lang w:val="fr-FR"/>
        </w:rPr>
      </w:pPr>
      <w:r w:rsidRPr="004E1ECC">
        <w:rPr>
          <w:lang w:val="fr-FR"/>
        </w:rPr>
        <w:t>Bolgatanga (ou Bolga) est une ville de la région du Haut Ghana oriental, près de la frontière avec le Burkina Faso. Située à la convergence d’anciennes routes commerciales traversant le Sahara et le Sahel, la ville est depuis longtemps célèbre pour son artisanat, notamment ses articles en cuir, ses blouses, ses chapeaux Bolga et ses paniers de paille. Aujourd’hui, des milliers de paniers sont échangés chaque jour sur le marché central de Bolgatanga ou exportés directement par les producteurs. La garantie d’un travail décent et d’une rémunération équitable pour les paniers Bolga, basée sur des innovations commerciales adaptées au patrimoine, a aidé les tisserands gurunsi du Ghana à pratiquer, à transmettre et donc à sauvegarder leurs compétences en matière de vannerie.</w:t>
      </w:r>
    </w:p>
    <w:p w14:paraId="07A5BB1E" w14:textId="77777777" w:rsidR="00C26F11" w:rsidRPr="004E1ECC" w:rsidRDefault="00C26F11" w:rsidP="00624E8C">
      <w:pPr>
        <w:pStyle w:val="Parabodytext"/>
        <w:rPr>
          <w:lang w:val="fr-FR"/>
        </w:rPr>
      </w:pPr>
      <w:r w:rsidRPr="004E1ECC">
        <w:rPr>
          <w:lang w:val="fr-FR"/>
        </w:rPr>
        <w:t xml:space="preserve">Le panier le plus répandu, familièrement appelé « panier du marché », était autrefois généralement tressé à la main à partir d’une herbe locale par les hommes gurunsi, qui tissaient des tamis pour l’alcool de millet, des chapeaux, des nattes et des récipients de stockage pendant les pauses entre leurs activités agricoles. Les techniques traditionnelles de tissage ont été transmises de génération en génération, et d’hommes en femmes, dans les environs de la ville. Aujourd’hui, les vanniers (qui comptent de nombreuses femmes dans leurs rangs) utilisent de l’herbe à éléphant (veta vera) au lieu de l’herbe locale, récoltée dans les forêts autour de Kumasi, à environ 500 km au sud de Bolgatanga. Un panier du marché rond de 40 cm comprend environ 25 000 « nœuds » à l’interface entre les pailles de chaîne et de trame. Il faut plusieurs jours pour le tresser, sans compter la préparation et la teinture de la paille. Aujourd’hui, les paniers sont généralement colorés avec des teintures synthétiques plutôt que végétales, bien qu’il y ait une tendance à revenir à ces dernières. Aujourd’hui, les paniers du marché ne sont plus guère utilisés par la population locale en raison de leur valeur à l’exportation, mais les techniques de tissage servent toujours à fabriquer d’autres articles, tels que des chapeaux, que la communauté continue d’utiliser. </w:t>
      </w:r>
    </w:p>
    <w:p w14:paraId="7C082D0F" w14:textId="77777777" w:rsidR="00C26F11" w:rsidRPr="004E1ECC" w:rsidRDefault="00C26F11" w:rsidP="00624E8C">
      <w:pPr>
        <w:pStyle w:val="Parabodytext"/>
        <w:rPr>
          <w:lang w:val="fr-FR"/>
        </w:rPr>
      </w:pPr>
      <w:r w:rsidRPr="004E1ECC">
        <w:rPr>
          <w:lang w:val="fr-FR"/>
        </w:rPr>
        <w:t xml:space="preserve">Les ventes de paniers et d’autres produits tissés soutiennent les moyens de subsistance de la communauté : les femmes en sont venues à compter sur ces compétences pour nourrir leur famille. Toutefois, les tisserands ont été confrontés à des difficultés à partir du début des années 2000. Des copies à bas prix importées d’Asie, fabriquées en jonc de mer avec des poignées recouvertes de vinyle, ont inondé le marché à une époque où la qualité des paniers locaux avait baissé, où les prix couvraient à peine les coûts de production et où le service client était médiocre. Si ces facteurs ont menacé la réputation et l’avenir de la vannerie de Bolga, ils ont néanmoins incité les entreprises locales à innover en proposant de nouvelles couleurs et de nouveaux motifs. </w:t>
      </w:r>
    </w:p>
    <w:p w14:paraId="60B59D5F" w14:textId="77777777" w:rsidR="00C26F11" w:rsidRPr="004E1ECC" w:rsidRDefault="00C26F11" w:rsidP="00624E8C">
      <w:pPr>
        <w:pStyle w:val="Parabodytext"/>
        <w:rPr>
          <w:lang w:val="fr-FR"/>
        </w:rPr>
      </w:pPr>
      <w:r w:rsidRPr="004E1ECC">
        <w:rPr>
          <w:lang w:val="fr-FR"/>
        </w:rPr>
        <w:t xml:space="preserve">Les tisserands de Bolgatanga ont formé une </w:t>
      </w:r>
      <w:hyperlink r:id="rId42" w:history="1">
        <w:r w:rsidRPr="004E1ECC">
          <w:rPr>
            <w:color w:val="0000FF" w:themeColor="hyperlink"/>
            <w:u w:val="single"/>
            <w:lang w:val="fr-FR"/>
          </w:rPr>
          <w:t>coopérative des tisserands de paniers de Bolgatanga</w:t>
        </w:r>
      </w:hyperlink>
      <w:r w:rsidRPr="004E1ECC">
        <w:rPr>
          <w:lang w:val="fr-FR"/>
        </w:rPr>
        <w:t xml:space="preserve"> vers 2006-2011, mais ils ont eu du mal à résoudre les problèmes structurels du marché. De 2013 à 2014, un groupe de tisserands de Bolgatanga a travaillé avec l’</w:t>
      </w:r>
      <w:hyperlink r:id="rId43" w:history="1">
        <w:r w:rsidRPr="004E1ECC">
          <w:rPr>
            <w:color w:val="0000FF" w:themeColor="hyperlink"/>
            <w:u w:val="single"/>
            <w:lang w:val="fr-FR"/>
          </w:rPr>
          <w:t>Institut national de design</w:t>
        </w:r>
      </w:hyperlink>
      <w:r w:rsidRPr="004E1ECC">
        <w:rPr>
          <w:lang w:val="fr-FR"/>
        </w:rPr>
        <w:t xml:space="preserve"> (IND) de l’Inde et diverses ONG pour identifier des innovations appropriées dans les méthodes de teinture, améliorer la qualité des produits (en particulier les chapeaux) et déployer des techniques traditionnelles dans de nouveaux produits de vannerie. Un certain nombre de tisserands ont participé à des ateliers en Inde, et un atelier de suivi a été organisé à Accra. L’IND a fourni une assistance technique aux tisserands, pour les aider à identifier un nouveau procédé de teinture pour les graminées. Les nouvelles teintures intègrent des matériaux tels que le savon et le vinaigre, fabriqués dans la région, qui peuvent être obtenus et utilisés de manière durable dans l’environnement des villages des tisserands. Une nouvelle forme de panier a été inventée, le </w:t>
      </w:r>
      <w:hyperlink r:id="rId44" w:history="1">
        <w:r w:rsidRPr="004E1ECC">
          <w:rPr>
            <w:color w:val="0000FF" w:themeColor="hyperlink"/>
            <w:u w:val="single"/>
            <w:lang w:val="fr-FR"/>
          </w:rPr>
          <w:t>pakurigo wave</w:t>
        </w:r>
      </w:hyperlink>
      <w:r w:rsidRPr="004E1ECC">
        <w:rPr>
          <w:lang w:val="fr-FR"/>
        </w:rPr>
        <w:t xml:space="preserve">, fruit de la collaboration entre un designer indien (M. Palash Singh) et un maître tisserand ghanéen (M. John Akurigo), alliant des matériaux et méthodes traditionnels à de nouvelles techniques. Après l’atelier, les </w:t>
      </w:r>
      <w:r w:rsidRPr="004E1ECC">
        <w:rPr>
          <w:lang w:val="fr-FR"/>
        </w:rPr>
        <w:lastRenderedPageBreak/>
        <w:t xml:space="preserve">tisserands travaillant pour la société </w:t>
      </w:r>
      <w:hyperlink r:id="rId45" w:history="1">
        <w:r w:rsidRPr="004E1ECC">
          <w:rPr>
            <w:color w:val="0000FF" w:themeColor="hyperlink"/>
            <w:u w:val="single"/>
            <w:lang w:val="fr-FR"/>
          </w:rPr>
          <w:t>The Baba Tree</w:t>
        </w:r>
      </w:hyperlink>
      <w:r w:rsidRPr="004E1ECC">
        <w:rPr>
          <w:lang w:val="fr-FR"/>
        </w:rPr>
        <w:t>, avec son directeur Gregory MacCarthy, ont perfectionné les techniques mises au point pour le pakurigo wave et ont développé des modèles de paniers d’art. Jemima Akolgo a été la première à tresser un nouveau type de panier inventé lors de l’atelier en Inde, baptisé « </w:t>
      </w:r>
      <w:hyperlink r:id="rId46" w:history="1">
        <w:r w:rsidRPr="004E1ECC">
          <w:rPr>
            <w:color w:val="0000FF" w:themeColor="hyperlink"/>
            <w:u w:val="single"/>
            <w:lang w:val="fr-FR"/>
          </w:rPr>
          <w:t>Jemima et ses 10 vaches</w:t>
        </w:r>
      </w:hyperlink>
      <w:r w:rsidRPr="004E1ECC">
        <w:rPr>
          <w:lang w:val="fr-FR"/>
        </w:rPr>
        <w:t xml:space="preserve"> » en son honneur. S’inspirant d’autres traditions locales, des poignées en cuir de chèvre ont été ajoutées aux paniers. </w:t>
      </w:r>
    </w:p>
    <w:p w14:paraId="32632858" w14:textId="108C6F71" w:rsidR="00C26F11" w:rsidRPr="004E1ECC" w:rsidRDefault="00C26F11" w:rsidP="00624E8C">
      <w:pPr>
        <w:pStyle w:val="Parabodytext"/>
        <w:rPr>
          <w:lang w:val="fr-FR"/>
        </w:rPr>
      </w:pPr>
      <w:r w:rsidRPr="004E1ECC">
        <w:rPr>
          <w:lang w:val="fr-FR"/>
        </w:rPr>
        <w:t xml:space="preserve">Le projet a permis d’accroître la confiance et la créativité des tisserands. La tisseuse de The Baba Tree « Madame Centaine » a créé le motif « Femme et Homme », qui a évolué au fil du temps. </w:t>
      </w:r>
      <w:hyperlink r:id="rId47" w:history="1">
        <w:r w:rsidRPr="004E1ECC">
          <w:rPr>
            <w:color w:val="0000FF" w:themeColor="hyperlink"/>
            <w:u w:val="single"/>
            <w:lang w:val="fr-FR"/>
          </w:rPr>
          <w:t>Commentant</w:t>
        </w:r>
      </w:hyperlink>
      <w:r w:rsidRPr="004E1ECC">
        <w:rPr>
          <w:lang w:val="fr-FR"/>
        </w:rPr>
        <w:t xml:space="preserve"> la centaine de nouvelles pièces présentées à Accra, le maître tisserand Akabare Abentare a déclaré : « Il y a tant de produits ici ! Nous voulons que les autres habitants de Bolgatanga les voient et nous leur apprendrons à les fabriquer. C’est bien plus que les copies bon marché de nos paniers. » Avec la revitalisation de la réputation du panier Bolga et de son potentiel commercial, les tisserands ont doublé leur taux journalier entre 2013 et 2016. </w:t>
      </w:r>
    </w:p>
    <w:p w14:paraId="210F81DA" w14:textId="77777777" w:rsidR="00C26F11" w:rsidRPr="004E1ECC" w:rsidRDefault="00C26F11" w:rsidP="00624E8C">
      <w:pPr>
        <w:pStyle w:val="Parabodytext"/>
        <w:rPr>
          <w:lang w:val="fr-FR"/>
        </w:rPr>
      </w:pPr>
      <w:r w:rsidRPr="004E1ECC">
        <w:rPr>
          <w:lang w:val="fr-FR"/>
        </w:rPr>
        <w:t xml:space="preserve">Aujourd’hui, de nombreux tisserands vendent leurs paniers par l’intermédiaire de détaillants plutôt que sur le marché. Certains détaillants mettent en avant leurs références en matière de </w:t>
      </w:r>
      <w:hyperlink r:id="rId48" w:history="1">
        <w:r w:rsidRPr="004E1ECC">
          <w:rPr>
            <w:color w:val="0000FF" w:themeColor="hyperlink"/>
            <w:u w:val="single"/>
            <w:lang w:val="fr-FR"/>
          </w:rPr>
          <w:t>commerce équitable</w:t>
        </w:r>
      </w:hyperlink>
      <w:r w:rsidRPr="004E1ECC">
        <w:rPr>
          <w:lang w:val="fr-FR"/>
        </w:rPr>
        <w:t>, bien que tous n’aient pas opté pour une certification formelle. The Baba Tree verse aux tisserands une commission à chaque panier vendu, ainsi qu’un paiement initial pour un panier achevé ; une aide pour les frais de scolarité et les frais médicaux est également fournie. Les tisserands sont photographiés avec leurs paniers pour le catalogue en ligne, ce qui permet de souligner leur rôle d’artistes et d’artisans. L’approche de The Baba Tree consiste notamment à réaliser des économies d’échelle (par exemple en fournissant de la paille teinte aux tisserands, ce qui leur permet d’économiser les coûts de la teinture, du bois de chauffage et du sel, ou en fournissant un service spécialisé pour ajouter des poignées en cuir), à calibrer les prix en fonction de la difficulté, à pratiquer un contrôle de la qualité et à vendre des paniers haut de gamme à un prix approprié afin de pouvoir récompenser les tisserands de manière équitable.</w:t>
      </w:r>
    </w:p>
    <w:p w14:paraId="6AF53F6A" w14:textId="77777777" w:rsidR="00C26F11" w:rsidRPr="004E1ECC" w:rsidRDefault="00C26F11" w:rsidP="00624E8C">
      <w:pPr>
        <w:pStyle w:val="Parabodytext"/>
        <w:rPr>
          <w:lang w:val="fr-FR"/>
        </w:rPr>
      </w:pPr>
      <w:r w:rsidRPr="004E1ECC">
        <w:rPr>
          <w:lang w:val="fr-FR"/>
        </w:rPr>
        <w:t>Aujourd’hui, les vanniers de Bolgatanga doivent relever d’autres défis, notamment les coûts prohibitifs de transport et de stockage des graminées qu’ils utilisent comme matière première. L’Autorité de promotion des exportations du Ghana prévoit de les aider à planter de l’herbe dans la région nord du pays et à créer des espaces et des entrepôts pour les tisserands. Le Ghana a reconnu l’importance du secteur des exportations non traditionnelles, qui représente environ 20 % des exportations du pays.</w:t>
      </w:r>
    </w:p>
    <w:p w14:paraId="5D8EC0B0" w14:textId="77D04F7B" w:rsidR="00C26F11" w:rsidRPr="004E1ECC" w:rsidRDefault="00C26F11" w:rsidP="00624E8C">
      <w:pPr>
        <w:pStyle w:val="Parabodytext"/>
        <w:rPr>
          <w:lang w:val="fr-FR"/>
        </w:rPr>
      </w:pPr>
      <w:r w:rsidRPr="004E1ECC">
        <w:rPr>
          <w:lang w:val="fr-FR"/>
        </w:rPr>
        <w:t xml:space="preserve">Le projet de design au Ghana faisait partie d’un programme du gouvernement indien lancé en 2011 pour fournir une assistance aux artisans africains sous l’égide du Département indien de la politique et de la promotion industrielles du ministère du Commerce et de l’industrie, avec le soutien du ministère des Affaires extérieures. Lors de la mise en œuvre de ce programme, l’IND a fourni une assistance à la conception collaborative afin de permettre aux tisserands de s’émanciper dans cinq pays d’Afrique : l’Éthiopie, le Ghana, le Malawi, le Zimbabwe et la Zambie. Le travail de l’IND avec les tisserands Bolga au Ghana a été entrepris en association avec une ONG basée en Afrique du Sud, The New Basket Workshop, qui a agi en tant que consultant pour le projet. La </w:t>
      </w:r>
      <w:hyperlink r:id="rId49" w:history="1">
        <w:r w:rsidRPr="004E1ECC">
          <w:rPr>
            <w:color w:val="0000FF" w:themeColor="hyperlink"/>
            <w:u w:val="single"/>
            <w:lang w:val="fr-FR"/>
          </w:rPr>
          <w:t>Fondation G-lish</w:t>
        </w:r>
      </w:hyperlink>
      <w:r w:rsidRPr="004E1ECC">
        <w:rPr>
          <w:color w:val="0000FF" w:themeColor="hyperlink"/>
          <w:u w:val="single"/>
          <w:lang w:val="fr-FR"/>
        </w:rPr>
        <w:t xml:space="preserve"> </w:t>
      </w:r>
      <w:r w:rsidRPr="004E1ECC">
        <w:rPr>
          <w:lang w:val="fr-FR"/>
        </w:rPr>
        <w:t xml:space="preserve">a réalisé une </w:t>
      </w:r>
      <w:hyperlink r:id="rId50" w:history="1">
        <w:r w:rsidRPr="004E1ECC">
          <w:rPr>
            <w:color w:val="0000FF" w:themeColor="hyperlink"/>
            <w:u w:val="single"/>
            <w:lang w:val="fr-FR"/>
          </w:rPr>
          <w:t>étude</w:t>
        </w:r>
      </w:hyperlink>
      <w:r w:rsidRPr="004E1ECC">
        <w:rPr>
          <w:lang w:val="fr-FR"/>
        </w:rPr>
        <w:t xml:space="preserve"> sur la rémunération dans l’industrie de la vannerie et a encouragé l’utilisation de matériaux recyclés dans le tressage des paniers. </w:t>
      </w:r>
      <w:hyperlink r:id="rId51" w:history="1">
        <w:r w:rsidRPr="004E1ECC">
          <w:rPr>
            <w:color w:val="0000FF" w:themeColor="hyperlink"/>
            <w:u w:val="single"/>
            <w:lang w:val="fr-FR"/>
          </w:rPr>
          <w:t>Aide aux artisans du Ghana (AAG)</w:t>
        </w:r>
      </w:hyperlink>
      <w:r w:rsidRPr="004E1ECC">
        <w:rPr>
          <w:lang w:val="fr-FR"/>
        </w:rPr>
        <w:t xml:space="preserve"> a contribué au projet.</w:t>
      </w:r>
      <w:r w:rsidRPr="004E1ECC">
        <w:rPr>
          <w:vertAlign w:val="superscript"/>
        </w:rPr>
        <w:footnoteReference w:id="23"/>
      </w:r>
      <w:r w:rsidRPr="004E1ECC">
        <w:rPr>
          <w:lang w:val="fr-FR"/>
        </w:rPr>
        <w:t xml:space="preserve"> Des détaillants de paniers tels que </w:t>
      </w:r>
      <w:hyperlink r:id="rId52" w:history="1">
        <w:r w:rsidRPr="004E1ECC">
          <w:rPr>
            <w:color w:val="0000FF" w:themeColor="hyperlink"/>
            <w:u w:val="single"/>
            <w:lang w:val="fr-FR"/>
          </w:rPr>
          <w:t>The Baba Tree</w:t>
        </w:r>
      </w:hyperlink>
      <w:r w:rsidRPr="004E1ECC">
        <w:rPr>
          <w:lang w:val="fr-FR"/>
        </w:rPr>
        <w:t xml:space="preserve"> et </w:t>
      </w:r>
      <w:hyperlink r:id="rId53" w:history="1">
        <w:r w:rsidRPr="004E1ECC">
          <w:rPr>
            <w:color w:val="0000FF" w:themeColor="hyperlink"/>
            <w:u w:val="single"/>
            <w:lang w:val="fr-FR"/>
          </w:rPr>
          <w:t>Delata</w:t>
        </w:r>
      </w:hyperlink>
      <w:r w:rsidRPr="004E1ECC">
        <w:rPr>
          <w:lang w:val="fr-FR"/>
        </w:rPr>
        <w:t xml:space="preserve"> ont participé au projet. </w:t>
      </w:r>
    </w:p>
    <w:p w14:paraId="48831174" w14:textId="77777777" w:rsidR="00C26F11" w:rsidRPr="004E1ECC" w:rsidRDefault="00C26F11" w:rsidP="00624E8C">
      <w:pPr>
        <w:pStyle w:val="LEVEL2"/>
      </w:pPr>
      <w:bookmarkStart w:id="19" w:name="_Toc145504244"/>
      <w:bookmarkStart w:id="20" w:name="_Toc145504475"/>
      <w:r w:rsidRPr="004E1ECC">
        <w:t>Informations complémentaires</w:t>
      </w:r>
      <w:bookmarkEnd w:id="19"/>
      <w:bookmarkEnd w:id="20"/>
    </w:p>
    <w:p w14:paraId="67417019" w14:textId="77777777" w:rsidR="00C26F11" w:rsidRPr="004E1ECC" w:rsidRDefault="00C26F11" w:rsidP="0050103D">
      <w:pPr>
        <w:pStyle w:val="Parabodytext"/>
        <w:numPr>
          <w:ilvl w:val="0"/>
          <w:numId w:val="30"/>
        </w:numPr>
        <w:tabs>
          <w:tab w:val="clear" w:pos="567"/>
        </w:tabs>
        <w:snapToGrid/>
        <w:ind w:left="357" w:hanging="357"/>
        <w:contextualSpacing/>
        <w:jc w:val="left"/>
        <w:rPr>
          <w:lang w:val="fr-FR"/>
        </w:rPr>
      </w:pPr>
      <w:r w:rsidRPr="004E1ECC">
        <w:rPr>
          <w:lang w:val="fr-FR"/>
        </w:rPr>
        <w:t xml:space="preserve">Frances Potter, « The Bolga basket: Ahmedabad comes to Accra » [Le panier de Bolga : Ahmedabad arrive à Accra] </w:t>
      </w:r>
      <w:r w:rsidRPr="004E1ECC">
        <w:rPr>
          <w:i/>
          <w:iCs/>
          <w:lang w:val="fr-FR"/>
        </w:rPr>
        <w:t>Garland Magazine</w:t>
      </w:r>
      <w:r w:rsidRPr="004E1ECC">
        <w:rPr>
          <w:lang w:val="fr-FR"/>
        </w:rPr>
        <w:t xml:space="preserve"> 24 février 2016 : </w:t>
      </w:r>
      <w:hyperlink r:id="rId54" w:history="1">
        <w:r w:rsidRPr="004E1ECC">
          <w:rPr>
            <w:color w:val="0000FF" w:themeColor="hyperlink"/>
            <w:u w:val="single"/>
            <w:lang w:val="fr-FR"/>
          </w:rPr>
          <w:t>https://garlandmag.com/article/the-bolga-basket-from-ahmedabad-comes-to-accra/</w:t>
        </w:r>
      </w:hyperlink>
      <w:r w:rsidRPr="004E1ECC">
        <w:rPr>
          <w:lang w:val="fr-FR"/>
        </w:rPr>
        <w:t xml:space="preserve"> </w:t>
      </w:r>
    </w:p>
    <w:p w14:paraId="54764A92" w14:textId="77777777" w:rsidR="00C26F11" w:rsidRPr="004E1ECC" w:rsidRDefault="00C26F11" w:rsidP="0050103D">
      <w:pPr>
        <w:pStyle w:val="Parabodytext"/>
        <w:numPr>
          <w:ilvl w:val="0"/>
          <w:numId w:val="30"/>
        </w:numPr>
        <w:tabs>
          <w:tab w:val="clear" w:pos="567"/>
        </w:tabs>
        <w:snapToGrid/>
        <w:ind w:left="357" w:hanging="357"/>
        <w:contextualSpacing/>
        <w:jc w:val="left"/>
        <w:rPr>
          <w:rFonts w:cstheme="minorHAnsi"/>
          <w:lang w:val="fr-FR"/>
        </w:rPr>
      </w:pPr>
      <w:r w:rsidRPr="004E1ECC">
        <w:rPr>
          <w:rFonts w:cstheme="minorHAnsi"/>
          <w:lang w:val="fr-FR"/>
        </w:rPr>
        <w:t xml:space="preserve">Fondation G-lish, Rapport sur le marché équitable du panier de paille à Bolgatanga, 2014 : </w:t>
      </w:r>
      <w:hyperlink r:id="rId55" w:history="1">
        <w:r w:rsidRPr="004E1ECC">
          <w:rPr>
            <w:rFonts w:cstheme="minorHAnsi"/>
            <w:color w:val="0000FF" w:themeColor="hyperlink"/>
            <w:u w:val="single"/>
            <w:lang w:val="fr-FR"/>
          </w:rPr>
          <w:t>https://cdn.shopify.com/s/files/1/0356/5021/files/Fair_Market_Report_G-lish_Foundation_07b24e30-a09d-46db-9faa-08c57cae20a0.pdf?1004</w:t>
        </w:r>
      </w:hyperlink>
    </w:p>
    <w:p w14:paraId="5917948F" w14:textId="77777777" w:rsidR="00C26F11" w:rsidRPr="004E1ECC" w:rsidRDefault="00C26F11" w:rsidP="0050103D">
      <w:pPr>
        <w:pStyle w:val="Parabodytext"/>
        <w:numPr>
          <w:ilvl w:val="0"/>
          <w:numId w:val="30"/>
        </w:numPr>
        <w:tabs>
          <w:tab w:val="clear" w:pos="567"/>
        </w:tabs>
        <w:snapToGrid/>
        <w:ind w:left="357" w:hanging="357"/>
        <w:contextualSpacing/>
        <w:jc w:val="left"/>
        <w:rPr>
          <w:lang w:val="fr-FR"/>
        </w:rPr>
      </w:pPr>
      <w:r w:rsidRPr="004E1ECC">
        <w:rPr>
          <w:lang w:val="fr-FR"/>
        </w:rPr>
        <w:t xml:space="preserve">Entretien Focus de CIBER avec Bridget Kyerematen-Darko « Aide aux artisans du Ghana » </w:t>
      </w:r>
      <w:hyperlink r:id="rId56" w:history="1">
        <w:r w:rsidRPr="004E1ECC">
          <w:rPr>
            <w:color w:val="0000FF" w:themeColor="hyperlink"/>
            <w:u w:val="single"/>
            <w:lang w:val="fr-FR"/>
          </w:rPr>
          <w:t>CIBER Focus :« Aide aux artisans du Ghana » avec Bridget Kyerematen-Darko – YouTube</w:t>
        </w:r>
      </w:hyperlink>
      <w:r w:rsidRPr="004E1ECC">
        <w:rPr>
          <w:lang w:val="fr-FR"/>
        </w:rPr>
        <w:t xml:space="preserve"> </w:t>
      </w:r>
    </w:p>
    <w:p w14:paraId="78AB23C3" w14:textId="77777777" w:rsidR="00C26F11" w:rsidRPr="004E1ECC" w:rsidRDefault="00C26F11" w:rsidP="0050103D">
      <w:pPr>
        <w:pStyle w:val="Parabodytext"/>
        <w:numPr>
          <w:ilvl w:val="0"/>
          <w:numId w:val="30"/>
        </w:numPr>
        <w:tabs>
          <w:tab w:val="clear" w:pos="567"/>
        </w:tabs>
        <w:snapToGrid/>
        <w:ind w:left="357" w:hanging="357"/>
        <w:contextualSpacing/>
        <w:jc w:val="left"/>
        <w:rPr>
          <w:lang w:val="fr-FR"/>
        </w:rPr>
      </w:pPr>
      <w:r w:rsidRPr="004E1ECC">
        <w:rPr>
          <w:lang w:val="fr-FR"/>
        </w:rPr>
        <w:lastRenderedPageBreak/>
        <w:t xml:space="preserve">Aisha Salaudeen, Rachel Wood, Sandy Thin, « How these Ghanaian women have made basket weaving into a million dollar industry » [Comment ces femmes ghanéennes ont fait du tressage de paniers une industrie d’un million de dollars], CNN (26 avril 2019) : </w:t>
      </w:r>
      <w:hyperlink r:id="rId57" w:history="1">
        <w:r w:rsidRPr="004E1ECC">
          <w:rPr>
            <w:color w:val="0000FF" w:themeColor="hyperlink"/>
            <w:u w:val="single"/>
            <w:lang w:val="fr-FR"/>
          </w:rPr>
          <w:t>https://edition.cnn.com/2019/04/25/africa/ghana-bolga-basket-weavers-intl/index.html</w:t>
        </w:r>
      </w:hyperlink>
      <w:r w:rsidRPr="004E1ECC">
        <w:rPr>
          <w:lang w:val="fr-FR"/>
        </w:rPr>
        <w:t xml:space="preserve"> </w:t>
      </w:r>
    </w:p>
    <w:p w14:paraId="3C30C39F" w14:textId="77777777" w:rsidR="00915304" w:rsidRPr="004E1ECC" w:rsidRDefault="00915304" w:rsidP="00496B28">
      <w:pPr>
        <w:pStyle w:val="TOCHeading"/>
      </w:pPr>
      <w:r w:rsidRPr="004E1ECC">
        <w:br w:type="page"/>
      </w:r>
    </w:p>
    <w:p w14:paraId="27EF2877" w14:textId="4536E7A1" w:rsidR="003675E1" w:rsidRPr="004E1ECC" w:rsidRDefault="003675E1" w:rsidP="00496B28">
      <w:pPr>
        <w:pStyle w:val="TOCHeading"/>
      </w:pPr>
      <w:bookmarkStart w:id="21" w:name="_Toc145504476"/>
      <w:r w:rsidRPr="004E1ECC">
        <w:lastRenderedPageBreak/>
        <w:t xml:space="preserve">Propriété intellectuelle et stratégies de commercialisation </w:t>
      </w:r>
      <w:r w:rsidR="006E4755" w:rsidRPr="004E1ECC">
        <w:t>sensibles au</w:t>
      </w:r>
      <w:r w:rsidRPr="004E1ECC">
        <w:t xml:space="preserve"> patrimoine pour la danse Chau et la fabrication de masques (Inde)</w:t>
      </w:r>
      <w:r w:rsidRPr="004E1ECC">
        <w:rPr>
          <w:vertAlign w:val="superscript"/>
        </w:rPr>
        <w:footnoteReference w:id="24"/>
      </w:r>
      <w:bookmarkEnd w:id="21"/>
    </w:p>
    <w:p w14:paraId="665D7030" w14:textId="77777777" w:rsidR="003675E1" w:rsidRPr="004E1ECC" w:rsidRDefault="003675E1" w:rsidP="00B948D5">
      <w:pPr>
        <w:pStyle w:val="Parabodytext"/>
        <w:rPr>
          <w:lang w:val="fr-FR"/>
        </w:rPr>
      </w:pPr>
      <w:r w:rsidRPr="004E1ECC">
        <w:rPr>
          <w:lang w:val="fr-FR"/>
        </w:rPr>
        <w:t>L’élaboration de stratégies communautaires de sauvegarde peut tenir compte de considérations liées au marché, afin de garantir le soutien des moyens de subsistance et la protection des droits des praticiens.</w:t>
      </w:r>
    </w:p>
    <w:p w14:paraId="29A5C6BE" w14:textId="77777777" w:rsidR="003675E1" w:rsidRPr="004E1ECC" w:rsidRDefault="003675E1" w:rsidP="00B948D5">
      <w:pPr>
        <w:pStyle w:val="Parabodytext"/>
        <w:rPr>
          <w:lang w:val="fr-FR"/>
        </w:rPr>
      </w:pPr>
      <w:r w:rsidRPr="004E1ECC">
        <w:rPr>
          <w:lang w:val="fr-FR"/>
        </w:rPr>
        <w:t xml:space="preserve">La Purulia Chau (ou Chhau) est une danse acrobatique dynamique avec des masques élaborés, exécutée à des fins rituelles ainsi que devant des publics qui paient pour assister à ce divertissement dans le Bengale occidental, en Inde. Cette pratique de danse a été inscrite, avec deux autres styles de Chhau, sur la Liste représentative du patrimoine culturel immatériel de l’humanité de l’UNESCO en 2010. Les danseurs et les artisans qui fabriquent les masques veulent gagner leur vie de manière décente en pratiquant leur art et en se constituant une clientèle disposée à payer des prix équitables, mais ils sont confrontés à de nombreux défis dans le contexte du marché. </w:t>
      </w:r>
    </w:p>
    <w:p w14:paraId="57C630AD" w14:textId="77777777" w:rsidR="003675E1" w:rsidRPr="004E1ECC" w:rsidRDefault="003675E1" w:rsidP="00B948D5">
      <w:pPr>
        <w:pStyle w:val="Parabodytext"/>
        <w:rPr>
          <w:lang w:val="fr-FR"/>
        </w:rPr>
      </w:pPr>
      <w:r w:rsidRPr="004E1ECC">
        <w:rPr>
          <w:lang w:val="fr-FR"/>
        </w:rPr>
        <w:t>Une ONG locale, Banglanatak dot com, collabore avec les communautés de danseurs et de fabricants de masques depuis plus de dix ans, les aidant à toucher des subventions gouvernementales allouées aux artistes, à bénéficier de services financiers et à accéder à la formation aux compétences patrimoniales. Toutefois, ils ont constaté que si les artistes arrivaient à trouver des clients et à gagner leur vie, ils n’avaient souvent pas un pouvoir de négociation suffisant dans leurs relations avec les organisateurs de festivals, les acheteurs de masques, les réalisateurs de films et autres. Parfois, les danseurs ont beau être engagés pour un spectacle, ils ne sont pas rémunérés. Les exigences en matière de sécurité ne sont pas toujours respectées, même si les danseurs exécutent de plus en plus de cascades acrobatiques, et les masques sont devenus si grands et si élaborés qu’ils peuvent menacer la sécurité des artistes. S’ils peuvent reconnaître des comportements contraires à l’éthique, par exemple lorsque des danseurs n’ont pas été engagés dans des films présentant leurs performances, les artistes ne sont pas toujours conscients de leurs droits. Les danseurs et les fabricants de masques communiquent de plus en plus avec leurs clients en ligne, mais la plupart des informations sur leur patrimoine disponibles en ligne viennent de tiers.</w:t>
      </w:r>
    </w:p>
    <w:p w14:paraId="69464BE4" w14:textId="77777777" w:rsidR="003675E1" w:rsidRPr="004E1ECC" w:rsidRDefault="003675E1" w:rsidP="00B948D5">
      <w:pPr>
        <w:pStyle w:val="Parabodytext"/>
        <w:rPr>
          <w:lang w:val="fr-FR"/>
        </w:rPr>
      </w:pPr>
      <w:r w:rsidRPr="004E1ECC">
        <w:rPr>
          <w:lang w:val="fr-FR"/>
        </w:rPr>
        <w:t xml:space="preserve">Pour les aider à relever ces défis, entre 2018 et 2021, Banglanatak dot com, a travaillé avec des membres de la communauté et un groupe multidisciplinaire d’experts externes sur le </w:t>
      </w:r>
      <w:hyperlink r:id="rId58" w:history="1">
        <w:r w:rsidRPr="004E1ECC">
          <w:rPr>
            <w:color w:val="0000FF" w:themeColor="hyperlink"/>
            <w:u w:val="single"/>
            <w:lang w:val="fr-FR"/>
          </w:rPr>
          <w:t>projet HIPAMS</w:t>
        </w:r>
      </w:hyperlink>
      <w:r w:rsidRPr="004E1ECC">
        <w:rPr>
          <w:lang w:val="fr-FR"/>
        </w:rPr>
        <w:t xml:space="preserve"> financé par une subvention de trois ans de la British Academy. Des stratégies de propriété intellectuelle et de commercialisation sensibles au patrimoine (HIPAMS) ont été élaborées pour aider la communauté à minimiser les dommages et à maximiser le développement durable et la sauvegarde des avantages découlant de l’engagement sur le marché. Le projet HIPAMS a permis de constater que certaines mesures d’atténuation pouvaient contribuer à relever les défis identifiés. L’émancipation de la communauté soutenant l’action collective, ancrée dans des approches éthiques et fondées sur les droits, a aidé les praticiens à renforcer leur pouvoir de négociation sur le marché. Le marketing sensible au patrimoine a permis de renforcer et de faire mieux entendre la voix des praticiens, et de diffuser plus efficacement la signification et la valeur du patrimoine. Le renforcement des capacités en matière de droits de propriété intellectuelle et d’éthique a permis aux praticiens de comprendre leurs droits, de protéger leurs intérêts et d’obtenir l’adhésion de leurs clients. Enfin, la réflexion des communautés sur les « racines » d’une tradition (à savoir les éléments qu’elles apprécient dans leur patrimoine et souhaitent conserver) et sa relation avec les produits et services qu’elles proposent (les « fruits » de la tradition) les a aidées à répondre plus fermement aux pressions du marché et à développer des innovations plus respectueuses du patrimoine sur le marché. </w:t>
      </w:r>
    </w:p>
    <w:p w14:paraId="48DA4B03" w14:textId="77777777" w:rsidR="003675E1" w:rsidRPr="004E1ECC" w:rsidRDefault="003675E1" w:rsidP="00B948D5">
      <w:pPr>
        <w:pStyle w:val="Parabodytext"/>
        <w:rPr>
          <w:lang w:val="fr-FR"/>
        </w:rPr>
      </w:pPr>
      <w:r w:rsidRPr="004E1ECC">
        <w:rPr>
          <w:lang w:val="fr-FR"/>
        </w:rPr>
        <w:t>Bien que les danseurs de Purulia Chau et les fabricants de masques pratiquent un héritage commun, les organisations communautaires de ces groupes ne travaillaient généralement pas ensemble et n’avaient pas de stratégies de marketing communes au début du projet HIPAMS. Le processus de planification du projet HIPAMS a permis d’identifier des avantages à tirer pour les danseurs et les fabricants de masques en mettant en œuvre des approches marketing à la fois individuelles et collectives. La formation à la narration numérique a aidé les artistes à améliorer leur visibilité en ligne, à proposer un contenu de meilleure qualité et d’élargir l’éventail de leurs histoires. Ils ont créé des récits plus variés, sur les répétitions de la troupe de danse et sur la « personne derrière le masque », et pas seulement des enregistrements de spectacles et du processus de fabrication de masques. À la fin du projet, plus de la moitié des artistes interrogés avaient des chaînes YouTube et utilisaient Facebook et WhatsApp pour faire connaître leur travail. Ils ont créé des hashtags communs pour combiner leurs efforts, et ont utilisé un site web collectif</w:t>
      </w:r>
      <w:r w:rsidRPr="004E1ECC">
        <w:rPr>
          <w:vertAlign w:val="superscript"/>
        </w:rPr>
        <w:footnoteReference w:id="25"/>
      </w:r>
      <w:r w:rsidRPr="004E1ECC">
        <w:rPr>
          <w:lang w:val="fr-FR"/>
        </w:rPr>
        <w:t xml:space="preserve"> et une plateforme Facebook « Art populaire du Purulia ». </w:t>
      </w:r>
    </w:p>
    <w:p w14:paraId="797C7C1E" w14:textId="77777777" w:rsidR="003675E1" w:rsidRPr="004E1ECC" w:rsidRDefault="003675E1" w:rsidP="00B948D5">
      <w:pPr>
        <w:pStyle w:val="Parabodytext"/>
        <w:rPr>
          <w:lang w:val="fr-FR"/>
        </w:rPr>
      </w:pPr>
      <w:r w:rsidRPr="004E1ECC">
        <w:rPr>
          <w:lang w:val="fr-FR"/>
        </w:rPr>
        <w:t xml:space="preserve">Grâce au renforcement des capacités en matière de droit de la propriété intellectuelle, les artistes ont découvert qu’ils avaient le droit de contrôler la copie de leurs œuvres (droits d’auteur) et d’insister sur l’attribution des représentations (droits des artistes-interprètes). La connaissance de ces droits les a aidés à négocier de meilleurs prix lorsque des clients souhaitaient utiliser leurs œuvres à des fins commerciales, et à s’assurer qu’ils étaient crédités dans les collaborations. Souvent, les artistes souhaitaient partager des informations sur leur travail, mais en en contrôlant la diffusion. Les participants aux festivals de Chhau et les visiteurs du village de Charida ont été encouragés à partager des informations et des photos de l’événement en utilisant la licence Creative Commons CC-BY-NC. Après la formation, les artistes ont également compris l’utilité des accords écrits (même sous la forme de simples messages Whatsapp) qui les aident à demander des comptes à leurs clients. Comprendre leurs droits donne aux artistes du pouvoir, même s’ils n’ont pas les moyens de les faire valoir devant les tribunaux, car les droits peuvent constituer la base de codes de conduite éthiques. Les danseurs de Chhau et les fabricants de masques ont collaboré avec l’équipe HIPAMS pour rédiger des codes éthiques présentant leurs droits et expliquant comment ils souhaitent que leur art individuel et leur patrimoine collectif soient traités par des tiers. Utiliser ces codes comme bonnes pratiques a aidé les artistes dans leurs négociations avec les organisateurs d’événements, les galeries, les cinéastes et d’autres parties prenantes. </w:t>
      </w:r>
    </w:p>
    <w:p w14:paraId="37B2766C" w14:textId="77777777" w:rsidR="003675E1" w:rsidRPr="004E1ECC" w:rsidRDefault="003675E1" w:rsidP="00B948D5">
      <w:pPr>
        <w:pStyle w:val="Parabodytext"/>
        <w:rPr>
          <w:lang w:val="fr-FR"/>
        </w:rPr>
      </w:pPr>
      <w:r w:rsidRPr="004E1ECC">
        <w:rPr>
          <w:lang w:val="fr-FR"/>
        </w:rPr>
        <w:t xml:space="preserve">La réflexion individuelle et collective sur la relation entre les « racines » et les « fruits » de la danse Chhau et de la fabrication de masques a permis aux praticiens de réfléchir à l’impact positif ou négatif de l’engagement sur le marché sur le répertoire patrimonial de compétences et de connaissances qu’ils avaient créé et dont ils dépendaient au fil du temps. Les danseurs se sont par exemple inquiétés de la tendance à utiliser des narrateurs dans les spectacles en direct, car cela affecte le déroulement du spectacle. Auparavant, ce travail était effectué par des chanteurs et des musiciens spécialisés dans la </w:t>
      </w:r>
      <w:r w:rsidRPr="004E1ECC">
        <w:rPr>
          <w:i/>
          <w:lang w:val="fr-FR"/>
        </w:rPr>
        <w:t>Jhumur</w:t>
      </w:r>
      <w:r w:rsidRPr="004E1ECC">
        <w:rPr>
          <w:lang w:val="fr-FR"/>
        </w:rPr>
        <w:t>, mais ces praticiens étaient devenus trop chers pour que les promoteurs puissent les engager pour des événements en direct. Pour tenter de réduire le besoin de narrateurs et d’éduquer de nouveaux publics, le projet a créé des récits en ligne en bengali et en anglais, accessibles par code QR sur les prospectus et les affiches des spectacles de Chhau. Réfléchir aux « racines » de la tradition a incité les fabricants de masques à faire leurs propres recherches sur Internet concernant les masques historiques. Cela a donné lieu à des variations de techniques de décoration des masques, avec des matériaux naturels au lieu du plastique et des perles de verre pour les clients sensibles à l’environnement.</w:t>
      </w:r>
    </w:p>
    <w:p w14:paraId="033BF435" w14:textId="77777777" w:rsidR="008A6E55" w:rsidRPr="004E1ECC" w:rsidRDefault="003675E1" w:rsidP="00B948D5">
      <w:pPr>
        <w:pStyle w:val="Parabodytext"/>
        <w:rPr>
          <w:lang w:val="fr-FR"/>
        </w:rPr>
      </w:pPr>
      <w:r w:rsidRPr="004E1ECC">
        <w:rPr>
          <w:lang w:val="fr-FR"/>
        </w:rPr>
        <w:t>Ce projet a montré que l’engagement sur le marché, même s’il n’est pas sans poser de problèmes, peut soutenir la sauvegarde et la transmission dans une certaine mesure en permettant aux praticiens de tirer profit de leur pratique patrimoniale et d’en conserver la signification pour eux. Il est possible d’atténuer les préjudices dans le contexte du marché, notamment grâce à une action collective basée sur l’éthique ou sur des approches fondées sur les droits. À la fin du projet, malgré les défis qui subsistent, tous les danseurs Chhau interrogés ont déclaré que leur rémunération pour chaque représentation et le nombre de représentations annuelles avaient augmenté, même pendant la pandémie de COVID-19. Les fabricants des masques utilisés lors de la danse Chhau ont pu développer le marketing en ligne et ils ont commencé à vendre des produits après avoir noué de nouveaux contacts en ligne, ce qui leur a permis d’augmenter leurs revenus mensuels. Ils ont pu mieux communiquer sur la valeur patrimoniale des danses et des masques sur des plateformes de commercialisation collectives et individuelles, et ils ont été encouragés à créer des innovations respectueuses du patrimoine dans le cadre de la tradition Chhau.</w:t>
      </w:r>
    </w:p>
    <w:p w14:paraId="6DD15706" w14:textId="77777777" w:rsidR="00496B28" w:rsidRPr="004E1ECC" w:rsidRDefault="003675E1" w:rsidP="00496B28">
      <w:pPr>
        <w:pStyle w:val="LEVEL2"/>
      </w:pPr>
      <w:bookmarkStart w:id="22" w:name="_Toc145504246"/>
      <w:bookmarkStart w:id="23" w:name="_Toc145504477"/>
      <w:r w:rsidRPr="004E1ECC">
        <w:t>Informations complémentaires</w:t>
      </w:r>
      <w:bookmarkEnd w:id="22"/>
      <w:bookmarkEnd w:id="23"/>
      <w:r w:rsidR="00496B28" w:rsidRPr="004E1ECC">
        <w:t xml:space="preserve"> </w:t>
      </w:r>
    </w:p>
    <w:p w14:paraId="0939A158" w14:textId="5454794B" w:rsidR="00B948D5" w:rsidRPr="004E1ECC" w:rsidRDefault="003675E1" w:rsidP="00B948D5">
      <w:pPr>
        <w:pStyle w:val="Parabodytext"/>
        <w:numPr>
          <w:ilvl w:val="0"/>
          <w:numId w:val="32"/>
        </w:numPr>
        <w:rPr>
          <w:u w:val="single"/>
          <w:lang w:val="fr-FR"/>
        </w:rPr>
      </w:pPr>
      <w:r w:rsidRPr="004E1ECC">
        <w:rPr>
          <w:lang w:val="fr-FR"/>
        </w:rPr>
        <w:t xml:space="preserve">Dépôt du projet HIPAMS </w:t>
      </w:r>
      <w:hyperlink r:id="rId59" w:history="1">
        <w:r w:rsidRPr="004E1ECC">
          <w:rPr>
            <w:color w:val="0000FF" w:themeColor="hyperlink"/>
            <w:u w:val="single"/>
            <w:lang w:val="fr-FR"/>
          </w:rPr>
          <w:t>www.hipams.org</w:t>
        </w:r>
      </w:hyperlink>
      <w:r w:rsidRPr="004E1ECC">
        <w:rPr>
          <w:lang w:val="fr-FR"/>
        </w:rPr>
        <w:t xml:space="preserve"> et Banglanatak dot com </w:t>
      </w:r>
      <w:r w:rsidRPr="004E1ECC">
        <w:rPr>
          <w:color w:val="0000FF" w:themeColor="hyperlink"/>
          <w:u w:val="single"/>
          <w:lang w:val="fr-FR"/>
        </w:rPr>
        <w:t>www.</w:t>
      </w:r>
      <w:hyperlink r:id="rId60" w:history="1">
        <w:r w:rsidRPr="004E1ECC">
          <w:rPr>
            <w:rStyle w:val="Hyperlink"/>
            <w:lang w:val="fr-FR"/>
          </w:rPr>
          <w:t>banglanatak</w:t>
        </w:r>
      </w:hyperlink>
      <w:r w:rsidRPr="004E1ECC">
        <w:rPr>
          <w:color w:val="0000FF" w:themeColor="hyperlink"/>
          <w:u w:val="single"/>
          <w:lang w:val="fr-FR"/>
        </w:rPr>
        <w:t>.co</w:t>
      </w:r>
      <w:r w:rsidR="00B948D5" w:rsidRPr="004E1ECC">
        <w:rPr>
          <w:color w:val="0000FF" w:themeColor="hyperlink"/>
          <w:u w:val="single"/>
          <w:lang w:val="fr-FR"/>
        </w:rPr>
        <w:t>m</w:t>
      </w:r>
    </w:p>
    <w:p w14:paraId="3DBB471A" w14:textId="337C54F7" w:rsidR="008A6E55" w:rsidRPr="004E1ECC" w:rsidRDefault="008A6E55" w:rsidP="00496B28">
      <w:pPr>
        <w:pStyle w:val="TOCHeading"/>
      </w:pPr>
      <w:bookmarkStart w:id="24" w:name="_Toc145504478"/>
      <w:r w:rsidRPr="004E1ECC">
        <w:t>Organisations communautaires sauvegardant la cérémonie rituelle des Voladores en soutenant les moyens de subsistance et en luttant contre le détournement</w:t>
      </w:r>
      <w:r w:rsidR="006E4755" w:rsidRPr="004E1ECC">
        <w:t xml:space="preserve"> (Mexique)</w:t>
      </w:r>
      <w:r w:rsidRPr="004E1ECC">
        <w:rPr>
          <w:vertAlign w:val="superscript"/>
        </w:rPr>
        <w:footnoteReference w:id="26"/>
      </w:r>
      <w:bookmarkEnd w:id="24"/>
    </w:p>
    <w:p w14:paraId="54A378D3" w14:textId="77777777" w:rsidR="008A6E55" w:rsidRPr="004E1ECC" w:rsidRDefault="008A6E55" w:rsidP="00501E21">
      <w:pPr>
        <w:pStyle w:val="Parabodytext"/>
        <w:rPr>
          <w:lang w:val="fr-FR"/>
        </w:rPr>
      </w:pPr>
      <w:r w:rsidRPr="004E1ECC">
        <w:rPr>
          <w:lang w:val="fr-FR"/>
        </w:rPr>
        <w:t>Les organisations communautaires jouent un rôle très important en soutenant les entreprises basées sur le PCI et en identifiant les moyens de relever les défis du tourisme excessif et du détournement.</w:t>
      </w:r>
    </w:p>
    <w:p w14:paraId="1E5F2254" w14:textId="62AA493A" w:rsidR="008A6E55" w:rsidRPr="004E1ECC" w:rsidRDefault="008A6E55" w:rsidP="00501E21">
      <w:pPr>
        <w:pStyle w:val="Parabodytext"/>
        <w:rPr>
          <w:lang w:val="fr-FR"/>
        </w:rPr>
      </w:pPr>
      <w:r w:rsidRPr="004E1ECC">
        <w:rPr>
          <w:lang w:val="fr-FR"/>
        </w:rPr>
        <w:t xml:space="preserve">La cérémonie rituelle des Voladores (aussi appelés « hommes volants »), </w:t>
      </w:r>
      <w:bookmarkStart w:id="25" w:name="_Hlk123329547"/>
      <w:r w:rsidRPr="004E1ECC">
        <w:fldChar w:fldCharType="begin"/>
      </w:r>
      <w:r w:rsidR="006E4755" w:rsidRPr="004E1ECC">
        <w:rPr>
          <w:lang w:val="fr-FR"/>
        </w:rPr>
        <w:instrText>HYPERLINK "https://ich.unesco.org/fr/RL/la-ceremonie-rituelle-des-voladores-00175?RL=00175"</w:instrText>
      </w:r>
      <w:r w:rsidRPr="004E1ECC">
        <w:fldChar w:fldCharType="separate"/>
      </w:r>
      <w:r w:rsidRPr="004E1ECC">
        <w:rPr>
          <w:color w:val="0000FF" w:themeColor="hyperlink"/>
          <w:u w:val="single"/>
          <w:lang w:val="fr-FR"/>
        </w:rPr>
        <w:t>i</w:t>
      </w:r>
      <w:r w:rsidRPr="004E1ECC">
        <w:rPr>
          <w:color w:val="0000FF"/>
          <w:u w:val="single"/>
          <w:lang w:val="fr-FR"/>
        </w:rPr>
        <w:t>nscri</w:t>
      </w:r>
      <w:r w:rsidRPr="004E1ECC">
        <w:rPr>
          <w:color w:val="0000FF" w:themeColor="hyperlink"/>
          <w:u w:val="single"/>
          <w:lang w:val="fr-FR"/>
        </w:rPr>
        <w:t>te</w:t>
      </w:r>
      <w:r w:rsidRPr="004E1ECC">
        <w:fldChar w:fldCharType="end"/>
      </w:r>
      <w:bookmarkEnd w:id="25"/>
      <w:r w:rsidRPr="004E1ECC">
        <w:rPr>
          <w:lang w:val="fr-FR"/>
        </w:rPr>
        <w:t xml:space="preserve"> sur la Liste représentative du patrimoine culturel immatériel de l’humanité de l’UNESCO en 2009, remonte à l’époque précoloniale et était pratiquée par divers communautés et groupes mésoaméricains sur une vaste zone de l’Amérique centrale. Aujourd’hui, elle est encore pratiquée par les Totonaques à Veracruz et Puebla, les Teenek San Luis Potosí, les Nahuas à Puebla, les Ñañhus à Hidalgo, les Mazatèques à Michoacán, tous au Mexique. Il est également pratiqué par les Mayas (ou Quichés) au Guatemala. La communauté totonaque est très attachée à la sauvegarde de la tradition et les compétences requises continuent d’être transmises aux enfants Volador au sein d’écoles spécialisées. Les associations de Voladores échangent entre elles et avec les fonctionnaires pour aider à sauvegarder la cérémonie. Dans la région de Totonacapan, il existe 33 groupes de Voladores enregistrés, trois écoles pour enfants de Voladores, trois associations de Voladores et environ 500 Voladores identifiés.</w:t>
      </w:r>
    </w:p>
    <w:p w14:paraId="42B4A4AA" w14:textId="77777777" w:rsidR="008A6E55" w:rsidRPr="004E1ECC" w:rsidRDefault="008A6E55" w:rsidP="00B872DB">
      <w:pPr>
        <w:pStyle w:val="Parabodytext"/>
        <w:rPr>
          <w:lang w:val="fr-FR"/>
        </w:rPr>
      </w:pPr>
      <w:r w:rsidRPr="004E1ECC">
        <w:rPr>
          <w:lang w:val="fr-FR"/>
        </w:rPr>
        <w:t xml:space="preserve">Pour préparer la cérémonie elle-même – dans le cadre d’un rituel traditionnel complet –, un arbre est coupé, transporté, préparé selon un rite précis et élevé dans une zone centrale. Des rituels préparatoires (dont des offrandes à la Terre mère) sont effectués et les personnes qui participeront à la cérémonie se préparent physiquement et spirituellement. Au cours de la cérémonie, cinq hommes (Voladores) grimpent sur le mât, qui mesure de 18 à 38 mètres de haut. Tandis que l’un d’entre eux danse au sommet en jouant de la flûte et du tambour, les autres se balancent sur des cordes, tournant autour du mât, comme s’ils volaient. Bien qu’il existe de nombreuses variantes de la cérémonie, il s’agissait (et c’est encore souvent le cas) d’un rituel visant à établir une communion avec les dieux et à assurer la fertilité de la terre. Il est donc accompli lors de diverses célébrations, telles que les fêtes des saints patrons, les carnavals, les solstices et les équinoxes, les festivités entourant le jour des Morts et les cérémonies associées à la semence et aux récoltes. </w:t>
      </w:r>
    </w:p>
    <w:p w14:paraId="271DF7C8" w14:textId="77777777" w:rsidR="008A6E55" w:rsidRPr="004E1ECC" w:rsidRDefault="008A6E55" w:rsidP="00B872DB">
      <w:pPr>
        <w:pStyle w:val="Parabodytext"/>
        <w:rPr>
          <w:rFonts w:cstheme="minorHAnsi"/>
          <w:lang w:val="fr-FR"/>
        </w:rPr>
      </w:pPr>
      <w:r w:rsidRPr="004E1ECC">
        <w:rPr>
          <w:rFonts w:cstheme="minorHAnsi"/>
          <w:lang w:val="fr-FR"/>
        </w:rPr>
        <w:t xml:space="preserve">Le travail de sauvegarde avec les Voladores au </w:t>
      </w:r>
      <w:hyperlink r:id="rId61" w:history="1">
        <w:r w:rsidRPr="004E1ECC">
          <w:rPr>
            <w:rFonts w:cstheme="minorHAnsi"/>
            <w:color w:val="0000FF" w:themeColor="hyperlink"/>
            <w:u w:val="single"/>
            <w:lang w:val="fr-FR"/>
          </w:rPr>
          <w:t>Centre des arts autochtones</w:t>
        </w:r>
      </w:hyperlink>
      <w:r w:rsidRPr="004E1ECC">
        <w:rPr>
          <w:rFonts w:cstheme="minorHAnsi"/>
          <w:lang w:val="fr-FR"/>
        </w:rPr>
        <w:t xml:space="preserve"> de Papantla a permis d’offrir plus de 300 emplois culturels aux détenteurs de la tradition. Les Voladores ont négocié avec le gouvernement de Veracruz après l’inscription pour obtenir des salaires équitables pour les maîtres Voladores travaillant comme enseignants. La migration hors de la région a été inversée, dans une certaine mesure, grâce à la réorientation de l’économie locale vers le tourisme culturel basé sur la culture et la tradition totonaque, qui fournit des emplois aux artistes et aux enseignants, mais aussi aux prestataires des domaines connexes tels que l’hébergement et le transport. Le tourisme est la seule source de revenus des Voladores de Papantla, ce qui a permis de maintenir la tradition et d’offrir aux plus jeunes une meilleure éducation. Ces avantages ont été concentrés à Papantla, alors que dans d’autres régions comme le Michoacán, la cérémonie n’a presque jamais été pratiquée pour les touristes et il reste peu de détenteurs. </w:t>
      </w:r>
    </w:p>
    <w:p w14:paraId="43B78E52" w14:textId="77777777" w:rsidR="008A6E55" w:rsidRPr="004E1ECC" w:rsidRDefault="008A6E55" w:rsidP="00B872DB">
      <w:pPr>
        <w:pStyle w:val="Parabodytext"/>
        <w:rPr>
          <w:lang w:val="fr-FR"/>
        </w:rPr>
      </w:pPr>
      <w:r w:rsidRPr="004E1ECC">
        <w:rPr>
          <w:lang w:val="fr-FR"/>
        </w:rPr>
        <w:t>Cependant, le tourisme a apporté son lot de défis pour la sauvegarde à Papantla. Les parties prenantes externes, dont certains acteurs gouvernementaux et commerciaux, ont eu tendance à se concentrer sur les aspects économiques de la cérémonie, et non sur sa gouvernance culturelle. Les Voladores aimeraient également travailler dans de meilleures conditions. En effet, s’ils gagnent des pourboires, ils n’ont en revanche ni salaire ni droits des travailleurs ; ils dépendent du tourisme et se produisent parfois dans des foires ou des festivals, ou lors d’événements gouvernementaux. Le Conseil des Voladores, un organe de gouvernance communautaire soutenu par le gouvernement de Veracruz, travaille donc sur un plan à long terme visant à garantir aux Voladores des conditions de travail décentes respectant leurs droits culturels et humains, notamment des revenus plus élevés, la sécurité sociale et l’assurance maladie. Le Conseil des Voladores a mis en place des mesures pour permettre le partage des bénéfices du tourisme et l’attribution de prix entre les détenteurs de la tradition</w:t>
      </w:r>
      <w:r w:rsidRPr="004E1ECC">
        <w:rPr>
          <w:vertAlign w:val="superscript"/>
        </w:rPr>
        <w:footnoteReference w:id="27"/>
      </w:r>
      <w:r w:rsidRPr="004E1ECC">
        <w:rPr>
          <w:lang w:val="fr-FR"/>
        </w:rPr>
        <w:t xml:space="preserve">. </w:t>
      </w:r>
    </w:p>
    <w:p w14:paraId="73DBB162" w14:textId="77777777" w:rsidR="008A6E55" w:rsidRPr="004E1ECC" w:rsidRDefault="008A6E55" w:rsidP="00B872DB">
      <w:pPr>
        <w:pStyle w:val="Parabodytext"/>
        <w:rPr>
          <w:lang w:val="fr-FR"/>
        </w:rPr>
      </w:pPr>
      <w:r w:rsidRPr="004E1ECC">
        <w:rPr>
          <w:lang w:val="fr-FR"/>
        </w:rPr>
        <w:t xml:space="preserve">Le rituel a été adapté et raccourci pour les touristes, créant ainsi un spectacle à part entière. Bien que la cérémonie rituelle complète des Voladores soit censée se dérouler à certains moments de l’année et lors d’occasions spéciales, la partie la plus spectaculaire de la tradition, à savoir le vol autour du mât, est aujourd’hui exécutée à tout moment, sous la forme d’un numéro acrobatique destiné à un public touristique. Les spectacles destinés aux visiteurs omettent généralement la coupe, la sélection et la préparation rituelle du mât, ainsi que les préparatifs rituels des Voladores (les « hommes volants »). Les spectacles touristiques utilisent généralement des poteaux en acier qui restent érigés toute l’année. L’utilisation de poteaux métalliques fixes a une incidence sur la signification du rituel, car une communion spirituelle est établie entre le monde naturel et le monde surnaturel par le biais de la sélection et de la préparation rituelles d’un tsakáe kiwi pour le mât. Lorsque des artistes « professionnels » apparaissent pour servir le marché touristique, ils se concentrent sur la partie « vol » de la cérémonie et donc sur la préparation physique plutôt que mentale. Ils risquent alors de ne pas apprendre certaines des techniques traditionnelles permettant d’éviter les blessures. </w:t>
      </w:r>
    </w:p>
    <w:p w14:paraId="4E30F563" w14:textId="77777777" w:rsidR="008A6E55" w:rsidRPr="004E1ECC" w:rsidRDefault="008A6E55" w:rsidP="00B872DB">
      <w:pPr>
        <w:pStyle w:val="Parabodytext"/>
        <w:rPr>
          <w:lang w:val="fr-FR"/>
        </w:rPr>
      </w:pPr>
      <w:r w:rsidRPr="004E1ECC">
        <w:rPr>
          <w:lang w:val="fr-FR"/>
        </w:rPr>
        <w:t>Bien que le spectacle destiné aux touristes ne reproduise pas entièrement le rituel et sa signification, l’adaptation de la cérémonie aux visiteurs a été conçue par la communauté comme un événement distinct. Les Voladores ne souhaitent partager qu’une partie de la cérémonie avec les touristes, et sont donc prêts à séparer les spectacles touristiques du rituel traditionnel complet. Pour garantir la transmission du savoir au sein de leur communauté, ils veillent à ce que l’intégralité de la cérémonie soit exécutée par des détenteurs de la tradition à des moments opportuns dans des endroits tels que Veracruz et Puebla, y compris les rituels associés à l’élévation du mât et aux offrandes à la Terre mère. Les jeunes sont formés au vol traditionnel, non seulement pour gagner leur vie, mais aussi parce qu’ils sont nés dans cette communauté.</w:t>
      </w:r>
    </w:p>
    <w:p w14:paraId="4742A950" w14:textId="36CDFB54" w:rsidR="008A6E55" w:rsidRPr="004E1ECC" w:rsidRDefault="008A6E55" w:rsidP="00B872DB">
      <w:pPr>
        <w:pStyle w:val="Parabodytext"/>
        <w:rPr>
          <w:lang w:val="fr-FR"/>
        </w:rPr>
      </w:pPr>
      <w:r w:rsidRPr="004E1ECC">
        <w:rPr>
          <w:lang w:val="fr-FR"/>
        </w:rPr>
        <w:t>Certaines entreprises commerciales ont abusé du patrimoine des Voladores après que l’inscription de l’élément a donné une plus grande visibilité au public. Néanmoins, une action unifiée, le soutien du gouvernement et une assistance juridique ont permis à la communauté de réagir. Une entreprise de bière a utilisé l’image des Voladores pour promouvoir sa boisson en 2016, ce qui était particulièrement inapproprié, car les Voladores évitent de boire de l’alcool au cours de la cérémonie. Après des échanges approfondis, l’entreprise a accepté d’accorder des réparations au Conseil des Voladores</w:t>
      </w:r>
      <w:r w:rsidRPr="004E1ECC">
        <w:rPr>
          <w:vertAlign w:val="superscript"/>
        </w:rPr>
        <w:footnoteReference w:id="28"/>
      </w:r>
      <w:r w:rsidRPr="004E1ECC">
        <w:rPr>
          <w:lang w:val="fr-FR"/>
        </w:rPr>
        <w:t xml:space="preserve">. Plus récemment, une société de prêt a également </w:t>
      </w:r>
      <w:hyperlink r:id="rId62" w:history="1">
        <w:r w:rsidR="00094AF8" w:rsidRPr="004E1ECC">
          <w:rPr>
            <w:color w:val="0000FF" w:themeColor="hyperlink"/>
            <w:u w:val="single"/>
            <w:lang w:val="fr-FR"/>
          </w:rPr>
          <w:t>ridiculis</w:t>
        </w:r>
        <w:r w:rsidRPr="004E1ECC">
          <w:rPr>
            <w:color w:val="0000FF" w:themeColor="hyperlink"/>
            <w:u w:val="single"/>
            <w:lang w:val="fr-FR"/>
          </w:rPr>
          <w:t>é</w:t>
        </w:r>
      </w:hyperlink>
      <w:r w:rsidRPr="004E1ECC">
        <w:rPr>
          <w:lang w:val="fr-FR"/>
        </w:rPr>
        <w:t xml:space="preserve"> les Voladores dans une publicité pour ses services. Ces derniers ont utilisé les médias sociaux et une pétition en ligne pour obtenir le soutien du public contre l’entreprise. La justice a alors </w:t>
      </w:r>
      <w:hyperlink r:id="rId63" w:history="1">
        <w:r w:rsidRPr="004E1ECC">
          <w:rPr>
            <w:color w:val="0000FF" w:themeColor="hyperlink"/>
            <w:u w:val="single"/>
            <w:lang w:val="fr-FR"/>
          </w:rPr>
          <w:t>obligé</w:t>
        </w:r>
      </w:hyperlink>
      <w:r w:rsidRPr="004E1ECC">
        <w:rPr>
          <w:lang w:val="fr-FR"/>
        </w:rPr>
        <w:t xml:space="preserve"> l’entreprise à présenter des excuses publiques et à fournir une </w:t>
      </w:r>
      <w:hyperlink r:id="rId64" w:history="1">
        <w:r w:rsidRPr="004E1ECC">
          <w:rPr>
            <w:color w:val="0000FF" w:themeColor="hyperlink"/>
            <w:u w:val="single"/>
            <w:lang w:val="fr-FR"/>
          </w:rPr>
          <w:t>compensation financière</w:t>
        </w:r>
      </w:hyperlink>
      <w:r w:rsidRPr="004E1ECC">
        <w:rPr>
          <w:lang w:val="fr-FR"/>
        </w:rPr>
        <w:t xml:space="preserve"> pour le plan de sauvegarde des Voladores, organisé et mis en œuvre par le Conseil des Voladores. </w:t>
      </w:r>
    </w:p>
    <w:p w14:paraId="63662D70" w14:textId="77777777" w:rsidR="008A6E55" w:rsidRPr="004E1ECC" w:rsidRDefault="008A6E55" w:rsidP="00094AF8">
      <w:pPr>
        <w:pStyle w:val="LEVEL2"/>
      </w:pPr>
      <w:bookmarkStart w:id="26" w:name="_Toc145504248"/>
      <w:bookmarkStart w:id="27" w:name="_Toc145504479"/>
      <w:r w:rsidRPr="004E1ECC">
        <w:t>Informations complémentaires</w:t>
      </w:r>
      <w:bookmarkEnd w:id="26"/>
      <w:bookmarkEnd w:id="27"/>
    </w:p>
    <w:p w14:paraId="61EA178C" w14:textId="77777777" w:rsidR="008A6E55" w:rsidRPr="004E1ECC" w:rsidRDefault="008A6E55" w:rsidP="0050103D">
      <w:pPr>
        <w:pStyle w:val="Parabodytext"/>
        <w:numPr>
          <w:ilvl w:val="0"/>
          <w:numId w:val="32"/>
        </w:numPr>
        <w:snapToGrid/>
        <w:ind w:left="357" w:hanging="357"/>
        <w:contextualSpacing/>
        <w:rPr>
          <w:lang w:val="fr-FR"/>
        </w:rPr>
      </w:pPr>
      <w:r w:rsidRPr="004E1ECC">
        <w:rPr>
          <w:lang w:val="fr-FR"/>
        </w:rPr>
        <w:t xml:space="preserve">Formulaire de candidature pour l’inscription : </w:t>
      </w:r>
      <w:hyperlink r:id="rId65" w:history="1">
        <w:r w:rsidRPr="004E1ECC">
          <w:rPr>
            <w:color w:val="0000FF" w:themeColor="hyperlink"/>
            <w:u w:val="single"/>
            <w:lang w:val="fr-FR"/>
          </w:rPr>
          <w:t>https://ich.unesco.org/fr/RL/la-ceremonie-rituelle-des-voladores-00175?RL=00175</w:t>
        </w:r>
      </w:hyperlink>
      <w:r w:rsidRPr="004E1ECC">
        <w:rPr>
          <w:lang w:val="fr-FR"/>
        </w:rPr>
        <w:t xml:space="preserve"> </w:t>
      </w:r>
    </w:p>
    <w:p w14:paraId="6C964B58" w14:textId="77777777" w:rsidR="008A6E55" w:rsidRPr="004E1ECC" w:rsidRDefault="008A6E55" w:rsidP="0050103D">
      <w:pPr>
        <w:pStyle w:val="Parabodytext"/>
        <w:numPr>
          <w:ilvl w:val="0"/>
          <w:numId w:val="32"/>
        </w:numPr>
        <w:snapToGrid/>
        <w:ind w:left="357" w:hanging="357"/>
        <w:contextualSpacing/>
        <w:rPr>
          <w:lang w:val="fr-FR"/>
        </w:rPr>
      </w:pPr>
      <w:r w:rsidRPr="004E1ECC">
        <w:rPr>
          <w:lang w:val="fr-FR"/>
        </w:rPr>
        <w:t xml:space="preserve">Secrétariat  à la Culture, « La Secretaría de Cultura se pronuncia en contra del uso indebido que la empresa Moneyman hizo de la Ceremonia Ritual de Voladores » [Le Secrétariat à la Culture dénonce l’utilisation abusive de la cérémonie rituelle des Voladores par la société Moneyman], 25 juin 2021. Voir : </w:t>
      </w:r>
      <w:hyperlink r:id="rId66" w:tgtFrame="_blank" w:history="1">
        <w:r w:rsidRPr="004E1ECC">
          <w:rPr>
            <w:color w:val="0000FF" w:themeColor="hyperlink"/>
            <w:u w:val="single"/>
            <w:lang w:val="fr-FR"/>
          </w:rPr>
          <w:t>https://www.gob.mx/cultura/prensa/la-secretaria-de-cultura-se-pronuncia-en-contra-del-uso-indebido-que-la-empresa-moneyman-hizo-de-la-ceremonia-ritual-de-voladores</w:t>
        </w:r>
      </w:hyperlink>
    </w:p>
    <w:p w14:paraId="5CD567FA" w14:textId="77777777" w:rsidR="008A6E55" w:rsidRPr="004E1ECC" w:rsidRDefault="008A6E55" w:rsidP="0050103D">
      <w:pPr>
        <w:pStyle w:val="Parabodytext"/>
        <w:numPr>
          <w:ilvl w:val="0"/>
          <w:numId w:val="32"/>
        </w:numPr>
        <w:snapToGrid/>
        <w:ind w:left="357" w:hanging="357"/>
        <w:contextualSpacing/>
        <w:rPr>
          <w:lang w:val="es-ES"/>
        </w:rPr>
      </w:pPr>
      <w:r w:rsidRPr="004E1ECC">
        <w:rPr>
          <w:lang w:val="fr-FR"/>
        </w:rPr>
        <w:t xml:space="preserve">« Indigna comercial que denigra ritual de los Voladores de Papantla » [Une publicité indigne dénigre les rituels des Voladores de Papantla], 25 juin 2021. </w:t>
      </w:r>
      <w:r w:rsidRPr="004E1ECC">
        <w:rPr>
          <w:i/>
          <w:iCs/>
          <w:lang w:val="es-ES"/>
        </w:rPr>
        <w:t>La Jornada Maya</w:t>
      </w:r>
      <w:r w:rsidRPr="004E1ECC">
        <w:rPr>
          <w:lang w:val="es-ES"/>
        </w:rPr>
        <w:t xml:space="preserve">. Voir : </w:t>
      </w:r>
      <w:hyperlink r:id="rId67" w:history="1">
        <w:r w:rsidRPr="004E1ECC">
          <w:rPr>
            <w:color w:val="0000FF" w:themeColor="hyperlink"/>
            <w:u w:val="single"/>
            <w:lang w:val="es-ES"/>
          </w:rPr>
          <w:t>https://www.lajornadamaya.mx/nacional/174795/indigna-comercial-que-denigra-ritual-de-los-voladores-de-papantla?fbclid=IwAR3cWMjgXwyUecrvYg8R3l6V23NKAZZxJ-UVWUmPBx9H6prGRLhYclUrQoM</w:t>
        </w:r>
      </w:hyperlink>
    </w:p>
    <w:p w14:paraId="0202C927" w14:textId="77777777" w:rsidR="008A6E55" w:rsidRPr="004E1ECC" w:rsidRDefault="008A6E55" w:rsidP="0050103D">
      <w:pPr>
        <w:pStyle w:val="Parabodytext"/>
        <w:numPr>
          <w:ilvl w:val="0"/>
          <w:numId w:val="32"/>
        </w:numPr>
        <w:snapToGrid/>
        <w:ind w:left="357" w:hanging="357"/>
        <w:contextualSpacing/>
        <w:rPr>
          <w:lang w:val="fr-FR"/>
        </w:rPr>
      </w:pPr>
      <w:r w:rsidRPr="004E1ECC">
        <w:rPr>
          <w:lang w:val="es-ES"/>
        </w:rPr>
        <w:t xml:space="preserve">« Secretaría de Cultura defiende el Ritual de Los Voladores » [Le Secrétariat à la Culture défend le rituel des Voladores], </w:t>
      </w:r>
      <w:r w:rsidRPr="004E1ECC">
        <w:rPr>
          <w:i/>
          <w:iCs/>
          <w:lang w:val="es-ES"/>
        </w:rPr>
        <w:t>El Economista</w:t>
      </w:r>
      <w:r w:rsidRPr="004E1ECC">
        <w:rPr>
          <w:lang w:val="es-ES"/>
        </w:rPr>
        <w:t xml:space="preserve">, 28 juin 2021. </w:t>
      </w:r>
      <w:r w:rsidRPr="004E1ECC">
        <w:rPr>
          <w:lang w:val="fr-FR"/>
        </w:rPr>
        <w:t xml:space="preserve">Voir : </w:t>
      </w:r>
      <w:hyperlink r:id="rId68" w:history="1">
        <w:r w:rsidRPr="004E1ECC">
          <w:rPr>
            <w:color w:val="0000FF" w:themeColor="hyperlink"/>
            <w:u w:val="single"/>
            <w:lang w:val="fr-FR"/>
          </w:rPr>
          <w:t>https://www.eleconomista.com.mx/arteseideas/-Secretaria-de-Cultura-defiende-el-Ritual-de-Los-Voladores-20210628-0018.html</w:t>
        </w:r>
      </w:hyperlink>
      <w:r w:rsidRPr="004E1ECC">
        <w:rPr>
          <w:lang w:val="fr-FR"/>
        </w:rPr>
        <w:t xml:space="preserve"> </w:t>
      </w:r>
    </w:p>
    <w:p w14:paraId="3FEB7CCA" w14:textId="77777777" w:rsidR="008A6E55" w:rsidRPr="004E1ECC" w:rsidRDefault="008A6E55" w:rsidP="0050103D">
      <w:pPr>
        <w:pStyle w:val="Parabodytext"/>
        <w:numPr>
          <w:ilvl w:val="0"/>
          <w:numId w:val="32"/>
        </w:numPr>
        <w:snapToGrid/>
        <w:ind w:left="357" w:hanging="357"/>
        <w:contextualSpacing/>
        <w:rPr>
          <w:color w:val="365F91" w:themeColor="accent1" w:themeShade="BF"/>
          <w:lang w:val="fr-FR"/>
        </w:rPr>
      </w:pPr>
      <w:r w:rsidRPr="004E1ECC">
        <w:rPr>
          <w:lang w:val="fr-FR"/>
        </w:rPr>
        <w:t xml:space="preserve">« El Consejo de Voladores y la Cervecería Cuauhtémoc Moctezuma celebran acuerdo reparatorio » [Le Conseil des Voladores et la Cervecería Cuauhtémoc Moctezuma concluent un accord de dédommagement], INAH Bulletin 465, 21 septembre 2022. Voir : </w:t>
      </w:r>
      <w:hyperlink r:id="rId69" w:history="1">
        <w:r w:rsidRPr="004E1ECC">
          <w:rPr>
            <w:color w:val="0000FF" w:themeColor="hyperlink"/>
            <w:u w:val="single"/>
            <w:lang w:val="fr-FR"/>
          </w:rPr>
          <w:t>https://inah.gob.mx/boletines/el-consejo-de-voladores-y-la-cerveceria-cuauhtemoc-moctezuma-celebran-acuerdo-reparatorio</w:t>
        </w:r>
      </w:hyperlink>
      <w:r w:rsidRPr="004E1ECC">
        <w:rPr>
          <w:lang w:val="fr-FR"/>
        </w:rPr>
        <w:t xml:space="preserve"> </w:t>
      </w:r>
    </w:p>
    <w:p w14:paraId="6CCA6966" w14:textId="6A1821EE" w:rsidR="008A6E55" w:rsidRPr="004E1ECC" w:rsidRDefault="008A6E55" w:rsidP="00A83E01">
      <w:pPr>
        <w:rPr>
          <w:rFonts w:ascii="Arial" w:hAnsi="Arial" w:cs="Arial"/>
          <w:sz w:val="22"/>
          <w:szCs w:val="22"/>
        </w:rPr>
      </w:pPr>
      <w:r w:rsidRPr="004E1ECC">
        <w:rPr>
          <w:rFonts w:asciiTheme="majorHAnsi" w:eastAsiaTheme="majorEastAsia" w:hAnsiTheme="majorHAnsi" w:cstheme="majorBidi"/>
          <w:spacing w:val="-10"/>
          <w:kern w:val="28"/>
          <w:sz w:val="56"/>
          <w:szCs w:val="56"/>
          <w:lang w:eastAsia="en-US"/>
        </w:rPr>
        <w:br w:type="page"/>
      </w:r>
    </w:p>
    <w:p w14:paraId="2452F476" w14:textId="77777777" w:rsidR="00C26F11" w:rsidRPr="004E1ECC" w:rsidRDefault="00C26F11" w:rsidP="00496B28">
      <w:pPr>
        <w:pStyle w:val="TOCHeading"/>
      </w:pPr>
      <w:bookmarkStart w:id="28" w:name="_Toc145504480"/>
      <w:r w:rsidRPr="004E1ECC">
        <w:t>Une organisation communautaire, des organismes publics et la protection de la propriété intellectuelle au service des apiculteurs slovènes (Slovénie)</w:t>
      </w:r>
      <w:bookmarkEnd w:id="28"/>
    </w:p>
    <w:p w14:paraId="1D7924EB" w14:textId="77777777" w:rsidR="00C26F11" w:rsidRPr="004E1ECC" w:rsidRDefault="00C26F11" w:rsidP="003779F8">
      <w:pPr>
        <w:pStyle w:val="Parabodytext"/>
        <w:rPr>
          <w:lang w:val="fr-FR"/>
        </w:rPr>
      </w:pPr>
      <w:r w:rsidRPr="004E1ECC">
        <w:rPr>
          <w:lang w:val="fr-FR"/>
        </w:rPr>
        <w:t>Les agences gouvernementales peuvent collaborer avec les organisations communautaires pour fournir des aides et s’assurer que les activités économiques associées à leur PCI sont correctement promues et protégées contre l’appropriation illicite, par exemple par le biais d’initiatives en matière d’éducation et de tourisme culturel, de politique étrangère et de formes collectives de propriété intellectuelle.</w:t>
      </w:r>
    </w:p>
    <w:p w14:paraId="4B89FAE0" w14:textId="77777777" w:rsidR="00C26F11" w:rsidRPr="004E1ECC" w:rsidRDefault="00C26F11" w:rsidP="003779F8">
      <w:pPr>
        <w:pStyle w:val="Parabodytext"/>
        <w:rPr>
          <w:lang w:val="fr-FR"/>
        </w:rPr>
      </w:pPr>
      <w:r w:rsidRPr="004E1ECC">
        <w:rPr>
          <w:lang w:val="fr-FR"/>
        </w:rPr>
        <w:t xml:space="preserve">En Slovénie, le patrimoine apicole est associé à un certain nombre d’activités économiques, notamment l’élevage de reines de Carniole, la construction de ruches et de ruchers en bois, la fabrication d’outils apicoles, la peinture de panneaux de ruches, la commercialisation de miel et de produits connexes, l’apithérapie et le tourisme. La Slovénie compte près de 11 000 apiculteurs, dont la plupart travaillent à temps partiel ou comme passe-temps avec moins de 20 colonies d’abeilles. Ils entretiennent environ 200 000 colonies d’abeilles carnioliennes, principalement dans des ruches en bois Alberti-Žnideršič (AŽ) de conception locale, empilées dans des ruchers. Ils sont organisés en plus de 200 sociétés apicoles locales, 15 sociétés régionales et l’Association nationale des apiculteurs slovènes (AAS). </w:t>
      </w:r>
    </w:p>
    <w:p w14:paraId="076A435D" w14:textId="77777777" w:rsidR="00C26F11" w:rsidRPr="004E1ECC" w:rsidRDefault="00C26F11" w:rsidP="003779F8">
      <w:pPr>
        <w:pStyle w:val="Parabodytext"/>
        <w:rPr>
          <w:lang w:val="fr-FR"/>
        </w:rPr>
      </w:pPr>
      <w:r w:rsidRPr="004E1ECC">
        <w:rPr>
          <w:lang w:val="fr-FR"/>
        </w:rPr>
        <w:t>En tant qu’organisation communautaire, l’AAS promeut la sauvegarde de la culture apicole en sensibilisant le public aux abeilles et à l’héritage de l’apiculture, en aidant les gens à apprendre l’apiculture traditionnelle et les compétences connexes, et en promouvant des moyens de subsistance viables basés sur le tourisme apicole et les produits fabriqués localement. Vers 2006-2007, l’AAS a lancé une campagne éducative caritative intitulée « Le miel des apiculteurs slovènes au petit-déjeuner dans les crèches et écoles », en partenariat avec des écoles et des agences gouvernementales, notamment le ministère de l’Agriculture et de l’environnement, le ministère de la Santé et le ministère de l’Education, de la science et des sports. Visant à sensibiliser les écoliers à l’importance des abeilles et à leur rôle dans la pollinisation, ainsi qu’à promouvoir la consommation de miel, le programme a été rebaptisé en 2011 « Petit-déjeuner slovène traditionnel », puis « Petit-déjeuner européen au miel », afin de promouvoir les aliments produits localement et les avantages du petit-déjeuner en général, ainsi que la gestion durable de l’environnement. Les associations d’apiculteurs des environs collectent le miel et en font don aux crèches et écoles. Chaque année, le troisième vendredi de novembre, du miel slovène est servi aux enfants pour le petit-déjeuner avec du pain, du beurre, du lait et des pommes. Un prospectus éducatif est distribué aux petits, et des apiculteurs font des présentations et animent des ateliers. Des fonctionnaires, des athlètes et d’autres célébrités participent à cette campagne, qui est également relayée par les médias.</w:t>
      </w:r>
    </w:p>
    <w:p w14:paraId="12A6EE0D" w14:textId="77777777" w:rsidR="00C26F11" w:rsidRPr="004E1ECC" w:rsidRDefault="00C26F11" w:rsidP="003779F8">
      <w:pPr>
        <w:pStyle w:val="Parabodytext"/>
        <w:rPr>
          <w:noProof/>
          <w:lang w:val="fr-FR"/>
        </w:rPr>
      </w:pPr>
      <w:r w:rsidRPr="004E1ECC">
        <w:rPr>
          <w:lang w:val="fr-FR"/>
        </w:rPr>
        <w:t>L’AAS a collaboré avec d’autres parties prenantes pour promouvoir le tourisme apicole dans le cadre d’initiatives de tourisme vert dans le pays. En encourageant un tourisme apicole à petite échelle, basé sur l’expérience et géré par des familles locales, l’association vise à soutenir la sauvegarde et les moyens de subsistance des apiculteurs tout en évitant une commercialisation excessive (tourisme excessif). L’AAS forme des prestataires, y compris une nouvelle catégorie d’Api-Guides, axé sur l’expérience de l’apiculture. La petite taille des ruchers oblige à accueillir de petits groupes de visiteurs dans les installations apicoles, mais des groupes plus importants peuvent apprendre à fabriquer des produits à base de cire, peindre des panneaux de bois traditionnels pour les ruches, acheter du miel, de la cire et d’autres produits, et rendre visite à des apithérapeutes. L’apitourisme ne profite pas seulement aux apiculteurs, mais aussi à des entreprises telles que les spas et les boutiques d’artisanat, aux agriculteurs locaux et aux restaurants. Ces structures sont liées à des expériences touristiques appelées « Apiroutes », qui promeuvent l’écotourisme vert.</w:t>
      </w:r>
    </w:p>
    <w:p w14:paraId="29072318" w14:textId="77777777" w:rsidR="00C26F11" w:rsidRPr="004E1ECC" w:rsidRDefault="00C26F11" w:rsidP="003779F8">
      <w:pPr>
        <w:pStyle w:val="Parabodytext"/>
        <w:rPr>
          <w:lang w:val="fr-FR"/>
        </w:rPr>
      </w:pPr>
      <w:r w:rsidRPr="004E1ECC">
        <w:rPr>
          <w:lang w:val="fr-FR"/>
        </w:rPr>
        <w:t>L’AAS organise des consultations et des réunions annuelles sur le tourisme apicole pour garantir la qualité en établissant une certification pour les prestataires de services touristiques d’apitourisme, conformément à sa stratégie de tourisme apicole (2021-2025). Parallèlement, les processus d’éducation et de contrôle de la qualité visent à garantir que les apiculteurs n’adoptent pas de stratégies commerciales préjudiciables (telles que le vol d’abeilles, l’utilisation excessive de traitements toxiques, les ruches en métal) qui ne sont pas conformes aux traditions apicoles, à l’éthique ou au développement durable. La législation et la réglementation garantissent que seule l’abeille indigène de Carniole est utilisée pour l’apiculture dans le pays.</w:t>
      </w:r>
    </w:p>
    <w:p w14:paraId="11DA164E" w14:textId="77777777" w:rsidR="00C26F11" w:rsidRPr="004E1ECC" w:rsidRDefault="00C26F11" w:rsidP="003779F8">
      <w:pPr>
        <w:pStyle w:val="Parabodytext"/>
        <w:rPr>
          <w:lang w:val="fr-FR"/>
        </w:rPr>
      </w:pPr>
      <w:r w:rsidRPr="004E1ECC">
        <w:rPr>
          <w:lang w:val="fr-FR"/>
        </w:rPr>
        <w:t>La République de Slovénie a mis en place un projet de diplomatie du miel au sein du ministère des Affaires étrangères, qui utilise les connaissances apicoles pour promouvoir un développement mondial équitable, l’éradication de la pauvreté, la réduction des inégalités et le développement durable dans le cadre de la coopération au développement et de l’aide humanitaire. Pour ce projet, l’ambassade de la République de Slovénie à Téhéran a fait don de six ruches urbaines à une école pour filles afghanes, enfants de réfugiés à Karaj, en Iran. Lancé en 2019, le projet sensibilise les enfants des rues et de réfugiés afghans à l’apiculture et à la production de miel et de produits à base de miel, en utilisant la coopération culturelle comme moyen d’améliorer les possibilités futures de développement économique.</w:t>
      </w:r>
    </w:p>
    <w:p w14:paraId="769665DB" w14:textId="77777777" w:rsidR="00C26F11" w:rsidRPr="004E1ECC" w:rsidRDefault="00C26F11" w:rsidP="003779F8">
      <w:pPr>
        <w:pStyle w:val="Parabodytext"/>
        <w:rPr>
          <w:noProof/>
          <w:lang w:val="fr-FR"/>
        </w:rPr>
      </w:pPr>
      <w:r w:rsidRPr="004E1ECC">
        <w:rPr>
          <w:lang w:val="fr-FR"/>
        </w:rPr>
        <w:t>L’apiculture dans la région de Gorenjska a été incluse dans l’inventaire « Recherche sur le patrimoine immatériel » d’Alpfoodway, un projet transdisciplinaire, transnational et participatif explorant les moyens de promouvoir et de sauvegarder le patrimoine culturel alimentaire alpin et les entreprises associées. La Slovénie était un pays partenaire du projet, qui soulignait l’importance d’une action collective de la part d’un échantillon représentatif d’entreprises alimentaires locales à caractère patrimonial et d’autres parties prenantes afin de promouvoir leurs produits dans le respect du patrimoine et de garantir des prix équitables et une rémunération décente. Elle recommande de lier les produits locaux à des initiatives collectives de marketing et de tourisme, en utilisant la marque territoriale, soutenue par la protection de la propriété intellectuelle.</w:t>
      </w:r>
    </w:p>
    <w:p w14:paraId="02CE7341" w14:textId="77777777" w:rsidR="00C26F11" w:rsidRPr="004E1ECC" w:rsidRDefault="00C26F11" w:rsidP="003779F8">
      <w:pPr>
        <w:pStyle w:val="Parabodytext"/>
        <w:rPr>
          <w:rFonts w:cs="Arial"/>
          <w:noProof/>
          <w:lang w:val="fr-FR"/>
        </w:rPr>
      </w:pPr>
      <w:r w:rsidRPr="004E1ECC">
        <w:rPr>
          <w:lang w:val="fr-FR"/>
        </w:rPr>
        <w:t>La dénomination « miel slovène » est enregistrée en tant qu’indication géographique protégée (IGP) dans l’Union européenne. Elle ne peut être utilisée que pour le miel produit en Slovénie, qui répond à des normes de qualité strictes. Les produits du miel des régions de Kočevje et du Karst sont enregistrés sous le régime de l’appellation d’origine protégée. À l’échelle nationale, un système d’étiquetage permet d’identifier les miels de haute qualité provenant de différentes régions du pays, par exemple le Zlati panj (Medex). Les apiculteurs peuvent également demander un certificat de production biologique pour leurs produits.</w:t>
      </w:r>
    </w:p>
    <w:p w14:paraId="45283F48" w14:textId="77777777" w:rsidR="00C26F11" w:rsidRPr="004E1ECC" w:rsidRDefault="00C26F11" w:rsidP="003779F8">
      <w:pPr>
        <w:pStyle w:val="LEVEL2"/>
      </w:pPr>
      <w:bookmarkStart w:id="29" w:name="_Toc145504250"/>
      <w:bookmarkStart w:id="30" w:name="_Toc145504481"/>
      <w:r w:rsidRPr="004E1ECC">
        <w:t>Informations complémentaires</w:t>
      </w:r>
      <w:bookmarkEnd w:id="29"/>
      <w:bookmarkEnd w:id="30"/>
    </w:p>
    <w:p w14:paraId="34108F9E" w14:textId="77777777" w:rsidR="00C26F11" w:rsidRPr="004E1ECC" w:rsidRDefault="00C26F11" w:rsidP="0050103D">
      <w:pPr>
        <w:pStyle w:val="Parabodytext"/>
        <w:numPr>
          <w:ilvl w:val="0"/>
          <w:numId w:val="33"/>
        </w:numPr>
        <w:tabs>
          <w:tab w:val="clear" w:pos="567"/>
        </w:tabs>
        <w:snapToGrid/>
        <w:ind w:left="357" w:hanging="357"/>
        <w:contextualSpacing/>
        <w:jc w:val="left"/>
        <w:rPr>
          <w:lang w:val="fr-FR"/>
        </w:rPr>
      </w:pPr>
      <w:r w:rsidRPr="004E1ECC">
        <w:rPr>
          <w:lang w:val="fr-FR"/>
        </w:rPr>
        <w:t xml:space="preserve">Association des apiculteurs slovènes, initiative « Petit-déjeuner européen au miel » et Journée mondiale de l’abeille, 2015 : </w:t>
      </w:r>
      <w:hyperlink r:id="rId70" w:history="1">
        <w:r w:rsidRPr="004E1ECC">
          <w:rPr>
            <w:color w:val="0000FF" w:themeColor="hyperlink"/>
            <w:u w:val="single"/>
            <w:lang w:val="fr-FR"/>
          </w:rPr>
          <w:t>https://www.worldbeeday.org/files/leaflets/Leaflet_EUHoneyBreakfast_and_WorldBeeDay_EN.pdf</w:t>
        </w:r>
      </w:hyperlink>
      <w:r w:rsidRPr="004E1ECC">
        <w:rPr>
          <w:lang w:val="fr-FR"/>
        </w:rPr>
        <w:t xml:space="preserve"> </w:t>
      </w:r>
    </w:p>
    <w:p w14:paraId="7A625E70"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Promotion du petit-déjeuner traditionnel slovène, 2020 : </w:t>
      </w:r>
      <w:hyperlink r:id="rId71" w:history="1">
        <w:r w:rsidRPr="004E1ECC">
          <w:rPr>
            <w:rFonts w:cstheme="minorHAnsi"/>
            <w:color w:val="0000FF" w:themeColor="hyperlink"/>
            <w:u w:val="single"/>
            <w:lang w:val="fr-FR"/>
          </w:rPr>
          <w:t>https://www.gov.si/en/news/2020-11-20-traditional-slovenian-breakfast/</w:t>
        </w:r>
      </w:hyperlink>
      <w:r w:rsidRPr="004E1ECC">
        <w:rPr>
          <w:rFonts w:cstheme="minorHAnsi"/>
          <w:lang w:val="fr-FR"/>
        </w:rPr>
        <w:t xml:space="preserve">  </w:t>
      </w:r>
    </w:p>
    <w:p w14:paraId="2ACDD7D0" w14:textId="0B81DDB1"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SBA, miel européen pour le petit-déjeuner : </w:t>
      </w:r>
      <w:hyperlink r:id="rId72" w:history="1">
        <w:r w:rsidR="00E34998" w:rsidRPr="004E1ECC">
          <w:rPr>
            <w:rStyle w:val="Hyperlink"/>
            <w:rFonts w:asciiTheme="minorHAnsi" w:hAnsiTheme="minorHAnsi" w:cstheme="minorHAnsi"/>
            <w:lang w:val="fr-FR"/>
          </w:rPr>
          <w:t>https://www.czs.si/Upload/European_Honey_Breakfast.pdf</w:t>
        </w:r>
      </w:hyperlink>
      <w:r w:rsidR="00E34998" w:rsidRPr="004E1ECC">
        <w:rPr>
          <w:rFonts w:asciiTheme="minorHAnsi" w:hAnsiTheme="minorHAnsi" w:cstheme="minorHAnsi"/>
          <w:lang w:val="fr-FR"/>
        </w:rPr>
        <w:t xml:space="preserve"> </w:t>
      </w:r>
    </w:p>
    <w:p w14:paraId="35DD1A69"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L’apitourisme en Slovénie : </w:t>
      </w:r>
      <w:hyperlink r:id="rId73" w:history="1">
        <w:r w:rsidRPr="004E1ECC">
          <w:rPr>
            <w:rFonts w:cstheme="minorHAnsi"/>
            <w:color w:val="0000FF" w:themeColor="hyperlink"/>
            <w:u w:val="single"/>
            <w:lang w:val="fr-FR"/>
          </w:rPr>
          <w:t>https://www.apiturizem.si/en/</w:t>
        </w:r>
      </w:hyperlink>
      <w:r w:rsidRPr="004E1ECC">
        <w:rPr>
          <w:rFonts w:cstheme="minorHAnsi"/>
          <w:lang w:val="fr-FR"/>
        </w:rPr>
        <w:t xml:space="preserve">  </w:t>
      </w:r>
    </w:p>
    <w:p w14:paraId="7E4AEB6F"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 I feel Slovenia », promotion des expériences de tourisme vert durable : </w:t>
      </w:r>
      <w:hyperlink r:id="rId74" w:history="1">
        <w:r w:rsidRPr="004E1ECC">
          <w:rPr>
            <w:rFonts w:cstheme="minorHAnsi"/>
            <w:color w:val="0000FF" w:themeColor="hyperlink"/>
            <w:u w:val="single"/>
            <w:lang w:val="fr-FR"/>
          </w:rPr>
          <w:t>https://www.slovenia.info/fr/histoires/les-marques-locales-un-gage-de-qualite-dans-les-destinations-vertes</w:t>
        </w:r>
      </w:hyperlink>
      <w:r w:rsidRPr="004E1ECC">
        <w:rPr>
          <w:rFonts w:cstheme="minorHAnsi"/>
          <w:lang w:val="fr-FR"/>
        </w:rPr>
        <w:t xml:space="preserve">  </w:t>
      </w:r>
    </w:p>
    <w:p w14:paraId="1B36F17F" w14:textId="74DBBEB5"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Dossier de candidature n° 01857 </w:t>
      </w:r>
      <w:r w:rsidR="006E4755" w:rsidRPr="004E1ECC">
        <w:rPr>
          <w:rFonts w:cstheme="minorHAnsi"/>
          <w:lang w:val="fr-FR"/>
        </w:rPr>
        <w:t xml:space="preserve">pour </w:t>
      </w:r>
      <w:r w:rsidRPr="004E1ECC">
        <w:rPr>
          <w:rFonts w:cstheme="minorHAnsi"/>
          <w:lang w:val="fr-FR"/>
        </w:rPr>
        <w:t>inscription en 2022 sur la Liste représentative du patrimoine culturel immatériel de l’humanité</w:t>
      </w:r>
      <w:r w:rsidR="00E34998" w:rsidRPr="004E1ECC">
        <w:rPr>
          <w:rFonts w:cstheme="minorHAnsi"/>
          <w:lang w:val="fr-FR"/>
        </w:rPr>
        <w:t xml:space="preserve"> : </w:t>
      </w:r>
      <w:hyperlink r:id="rId75" w:history="1">
        <w:r w:rsidR="00E34998" w:rsidRPr="004E1ECC">
          <w:rPr>
            <w:rStyle w:val="Hyperlink"/>
            <w:rFonts w:cstheme="minorHAnsi"/>
            <w:color w:val="0000FF"/>
            <w:lang w:val="fr-FR"/>
          </w:rPr>
          <w:t>https</w:t>
        </w:r>
      </w:hyperlink>
      <w:r w:rsidR="00E34998" w:rsidRPr="004E1ECC">
        <w:rPr>
          <w:rFonts w:cstheme="minorHAnsi"/>
          <w:color w:val="0000FF"/>
          <w:u w:val="single"/>
          <w:lang w:val="fr-FR"/>
        </w:rPr>
        <w:t>://ich.unesco.org/fr/RL/la-culture-apicole-en-slovenie-un-mode-de-vie-01857</w:t>
      </w:r>
    </w:p>
    <w:p w14:paraId="25DB4578" w14:textId="26981B76"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Apiculture dans la région de Gorenjska, inscription à l’Inventaire « Recherche sur le patrimoine immatériel » : </w:t>
      </w:r>
      <w:hyperlink r:id="rId76" w:history="1">
        <w:r w:rsidR="00E34998" w:rsidRPr="004E1ECC">
          <w:rPr>
            <w:rStyle w:val="Hyperlink"/>
            <w:rFonts w:cstheme="minorHAnsi"/>
            <w:lang w:val="fr-FR"/>
          </w:rPr>
          <w:t>https://www.intangiblesearch.eu/search/show_ich_detail.php?db_name=intangible_search&amp;lingua=francese&amp;idk=ICH-AGO00-0000001611</w:t>
        </w:r>
      </w:hyperlink>
      <w:r w:rsidRPr="004E1ECC">
        <w:rPr>
          <w:rFonts w:cstheme="minorHAnsi"/>
          <w:lang w:val="fr-FR"/>
        </w:rPr>
        <w:t xml:space="preserve"> </w:t>
      </w:r>
    </w:p>
    <w:p w14:paraId="6804C623"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Résultats du projet Alpfoodway : </w:t>
      </w:r>
      <w:hyperlink r:id="rId77" w:history="1">
        <w:r w:rsidRPr="004E1ECC">
          <w:rPr>
            <w:rFonts w:cstheme="minorHAnsi"/>
            <w:color w:val="0000FF" w:themeColor="hyperlink"/>
            <w:u w:val="single"/>
            <w:lang w:val="fr-FR"/>
          </w:rPr>
          <w:t>https://www.alpine-space.eu/project/alpfoodway/</w:t>
        </w:r>
      </w:hyperlink>
      <w:r w:rsidRPr="004E1ECC">
        <w:rPr>
          <w:rFonts w:cstheme="minorHAnsi"/>
          <w:lang w:val="fr-FR"/>
        </w:rPr>
        <w:t xml:space="preserve"> </w:t>
      </w:r>
    </w:p>
    <w:p w14:paraId="1A3219BD"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Enregistrement de l’IG « Slovenski med » : </w:t>
      </w:r>
      <w:hyperlink r:id="rId78" w:history="1">
        <w:r w:rsidRPr="004E1ECC">
          <w:rPr>
            <w:rFonts w:cstheme="minorHAnsi"/>
            <w:color w:val="0000FF" w:themeColor="hyperlink"/>
            <w:u w:val="single"/>
            <w:lang w:val="fr-FR"/>
          </w:rPr>
          <w:t>https://ec.europa.eu/info/food-farming-fisheries/food-safety-and-quality/certification/quality-labels/geographical-indications-register/details/EUGI00000014346</w:t>
        </w:r>
      </w:hyperlink>
      <w:r w:rsidRPr="004E1ECC">
        <w:rPr>
          <w:rFonts w:cstheme="minorHAnsi"/>
          <w:lang w:val="fr-FR"/>
        </w:rPr>
        <w:t xml:space="preserve"> </w:t>
      </w:r>
    </w:p>
    <w:p w14:paraId="0F122627" w14:textId="77777777" w:rsidR="00C26F11" w:rsidRPr="004E1ECC" w:rsidRDefault="00C26F11" w:rsidP="0050103D">
      <w:pPr>
        <w:pStyle w:val="Parabodytext"/>
        <w:numPr>
          <w:ilvl w:val="0"/>
          <w:numId w:val="33"/>
        </w:numPr>
        <w:tabs>
          <w:tab w:val="clear" w:pos="567"/>
        </w:tabs>
        <w:snapToGrid/>
        <w:ind w:left="357" w:hanging="357"/>
        <w:contextualSpacing/>
        <w:jc w:val="left"/>
        <w:rPr>
          <w:rFonts w:cstheme="minorHAnsi"/>
          <w:lang w:val="fr-FR"/>
        </w:rPr>
      </w:pPr>
      <w:r w:rsidRPr="004E1ECC">
        <w:rPr>
          <w:rFonts w:cstheme="minorHAnsi"/>
          <w:lang w:val="fr-FR"/>
        </w:rPr>
        <w:t xml:space="preserve">Enregistrement de l’IG « Kraški med » : </w:t>
      </w:r>
      <w:hyperlink r:id="rId79" w:history="1">
        <w:r w:rsidRPr="004E1ECC">
          <w:rPr>
            <w:rFonts w:cstheme="minorHAnsi"/>
            <w:color w:val="0000FF" w:themeColor="hyperlink"/>
            <w:u w:val="single"/>
            <w:lang w:val="fr-FR"/>
          </w:rPr>
          <w:t>https://ec.europa.eu/info/food-farming-fisheries/food-safety-and-quality/certification/quality-labels/geographical-indications-register/details/EUGI00000013982</w:t>
        </w:r>
      </w:hyperlink>
      <w:r w:rsidRPr="004E1ECC">
        <w:rPr>
          <w:rFonts w:cstheme="minorHAnsi"/>
          <w:lang w:val="fr-FR"/>
        </w:rPr>
        <w:t xml:space="preserve"> </w:t>
      </w:r>
    </w:p>
    <w:p w14:paraId="49A08048" w14:textId="0F8DF16E" w:rsidR="00C26F11" w:rsidRPr="004E1ECC" w:rsidRDefault="00915304" w:rsidP="0050103D">
      <w:pPr>
        <w:pStyle w:val="TOCHeading"/>
      </w:pPr>
      <w:r w:rsidRPr="004E1ECC">
        <w:br w:type="page"/>
      </w:r>
      <w:bookmarkStart w:id="31" w:name="_Toc145504482"/>
      <w:r w:rsidR="00C26F11" w:rsidRPr="004E1ECC">
        <w:t>!Khwa ttu : centre culturel et éducatif san qui crée des opportunités d’emploi tout en revitalisant et en sauvegardant le patrimoine (Afrique du Sud)</w:t>
      </w:r>
      <w:r w:rsidR="00C26F11" w:rsidRPr="004E1ECC">
        <w:rPr>
          <w:vertAlign w:val="superscript"/>
        </w:rPr>
        <w:footnoteReference w:id="29"/>
      </w:r>
      <w:bookmarkEnd w:id="31"/>
    </w:p>
    <w:p w14:paraId="2D662918" w14:textId="77777777" w:rsidR="00C26F11" w:rsidRPr="004E1ECC" w:rsidRDefault="00C26F11" w:rsidP="005812E8">
      <w:pPr>
        <w:pStyle w:val="Parabodytext"/>
        <w:rPr>
          <w:lang w:val="fr-FR"/>
        </w:rPr>
      </w:pPr>
      <w:r w:rsidRPr="004E1ECC">
        <w:rPr>
          <w:lang w:val="fr-FR"/>
        </w:rPr>
        <w:t>Les projets communautaires, aidés par des bailleurs de fonds, profite du tourisme pour développer des capacités et des entreprises dans les zones rurales, qui incitent les membres de la communauté à valoriser et à transmettre leur patrimoine tout en en tirant des moyens de subsistance durables.</w:t>
      </w:r>
    </w:p>
    <w:p w14:paraId="43433684" w14:textId="3DBB6A06" w:rsidR="00C26F11" w:rsidRPr="004E1ECC" w:rsidRDefault="00C26F11" w:rsidP="005812E8">
      <w:pPr>
        <w:pStyle w:val="Parabodytext"/>
        <w:rPr>
          <w:rFonts w:cstheme="minorHAnsi"/>
          <w:lang w:val="fr-FR"/>
        </w:rPr>
      </w:pPr>
      <w:r w:rsidRPr="004E1ECC">
        <w:rPr>
          <w:rFonts w:cstheme="minorHAnsi"/>
          <w:lang w:val="fr-FR"/>
        </w:rPr>
        <w:t>Les San sont un peuple autochtone d’Afrique australe qui vivait de la chasse et de la cueillette en petits groupes nomades jusqu’à la colonisation au XVIII</w:t>
      </w:r>
      <w:r w:rsidRPr="004E1ECC">
        <w:rPr>
          <w:rFonts w:cstheme="minorHAnsi"/>
          <w:vertAlign w:val="superscript"/>
          <w:lang w:val="fr-FR"/>
        </w:rPr>
        <w:t>e</w:t>
      </w:r>
      <w:r w:rsidRPr="004E1ECC">
        <w:rPr>
          <w:rFonts w:cstheme="minorHAnsi"/>
          <w:lang w:val="fr-FR"/>
        </w:rPr>
        <w:t xml:space="preserve"> siècle. Depuis, ils ont perdu leurs terres et ont subi d’importantes persécutions et discriminations. Certaines communautés san étaient employées dans l’armée </w:t>
      </w:r>
      <w:r w:rsidRPr="004E1ECC">
        <w:rPr>
          <w:lang w:val="fr-FR"/>
        </w:rPr>
        <w:t>pendant</w:t>
      </w:r>
      <w:r w:rsidRPr="004E1ECC">
        <w:rPr>
          <w:rFonts w:cstheme="minorHAnsi"/>
          <w:lang w:val="fr-FR"/>
        </w:rPr>
        <w:t xml:space="preserve"> l’Apartheid comme traqueurs et ils ont été déplacées de force par la suite, ou sont passées à l’agriculture dans le cadre de programmes de modernisation imposés par le gouvernement. Cela a perturbé la pratique et la transmission du patrimoine vivant des San. Les communautés San ont également été exploitées par l’industrie du tourisme, mal payées, obligées de participer à des mises en scène et de se comporter comme des « </w:t>
      </w:r>
      <w:hyperlink r:id="rId80" w:history="1">
        <w:r w:rsidRPr="004E1ECC">
          <w:rPr>
            <w:rFonts w:cstheme="minorHAnsi"/>
            <w:color w:val="0000FF" w:themeColor="hyperlink"/>
            <w:u w:val="single"/>
            <w:lang w:val="fr-FR"/>
          </w:rPr>
          <w:t>Bushmen sauvages</w:t>
        </w:r>
      </w:hyperlink>
      <w:r w:rsidRPr="004E1ECC">
        <w:rPr>
          <w:rFonts w:cstheme="minorHAnsi"/>
          <w:lang w:val="fr-FR"/>
        </w:rPr>
        <w:t xml:space="preserve"> » jusque dans les années 1990. Aujourd’hui encore, les communautés san sont confrontées à la pauvreté et à la discrimination, en dépit de quelques revendications territoriales qui ont abouties, de protections constitutionnelles contre la discrimination et d’une meilleure représentation politique, par exemple par le biais des conseils san en </w:t>
      </w:r>
      <w:hyperlink r:id="rId81" w:history="1">
        <w:r w:rsidRPr="004E1ECC">
          <w:rPr>
            <w:rFonts w:cstheme="minorHAnsi"/>
            <w:color w:val="0000FF" w:themeColor="hyperlink"/>
            <w:u w:val="single"/>
            <w:lang w:val="fr-FR"/>
          </w:rPr>
          <w:t>Namibie</w:t>
        </w:r>
      </w:hyperlink>
      <w:r w:rsidRPr="004E1ECC">
        <w:rPr>
          <w:rFonts w:cstheme="minorHAnsi"/>
          <w:lang w:val="fr-FR"/>
        </w:rPr>
        <w:t xml:space="preserve"> et en </w:t>
      </w:r>
      <w:hyperlink r:id="rId82" w:history="1">
        <w:r w:rsidRPr="004E1ECC">
          <w:rPr>
            <w:rFonts w:cstheme="minorHAnsi"/>
            <w:color w:val="0000FF" w:themeColor="hyperlink"/>
            <w:u w:val="single"/>
            <w:lang w:val="fr-FR"/>
          </w:rPr>
          <w:t>Afrique du Sud</w:t>
        </w:r>
      </w:hyperlink>
      <w:r w:rsidRPr="004E1ECC">
        <w:rPr>
          <w:rFonts w:cstheme="minorHAnsi"/>
          <w:lang w:val="fr-FR"/>
        </w:rPr>
        <w:t>. Récemment, le Conseil sud-africain des San a demandé que les communautés soient davantage impliquées dans l’</w:t>
      </w:r>
      <w:hyperlink r:id="rId83" w:history="1">
        <w:r w:rsidRPr="004E1ECC">
          <w:rPr>
            <w:rFonts w:cstheme="minorHAnsi"/>
            <w:color w:val="0000FF" w:themeColor="hyperlink"/>
            <w:u w:val="single"/>
            <w:lang w:val="fr-FR"/>
          </w:rPr>
          <w:t>élaboration des programmes touristiques</w:t>
        </w:r>
      </w:hyperlink>
      <w:r w:rsidRPr="004E1ECC">
        <w:rPr>
          <w:rFonts w:cstheme="minorHAnsi"/>
          <w:lang w:val="fr-FR"/>
        </w:rPr>
        <w:t xml:space="preserve">, afin qu’elles puissent raconter leur propre histoire. Le Département national des sports, des arts et de la culture a nommé un groupe consultatif chargé d’établir une route du patrimoine khoe et san. </w:t>
      </w:r>
    </w:p>
    <w:p w14:paraId="048F33A8" w14:textId="77777777" w:rsidR="00C26F11" w:rsidRPr="004E1ECC" w:rsidRDefault="00C26F11" w:rsidP="005812E8">
      <w:pPr>
        <w:pStyle w:val="Parabodytext"/>
        <w:rPr>
          <w:lang w:val="fr-FR"/>
        </w:rPr>
      </w:pPr>
      <w:r w:rsidRPr="004E1ECC">
        <w:rPr>
          <w:lang w:val="fr-FR"/>
        </w:rPr>
        <w:t>Le centre culturel et éducatif san de !Khwa ttu, situé dans une réserve naturelle de 850 hectares à 70 kilomètres au nord du Cap (Afrique du Sud), promeut la restitution du patrimoine, la conservation et le tourisme responsable. Il a pour mission de changer l’attitude du public à l’égard du patrimoine san et d’aider les membres de ces communautés à se réapproprier et à partager leurs histoires patrimoniales, ainsi qu’à gagner leur vie grâce à ces activités. !Khwa ttu signifie « bac à eau » dans l’une des langues san (le IXam). Le projet !Khwa ttu a été lancé en 1999 à la demande du GTMAAA (Groupe de travail des minorités autochtones d’Afrique australe), un réseau non gouvernemental qui coordonne et représente les intérêts des peuples autochtones san dans toute l’Afrique australe. Des consultations communautaires avec des représentants des San de différents pays ont contribué à façonner le projet. Le groupe a été soutenu sur le plan organisationnel et financier par l’anthropologue suisse Irene Staehelin, et est aujourd’hui une initiative à but non lucratif dirigée conjointement par les San et la Fondation Ubuntu, basée en Suisse. En 2022, environ 60 % de ses revenus provenaient des recettes touristiques. Le reste du financement est assuré par des donateurs, dont la Fondation Ubuntu.</w:t>
      </w:r>
    </w:p>
    <w:p w14:paraId="04BD755F" w14:textId="77777777" w:rsidR="00C26F11" w:rsidRPr="004E1ECC" w:rsidRDefault="00C26F11" w:rsidP="005812E8">
      <w:pPr>
        <w:pStyle w:val="Parabodytext"/>
        <w:rPr>
          <w:lang w:val="fr-FR"/>
        </w:rPr>
      </w:pPr>
      <w:r w:rsidRPr="004E1ECC">
        <w:rPr>
          <w:lang w:val="fr-FR"/>
        </w:rPr>
        <w:t xml:space="preserve">Le projet combine quatre activités principales qui se soutiennent mutuellement : l’éducation au patrimoine culturel, la formation des communautés, le tourisme et la gestion de la conservation basée sur les connaissances autochtones. Le projet offre une formation pratique en résidence à de jeunes apprentis san venus de toute l’Afrique australe pour travailler dans les secteurs de l’hôtellerie et du patrimoine. Cette expérience professionnelle permet aux diplômés du programme de trouver un emploi ou d’identifier des possibilités de formation continue. Certains d’entre eux travaillent aujourd’hui dans le centre, où ils offrent des visites guidées aux touristes et travaillent dans le restaurant, la boutique, les maisons d’hôtes, les camps de tentes en plein air et les pistes de vélo de montagne du centre. Le projet vise à bénéficier plus généralement à la communauté san en renforçant les capacités des projets touristiques locaux sur les nombreux sites ruraux où habitent actuellement les San. Il espère inspirer d’autres projets combinant tourisme, patrimoine et conservation de l’environnement afin de renforcer les initiatives autochtones dans les communautés isolées d’Afrique australe. </w:t>
      </w:r>
    </w:p>
    <w:p w14:paraId="734C7FF8" w14:textId="77777777" w:rsidR="00C26F11" w:rsidRPr="004E1ECC" w:rsidRDefault="00C26F11" w:rsidP="005812E8">
      <w:pPr>
        <w:pStyle w:val="Parabodytext"/>
        <w:rPr>
          <w:lang w:val="fr-FR"/>
        </w:rPr>
      </w:pPr>
      <w:r w:rsidRPr="004E1ECC">
        <w:rPr>
          <w:lang w:val="fr-FR"/>
        </w:rPr>
        <w:t>Lors de la création de !Khwa ttu, il a fallu choisir entre un emplacement plus proche des infrastructures touristiques actuelles et un emplacement plus proche des membres de la communauté dans les zones semi-arides de la province du Cap Nord en Afrique du Sud, en Namibie et au Botswana. Proche du Cap, le site choisi pour le projet est situé à proximité d’abris sous roche avec des peintures san, d’un parc de fossiles et de sites archéologiques dont certains sont visitables. Le site a été ouvert au public pour la première fois en 2006 et, douze ans plus tard, il a ouvert un Centre du patrimoine san. Les guides utilisent les expositions du Centre du patrimoine, avec des objets, des interviews, des cartes interactives et des récits de toute l’Afrique australe, pour communiquer la signification et la valeur du patrimoine des San. Les tarifs de l’offre touristique sont fixés de sorte à attirer les visiteurs locaux et étrangers. Le projet a attiré environ 20 000 visiteurs d’ici 2022, la majorité d’entre eux (70 %) venant d’Afrique du Sud.</w:t>
      </w:r>
    </w:p>
    <w:p w14:paraId="58D651B7" w14:textId="77777777" w:rsidR="00C26F11" w:rsidRPr="004E1ECC" w:rsidRDefault="00C26F11" w:rsidP="005812E8">
      <w:pPr>
        <w:pStyle w:val="Parabodytext"/>
        <w:rPr>
          <w:lang w:val="fr-FR"/>
        </w:rPr>
      </w:pPr>
      <w:r w:rsidRPr="004E1ECC">
        <w:rPr>
          <w:lang w:val="fr-FR"/>
        </w:rPr>
        <w:t xml:space="preserve">Le projet a commencé à former de jeunes San en 2005 et, en 2022, il accueillait une vingtaine d’apprentis par an, généralement pour six mois seulement en raison des contraintes liées à l’obtention des visas. Les diplômés du programme ne reçoivent pas de certification formelle, mais acquièrent des compétences et une expérience professionnelle au cours de ces stages, et on les aide à trouver un emploi ou à rechercher une formation complémentaire ou une certification. Les personnes qui travaillent par la suite au centre acquièrent des compétences en matière d’affaires et de gestion, dans le cadre du plan de succession visant à développer la gouvernance san de ce projet. La formation elle-même est permet de renforcer la cohésion de la communauté, puisqu’elle rassemble des personnes issues de différentes communautés san de la sous-région. Nashada Ndango, l’une des diplômées du programme qui travaille aujourd’hui comme guide touristique, a expliqué qu’outre les compétences et la confiance qu’elle a acquises grâce au programme, elle était ravie de rencontrer ses frères et sœurs d’autres communautés san, et de découvrir les différences et les similitudes de leur culture. </w:t>
      </w:r>
    </w:p>
    <w:p w14:paraId="3109C6CD" w14:textId="77777777" w:rsidR="00C26F11" w:rsidRPr="004E1ECC" w:rsidRDefault="00C26F11" w:rsidP="005812E8">
      <w:pPr>
        <w:pStyle w:val="Parabodytext"/>
        <w:rPr>
          <w:lang w:val="fr-FR"/>
        </w:rPr>
      </w:pPr>
      <w:r w:rsidRPr="004E1ECC">
        <w:rPr>
          <w:lang w:val="fr-FR"/>
        </w:rPr>
        <w:t xml:space="preserve">Le projet a développé des liens étroits entre les différentes activités sur le site. Par exemple, le restaurant, qui raconte l’histoire de l’héritage san à travers les aliments traditionnels et la connaissance des plantes, soutient les fournisseurs locaux et génère des revenus. Une période de réflexion et de planification pendant les confinements liés au COVID-19 a permis à l’équipe de planifier un abandon des fournisseurs commerciaux de nourriture et d’offrir un nouveau menu. Cette période a également permis de renforcer les liens entre les expositions du musée et les visites du site, par exemple dans le cadre de la visite « L’alimentation de nos ancêtres ». Le lien entre les membres de la communauté, les chercheurs et le personnel a été un aspect important de son succès, même si les San ont eu par le passé des expériences négatives avec des chercheurs qui n’avaient pas un comportement éthique. En mars 2017, le Conseil san sud-africain et d’autres parties prenantes ont ainsi publié un </w:t>
      </w:r>
      <w:hyperlink r:id="rId84" w:history="1">
        <w:r w:rsidRPr="004E1ECC">
          <w:rPr>
            <w:color w:val="0000FF" w:themeColor="hyperlink"/>
            <w:u w:val="single"/>
            <w:lang w:val="fr-FR"/>
          </w:rPr>
          <w:t>Code d’éthique de la recherche sur les San</w:t>
        </w:r>
      </w:hyperlink>
      <w:r w:rsidRPr="004E1ECC">
        <w:rPr>
          <w:lang w:val="fr-FR"/>
        </w:rPr>
        <w:t>, qui exige de tous les chercheurs s’intéressant aux communautés san qu’ils promettent de respecter quatre valeurs centrales, à savoir l’équité, le respect, l’attention et l’honnêteté, ainsi que de se conformer à un processus simple d’approbation de la communauté. Aujourd’hui, le personnel du Centre du patrimoine utilise un petit groupe informel de mails pour consulter les membres de la communauté et les chercheurs intéressés par le développement continu des expositions et des visites.</w:t>
      </w:r>
    </w:p>
    <w:p w14:paraId="5F1C80D6" w14:textId="77777777" w:rsidR="00C26F11" w:rsidRPr="004E1ECC" w:rsidRDefault="00C26F11" w:rsidP="005812E8">
      <w:pPr>
        <w:pStyle w:val="Parabodytext"/>
        <w:rPr>
          <w:lang w:val="fr-FR"/>
        </w:rPr>
      </w:pPr>
      <w:r w:rsidRPr="004E1ECC">
        <w:rPr>
          <w:lang w:val="fr-FR"/>
        </w:rPr>
        <w:t xml:space="preserve">Le transport des apprentis en provenance de nombreux endroits reste coûteux et ceux qui rentrent chez eux risquent de ne pas trouver beaucoup de débouchés dans les zones rurales. Le projet a donc conçu plusieurs activités de sensibilisation soutenant des initiatives éducatives et touristiques dans les communautés rurales san. Les artisans san du </w:t>
      </w:r>
      <w:hyperlink r:id="rId85" w:history="1">
        <w:r w:rsidRPr="004E1ECC">
          <w:rPr>
            <w:color w:val="0000FF" w:themeColor="hyperlink"/>
            <w:u w:val="single"/>
            <w:lang w:val="fr-FR"/>
          </w:rPr>
          <w:t>paysage culturel des ǂKhomani</w:t>
        </w:r>
      </w:hyperlink>
      <w:r w:rsidRPr="004E1ECC">
        <w:rPr>
          <w:lang w:val="fr-FR"/>
        </w:rPr>
        <w:t xml:space="preserve"> au Botswana et en Namibie sont soutenus par le projet, puisque le Centre leur achète des objets artisanaux, ainsi qu’à d’autres projets communautaires, pour les vendre dans la boutique. Le centre est en train de mettre en place un musée virtuel ! Khwa ttu qui comprendra des entretiens avec des membres de la communauté, des recherches et de la « littérature grise » sur le patrimoine san. Par ailleurs, il gère un programme pour les écoles, visant à renforcer l’éducation au patrimoine. Le Centre du patrimoine et les apprentis diplômés soutiennent des projets touristiques, patrimoniaux et muséaux dans les communautés, tels que le </w:t>
      </w:r>
      <w:hyperlink r:id="rId86" w:history="1">
        <w:r w:rsidRPr="004E1ECC">
          <w:rPr>
            <w:color w:val="0000FF" w:themeColor="hyperlink"/>
            <w:u w:val="single"/>
            <w:lang w:val="fr-FR"/>
          </w:rPr>
          <w:t>musée Khwe Living</w:t>
        </w:r>
      </w:hyperlink>
      <w:r w:rsidRPr="004E1ECC">
        <w:rPr>
          <w:lang w:val="fr-FR"/>
        </w:rPr>
        <w:t xml:space="preserve"> en Namibie et le </w:t>
      </w:r>
      <w:hyperlink r:id="rId87" w:history="1">
        <w:r w:rsidRPr="004E1ECC">
          <w:rPr>
            <w:color w:val="0000FF" w:themeColor="hyperlink"/>
            <w:u w:val="single"/>
            <w:lang w:val="fr-FR"/>
          </w:rPr>
          <w:t>Festival du désert du Kalahari</w:t>
        </w:r>
      </w:hyperlink>
      <w:r w:rsidRPr="004E1ECC">
        <w:rPr>
          <w:lang w:val="fr-FR"/>
        </w:rPr>
        <w:t>.</w:t>
      </w:r>
    </w:p>
    <w:p w14:paraId="2680D5FA" w14:textId="77777777" w:rsidR="00AB1A39" w:rsidRPr="004E1ECC" w:rsidRDefault="00AB1A39" w:rsidP="00496B28">
      <w:pPr>
        <w:pStyle w:val="LEVEL2"/>
      </w:pPr>
      <w:r w:rsidRPr="004E1ECC">
        <w:br w:type="page"/>
      </w:r>
    </w:p>
    <w:p w14:paraId="63876DD4" w14:textId="4C990C7C" w:rsidR="00C26F11" w:rsidRPr="004E1ECC" w:rsidRDefault="00C26F11" w:rsidP="00496B28">
      <w:pPr>
        <w:pStyle w:val="LEVEL2"/>
      </w:pPr>
      <w:bookmarkStart w:id="32" w:name="_Toc145504252"/>
      <w:bookmarkStart w:id="33" w:name="_Toc145504483"/>
      <w:r w:rsidRPr="004E1ECC">
        <w:t>Informations complémentaires</w:t>
      </w:r>
      <w:bookmarkEnd w:id="32"/>
      <w:bookmarkEnd w:id="33"/>
    </w:p>
    <w:p w14:paraId="6F0AEE7C" w14:textId="1F89BF8A" w:rsidR="00496B28" w:rsidRPr="004E1ECC" w:rsidRDefault="00C26F11" w:rsidP="0050103D">
      <w:pPr>
        <w:pStyle w:val="Parabodytext"/>
        <w:numPr>
          <w:ilvl w:val="0"/>
          <w:numId w:val="25"/>
        </w:numPr>
        <w:snapToGrid/>
        <w:ind w:left="357" w:hanging="357"/>
        <w:contextualSpacing/>
        <w:rPr>
          <w:lang w:val="fr-FR"/>
        </w:rPr>
      </w:pPr>
      <w:r w:rsidRPr="004E1ECC">
        <w:rPr>
          <w:lang w:val="fr-FR"/>
        </w:rPr>
        <w:t xml:space="preserve">Site Internet !Khwa tuu : </w:t>
      </w:r>
      <w:hyperlink r:id="rId88" w:history="1">
        <w:r w:rsidRPr="004E1ECC">
          <w:rPr>
            <w:color w:val="0000FF" w:themeColor="hyperlink"/>
            <w:u w:val="single"/>
            <w:lang w:val="fr-FR"/>
          </w:rPr>
          <w:t>https://www.khwattu.org/</w:t>
        </w:r>
      </w:hyperlink>
      <w:r w:rsidR="00915304" w:rsidRPr="004E1ECC">
        <w:rPr>
          <w:lang w:val="fr-FR"/>
        </w:rPr>
        <w:t> ;</w:t>
      </w:r>
    </w:p>
    <w:p w14:paraId="7E09775F" w14:textId="0BBD0F91" w:rsidR="00496B28" w:rsidRPr="004E1ECC" w:rsidRDefault="00C26F11" w:rsidP="0050103D">
      <w:pPr>
        <w:pStyle w:val="Parabodytext"/>
        <w:numPr>
          <w:ilvl w:val="0"/>
          <w:numId w:val="25"/>
        </w:numPr>
        <w:tabs>
          <w:tab w:val="clear" w:pos="567"/>
        </w:tabs>
        <w:snapToGrid/>
        <w:ind w:left="357" w:hanging="357"/>
        <w:contextualSpacing/>
        <w:rPr>
          <w:lang w:val="fr-FR"/>
        </w:rPr>
      </w:pPr>
      <w:r w:rsidRPr="004E1ECC">
        <w:rPr>
          <w:lang w:val="fr-FR"/>
        </w:rPr>
        <w:t xml:space="preserve">Paysage culturel des ǂKhomani : </w:t>
      </w:r>
      <w:hyperlink r:id="rId89" w:history="1">
        <w:r w:rsidRPr="004E1ECC">
          <w:rPr>
            <w:color w:val="0000FF" w:themeColor="hyperlink"/>
            <w:u w:val="single"/>
            <w:lang w:val="fr-FR"/>
          </w:rPr>
          <w:t>https://whc.unesco.org/fr/list/1545/</w:t>
        </w:r>
      </w:hyperlink>
      <w:r w:rsidRPr="004E1ECC">
        <w:rPr>
          <w:lang w:val="fr-FR"/>
        </w:rPr>
        <w:t xml:space="preserve"> </w:t>
      </w:r>
      <w:bookmarkStart w:id="34" w:name="_Hlk115959283"/>
    </w:p>
    <w:p w14:paraId="2EFDFD1B" w14:textId="77777777" w:rsidR="00915304" w:rsidRPr="004E1ECC" w:rsidRDefault="00915304" w:rsidP="00496B28">
      <w:pPr>
        <w:pStyle w:val="TOCHeading"/>
      </w:pPr>
      <w:r w:rsidRPr="004E1ECC">
        <w:br w:type="page"/>
      </w:r>
    </w:p>
    <w:p w14:paraId="1E9F2398" w14:textId="6F0F09F5" w:rsidR="00C26F11" w:rsidRPr="004E1ECC" w:rsidRDefault="00C26F11" w:rsidP="000610D3">
      <w:pPr>
        <w:pStyle w:val="TOCHeading"/>
        <w:jc w:val="left"/>
      </w:pPr>
      <w:bookmarkStart w:id="35" w:name="_Toc145504484"/>
      <w:r w:rsidRPr="004E1ECC">
        <w:t>Un maître, mille maîtres (Bir Usta Bin Usta) projet (Türkiye)</w:t>
      </w:r>
      <w:r w:rsidRPr="004E1ECC">
        <w:rPr>
          <w:vertAlign w:val="superscript"/>
        </w:rPr>
        <w:footnoteReference w:id="30"/>
      </w:r>
      <w:bookmarkEnd w:id="35"/>
    </w:p>
    <w:p w14:paraId="5A255369" w14:textId="77777777" w:rsidR="00C26F11" w:rsidRPr="004E1ECC" w:rsidRDefault="00C26F11" w:rsidP="00E46F3E">
      <w:pPr>
        <w:pStyle w:val="Parabodytext"/>
        <w:rPr>
          <w:lang w:val="fr-FR"/>
        </w:rPr>
      </w:pPr>
      <w:r w:rsidRPr="004E1ECC">
        <w:rPr>
          <w:lang w:val="fr-FR"/>
        </w:rPr>
        <w:t>Les partenariats public-privé favorisent la sauvegarde du PCI en aidant les maîtres artisans à transmettre leurs compétences patrimoniales aux jeunes entrepreneurs, qui créent de nouvelles entreprises basées sur ces compétences.</w:t>
      </w:r>
    </w:p>
    <w:p w14:paraId="64FDD123" w14:textId="77777777" w:rsidR="00C26F11" w:rsidRPr="004E1ECC" w:rsidRDefault="00C26F11" w:rsidP="00E46F3E">
      <w:pPr>
        <w:pStyle w:val="Parabodytext"/>
        <w:rPr>
          <w:lang w:val="fr-FR"/>
        </w:rPr>
      </w:pPr>
      <w:r w:rsidRPr="004E1ECC">
        <w:rPr>
          <w:lang w:val="fr-FR"/>
        </w:rPr>
        <w:t xml:space="preserve">Le projet « Un maître, mille maîtres » (Bir Usta Bin Usta), mis en œuvre entre 2010 et 2019 dans le cadre d’un partenariat public-privé, a favorisé la sauvegarde des compétences du patrimoine culturel immatériel en aidant les maîtres d’un certain nombre de métiers en péril à former de nouveaux apprentis. Environ 1 000 apprentis ont été formés dans le cadre de 50 cours professionnels organisés dans 44 villes en dix ans. Le projet a permis d’aider de nouveaux détenteurs de pratiques artisanales en péril à gagner leur vie grâce à leur art, et donc de préserver la viabilité du patrimoine. </w:t>
      </w:r>
    </w:p>
    <w:p w14:paraId="784D1E6D" w14:textId="77777777" w:rsidR="00C26F11" w:rsidRPr="004E1ECC" w:rsidRDefault="00C26F11" w:rsidP="00E46F3E">
      <w:pPr>
        <w:pStyle w:val="Parabodytext"/>
        <w:rPr>
          <w:lang w:val="fr-FR"/>
        </w:rPr>
      </w:pPr>
      <w:r w:rsidRPr="004E1ECC">
        <w:rPr>
          <w:lang w:val="fr-FR"/>
        </w:rPr>
        <w:t>Il s’agissait d’un partenariat public-privé entre le ministère de la Culture et du tourisme, des ONG et une compagnie d’assurance privée, Anadolu Sigorta, travaillant sans but lucratif. Le ministère a fourni une assistance technique, tandis que les Directions provinciales de la culture et du tourisme ont coordonné les cours dans les villes sélectionnées. Les ONG ont organisé les cours et les formateurs ont déterminé le contenu et la méthodologie des cours. Anadolu Sigorta a apporté un soutien financier et a coordonné la communication sur le projet. İZ TV, une chaîne documentaire nationale, a produit un film documentaire sur les métiers abordés par le projet, ainsi qu’un album photographique des cours. Le projet a remporté de nombreux prix depuis 2012, dont le Prix de la coopération durable de PRIDA (2019).</w:t>
      </w:r>
    </w:p>
    <w:p w14:paraId="41953F52" w14:textId="77777777" w:rsidR="00C26F11" w:rsidRPr="004E1ECC" w:rsidRDefault="00C26F11" w:rsidP="00094711">
      <w:pPr>
        <w:pStyle w:val="Parabodytext"/>
        <w:rPr>
          <w:lang w:val="fr-FR"/>
        </w:rPr>
      </w:pPr>
      <w:r w:rsidRPr="004E1ECC">
        <w:rPr>
          <w:lang w:val="fr-FR"/>
        </w:rPr>
        <w:t>Lors de la mise en place du projet, les comités locaux du PCI ont soumis au ministère des évaluations des besoins en matière de sauvegarde, basées sur la consultation des communautés, des détenteurs et des ONG. C’est ensuite le ministère qui s’est chargé de choisir les priorités du projet, l’artisanat traditionnel, les villes et les formateurs. Les branches de l’artisanat traditionnel ont été sélectionnées parmi les éléments inscrits à l’inventaire national du PCI de Türkiye. Parmi les métiers et les régions couverts par le projet, nous pouvons citer l’art Edirnekâri (peinture et vernissage traditionnels du bois ou du cuir) à Edirne, le tissage Kutnu (tissu traditionnel à base de soie) à Gaziantep, le soufflage de verre à Muğla, le travail de la pierre d’Oltu à Erzurum, la fabrication traditionnelle de bottes en accordéon à Aydın, la fabrication de cornemuses à Artvin, et la fabrication de tuiles à Kütahya.</w:t>
      </w:r>
    </w:p>
    <w:p w14:paraId="15AB1338" w14:textId="77777777" w:rsidR="00C26F11" w:rsidRPr="004E1ECC" w:rsidRDefault="00C26F11" w:rsidP="00094711">
      <w:pPr>
        <w:pStyle w:val="Parabodytext"/>
        <w:rPr>
          <w:lang w:val="fr-FR"/>
        </w:rPr>
      </w:pPr>
      <w:r w:rsidRPr="004E1ECC">
        <w:rPr>
          <w:lang w:val="fr-FR"/>
        </w:rPr>
        <w:t>Les formateurs ont été choisis parmi les maîtres figurant sur des listes de détenteurs appelées « Trésors humains vivants », et des listes de détenteurs et de praticiens de cartes du PCI. Une attention particulière a été accordée à la sélection de lieux de formation adaptés et accessibles. Quinze à vingt apprentis ont été choisis pour chaque métier et ont reçu des sessions de formation gratuites à des intervalles de trois à six mois. Les apprentis, âgés de 15 à 55 ans, sont issus de milieux divers : étudiants, enseignants, sculpteurs, peintres, professeurs d’art, animateurs, chercheurs, fonctionnaires, femmes au foyer, retraités, etc. Un certificat de participation a été remis par le ministère de l’Education à tous les apprentis qui ont suivi le cours jusqu’à son terme. Un accord de microcrédit a été négocié avec İşBank dans le cadre du projet afin que les apprentis fraîchement émoulus puissent plus facilement créer leur propre entreprise pour gagner leur vie en utilisant leurs compétences. Anadolu Sigorta a soutenu les petites entreprises en achetant des cadeaux d’entreprise à partir de leurs produits et en promouvant leur artisanat auprès de partenaires commerciaux à l’échelle internationale. Le projet a donc offert de nouvelles possibilités d’emploi et contribué à réduire le chômage.</w:t>
      </w:r>
    </w:p>
    <w:p w14:paraId="5F0D0A6F" w14:textId="77777777" w:rsidR="00C26F11" w:rsidRPr="004E1ECC" w:rsidRDefault="00C26F11" w:rsidP="00094711">
      <w:pPr>
        <w:pStyle w:val="LEVEL2"/>
      </w:pPr>
      <w:bookmarkStart w:id="36" w:name="_Toc145504254"/>
      <w:bookmarkStart w:id="37" w:name="_Toc145504485"/>
      <w:r w:rsidRPr="004E1ECC">
        <w:t>Informations complémentaires</w:t>
      </w:r>
      <w:bookmarkEnd w:id="36"/>
      <w:bookmarkEnd w:id="37"/>
    </w:p>
    <w:p w14:paraId="12561BEB" w14:textId="77777777" w:rsidR="00C26F11" w:rsidRPr="004E1ECC" w:rsidRDefault="004D4868" w:rsidP="0050103D">
      <w:pPr>
        <w:pStyle w:val="Parabodytext"/>
        <w:numPr>
          <w:ilvl w:val="0"/>
          <w:numId w:val="34"/>
        </w:numPr>
        <w:tabs>
          <w:tab w:val="clear" w:pos="567"/>
        </w:tabs>
        <w:snapToGrid/>
        <w:ind w:left="357" w:hanging="357"/>
        <w:contextualSpacing/>
        <w:rPr>
          <w:rFonts w:cstheme="minorHAnsi"/>
          <w:lang w:val="fr-FR"/>
        </w:rPr>
      </w:pPr>
      <w:hyperlink r:id="rId90" w:history="1">
        <w:r w:rsidR="00C26F11" w:rsidRPr="004E1ECC">
          <w:rPr>
            <w:rFonts w:cstheme="minorHAnsi"/>
            <w:color w:val="0000FF" w:themeColor="hyperlink"/>
            <w:u w:val="single"/>
            <w:lang w:val="fr-FR"/>
          </w:rPr>
          <w:t>https://www.birustabinusta.com.tr/en/one-master-thousand-masters</w:t>
        </w:r>
      </w:hyperlink>
      <w:r w:rsidR="00C26F11" w:rsidRPr="004E1ECC">
        <w:rPr>
          <w:rFonts w:cstheme="minorHAnsi"/>
          <w:lang w:val="fr-FR"/>
        </w:rPr>
        <w:t xml:space="preserve"> </w:t>
      </w:r>
    </w:p>
    <w:p w14:paraId="0C79C6D0" w14:textId="77777777" w:rsidR="00C26F11" w:rsidRPr="004E1ECC" w:rsidRDefault="004D4868" w:rsidP="0050103D">
      <w:pPr>
        <w:pStyle w:val="Parabodytext"/>
        <w:numPr>
          <w:ilvl w:val="0"/>
          <w:numId w:val="34"/>
        </w:numPr>
        <w:tabs>
          <w:tab w:val="clear" w:pos="567"/>
        </w:tabs>
        <w:snapToGrid/>
        <w:ind w:left="357" w:hanging="357"/>
        <w:contextualSpacing/>
        <w:rPr>
          <w:rFonts w:cstheme="minorHAnsi"/>
          <w:lang w:val="fr-FR"/>
        </w:rPr>
      </w:pPr>
      <w:hyperlink r:id="rId91" w:history="1">
        <w:r w:rsidR="00C26F11" w:rsidRPr="004E1ECC">
          <w:rPr>
            <w:rFonts w:cstheme="minorHAnsi"/>
            <w:color w:val="0000FF" w:themeColor="hyperlink"/>
            <w:u w:val="single"/>
            <w:lang w:val="fr-FR"/>
          </w:rPr>
          <w:t>https://sdgs.un.org/partnerships/bir-usta-bin-usta-one-master-thousand-masters</w:t>
        </w:r>
      </w:hyperlink>
      <w:r w:rsidR="00C26F11" w:rsidRPr="004E1ECC">
        <w:rPr>
          <w:rFonts w:cstheme="minorHAnsi"/>
          <w:lang w:val="fr-FR"/>
        </w:rPr>
        <w:t xml:space="preserve"> </w:t>
      </w:r>
    </w:p>
    <w:bookmarkEnd w:id="34"/>
    <w:p w14:paraId="36CCD522" w14:textId="77777777" w:rsidR="00C26F11" w:rsidRPr="004E1ECC" w:rsidRDefault="00C26F11" w:rsidP="0050103D">
      <w:pPr>
        <w:pStyle w:val="Parabodytext"/>
        <w:numPr>
          <w:ilvl w:val="0"/>
          <w:numId w:val="34"/>
        </w:numPr>
        <w:tabs>
          <w:tab w:val="clear" w:pos="567"/>
        </w:tabs>
        <w:snapToGrid/>
        <w:ind w:left="357" w:hanging="357"/>
        <w:contextualSpacing/>
        <w:rPr>
          <w:rFonts w:cstheme="minorHAnsi"/>
        </w:rPr>
      </w:pPr>
      <w:r w:rsidRPr="004E1ECC">
        <w:rPr>
          <w:rFonts w:cstheme="minorHAnsi"/>
          <w:lang w:val="fr-FR"/>
        </w:rPr>
        <w:t xml:space="preserve"> </w:t>
      </w:r>
      <w:hyperlink r:id="rId92" w:history="1">
        <w:r w:rsidRPr="004E1ECC">
          <w:rPr>
            <w:rFonts w:cstheme="minorHAnsi"/>
            <w:color w:val="0000FF" w:themeColor="hyperlink"/>
            <w:u w:val="single"/>
          </w:rPr>
          <w:t>https://youtu.be/7pqn3sEnTj4</w:t>
        </w:r>
      </w:hyperlink>
      <w:r w:rsidRPr="004E1ECC">
        <w:rPr>
          <w:rFonts w:cstheme="minorHAnsi"/>
        </w:rPr>
        <w:t xml:space="preserve"> </w:t>
      </w:r>
    </w:p>
    <w:p w14:paraId="5EA424FF" w14:textId="0D281785" w:rsidR="008A6E55" w:rsidRPr="004E1ECC" w:rsidRDefault="008A6E55" w:rsidP="00124141">
      <w:pPr>
        <w:pStyle w:val="TOCHeading"/>
      </w:pPr>
      <w:bookmarkStart w:id="38" w:name="_Toc145504486"/>
      <w:r w:rsidRPr="004E1ECC">
        <w:t>Divers facteurs économiques affectant la sauvegarde : culture du henné, pratiques culturelles et peinture corporelle (Yémen)</w:t>
      </w:r>
      <w:r w:rsidRPr="004E1ECC">
        <w:rPr>
          <w:vertAlign w:val="superscript"/>
        </w:rPr>
        <w:footnoteReference w:id="31"/>
      </w:r>
      <w:bookmarkEnd w:id="38"/>
    </w:p>
    <w:p w14:paraId="5A2C242D" w14:textId="77777777" w:rsidR="008A6E55" w:rsidRPr="004E1ECC" w:rsidRDefault="008A6E55" w:rsidP="00A45669">
      <w:pPr>
        <w:pStyle w:val="Parabodytext"/>
        <w:rPr>
          <w:lang w:val="fr-FR"/>
        </w:rPr>
      </w:pPr>
      <w:r w:rsidRPr="004E1ECC">
        <w:rPr>
          <w:lang w:val="fr-FR"/>
        </w:rPr>
        <w:t>Les pratiques en matière de PCI sont fréquemment affectées par des facteurs économiques tout au long de la chaîne de valeur, de la production agricole générant les matières premières à la distribution des produits finaux. L’évolution du contexte socio-économique et le rôle du PCI dans le soutien des moyens de subsistance doivent être pris en compte dans la détermination des actions et des priorités de sauvegarde.</w:t>
      </w:r>
    </w:p>
    <w:p w14:paraId="6A74AE82" w14:textId="77777777" w:rsidR="008A6E55" w:rsidRPr="004E1ECC" w:rsidRDefault="008A6E55" w:rsidP="00A45669">
      <w:pPr>
        <w:pStyle w:val="Parabodytext"/>
        <w:rPr>
          <w:lang w:val="fr-FR"/>
        </w:rPr>
      </w:pPr>
      <w:r w:rsidRPr="004E1ECC">
        <w:rPr>
          <w:lang w:val="fr-FR"/>
        </w:rPr>
        <w:t>Les régions de Taïz, Yafaa, Tihama, Lahj et Abyan au Yémen sont réputées pour la culture du henné. Les feuilles, séchées puis réduites en poudre, sont à l’origine d’une teinture brun-rouge appelée « henné ». Malgré les ravages causés par la guerre, les déplacements et la dégradation des conditions de vie, les Yéménites continuent à respecter les événements du cycle de vie, à organiser des célébrations et à s’acquitter de leurs obligations sociales. Bien que ces festivités soient devenues plus modestes et plus courtes en période de guerre, les rituels du henné restent très importants pour un grand nombre de Yéménites de tous horizons et de tous âges. La culture du henné, les pratiques culturelles et la peinture corporelle sont donc un aspect important du patrimoine culturel immatériel, ainsi qu’une expression de la résilience</w:t>
      </w:r>
      <w:r w:rsidRPr="004E1ECC">
        <w:rPr>
          <w:vertAlign w:val="superscript"/>
        </w:rPr>
        <w:footnoteReference w:id="32"/>
      </w:r>
      <w:r w:rsidRPr="004E1ECC">
        <w:rPr>
          <w:lang w:val="fr-FR"/>
        </w:rPr>
        <w:t>. La culture et l’utilisation du henné offrent également d’importantes opportunités économiques aux populations locales.</w:t>
      </w:r>
    </w:p>
    <w:p w14:paraId="19579B1A" w14:textId="77777777" w:rsidR="008A6E55" w:rsidRPr="004E1ECC" w:rsidRDefault="008A6E55" w:rsidP="00A45669">
      <w:pPr>
        <w:pStyle w:val="Parabodytext"/>
        <w:rPr>
          <w:lang w:val="fr-FR"/>
        </w:rPr>
      </w:pPr>
      <w:r w:rsidRPr="004E1ECC">
        <w:rPr>
          <w:lang w:val="fr-FR"/>
        </w:rPr>
        <w:t>La population yéménite utilise le henné dans la vie courante, pour l’art corporel temporaire et pour teindre le cuir, à des fins médicinales ou autres, et dans les rituels lors des fêtes et des rites de passage</w:t>
      </w:r>
      <w:r w:rsidRPr="004E1ECC">
        <w:rPr>
          <w:vertAlign w:val="superscript"/>
        </w:rPr>
        <w:footnoteReference w:id="33"/>
      </w:r>
      <w:r w:rsidRPr="004E1ECC">
        <w:rPr>
          <w:lang w:val="fr-FR"/>
        </w:rPr>
        <w:t>. Se distinguant par sa couleur rouge foncé, le henné est utilisé comme teinture pour la paume des mains et des pieds, ou pour les cheveux et la barbe. Sur le plan médical, il est utilisé pour traiter les problèmes de cuir chevelu, les pieds crevassés, les maux de tête ou les brûlures d’estomac. Il sert par ailleurs à soigner les blessures mineures ou les maladies de la peau telles que l’acné. Mélangé à d’autres ingrédients et appliqué sur le corps, il rend la peau brillante et lisse</w:t>
      </w:r>
      <w:r w:rsidRPr="004E1ECC">
        <w:rPr>
          <w:vertAlign w:val="superscript"/>
        </w:rPr>
        <w:footnoteReference w:id="34"/>
      </w:r>
      <w:r w:rsidRPr="004E1ECC">
        <w:rPr>
          <w:lang w:val="fr-FR"/>
        </w:rPr>
        <w:t>. Le henné a également une signification religieuse, puisqu’il aurait été utilisé par le prophète Mahomet pour teindre sa barbe et sa tête</w:t>
      </w:r>
      <w:r w:rsidRPr="004E1ECC">
        <w:rPr>
          <w:vertAlign w:val="superscript"/>
        </w:rPr>
        <w:footnoteReference w:id="35"/>
      </w:r>
      <w:r w:rsidRPr="004E1ECC">
        <w:rPr>
          <w:lang w:val="fr-FR"/>
        </w:rPr>
        <w:t>. Les Yéménites continuent d’en utiliser lors des célébrations religieuses et des mariages, où il permet de bénir les mariés en leur apportant chance, santé et fertilité, et de les protéger de tout mal. La teinture orange au henné laissée sur le corps symbolise la récente union du couple. Le « jour du henné », avant le mariage, les membres de la famille aident les époux</w:t>
      </w:r>
      <w:r w:rsidRPr="004E1ECC">
        <w:rPr>
          <w:vertAlign w:val="superscript"/>
        </w:rPr>
        <w:footnoteReference w:id="36"/>
      </w:r>
      <w:r w:rsidRPr="004E1ECC">
        <w:rPr>
          <w:lang w:val="fr-FR"/>
        </w:rPr>
        <w:t xml:space="preserve"> à préparer la pâte de henné et à l’étaler sur leurs paumes. Pour la mariée, une artiste du henné crée des motifs plus détaillés sur ses mains, ses pieds et son visage, tandis que d’autres femmes chantent des chansons yéménites sur la transition vers le statut de femme mariée. Lors de la cérémonie du mariage, la famille et les amis étalent de la pâte de henné sur les paumes des mains et des pieds des mariés. Le henné fait également partie des rituels funéraires. Dans certaines régions du Yémen, les morts sont lavés avec de l’eau mélangée à du henné et des feuilles de henné sont parfois placées dans le linceul et dans la tombe</w:t>
      </w:r>
      <w:r w:rsidRPr="004E1ECC">
        <w:rPr>
          <w:vertAlign w:val="superscript"/>
        </w:rPr>
        <w:footnoteReference w:id="37"/>
      </w:r>
      <w:r w:rsidRPr="004E1ECC">
        <w:rPr>
          <w:lang w:val="fr-FR"/>
        </w:rPr>
        <w:t xml:space="preserve">. Les Yéménites pensent que cela aide le défunt à entrer au paradis. Lorsque le henné est appliqué sur les mains et les pieds, l’art décoratif est appelé </w:t>
      </w:r>
      <w:r w:rsidRPr="004E1ECC">
        <w:rPr>
          <w:i/>
          <w:lang w:val="fr-FR"/>
        </w:rPr>
        <w:t xml:space="preserve">naqsh </w:t>
      </w:r>
      <w:r w:rsidRPr="004E1ECC">
        <w:rPr>
          <w:lang w:val="fr-FR"/>
        </w:rPr>
        <w:t xml:space="preserve">(gravure). Chaque région du Yémen possède ses propres motifs de </w:t>
      </w:r>
      <w:r w:rsidRPr="004E1ECC">
        <w:rPr>
          <w:i/>
          <w:lang w:val="fr-FR"/>
        </w:rPr>
        <w:t>naqsh</w:t>
      </w:r>
      <w:r w:rsidRPr="004E1ECC">
        <w:rPr>
          <w:lang w:val="fr-FR"/>
        </w:rPr>
        <w:t>, qui rappellent souvent les ornements sur les bâtiments ainsi que les motifs de broderie des robes locales.</w:t>
      </w:r>
    </w:p>
    <w:p w14:paraId="50E6012C" w14:textId="77777777" w:rsidR="008A6E55" w:rsidRPr="004E1ECC" w:rsidRDefault="008A6E55" w:rsidP="00A45669">
      <w:pPr>
        <w:pStyle w:val="Parabodytext"/>
        <w:rPr>
          <w:rtl/>
        </w:rPr>
      </w:pPr>
      <w:r w:rsidRPr="004E1ECC">
        <w:rPr>
          <w:lang w:val="fr-FR"/>
        </w:rPr>
        <w:t xml:space="preserve">Pour les occasions spéciales, les artistes du henné, appelés </w:t>
      </w:r>
      <w:r w:rsidRPr="004E1ECC">
        <w:rPr>
          <w:i/>
          <w:lang w:val="fr-FR"/>
        </w:rPr>
        <w:t>munqicha</w:t>
      </w:r>
      <w:r w:rsidRPr="004E1ECC">
        <w:rPr>
          <w:lang w:val="fr-FR"/>
        </w:rPr>
        <w:t xml:space="preserve"> ou graveurs, sont employés pour peindre le corps. Ces personnes, qui sont généralement des femmes, tirent un revenu de ce travail. À cause de la guerre, il y a beaucoup plus de ménages dirigés par des femmes au Yémen, et davantage d’entre elles ont été obligées d’entrer sur le marché du travail en raison du décès ou de l’absence de leur partenaire, pour des raisons financières ou suite à un déplacement forcé. En 2022, le Yémen comptait 4,4 millions de personnes déplacées à l’intérieur du pays, sur une population de plus de 30 millions d’habitants</w:t>
      </w:r>
      <w:r w:rsidRPr="004E1ECC">
        <w:rPr>
          <w:vertAlign w:val="superscript"/>
          <w:lang w:eastAsia="en-GB"/>
        </w:rPr>
        <w:footnoteReference w:id="38"/>
      </w:r>
      <w:r w:rsidRPr="004E1ECC">
        <w:rPr>
          <w:lang w:val="fr-FR"/>
        </w:rPr>
        <w:t>. Comme de nombreuses femmes à la recherche d’un emploi manquent d’éducation, de compétences et d’expérience, les agences humanitaires et les ONG ont organisé des formations pour elles dans des domaines tels que la couture, l’artisanat, la coiffure et le henné</w:t>
      </w:r>
      <w:r w:rsidRPr="004E1ECC">
        <w:rPr>
          <w:vertAlign w:val="superscript"/>
        </w:rPr>
        <w:footnoteReference w:id="39"/>
      </w:r>
      <w:r w:rsidRPr="004E1ECC">
        <w:rPr>
          <w:lang w:val="fr-FR"/>
        </w:rPr>
        <w:t>. Ces secteurs professionnels, traditionnellement occupés par des femmes, s’apprennent rapidement et permettent à ces dernières de créer sous peu une entreprise pour gagner leur vie. Si certains rapports sont très optimistes quant aux résultats de ces formations, l’une des difficultés réside dans le fait que le marché des biens ou des services proposés est facilement saturé par l’augmentation du nombre d’apprenties</w:t>
      </w:r>
      <w:r w:rsidRPr="004E1ECC">
        <w:rPr>
          <w:vertAlign w:val="superscript"/>
        </w:rPr>
        <w:footnoteReference w:id="40"/>
      </w:r>
      <w:r w:rsidRPr="004E1ECC">
        <w:rPr>
          <w:lang w:val="fr-FR"/>
        </w:rPr>
        <w:t>. L’art du henné est aujourd’hui pratiqué par un plus grand nombre de femmes, qui travaillent chez des graveurs spécialisés, mais aussi dans des salons de coiffure</w:t>
      </w:r>
      <w:r w:rsidRPr="004E1ECC">
        <w:rPr>
          <w:vertAlign w:val="superscript"/>
        </w:rPr>
        <w:footnoteReference w:id="41"/>
      </w:r>
      <w:r w:rsidRPr="004E1ECC">
        <w:rPr>
          <w:lang w:val="fr-FR"/>
        </w:rPr>
        <w:t>. Si la transmission des compétences a contribué à sa sauvegarde, la pratique évolue également en raison de l’élargissement de la base des praticiens, dont beaucoup viennent tout juste d’acquérir ces compétences. Des modèles en plastique ou en papier sont désormais vendus sur les marchés : les clients doivent choisir celui qui correspond à leurs envies</w:t>
      </w:r>
      <w:r w:rsidRPr="004E1ECC">
        <w:rPr>
          <w:vertAlign w:val="superscript"/>
        </w:rPr>
        <w:footnoteReference w:id="42"/>
      </w:r>
      <w:r w:rsidRPr="004E1ECC">
        <w:rPr>
          <w:lang w:val="fr-FR"/>
        </w:rPr>
        <w:t xml:space="preserve">. </w:t>
      </w:r>
    </w:p>
    <w:p w14:paraId="22C7CED3" w14:textId="77777777" w:rsidR="008A6E55" w:rsidRPr="004E1ECC" w:rsidRDefault="008A6E55" w:rsidP="00A45669">
      <w:pPr>
        <w:pStyle w:val="Parabodytext"/>
        <w:rPr>
          <w:lang w:val="fr-FR"/>
        </w:rPr>
      </w:pPr>
      <w:r w:rsidRPr="004E1ECC">
        <w:rPr>
          <w:lang w:val="fr-FR"/>
        </w:rPr>
        <w:t>De par sa signification culturelle et son utilisation comme cosmétique et teinture, la culture et la commercialisation du henné offrent des opportunités économiques aux agriculteurs du Yémen. Ces cultures, qui revêtent une importance capitale pour les communautés rurales, sont souvent négligées par les agences de développement au profit des grandes cultures de base. Cependant, elles sont souvent mieux adaptées aux environnements fragiles et marginaux et améliorent la biodiversité des exploitations. Au milieu des années 2000, Biodiversity International, le ministère de l’Agriculture du Yémen et l’Autorité yéménite de recherche et de vulgarisation agricoles ont travaillé avec les communautés locales sur 13 sites répartis dans trois zones écologiques différentes afin d’aider les agriculteurs à améliorer la culture du henné et d’autres cultures « mineures ». Ce projet a permis de documenter les connaissances traditionnelles, d’améliorer l’approvisionnement en semences et d’augmenter les rendements grâce à diverses interventions. Cependant, malgré l’augmentation du nombre d’agriculteurs cultivant le henné, les revenus tirés des ventes de henné sur le marché ont en fait diminué pendant et après le projet, car davantage de henné était vendu localement sous forme de feuilles fraîches, et moins de henné était séché et exporté</w:t>
      </w:r>
      <w:r w:rsidRPr="004E1ECC">
        <w:rPr>
          <w:vertAlign w:val="superscript"/>
        </w:rPr>
        <w:footnoteReference w:id="43"/>
      </w:r>
      <w:r w:rsidRPr="004E1ECC">
        <w:rPr>
          <w:lang w:val="fr-FR"/>
        </w:rPr>
        <w:t>. Le maintien d’un juste équilibre entre les importations et les exportations reste un élément clé pour garantir que les agriculteurs locaux, ainsi que les communautés locales, bénéficient de la production de henné et la maintiennent. En 2022, le Yémen restait néanmoins le plus grand importateur de henné au monde</w:t>
      </w:r>
      <w:r w:rsidRPr="004E1ECC">
        <w:rPr>
          <w:vertAlign w:val="superscript"/>
        </w:rPr>
        <w:footnoteReference w:id="44"/>
      </w:r>
      <w:r w:rsidRPr="004E1ECC">
        <w:rPr>
          <w:lang w:val="fr-FR"/>
        </w:rPr>
        <w:t>. Il a été très difficile pour les producteurs locaux de henné de rester compétitifs sur un marché caractérisé par des niveaux élevés de henné importé et de teintures et couleurs industrielles.</w:t>
      </w:r>
    </w:p>
    <w:p w14:paraId="66564652" w14:textId="77777777" w:rsidR="008A6E55" w:rsidRPr="004E1ECC" w:rsidRDefault="008A6E55" w:rsidP="00A45669">
      <w:pPr>
        <w:pStyle w:val="LEVEL2"/>
      </w:pPr>
      <w:bookmarkStart w:id="39" w:name="_Toc145504256"/>
      <w:bookmarkStart w:id="40" w:name="_Toc145504487"/>
      <w:r w:rsidRPr="004E1ECC">
        <w:t>Informations complémentaires</w:t>
      </w:r>
      <w:bookmarkEnd w:id="39"/>
      <w:bookmarkEnd w:id="40"/>
    </w:p>
    <w:p w14:paraId="5CE80A9F" w14:textId="77777777" w:rsidR="00A45669" w:rsidRPr="004E1ECC" w:rsidRDefault="008A6E55" w:rsidP="0050103D">
      <w:pPr>
        <w:pStyle w:val="Parabodytext"/>
        <w:numPr>
          <w:ilvl w:val="0"/>
          <w:numId w:val="36"/>
        </w:numPr>
        <w:tabs>
          <w:tab w:val="clear" w:pos="567"/>
        </w:tabs>
        <w:snapToGrid/>
        <w:ind w:left="357" w:hanging="357"/>
        <w:contextualSpacing/>
        <w:jc w:val="left"/>
        <w:rPr>
          <w:u w:val="single"/>
          <w:lang w:val="fr-FR"/>
        </w:rPr>
      </w:pPr>
      <w:r w:rsidRPr="004E1ECC">
        <w:rPr>
          <w:lang w:val="fr-FR"/>
        </w:rPr>
        <w:t xml:space="preserve">GIZ news, « Displaced women in Yemen: success through henna art » [Femmes déplacées au Yémen : réussir grâce à l’art du henné], 2022. Voir : </w:t>
      </w:r>
      <w:hyperlink r:id="rId93" w:history="1">
        <w:r w:rsidR="00A45669" w:rsidRPr="004E1ECC">
          <w:rPr>
            <w:rStyle w:val="Hyperlink"/>
            <w:lang w:val="fr-FR"/>
          </w:rPr>
          <w:t>https://www.giz.de/en/mediacenter/110638.html</w:t>
        </w:r>
      </w:hyperlink>
    </w:p>
    <w:p w14:paraId="79921DB8" w14:textId="6DB892E3" w:rsidR="008A6E55" w:rsidRPr="004E1ECC" w:rsidRDefault="008A6E55" w:rsidP="0050103D">
      <w:pPr>
        <w:pStyle w:val="Parabodytext"/>
        <w:numPr>
          <w:ilvl w:val="0"/>
          <w:numId w:val="36"/>
        </w:numPr>
        <w:tabs>
          <w:tab w:val="clear" w:pos="567"/>
        </w:tabs>
        <w:snapToGrid/>
        <w:ind w:left="357" w:hanging="357"/>
        <w:contextualSpacing/>
        <w:jc w:val="left"/>
        <w:rPr>
          <w:u w:val="single"/>
          <w:lang w:val="fr-FR"/>
        </w:rPr>
      </w:pPr>
      <w:r w:rsidRPr="004E1ECC">
        <w:rPr>
          <w:lang w:val="fr-FR"/>
        </w:rPr>
        <w:t>UNICEF, Programme d’évaluation du marché IMSEA pour identifier les opportunités de micro-entreprises viables pour les groupes les plus pauvres et marginalisés dans les gouvernorats d’Amanat al Assimah et de Sana'a :</w:t>
      </w:r>
      <w:r w:rsidRPr="004E1ECC">
        <w:rPr>
          <w:color w:val="0000FF"/>
          <w:u w:val="single"/>
          <w:lang w:val="fr-FR"/>
        </w:rPr>
        <w:t xml:space="preserve"> </w:t>
      </w:r>
      <w:hyperlink r:id="rId94" w:history="1">
        <w:r w:rsidRPr="004E1ECC">
          <w:rPr>
            <w:color w:val="0000FF" w:themeColor="hyperlink"/>
            <w:u w:val="single"/>
            <w:lang w:val="fr-FR"/>
          </w:rPr>
          <w:t>https://www.unicef.org/yemen/media/4061/file/IMSEA%20Market%20Assessment%20Report%20English%20Version.pdf</w:t>
        </w:r>
      </w:hyperlink>
    </w:p>
    <w:p w14:paraId="1A1E6089" w14:textId="0EC77AF4" w:rsidR="00915304" w:rsidRPr="004E1ECC" w:rsidRDefault="008A6E55" w:rsidP="0050103D">
      <w:pPr>
        <w:pStyle w:val="Parabodytext"/>
        <w:numPr>
          <w:ilvl w:val="0"/>
          <w:numId w:val="35"/>
        </w:numPr>
        <w:tabs>
          <w:tab w:val="clear" w:pos="567"/>
        </w:tabs>
        <w:snapToGrid/>
        <w:ind w:left="357" w:hanging="357"/>
        <w:contextualSpacing/>
        <w:rPr>
          <w:lang w:val="fr-FR"/>
        </w:rPr>
      </w:pPr>
      <w:r w:rsidRPr="004E1ECC">
        <w:rPr>
          <w:lang w:val="fr-FR"/>
        </w:rPr>
        <w:t xml:space="preserve">Biodiversity International, </w:t>
      </w:r>
      <w:r w:rsidRPr="004E1ECC">
        <w:rPr>
          <w:i/>
          <w:iCs/>
          <w:lang w:val="fr-FR"/>
        </w:rPr>
        <w:t>Medicinal and aromatic plants improve livelihoods in Yemen</w:t>
      </w:r>
      <w:r w:rsidRPr="004E1ECC">
        <w:rPr>
          <w:lang w:val="fr-FR"/>
        </w:rPr>
        <w:t xml:space="preserve"> [Les plantes médicinales et aromatiques améliorent les moyens de subsistance au Yémen], 2012. Voir : </w:t>
      </w:r>
      <w:hyperlink r:id="rId95" w:history="1">
        <w:r w:rsidRPr="004E1ECC">
          <w:rPr>
            <w:color w:val="0000FF" w:themeColor="hyperlink"/>
            <w:u w:val="single"/>
            <w:lang w:val="fr-FR"/>
          </w:rPr>
          <w:t>https://www.bioversityinternational.org/fileadmin/_migrated/uploads/tx_news/Medicinal_and_aromatic_plants_improve_livelihoods_in_Yemen_1579.pdf</w:t>
        </w:r>
      </w:hyperlink>
      <w:r w:rsidR="00915304" w:rsidRPr="004E1ECC">
        <w:rPr>
          <w:lang w:val="fr-FR"/>
        </w:rPr>
        <w:br w:type="page"/>
      </w:r>
    </w:p>
    <w:p w14:paraId="01038ACD" w14:textId="279802EF" w:rsidR="008A6E55" w:rsidRPr="004E1ECC" w:rsidRDefault="008A6E55" w:rsidP="00124141">
      <w:pPr>
        <w:pStyle w:val="TOCHeading"/>
      </w:pPr>
      <w:bookmarkStart w:id="41" w:name="_Toc145504488"/>
      <w:r w:rsidRPr="004E1ECC">
        <w:t xml:space="preserve">Stratégies communautaires relatives aux aspects économiques du PCI en </w:t>
      </w:r>
      <w:r w:rsidR="00E869DF" w:rsidRPr="004E1ECC">
        <w:rPr>
          <w:rFonts w:eastAsia="DengXian Light"/>
          <w:color w:val="2F5496"/>
        </w:rPr>
        <w:t>Sápmi</w:t>
      </w:r>
      <w:r w:rsidRPr="004E1ECC">
        <w:rPr>
          <w:vertAlign w:val="superscript"/>
        </w:rPr>
        <w:footnoteReference w:id="45"/>
      </w:r>
      <w:bookmarkEnd w:id="41"/>
    </w:p>
    <w:p w14:paraId="7FF08B8C" w14:textId="77777777" w:rsidR="008A6E55" w:rsidRPr="004E1ECC" w:rsidRDefault="008A6E55" w:rsidP="0090077E">
      <w:pPr>
        <w:pStyle w:val="Parabodytext"/>
        <w:rPr>
          <w:lang w:val="fr-FR"/>
        </w:rPr>
      </w:pPr>
      <w:r w:rsidRPr="004E1ECC">
        <w:rPr>
          <w:lang w:val="fr-FR"/>
        </w:rPr>
        <w:t>Le peuple sami développe des stratégies communautaires pour maximiser l’utilisation bénéfique de ses ressources culturelles et sauvegarder son patrimoine, tout en minimisant les risques individuels et collectifs liés à l’engagement commercial.</w:t>
      </w:r>
    </w:p>
    <w:p w14:paraId="4A267917" w14:textId="18256BB9" w:rsidR="008A6E55" w:rsidRPr="004E1ECC" w:rsidRDefault="008A6E55" w:rsidP="0090077E">
      <w:pPr>
        <w:pStyle w:val="Parabodytext"/>
        <w:rPr>
          <w:lang w:val="fr-FR"/>
        </w:rPr>
      </w:pPr>
      <w:r w:rsidRPr="004E1ECC">
        <w:rPr>
          <w:lang w:val="fr-FR"/>
        </w:rPr>
        <w:t xml:space="preserve">Grâce à leurs diverses structures de gouvernance et à la consultation de la communauté, les Samis sont en train d’élaborer une approche holistique et stratégique de la mise sur le marché de leur patrimoine culturel immatériel. Leur approche, telle que décrite dans le </w:t>
      </w:r>
      <w:hyperlink r:id="rId96" w:history="1">
        <w:r w:rsidRPr="004E1ECC">
          <w:rPr>
            <w:color w:val="0000FF" w:themeColor="hyperlink"/>
            <w:u w:val="single"/>
            <w:lang w:val="fr-FR"/>
          </w:rPr>
          <w:t>rapport du projet IMKÁS</w:t>
        </w:r>
      </w:hyperlink>
      <w:r w:rsidRPr="004E1ECC">
        <w:rPr>
          <w:lang w:val="fr-FR"/>
        </w:rPr>
        <w:t xml:space="preserve"> pour le Conseil parlementaire sami, répond à des enjeux éthiques tels que le respect des sensibilités culturelles, tout en se basant sur le droit collectif du peuple sami à la propriété et à l’autodétermination de ses ressources culturelles. Bien que les cadres juridiques diffèrent d’une région à l’autre, les droits des Samis à l’utilisation des terres et à l’autonomie ont été reconnus dans une certaine mesure par les lois nationales. Dans les trois pays scandinaves</w:t>
      </w:r>
      <w:r w:rsidR="00E869DF" w:rsidRPr="004E1ECC">
        <w:rPr>
          <w:lang w:val="fr-FR"/>
        </w:rPr>
        <w:t xml:space="preserve"> (Finlande, Norvège, Suède)</w:t>
      </w:r>
      <w:r w:rsidRPr="004E1ECC">
        <w:rPr>
          <w:lang w:val="fr-FR"/>
        </w:rPr>
        <w:t xml:space="preserve">, les parlements samis assument des responsabilités décentralisées, notamment en matière de culture. Les parlements samis coopèrent entre eux sous l’égide du Conseil parlementaire sami. </w:t>
      </w:r>
    </w:p>
    <w:p w14:paraId="410036B4" w14:textId="77777777" w:rsidR="008A6E55" w:rsidRPr="004E1ECC" w:rsidRDefault="008A6E55" w:rsidP="0090077E">
      <w:pPr>
        <w:pStyle w:val="Parabodytext"/>
        <w:rPr>
          <w:lang w:val="fr-FR"/>
        </w:rPr>
      </w:pPr>
      <w:r w:rsidRPr="004E1ECC">
        <w:rPr>
          <w:lang w:val="fr-FR"/>
        </w:rPr>
        <w:t>Comme l’a fait remarquer une des autrices du rapport IMKÁS et experte juridique samie, Piia Nuorgam,</w:t>
      </w:r>
      <w:r w:rsidRPr="004E1ECC">
        <w:rPr>
          <w:vertAlign w:val="superscript"/>
        </w:rPr>
        <w:footnoteReference w:id="46"/>
      </w:r>
      <w:r w:rsidRPr="004E1ECC">
        <w:rPr>
          <w:lang w:val="fr-FR"/>
        </w:rPr>
        <w:t xml:space="preserve"> le détournement culturel et l’utilisation non autorisée des ressources culturelles sur le site peuvent être comparés au vol de la terre samie. Les ressources culturelles définies par les Samis doivent être sauvegardées parce qu’elles définissent l’identité samie (« elles sont ce qui fait de nous des Samis »), symbolisent la culture et les valeurs samies, et soutiennent les moyens de subsistance de la communauté. Les avantages économiques et la sauvegarde du patrimoine culturel immatériel ne sont pas incompatibles si les Samis peuvent contrôler ce qui est commercialisé et la manière de le faire. Les Samis explorent donc diverses formes d’action collective à cette fin. </w:t>
      </w:r>
    </w:p>
    <w:p w14:paraId="403F7EF1" w14:textId="77777777" w:rsidR="008A6E55" w:rsidRPr="004E1ECC" w:rsidRDefault="008A6E55" w:rsidP="0090077E">
      <w:pPr>
        <w:pStyle w:val="Parabodytext"/>
        <w:tabs>
          <w:tab w:val="clear" w:pos="567"/>
        </w:tabs>
        <w:rPr>
          <w:lang w:val="fr-FR"/>
        </w:rPr>
      </w:pPr>
      <w:r w:rsidRPr="004E1ECC">
        <w:rPr>
          <w:lang w:val="fr-FR"/>
        </w:rPr>
        <w:t>Plusieurs initiatives ont déjà été mises en place afin que la communauté puisse exercer une forme de contrôle sur l’utilisation du patrimoine culturel sami sur le marché. Le Conseil samis, une ONG gérée par la communauté samie, travaille dans toute la Laponie pour promouvoir les droits et les intérêts culturels, politiques, économiques, civils, sociaux et spirituels des Samis. En 1982, le Conseil sami a déposé une marque samie, Duodji, identifiant les produits artisanaux traditionnels fabriqués par les Samis. Ils prévoient d’utiliser une nouvelle marque (Sámi Made) pour indiquer l’origine samie d’une gamme plus large de produits (pas seulement l’artisanat traditionnel) sur la base des pratiques du PCI</w:t>
      </w:r>
      <w:r w:rsidRPr="004E1ECC">
        <w:rPr>
          <w:vertAlign w:val="superscript"/>
        </w:rPr>
        <w:footnoteReference w:id="47"/>
      </w:r>
      <w:r w:rsidRPr="004E1ECC">
        <w:rPr>
          <w:lang w:val="fr-FR"/>
        </w:rPr>
        <w:t>. Le projet de tourisme sami œuvre en faveur d’un secteur touristique plus responsable, éthique et durable, en suivant les lignes directrices éthiques pour le tourisme sami adoptées par le Parlement sami en Finlande en 2018</w:t>
      </w:r>
      <w:r w:rsidRPr="004E1ECC">
        <w:rPr>
          <w:vertAlign w:val="superscript"/>
        </w:rPr>
        <w:footnoteReference w:id="48"/>
      </w:r>
      <w:r w:rsidRPr="004E1ECC">
        <w:rPr>
          <w:lang w:val="fr-FR"/>
        </w:rPr>
        <w:t xml:space="preserve">. Un </w:t>
      </w:r>
      <w:hyperlink r:id="rId97" w:history="1">
        <w:r w:rsidRPr="004E1ECC">
          <w:rPr>
            <w:color w:val="0000FF" w:themeColor="hyperlink"/>
            <w:u w:val="single"/>
            <w:lang w:val="fr-FR"/>
          </w:rPr>
          <w:t>accord</w:t>
        </w:r>
      </w:hyperlink>
      <w:r w:rsidRPr="004E1ECC">
        <w:rPr>
          <w:lang w:val="fr-FR"/>
        </w:rPr>
        <w:t xml:space="preserve"> de coopération a été conclu en 2019 entre les parlements et le Conseil samis et les studios d’animation Disney afin de garantir que l’utilisation des ressources culturelles samies dans le film La Reine des neiges 2 soit respectueuse, appropriée et contrôlée par un groupe consultatif sami. L’accord affirme que ces ressources culturelles sont la propriété des Samis et que leur utilisation nécessite un consentement libre, préalable et éclairé, ainsi qu’un partage adéquat des bénéfices. </w:t>
      </w:r>
    </w:p>
    <w:p w14:paraId="5EF5BE70" w14:textId="77777777" w:rsidR="008A6E55" w:rsidRPr="004E1ECC" w:rsidRDefault="008A6E55" w:rsidP="0090077E">
      <w:pPr>
        <w:pStyle w:val="Parabodytext"/>
        <w:rPr>
          <w:lang w:val="fr-FR"/>
        </w:rPr>
      </w:pPr>
      <w:r w:rsidRPr="004E1ECC">
        <w:rPr>
          <w:lang w:val="fr-FR"/>
        </w:rPr>
        <w:t xml:space="preserve">En 2017, la Norvège, la Suède et la Finlande ont déclaré qu’elles soutenaient fermement la </w:t>
      </w:r>
      <w:hyperlink r:id="rId98" w:history="1">
        <w:r w:rsidRPr="004E1ECC">
          <w:rPr>
            <w:color w:val="0000FF" w:themeColor="hyperlink"/>
            <w:u w:val="single"/>
            <w:lang w:val="fr-FR"/>
          </w:rPr>
          <w:t>DNUDPA</w:t>
        </w:r>
      </w:hyperlink>
      <w:r w:rsidRPr="004E1ECC">
        <w:rPr>
          <w:lang w:val="fr-FR"/>
        </w:rPr>
        <w:t>, la Déclaration des Nations Unies de 2007 sur les droits des peuples autochtones</w:t>
      </w:r>
      <w:r w:rsidRPr="004E1ECC">
        <w:rPr>
          <w:vertAlign w:val="superscript"/>
        </w:rPr>
        <w:footnoteReference w:id="49"/>
      </w:r>
      <w:r w:rsidRPr="004E1ECC">
        <w:rPr>
          <w:lang w:val="fr-FR"/>
        </w:rPr>
        <w:t>. L’article 31.1 de la Déclaration soutient les droits de propriété intellectuelle des peuples autochtones sur leur patrimoine culturel :</w:t>
      </w:r>
    </w:p>
    <w:p w14:paraId="1497B531" w14:textId="77777777" w:rsidR="008A6E55" w:rsidRPr="004E1ECC" w:rsidRDefault="008A6E55" w:rsidP="0090077E">
      <w:pPr>
        <w:pStyle w:val="Parabodytext"/>
        <w:tabs>
          <w:tab w:val="clear" w:pos="567"/>
          <w:tab w:val="left" w:pos="851"/>
        </w:tabs>
        <w:ind w:left="851"/>
        <w:rPr>
          <w:i/>
          <w:iCs/>
          <w:lang w:val="fr-FR"/>
        </w:rPr>
      </w:pPr>
      <w:r w:rsidRPr="004E1ECC">
        <w:rPr>
          <w:i/>
          <w:iCs/>
          <w:lang w:val="fr-FR"/>
        </w:rPr>
        <w:t>Les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w:t>
      </w:r>
    </w:p>
    <w:p w14:paraId="1B0EDEDC" w14:textId="189DFB0B" w:rsidR="008A6E55" w:rsidRPr="004E1ECC" w:rsidRDefault="008A6E55" w:rsidP="009A6BFE">
      <w:pPr>
        <w:pStyle w:val="Parabodytext"/>
        <w:rPr>
          <w:lang w:val="fr-FR"/>
        </w:rPr>
      </w:pPr>
      <w:r w:rsidRPr="004E1ECC">
        <w:rPr>
          <w:lang w:val="fr-FR"/>
        </w:rPr>
        <w:t xml:space="preserve">L’utilisation des cadres conventionnels de la propriété intellectuelle pour exercer un contrôle sur des ressources culturelles qui ne sont pas des créations nouvelles et originales d’un artiste individuel, mais qui sont transmises de génération en génération au sein d’une communauté, pose toutefois certains problèmes. À la suite d’un </w:t>
      </w:r>
      <w:hyperlink r:id="rId99" w:history="1">
        <w:r w:rsidRPr="004E1ECC">
          <w:rPr>
            <w:color w:val="0000FF" w:themeColor="hyperlink"/>
            <w:u w:val="single"/>
            <w:lang w:val="fr-FR"/>
          </w:rPr>
          <w:t>rapport</w:t>
        </w:r>
      </w:hyperlink>
      <w:r w:rsidRPr="004E1ECC">
        <w:rPr>
          <w:lang w:val="fr-FR"/>
        </w:rPr>
        <w:t xml:space="preserve"> commandé par le ministère finlandais de l’Education et de la culture sur les besoins du peuple sami en matière de protection de la propriété intellectuelle du point de vue des droits d’auteur et des marques et du rapport IMKÁS mentionné ci-dessus, une </w:t>
      </w:r>
      <w:hyperlink r:id="rId100" w:history="1">
        <w:r w:rsidRPr="004E1ECC">
          <w:rPr>
            <w:color w:val="0000FF" w:themeColor="hyperlink"/>
            <w:u w:val="single"/>
            <w:lang w:val="fr-FR"/>
          </w:rPr>
          <w:t>coopération régionale</w:t>
        </w:r>
      </w:hyperlink>
      <w:r w:rsidRPr="004E1ECC">
        <w:rPr>
          <w:lang w:val="fr-FR"/>
        </w:rPr>
        <w:t xml:space="preserve"> a été mise en place sur l’utilisation de la protection de la propriété intellectuelle pour soutenir les intérêts des Samis sur le marché, avec une </w:t>
      </w:r>
      <w:hyperlink r:id="rId101" w:history="1">
        <w:r w:rsidRPr="004E1ECC">
          <w:rPr>
            <w:color w:val="0000FF" w:themeColor="hyperlink"/>
            <w:u w:val="single"/>
            <w:lang w:val="fr-FR"/>
          </w:rPr>
          <w:t>conférence</w:t>
        </w:r>
      </w:hyperlink>
      <w:r w:rsidRPr="004E1ECC">
        <w:rPr>
          <w:lang w:val="fr-FR"/>
        </w:rPr>
        <w:t xml:space="preserve"> organisée en novembre 2021 à Inari. La sauvegarde du patrimoine culturel immatériel sami, qui associe la sauvegarde dans des contextes commerciaux et plus larges tels que les musées, a fait l’objet de discussions supplémentaires lors du </w:t>
      </w:r>
      <w:hyperlink r:id="rId102" w:history="1">
        <w:r w:rsidRPr="004E1ECC">
          <w:rPr>
            <w:color w:val="0000FF" w:themeColor="hyperlink"/>
            <w:u w:val="single"/>
            <w:lang w:val="fr-FR"/>
          </w:rPr>
          <w:t>Sommet des arts de l’Arctique</w:t>
        </w:r>
      </w:hyperlink>
      <w:r w:rsidRPr="004E1ECC">
        <w:rPr>
          <w:lang w:val="fr-FR"/>
        </w:rPr>
        <w:t xml:space="preserve"> et d’une conférence à </w:t>
      </w:r>
      <w:hyperlink r:id="rId103" w:history="1">
        <w:r w:rsidRPr="004E1ECC">
          <w:rPr>
            <w:rStyle w:val="Hyperlink"/>
            <w:lang w:val="fr-FR"/>
          </w:rPr>
          <w:t>Trondheim</w:t>
        </w:r>
      </w:hyperlink>
      <w:r w:rsidRPr="004E1ECC">
        <w:rPr>
          <w:lang w:val="fr-FR"/>
        </w:rPr>
        <w:t xml:space="preserve"> en 2022.</w:t>
      </w:r>
    </w:p>
    <w:p w14:paraId="24887165" w14:textId="77777777" w:rsidR="008A6E55" w:rsidRPr="004E1ECC" w:rsidRDefault="008A6E55" w:rsidP="009A6BFE">
      <w:pPr>
        <w:pStyle w:val="Parabodytext"/>
        <w:rPr>
          <w:lang w:val="fr-FR"/>
        </w:rPr>
      </w:pPr>
      <w:r w:rsidRPr="004E1ECC">
        <w:rPr>
          <w:lang w:val="fr-FR"/>
        </w:rPr>
        <w:t>Ces travaux ont montré que si les ressources du patrimoine culturel immatériel des Samis et les innovations qui en découlent peuvent conférer un avantage concurrentiel aux entreprises samies, celles qui utilisent les ressources culturelles pour gagner leur vie continuent de rencontrer de nombreuses difficultés. Ces défis ont des dimensions individuelles et collectives, qui viennent contrebalancer les considérations économiques et culturelles. Elles ont également des causes structurelles, qui découlent en partie de l’histoire coloniale et d’un contrôle insuffisant de l’utilisation des ressources culturelles sur le marché, ainsi que des pressions accrues du marché qui poussent aujourd’hui à l’appropriation culturelle. De nombreuses entreprises samies souffrent d’un manque d’investissement en capital. Dans certains cas, les priorités économiques et culturelles, individuelles et collectives, peuvent s’opposer, et les intérêts diverger. Les praticiens ne sont pas toujours capables d’identifier une seule ligne de conduite « correcte » ou « éthique ». Il est difficile d’établir des règles fixes pour l’engagement des praticiens sur le marché et cela peut créer des conflits en cas de désaccord profond. Il est parfois difficile d’identifier les risques et les impacts possibles des actions des entreprises. Afin de parvenir à un consensus et d’orienter l’action, des forums de discussion pour les entrepreneurs samis ont servi à élaborer des recommandations collectives, par exemple sur l’utilisation appropriée de l’artisanat par les consommateurs, afin de s’assurer que le patrimoine associé est sauvegardé.</w:t>
      </w:r>
    </w:p>
    <w:p w14:paraId="2172F082" w14:textId="77777777" w:rsidR="008A6E55" w:rsidRPr="004E1ECC" w:rsidRDefault="008A6E55" w:rsidP="009A6BFE">
      <w:pPr>
        <w:pStyle w:val="Parabodytext"/>
        <w:rPr>
          <w:lang w:val="fr-FR"/>
        </w:rPr>
      </w:pPr>
      <w:r w:rsidRPr="004E1ECC">
        <w:rPr>
          <w:lang w:val="fr-FR"/>
        </w:rPr>
        <w:t>Les interventions visant à aider les entreprises autochtones et à faire respecter les droits collectifs en utilisant une approche fondée sur les droits pourraient à l’avenir être gérées par un organisme sami central ou un point de contact qui s’engagerait à la fois avec les entrepreneurs samis et les tiers. Cela permettrait de soutenir les entrepreneurs, d’enregistrer la protection des droits et de faire respecter les droits samis si besoin</w:t>
      </w:r>
      <w:r w:rsidRPr="004E1ECC">
        <w:rPr>
          <w:rFonts w:ascii="Segoe UI" w:hAnsi="Segoe UI" w:cs="Segoe UI"/>
          <w:sz w:val="18"/>
          <w:szCs w:val="18"/>
          <w:lang w:val="fr-FR"/>
        </w:rPr>
        <w:t>.</w:t>
      </w:r>
      <w:r w:rsidRPr="004E1ECC">
        <w:rPr>
          <w:vertAlign w:val="superscript"/>
        </w:rPr>
        <w:footnoteReference w:id="50"/>
      </w:r>
      <w:r w:rsidRPr="004E1ECC">
        <w:rPr>
          <w:rFonts w:ascii="Segoe UI" w:hAnsi="Segoe UI" w:cs="Segoe UI"/>
          <w:sz w:val="18"/>
          <w:szCs w:val="18"/>
          <w:lang w:val="fr-FR"/>
        </w:rPr>
        <w:t xml:space="preserve"> </w:t>
      </w:r>
      <w:r w:rsidRPr="004E1ECC">
        <w:rPr>
          <w:lang w:val="fr-FR"/>
        </w:rPr>
        <w:t xml:space="preserve">Les Samis souhaitent également que le gouvernement et les institutions culturelles publiques prennent des mesures plus efficaces pour créer des politiques de soutien aux entreprises autochtones, notamment en ce qui concerne l’aide aux entreprises, la révision des lois sur la propriété intellectuelle, la programmation des musées et les protocoles d’accès aux collections. </w:t>
      </w:r>
    </w:p>
    <w:p w14:paraId="51816346" w14:textId="77777777" w:rsidR="008A6E55" w:rsidRPr="004E1ECC" w:rsidRDefault="008A6E55" w:rsidP="009A6BFE">
      <w:pPr>
        <w:pStyle w:val="LEVEL2"/>
      </w:pPr>
      <w:bookmarkStart w:id="43" w:name="_Toc145504489"/>
      <w:r w:rsidRPr="004E1ECC">
        <w:t>Informations complémentaires</w:t>
      </w:r>
      <w:bookmarkEnd w:id="43"/>
    </w:p>
    <w:p w14:paraId="6BCA492C" w14:textId="67A2B3DB" w:rsidR="008A6E55" w:rsidRPr="004E1ECC" w:rsidRDefault="008A6E55" w:rsidP="0050103D">
      <w:pPr>
        <w:pStyle w:val="Parabodytext"/>
        <w:numPr>
          <w:ilvl w:val="0"/>
          <w:numId w:val="35"/>
        </w:numPr>
        <w:snapToGrid/>
        <w:ind w:left="357" w:hanging="357"/>
        <w:contextualSpacing/>
        <w:rPr>
          <w:lang w:val="fr-FR"/>
        </w:rPr>
      </w:pPr>
      <w:r w:rsidRPr="004E1ECC">
        <w:rPr>
          <w:lang w:val="fr-FR"/>
        </w:rPr>
        <w:t xml:space="preserve">Webinaire en ligne du Sommet des arts de l’Arctique « Expériences des praticiens dans l’économie des arts traditionnels, 9 juin 2022 » : </w:t>
      </w:r>
      <w:bookmarkStart w:id="44" w:name="_Hlk145502744"/>
      <w:r w:rsidR="00775623" w:rsidRPr="004E1ECC">
        <w:rPr>
          <w:rFonts w:eastAsia="Calibri"/>
          <w:lang w:val="en-GB"/>
        </w:rPr>
        <w:fldChar w:fldCharType="begin"/>
      </w:r>
      <w:r w:rsidR="00775623" w:rsidRPr="004E1ECC">
        <w:rPr>
          <w:rFonts w:eastAsia="Calibri"/>
          <w:lang w:val="fr-FR"/>
        </w:rPr>
        <w:instrText>HYPERLINK "https://www.kulturdirektoratet.no/web/guest/kalender/hendelse/-/practitioners-experiences-in-the-traditional-arts-economy"</w:instrText>
      </w:r>
      <w:r w:rsidR="00775623" w:rsidRPr="004E1ECC">
        <w:rPr>
          <w:rFonts w:eastAsia="Calibri"/>
          <w:lang w:val="en-GB"/>
        </w:rPr>
      </w:r>
      <w:r w:rsidR="00775623" w:rsidRPr="004E1ECC">
        <w:rPr>
          <w:rFonts w:eastAsia="Calibri"/>
          <w:lang w:val="en-GB"/>
        </w:rPr>
        <w:fldChar w:fldCharType="separate"/>
      </w:r>
      <w:r w:rsidR="00775623" w:rsidRPr="004E1ECC">
        <w:rPr>
          <w:rStyle w:val="Hyperlink"/>
          <w:lang w:val="fr-FR"/>
        </w:rPr>
        <w:t>https://www.kulturdirektoratet.no/web/guest/kalender/hendelse/-/practitioners-experiences-in-the-traditional-arts-economy</w:t>
      </w:r>
      <w:r w:rsidR="00775623" w:rsidRPr="004E1ECC">
        <w:rPr>
          <w:rFonts w:eastAsia="Calibri"/>
          <w:lang w:val="en-GB"/>
        </w:rPr>
        <w:fldChar w:fldCharType="end"/>
      </w:r>
      <w:bookmarkEnd w:id="44"/>
    </w:p>
    <w:p w14:paraId="4A660788" w14:textId="3E599869" w:rsidR="008A6E55" w:rsidRPr="004E1ECC" w:rsidRDefault="008A6E55" w:rsidP="0050103D">
      <w:pPr>
        <w:pStyle w:val="Parabodytext"/>
        <w:numPr>
          <w:ilvl w:val="0"/>
          <w:numId w:val="35"/>
        </w:numPr>
        <w:snapToGrid/>
        <w:ind w:left="357" w:hanging="357"/>
        <w:contextualSpacing/>
        <w:rPr>
          <w:rFonts w:cstheme="minorHAnsi"/>
          <w:lang w:val="fr-FR"/>
        </w:rPr>
      </w:pPr>
      <w:r w:rsidRPr="004E1ECC">
        <w:rPr>
          <w:rFonts w:cstheme="minorHAnsi"/>
          <w:lang w:val="fr-FR"/>
        </w:rPr>
        <w:t xml:space="preserve">Webinaire du 3-4 novembre 2022 : </w:t>
      </w:r>
      <w:r w:rsidR="00775623" w:rsidRPr="004E1ECC">
        <w:rPr>
          <w:rFonts w:cstheme="minorHAnsi"/>
          <w:color w:val="0000FF" w:themeColor="hyperlink"/>
          <w:u w:val="single"/>
          <w:lang w:val="fr-FR"/>
        </w:rPr>
        <w:t>https://kulturdirektoratet.no/kalender/hendelse/-/nordisk-konferanse-om-samisk-immateriell-kulturarv</w:t>
      </w:r>
    </w:p>
    <w:p w14:paraId="473BD1A2" w14:textId="77777777" w:rsidR="008A6E55" w:rsidRPr="004E1ECC" w:rsidRDefault="008A6E55" w:rsidP="0050103D">
      <w:pPr>
        <w:pStyle w:val="Parabodytext"/>
        <w:numPr>
          <w:ilvl w:val="0"/>
          <w:numId w:val="35"/>
        </w:numPr>
        <w:snapToGrid/>
        <w:ind w:left="357" w:hanging="357"/>
        <w:contextualSpacing/>
      </w:pPr>
      <w:r w:rsidRPr="004E1ECC">
        <w:t xml:space="preserve">Aslat Holmberg, 2022 « Working towards ethical guidelines for research involving the Sámi » [Vers des lignes directrices éthiques pour la recherche impliquant les Samis] : </w:t>
      </w:r>
      <w:bookmarkStart w:id="45" w:name="_Hlk145502657"/>
      <w:r w:rsidRPr="004E1ECC">
        <w:fldChar w:fldCharType="begin"/>
      </w:r>
      <w:r w:rsidRPr="004E1ECC">
        <w:instrText>HYPERLINK "https://lcipp.unfccc.int/sites/default/files/2022-06/Working%20towards%20ethical%20guidelines%20for%20research%20involving%20the%20Sami_0.pdf"</w:instrText>
      </w:r>
      <w:r w:rsidRPr="004E1ECC">
        <w:fldChar w:fldCharType="separate"/>
      </w:r>
      <w:r w:rsidRPr="004E1ECC">
        <w:rPr>
          <w:color w:val="0000FF" w:themeColor="hyperlink"/>
          <w:u w:val="single"/>
        </w:rPr>
        <w:t>https://lcipp.unfccc.int/sites/default/files/2022-06/Working towards ethical guidelines for research involving the Sami_0.pdf</w:t>
      </w:r>
      <w:r w:rsidRPr="004E1ECC">
        <w:rPr>
          <w:color w:val="0000FF" w:themeColor="hyperlink"/>
          <w:u w:val="single"/>
        </w:rPr>
        <w:fldChar w:fldCharType="end"/>
      </w:r>
      <w:r w:rsidRPr="004E1ECC">
        <w:t xml:space="preserve"> </w:t>
      </w:r>
      <w:bookmarkEnd w:id="45"/>
    </w:p>
    <w:p w14:paraId="46CC77E9" w14:textId="1A973C72" w:rsidR="006E2BE8" w:rsidRPr="00003BDC" w:rsidRDefault="006E2BE8" w:rsidP="008A6E55">
      <w:pPr>
        <w:rPr>
          <w:rFonts w:ascii="Arial" w:hAnsi="Arial" w:cs="Arial"/>
          <w:sz w:val="22"/>
          <w:szCs w:val="22"/>
          <w:lang w:val="en-US"/>
        </w:rPr>
      </w:pPr>
    </w:p>
    <w:sectPr w:rsidR="006E2BE8" w:rsidRPr="00003BDC" w:rsidSect="0090077E">
      <w:footerReference w:type="default" r:id="rId104"/>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4616" w14:textId="7D51B860" w:rsidR="00C26F11" w:rsidRPr="00733109" w:rsidRDefault="00C26F11" w:rsidP="0073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5FD" w14:textId="6BE70417" w:rsidR="00993211" w:rsidRDefault="005931E2" w:rsidP="002E58D4">
      <w:r>
        <w:separator/>
      </w:r>
    </w:p>
  </w:footnote>
  <w:footnote w:type="continuationSeparator" w:id="0">
    <w:p w14:paraId="512413A2" w14:textId="680AAEA4" w:rsidR="00993211" w:rsidRDefault="005931E2" w:rsidP="002E58D4">
      <w:r>
        <w:continuationSeparator/>
      </w:r>
    </w:p>
  </w:footnote>
  <w:footnote w:id="1">
    <w:p w14:paraId="382DB671" w14:textId="63A45B98" w:rsidR="00AB1A39" w:rsidRPr="004E1ECC" w:rsidRDefault="00AB1A39">
      <w:pPr>
        <w:pStyle w:val="FootnoteText"/>
        <w:rPr>
          <w:sz w:val="18"/>
          <w:szCs w:val="18"/>
        </w:rPr>
      </w:pPr>
      <w:r w:rsidRPr="004E1ECC">
        <w:rPr>
          <w:rStyle w:val="FootnoteReference"/>
          <w:sz w:val="18"/>
          <w:szCs w:val="18"/>
        </w:rPr>
        <w:footnoteRef/>
      </w:r>
      <w:r w:rsidRPr="004E1ECC">
        <w:rPr>
          <w:sz w:val="18"/>
          <w:szCs w:val="18"/>
        </w:rPr>
        <w:t xml:space="preserve"> </w:t>
      </w:r>
      <w:r w:rsidR="00E869DF" w:rsidRPr="004E1ECC">
        <w:rPr>
          <w:sz w:val="18"/>
          <w:szCs w:val="18"/>
        </w:rPr>
        <w:t>Ce document a été préparé par la consultante Harriet Deacon en collaboration avec l’Entité du patrimoine vivant de l’UNESCO et avec des contributions du panel d’examen par les pairs sur les aspects économiques de la sauvegarde du patrimoine culturel immatériel. Il est présenté comme un avant-projet à des fins de discussion et d’examen. Son contenu ne reflète pas nécessairement les vues institutionnelles de l'UNESCO</w:t>
      </w:r>
      <w:r w:rsidR="00865666">
        <w:rPr>
          <w:sz w:val="18"/>
          <w:szCs w:val="18"/>
        </w:rPr>
        <w:t xml:space="preserve"> </w:t>
      </w:r>
      <w:r w:rsidR="00865666" w:rsidRPr="00865666">
        <w:rPr>
          <w:sz w:val="18"/>
          <w:szCs w:val="18"/>
        </w:rPr>
        <w:t>et peut faire l’objet de révisions en fonction des commentaires des pairs</w:t>
      </w:r>
      <w:r w:rsidR="00E869DF" w:rsidRPr="004E1ECC">
        <w:rPr>
          <w:sz w:val="18"/>
          <w:szCs w:val="18"/>
        </w:rPr>
        <w:t>.</w:t>
      </w:r>
    </w:p>
  </w:footnote>
  <w:footnote w:id="2">
    <w:p w14:paraId="1E0BBEBA"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Cette étude de cas résume les informations tirées des articles de Lingard et Martin (2016) et Lingard </w:t>
      </w:r>
      <w:r w:rsidRPr="004E1ECC">
        <w:rPr>
          <w:i/>
          <w:iCs/>
          <w:sz w:val="18"/>
          <w:szCs w:val="18"/>
        </w:rPr>
        <w:t>et al.</w:t>
      </w:r>
      <w:r w:rsidRPr="004E1ECC">
        <w:rPr>
          <w:sz w:val="18"/>
          <w:szCs w:val="18"/>
        </w:rPr>
        <w:t xml:space="preserve"> (2021). Nous remercions Kylie Lingard (Université de Wollongong) de nous avoir aidés à mener cette étude de cas.</w:t>
      </w:r>
    </w:p>
  </w:footnote>
  <w:footnote w:id="3">
    <w:p w14:paraId="43A097FF"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Australie, Département du Premier ministre et du Cabinet 2018. </w:t>
      </w:r>
      <w:r w:rsidRPr="004E1ECC">
        <w:rPr>
          <w:i/>
          <w:sz w:val="18"/>
          <w:szCs w:val="18"/>
        </w:rPr>
        <w:t>Celebrating Indigenous Cultures: Closing the Gap</w:t>
      </w:r>
      <w:r w:rsidRPr="004E1ECC">
        <w:rPr>
          <w:sz w:val="18"/>
          <w:szCs w:val="18"/>
        </w:rPr>
        <w:t>. [Célébrer les cultures autochtones : combler le fossé.] Rapport du Premier ministre, p. 23.</w:t>
      </w:r>
    </w:p>
  </w:footnote>
  <w:footnote w:id="4">
    <w:p w14:paraId="02F3F4D9"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Terri Janke and Company 1999. </w:t>
      </w:r>
      <w:r w:rsidRPr="004E1ECC">
        <w:rPr>
          <w:i/>
          <w:sz w:val="18"/>
          <w:szCs w:val="18"/>
        </w:rPr>
        <w:t>Our Culture Our Future: Report on Australian Indigenous Cultural and Intellectual Property Rights</w:t>
      </w:r>
      <w:r w:rsidRPr="004E1ECC">
        <w:rPr>
          <w:sz w:val="18"/>
          <w:szCs w:val="18"/>
        </w:rPr>
        <w:t xml:space="preserve"> [Notre culture, notre avenir : rapport sur les droits de propriété culturelle et intellectuelle des Autochtones australiens]. Canberra: Institut australien d’études sur les Aborigènes et les Insulaires du détroit de Torrès et Commission des Aborigènes et des Insulaires du détroit de Torrès.</w:t>
      </w:r>
    </w:p>
  </w:footnote>
  <w:footnote w:id="5">
    <w:p w14:paraId="6404C8D3"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Voir le site web de Terri Janke and Company, et leur ouvrage </w:t>
      </w:r>
      <w:r w:rsidRPr="004E1ECC">
        <w:rPr>
          <w:i/>
          <w:iCs/>
          <w:sz w:val="18"/>
          <w:szCs w:val="18"/>
        </w:rPr>
        <w:t>Setting up for success: bushfoods</w:t>
      </w:r>
      <w:r w:rsidRPr="004E1ECC">
        <w:rPr>
          <w:sz w:val="18"/>
          <w:szCs w:val="18"/>
        </w:rPr>
        <w:t xml:space="preserve"> (Assurer son succès : la nourriture du bush) : </w:t>
      </w:r>
      <w:hyperlink r:id="rId1" w:history="1">
        <w:r w:rsidRPr="004E1ECC">
          <w:rPr>
            <w:rStyle w:val="Hyperlink"/>
            <w:sz w:val="18"/>
            <w:szCs w:val="18"/>
          </w:rPr>
          <w:t>https://www.terrijanke.com.au/setting-up-for-success-bushfoods</w:t>
        </w:r>
      </w:hyperlink>
      <w:r w:rsidRPr="004E1ECC">
        <w:rPr>
          <w:sz w:val="18"/>
          <w:szCs w:val="18"/>
        </w:rPr>
        <w:t xml:space="preserve"> </w:t>
      </w:r>
    </w:p>
  </w:footnote>
  <w:footnote w:id="6">
    <w:p w14:paraId="26993600"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Janke, Terri, 2019. </w:t>
      </w:r>
      <w:r w:rsidRPr="004E1ECC">
        <w:rPr>
          <w:i/>
          <w:iCs/>
          <w:sz w:val="18"/>
          <w:szCs w:val="18"/>
        </w:rPr>
        <w:t>True tracks:</w:t>
      </w:r>
      <w:r w:rsidRPr="004E1ECC">
        <w:rPr>
          <w:sz w:val="18"/>
          <w:szCs w:val="18"/>
        </w:rPr>
        <w:t xml:space="preserve"> </w:t>
      </w:r>
      <w:r w:rsidRPr="004E1ECC">
        <w:rPr>
          <w:i/>
          <w:iCs/>
          <w:sz w:val="18"/>
          <w:szCs w:val="18"/>
        </w:rPr>
        <w:t>Indigenous cultural and intellectual property principles for putting self-determination into practice</w:t>
      </w:r>
      <w:r w:rsidRPr="004E1ECC">
        <w:rPr>
          <w:sz w:val="18"/>
          <w:szCs w:val="18"/>
        </w:rPr>
        <w:t xml:space="preserve"> [Suivi réel : les principes de la propriété culturelle et intellectuelle autochtone pour la mise en pratique de l’autodétermination]. Thèse de doctorat, Université nationale australienne.</w:t>
      </w:r>
    </w:p>
  </w:footnote>
  <w:footnote w:id="7">
    <w:p w14:paraId="097144B9" w14:textId="30A8A51F" w:rsidR="00C26F11" w:rsidRPr="004E1ECC" w:rsidRDefault="00C26F11" w:rsidP="00DC778D">
      <w:pPr>
        <w:pStyle w:val="FootnoteText"/>
        <w:jc w:val="left"/>
        <w:rPr>
          <w:sz w:val="18"/>
          <w:szCs w:val="18"/>
        </w:rPr>
      </w:pPr>
      <w:r w:rsidRPr="004E1ECC">
        <w:rPr>
          <w:rStyle w:val="FootnoteReference"/>
          <w:sz w:val="18"/>
          <w:szCs w:val="18"/>
        </w:rPr>
        <w:footnoteRef/>
      </w:r>
      <w:r w:rsidRPr="004E1ECC">
        <w:rPr>
          <w:sz w:val="18"/>
          <w:szCs w:val="18"/>
        </w:rPr>
        <w:t xml:space="preserve"> Voir </w:t>
      </w:r>
      <w:r w:rsidRPr="004E1ECC">
        <w:rPr>
          <w:i/>
          <w:iCs/>
          <w:sz w:val="18"/>
          <w:szCs w:val="18"/>
        </w:rPr>
        <w:t>Interim Report :</w:t>
      </w:r>
      <w:r w:rsidRPr="004E1ECC">
        <w:rPr>
          <w:sz w:val="18"/>
          <w:szCs w:val="18"/>
        </w:rPr>
        <w:t xml:space="preserve"> </w:t>
      </w:r>
      <w:r w:rsidRPr="004E1ECC">
        <w:rPr>
          <w:i/>
          <w:iCs/>
          <w:sz w:val="18"/>
          <w:szCs w:val="18"/>
        </w:rPr>
        <w:t xml:space="preserve">Scoping Study on stand-alone legislation to protect and commercialize Indigenous Knowledge </w:t>
      </w:r>
      <w:r w:rsidRPr="004E1ECC">
        <w:rPr>
          <w:sz w:val="18"/>
          <w:szCs w:val="18"/>
        </w:rPr>
        <w:t>[Rapport provisoire : étude de faisabilité sur une législation autonome visant à protéger et à commercialiser les connaissances autochtones] :</w:t>
      </w:r>
      <w:r w:rsidR="00DC778D" w:rsidRPr="004E1ECC">
        <w:rPr>
          <w:sz w:val="18"/>
          <w:szCs w:val="18"/>
        </w:rPr>
        <w:t xml:space="preserve"> </w:t>
      </w:r>
      <w:hyperlink r:id="rId2" w:history="1">
        <w:r w:rsidR="00DC778D" w:rsidRPr="004E1ECC">
          <w:rPr>
            <w:rStyle w:val="Hyperlink"/>
            <w:sz w:val="18"/>
            <w:szCs w:val="18"/>
          </w:rPr>
          <w:t>https://consultation.ipaustralia.gov.au/policy/stand-alone-legislation-for-indigenous-knowledge/user_uploads/ik-scoping-study-interim-reportoct.pdf</w:t>
        </w:r>
      </w:hyperlink>
      <w:r w:rsidRPr="004E1ECC">
        <w:rPr>
          <w:sz w:val="18"/>
          <w:szCs w:val="18"/>
        </w:rPr>
        <w:t xml:space="preserve"> </w:t>
      </w:r>
    </w:p>
  </w:footnote>
  <w:footnote w:id="8">
    <w:p w14:paraId="596634B0"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Nous remercions Giovanny Arteaga (Fondation Mundo Espiral) et Alexander Peña Parra (Artesanías de Colombia) de nous avoir aidés à réaliser cette étude de cas.</w:t>
      </w:r>
    </w:p>
  </w:footnote>
  <w:footnote w:id="9">
    <w:p w14:paraId="410028B7"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Connaissances et techniques traditionnelles associées au vernis de Pasto mopa-mopa de Putumayo et Nariño (Colombie), inscrit sur la LSU en 2020 (15.COM) : </w:t>
      </w:r>
      <w:hyperlink r:id="rId3" w:history="1">
        <w:r w:rsidRPr="004E1ECC">
          <w:rPr>
            <w:rStyle w:val="Hyperlink"/>
            <w:sz w:val="18"/>
            <w:szCs w:val="18"/>
          </w:rPr>
          <w:t>https://ich.unesco.org/fr/USL/les-connaissances-et-techniques-traditionnelles-associees-au-vernis-de-pasto-mopa-mopa-de-putumayo-et-narino-01599?USL=01599</w:t>
        </w:r>
      </w:hyperlink>
      <w:r w:rsidRPr="004E1ECC">
        <w:rPr>
          <w:sz w:val="18"/>
          <w:szCs w:val="18"/>
        </w:rPr>
        <w:t xml:space="preserve"> </w:t>
      </w:r>
    </w:p>
  </w:footnote>
  <w:footnote w:id="10">
    <w:p w14:paraId="3E26DA15"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w:t>
      </w:r>
      <w:hyperlink r:id="rId4" w:history="1">
        <w:r w:rsidRPr="004E1ECC">
          <w:rPr>
            <w:rStyle w:val="Hyperlink"/>
            <w:b/>
            <w:sz w:val="18"/>
            <w:szCs w:val="18"/>
          </w:rPr>
          <w:t>Décision 15.COM 8.A.1</w:t>
        </w:r>
      </w:hyperlink>
      <w:r w:rsidRPr="004E1ECC">
        <w:rPr>
          <w:sz w:val="18"/>
          <w:szCs w:val="18"/>
        </w:rPr>
        <w:t>, paragraphe 2 U.2 et paragraphe 3 U.3.</w:t>
      </w:r>
    </w:p>
  </w:footnote>
  <w:footnote w:id="11">
    <w:p w14:paraId="73893D27"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Voir : </w:t>
      </w:r>
      <w:hyperlink r:id="rId5" w:history="1">
        <w:r w:rsidRPr="004E1ECC">
          <w:rPr>
            <w:rStyle w:val="Hyperlink"/>
            <w:sz w:val="18"/>
            <w:szCs w:val="18"/>
          </w:rPr>
          <w:t>https://artesaniasdecolombia.com.co/PortalAC/General/template_index.jsf</w:t>
        </w:r>
      </w:hyperlink>
      <w:r w:rsidRPr="004E1ECC">
        <w:rPr>
          <w:sz w:val="18"/>
          <w:szCs w:val="18"/>
        </w:rPr>
        <w:t xml:space="preserve"> </w:t>
      </w:r>
    </w:p>
  </w:footnote>
  <w:footnote w:id="12">
    <w:p w14:paraId="72FC0617"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xml:space="preserve"> Guides de voyage d’Artesanias de Chile : </w:t>
      </w:r>
      <w:hyperlink r:id="rId6" w:history="1">
        <w:r w:rsidRPr="004E1ECC">
          <w:rPr>
            <w:rStyle w:val="Hyperlink"/>
            <w:sz w:val="18"/>
            <w:szCs w:val="18"/>
          </w:rPr>
          <w:t>https://artesaniasdechile.cl/category/revista-digital/guias-de-viaje/?v=5bc574a47246</w:t>
        </w:r>
      </w:hyperlink>
      <w:r w:rsidRPr="004E1ECC">
        <w:rPr>
          <w:sz w:val="18"/>
          <w:szCs w:val="18"/>
        </w:rPr>
        <w:t xml:space="preserve"> </w:t>
      </w:r>
    </w:p>
  </w:footnote>
  <w:footnote w:id="13">
    <w:p w14:paraId="223878A8"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7" w:history="1">
        <w:r w:rsidRPr="004E1ECC">
          <w:rPr>
            <w:rStyle w:val="Hyperlink"/>
            <w:sz w:val="18"/>
            <w:szCs w:val="18"/>
          </w:rPr>
          <w:t>https://artjameel.org/heritage/cairo/</w:t>
        </w:r>
      </w:hyperlink>
      <w:r w:rsidRPr="004E1ECC">
        <w:rPr>
          <w:sz w:val="18"/>
          <w:szCs w:val="18"/>
        </w:rPr>
        <w:t xml:space="preserve">  </w:t>
      </w:r>
    </w:p>
  </w:footnote>
  <w:footnote w:id="14">
    <w:p w14:paraId="6B797702"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8" w:history="1">
        <w:r w:rsidRPr="004E1ECC">
          <w:rPr>
            <w:rStyle w:val="Hyperlink"/>
            <w:sz w:val="18"/>
            <w:szCs w:val="18"/>
          </w:rPr>
          <w:t>https://artjameel.org/heritage/jeddah/</w:t>
        </w:r>
      </w:hyperlink>
      <w:r w:rsidRPr="004E1ECC">
        <w:rPr>
          <w:sz w:val="18"/>
          <w:szCs w:val="18"/>
        </w:rPr>
        <w:t xml:space="preserve"> </w:t>
      </w:r>
    </w:p>
  </w:footnote>
  <w:footnote w:id="15">
    <w:p w14:paraId="2DD7677D"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9" w:history="1">
        <w:r w:rsidRPr="004E1ECC">
          <w:rPr>
            <w:rStyle w:val="Hyperlink"/>
            <w:sz w:val="18"/>
            <w:szCs w:val="18"/>
          </w:rPr>
          <w:t>https://artjameel.org/about/history/</w:t>
        </w:r>
      </w:hyperlink>
      <w:r w:rsidRPr="004E1ECC">
        <w:rPr>
          <w:sz w:val="18"/>
          <w:szCs w:val="18"/>
        </w:rPr>
        <w:t xml:space="preserve"> </w:t>
      </w:r>
    </w:p>
  </w:footnote>
  <w:footnote w:id="16">
    <w:p w14:paraId="3BA9DF48"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10" w:history="1">
        <w:r w:rsidRPr="004E1ECC">
          <w:rPr>
            <w:rStyle w:val="Hyperlink"/>
            <w:sz w:val="18"/>
            <w:szCs w:val="18"/>
          </w:rPr>
          <w:t>https://artjameel.org/heritage/preserving-the-future/</w:t>
        </w:r>
      </w:hyperlink>
      <w:r w:rsidRPr="004E1ECC">
        <w:rPr>
          <w:sz w:val="18"/>
          <w:szCs w:val="18"/>
        </w:rPr>
        <w:t xml:space="preserve"> </w:t>
      </w:r>
    </w:p>
  </w:footnote>
  <w:footnote w:id="17">
    <w:p w14:paraId="7EE7A1D2"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11" w:history="1">
        <w:r w:rsidRPr="004E1ECC">
          <w:rPr>
            <w:rStyle w:val="Hyperlink"/>
            <w:sz w:val="18"/>
            <w:szCs w:val="18"/>
          </w:rPr>
          <w:t>https://artjameel.org/heritage/ateliercairo/</w:t>
        </w:r>
      </w:hyperlink>
      <w:r w:rsidRPr="004E1ECC">
        <w:rPr>
          <w:sz w:val="18"/>
          <w:szCs w:val="18"/>
        </w:rPr>
        <w:t xml:space="preserve"> </w:t>
      </w:r>
    </w:p>
  </w:footnote>
  <w:footnote w:id="18">
    <w:p w14:paraId="1737FF3C"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12" w:history="1">
        <w:r w:rsidRPr="004E1ECC">
          <w:rPr>
            <w:rStyle w:val="Hyperlink"/>
            <w:sz w:val="18"/>
            <w:szCs w:val="18"/>
          </w:rPr>
          <w:t>https://alj.com/fr/news/new-product-design-module-at-the-jameel-house-in-jeddah-prepares-traditional-artisans-for-the-market/</w:t>
        </w:r>
      </w:hyperlink>
      <w:r w:rsidRPr="004E1ECC">
        <w:rPr>
          <w:sz w:val="18"/>
          <w:szCs w:val="18"/>
        </w:rPr>
        <w:t xml:space="preserve"> </w:t>
      </w:r>
    </w:p>
  </w:footnote>
  <w:footnote w:id="19">
    <w:p w14:paraId="5A4763B5"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13" w:history="1">
        <w:r w:rsidRPr="004E1ECC">
          <w:rPr>
            <w:rStyle w:val="Hyperlink"/>
            <w:sz w:val="18"/>
            <w:szCs w:val="18"/>
          </w:rPr>
          <w:t>https://www.milleworld.com/art-jameel-coronavirus-grant/</w:t>
        </w:r>
      </w:hyperlink>
      <w:r w:rsidRPr="004E1ECC">
        <w:rPr>
          <w:sz w:val="18"/>
          <w:szCs w:val="18"/>
        </w:rPr>
        <w:t xml:space="preserve"> </w:t>
      </w:r>
    </w:p>
  </w:footnote>
  <w:footnote w:id="20">
    <w:p w14:paraId="7FC8F875" w14:textId="77777777" w:rsidR="000A7EC2" w:rsidRPr="004E1ECC" w:rsidRDefault="000A7EC2" w:rsidP="000A7EC2">
      <w:pPr>
        <w:pStyle w:val="FootnoteText"/>
        <w:rPr>
          <w:sz w:val="18"/>
          <w:szCs w:val="18"/>
        </w:rPr>
      </w:pPr>
      <w:r w:rsidRPr="004E1ECC">
        <w:rPr>
          <w:rStyle w:val="FootnoteReference"/>
          <w:sz w:val="18"/>
          <w:szCs w:val="18"/>
        </w:rPr>
        <w:footnoteRef/>
      </w:r>
      <w:r w:rsidRPr="004E1ECC">
        <w:rPr>
          <w:sz w:val="18"/>
          <w:szCs w:val="18"/>
        </w:rPr>
        <w:t xml:space="preserve"> Voir : </w:t>
      </w:r>
      <w:hyperlink r:id="rId14" w:history="1">
        <w:r w:rsidRPr="004E1ECC">
          <w:rPr>
            <w:rStyle w:val="Hyperlink"/>
            <w:sz w:val="18"/>
            <w:szCs w:val="18"/>
          </w:rPr>
          <w:t>https://artjameel.org/projects/art-jameel-research-and-practice-platform/</w:t>
        </w:r>
      </w:hyperlink>
    </w:p>
  </w:footnote>
  <w:footnote w:id="21">
    <w:p w14:paraId="49828330"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Nous remercions Ana Shanshiashvili (Association des métiers du patrimoine géorgien) de nous avoir aidés à réaliser cette étude de cas.</w:t>
      </w:r>
    </w:p>
  </w:footnote>
  <w:footnote w:id="22">
    <w:p w14:paraId="2EEF9265"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Nous remercions Frances Potter (The New Basket Workshop), Gregory MacCarthy (The Baba Tree) et Palash Singh (IND) de nous avoir aidés à réaliser cette étude de cas.</w:t>
      </w:r>
    </w:p>
  </w:footnote>
  <w:footnote w:id="23">
    <w:p w14:paraId="37CFEAE2"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La Fondation G-lish et AAG n’agissent plus en tant qu’ONG.</w:t>
      </w:r>
    </w:p>
  </w:footnote>
  <w:footnote w:id="24">
    <w:p w14:paraId="2D337349" w14:textId="6F1E368B" w:rsidR="003675E1" w:rsidRPr="004E1ECC" w:rsidRDefault="003675E1" w:rsidP="003675E1">
      <w:pPr>
        <w:pStyle w:val="FootnoteText"/>
        <w:rPr>
          <w:sz w:val="18"/>
          <w:szCs w:val="18"/>
        </w:rPr>
      </w:pPr>
      <w:r w:rsidRPr="004E1ECC">
        <w:rPr>
          <w:rStyle w:val="FootnoteReference"/>
          <w:sz w:val="18"/>
          <w:szCs w:val="18"/>
        </w:rPr>
        <w:footnoteRef/>
      </w:r>
      <w:r w:rsidRPr="004E1ECC">
        <w:rPr>
          <w:sz w:val="18"/>
          <w:szCs w:val="18"/>
        </w:rPr>
        <w:t> Nous remercions l’équipe HIPAMS pour les informations contenues dans cette étude de cas (</w:t>
      </w:r>
      <w:hyperlink r:id="rId15" w:history="1">
        <w:r w:rsidRPr="004E1ECC">
          <w:rPr>
            <w:rStyle w:val="Hyperlink"/>
            <w:sz w:val="18"/>
            <w:szCs w:val="18"/>
          </w:rPr>
          <w:t>www.hipams.org</w:t>
        </w:r>
      </w:hyperlink>
      <w:r w:rsidRPr="004E1ECC">
        <w:rPr>
          <w:sz w:val="18"/>
          <w:szCs w:val="18"/>
        </w:rPr>
        <w:t>)</w:t>
      </w:r>
    </w:p>
  </w:footnote>
  <w:footnote w:id="25">
    <w:p w14:paraId="29DA8945" w14:textId="77777777" w:rsidR="003675E1" w:rsidRPr="004E1ECC" w:rsidRDefault="003675E1" w:rsidP="003675E1">
      <w:pPr>
        <w:pStyle w:val="FootnoteText"/>
        <w:rPr>
          <w:sz w:val="18"/>
          <w:szCs w:val="18"/>
        </w:rPr>
      </w:pPr>
      <w:r w:rsidRPr="004E1ECC">
        <w:rPr>
          <w:rStyle w:val="FootnoteReference"/>
          <w:sz w:val="18"/>
          <w:szCs w:val="18"/>
        </w:rPr>
        <w:footnoteRef/>
      </w:r>
      <w:r w:rsidRPr="004E1ECC">
        <w:rPr>
          <w:sz w:val="18"/>
          <w:szCs w:val="18"/>
        </w:rPr>
        <w:t xml:space="preserve"> Voir : </w:t>
      </w:r>
      <w:hyperlink r:id="rId16" w:history="1">
        <w:r w:rsidRPr="004E1ECC">
          <w:rPr>
            <w:rStyle w:val="Hyperlink"/>
            <w:sz w:val="18"/>
            <w:szCs w:val="18"/>
          </w:rPr>
          <w:t>https://www.puruliachau.com/</w:t>
        </w:r>
      </w:hyperlink>
      <w:r w:rsidRPr="004E1ECC">
        <w:rPr>
          <w:sz w:val="18"/>
          <w:szCs w:val="18"/>
        </w:rPr>
        <w:t xml:space="preserve"> </w:t>
      </w:r>
    </w:p>
  </w:footnote>
  <w:footnote w:id="26">
    <w:p w14:paraId="57E9D434"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Nous remercions Salomón Bazbaz Lapidus (fondateur du Centre des arts autochtones) de nous avoir aidés à réaliser cette étude de cas.</w:t>
      </w:r>
    </w:p>
  </w:footnote>
  <w:footnote w:id="27">
    <w:p w14:paraId="407EB58B" w14:textId="77777777" w:rsidR="008A6E55" w:rsidRPr="004E1ECC" w:rsidRDefault="008A6E55" w:rsidP="008A6E55">
      <w:pPr>
        <w:rPr>
          <w:rFonts w:asciiTheme="minorHAnsi" w:hAnsiTheme="minorHAnsi" w:cstheme="minorHAnsi"/>
          <w:sz w:val="18"/>
          <w:szCs w:val="18"/>
        </w:rPr>
      </w:pPr>
      <w:r w:rsidRPr="004E1ECC">
        <w:rPr>
          <w:rStyle w:val="FootnoteReference"/>
          <w:rFonts w:asciiTheme="minorHAnsi" w:hAnsiTheme="minorHAnsi" w:cstheme="minorHAnsi"/>
          <w:sz w:val="18"/>
          <w:szCs w:val="18"/>
        </w:rPr>
        <w:footnoteRef/>
      </w:r>
      <w:r w:rsidRPr="004E1ECC">
        <w:rPr>
          <w:rFonts w:asciiTheme="minorHAnsi" w:hAnsiTheme="minorHAnsi" w:cstheme="minorHAnsi"/>
          <w:sz w:val="18"/>
          <w:szCs w:val="18"/>
        </w:rPr>
        <w:t xml:space="preserve"> Voir : </w:t>
      </w:r>
      <w:hyperlink r:id="rId17" w:history="1">
        <w:r w:rsidRPr="004E1ECC">
          <w:rPr>
            <w:rStyle w:val="Hyperlink"/>
            <w:rFonts w:asciiTheme="minorHAnsi" w:hAnsiTheme="minorHAnsi" w:cstheme="minorHAnsi"/>
            <w:sz w:val="18"/>
            <w:szCs w:val="18"/>
          </w:rPr>
          <w:t>https://www.lajornadamaya.mx/opinion/175492/los-voladores-la-fuerza-aerea-espiritual-de-mexico</w:t>
        </w:r>
      </w:hyperlink>
    </w:p>
  </w:footnote>
  <w:footnote w:id="28">
    <w:p w14:paraId="5807697D"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Voir : </w:t>
      </w:r>
      <w:hyperlink r:id="rId18" w:history="1">
        <w:r w:rsidRPr="004E1ECC">
          <w:rPr>
            <w:rStyle w:val="Hyperlink"/>
            <w:sz w:val="18"/>
            <w:szCs w:val="18"/>
          </w:rPr>
          <w:t>https://inah.gob.mx/boletines/el-consejo-de-voladores-y-la-cerveceria-cuauhtemoc-moctezuma-celebran-acuerdo-reparatorio</w:t>
        </w:r>
      </w:hyperlink>
    </w:p>
  </w:footnote>
  <w:footnote w:id="29">
    <w:p w14:paraId="419256FF"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Nous remercions Michael Daiber, Chris Low et Magdalena Lukas (entre autres), de !Khwa ttu, de nous avoir aidés à réaliser cette étude de cas.</w:t>
      </w:r>
    </w:p>
  </w:footnote>
  <w:footnote w:id="30">
    <w:p w14:paraId="2620561F" w14:textId="77777777" w:rsidR="00C26F11" w:rsidRPr="004E1ECC" w:rsidRDefault="00C26F11" w:rsidP="00C26F11">
      <w:pPr>
        <w:pStyle w:val="FootnoteText"/>
        <w:rPr>
          <w:sz w:val="18"/>
          <w:szCs w:val="18"/>
        </w:rPr>
      </w:pPr>
      <w:r w:rsidRPr="004E1ECC">
        <w:rPr>
          <w:rStyle w:val="FootnoteReference"/>
          <w:sz w:val="18"/>
          <w:szCs w:val="18"/>
        </w:rPr>
        <w:footnoteRef/>
      </w:r>
      <w:r w:rsidRPr="004E1ECC">
        <w:rPr>
          <w:sz w:val="18"/>
          <w:szCs w:val="18"/>
        </w:rPr>
        <w:t> Merci à Evrim Ölçer Özünel (Université Hacı Bayram Veli Ankara) de nous avoir aidés à réaliser cette étude de cas.</w:t>
      </w:r>
    </w:p>
  </w:footnote>
  <w:footnote w:id="31">
    <w:p w14:paraId="13C46139"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Nous remercions Annie Tabet (Université Saint-Joseph de Beyrouth) de nous avoir aidés à réaliser cette étude de cas.</w:t>
      </w:r>
    </w:p>
  </w:footnote>
  <w:footnote w:id="32">
    <w:p w14:paraId="6FD2921C"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w:t>
      </w:r>
      <w:r w:rsidRPr="004E1ECC">
        <w:rPr>
          <w:rStyle w:val="FootnoteTextChar"/>
          <w:sz w:val="18"/>
          <w:szCs w:val="18"/>
        </w:rPr>
        <w:t xml:space="preserve">Centre d’analyse ACAPS, </w:t>
      </w:r>
      <w:r w:rsidRPr="004E1ECC">
        <w:rPr>
          <w:rStyle w:val="FootnoteTextChar"/>
          <w:i/>
          <w:iCs/>
          <w:sz w:val="18"/>
          <w:szCs w:val="18"/>
        </w:rPr>
        <w:t>YEMEN Life goes on in Yemen: Conversations with Yemeni families as the war nears its eighth year</w:t>
      </w:r>
      <w:r w:rsidRPr="004E1ECC">
        <w:rPr>
          <w:rStyle w:val="FootnoteTextChar"/>
          <w:sz w:val="18"/>
          <w:szCs w:val="18"/>
        </w:rPr>
        <w:t xml:space="preserve"> (La vie continue au Yémen : entretiens avec des familles yéménites à l’approche de la huitième année de guerre), rapport thématique du 22 mai 2022 : </w:t>
      </w:r>
      <w:hyperlink r:id="rId19" w:history="1">
        <w:r w:rsidRPr="004E1ECC">
          <w:rPr>
            <w:rStyle w:val="Hyperlink"/>
            <w:sz w:val="18"/>
            <w:szCs w:val="18"/>
          </w:rPr>
          <w:t>https://www.acaps.org/sites/acaps/files/products/files/20220522_acaps_yemen_analysis_hub_coping_strategies_0.pdf</w:t>
        </w:r>
      </w:hyperlink>
      <w:r w:rsidRPr="004E1ECC">
        <w:rPr>
          <w:sz w:val="18"/>
          <w:szCs w:val="18"/>
        </w:rPr>
        <w:t xml:space="preserve"> </w:t>
      </w:r>
    </w:p>
  </w:footnote>
  <w:footnote w:id="33">
    <w:p w14:paraId="7C3C242B" w14:textId="77777777" w:rsidR="008A6E55" w:rsidRPr="004E1ECC" w:rsidRDefault="008A6E55" w:rsidP="008A6E55">
      <w:pPr>
        <w:pStyle w:val="FootnoteText"/>
        <w:rPr>
          <w:sz w:val="18"/>
          <w:szCs w:val="18"/>
          <w:lang w:val="pt-BR"/>
        </w:rPr>
      </w:pPr>
      <w:r w:rsidRPr="004E1ECC">
        <w:rPr>
          <w:rStyle w:val="FootnoteReference"/>
          <w:sz w:val="18"/>
          <w:szCs w:val="18"/>
        </w:rPr>
        <w:footnoteRef/>
      </w:r>
      <w:r w:rsidRPr="004E1ECC">
        <w:rPr>
          <w:sz w:val="18"/>
          <w:szCs w:val="18"/>
        </w:rPr>
        <w:t> H. Schönig, « Le corps et les rites de passage chez les femmes du Yémen », </w:t>
      </w:r>
      <w:r w:rsidRPr="004E1ECC">
        <w:rPr>
          <w:i/>
          <w:sz w:val="18"/>
          <w:szCs w:val="18"/>
        </w:rPr>
        <w:t>Revue des mondes musulmans et de la Méditerranée</w:t>
      </w:r>
      <w:r w:rsidRPr="004E1ECC">
        <w:rPr>
          <w:sz w:val="18"/>
          <w:szCs w:val="18"/>
        </w:rPr>
        <w:t> [en ligne], p. 113-114, 2006. </w:t>
      </w:r>
      <w:r w:rsidRPr="004E1ECC">
        <w:rPr>
          <w:sz w:val="18"/>
          <w:szCs w:val="18"/>
          <w:lang w:val="pt-BR"/>
        </w:rPr>
        <w:t xml:space="preserve">URL : </w:t>
      </w:r>
      <w:hyperlink r:id="rId20" w:history="1">
        <w:r w:rsidRPr="004E1ECC">
          <w:rPr>
            <w:rStyle w:val="Hyperlink"/>
            <w:sz w:val="18"/>
            <w:szCs w:val="18"/>
            <w:lang w:val="pt-BR"/>
          </w:rPr>
          <w:t>http://journals.openedition.org/remmm/2974</w:t>
        </w:r>
      </w:hyperlink>
      <w:r w:rsidRPr="004E1ECC">
        <w:rPr>
          <w:sz w:val="18"/>
          <w:szCs w:val="18"/>
          <w:lang w:val="pt-BR"/>
        </w:rPr>
        <w:t xml:space="preserve"> ; DOI : </w:t>
      </w:r>
      <w:hyperlink r:id="rId21" w:history="1">
        <w:r w:rsidRPr="004E1ECC">
          <w:rPr>
            <w:rStyle w:val="Hyperlink"/>
            <w:sz w:val="18"/>
            <w:szCs w:val="18"/>
            <w:lang w:val="pt-BR"/>
          </w:rPr>
          <w:t>https://doi.org/10.4000/remmm.2974</w:t>
        </w:r>
      </w:hyperlink>
      <w:r w:rsidRPr="004E1ECC">
        <w:rPr>
          <w:sz w:val="18"/>
          <w:szCs w:val="18"/>
          <w:lang w:val="pt-BR"/>
        </w:rPr>
        <w:t xml:space="preserve"> </w:t>
      </w:r>
    </w:p>
  </w:footnote>
  <w:footnote w:id="34">
    <w:p w14:paraId="2A448A52" w14:textId="77777777" w:rsidR="008A6E55" w:rsidRPr="004E1ECC" w:rsidRDefault="008A6E55" w:rsidP="008A6E55">
      <w:pPr>
        <w:pStyle w:val="FootnoteText"/>
        <w:rPr>
          <w:sz w:val="18"/>
          <w:szCs w:val="18"/>
          <w:lang w:val="es-ES"/>
        </w:rPr>
      </w:pPr>
      <w:r w:rsidRPr="004E1ECC">
        <w:rPr>
          <w:rStyle w:val="FootnoteReference"/>
          <w:sz w:val="18"/>
          <w:szCs w:val="18"/>
        </w:rPr>
        <w:footnoteRef/>
      </w:r>
      <w:r w:rsidRPr="004E1ECC">
        <w:rPr>
          <w:sz w:val="18"/>
          <w:szCs w:val="18"/>
          <w:lang w:val="es-ES"/>
        </w:rPr>
        <w:t xml:space="preserve"> M. Al-Chotiri, « Yemeni Henna » [Henné yéménite], </w:t>
      </w:r>
      <w:r w:rsidRPr="004E1ECC">
        <w:rPr>
          <w:i/>
          <w:sz w:val="18"/>
          <w:szCs w:val="18"/>
          <w:lang w:val="es-ES"/>
        </w:rPr>
        <w:t xml:space="preserve">Al-Watan, </w:t>
      </w:r>
      <w:r w:rsidRPr="004E1ECC">
        <w:rPr>
          <w:sz w:val="18"/>
          <w:szCs w:val="18"/>
          <w:lang w:val="es-ES"/>
        </w:rPr>
        <w:t>21/02/2018 (arabe) :</w:t>
      </w:r>
    </w:p>
    <w:p w14:paraId="227B39A4" w14:textId="77777777" w:rsidR="008A6E55" w:rsidRPr="004E1ECC" w:rsidRDefault="004D4868" w:rsidP="008A6E55">
      <w:pPr>
        <w:pStyle w:val="FootnoteText"/>
        <w:rPr>
          <w:sz w:val="18"/>
          <w:szCs w:val="18"/>
          <w:lang w:val="es-ES"/>
        </w:rPr>
      </w:pPr>
      <w:hyperlink r:id="rId22" w:history="1">
        <w:r w:rsidR="008A6E55" w:rsidRPr="004E1ECC">
          <w:rPr>
            <w:rStyle w:val="Hyperlink"/>
            <w:sz w:val="18"/>
            <w:szCs w:val="18"/>
            <w:lang w:val="es-ES"/>
          </w:rPr>
          <w:t>https://www.al-watan.com/article/127871/LASTPAGE/</w:t>
        </w:r>
      </w:hyperlink>
      <w:r w:rsidR="008A6E55" w:rsidRPr="004E1ECC">
        <w:rPr>
          <w:color w:val="000000"/>
          <w:sz w:val="18"/>
          <w:szCs w:val="18"/>
          <w:lang w:val="es-ES"/>
        </w:rPr>
        <w:t xml:space="preserve"> </w:t>
      </w:r>
    </w:p>
  </w:footnote>
  <w:footnote w:id="35">
    <w:p w14:paraId="6C5F17DA" w14:textId="77777777" w:rsidR="008A6E55" w:rsidRPr="004E1ECC" w:rsidRDefault="008A6E55" w:rsidP="008A6E55">
      <w:pPr>
        <w:pStyle w:val="FootnoteText"/>
        <w:rPr>
          <w:sz w:val="18"/>
          <w:szCs w:val="18"/>
          <w:lang w:val="es-ES"/>
        </w:rPr>
      </w:pPr>
      <w:r w:rsidRPr="004E1ECC">
        <w:rPr>
          <w:rStyle w:val="FootnoteReference"/>
          <w:sz w:val="18"/>
          <w:szCs w:val="18"/>
        </w:rPr>
        <w:footnoteRef/>
      </w:r>
      <w:r w:rsidRPr="004E1ECC">
        <w:rPr>
          <w:sz w:val="18"/>
          <w:szCs w:val="18"/>
          <w:lang w:val="es-ES"/>
        </w:rPr>
        <w:t xml:space="preserve"> Al-Shabab net, « “Henna”: an ancient Yemeni folklore with special rituals, customs and various uses (special report) » [“Henné” : un ancien folklore yéménite avec certains rituels, coutumes et diverses utilisations (rapport spécial)], 12/12/2020 (arabe) : </w:t>
      </w:r>
      <w:hyperlink r:id="rId23" w:history="1">
        <w:r w:rsidRPr="004E1ECC">
          <w:rPr>
            <w:rStyle w:val="Hyperlink"/>
            <w:sz w:val="18"/>
            <w:szCs w:val="18"/>
            <w:lang w:val="es-ES"/>
          </w:rPr>
          <w:t>https://yemenshabab.net/reports/61958</w:t>
        </w:r>
      </w:hyperlink>
    </w:p>
  </w:footnote>
  <w:footnote w:id="36">
    <w:p w14:paraId="1722E6C8" w14:textId="77777777" w:rsidR="008A6E55" w:rsidRPr="004E1ECC" w:rsidRDefault="008A6E55" w:rsidP="008A6E55">
      <w:pPr>
        <w:pStyle w:val="FootnoteText"/>
        <w:rPr>
          <w:sz w:val="18"/>
          <w:szCs w:val="18"/>
          <w:lang w:val="es-ES"/>
        </w:rPr>
      </w:pPr>
      <w:r w:rsidRPr="004E1ECC">
        <w:rPr>
          <w:rStyle w:val="FootnoteReference"/>
          <w:sz w:val="18"/>
          <w:szCs w:val="18"/>
        </w:rPr>
        <w:footnoteRef/>
      </w:r>
      <w:r w:rsidRPr="004E1ECC">
        <w:rPr>
          <w:sz w:val="18"/>
          <w:szCs w:val="18"/>
          <w:lang w:val="es-ES"/>
        </w:rPr>
        <w:t xml:space="preserve"> O. Mohsen, « Henna is not exclusive to women in Yemen » [Le henné n’est pas réservé aux femmes au Yémen], </w:t>
      </w:r>
      <w:r w:rsidRPr="004E1ECC">
        <w:rPr>
          <w:i/>
          <w:sz w:val="18"/>
          <w:szCs w:val="18"/>
          <w:lang w:val="es-ES"/>
        </w:rPr>
        <w:t>Eremnews</w:t>
      </w:r>
      <w:r w:rsidRPr="004E1ECC">
        <w:rPr>
          <w:sz w:val="18"/>
          <w:szCs w:val="18"/>
          <w:lang w:val="es-ES"/>
        </w:rPr>
        <w:t>, 08/05/2017 (arabe) :</w:t>
      </w:r>
    </w:p>
    <w:p w14:paraId="30FC3F61" w14:textId="35B429BA" w:rsidR="008A6E55" w:rsidRPr="004E1ECC" w:rsidRDefault="004D4868" w:rsidP="008A6E55">
      <w:pPr>
        <w:pStyle w:val="FootnoteText"/>
        <w:rPr>
          <w:sz w:val="18"/>
          <w:szCs w:val="18"/>
          <w:lang w:val="es-ES"/>
        </w:rPr>
      </w:pPr>
      <w:hyperlink r:id="rId24" w:history="1">
        <w:r w:rsidR="00833803" w:rsidRPr="004E1ECC">
          <w:rPr>
            <w:rStyle w:val="Hyperlink"/>
            <w:sz w:val="18"/>
            <w:szCs w:val="18"/>
            <w:lang w:val="es-ES"/>
          </w:rPr>
          <w:t>https://www.eremnews.com/entertainment/society/830584</w:t>
        </w:r>
      </w:hyperlink>
      <w:r w:rsidR="00833803" w:rsidRPr="004E1ECC">
        <w:rPr>
          <w:sz w:val="18"/>
          <w:szCs w:val="18"/>
          <w:lang w:val="es-ES"/>
        </w:rPr>
        <w:t xml:space="preserve"> </w:t>
      </w:r>
    </w:p>
  </w:footnote>
  <w:footnote w:id="37">
    <w:p w14:paraId="581832F8" w14:textId="77777777" w:rsidR="008A6E55" w:rsidRPr="004E1ECC" w:rsidRDefault="008A6E55" w:rsidP="008A6E55">
      <w:pPr>
        <w:pStyle w:val="FootnoteText"/>
        <w:rPr>
          <w:sz w:val="18"/>
          <w:szCs w:val="18"/>
          <w:lang w:val="es-ES"/>
        </w:rPr>
      </w:pPr>
      <w:r w:rsidRPr="004E1ECC">
        <w:rPr>
          <w:rStyle w:val="FootnoteReference"/>
          <w:sz w:val="18"/>
          <w:szCs w:val="18"/>
        </w:rPr>
        <w:footnoteRef/>
      </w:r>
      <w:r w:rsidRPr="004E1ECC">
        <w:rPr>
          <w:sz w:val="18"/>
          <w:szCs w:val="18"/>
          <w:lang w:val="es-ES"/>
        </w:rPr>
        <w:t xml:space="preserve"> F. Qassem, « Henna in Yemen: Decoration, Rituals and Legends » [Henné au Yémen : décoration, rituels et légendes], </w:t>
      </w:r>
      <w:r w:rsidRPr="004E1ECC">
        <w:rPr>
          <w:i/>
          <w:sz w:val="18"/>
          <w:szCs w:val="18"/>
          <w:lang w:val="es-ES"/>
        </w:rPr>
        <w:t>Almushahid</w:t>
      </w:r>
      <w:r w:rsidRPr="004E1ECC">
        <w:rPr>
          <w:sz w:val="18"/>
          <w:szCs w:val="18"/>
          <w:lang w:val="es-ES"/>
        </w:rPr>
        <w:t>, 12/11/2018 (arabe) :</w:t>
      </w:r>
    </w:p>
    <w:p w14:paraId="33683FEB" w14:textId="77777777" w:rsidR="008A6E55" w:rsidRPr="004E1ECC" w:rsidRDefault="004D4868" w:rsidP="008A6E55">
      <w:pPr>
        <w:pStyle w:val="FootnoteText"/>
        <w:rPr>
          <w:sz w:val="18"/>
          <w:szCs w:val="18"/>
          <w:lang w:val="es-ES"/>
        </w:rPr>
      </w:pPr>
      <w:hyperlink r:id="rId25" w:history="1">
        <w:r w:rsidR="008A6E55" w:rsidRPr="004E1ECC">
          <w:rPr>
            <w:rStyle w:val="Hyperlink"/>
            <w:sz w:val="18"/>
            <w:szCs w:val="18"/>
            <w:lang w:val="es-ES"/>
          </w:rPr>
          <w:t>https://almushahid.net/35809/#</w:t>
        </w:r>
      </w:hyperlink>
      <w:r w:rsidR="008A6E55" w:rsidRPr="004E1ECC">
        <w:rPr>
          <w:sz w:val="18"/>
          <w:szCs w:val="18"/>
          <w:lang w:val="es-ES"/>
        </w:rPr>
        <w:t xml:space="preserve"> </w:t>
      </w:r>
    </w:p>
  </w:footnote>
  <w:footnote w:id="38">
    <w:p w14:paraId="4168DC75"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lang w:val="es-ES"/>
        </w:rPr>
        <w:t xml:space="preserve"> GIZ news, « Displaced women in Yemen: success through henna art » [Femmes déplacées au Yémen : le succès grâce à l’art du henné], 2022. </w:t>
      </w:r>
      <w:r w:rsidRPr="004E1ECC">
        <w:rPr>
          <w:sz w:val="18"/>
          <w:szCs w:val="18"/>
        </w:rPr>
        <w:t xml:space="preserve">Voir : </w:t>
      </w:r>
      <w:hyperlink r:id="rId26" w:history="1">
        <w:r w:rsidRPr="004E1ECC">
          <w:rPr>
            <w:rStyle w:val="Hyperlink"/>
            <w:sz w:val="18"/>
            <w:szCs w:val="18"/>
          </w:rPr>
          <w:t>https://www.giz.de/en/mediacenter/110638.html</w:t>
        </w:r>
      </w:hyperlink>
    </w:p>
  </w:footnote>
  <w:footnote w:id="39">
    <w:p w14:paraId="6EDE5648"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M. Heinze, S. Stevens. (2018), « Women as Peacebuilders in Yemen » [Les femmes, bâtisseuses de paix au Yémen], Centre de développement social direct et de vote du Yémen :</w:t>
      </w:r>
    </w:p>
    <w:p w14:paraId="62A109EE" w14:textId="77777777" w:rsidR="008A6E55" w:rsidRPr="004E1ECC" w:rsidRDefault="004D4868" w:rsidP="008A6E55">
      <w:pPr>
        <w:pStyle w:val="FootnoteText"/>
        <w:rPr>
          <w:color w:val="0000FF"/>
          <w:sz w:val="18"/>
          <w:szCs w:val="18"/>
          <w:u w:val="single"/>
        </w:rPr>
      </w:pPr>
      <w:hyperlink r:id="rId27" w:history="1">
        <w:r w:rsidR="008A6E55" w:rsidRPr="004E1ECC">
          <w:rPr>
            <w:rStyle w:val="Hyperlink"/>
            <w:sz w:val="18"/>
            <w:szCs w:val="18"/>
          </w:rPr>
          <w:t>https://www.yemenpolicy.org/wp-content/uploads/2021/12/YPCPublications_Report-Women-as-Peacebuliders-in-Yemen-June-2018.pdf</w:t>
        </w:r>
      </w:hyperlink>
      <w:r w:rsidR="008A6E55" w:rsidRPr="004E1ECC">
        <w:rPr>
          <w:sz w:val="18"/>
          <w:szCs w:val="18"/>
        </w:rPr>
        <w:t> ; UNICEF, Programme d’évaluation du marché IMSEA pour identifier les opportunités de micro-entreprises viables pour les groupes les plus pauvres et marginalisés dans les gouvernorats d’Amanat al Assimah et de Sana’a :</w:t>
      </w:r>
    </w:p>
    <w:p w14:paraId="3DDAB8D0" w14:textId="469D85AF" w:rsidR="008A6E55" w:rsidRPr="004E1ECC" w:rsidRDefault="004D4868" w:rsidP="0073083A">
      <w:pPr>
        <w:pStyle w:val="FootnoteText"/>
        <w:rPr>
          <w:sz w:val="18"/>
          <w:szCs w:val="18"/>
        </w:rPr>
      </w:pPr>
      <w:hyperlink r:id="rId28" w:history="1">
        <w:r w:rsidR="008A6E55" w:rsidRPr="004E1ECC">
          <w:rPr>
            <w:rStyle w:val="Hyperlink"/>
            <w:sz w:val="18"/>
            <w:szCs w:val="18"/>
          </w:rPr>
          <w:t>https://www.unicef.org/yemen/media/4061/file/IMSEA%20Market%20Assessment%20Report%20English%20Version.pdf</w:t>
        </w:r>
      </w:hyperlink>
      <w:r w:rsidR="008A6E55" w:rsidRPr="004E1ECC">
        <w:rPr>
          <w:sz w:val="18"/>
          <w:szCs w:val="18"/>
        </w:rPr>
        <w:t xml:space="preserve"> ; </w:t>
      </w:r>
    </w:p>
  </w:footnote>
  <w:footnote w:id="40">
    <w:p w14:paraId="0AF0D9A9" w14:textId="77777777" w:rsidR="008A6E55" w:rsidRPr="004E1ECC" w:rsidRDefault="008A6E55" w:rsidP="008A6E55">
      <w:pPr>
        <w:pStyle w:val="FootnoteText"/>
        <w:rPr>
          <w:sz w:val="18"/>
          <w:szCs w:val="18"/>
          <w:lang w:val="es-ES"/>
        </w:rPr>
      </w:pPr>
      <w:r w:rsidRPr="004E1ECC">
        <w:rPr>
          <w:rStyle w:val="FootnoteReference"/>
          <w:sz w:val="18"/>
          <w:szCs w:val="18"/>
        </w:rPr>
        <w:footnoteRef/>
      </w:r>
      <w:r w:rsidRPr="004E1ECC">
        <w:rPr>
          <w:sz w:val="18"/>
          <w:szCs w:val="18"/>
        </w:rPr>
        <w:t xml:space="preserve"> USAID, Analyse du genre au Yémen 2020. </w:t>
      </w:r>
      <w:r w:rsidRPr="004E1ECC">
        <w:rPr>
          <w:sz w:val="18"/>
          <w:szCs w:val="18"/>
          <w:lang w:val="es-ES"/>
        </w:rPr>
        <w:t xml:space="preserve">BANYAN GLOBAL, 30 janvier 2020 : </w:t>
      </w:r>
    </w:p>
    <w:p w14:paraId="54DAD08E" w14:textId="77777777" w:rsidR="008A6E55" w:rsidRPr="004E1ECC" w:rsidRDefault="004D4868" w:rsidP="008A6E55">
      <w:pPr>
        <w:pStyle w:val="FootnoteText"/>
        <w:rPr>
          <w:sz w:val="18"/>
          <w:szCs w:val="18"/>
          <w:lang w:val="es-ES"/>
        </w:rPr>
      </w:pPr>
      <w:hyperlink r:id="rId29" w:history="1">
        <w:r w:rsidR="008A6E55" w:rsidRPr="004E1ECC">
          <w:rPr>
            <w:rStyle w:val="Hyperlink"/>
            <w:sz w:val="18"/>
            <w:szCs w:val="18"/>
            <w:lang w:val="es-ES"/>
          </w:rPr>
          <w:t>https://banyanglobal.com/wp-content/uploads/2020/03/GITA-II-USAID-Yemen-Gender-Analysis-30-January-2020-DEC-version-No-Track-Changes-1.pdf</w:t>
        </w:r>
      </w:hyperlink>
      <w:r w:rsidR="008A6E55" w:rsidRPr="004E1ECC">
        <w:rPr>
          <w:sz w:val="18"/>
          <w:szCs w:val="18"/>
          <w:lang w:val="es-ES"/>
        </w:rPr>
        <w:t xml:space="preserve"> </w:t>
      </w:r>
    </w:p>
  </w:footnote>
  <w:footnote w:id="41">
    <w:p w14:paraId="697FBF36"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Centre d’analyse ACAPS, </w:t>
      </w:r>
      <w:r w:rsidRPr="004E1ECC">
        <w:rPr>
          <w:i/>
          <w:iCs/>
          <w:sz w:val="18"/>
          <w:szCs w:val="18"/>
        </w:rPr>
        <w:t>op. cit.</w:t>
      </w:r>
    </w:p>
  </w:footnote>
  <w:footnote w:id="42">
    <w:p w14:paraId="64D75C79"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A. Al-Aghbary, « Body engraving a profession that attracts girls in Yemen during the war » [La gravure corporelle, une profession qui attire les filles au Yémen pendant la guerre], </w:t>
      </w:r>
      <w:r w:rsidRPr="004E1ECC">
        <w:rPr>
          <w:i/>
          <w:sz w:val="18"/>
          <w:szCs w:val="18"/>
        </w:rPr>
        <w:t xml:space="preserve">Al-Quds Al-Arabi, </w:t>
      </w:r>
      <w:r w:rsidRPr="004E1ECC">
        <w:rPr>
          <w:sz w:val="18"/>
          <w:szCs w:val="18"/>
        </w:rPr>
        <w:t>23/12/2017 (arabe) :</w:t>
      </w:r>
    </w:p>
    <w:p w14:paraId="35037057" w14:textId="77777777" w:rsidR="008A6E55" w:rsidRPr="004E1ECC" w:rsidRDefault="004D4868" w:rsidP="008A6E55">
      <w:pPr>
        <w:pStyle w:val="FootnoteText"/>
        <w:rPr>
          <w:sz w:val="18"/>
          <w:szCs w:val="18"/>
        </w:rPr>
      </w:pPr>
      <w:hyperlink r:id="rId30" w:history="1">
        <w:r w:rsidR="008A6E55" w:rsidRPr="004E1ECC">
          <w:rPr>
            <w:rStyle w:val="Hyperlink"/>
            <w:sz w:val="18"/>
            <w:szCs w:val="18"/>
          </w:rPr>
          <w:t>https://www.alquds.co.uk/</w:t>
        </w:r>
      </w:hyperlink>
      <w:r w:rsidR="008A6E55" w:rsidRPr="004E1ECC">
        <w:rPr>
          <w:rStyle w:val="post-date"/>
          <w:sz w:val="18"/>
          <w:szCs w:val="18"/>
        </w:rPr>
        <w:t xml:space="preserve"> </w:t>
      </w:r>
    </w:p>
  </w:footnote>
  <w:footnote w:id="43">
    <w:p w14:paraId="5FF98009"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Biodiversity International, </w:t>
      </w:r>
      <w:r w:rsidRPr="004E1ECC">
        <w:rPr>
          <w:i/>
          <w:iCs/>
          <w:sz w:val="18"/>
          <w:szCs w:val="18"/>
        </w:rPr>
        <w:t>Medicinal and aromatic plants improve livelihoods in Yemen</w:t>
      </w:r>
      <w:r w:rsidRPr="004E1ECC">
        <w:rPr>
          <w:sz w:val="18"/>
          <w:szCs w:val="18"/>
        </w:rPr>
        <w:t xml:space="preserve"> [Les plantes médicinales et aromatiques améliorent les moyens de subsistance au Yémen], 2012. Voir : </w:t>
      </w:r>
      <w:hyperlink r:id="rId31" w:history="1">
        <w:r w:rsidRPr="004E1ECC">
          <w:rPr>
            <w:rStyle w:val="Hyperlink"/>
            <w:sz w:val="18"/>
            <w:szCs w:val="18"/>
          </w:rPr>
          <w:t>https://www.bioversityinternational.org/fileadmin/_migrated/uploads/tx_news/Medicinal_and_aromatic_plants_improve_livelihoods_in_Yemen_1579.pdf</w:t>
        </w:r>
      </w:hyperlink>
      <w:r w:rsidRPr="004E1ECC">
        <w:rPr>
          <w:sz w:val="18"/>
          <w:szCs w:val="18"/>
        </w:rPr>
        <w:t xml:space="preserve"> </w:t>
      </w:r>
    </w:p>
  </w:footnote>
  <w:footnote w:id="44">
    <w:p w14:paraId="01B1CF96"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Ces chiffres datent du </w:t>
      </w:r>
      <w:r w:rsidRPr="004E1ECC">
        <w:rPr>
          <w:rStyle w:val="text-color-dark-gray"/>
          <w:sz w:val="18"/>
          <w:szCs w:val="18"/>
          <w:bdr w:val="none" w:sz="0" w:space="0" w:color="auto" w:frame="1"/>
        </w:rPr>
        <w:t>7 février 2022</w:t>
      </w:r>
      <w:r w:rsidRPr="004E1ECC">
        <w:rPr>
          <w:sz w:val="18"/>
          <w:szCs w:val="18"/>
        </w:rPr>
        <w:t xml:space="preserve">et sont basés sur les données de Volza concernant les importations de poudre de henné au Yémen : </w:t>
      </w:r>
      <w:hyperlink r:id="rId32" w:history="1">
        <w:r w:rsidRPr="004E1ECC">
          <w:rPr>
            <w:rStyle w:val="Hyperlink"/>
            <w:sz w:val="18"/>
            <w:szCs w:val="18"/>
          </w:rPr>
          <w:t>https://www.volza.com/p/henna-powder/import/import-in-yemen/</w:t>
        </w:r>
      </w:hyperlink>
    </w:p>
  </w:footnote>
  <w:footnote w:id="45">
    <w:p w14:paraId="1D7559B4"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Nous remercions Silja Somby et Siri Wernberg du Parlement sami (Norvège) de nous avoir aidés à réaliser cette étude de cas.</w:t>
      </w:r>
    </w:p>
  </w:footnote>
  <w:footnote w:id="46">
    <w:p w14:paraId="39FF0850" w14:textId="7B943850"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Piia Nuorgam, présentation lors du webinaire du Sommet des arts de l’Arctique « Expériences des praticiens dans l’économie des arts traditionnels », 9 juin 2022. Voir : </w:t>
      </w:r>
      <w:hyperlink r:id="rId33" w:history="1">
        <w:r w:rsidR="00160084" w:rsidRPr="004E1ECC">
          <w:rPr>
            <w:rStyle w:val="Hyperlink"/>
            <w:rFonts w:ascii="Calibri" w:hAnsi="Calibri" w:cs="Calibri"/>
            <w:sz w:val="18"/>
            <w:szCs w:val="18"/>
          </w:rPr>
          <w:t>https://www.kulturdirektoratet.no/web/guest/kalender/hendelse/-/practitioners-experiences-in-the-traditional-arts-economy</w:t>
        </w:r>
      </w:hyperlink>
    </w:p>
  </w:footnote>
  <w:footnote w:id="47">
    <w:p w14:paraId="07EEBF34"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Voir le site web du Conseil sami : </w:t>
      </w:r>
      <w:hyperlink r:id="rId34" w:history="1">
        <w:r w:rsidRPr="004E1ECC">
          <w:rPr>
            <w:rStyle w:val="Hyperlink"/>
            <w:sz w:val="18"/>
            <w:szCs w:val="18"/>
          </w:rPr>
          <w:t>https://www.saamicouncil.net/en/the-sami-duodji-certificate</w:t>
        </w:r>
      </w:hyperlink>
      <w:r w:rsidRPr="004E1ECC">
        <w:rPr>
          <w:sz w:val="18"/>
          <w:szCs w:val="18"/>
        </w:rPr>
        <w:t xml:space="preserve"> ; </w:t>
      </w:r>
      <w:hyperlink r:id="rId35" w:history="1">
        <w:r w:rsidRPr="004E1ECC">
          <w:rPr>
            <w:rStyle w:val="Hyperlink"/>
            <w:sz w:val="18"/>
            <w:szCs w:val="18"/>
          </w:rPr>
          <w:t>https://www.saamicouncil.net/news-archive/smiri-almmustahtt-smi-duodji-ja-smi-made-mearkkaid-d78cb-3aket</w:t>
        </w:r>
      </w:hyperlink>
      <w:r w:rsidRPr="004E1ECC">
        <w:rPr>
          <w:sz w:val="18"/>
          <w:szCs w:val="18"/>
        </w:rPr>
        <w:t xml:space="preserve"> </w:t>
      </w:r>
    </w:p>
  </w:footnote>
  <w:footnote w:id="48">
    <w:p w14:paraId="6D29F512"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Le Projet de tourisme sami vise à créer un réseau de collaboration pour un tourisme sami responsable, éthique et durable : </w:t>
      </w:r>
    </w:p>
    <w:p w14:paraId="7DABA2CE" w14:textId="77777777" w:rsidR="008A6E55" w:rsidRPr="004E1ECC" w:rsidRDefault="004D4868" w:rsidP="008A6E55">
      <w:pPr>
        <w:pStyle w:val="FootnoteText"/>
        <w:rPr>
          <w:sz w:val="18"/>
          <w:szCs w:val="18"/>
        </w:rPr>
      </w:pPr>
      <w:hyperlink r:id="rId36" w:history="1">
        <w:r w:rsidR="008A6E55" w:rsidRPr="004E1ECC">
          <w:rPr>
            <w:rStyle w:val="Hyperlink"/>
            <w:sz w:val="18"/>
            <w:szCs w:val="18"/>
          </w:rPr>
          <w:t>https://www.samediggi.fi/2021/10/26/sami-tourism-project-aims-at-building-a-responsible-and-ethically-sustainable-sami-tourism-collaboration-network/?lang=en</w:t>
        </w:r>
      </w:hyperlink>
      <w:r w:rsidR="008A6E55" w:rsidRPr="004E1ECC">
        <w:rPr>
          <w:sz w:val="18"/>
          <w:szCs w:val="18"/>
        </w:rPr>
        <w:t xml:space="preserve"> </w:t>
      </w:r>
    </w:p>
  </w:footnote>
  <w:footnote w:id="49">
    <w:p w14:paraId="3C91AF00" w14:textId="77777777" w:rsidR="008A6E55" w:rsidRPr="004E1ECC"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Déclaration nordique et balte sur les droits des peuples autochtones, 29 septembre 2017, disponible à l’adresse suivante : </w:t>
      </w:r>
      <w:hyperlink r:id="rId37" w:history="1">
        <w:r w:rsidRPr="004E1ECC">
          <w:rPr>
            <w:rStyle w:val="Hyperlink"/>
            <w:sz w:val="18"/>
            <w:szCs w:val="18"/>
          </w:rPr>
          <w:t>https://www.norway.no/en/missions/wto-un/nig/statements/hr/hrc/hrc36/nordic-baltic-statement/</w:t>
        </w:r>
      </w:hyperlink>
      <w:r w:rsidRPr="004E1ECC">
        <w:rPr>
          <w:sz w:val="18"/>
          <w:szCs w:val="18"/>
        </w:rPr>
        <w:t xml:space="preserve"> </w:t>
      </w:r>
    </w:p>
  </w:footnote>
  <w:footnote w:id="50">
    <w:p w14:paraId="3BF357B6" w14:textId="1BAC3318" w:rsidR="008A6E55" w:rsidRPr="00160084" w:rsidRDefault="008A6E55" w:rsidP="008A6E55">
      <w:pPr>
        <w:pStyle w:val="FootnoteText"/>
        <w:rPr>
          <w:sz w:val="18"/>
          <w:szCs w:val="18"/>
        </w:rPr>
      </w:pPr>
      <w:r w:rsidRPr="004E1ECC">
        <w:rPr>
          <w:rStyle w:val="FootnoteReference"/>
          <w:sz w:val="18"/>
          <w:szCs w:val="18"/>
        </w:rPr>
        <w:footnoteRef/>
      </w:r>
      <w:r w:rsidRPr="004E1ECC">
        <w:rPr>
          <w:sz w:val="18"/>
          <w:szCs w:val="18"/>
        </w:rPr>
        <w:t xml:space="preserve"> Piia Nuorgam, présentation lors du webinaire du Sommet des arts de l’Arctique « Expériences des praticiens dans l’économie des arts traditionnels », 9 juin 2022. Voir : </w:t>
      </w:r>
      <w:bookmarkStart w:id="42" w:name="_Hlk145502826"/>
      <w:r w:rsidR="00160084" w:rsidRPr="004E1ECC">
        <w:rPr>
          <w:rFonts w:ascii="Calibri" w:eastAsia="Calibri" w:hAnsi="Calibri" w:cs="Calibri"/>
          <w:sz w:val="18"/>
          <w:szCs w:val="18"/>
          <w:lang w:val="en-GB"/>
        </w:rPr>
        <w:fldChar w:fldCharType="begin"/>
      </w:r>
      <w:r w:rsidR="00160084" w:rsidRPr="004E1ECC">
        <w:rPr>
          <w:rFonts w:ascii="Calibri" w:eastAsia="Calibri" w:hAnsi="Calibri" w:cs="Calibri"/>
          <w:sz w:val="18"/>
          <w:szCs w:val="18"/>
        </w:rPr>
        <w:instrText>HYPERLINK "https://www.kulturdirektoratet.no/web/guest/kalender/hendelse/-/practitioners-experiences-in-the-traditional-arts-economy"</w:instrText>
      </w:r>
      <w:r w:rsidR="00160084" w:rsidRPr="004E1ECC">
        <w:rPr>
          <w:rFonts w:ascii="Calibri" w:eastAsia="Calibri" w:hAnsi="Calibri" w:cs="Calibri"/>
          <w:sz w:val="18"/>
          <w:szCs w:val="18"/>
          <w:lang w:val="en-GB"/>
        </w:rPr>
      </w:r>
      <w:r w:rsidR="00160084" w:rsidRPr="004E1ECC">
        <w:rPr>
          <w:rFonts w:ascii="Calibri" w:eastAsia="Calibri" w:hAnsi="Calibri" w:cs="Calibri"/>
          <w:sz w:val="18"/>
          <w:szCs w:val="18"/>
          <w:lang w:val="en-GB"/>
        </w:rPr>
        <w:fldChar w:fldCharType="separate"/>
      </w:r>
      <w:r w:rsidR="00160084" w:rsidRPr="004E1ECC">
        <w:rPr>
          <w:rStyle w:val="Hyperlink"/>
          <w:rFonts w:ascii="Calibri" w:hAnsi="Calibri" w:cs="Calibri"/>
          <w:sz w:val="18"/>
          <w:szCs w:val="18"/>
        </w:rPr>
        <w:t>https://www.kulturdirektoratet.no/web/guest/kalender/hendelse/-/practitioners-experiences-in-the-traditional-arts-economy</w:t>
      </w:r>
      <w:r w:rsidR="00160084" w:rsidRPr="004E1ECC">
        <w:rPr>
          <w:rFonts w:ascii="Calibri" w:eastAsia="Calibri" w:hAnsi="Calibri" w:cs="Calibri"/>
          <w:sz w:val="18"/>
          <w:szCs w:val="18"/>
          <w:lang w:val="en-GB"/>
        </w:rPr>
        <w:fldChar w:fldCharType="end"/>
      </w:r>
      <w:bookmarkEnd w:id="4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230818D2" w:rsidR="006B5001" w:rsidRPr="00C26F11" w:rsidRDefault="004F1B36" w:rsidP="00C26F11">
    <w:pPr>
      <w:pStyle w:val="Header"/>
      <w:rPr>
        <w:rFonts w:ascii="Arial" w:hAnsi="Arial" w:cs="Arial"/>
        <w:lang w:val="pt-BR"/>
      </w:rPr>
    </w:pPr>
    <w:r w:rsidRPr="00C26F11">
      <w:rPr>
        <w:rFonts w:ascii="Arial" w:hAnsi="Arial" w:cs="Arial"/>
        <w:sz w:val="20"/>
        <w:szCs w:val="20"/>
        <w:lang w:val="pt-BR"/>
      </w:rPr>
      <w:t xml:space="preserve">LHE/23/EXP </w:t>
    </w:r>
    <w:r w:rsidR="003D7046" w:rsidRPr="00C26F11">
      <w:rPr>
        <w:rFonts w:ascii="Arial" w:hAnsi="Arial" w:cs="Arial"/>
        <w:sz w:val="20"/>
        <w:szCs w:val="20"/>
        <w:lang w:val="pt-BR"/>
      </w:rPr>
      <w:t>THEMA-</w:t>
    </w:r>
    <w:r w:rsidR="00430964" w:rsidRPr="00C26F11">
      <w:rPr>
        <w:rFonts w:ascii="Arial" w:hAnsi="Arial" w:cs="Arial"/>
        <w:sz w:val="20"/>
        <w:szCs w:val="20"/>
        <w:lang w:val="pt-BR"/>
      </w:rPr>
      <w:t>ECO</w:t>
    </w:r>
    <w:r w:rsidRPr="00C26F11">
      <w:rPr>
        <w:rFonts w:ascii="Arial" w:hAnsi="Arial" w:cs="Arial"/>
        <w:sz w:val="20"/>
        <w:szCs w:val="20"/>
        <w:lang w:val="pt-BR"/>
      </w:rPr>
      <w:t>/</w:t>
    </w:r>
    <w:r w:rsidR="00C26F11">
      <w:rPr>
        <w:rFonts w:ascii="Arial" w:hAnsi="Arial" w:cs="Arial"/>
        <w:sz w:val="20"/>
        <w:szCs w:val="20"/>
        <w:lang w:val="pt-BR"/>
      </w:rPr>
      <w:t>4.b</w:t>
    </w:r>
    <w:r w:rsidRPr="00C26F11">
      <w:rPr>
        <w:rFonts w:ascii="Arial" w:hAnsi="Arial" w:cs="Arial"/>
        <w:sz w:val="20"/>
        <w:szCs w:val="20"/>
        <w:lang w:val="pt-BR"/>
      </w:rPr>
      <w:t xml:space="preserve"> </w:t>
    </w:r>
    <w:r w:rsidR="00E9376C" w:rsidRPr="00C26F11">
      <w:rPr>
        <w:rFonts w:ascii="Arial" w:hAnsi="Arial" w:cs="Arial"/>
        <w:sz w:val="20"/>
        <w:szCs w:val="20"/>
        <w:lang w:val="pt-BR"/>
      </w:rPr>
      <w:t xml:space="preserve">– page </w:t>
    </w:r>
    <w:r w:rsidR="00E9376C" w:rsidRPr="00EF563B">
      <w:rPr>
        <w:rStyle w:val="PageNumber"/>
        <w:rFonts w:ascii="Arial" w:hAnsi="Arial" w:cs="Arial"/>
        <w:sz w:val="20"/>
        <w:szCs w:val="20"/>
      </w:rPr>
      <w:fldChar w:fldCharType="begin"/>
    </w:r>
    <w:r w:rsidR="00E9376C" w:rsidRPr="00C26F11">
      <w:rPr>
        <w:rStyle w:val="PageNumber"/>
        <w:rFonts w:ascii="Arial" w:hAnsi="Arial" w:cs="Arial"/>
        <w:sz w:val="20"/>
        <w:szCs w:val="20"/>
        <w:lang w:val="pt-BR"/>
      </w:rPr>
      <w:instrText xml:space="preserve"> PAGE </w:instrText>
    </w:r>
    <w:r w:rsidR="00E9376C" w:rsidRPr="00EF563B">
      <w:rPr>
        <w:rStyle w:val="PageNumber"/>
        <w:rFonts w:ascii="Arial" w:hAnsi="Arial" w:cs="Arial"/>
        <w:sz w:val="20"/>
        <w:szCs w:val="20"/>
      </w:rPr>
      <w:fldChar w:fldCharType="separate"/>
    </w:r>
    <w:r w:rsidR="009B223B" w:rsidRPr="00C26F11">
      <w:rPr>
        <w:rStyle w:val="PageNumber"/>
        <w:rFonts w:ascii="Arial" w:hAnsi="Arial" w:cs="Arial"/>
        <w:noProof/>
        <w:sz w:val="20"/>
        <w:szCs w:val="20"/>
        <w:lang w:val="pt-BR"/>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4A303C31" w:rsidR="006B5001" w:rsidRPr="006459E8" w:rsidRDefault="006459E8" w:rsidP="005931E2">
    <w:pPr>
      <w:pStyle w:val="Header"/>
      <w:jc w:val="right"/>
      <w:rPr>
        <w:rFonts w:ascii="Arial" w:hAnsi="Arial" w:cs="Arial"/>
        <w:lang w:val="pt-PT"/>
      </w:rPr>
    </w:pPr>
    <w:r w:rsidRPr="005739ED">
      <w:rPr>
        <w:rFonts w:ascii="Arial" w:hAnsi="Arial" w:cs="Arial"/>
        <w:sz w:val="20"/>
        <w:szCs w:val="20"/>
        <w:lang w:val="pt-PT"/>
      </w:rPr>
      <w:t>LHE/2</w:t>
    </w:r>
    <w:r>
      <w:rPr>
        <w:rFonts w:ascii="Arial" w:hAnsi="Arial" w:cs="Arial"/>
        <w:sz w:val="20"/>
        <w:szCs w:val="20"/>
        <w:lang w:val="pt-PT"/>
      </w:rPr>
      <w:t>3</w:t>
    </w:r>
    <w:r w:rsidRPr="005739ED">
      <w:rPr>
        <w:rFonts w:ascii="Arial" w:hAnsi="Arial" w:cs="Arial"/>
        <w:sz w:val="20"/>
        <w:szCs w:val="20"/>
        <w:lang w:val="pt-PT"/>
      </w:rPr>
      <w:t>/</w:t>
    </w:r>
    <w:r w:rsidRPr="00C26F11">
      <w:rPr>
        <w:rFonts w:ascii="Arial" w:hAnsi="Arial" w:cs="Arial"/>
        <w:sz w:val="20"/>
        <w:szCs w:val="20"/>
        <w:lang w:val="pt-BR"/>
      </w:rPr>
      <w:t xml:space="preserve"> EXP THEMA-ECO</w:t>
    </w:r>
    <w:r w:rsidRPr="005739ED">
      <w:rPr>
        <w:rFonts w:ascii="Arial" w:hAnsi="Arial" w:cs="Arial"/>
        <w:sz w:val="20"/>
        <w:szCs w:val="20"/>
        <w:lang w:val="pt-PT"/>
      </w:rPr>
      <w:t>/</w:t>
    </w:r>
    <w:r w:rsidR="00B34A43">
      <w:rPr>
        <w:rFonts w:ascii="Arial" w:hAnsi="Arial" w:cs="Arial"/>
        <w:sz w:val="20"/>
        <w:szCs w:val="20"/>
        <w:lang w:val="pt-PT"/>
      </w:rPr>
      <w:t>4.b</w:t>
    </w:r>
    <w:r w:rsidRPr="005739ED">
      <w:rPr>
        <w:rFonts w:ascii="Arial" w:hAnsi="Arial" w:cs="Arial"/>
        <w:sz w:val="20"/>
        <w:szCs w:val="20"/>
        <w:lang w:val="pt-PT"/>
      </w:rPr>
      <w:t xml:space="preserve">– page </w:t>
    </w:r>
    <w:r w:rsidRPr="00EF563B">
      <w:rPr>
        <w:rStyle w:val="PageNumber"/>
        <w:rFonts w:ascii="Arial" w:hAnsi="Arial" w:cs="Arial"/>
        <w:sz w:val="20"/>
        <w:szCs w:val="20"/>
      </w:rPr>
      <w:fldChar w:fldCharType="begin"/>
    </w:r>
    <w:r w:rsidRPr="005739ED">
      <w:rPr>
        <w:rStyle w:val="PageNumber"/>
        <w:rFonts w:ascii="Arial" w:hAnsi="Arial" w:cs="Arial"/>
        <w:sz w:val="20"/>
        <w:szCs w:val="20"/>
        <w:lang w:val="pt-PT"/>
      </w:rPr>
      <w:instrText xml:space="preserve"> PAGE </w:instrText>
    </w:r>
    <w:r w:rsidRPr="00EF563B">
      <w:rPr>
        <w:rStyle w:val="PageNumber"/>
        <w:rFonts w:ascii="Arial" w:hAnsi="Arial" w:cs="Arial"/>
        <w:sz w:val="20"/>
        <w:szCs w:val="20"/>
      </w:rPr>
      <w:fldChar w:fldCharType="separate"/>
    </w:r>
    <w:r w:rsidRPr="00C26F11">
      <w:rPr>
        <w:rStyle w:val="PageNumber"/>
        <w:rFonts w:ascii="Arial" w:hAnsi="Arial" w:cs="Arial"/>
        <w:sz w:val="20"/>
        <w:szCs w:val="20"/>
        <w:lang w:val="pt-BR"/>
      </w:rPr>
      <w:t>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9F18E" w14:textId="6D7E6FA6" w:rsidR="004F1B36" w:rsidRPr="00D7105A" w:rsidRDefault="004F1B36" w:rsidP="004F1B36">
    <w:pPr>
      <w:pStyle w:val="Header"/>
      <w:spacing w:after="520"/>
      <w:jc w:val="right"/>
      <w:rPr>
        <w:rFonts w:ascii="Arial" w:hAnsi="Arial" w:cs="Arial"/>
        <w:b/>
        <w:sz w:val="44"/>
        <w:szCs w:val="44"/>
        <w:lang w:val="pt-PT"/>
      </w:rPr>
    </w:pPr>
    <w:r>
      <w:rPr>
        <w:rFonts w:ascii="Arial" w:hAnsi="Arial" w:cs="Arial"/>
        <w:b/>
        <w:sz w:val="44"/>
        <w:szCs w:val="44"/>
        <w:lang w:val="pt-PT"/>
      </w:rPr>
      <w:t>EXP</w:t>
    </w:r>
    <w:r w:rsidR="006C6977">
      <w:rPr>
        <w:rFonts w:ascii="Arial" w:hAnsi="Arial" w:cs="Arial"/>
        <w:b/>
        <w:sz w:val="44"/>
        <w:szCs w:val="44"/>
        <w:lang w:val="pt-PT"/>
      </w:rPr>
      <w:t xml:space="preserve"> </w:t>
    </w:r>
    <w:r w:rsidR="003D7046">
      <w:rPr>
        <w:rFonts w:ascii="Arial" w:hAnsi="Arial" w:cs="Arial"/>
        <w:b/>
        <w:sz w:val="44"/>
        <w:szCs w:val="44"/>
        <w:lang w:val="pt-PT"/>
      </w:rPr>
      <w:t>THEMA-</w:t>
    </w:r>
    <w:r w:rsidR="006C6977">
      <w:rPr>
        <w:rFonts w:ascii="Arial" w:hAnsi="Arial" w:cs="Arial"/>
        <w:b/>
        <w:sz w:val="44"/>
        <w:szCs w:val="44"/>
        <w:lang w:val="pt-PT"/>
      </w:rPr>
      <w:t>ECO</w:t>
    </w:r>
  </w:p>
  <w:p w14:paraId="4AD38C3D" w14:textId="52C33C87"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6E2BE8">
      <w:rPr>
        <w:rFonts w:ascii="Arial" w:hAnsi="Arial" w:cs="Arial"/>
        <w:b/>
        <w:sz w:val="22"/>
        <w:szCs w:val="22"/>
        <w:lang w:val="pt-PT"/>
      </w:rPr>
      <w:t>3</w:t>
    </w:r>
    <w:r w:rsidR="00E9376C" w:rsidRPr="00C318BF">
      <w:rPr>
        <w:rFonts w:ascii="Arial" w:hAnsi="Arial" w:cs="Arial"/>
        <w:b/>
        <w:sz w:val="22"/>
        <w:szCs w:val="22"/>
        <w:lang w:val="pt-PT"/>
      </w:rPr>
      <w:t>/</w:t>
    </w:r>
    <w:r w:rsidR="004F1B36" w:rsidRPr="004F1B36">
      <w:rPr>
        <w:rFonts w:ascii="Arial" w:hAnsi="Arial" w:cs="Arial"/>
        <w:b/>
        <w:sz w:val="22"/>
        <w:szCs w:val="22"/>
        <w:lang w:val="pt-PT"/>
      </w:rPr>
      <w:t xml:space="preserve"> </w:t>
    </w:r>
    <w:r w:rsidR="004F1B36">
      <w:rPr>
        <w:rFonts w:ascii="Arial" w:hAnsi="Arial" w:cs="Arial"/>
        <w:b/>
        <w:sz w:val="22"/>
        <w:szCs w:val="22"/>
        <w:lang w:val="pt-PT"/>
      </w:rPr>
      <w:t xml:space="preserve">EXP </w:t>
    </w:r>
    <w:r w:rsidR="003D7046">
      <w:rPr>
        <w:rFonts w:ascii="Arial" w:hAnsi="Arial" w:cs="Arial"/>
        <w:b/>
        <w:sz w:val="22"/>
        <w:szCs w:val="22"/>
        <w:lang w:val="pt-PT"/>
      </w:rPr>
      <w:t>THEMA-</w:t>
    </w:r>
    <w:r w:rsidR="00430964" w:rsidRPr="00C26F11">
      <w:rPr>
        <w:rFonts w:ascii="Arial" w:hAnsi="Arial" w:cs="Arial"/>
        <w:b/>
        <w:sz w:val="22"/>
        <w:szCs w:val="22"/>
        <w:lang w:val="pt-PT"/>
      </w:rPr>
      <w:t>ECO</w:t>
    </w:r>
    <w:r w:rsidR="00AC4027" w:rsidRPr="00C26F11">
      <w:rPr>
        <w:rFonts w:ascii="Arial" w:hAnsi="Arial" w:cs="Arial"/>
        <w:b/>
        <w:sz w:val="22"/>
        <w:szCs w:val="22"/>
        <w:lang w:val="pt-PT"/>
      </w:rPr>
      <w:t>/</w:t>
    </w:r>
    <w:r w:rsidR="00C26F11" w:rsidRPr="00C26F11">
      <w:rPr>
        <w:rFonts w:ascii="Arial" w:hAnsi="Arial" w:cs="Arial"/>
        <w:b/>
        <w:sz w:val="22"/>
        <w:szCs w:val="22"/>
        <w:lang w:val="pt-PT"/>
      </w:rPr>
      <w:t>4.b</w:t>
    </w:r>
  </w:p>
  <w:p w14:paraId="30B7DEB9" w14:textId="43E82107" w:rsidR="00E9376C" w:rsidRPr="000A7EC2" w:rsidRDefault="008F09EC" w:rsidP="007E60C6">
    <w:pPr>
      <w:jc w:val="right"/>
      <w:rPr>
        <w:rFonts w:ascii="Arial" w:eastAsiaTheme="minorEastAsia" w:hAnsi="Arial" w:cs="Arial"/>
        <w:b/>
        <w:sz w:val="22"/>
        <w:szCs w:val="22"/>
        <w:lang w:val="pt-BR" w:eastAsia="ko-KR"/>
      </w:rPr>
    </w:pPr>
    <w:r w:rsidRPr="00E869DF">
      <w:rPr>
        <w:rFonts w:ascii="Arial" w:hAnsi="Arial" w:cs="Arial"/>
        <w:b/>
        <w:sz w:val="22"/>
        <w:szCs w:val="22"/>
        <w:lang w:val="pt-BR"/>
      </w:rPr>
      <w:t>Paris</w:t>
    </w:r>
    <w:r w:rsidR="00E9376C" w:rsidRPr="00E869DF">
      <w:rPr>
        <w:rFonts w:ascii="Arial" w:hAnsi="Arial" w:cs="Arial"/>
        <w:b/>
        <w:sz w:val="22"/>
        <w:szCs w:val="22"/>
        <w:lang w:val="pt-BR"/>
      </w:rPr>
      <w:t xml:space="preserve">, </w:t>
    </w:r>
    <w:r w:rsidR="00962119" w:rsidRPr="00E869DF">
      <w:rPr>
        <w:rFonts w:ascii="Arial" w:hAnsi="Arial" w:cs="Arial"/>
        <w:b/>
        <w:sz w:val="22"/>
        <w:szCs w:val="22"/>
        <w:lang w:val="pt-BR"/>
      </w:rPr>
      <w:t xml:space="preserve">le </w:t>
    </w:r>
    <w:r w:rsidR="00C26F11" w:rsidRPr="00E869DF">
      <w:rPr>
        <w:rFonts w:ascii="Arial" w:hAnsi="Arial" w:cs="Arial"/>
        <w:b/>
        <w:sz w:val="22"/>
        <w:szCs w:val="22"/>
        <w:lang w:val="pt-BR"/>
      </w:rPr>
      <w:t>13</w:t>
    </w:r>
    <w:r w:rsidR="007E60C6" w:rsidRPr="00E869DF">
      <w:rPr>
        <w:rFonts w:ascii="Arial" w:hAnsi="Arial" w:cs="Arial"/>
        <w:b/>
        <w:sz w:val="22"/>
        <w:szCs w:val="22"/>
        <w:lang w:val="pt-BR"/>
      </w:rPr>
      <w:t xml:space="preserve"> </w:t>
    </w:r>
    <w:r w:rsidR="00430964" w:rsidRPr="00E869DF">
      <w:rPr>
        <w:rFonts w:ascii="Arial" w:hAnsi="Arial" w:cs="Arial"/>
        <w:b/>
        <w:sz w:val="22"/>
        <w:szCs w:val="22"/>
        <w:lang w:val="pt-BR"/>
      </w:rPr>
      <w:t>septembre</w:t>
    </w:r>
    <w:r w:rsidR="00CC70DC" w:rsidRPr="00E869DF">
      <w:rPr>
        <w:rFonts w:ascii="Arial" w:hAnsi="Arial" w:cs="Arial"/>
        <w:b/>
        <w:sz w:val="22"/>
        <w:szCs w:val="22"/>
        <w:lang w:val="pt-BR"/>
      </w:rPr>
      <w:t xml:space="preserve"> </w:t>
    </w:r>
    <w:r w:rsidR="00495C25" w:rsidRPr="00E869DF">
      <w:rPr>
        <w:rFonts w:ascii="Arial" w:hAnsi="Arial" w:cs="Arial"/>
        <w:b/>
        <w:sz w:val="22"/>
        <w:szCs w:val="22"/>
        <w:lang w:val="pt-BR"/>
      </w:rPr>
      <w:t>20</w:t>
    </w:r>
    <w:r w:rsidR="00D520C1" w:rsidRPr="00E869DF">
      <w:rPr>
        <w:rFonts w:ascii="Arial" w:hAnsi="Arial" w:cs="Arial"/>
        <w:b/>
        <w:sz w:val="22"/>
        <w:szCs w:val="22"/>
        <w:lang w:val="pt-BR"/>
      </w:rPr>
      <w:t>2</w:t>
    </w:r>
    <w:r w:rsidR="006E2BE8" w:rsidRPr="00E869DF">
      <w:rPr>
        <w:rFonts w:ascii="Arial" w:hAnsi="Arial" w:cs="Arial"/>
        <w:b/>
        <w:sz w:val="22"/>
        <w:szCs w:val="22"/>
        <w:lang w:val="pt-BR"/>
      </w:rPr>
      <w:t>3</w:t>
    </w:r>
  </w:p>
  <w:p w14:paraId="18E81B87" w14:textId="4EF4C40E"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4F1B36">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1952942"/>
    <w:multiLevelType w:val="hybridMultilevel"/>
    <w:tmpl w:val="F80CA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04777"/>
    <w:multiLevelType w:val="hybridMultilevel"/>
    <w:tmpl w:val="44C0E07C"/>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B72B94"/>
    <w:multiLevelType w:val="hybridMultilevel"/>
    <w:tmpl w:val="30162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8F23D05"/>
    <w:multiLevelType w:val="hybridMultilevel"/>
    <w:tmpl w:val="3580C7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9F20075"/>
    <w:multiLevelType w:val="hybridMultilevel"/>
    <w:tmpl w:val="4B5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7D4331"/>
    <w:multiLevelType w:val="hybridMultilevel"/>
    <w:tmpl w:val="EE2C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7B87BE7"/>
    <w:multiLevelType w:val="hybridMultilevel"/>
    <w:tmpl w:val="374A68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7C31E7F"/>
    <w:multiLevelType w:val="hybridMultilevel"/>
    <w:tmpl w:val="466E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D1EAF"/>
    <w:multiLevelType w:val="hybridMultilevel"/>
    <w:tmpl w:val="C3D66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18A2839"/>
    <w:multiLevelType w:val="hybridMultilevel"/>
    <w:tmpl w:val="860CF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C21C3F"/>
    <w:multiLevelType w:val="hybridMultilevel"/>
    <w:tmpl w:val="A80EC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9" w15:restartNumberingAfterBreak="0">
    <w:nsid w:val="368C5EEC"/>
    <w:multiLevelType w:val="hybridMultilevel"/>
    <w:tmpl w:val="C20A95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532C08"/>
    <w:multiLevelType w:val="hybridMultilevel"/>
    <w:tmpl w:val="7A2686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BC07118"/>
    <w:multiLevelType w:val="hybridMultilevel"/>
    <w:tmpl w:val="ED36F3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528B5352"/>
    <w:multiLevelType w:val="hybridMultilevel"/>
    <w:tmpl w:val="638A02F0"/>
    <w:lvl w:ilvl="0" w:tplc="196CBBAE">
      <w:start w:val="1"/>
      <w:numFmt w:val="decimal"/>
      <w:pStyle w:val="TOC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36624"/>
    <w:multiLevelType w:val="hybridMultilevel"/>
    <w:tmpl w:val="6CB83C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9" w15:restartNumberingAfterBreak="0">
    <w:nsid w:val="62942549"/>
    <w:multiLevelType w:val="hybridMultilevel"/>
    <w:tmpl w:val="A70E31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C158B1"/>
    <w:multiLevelType w:val="hybridMultilevel"/>
    <w:tmpl w:val="B8C4C6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BD47D86"/>
    <w:multiLevelType w:val="hybridMultilevel"/>
    <w:tmpl w:val="91F02EF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167FF7"/>
    <w:multiLevelType w:val="hybridMultilevel"/>
    <w:tmpl w:val="1A2EDE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6F5C48"/>
    <w:multiLevelType w:val="hybridMultilevel"/>
    <w:tmpl w:val="054CB8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4D624C"/>
    <w:multiLevelType w:val="hybridMultilevel"/>
    <w:tmpl w:val="ADE6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556098">
    <w:abstractNumId w:val="28"/>
  </w:num>
  <w:num w:numId="2" w16cid:durableId="1450129911">
    <w:abstractNumId w:val="18"/>
  </w:num>
  <w:num w:numId="3" w16cid:durableId="328018877">
    <w:abstractNumId w:val="6"/>
  </w:num>
  <w:num w:numId="4" w16cid:durableId="1787045820">
    <w:abstractNumId w:val="36"/>
  </w:num>
  <w:num w:numId="5" w16cid:durableId="1787769968">
    <w:abstractNumId w:val="30"/>
  </w:num>
  <w:num w:numId="6" w16cid:durableId="1925722627">
    <w:abstractNumId w:val="0"/>
  </w:num>
  <w:num w:numId="7" w16cid:durableId="1622375663">
    <w:abstractNumId w:val="7"/>
  </w:num>
  <w:num w:numId="8" w16cid:durableId="511115513">
    <w:abstractNumId w:val="23"/>
  </w:num>
  <w:num w:numId="9" w16cid:durableId="1357384206">
    <w:abstractNumId w:val="17"/>
  </w:num>
  <w:num w:numId="10" w16cid:durableId="478691363">
    <w:abstractNumId w:val="20"/>
  </w:num>
  <w:num w:numId="11" w16cid:durableId="574163815">
    <w:abstractNumId w:val="15"/>
  </w:num>
  <w:num w:numId="12" w16cid:durableId="975833606">
    <w:abstractNumId w:val="10"/>
  </w:num>
  <w:num w:numId="13" w16cid:durableId="55252025">
    <w:abstractNumId w:val="26"/>
  </w:num>
  <w:num w:numId="14" w16cid:durableId="131408196">
    <w:abstractNumId w:val="9"/>
  </w:num>
  <w:num w:numId="15" w16cid:durableId="1046181052">
    <w:abstractNumId w:val="33"/>
  </w:num>
  <w:num w:numId="16" w16cid:durableId="904682723">
    <w:abstractNumId w:val="24"/>
  </w:num>
  <w:num w:numId="17" w16cid:durableId="84033567">
    <w:abstractNumId w:val="20"/>
    <w:lvlOverride w:ilvl="0">
      <w:startOverride w:val="1"/>
    </w:lvlOverride>
  </w:num>
  <w:num w:numId="18" w16cid:durableId="221329831">
    <w:abstractNumId w:val="16"/>
  </w:num>
  <w:num w:numId="19" w16cid:durableId="2097705799">
    <w:abstractNumId w:val="8"/>
  </w:num>
  <w:num w:numId="20" w16cid:durableId="797458697">
    <w:abstractNumId w:val="12"/>
  </w:num>
  <w:num w:numId="21" w16cid:durableId="973028944">
    <w:abstractNumId w:val="5"/>
  </w:num>
  <w:num w:numId="22" w16cid:durableId="1114010488">
    <w:abstractNumId w:val="37"/>
  </w:num>
  <w:num w:numId="23" w16cid:durableId="1475295191">
    <w:abstractNumId w:val="35"/>
  </w:num>
  <w:num w:numId="24" w16cid:durableId="1489715018">
    <w:abstractNumId w:val="13"/>
  </w:num>
  <w:num w:numId="25" w16cid:durableId="1716616561">
    <w:abstractNumId w:val="22"/>
  </w:num>
  <w:num w:numId="26" w16cid:durableId="1424451923">
    <w:abstractNumId w:val="32"/>
  </w:num>
  <w:num w:numId="27" w16cid:durableId="1422947599">
    <w:abstractNumId w:val="2"/>
  </w:num>
  <w:num w:numId="28" w16cid:durableId="2085712083">
    <w:abstractNumId w:val="3"/>
  </w:num>
  <w:num w:numId="29" w16cid:durableId="1051344727">
    <w:abstractNumId w:val="14"/>
  </w:num>
  <w:num w:numId="30" w16cid:durableId="641614164">
    <w:abstractNumId w:val="29"/>
  </w:num>
  <w:num w:numId="31" w16cid:durableId="871188628">
    <w:abstractNumId w:val="1"/>
  </w:num>
  <w:num w:numId="32" w16cid:durableId="656496861">
    <w:abstractNumId w:val="31"/>
  </w:num>
  <w:num w:numId="33" w16cid:durableId="490877735">
    <w:abstractNumId w:val="4"/>
  </w:num>
  <w:num w:numId="34" w16cid:durableId="847796874">
    <w:abstractNumId w:val="19"/>
  </w:num>
  <w:num w:numId="35" w16cid:durableId="1781291241">
    <w:abstractNumId w:val="21"/>
  </w:num>
  <w:num w:numId="36" w16cid:durableId="1970698285">
    <w:abstractNumId w:val="11"/>
  </w:num>
  <w:num w:numId="37" w16cid:durableId="1331443463">
    <w:abstractNumId w:val="27"/>
  </w:num>
  <w:num w:numId="38" w16cid:durableId="931428893">
    <w:abstractNumId w:val="34"/>
  </w:num>
  <w:num w:numId="39" w16cid:durableId="10752050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3BDC"/>
    <w:rsid w:val="00020BFC"/>
    <w:rsid w:val="00022428"/>
    <w:rsid w:val="000263BA"/>
    <w:rsid w:val="0003530D"/>
    <w:rsid w:val="0005176E"/>
    <w:rsid w:val="000610D3"/>
    <w:rsid w:val="00077AB7"/>
    <w:rsid w:val="00081CD8"/>
    <w:rsid w:val="0008329C"/>
    <w:rsid w:val="00094711"/>
    <w:rsid w:val="00094AF8"/>
    <w:rsid w:val="000968FB"/>
    <w:rsid w:val="000A7EC2"/>
    <w:rsid w:val="000A7F0E"/>
    <w:rsid w:val="000E6CD7"/>
    <w:rsid w:val="000F3A3F"/>
    <w:rsid w:val="00123B90"/>
    <w:rsid w:val="00124141"/>
    <w:rsid w:val="00132980"/>
    <w:rsid w:val="00160084"/>
    <w:rsid w:val="00164D56"/>
    <w:rsid w:val="00165170"/>
    <w:rsid w:val="00167B10"/>
    <w:rsid w:val="0019264E"/>
    <w:rsid w:val="00196C1B"/>
    <w:rsid w:val="001A2FC9"/>
    <w:rsid w:val="001A766C"/>
    <w:rsid w:val="001B0393"/>
    <w:rsid w:val="001B0F73"/>
    <w:rsid w:val="0020150F"/>
    <w:rsid w:val="00222A2D"/>
    <w:rsid w:val="002407AF"/>
    <w:rsid w:val="002523A8"/>
    <w:rsid w:val="0027493C"/>
    <w:rsid w:val="00280D62"/>
    <w:rsid w:val="002A6C11"/>
    <w:rsid w:val="002A6F73"/>
    <w:rsid w:val="002C0D14"/>
    <w:rsid w:val="002E2F53"/>
    <w:rsid w:val="002E3D25"/>
    <w:rsid w:val="002E58D4"/>
    <w:rsid w:val="002F2310"/>
    <w:rsid w:val="00310922"/>
    <w:rsid w:val="0032583C"/>
    <w:rsid w:val="003675E1"/>
    <w:rsid w:val="00371B87"/>
    <w:rsid w:val="003732E4"/>
    <w:rsid w:val="003779F8"/>
    <w:rsid w:val="003845BE"/>
    <w:rsid w:val="003C1678"/>
    <w:rsid w:val="003D069C"/>
    <w:rsid w:val="003D7046"/>
    <w:rsid w:val="003D7DD5"/>
    <w:rsid w:val="003E07D8"/>
    <w:rsid w:val="003E1D03"/>
    <w:rsid w:val="003E2A08"/>
    <w:rsid w:val="003E5D57"/>
    <w:rsid w:val="003F113A"/>
    <w:rsid w:val="00404933"/>
    <w:rsid w:val="004239C7"/>
    <w:rsid w:val="00430964"/>
    <w:rsid w:val="00440F9B"/>
    <w:rsid w:val="004421E5"/>
    <w:rsid w:val="00443880"/>
    <w:rsid w:val="00452284"/>
    <w:rsid w:val="00461168"/>
    <w:rsid w:val="00467FBE"/>
    <w:rsid w:val="00486948"/>
    <w:rsid w:val="00495C25"/>
    <w:rsid w:val="00496B28"/>
    <w:rsid w:val="0049705E"/>
    <w:rsid w:val="004B3CE4"/>
    <w:rsid w:val="004D4868"/>
    <w:rsid w:val="004E1ECC"/>
    <w:rsid w:val="004F1B36"/>
    <w:rsid w:val="0050103D"/>
    <w:rsid w:val="00501E21"/>
    <w:rsid w:val="005158FF"/>
    <w:rsid w:val="00526B7B"/>
    <w:rsid w:val="005308CE"/>
    <w:rsid w:val="005678AF"/>
    <w:rsid w:val="0057439C"/>
    <w:rsid w:val="005812E8"/>
    <w:rsid w:val="005931E2"/>
    <w:rsid w:val="005B0127"/>
    <w:rsid w:val="005C094D"/>
    <w:rsid w:val="005C4B73"/>
    <w:rsid w:val="00600D93"/>
    <w:rsid w:val="00616C7B"/>
    <w:rsid w:val="00624E8C"/>
    <w:rsid w:val="00627C5C"/>
    <w:rsid w:val="00627F7C"/>
    <w:rsid w:val="006459E8"/>
    <w:rsid w:val="00655736"/>
    <w:rsid w:val="006623E8"/>
    <w:rsid w:val="00663B8D"/>
    <w:rsid w:val="00671F50"/>
    <w:rsid w:val="006923BD"/>
    <w:rsid w:val="00694FEA"/>
    <w:rsid w:val="00696C8D"/>
    <w:rsid w:val="006A2AC2"/>
    <w:rsid w:val="006A3317"/>
    <w:rsid w:val="006A3617"/>
    <w:rsid w:val="006B5001"/>
    <w:rsid w:val="006C6977"/>
    <w:rsid w:val="006D21D9"/>
    <w:rsid w:val="006D2536"/>
    <w:rsid w:val="006D3890"/>
    <w:rsid w:val="006E2BE8"/>
    <w:rsid w:val="006E46E4"/>
    <w:rsid w:val="006E4755"/>
    <w:rsid w:val="0070643E"/>
    <w:rsid w:val="00717AAB"/>
    <w:rsid w:val="00717DBD"/>
    <w:rsid w:val="0073083A"/>
    <w:rsid w:val="00733109"/>
    <w:rsid w:val="00741016"/>
    <w:rsid w:val="00764CF9"/>
    <w:rsid w:val="00775623"/>
    <w:rsid w:val="00784B8C"/>
    <w:rsid w:val="007A000F"/>
    <w:rsid w:val="007C354B"/>
    <w:rsid w:val="007E60C6"/>
    <w:rsid w:val="008064F0"/>
    <w:rsid w:val="00823A11"/>
    <w:rsid w:val="00824EF7"/>
    <w:rsid w:val="00833803"/>
    <w:rsid w:val="0085414A"/>
    <w:rsid w:val="00862258"/>
    <w:rsid w:val="0086269D"/>
    <w:rsid w:val="0086314E"/>
    <w:rsid w:val="00863302"/>
    <w:rsid w:val="00865666"/>
    <w:rsid w:val="008712A2"/>
    <w:rsid w:val="00871C8F"/>
    <w:rsid w:val="008724E5"/>
    <w:rsid w:val="00884A9D"/>
    <w:rsid w:val="008A4E1E"/>
    <w:rsid w:val="008A6E55"/>
    <w:rsid w:val="008B64DF"/>
    <w:rsid w:val="008C0E44"/>
    <w:rsid w:val="008C296C"/>
    <w:rsid w:val="008D4305"/>
    <w:rsid w:val="008D4D0D"/>
    <w:rsid w:val="008E67D8"/>
    <w:rsid w:val="008F09EC"/>
    <w:rsid w:val="0090077E"/>
    <w:rsid w:val="00913D86"/>
    <w:rsid w:val="00915304"/>
    <w:rsid w:val="009163A7"/>
    <w:rsid w:val="00922E3E"/>
    <w:rsid w:val="00933C6B"/>
    <w:rsid w:val="00950F68"/>
    <w:rsid w:val="00962119"/>
    <w:rsid w:val="00974249"/>
    <w:rsid w:val="00993211"/>
    <w:rsid w:val="009A18CD"/>
    <w:rsid w:val="009A6BFE"/>
    <w:rsid w:val="009B223B"/>
    <w:rsid w:val="009B5302"/>
    <w:rsid w:val="009E1B50"/>
    <w:rsid w:val="00A0068E"/>
    <w:rsid w:val="00A12558"/>
    <w:rsid w:val="00A13903"/>
    <w:rsid w:val="00A22951"/>
    <w:rsid w:val="00A34ED5"/>
    <w:rsid w:val="00A45669"/>
    <w:rsid w:val="00A45DBF"/>
    <w:rsid w:val="00A61C6E"/>
    <w:rsid w:val="00A755A2"/>
    <w:rsid w:val="00A83E01"/>
    <w:rsid w:val="00A90761"/>
    <w:rsid w:val="00AB1A39"/>
    <w:rsid w:val="00AB2C36"/>
    <w:rsid w:val="00AC4027"/>
    <w:rsid w:val="00AD1A86"/>
    <w:rsid w:val="00AE103E"/>
    <w:rsid w:val="00AE3322"/>
    <w:rsid w:val="00AF0A07"/>
    <w:rsid w:val="00AF5AE5"/>
    <w:rsid w:val="00AF625E"/>
    <w:rsid w:val="00AF721B"/>
    <w:rsid w:val="00B152B1"/>
    <w:rsid w:val="00B25DD1"/>
    <w:rsid w:val="00B34A43"/>
    <w:rsid w:val="00B43974"/>
    <w:rsid w:val="00B45750"/>
    <w:rsid w:val="00B74CF0"/>
    <w:rsid w:val="00B75139"/>
    <w:rsid w:val="00B872DB"/>
    <w:rsid w:val="00B90701"/>
    <w:rsid w:val="00B948D5"/>
    <w:rsid w:val="00BC3420"/>
    <w:rsid w:val="00BC3EB0"/>
    <w:rsid w:val="00BD52C9"/>
    <w:rsid w:val="00BE1050"/>
    <w:rsid w:val="00BE6354"/>
    <w:rsid w:val="00C06C42"/>
    <w:rsid w:val="00C12687"/>
    <w:rsid w:val="00C26F11"/>
    <w:rsid w:val="00C318BF"/>
    <w:rsid w:val="00C358C4"/>
    <w:rsid w:val="00C377F5"/>
    <w:rsid w:val="00C70EA7"/>
    <w:rsid w:val="00C7516E"/>
    <w:rsid w:val="00CC02B3"/>
    <w:rsid w:val="00CC70DC"/>
    <w:rsid w:val="00CE0264"/>
    <w:rsid w:val="00D02494"/>
    <w:rsid w:val="00D24877"/>
    <w:rsid w:val="00D520C1"/>
    <w:rsid w:val="00D60427"/>
    <w:rsid w:val="00D74F02"/>
    <w:rsid w:val="00D75D42"/>
    <w:rsid w:val="00DA36ED"/>
    <w:rsid w:val="00DB4A84"/>
    <w:rsid w:val="00DC0F3C"/>
    <w:rsid w:val="00DC778D"/>
    <w:rsid w:val="00DE0A62"/>
    <w:rsid w:val="00DE34F1"/>
    <w:rsid w:val="00DF4942"/>
    <w:rsid w:val="00E10DF3"/>
    <w:rsid w:val="00E22288"/>
    <w:rsid w:val="00E34998"/>
    <w:rsid w:val="00E4617C"/>
    <w:rsid w:val="00E46F3E"/>
    <w:rsid w:val="00E60B9D"/>
    <w:rsid w:val="00E627B1"/>
    <w:rsid w:val="00E62B4C"/>
    <w:rsid w:val="00E80B86"/>
    <w:rsid w:val="00E86828"/>
    <w:rsid w:val="00E869DF"/>
    <w:rsid w:val="00E9376C"/>
    <w:rsid w:val="00EA602C"/>
    <w:rsid w:val="00ED3691"/>
    <w:rsid w:val="00EF0DCC"/>
    <w:rsid w:val="00EF74E3"/>
    <w:rsid w:val="00F134B7"/>
    <w:rsid w:val="00F4581D"/>
    <w:rsid w:val="00F576CB"/>
    <w:rsid w:val="00F62B05"/>
    <w:rsid w:val="00F84A0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C26F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Parabodytext">
    <w:name w:val="Para body text"/>
    <w:basedOn w:val="Marge"/>
    <w:qFormat/>
    <w:rsid w:val="00B34A43"/>
    <w:pPr>
      <w:spacing w:after="120"/>
    </w:pPr>
    <w:rPr>
      <w:rFonts w:ascii="Calibri" w:eastAsiaTheme="minorHAnsi" w:hAnsi="Calibri" w:cs="Calibri"/>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basedOn w:val="TOCHeading"/>
    <w:qFormat/>
    <w:rsid w:val="002F2310"/>
    <w:pPr>
      <w:spacing w:after="0"/>
      <w:outlineLvl w:val="1"/>
    </w:pPr>
    <w:rPr>
      <w:sz w:val="26"/>
      <w:szCs w:val="26"/>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character" w:customStyle="1" w:styleId="hps">
    <w:name w:val="hps"/>
    <w:rsid w:val="00B75139"/>
  </w:style>
  <w:style w:type="paragraph" w:styleId="FootnoteText">
    <w:name w:val="footnote text"/>
    <w:basedOn w:val="Normal"/>
    <w:link w:val="FootnoteTextChar"/>
    <w:uiPriority w:val="99"/>
    <w:unhideWhenUsed/>
    <w:qFormat/>
    <w:rsid w:val="00C26F11"/>
    <w:pPr>
      <w:jc w:val="both"/>
    </w:pPr>
    <w:rPr>
      <w:rFonts w:asciiTheme="minorHAnsi" w:eastAsiaTheme="minorHAnsi" w:hAnsiTheme="minorHAnsi" w:cstheme="minorHAnsi"/>
      <w:sz w:val="20"/>
      <w:szCs w:val="20"/>
      <w:lang w:eastAsia="en-US"/>
    </w:rPr>
  </w:style>
  <w:style w:type="character" w:customStyle="1" w:styleId="FootnoteTextChar">
    <w:name w:val="Footnote Text Char"/>
    <w:basedOn w:val="DefaultParagraphFont"/>
    <w:link w:val="FootnoteText"/>
    <w:uiPriority w:val="99"/>
    <w:rsid w:val="00C26F11"/>
    <w:rPr>
      <w:rFonts w:asciiTheme="minorHAnsi" w:eastAsiaTheme="minorHAnsi" w:hAnsiTheme="minorHAnsi" w:cstheme="minorHAnsi"/>
      <w:lang w:eastAsia="en-US"/>
    </w:rPr>
  </w:style>
  <w:style w:type="character" w:styleId="FootnoteReference">
    <w:name w:val="footnote reference"/>
    <w:aliases w:val="Текст сноски Знак1,Текст сноски Знак Знак1,Знак Знак, Знак Знак,Ref,de nota al pie,(NECG) Footnote Reference,Footnote number,Footnote symbol,fr,o,16 Point,Superscript 6 Point,Footnote Reference Number,Footnote Reference_LVL6,f"/>
    <w:basedOn w:val="DefaultParagraphFont"/>
    <w:unhideWhenUsed/>
    <w:qFormat/>
    <w:rsid w:val="00C26F11"/>
    <w:rPr>
      <w:vertAlign w:val="superscript"/>
    </w:rPr>
  </w:style>
  <w:style w:type="paragraph" w:styleId="CommentText">
    <w:name w:val="annotation text"/>
    <w:basedOn w:val="Normal"/>
    <w:link w:val="CommentTextChar"/>
    <w:uiPriority w:val="99"/>
    <w:semiHidden/>
    <w:unhideWhenUsed/>
    <w:rsid w:val="00C26F11"/>
    <w:pPr>
      <w:spacing w:after="160"/>
      <w:jc w:val="both"/>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26F11"/>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26F11"/>
    <w:rPr>
      <w:sz w:val="16"/>
      <w:szCs w:val="16"/>
    </w:rPr>
  </w:style>
  <w:style w:type="character" w:customStyle="1" w:styleId="text-color-dark-gray">
    <w:name w:val="text-color-dark-gray"/>
    <w:basedOn w:val="DefaultParagraphFont"/>
    <w:rsid w:val="00C26F11"/>
  </w:style>
  <w:style w:type="character" w:customStyle="1" w:styleId="post-date">
    <w:name w:val="post-date"/>
    <w:basedOn w:val="DefaultParagraphFont"/>
    <w:rsid w:val="00C26F11"/>
  </w:style>
  <w:style w:type="character" w:customStyle="1" w:styleId="Heading1Char">
    <w:name w:val="Heading 1 Char"/>
    <w:basedOn w:val="DefaultParagraphFont"/>
    <w:link w:val="Heading1"/>
    <w:uiPriority w:val="9"/>
    <w:rsid w:val="00C26F11"/>
    <w:rPr>
      <w:rFonts w:asciiTheme="majorHAnsi" w:eastAsiaTheme="majorEastAsia" w:hAnsiTheme="majorHAnsi" w:cstheme="majorBidi"/>
      <w:color w:val="365F91" w:themeColor="accent1" w:themeShade="BF"/>
      <w:sz w:val="32"/>
      <w:szCs w:val="32"/>
    </w:rPr>
  </w:style>
  <w:style w:type="paragraph" w:styleId="TOCHeading">
    <w:name w:val="TOC Heading"/>
    <w:aliases w:val="LEVEL1"/>
    <w:basedOn w:val="Normal"/>
    <w:next w:val="Normal"/>
    <w:uiPriority w:val="39"/>
    <w:unhideWhenUsed/>
    <w:qFormat/>
    <w:rsid w:val="00496B28"/>
    <w:pPr>
      <w:keepNext/>
      <w:keepLines/>
      <w:spacing w:before="240" w:after="240"/>
      <w:jc w:val="both"/>
      <w:outlineLvl w:val="0"/>
    </w:pPr>
    <w:rPr>
      <w:rFonts w:ascii="Calibri Light" w:eastAsiaTheme="majorEastAsia" w:hAnsi="Calibri Light" w:cs="Calibri Light"/>
      <w:color w:val="365F91" w:themeColor="accent1" w:themeShade="BF"/>
      <w:sz w:val="32"/>
      <w:szCs w:val="32"/>
      <w:lang w:eastAsia="en-US"/>
    </w:rPr>
  </w:style>
  <w:style w:type="paragraph" w:styleId="TOC1">
    <w:name w:val="toc 1"/>
    <w:basedOn w:val="Normal"/>
    <w:next w:val="Normal"/>
    <w:autoRedefine/>
    <w:uiPriority w:val="39"/>
    <w:unhideWhenUsed/>
    <w:rsid w:val="00E869DF"/>
    <w:pPr>
      <w:numPr>
        <w:numId w:val="39"/>
      </w:numPr>
      <w:tabs>
        <w:tab w:val="right" w:leader="dot" w:pos="9016"/>
      </w:tabs>
      <w:spacing w:after="100"/>
    </w:pPr>
  </w:style>
  <w:style w:type="paragraph" w:styleId="TOC2">
    <w:name w:val="toc 2"/>
    <w:basedOn w:val="Normal"/>
    <w:next w:val="Normal"/>
    <w:autoRedefine/>
    <w:uiPriority w:val="39"/>
    <w:unhideWhenUsed/>
    <w:rsid w:val="00C26F11"/>
    <w:pPr>
      <w:spacing w:after="100"/>
      <w:ind w:left="240"/>
    </w:pPr>
  </w:style>
  <w:style w:type="character" w:styleId="UnresolvedMention">
    <w:name w:val="Unresolved Mention"/>
    <w:basedOn w:val="DefaultParagraphFont"/>
    <w:uiPriority w:val="99"/>
    <w:semiHidden/>
    <w:unhideWhenUsed/>
    <w:rsid w:val="002F2310"/>
    <w:rPr>
      <w:color w:val="605E5C"/>
      <w:shd w:val="clear" w:color="auto" w:fill="E1DFDD"/>
    </w:rPr>
  </w:style>
  <w:style w:type="character" w:styleId="FollowedHyperlink">
    <w:name w:val="FollowedHyperlink"/>
    <w:basedOn w:val="DefaultParagraphFont"/>
    <w:uiPriority w:val="99"/>
    <w:semiHidden/>
    <w:unhideWhenUsed/>
    <w:rsid w:val="00DC778D"/>
    <w:rPr>
      <w:color w:val="800080" w:themeColor="followedHyperlink"/>
      <w:u w:val="single"/>
    </w:rPr>
  </w:style>
  <w:style w:type="paragraph" w:styleId="BodyText">
    <w:name w:val="Body Text"/>
    <w:basedOn w:val="Normal"/>
    <w:link w:val="BodyTextChar"/>
    <w:uiPriority w:val="99"/>
    <w:unhideWhenUsed/>
    <w:rsid w:val="00DC778D"/>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character" w:customStyle="1" w:styleId="BodyTextChar">
    <w:name w:val="Body Text Char"/>
    <w:basedOn w:val="DefaultParagraphFont"/>
    <w:link w:val="BodyText"/>
    <w:uiPriority w:val="99"/>
    <w:rsid w:val="00DC778D"/>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124141"/>
    <w:pPr>
      <w:jc w:val="both"/>
    </w:pPr>
    <w:rPr>
      <w:rFonts w:eastAsiaTheme="minorHAnsi" w:cstheme="minorHAnsi"/>
      <w:lang w:eastAsia="en-US"/>
    </w:rPr>
  </w:style>
  <w:style w:type="character" w:customStyle="1" w:styleId="BodyText2Char">
    <w:name w:val="Body Text 2 Char"/>
    <w:basedOn w:val="DefaultParagraphFont"/>
    <w:link w:val="BodyText2"/>
    <w:uiPriority w:val="99"/>
    <w:rsid w:val="00124141"/>
    <w:rPr>
      <w:rFonts w:ascii="Times New Roman" w:eastAsiaTheme="minorHAnsi" w:hAnsi="Times New Roman" w:cstheme="minorHAnsi"/>
      <w:sz w:val="24"/>
      <w:szCs w:val="24"/>
      <w:lang w:eastAsia="en-US"/>
    </w:rPr>
  </w:style>
  <w:style w:type="paragraph" w:styleId="Revision">
    <w:name w:val="Revision"/>
    <w:hidden/>
    <w:uiPriority w:val="99"/>
    <w:semiHidden/>
    <w:rsid w:val="00E349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arnizpasto.wixsite.com/mopamopa" TargetMode="External"/><Relationship Id="rId21" Type="http://schemas.openxmlformats.org/officeDocument/2006/relationships/hyperlink" Target="https://artesaniasdecolombia.com.co/document/documentos/CATALOGO%20ETNICO%20Y%20TRADICIONAL.pdf" TargetMode="External"/><Relationship Id="rId42" Type="http://schemas.openxmlformats.org/officeDocument/2006/relationships/hyperlink" Target="https://www.modernghana.com/news/270861/1/basket-weavers-create-employment-in-upper-east.html" TargetMode="External"/><Relationship Id="rId47" Type="http://schemas.openxmlformats.org/officeDocument/2006/relationships/hyperlink" Target="https://garlandmag.com/article/the-bolga-basket-from-ahmedabad-comes-to-accra/" TargetMode="External"/><Relationship Id="rId63" Type="http://schemas.openxmlformats.org/officeDocument/2006/relationships/hyperlink" Target="https://www-jornada-com-mx.translate.goog/2021/09/13/cultura/a07n2cul?_x_tr_sl=es&amp;_x_tr_tl=en&amp;_x_tr_hl=en-US&amp;_x_tr_pto=wapp" TargetMode="External"/><Relationship Id="rId68" Type="http://schemas.openxmlformats.org/officeDocument/2006/relationships/hyperlink" Target="https://www.eleconomista.com.mx/arteseideas/-Secretaria-de-Cultura-defiende-el-Ritual-de-Los-Voladores-20210628-0018.html" TargetMode="External"/><Relationship Id="rId84" Type="http://schemas.openxmlformats.org/officeDocument/2006/relationships/hyperlink" Target="https://www.khwattu.org/exhibitions/the-san-code-ethics/" TargetMode="External"/><Relationship Id="rId89" Type="http://schemas.openxmlformats.org/officeDocument/2006/relationships/hyperlink" Target="https://whc.unesco.org/fr/list/1545/" TargetMode="External"/><Relationship Id="rId7" Type="http://schemas.openxmlformats.org/officeDocument/2006/relationships/endnotes" Target="endnotes.xml"/><Relationship Id="rId71" Type="http://schemas.openxmlformats.org/officeDocument/2006/relationships/hyperlink" Target="https://www.gov.si/en/news/2020-11-20-traditional-slovenian-breakfast/" TargetMode="External"/><Relationship Id="rId92" Type="http://schemas.openxmlformats.org/officeDocument/2006/relationships/hyperlink" Target="https://youtu.be/7pqn3sEnTj4" TargetMode="External"/><Relationship Id="rId2" Type="http://schemas.openxmlformats.org/officeDocument/2006/relationships/numbering" Target="numbering.xml"/><Relationship Id="rId16" Type="http://schemas.openxmlformats.org/officeDocument/2006/relationships/hyperlink" Target="http://fundacionmundoespiral.blogspot.com/p/quienes-somos.html" TargetMode="External"/><Relationship Id="rId29" Type="http://schemas.openxmlformats.org/officeDocument/2006/relationships/hyperlink" Target="https://crafts.ge/" TargetMode="External"/><Relationship Id="rId11" Type="http://schemas.openxmlformats.org/officeDocument/2006/relationships/hyperlink" Target="https://www.cambridge.org/core/journals/international-journal-of-cultural-property/article/strategies-to-support-the-interests-of-aboriginal-and-torres-strait-islander-peoples-in-the-commercial-development-of-gourmet-bush-food-products/63BA8FEE23CC019FB3B163CBAF278D14" TargetMode="External"/><Relationship Id="rId24" Type="http://schemas.openxmlformats.org/officeDocument/2006/relationships/hyperlink" Target="https://artesaniasdecolombia.com.co/PortalAC/General/template_index.jsf" TargetMode="External"/><Relationship Id="rId32" Type="http://schemas.openxmlformats.org/officeDocument/2006/relationships/hyperlink" Target="https://www.linkedin.com/company/skills-agency-georgia" TargetMode="External"/><Relationship Id="rId37" Type="http://schemas.openxmlformats.org/officeDocument/2006/relationships/hyperlink" Target="https://createday.org/" TargetMode="External"/><Relationship Id="rId40" Type="http://schemas.openxmlformats.org/officeDocument/2006/relationships/hyperlink" Target="https://www.journeesdesmetiersdart.fr/europe/" TargetMode="External"/><Relationship Id="rId45" Type="http://schemas.openxmlformats.org/officeDocument/2006/relationships/hyperlink" Target="https://babatree.com/" TargetMode="External"/><Relationship Id="rId53" Type="http://schemas.openxmlformats.org/officeDocument/2006/relationships/hyperlink" Target="https://www.delata-ghana.com/" TargetMode="External"/><Relationship Id="rId58" Type="http://schemas.openxmlformats.org/officeDocument/2006/relationships/hyperlink" Target="http://www.hipams.org" TargetMode="External"/><Relationship Id="rId66" Type="http://schemas.openxmlformats.org/officeDocument/2006/relationships/hyperlink" Target="https://eur02.safelinks.protection.outlook.com/?url=https://www.gob.mx/cultura/prensa/la-secretaria-de-cultura-se-pronuncia-en-contra-del-uso-indebido-que-la-empresa-moneyman-hizo-de-la-ceremonia-ritual-de-voladores?fbclid=IwAR3Uv8mTcRMqKwyHjUcGXBMpcCV-Q2zDoiTpKXsGr6bHhDLJ2cPzSHPaxO8&amp;data=05|01|harriet%40conjunction.me.uk|540cf8c07dd14a7a233808dae427f77e|7c6acbf416ba4831bb61fffd7b03ecf9|0|0|638073157554142602|Unknown|TWFpbGZsb3d8eyJWIjoiMC4wLjAwMDAiLCJQIjoiV2luMzIiLCJBTiI6Ik1haWwiLCJXVCI6Mn0=|3000|||&amp;sdata=6dGrhwlV217uA3mfsUSeexo4rTMplxHiMxTMDWBksO4=&amp;reserved=0" TargetMode="External"/><Relationship Id="rId74" Type="http://schemas.openxmlformats.org/officeDocument/2006/relationships/hyperlink" Target="https://www.slovenia.info/fr/histoires/les-marques-locales-un-gage-de-qualite-dans-les-destinations-vertes" TargetMode="External"/><Relationship Id="rId79" Type="http://schemas.openxmlformats.org/officeDocument/2006/relationships/hyperlink" Target="https://ec.europa.eu/info/food-farming-fisheries/food-safety-and-quality/certification/quality-labels/geographical-indications-register/details/EUGI00000013982" TargetMode="External"/><Relationship Id="rId87" Type="http://schemas.openxmlformats.org/officeDocument/2006/relationships/hyperlink" Target="https://www.kdfest.com/" TargetMode="External"/><Relationship Id="rId102" Type="http://schemas.openxmlformats.org/officeDocument/2006/relationships/hyperlink" Target="https://arcticartssummit.ca/accueil/" TargetMode="External"/><Relationship Id="rId5" Type="http://schemas.openxmlformats.org/officeDocument/2006/relationships/webSettings" Target="webSettings.xml"/><Relationship Id="rId61" Type="http://schemas.openxmlformats.org/officeDocument/2006/relationships/hyperlink" Target="https://ich.unesco.org/fr/BSP/xtaxkgakget-makgkaxtlawana-le-centre-des-arts-autochtones-et-sa-contribution-a-la-sauvegarde-du-patrimoine-culturel-immateriel-du-peuple-totonaque-de-veracruz-mexique-00666?Art18=00666" TargetMode="External"/><Relationship Id="rId82" Type="http://schemas.openxmlformats.org/officeDocument/2006/relationships/hyperlink" Target="https://www.uri.org/who-we-are/cooperation-circle/gauteng-khoi-and-san-council" TargetMode="External"/><Relationship Id="rId90" Type="http://schemas.openxmlformats.org/officeDocument/2006/relationships/hyperlink" Target="https://www.birustabinusta.com.tr/en/one-master-thousand-masters" TargetMode="External"/><Relationship Id="rId95" Type="http://schemas.openxmlformats.org/officeDocument/2006/relationships/hyperlink" Target="https://www.bioversityinternational.org/fileadmin/_migrated/uploads/tx_news/Medicinal_and_aromatic_plants_improve_livelihoods_in_Yemen_1579.pdf" TargetMode="External"/><Relationship Id="rId19" Type="http://schemas.openxmlformats.org/officeDocument/2006/relationships/hyperlink" Target="https://artesaniasdecolombia.com.co/PortalAC/C_ferias/gran-final-copa-artesanal-contando-el-cuento_15497" TargetMode="External"/><Relationship Id="rId14" Type="http://schemas.openxmlformats.org/officeDocument/2006/relationships/hyperlink" Target="http://www.nintione.com.au/resource/PB008_PolicyBriefing_InclusiveGovernanceFrameworkBushfoodCommercialisation.pdf" TargetMode="External"/><Relationship Id="rId22" Type="http://schemas.openxmlformats.org/officeDocument/2006/relationships/hyperlink" Target="https://www.pasto.gov.co/index.php/noticias-cultura/15495-avanza-segunda-fase-del-plan-especial-de-salvaguarda-del-barniz-de-pasto-mopa-mopa" TargetMode="External"/><Relationship Id="rId27" Type="http://schemas.openxmlformats.org/officeDocument/2006/relationships/hyperlink" Target="https://youtu.be/ko7M8w3WJ8k" TargetMode="External"/><Relationship Id="rId30" Type="http://schemas.openxmlformats.org/officeDocument/2006/relationships/hyperlink" Target="https://www.youtube.com/watch?v=ARmrSeq1sj8&amp;list=PLNEyomugFhWMR1clN9vuKJHq9EcqTsKW8&amp;index=21" TargetMode="External"/><Relationship Id="rId35" Type="http://schemas.openxmlformats.org/officeDocument/2006/relationships/hyperlink" Target="https://crafts.ge/?p=library" TargetMode="External"/><Relationship Id="rId43" Type="http://schemas.openxmlformats.org/officeDocument/2006/relationships/hyperlink" Target="https://nid.org.in/" TargetMode="External"/><Relationship Id="rId48" Type="http://schemas.openxmlformats.org/officeDocument/2006/relationships/hyperlink" Target="https://basketsofafrica.com/weaving-bolga-baskets-in-ghana/" TargetMode="External"/><Relationship Id="rId56" Type="http://schemas.openxmlformats.org/officeDocument/2006/relationships/hyperlink" Target="https://www.youtube.com/watch?v=qFvnKmcCE5M" TargetMode="External"/><Relationship Id="rId64" Type="http://schemas.openxmlformats.org/officeDocument/2006/relationships/hyperlink" Target="https://www-eleconomista-com-mx.translate.goog/arteseideas/-Secretaria-de-Cultura-defiende-el-Ritual-de-Los-Voladores-20210628-0018.html?_x_tr_sl=es&amp;_x_tr_tl=en&amp;_x_tr_hl=en-US&amp;_x_tr_pto=wapp" TargetMode="External"/><Relationship Id="rId69" Type="http://schemas.openxmlformats.org/officeDocument/2006/relationships/hyperlink" Target="https://inah.gob.mx/boletines/el-consejo-de-voladores-y-la-cerveceria-cuauhtemoc-moctezuma-celebran-acuerdo-reparatorio" TargetMode="External"/><Relationship Id="rId77" Type="http://schemas.openxmlformats.org/officeDocument/2006/relationships/hyperlink" Target="https://www.alpine-space.eu/project/alpfoodway/" TargetMode="External"/><Relationship Id="rId100" Type="http://schemas.openxmlformats.org/officeDocument/2006/relationships/hyperlink" Target="https://okm.fi/en/project?tunnus=OKM057:00/2020"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youtube.com/watch?v=qFvnKmcCE5M" TargetMode="External"/><Relationship Id="rId72" Type="http://schemas.openxmlformats.org/officeDocument/2006/relationships/hyperlink" Target="https://www.czs.si/Upload/European_Honey_Breakfast.pdf%20" TargetMode="External"/><Relationship Id="rId80" Type="http://schemas.openxmlformats.org/officeDocument/2006/relationships/hyperlink" Target="https://www.culturalsurvival.org/publications/cultural-survival-quarterly/khwa-ttu-san-culture-education-centre" TargetMode="External"/><Relationship Id="rId85" Type="http://schemas.openxmlformats.org/officeDocument/2006/relationships/hyperlink" Target="https://whc.unesco.org/fr/list/1545/" TargetMode="External"/><Relationship Id="rId93" Type="http://schemas.openxmlformats.org/officeDocument/2006/relationships/hyperlink" Target="https://www.giz.de/en/mediacenter/110638.html" TargetMode="External"/><Relationship Id="rId98" Type="http://schemas.openxmlformats.org/officeDocument/2006/relationships/hyperlink" Target="https://social.desa.un.org/fr/node/3245" TargetMode="External"/><Relationship Id="rId3" Type="http://schemas.openxmlformats.org/officeDocument/2006/relationships/styles" Target="styles.xml"/><Relationship Id="rId12" Type="http://schemas.openxmlformats.org/officeDocument/2006/relationships/hyperlink" Target="https://www.cambridge.org/core/journals/international-journal-of-cultural-property/article/abs/are-we-there-yet-a-review-of-proposed-aboriginal-cultural-heritage-laws-in-new-south-wales-australia/2BD57AAC4B35377A2BE73D273C320E7B" TargetMode="External"/><Relationship Id="rId17" Type="http://schemas.openxmlformats.org/officeDocument/2006/relationships/hyperlink" Target="https://ich.unesco.org/doc/src/52877-EN.pdf" TargetMode="External"/><Relationship Id="rId25" Type="http://schemas.openxmlformats.org/officeDocument/2006/relationships/hyperlink" Target="http://fundacionmundoespiral.blogspot.com/p/quienes-somos.html" TargetMode="External"/><Relationship Id="rId33" Type="http://schemas.openxmlformats.org/officeDocument/2006/relationships/hyperlink" Target="https://crafts.ge/?p=exhibitionSale" TargetMode="External"/><Relationship Id="rId38" Type="http://schemas.openxmlformats.org/officeDocument/2006/relationships/hyperlink" Target="https://www.homofaber.com/en/event" TargetMode="External"/><Relationship Id="rId46" Type="http://schemas.openxmlformats.org/officeDocument/2006/relationships/hyperlink" Target="https://babatree.com/collections/jemima-10-cows" TargetMode="External"/><Relationship Id="rId59" Type="http://schemas.openxmlformats.org/officeDocument/2006/relationships/hyperlink" Target="http://www.hipams.org" TargetMode="External"/><Relationship Id="rId67" Type="http://schemas.openxmlformats.org/officeDocument/2006/relationships/hyperlink" Target="https://www.lajornadamaya.mx/nacional/174795/indigna-comercial-que-denigra-ritual-de-los-voladores-de-papantla?fbclid=IwAR3cWMjgXwyUecrvYg8R3l6V23NKAZZxJ-UVWUmPBx9H6prGRLhYclUrQoM" TargetMode="External"/><Relationship Id="rId103" Type="http://schemas.openxmlformats.org/officeDocument/2006/relationships/hyperlink" Target="https://kulturdirektoratet.no/kalender/hendelse/-/nordisk-konferanse-om-samisk-immateriell-kulturarv" TargetMode="External"/><Relationship Id="rId20" Type="http://schemas.openxmlformats.org/officeDocument/2006/relationships/hyperlink" Target="https://artesaniasdecolombia.com.co/PortalAC/feriasSubMenu/eventos-de-promocion_3282" TargetMode="External"/><Relationship Id="rId41" Type="http://schemas.openxmlformats.org/officeDocument/2006/relationships/hyperlink" Target="https://crafts.ge/" TargetMode="External"/><Relationship Id="rId54" Type="http://schemas.openxmlformats.org/officeDocument/2006/relationships/hyperlink" Target="https://garlandmag.com/article/the-bolga-basket-from-ahmedabad-comes-to-accra/" TargetMode="External"/><Relationship Id="rId62" Type="http://schemas.openxmlformats.org/officeDocument/2006/relationships/hyperlink" Target="https://www-lajornadamaya-mx.translate.goog/nacional/174795/indigna-comercial-que-denigra-ritual-de-los-voladores-de-papantla?_x_tr_sl=es&amp;_x_tr_tl=en&amp;_x_tr_hl=en-US&amp;_x_tr_pto=wapp" TargetMode="External"/><Relationship Id="rId70" Type="http://schemas.openxmlformats.org/officeDocument/2006/relationships/hyperlink" Target="https://www.worldbeeday.org/files/leaflets/Leaflet_EUHoneyBreakfast_and_WorldBeeDay_EN.pdf" TargetMode="External"/><Relationship Id="rId75" Type="http://schemas.openxmlformats.org/officeDocument/2006/relationships/hyperlink" Target="https://ich.unesco.org/fr/RL/la-culture-apicole-en-slovenie-un-mode-de-vie-01857" TargetMode="External"/><Relationship Id="rId83" Type="http://schemas.openxmlformats.org/officeDocument/2006/relationships/hyperlink" Target="https://www.sabcnews.com/sabcnews/san-council-calls-for-more-inclusion-in-tourism-value-chain/" TargetMode="External"/><Relationship Id="rId88" Type="http://schemas.openxmlformats.org/officeDocument/2006/relationships/hyperlink" Target="https://www.khwattu.org/" TargetMode="External"/><Relationship Id="rId91" Type="http://schemas.openxmlformats.org/officeDocument/2006/relationships/hyperlink" Target="https://sdgs.un.org/partnerships/bir-usta-bin-usta-one-master-thousand-masters" TargetMode="External"/><Relationship Id="rId96" Type="http://schemas.openxmlformats.org/officeDocument/2006/relationships/hyperlink" Target="https://sametinget.no/_f/p1/i318e80f8-0075-4ec3-9dfe-0c2a6301ff3e/the-project-intangible-cultural-heritage-in-sapmi-short-report-202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rrijanke.com.au/setting-up-for-success-bushfoods" TargetMode="External"/><Relationship Id="rId23" Type="http://schemas.openxmlformats.org/officeDocument/2006/relationships/hyperlink" Target="https://ich.unesco.org/fr/assistances/entre-l-amazonie-et-les-andes-sauvegarde-et-transmission-des-connaissances-et-techniques-traditionnelles-associees-au-vernis-de-pasto-mopa-mopa-des-departements-colombiens-de-putumayo-et-narino-01926?cote_new=01926" TargetMode="External"/><Relationship Id="rId28" Type="http://schemas.openxmlformats.org/officeDocument/2006/relationships/hyperlink" Target="https://artjameel.org/" TargetMode="External"/><Relationship Id="rId36" Type="http://schemas.openxmlformats.org/officeDocument/2006/relationships/hyperlink" Target="https://www.facebook.com/craftsworkshopfestival" TargetMode="External"/><Relationship Id="rId49" Type="http://schemas.openxmlformats.org/officeDocument/2006/relationships/hyperlink" Target="https://seed.uno/enterprise-profiles/g-lish-foundation" TargetMode="External"/><Relationship Id="rId57" Type="http://schemas.openxmlformats.org/officeDocument/2006/relationships/hyperlink" Target="https://edition.cnn.com/2019/04/25/africa/ghana-bolga-basket-weavers-intl/index.html" TargetMode="External"/><Relationship Id="rId10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yperlink" Target="https://www.youtube.com/playlist?list=PLNEyomugFhWMR1clN9vuKJHq9EcqTsKW8" TargetMode="External"/><Relationship Id="rId44" Type="http://schemas.openxmlformats.org/officeDocument/2006/relationships/hyperlink" Target="https://www.holeandcorner.com/interviews/in-the-studio-with-mary-anaba-master-weaver-baba-tree-basket-company" TargetMode="External"/><Relationship Id="rId52" Type="http://schemas.openxmlformats.org/officeDocument/2006/relationships/hyperlink" Target="https://babatree.com/" TargetMode="External"/><Relationship Id="rId60" Type="http://schemas.openxmlformats.org/officeDocument/2006/relationships/hyperlink" Target="http://www.banglanatak.com/" TargetMode="External"/><Relationship Id="rId65" Type="http://schemas.openxmlformats.org/officeDocument/2006/relationships/hyperlink" Target="https://ich.unesco.org/fr/RL/la-ceremonie-rituelle-des-voladores-00175?RL=00175" TargetMode="External"/><Relationship Id="rId73" Type="http://schemas.openxmlformats.org/officeDocument/2006/relationships/hyperlink" Target="https://www.apiturizem.si/en/" TargetMode="External"/><Relationship Id="rId78" Type="http://schemas.openxmlformats.org/officeDocument/2006/relationships/hyperlink" Target="https://ec.europa.eu/info/food-farming-fisheries/food-safety-and-quality/certification/quality-labels/geographical-indications-register/details/EUGI00000014346" TargetMode="External"/><Relationship Id="rId81" Type="http://schemas.openxmlformats.org/officeDocument/2006/relationships/hyperlink" Target="https://ww2.namibian.com.na/san-communities-launch-council-and-trust/" TargetMode="External"/><Relationship Id="rId86" Type="http://schemas.openxmlformats.org/officeDocument/2006/relationships/hyperlink" Target="https://www.lcfn.info/khwe" TargetMode="External"/><Relationship Id="rId94" Type="http://schemas.openxmlformats.org/officeDocument/2006/relationships/hyperlink" Target="https://www.unicef.org/yemen/media/4061/file/IMSEA%20Rapport%20d&#8217;&#233;valuation%20du%20march&#233;%20Version%20anglaise.pdf" TargetMode="External"/><Relationship Id="rId99" Type="http://schemas.openxmlformats.org/officeDocument/2006/relationships/hyperlink" Target="https://julkaisut.valtioneuvosto.fi/handle/10024/161206" TargetMode="External"/><Relationship Id="rId101" Type="http://schemas.openxmlformats.org/officeDocument/2006/relationships/hyperlink" Target="https://www.youtube.com/watch?v=sZ9lA-E3Jd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nintione.com.au/resource/PB005_PolicyBriefing_PotentialOfLawSupportAboriginalTorresStraitIslanderInterestsBushFoodCommercialisation.pdf" TargetMode="External"/><Relationship Id="rId18" Type="http://schemas.openxmlformats.org/officeDocument/2006/relationships/hyperlink" Target="https://artesaniasdecolombia.com.co/PortalAC/General/template_index.jsf" TargetMode="External"/><Relationship Id="rId39" Type="http://schemas.openxmlformats.org/officeDocument/2006/relationships/hyperlink" Target="https://www.homofaber.com/en/guide" TargetMode="External"/><Relationship Id="rId34" Type="http://schemas.openxmlformats.org/officeDocument/2006/relationships/hyperlink" Target="https://www.crafts.ge/?p=store" TargetMode="External"/><Relationship Id="rId50" Type="http://schemas.openxmlformats.org/officeDocument/2006/relationships/hyperlink" Target="https://cdn.shopify.com/s/files/1/0356/5021/files/Fair_Market_Report_G-lish_Foundation_07b24e30-a09d-46db-9faa-08c57cae20a0.pdf?1004" TargetMode="External"/><Relationship Id="rId55" Type="http://schemas.openxmlformats.org/officeDocument/2006/relationships/hyperlink" Target="https://cdn.shopify.com/s/files/1/0356/5021/files/Fair_Market_Report_G-lish_Foundation_07b24e30-a09d-46db-9faa-08c57cae20a0.pdf?1004" TargetMode="External"/><Relationship Id="rId76" Type="http://schemas.openxmlformats.org/officeDocument/2006/relationships/hyperlink" Target="https://www.intangiblesearch.eu/search/show_ich_detail.php?db_name=intangible_search&amp;lingua=francese&amp;idk=ICH-AGO00-0000001611" TargetMode="External"/><Relationship Id="rId97" Type="http://schemas.openxmlformats.org/officeDocument/2006/relationships/hyperlink" Target="https://www.samediggi.fi/wp-content/uploads/2019/09/Agreement_WDAS_SAMI.pdf" TargetMode="External"/><Relationship Id="rId10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rtjameel.org/heritage/jeddah/" TargetMode="External"/><Relationship Id="rId13" Type="http://schemas.openxmlformats.org/officeDocument/2006/relationships/hyperlink" Target="https://www.milleworld.com/art-jameel-coronavirus-grant/" TargetMode="External"/><Relationship Id="rId18" Type="http://schemas.openxmlformats.org/officeDocument/2006/relationships/hyperlink" Target="https://inah.gob.mx/boletines/el-consejo-de-voladores-y-la-cerveceria-cuauhtemoc-moctezuma-celebran-acuerdo-reparatorio" TargetMode="External"/><Relationship Id="rId26" Type="http://schemas.openxmlformats.org/officeDocument/2006/relationships/hyperlink" Target="https://www.giz.de/en/mediacenter/110638.html" TargetMode="External"/><Relationship Id="rId3" Type="http://schemas.openxmlformats.org/officeDocument/2006/relationships/hyperlink" Target="https://ich.unesco.org/fr/USL/les-connaissances-et-techniques-traditionnelles-associees-au-vernis-de-pasto-mopa-mopa-de-putumayo-et-narino-01599?USL=01599" TargetMode="External"/><Relationship Id="rId21" Type="http://schemas.openxmlformats.org/officeDocument/2006/relationships/hyperlink" Target="https://doi.org/10.4000/remmm.2974" TargetMode="External"/><Relationship Id="rId34" Type="http://schemas.openxmlformats.org/officeDocument/2006/relationships/hyperlink" Target="https://www.saamicouncil.net/en/the-sami-duodji-certificate" TargetMode="External"/><Relationship Id="rId7" Type="http://schemas.openxmlformats.org/officeDocument/2006/relationships/hyperlink" Target="https://artjameel.org/heritage/cairo/" TargetMode="External"/><Relationship Id="rId12" Type="http://schemas.openxmlformats.org/officeDocument/2006/relationships/hyperlink" Target="https://alj.com/fr/news/new-product-design-module-at-the-jameel-house-in-jeddah-prepares-traditional-artisans-for-the-market/" TargetMode="External"/><Relationship Id="rId17" Type="http://schemas.openxmlformats.org/officeDocument/2006/relationships/hyperlink" Target="https://www.lajornadamaya.mx/opinion/175492/los-voladores-la-fuerza-aerea-espiritual-de-mexico" TargetMode="External"/><Relationship Id="rId25" Type="http://schemas.openxmlformats.org/officeDocument/2006/relationships/hyperlink" Target="https://almushahid.net/35809/" TargetMode="External"/><Relationship Id="rId33" Type="http://schemas.openxmlformats.org/officeDocument/2006/relationships/hyperlink" Target="https://www.kulturdirektoratet.no/web/guest/kalender/hendelse/-/practitioners-experiences-in-the-traditional-arts-economy" TargetMode="External"/><Relationship Id="rId2" Type="http://schemas.openxmlformats.org/officeDocument/2006/relationships/hyperlink" Target="https://consultation.ipaustralia.gov.au/policy/stand-alone-legislation-for-indigenous-knowledge/user_uploads/ik-scoping-study-interim-reportoct.pdf" TargetMode="External"/><Relationship Id="rId16" Type="http://schemas.openxmlformats.org/officeDocument/2006/relationships/hyperlink" Target="https://www.puruliachau.com/" TargetMode="External"/><Relationship Id="rId20" Type="http://schemas.openxmlformats.org/officeDocument/2006/relationships/hyperlink" Target="http://journals.openedition.org/remmm/2974" TargetMode="External"/><Relationship Id="rId29" Type="http://schemas.openxmlformats.org/officeDocument/2006/relationships/hyperlink" Target="https://banyanglobal.com/wp-content/uploads/2020/03/GITA-II-USAID-Yemen-Gender-Analysis-30-January-2020-DEC-version-No-Track-Changes-1.pdf" TargetMode="External"/><Relationship Id="rId1" Type="http://schemas.openxmlformats.org/officeDocument/2006/relationships/hyperlink" Target="https://www.terrijanke.com.au/setting-up-for-success-bushfoods" TargetMode="External"/><Relationship Id="rId6" Type="http://schemas.openxmlformats.org/officeDocument/2006/relationships/hyperlink" Target="https://artesaniasdechile.cl/category/revista-digital/guias-de-viaje/?v=5bc574a47246" TargetMode="External"/><Relationship Id="rId11" Type="http://schemas.openxmlformats.org/officeDocument/2006/relationships/hyperlink" Target="https://artjameel.org/heritage/ateliercairo/" TargetMode="External"/><Relationship Id="rId24" Type="http://schemas.openxmlformats.org/officeDocument/2006/relationships/hyperlink" Target="https://www.eremnews.com/entertainment/society/830584" TargetMode="External"/><Relationship Id="rId32" Type="http://schemas.openxmlformats.org/officeDocument/2006/relationships/hyperlink" Target="https://www.volza.com/p/henna-powder/import/import-in-yemen/" TargetMode="External"/><Relationship Id="rId37" Type="http://schemas.openxmlformats.org/officeDocument/2006/relationships/hyperlink" Target="https://www.norway.no/en/missions/wto-un/nig/statements/hr/hrc/hrc36/nordic-baltic-statement/" TargetMode="External"/><Relationship Id="rId5" Type="http://schemas.openxmlformats.org/officeDocument/2006/relationships/hyperlink" Target="https://artesaniasdecolombia.com.co/PortalAC/General/template_index.jsf" TargetMode="External"/><Relationship Id="rId15" Type="http://schemas.openxmlformats.org/officeDocument/2006/relationships/hyperlink" Target="www.hipams.org" TargetMode="External"/><Relationship Id="rId23" Type="http://schemas.openxmlformats.org/officeDocument/2006/relationships/hyperlink" Target="https://yemenshabab.net/reports/61958" TargetMode="External"/><Relationship Id="rId28" Type="http://schemas.openxmlformats.org/officeDocument/2006/relationships/hyperlink" Target="https://www.unicef.org/yemen/media/4061/file/IMSEA%20Rapport%20d&#8217;&#233;valuation%20du%20march&#233;%20Version%20anglaise.pdf" TargetMode="External"/><Relationship Id="rId36" Type="http://schemas.openxmlformats.org/officeDocument/2006/relationships/hyperlink" Target="https://www.samediggi.fi/2021/10/26/sami-tourism-project-aims-at-building-a-responsible-and-ethically-sustainable-sami-tourism-collaboration-network/?lang=en" TargetMode="External"/><Relationship Id="rId10" Type="http://schemas.openxmlformats.org/officeDocument/2006/relationships/hyperlink" Target="https://artjameel.org/heritage/preserving-the-future/" TargetMode="External"/><Relationship Id="rId19" Type="http://schemas.openxmlformats.org/officeDocument/2006/relationships/hyperlink" Target="https://www.acaps.org/sites/acaps/files/products/files/20220522_acaps_yemen_analysis_hub_coping_strategies_0.pdf" TargetMode="External"/><Relationship Id="rId31" Type="http://schemas.openxmlformats.org/officeDocument/2006/relationships/hyperlink" Target="https://www.bioversityinternational.org/fileadmin/_migrated/uploads/tx_news/Medicinal_and_aromatic_plants_improve_livelihoods_in_Yemen_1579.pdf" TargetMode="External"/><Relationship Id="rId4" Type="http://schemas.openxmlformats.org/officeDocument/2006/relationships/hyperlink" Target="https://ich.unesco.org/fr/decisions/15.COM/8.A.1?dec=decisions&amp;ref_decision=15.COM" TargetMode="External"/><Relationship Id="rId9" Type="http://schemas.openxmlformats.org/officeDocument/2006/relationships/hyperlink" Target="https://artjameel.org/about/history/" TargetMode="External"/><Relationship Id="rId14" Type="http://schemas.openxmlformats.org/officeDocument/2006/relationships/hyperlink" Target="https://artjameel.org/projects/art-jameel-research-and-practice-platform/" TargetMode="External"/><Relationship Id="rId22" Type="http://schemas.openxmlformats.org/officeDocument/2006/relationships/hyperlink" Target="https://www.al-watan.com/article/127871/LASTPAGE/" TargetMode="External"/><Relationship Id="rId27" Type="http://schemas.openxmlformats.org/officeDocument/2006/relationships/hyperlink" Target="https://www.yemenpolicy.org/wp-content/uploads/2021/12/YPCPublications_Report-Women-as-Peacebuliders-in-Yemen-June-2018.pdf" TargetMode="External"/><Relationship Id="rId30" Type="http://schemas.openxmlformats.org/officeDocument/2006/relationships/hyperlink" Target="https://www.alquds.co.uk/" TargetMode="External"/><Relationship Id="rId35" Type="http://schemas.openxmlformats.org/officeDocument/2006/relationships/hyperlink" Target="https://www.saamicouncil.net/news-archive/smiri-almmustahtt-smi-duodji-ja-smi-made-mearkkaid-d78cb-3ak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212</TotalTime>
  <Pages>16</Pages>
  <Words>17221</Words>
  <Characters>98165</Characters>
  <Application>Microsoft Office Word</Application>
  <DocSecurity>0</DocSecurity>
  <Lines>818</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Li, Xinling</cp:lastModifiedBy>
  <cp:revision>60</cp:revision>
  <cp:lastPrinted>2011-08-06T10:22:00Z</cp:lastPrinted>
  <dcterms:created xsi:type="dcterms:W3CDTF">2023-02-27T16:43:00Z</dcterms:created>
  <dcterms:modified xsi:type="dcterms:W3CDTF">2023-09-13T16:56:00Z</dcterms:modified>
</cp:coreProperties>
</file>